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D9054" w14:textId="77777777" w:rsidR="00F138DE" w:rsidRPr="00FF770E" w:rsidRDefault="00F138DE" w:rsidP="00F138DE">
      <w:pPr>
        <w:pStyle w:val="Default"/>
        <w:jc w:val="center"/>
        <w:rPr>
          <w:rFonts w:ascii="Times Roman" w:hAnsi="Times Roman"/>
          <w:b/>
          <w:bCs/>
          <w:i/>
          <w:iCs/>
          <w:sz w:val="32"/>
          <w:szCs w:val="32"/>
          <w:u w:val="single"/>
        </w:rPr>
      </w:pPr>
      <w:r w:rsidRPr="00FF770E">
        <w:rPr>
          <w:rFonts w:ascii="Times Roman" w:hAnsi="Times Roman"/>
          <w:b/>
          <w:bCs/>
          <w:i/>
          <w:iCs/>
          <w:sz w:val="32"/>
          <w:szCs w:val="32"/>
          <w:u w:val="single"/>
        </w:rPr>
        <w:t>Original Research Article</w:t>
      </w:r>
    </w:p>
    <w:p w14:paraId="6D9368DE" w14:textId="77777777" w:rsidR="00E429F2" w:rsidRPr="00FF770E" w:rsidRDefault="00000000">
      <w:pPr>
        <w:pStyle w:val="Default"/>
        <w:spacing w:before="0" w:line="240" w:lineRule="auto"/>
        <w:jc w:val="center"/>
        <w:rPr>
          <w:rFonts w:ascii="Times Roman" w:eastAsia="Times Roman" w:hAnsi="Times Roman" w:cs="Times Roman"/>
          <w:b/>
          <w:bCs/>
          <w:sz w:val="32"/>
          <w:szCs w:val="32"/>
        </w:rPr>
      </w:pPr>
      <w:r w:rsidRPr="00FF770E">
        <w:rPr>
          <w:rFonts w:ascii="Times Roman" w:hAnsi="Times Roman"/>
          <w:b/>
          <w:bCs/>
          <w:sz w:val="32"/>
          <w:szCs w:val="32"/>
        </w:rPr>
        <w:t>Fabricated Antifungal Hydrogels Containing Silver Nanoparticles for Advanced Biomedical Applications</w:t>
      </w:r>
    </w:p>
    <w:p w14:paraId="4B2AFEC4" w14:textId="77777777" w:rsidR="00E429F2" w:rsidRPr="00FF770E" w:rsidRDefault="00E429F2">
      <w:pPr>
        <w:pStyle w:val="Default"/>
        <w:spacing w:before="0"/>
        <w:jc w:val="center"/>
        <w:rPr>
          <w:rFonts w:ascii="Times New Roman" w:eastAsia="Times New Roman" w:hAnsi="Times New Roman" w:cs="Times New Roman"/>
          <w:u w:color="000000"/>
          <w14:textOutline w14:w="12700" w14:cap="flat" w14:cmpd="sng" w14:algn="ctr">
            <w14:noFill/>
            <w14:prstDash w14:val="solid"/>
            <w14:miter w14:lim="400000"/>
          </w14:textOutline>
        </w:rPr>
      </w:pPr>
    </w:p>
    <w:p w14:paraId="5F3EFB14" w14:textId="77777777" w:rsidR="00E429F2" w:rsidRPr="00FF770E" w:rsidRDefault="00E429F2">
      <w:pPr>
        <w:pStyle w:val="Default"/>
        <w:spacing w:before="0"/>
        <w:jc w:val="both"/>
        <w:rPr>
          <w:rStyle w:val="None"/>
          <w:rFonts w:ascii="Times New Roman" w:eastAsia="Times New Roman" w:hAnsi="Times New Roman" w:cs="Times New Roman"/>
          <w:b/>
          <w:bCs/>
          <w:i/>
          <w:iCs/>
          <w:kern w:val="2"/>
          <w:sz w:val="28"/>
          <w:szCs w:val="28"/>
          <w:u w:color="000000"/>
          <w14:textOutline w14:w="12700" w14:cap="flat" w14:cmpd="sng" w14:algn="ctr">
            <w14:noFill/>
            <w14:prstDash w14:val="solid"/>
            <w14:miter w14:lim="400000"/>
          </w14:textOutline>
        </w:rPr>
      </w:pPr>
    </w:p>
    <w:p w14:paraId="0E33281A" w14:textId="77777777" w:rsidR="00E429F2" w:rsidRPr="00FF770E" w:rsidRDefault="00000000">
      <w:pPr>
        <w:pStyle w:val="Default"/>
        <w:spacing w:before="0"/>
        <w:jc w:val="both"/>
        <w:rPr>
          <w:rFonts w:ascii="Arial" w:eastAsia="Arial" w:hAnsi="Arial" w:cs="Arial"/>
          <w:b/>
          <w:bCs/>
          <w:kern w:val="2"/>
          <w:sz w:val="22"/>
          <w:szCs w:val="22"/>
          <w:u w:color="000000"/>
          <w14:textOutline w14:w="12700" w14:cap="flat" w14:cmpd="sng" w14:algn="ctr">
            <w14:noFill/>
            <w14:prstDash w14:val="solid"/>
            <w14:miter w14:lim="400000"/>
          </w14:textOutline>
        </w:rPr>
      </w:pPr>
      <w:r w:rsidRPr="00FF770E">
        <w:rPr>
          <w:rFonts w:ascii="Arial" w:hAnsi="Arial"/>
          <w:b/>
          <w:bCs/>
          <w:kern w:val="2"/>
          <w:sz w:val="22"/>
          <w:szCs w:val="22"/>
          <w:u w:color="000000"/>
          <w14:textOutline w14:w="12700" w14:cap="flat" w14:cmpd="sng" w14:algn="ctr">
            <w14:noFill/>
            <w14:prstDash w14:val="solid"/>
            <w14:miter w14:lim="400000"/>
          </w14:textOutline>
        </w:rPr>
        <w:t>ABSTRACT</w:t>
      </w:r>
    </w:p>
    <w:p w14:paraId="5B962E42" w14:textId="77777777" w:rsidR="00E429F2" w:rsidRPr="00FF770E" w:rsidRDefault="00E429F2">
      <w:pPr>
        <w:pStyle w:val="Default"/>
        <w:spacing w:before="0"/>
        <w:jc w:val="both"/>
        <w:rPr>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2B797863" w14:textId="77777777" w:rsidR="00E429F2" w:rsidRPr="00FF770E" w:rsidRDefault="00000000">
      <w:pPr>
        <w:pStyle w:val="Default"/>
        <w:spacing w:before="0"/>
        <w:jc w:val="both"/>
        <w:rPr>
          <w:rFonts w:ascii="Times New Roman" w:eastAsia="Times New Roman" w:hAnsi="Times New Roman" w:cs="Times New Roman"/>
          <w:kern w:val="2"/>
          <w:u w:color="000000"/>
          <w14:textOutline w14:w="12700" w14:cap="flat" w14:cmpd="sng" w14:algn="ctr">
            <w14:noFill/>
            <w14:prstDash w14:val="solid"/>
            <w14:miter w14:lim="400000"/>
          </w14:textOutline>
        </w:rPr>
      </w:pPr>
      <w:r w:rsidRPr="00FF770E">
        <w:rPr>
          <w:rStyle w:val="None"/>
          <w:rFonts w:ascii="Arial" w:hAnsi="Arial"/>
          <w:kern w:val="2"/>
          <w:sz w:val="22"/>
          <w:szCs w:val="22"/>
          <w:u w:color="000000"/>
          <w14:textOutline w14:w="12700" w14:cap="flat" w14:cmpd="sng" w14:algn="ctr">
            <w14:noFill/>
            <w14:prstDash w14:val="solid"/>
            <w14:miter w14:lim="400000"/>
          </w14:textOutline>
        </w:rPr>
        <w:t xml:space="preserve">Fungal infections associated with wounds and biomedical devices continue to pose a serious challenge for health care, thus the development of effective antimicrobial materials is needed. Here, we have </w:t>
      </w:r>
      <w:proofErr w:type="spellStart"/>
      <w:r w:rsidRPr="00FF770E">
        <w:rPr>
          <w:rStyle w:val="None"/>
          <w:rFonts w:ascii="Arial" w:hAnsi="Arial"/>
          <w:kern w:val="2"/>
          <w:sz w:val="22"/>
          <w:szCs w:val="22"/>
          <w:u w:color="000000"/>
          <w14:textOutline w14:w="12700" w14:cap="flat" w14:cmpd="sng" w14:algn="ctr">
            <w14:noFill/>
            <w14:prstDash w14:val="solid"/>
            <w14:miter w14:lim="400000"/>
          </w14:textOutline>
        </w:rPr>
        <w:t>synthesised</w:t>
      </w:r>
      <w:proofErr w:type="spellEnd"/>
      <w:r w:rsidRPr="00FF770E">
        <w:rPr>
          <w:rStyle w:val="None"/>
          <w:rFonts w:ascii="Arial" w:hAnsi="Arial"/>
          <w:kern w:val="2"/>
          <w:sz w:val="22"/>
          <w:szCs w:val="22"/>
          <w:u w:color="000000"/>
          <w14:textOutline w14:w="12700" w14:cap="flat" w14:cmpd="sng" w14:algn="ctr">
            <w14:noFill/>
            <w14:prstDash w14:val="solid"/>
            <w14:miter w14:lim="400000"/>
          </w14:textOutline>
        </w:rPr>
        <w:t xml:space="preserve"> an antifungal hydrogel using silver nanoparticles (</w:t>
      </w:r>
      <w:proofErr w:type="spellStart"/>
      <w:r w:rsidRPr="00FF770E">
        <w:rPr>
          <w:rStyle w:val="None"/>
          <w:rFonts w:ascii="Arial" w:hAnsi="Arial"/>
          <w:kern w:val="2"/>
          <w:sz w:val="22"/>
          <w:szCs w:val="22"/>
          <w:u w:color="000000"/>
          <w14:textOutline w14:w="12700" w14:cap="flat" w14:cmpd="sng" w14:algn="ctr">
            <w14:noFill/>
            <w14:prstDash w14:val="solid"/>
            <w14:miter w14:lim="400000"/>
          </w14:textOutline>
        </w:rPr>
        <w:t>AgNPs</w:t>
      </w:r>
      <w:proofErr w:type="spellEnd"/>
      <w:r w:rsidRPr="00FF770E">
        <w:rPr>
          <w:rStyle w:val="None"/>
          <w:rFonts w:ascii="Arial" w:hAnsi="Arial"/>
          <w:kern w:val="2"/>
          <w:sz w:val="22"/>
          <w:szCs w:val="22"/>
          <w:u w:color="000000"/>
          <w14:textOutline w14:w="12700" w14:cap="flat" w14:cmpd="sng" w14:algn="ctr">
            <w14:noFill/>
            <w14:prstDash w14:val="solid"/>
            <w14:miter w14:lim="400000"/>
          </w14:textOutline>
        </w:rPr>
        <w:t xml:space="preserve">) and explored its potential for biomedical applications. </w:t>
      </w:r>
      <w:proofErr w:type="spellStart"/>
      <w:r w:rsidRPr="00FF770E">
        <w:rPr>
          <w:rStyle w:val="None"/>
          <w:rFonts w:ascii="Arial" w:hAnsi="Arial"/>
          <w:kern w:val="2"/>
          <w:sz w:val="22"/>
          <w:szCs w:val="22"/>
          <w:u w:color="000000"/>
          <w14:textOutline w14:w="12700" w14:cap="flat" w14:cmpd="sng" w14:algn="ctr">
            <w14:noFill/>
            <w14:prstDash w14:val="solid"/>
            <w14:miter w14:lim="400000"/>
          </w14:textOutline>
        </w:rPr>
        <w:t>AgNPs</w:t>
      </w:r>
      <w:proofErr w:type="spellEnd"/>
      <w:r w:rsidRPr="00FF770E">
        <w:rPr>
          <w:rStyle w:val="None"/>
          <w:rFonts w:ascii="Arial" w:hAnsi="Arial"/>
          <w:kern w:val="2"/>
          <w:sz w:val="22"/>
          <w:szCs w:val="22"/>
          <w:u w:color="000000"/>
          <w14:textOutline w14:w="12700" w14:cap="flat" w14:cmpd="sng" w14:algn="ctr">
            <w14:noFill/>
            <w14:prstDash w14:val="solid"/>
            <w14:miter w14:lim="400000"/>
          </w14:textOutline>
        </w:rPr>
        <w:t xml:space="preserve"> were </w:t>
      </w:r>
      <w:proofErr w:type="spellStart"/>
      <w:r w:rsidRPr="00FF770E">
        <w:rPr>
          <w:rStyle w:val="None"/>
          <w:rFonts w:ascii="Arial" w:hAnsi="Arial"/>
          <w:kern w:val="2"/>
          <w:sz w:val="22"/>
          <w:szCs w:val="22"/>
          <w:u w:color="000000"/>
          <w14:textOutline w14:w="12700" w14:cap="flat" w14:cmpd="sng" w14:algn="ctr">
            <w14:noFill/>
            <w14:prstDash w14:val="solid"/>
            <w14:miter w14:lim="400000"/>
          </w14:textOutline>
        </w:rPr>
        <w:t>synthesised</w:t>
      </w:r>
      <w:proofErr w:type="spellEnd"/>
      <w:r w:rsidRPr="00FF770E">
        <w:rPr>
          <w:rStyle w:val="None"/>
          <w:rFonts w:ascii="Arial" w:hAnsi="Arial"/>
          <w:kern w:val="2"/>
          <w:sz w:val="22"/>
          <w:szCs w:val="22"/>
          <w:u w:color="000000"/>
          <w14:textOutline w14:w="12700" w14:cap="flat" w14:cmpd="sng" w14:algn="ctr">
            <w14:noFill/>
            <w14:prstDash w14:val="solid"/>
            <w14:miter w14:lim="400000"/>
          </w14:textOutline>
        </w:rPr>
        <w:t xml:space="preserve"> by green route and were loaded into a tri-polymeric hydrogel matrix containing κ-carrageenan (k-C), polyethylene glycol (PEG) and polyvinylpyrrolidone (PVP). The prepared hydrogel showed good transparency, structural stability and uniform distribution of </w:t>
      </w:r>
      <w:proofErr w:type="spellStart"/>
      <w:r w:rsidRPr="00FF770E">
        <w:rPr>
          <w:rStyle w:val="None"/>
          <w:rFonts w:ascii="Arial" w:hAnsi="Arial"/>
          <w:kern w:val="2"/>
          <w:sz w:val="22"/>
          <w:szCs w:val="22"/>
          <w:u w:color="000000"/>
          <w14:textOutline w14:w="12700" w14:cap="flat" w14:cmpd="sng" w14:algn="ctr">
            <w14:noFill/>
            <w14:prstDash w14:val="solid"/>
            <w14:miter w14:lim="400000"/>
          </w14:textOutline>
        </w:rPr>
        <w:t>AgNPs</w:t>
      </w:r>
      <w:proofErr w:type="spellEnd"/>
      <w:r w:rsidRPr="00FF770E">
        <w:rPr>
          <w:rStyle w:val="None"/>
          <w:rFonts w:ascii="Arial" w:hAnsi="Arial"/>
          <w:kern w:val="2"/>
          <w:sz w:val="22"/>
          <w:szCs w:val="22"/>
          <w:u w:color="000000"/>
          <w14:textOutline w14:w="12700" w14:cap="flat" w14:cmpd="sng" w14:algn="ctr">
            <w14:noFill/>
            <w14:prstDash w14:val="solid"/>
            <w14:miter w14:lim="400000"/>
          </w14:textOutline>
        </w:rPr>
        <w:t xml:space="preserve"> in the polymeric network. The antifungal activity of the </w:t>
      </w:r>
      <w:proofErr w:type="spellStart"/>
      <w:r w:rsidRPr="00FF770E">
        <w:rPr>
          <w:rStyle w:val="None"/>
          <w:rFonts w:ascii="Arial" w:hAnsi="Arial"/>
          <w:kern w:val="2"/>
          <w:sz w:val="22"/>
          <w:szCs w:val="22"/>
          <w:u w:color="000000"/>
          <w14:textOutline w14:w="12700" w14:cap="flat" w14:cmpd="sng" w14:algn="ctr">
            <w14:noFill/>
            <w14:prstDash w14:val="solid"/>
            <w14:miter w14:lim="400000"/>
          </w14:textOutline>
        </w:rPr>
        <w:t>AgNP</w:t>
      </w:r>
      <w:proofErr w:type="spellEnd"/>
      <w:r w:rsidRPr="00FF770E">
        <w:rPr>
          <w:rStyle w:val="None"/>
          <w:rFonts w:ascii="Arial" w:hAnsi="Arial"/>
          <w:kern w:val="2"/>
          <w:sz w:val="22"/>
          <w:szCs w:val="22"/>
          <w:u w:color="000000"/>
          <w14:textOutline w14:w="12700" w14:cap="flat" w14:cmpd="sng" w14:algn="ctr">
            <w14:noFill/>
            <w14:prstDash w14:val="solid"/>
            <w14:miter w14:lim="400000"/>
          </w14:textOutline>
        </w:rPr>
        <w:t xml:space="preserve"> loaded hydrogel was studied against </w:t>
      </w:r>
      <w:r w:rsidRPr="00FF770E">
        <w:rPr>
          <w:rStyle w:val="None"/>
          <w:rFonts w:ascii="Arial" w:hAnsi="Arial"/>
          <w:i/>
          <w:iCs/>
          <w:kern w:val="2"/>
          <w:sz w:val="22"/>
          <w:szCs w:val="22"/>
          <w:u w:color="000000"/>
          <w14:textOutline w14:w="12700" w14:cap="flat" w14:cmpd="sng" w14:algn="ctr">
            <w14:noFill/>
            <w14:prstDash w14:val="solid"/>
            <w14:miter w14:lim="400000"/>
          </w14:textOutline>
        </w:rPr>
        <w:t xml:space="preserve">Aspergillus </w:t>
      </w:r>
      <w:proofErr w:type="spellStart"/>
      <w:r w:rsidRPr="00FF770E">
        <w:rPr>
          <w:rStyle w:val="None"/>
          <w:rFonts w:ascii="Arial" w:hAnsi="Arial"/>
          <w:i/>
          <w:iCs/>
          <w:kern w:val="2"/>
          <w:sz w:val="22"/>
          <w:szCs w:val="22"/>
          <w:u w:color="000000"/>
          <w14:textOutline w14:w="12700" w14:cap="flat" w14:cmpd="sng" w14:algn="ctr">
            <w14:noFill/>
            <w14:prstDash w14:val="solid"/>
            <w14:miter w14:lim="400000"/>
          </w14:textOutline>
        </w:rPr>
        <w:t>niger</w:t>
      </w:r>
      <w:proofErr w:type="spellEnd"/>
      <w:r w:rsidRPr="00FF770E">
        <w:rPr>
          <w:rStyle w:val="None"/>
          <w:rFonts w:ascii="Arial" w:hAnsi="Arial"/>
          <w:kern w:val="2"/>
          <w:sz w:val="22"/>
          <w:szCs w:val="22"/>
          <w:u w:color="000000"/>
          <w14:textOutline w14:w="12700" w14:cap="flat" w14:cmpd="sng" w14:algn="ctr">
            <w14:noFill/>
            <w14:prstDash w14:val="solid"/>
            <w14:miter w14:lim="400000"/>
          </w14:textOutline>
        </w:rPr>
        <w:t xml:space="preserve"> in both therapeutic and prevention model. The hydrogel was found to effectively inhibit fungal growth on contaminated agar surfaces in the treatment model with a clear zone of inhibition as compared to the nanoparticle-free control. The prevention model consisted of a biphasic nutrient-rich hydrogel system, with one half consisting of </w:t>
      </w:r>
      <w:proofErr w:type="spellStart"/>
      <w:r w:rsidRPr="00FF770E">
        <w:rPr>
          <w:rStyle w:val="None"/>
          <w:rFonts w:ascii="Arial" w:hAnsi="Arial"/>
          <w:kern w:val="2"/>
          <w:sz w:val="22"/>
          <w:szCs w:val="22"/>
          <w:u w:color="000000"/>
          <w14:textOutline w14:w="12700" w14:cap="flat" w14:cmpd="sng" w14:algn="ctr">
            <w14:noFill/>
            <w14:prstDash w14:val="solid"/>
            <w14:miter w14:lim="400000"/>
          </w14:textOutline>
        </w:rPr>
        <w:t>AgNPs</w:t>
      </w:r>
      <w:proofErr w:type="spellEnd"/>
      <w:r w:rsidRPr="00FF770E">
        <w:rPr>
          <w:rStyle w:val="None"/>
          <w:rFonts w:ascii="Arial" w:hAnsi="Arial"/>
          <w:kern w:val="2"/>
          <w:sz w:val="22"/>
          <w:szCs w:val="22"/>
          <w:u w:color="000000"/>
          <w14:textOutline w14:w="12700" w14:cap="flat" w14:cmpd="sng" w14:algn="ctr">
            <w14:noFill/>
            <w14:prstDash w14:val="solid"/>
            <w14:miter w14:lim="400000"/>
          </w14:textOutline>
        </w:rPr>
        <w:t xml:space="preserve"> and the other half as control. The </w:t>
      </w:r>
      <w:proofErr w:type="spellStart"/>
      <w:r w:rsidRPr="00FF770E">
        <w:rPr>
          <w:rStyle w:val="None"/>
          <w:rFonts w:ascii="Arial" w:hAnsi="Arial"/>
          <w:kern w:val="2"/>
          <w:sz w:val="22"/>
          <w:szCs w:val="22"/>
          <w:u w:color="000000"/>
          <w14:textOutline w14:w="12700" w14:cap="flat" w14:cmpd="sng" w14:algn="ctr">
            <w14:noFill/>
            <w14:prstDash w14:val="solid"/>
            <w14:miter w14:lim="400000"/>
          </w14:textOutline>
        </w:rPr>
        <w:t>AgNP</w:t>
      </w:r>
      <w:proofErr w:type="spellEnd"/>
      <w:r w:rsidRPr="00FF770E">
        <w:rPr>
          <w:rStyle w:val="None"/>
          <w:rFonts w:ascii="Arial" w:hAnsi="Arial"/>
          <w:kern w:val="2"/>
          <w:sz w:val="22"/>
          <w:szCs w:val="22"/>
          <w:u w:color="000000"/>
          <w14:textOutline w14:w="12700" w14:cap="flat" w14:cmpd="sng" w14:algn="ctr">
            <w14:noFill/>
            <w14:prstDash w14:val="solid"/>
            <w14:miter w14:lim="400000"/>
          </w14:textOutline>
        </w:rPr>
        <w:t xml:space="preserve">-containing area showed complete inhibition of fungal </w:t>
      </w:r>
      <w:proofErr w:type="spellStart"/>
      <w:r w:rsidRPr="00FF770E">
        <w:rPr>
          <w:rStyle w:val="None"/>
          <w:rFonts w:ascii="Arial" w:hAnsi="Arial"/>
          <w:kern w:val="2"/>
          <w:sz w:val="22"/>
          <w:szCs w:val="22"/>
          <w:u w:color="000000"/>
          <w14:textOutline w14:w="12700" w14:cap="flat" w14:cmpd="sng" w14:algn="ctr">
            <w14:noFill/>
            <w14:prstDash w14:val="solid"/>
            <w14:miter w14:lim="400000"/>
          </w14:textOutline>
        </w:rPr>
        <w:t>colonisation</w:t>
      </w:r>
      <w:proofErr w:type="spellEnd"/>
      <w:r w:rsidRPr="00FF770E">
        <w:rPr>
          <w:rStyle w:val="None"/>
          <w:rFonts w:ascii="Arial" w:hAnsi="Arial"/>
          <w:kern w:val="2"/>
          <w:sz w:val="22"/>
          <w:szCs w:val="22"/>
          <w:u w:color="000000"/>
          <w14:textOutline w14:w="12700" w14:cap="flat" w14:cmpd="sng" w14:algn="ctr">
            <w14:noFill/>
            <w14:prstDash w14:val="solid"/>
            <w14:miter w14:lim="400000"/>
          </w14:textOutline>
        </w:rPr>
        <w:t xml:space="preserve">, while the control side showed extensive fungal growth. The results showed that the addition of </w:t>
      </w:r>
      <w:proofErr w:type="spellStart"/>
      <w:r w:rsidRPr="00FF770E">
        <w:rPr>
          <w:rStyle w:val="None"/>
          <w:rFonts w:ascii="Arial" w:hAnsi="Arial"/>
          <w:kern w:val="2"/>
          <w:sz w:val="22"/>
          <w:szCs w:val="22"/>
          <w:u w:color="000000"/>
          <w14:textOutline w14:w="12700" w14:cap="flat" w14:cmpd="sng" w14:algn="ctr">
            <w14:noFill/>
            <w14:prstDash w14:val="solid"/>
            <w14:miter w14:lim="400000"/>
          </w14:textOutline>
        </w:rPr>
        <w:t>AgNPs</w:t>
      </w:r>
      <w:proofErr w:type="spellEnd"/>
      <w:r w:rsidRPr="00FF770E">
        <w:rPr>
          <w:rStyle w:val="None"/>
          <w:rFonts w:ascii="Arial" w:hAnsi="Arial"/>
          <w:kern w:val="2"/>
          <w:sz w:val="22"/>
          <w:szCs w:val="22"/>
          <w:u w:color="000000"/>
          <w14:textOutline w14:w="12700" w14:cap="flat" w14:cmpd="sng" w14:algn="ctr">
            <w14:noFill/>
            <w14:prstDash w14:val="solid"/>
            <w14:miter w14:lim="400000"/>
          </w14:textOutline>
        </w:rPr>
        <w:t xml:space="preserve"> into the hydrogel matrix did not influence its antifungal activity. The advantages of biocompatible polymeric network and potent antifungal activity of </w:t>
      </w:r>
      <w:proofErr w:type="spellStart"/>
      <w:r w:rsidRPr="00FF770E">
        <w:rPr>
          <w:rStyle w:val="None"/>
          <w:rFonts w:ascii="Arial" w:hAnsi="Arial"/>
          <w:kern w:val="2"/>
          <w:sz w:val="22"/>
          <w:szCs w:val="22"/>
          <w:u w:color="000000"/>
          <w14:textOutline w14:w="12700" w14:cap="flat" w14:cmpd="sng" w14:algn="ctr">
            <w14:noFill/>
            <w14:prstDash w14:val="solid"/>
            <w14:miter w14:lim="400000"/>
          </w14:textOutline>
        </w:rPr>
        <w:t>AgNPs</w:t>
      </w:r>
      <w:proofErr w:type="spellEnd"/>
      <w:r w:rsidRPr="00FF770E">
        <w:rPr>
          <w:rStyle w:val="None"/>
          <w:rFonts w:ascii="Arial" w:hAnsi="Arial"/>
          <w:kern w:val="2"/>
          <w:sz w:val="22"/>
          <w:szCs w:val="22"/>
          <w:u w:color="000000"/>
          <w14:textOutline w14:w="12700" w14:cap="flat" w14:cmpd="sng" w14:algn="ctr">
            <w14:noFill/>
            <w14:prstDash w14:val="solid"/>
            <w14:miter w14:lim="400000"/>
          </w14:textOutline>
        </w:rPr>
        <w:t xml:space="preserve"> make this hydrogel a promising candidate for wound dressings, infection control and other biomedical applications. The present study offers the potential of </w:t>
      </w:r>
      <w:proofErr w:type="spellStart"/>
      <w:r w:rsidRPr="00FF770E">
        <w:rPr>
          <w:rStyle w:val="None"/>
          <w:rFonts w:ascii="Arial" w:hAnsi="Arial"/>
          <w:kern w:val="2"/>
          <w:sz w:val="22"/>
          <w:szCs w:val="22"/>
          <w:u w:color="000000"/>
          <w14:textOutline w14:w="12700" w14:cap="flat" w14:cmpd="sng" w14:algn="ctr">
            <w14:noFill/>
            <w14:prstDash w14:val="solid"/>
            <w14:miter w14:lim="400000"/>
          </w14:textOutline>
        </w:rPr>
        <w:t>AgNPs</w:t>
      </w:r>
      <w:proofErr w:type="spellEnd"/>
      <w:r w:rsidRPr="00FF770E">
        <w:rPr>
          <w:rStyle w:val="None"/>
          <w:rFonts w:ascii="Arial" w:hAnsi="Arial"/>
          <w:kern w:val="2"/>
          <w:sz w:val="22"/>
          <w:szCs w:val="22"/>
          <w:u w:color="000000"/>
          <w14:textOutline w14:w="12700" w14:cap="flat" w14:cmpd="sng" w14:algn="ctr">
            <w14:noFill/>
            <w14:prstDash w14:val="solid"/>
            <w14:miter w14:lim="400000"/>
          </w14:textOutline>
        </w:rPr>
        <w:t xml:space="preserve"> based hydrogel as advanced antimicrobial biomaterials, and a stepping stone for future studies including physicochemical </w:t>
      </w:r>
      <w:proofErr w:type="spellStart"/>
      <w:r w:rsidRPr="00FF770E">
        <w:rPr>
          <w:rStyle w:val="None"/>
          <w:rFonts w:ascii="Arial" w:hAnsi="Arial"/>
          <w:kern w:val="2"/>
          <w:sz w:val="22"/>
          <w:szCs w:val="22"/>
          <w:u w:color="000000"/>
          <w14:textOutline w14:w="12700" w14:cap="flat" w14:cmpd="sng" w14:algn="ctr">
            <w14:noFill/>
            <w14:prstDash w14:val="solid"/>
            <w14:miter w14:lim="400000"/>
          </w14:textOutline>
        </w:rPr>
        <w:t>characterisation</w:t>
      </w:r>
      <w:proofErr w:type="spellEnd"/>
      <w:r w:rsidRPr="00FF770E">
        <w:rPr>
          <w:rStyle w:val="None"/>
          <w:rFonts w:ascii="Arial" w:hAnsi="Arial"/>
          <w:kern w:val="2"/>
          <w:sz w:val="22"/>
          <w:szCs w:val="22"/>
          <w:u w:color="000000"/>
          <w14:textOutline w14:w="12700" w14:cap="flat" w14:cmpd="sng" w14:algn="ctr">
            <w14:noFill/>
            <w14:prstDash w14:val="solid"/>
            <w14:miter w14:lim="400000"/>
          </w14:textOutline>
        </w:rPr>
        <w:t>, biocompatibility evaluation and in vivo wound healing investigation</w:t>
      </w:r>
      <w:r w:rsidRPr="00FF770E">
        <w:rPr>
          <w:rFonts w:ascii="Times New Roman" w:hAnsi="Times New Roman"/>
          <w:kern w:val="2"/>
          <w:u w:color="000000"/>
          <w14:textOutline w14:w="12700" w14:cap="flat" w14:cmpd="sng" w14:algn="ctr">
            <w14:noFill/>
            <w14:prstDash w14:val="solid"/>
            <w14:miter w14:lim="400000"/>
          </w14:textOutline>
        </w:rPr>
        <w:t>.</w:t>
      </w:r>
    </w:p>
    <w:p w14:paraId="6E0C42B5" w14:textId="77777777" w:rsidR="00E429F2" w:rsidRPr="00FF770E" w:rsidRDefault="00E429F2">
      <w:pPr>
        <w:pStyle w:val="Default"/>
        <w:spacing w:before="0"/>
        <w:jc w:val="both"/>
        <w:rPr>
          <w:rFonts w:ascii="Times New Roman" w:eastAsia="Times New Roman" w:hAnsi="Times New Roman" w:cs="Times New Roman"/>
          <w:b/>
          <w:bCs/>
          <w:kern w:val="2"/>
          <w:sz w:val="28"/>
          <w:szCs w:val="28"/>
          <w:u w:color="000000"/>
          <w14:textOutline w14:w="12700" w14:cap="flat" w14:cmpd="sng" w14:algn="ctr">
            <w14:noFill/>
            <w14:prstDash w14:val="solid"/>
            <w14:miter w14:lim="400000"/>
          </w14:textOutline>
        </w:rPr>
      </w:pPr>
    </w:p>
    <w:p w14:paraId="6768044D" w14:textId="77777777" w:rsidR="00E429F2" w:rsidRPr="00FF770E" w:rsidRDefault="00E429F2">
      <w:pPr>
        <w:pStyle w:val="Default"/>
        <w:spacing w:before="0"/>
        <w:jc w:val="both"/>
        <w:rPr>
          <w:rFonts w:ascii="Times New Roman" w:eastAsia="Times New Roman" w:hAnsi="Times New Roman" w:cs="Times New Roman"/>
          <w:b/>
          <w:bCs/>
          <w:kern w:val="2"/>
          <w:sz w:val="28"/>
          <w:szCs w:val="28"/>
          <w:u w:color="000000"/>
          <w14:textOutline w14:w="12700" w14:cap="flat" w14:cmpd="sng" w14:algn="ctr">
            <w14:noFill/>
            <w14:prstDash w14:val="solid"/>
            <w14:miter w14:lim="400000"/>
          </w14:textOutline>
        </w:rPr>
      </w:pPr>
    </w:p>
    <w:p w14:paraId="1C79E334" w14:textId="77777777" w:rsidR="00E429F2" w:rsidRPr="00FF770E" w:rsidRDefault="00000000">
      <w:pPr>
        <w:pStyle w:val="Default"/>
        <w:spacing w:before="0"/>
        <w:jc w:val="both"/>
        <w:rPr>
          <w:rStyle w:val="None"/>
          <w:rFonts w:ascii="Arial" w:eastAsia="Arial" w:hAnsi="Arial" w:cs="Arial"/>
          <w:kern w:val="2"/>
          <w:sz w:val="22"/>
          <w:szCs w:val="22"/>
          <w:u w:color="000000"/>
          <w14:textOutline w14:w="12700" w14:cap="flat" w14:cmpd="sng" w14:algn="ctr">
            <w14:noFill/>
            <w14:prstDash w14:val="solid"/>
            <w14:miter w14:lim="400000"/>
          </w14:textOutline>
        </w:rPr>
      </w:pPr>
      <w:r w:rsidRPr="00FF770E">
        <w:rPr>
          <w:rStyle w:val="None"/>
          <w:rFonts w:ascii="Arial" w:hAnsi="Arial"/>
          <w:kern w:val="2"/>
          <w:sz w:val="22"/>
          <w:szCs w:val="22"/>
          <w:u w:color="000000"/>
          <w14:textOutline w14:w="12700" w14:cap="flat" w14:cmpd="sng" w14:algn="ctr">
            <w14:noFill/>
            <w14:prstDash w14:val="solid"/>
            <w14:miter w14:lim="400000"/>
          </w14:textOutline>
        </w:rPr>
        <w:t>Keywords:</w:t>
      </w:r>
      <w:r w:rsidRPr="00FF770E">
        <w:rPr>
          <w:rFonts w:ascii="Times New Roman" w:hAnsi="Times New Roman"/>
          <w:b/>
          <w:bCs/>
          <w:kern w:val="2"/>
          <w:sz w:val="28"/>
          <w:szCs w:val="28"/>
          <w:u w:color="000000"/>
          <w14:textOutline w14:w="12700" w14:cap="flat" w14:cmpd="sng" w14:algn="ctr">
            <w14:noFill/>
            <w14:prstDash w14:val="solid"/>
            <w14:miter w14:lim="400000"/>
          </w14:textOutline>
        </w:rPr>
        <w:t xml:space="preserve"> </w:t>
      </w:r>
      <w:r w:rsidRPr="00FF770E">
        <w:rPr>
          <w:rStyle w:val="None"/>
          <w:rFonts w:ascii="Arial" w:hAnsi="Arial"/>
          <w:kern w:val="2"/>
          <w:sz w:val="22"/>
          <w:szCs w:val="22"/>
          <w:u w:color="000000"/>
          <w14:textOutline w14:w="12700" w14:cap="flat" w14:cmpd="sng" w14:algn="ctr">
            <w14:noFill/>
            <w14:prstDash w14:val="solid"/>
            <w14:miter w14:lim="400000"/>
          </w14:textOutline>
        </w:rPr>
        <w:t xml:space="preserve">Silver nanoparticles, Antifungal hydrogel, κ-Carrageenan, Polyethylene glycol, Polyvinylpyrrolidone, Aspergillus </w:t>
      </w:r>
      <w:proofErr w:type="spellStart"/>
      <w:r w:rsidRPr="00FF770E">
        <w:rPr>
          <w:rStyle w:val="None"/>
          <w:rFonts w:ascii="Arial" w:hAnsi="Arial"/>
          <w:kern w:val="2"/>
          <w:sz w:val="22"/>
          <w:szCs w:val="22"/>
          <w:u w:color="000000"/>
          <w14:textOutline w14:w="12700" w14:cap="flat" w14:cmpd="sng" w14:algn="ctr">
            <w14:noFill/>
            <w14:prstDash w14:val="solid"/>
            <w14:miter w14:lim="400000"/>
          </w14:textOutline>
        </w:rPr>
        <w:t>niger</w:t>
      </w:r>
      <w:proofErr w:type="spellEnd"/>
      <w:r w:rsidRPr="00FF770E">
        <w:rPr>
          <w:rStyle w:val="None"/>
          <w:rFonts w:ascii="Arial" w:hAnsi="Arial"/>
          <w:kern w:val="2"/>
          <w:sz w:val="22"/>
          <w:szCs w:val="22"/>
          <w:u w:color="000000"/>
          <w14:textOutline w14:w="12700" w14:cap="flat" w14:cmpd="sng" w14:algn="ctr">
            <w14:noFill/>
            <w14:prstDash w14:val="solid"/>
            <w14:miter w14:lim="400000"/>
          </w14:textOutline>
        </w:rPr>
        <w:t>, Biomedical applications.</w:t>
      </w:r>
    </w:p>
    <w:p w14:paraId="0B0E0495" w14:textId="77777777" w:rsidR="00E429F2" w:rsidRPr="00FF770E" w:rsidRDefault="00E429F2">
      <w:pPr>
        <w:pStyle w:val="Default"/>
        <w:spacing w:before="0"/>
        <w:jc w:val="both"/>
        <w:rPr>
          <w:rFonts w:ascii="Times New Roman" w:eastAsia="Times New Roman" w:hAnsi="Times New Roman" w:cs="Times New Roman"/>
          <w:b/>
          <w:bCs/>
          <w:kern w:val="2"/>
          <w:sz w:val="28"/>
          <w:szCs w:val="28"/>
          <w:u w:color="000000"/>
          <w14:textOutline w14:w="12700" w14:cap="flat" w14:cmpd="sng" w14:algn="ctr">
            <w14:noFill/>
            <w14:prstDash w14:val="solid"/>
            <w14:miter w14:lim="400000"/>
          </w14:textOutline>
        </w:rPr>
      </w:pPr>
    </w:p>
    <w:p w14:paraId="33D26E91" w14:textId="77777777" w:rsidR="00E429F2" w:rsidRPr="00FF770E" w:rsidRDefault="00E429F2">
      <w:pPr>
        <w:pStyle w:val="Default"/>
        <w:spacing w:before="0"/>
        <w:jc w:val="both"/>
        <w:rPr>
          <w:rStyle w:val="None"/>
          <w:rFonts w:ascii="Times New Roman" w:eastAsia="Times New Roman" w:hAnsi="Times New Roman" w:cs="Times New Roman"/>
          <w:b/>
          <w:bCs/>
          <w:i/>
          <w:iCs/>
          <w:kern w:val="2"/>
          <w:sz w:val="28"/>
          <w:szCs w:val="28"/>
          <w:u w:color="000000"/>
          <w14:textOutline w14:w="12700" w14:cap="flat" w14:cmpd="sng" w14:algn="ctr">
            <w14:noFill/>
            <w14:prstDash w14:val="solid"/>
            <w14:miter w14:lim="400000"/>
          </w14:textOutline>
        </w:rPr>
      </w:pPr>
    </w:p>
    <w:p w14:paraId="2AE8917C" w14:textId="77777777" w:rsidR="00E429F2" w:rsidRPr="00FF770E" w:rsidRDefault="00E429F2">
      <w:pPr>
        <w:pStyle w:val="Default"/>
        <w:spacing w:before="0"/>
        <w:jc w:val="both"/>
        <w:rPr>
          <w:rStyle w:val="None"/>
          <w:rFonts w:ascii="Times New Roman" w:eastAsia="Times New Roman" w:hAnsi="Times New Roman" w:cs="Times New Roman"/>
          <w:b/>
          <w:bCs/>
          <w:i/>
          <w:iCs/>
          <w:kern w:val="2"/>
          <w:u w:color="000000"/>
          <w14:textOutline w14:w="12700" w14:cap="flat" w14:cmpd="sng" w14:algn="ctr">
            <w14:noFill/>
            <w14:prstDash w14:val="solid"/>
            <w14:miter w14:lim="400000"/>
          </w14:textOutline>
        </w:rPr>
      </w:pPr>
    </w:p>
    <w:p w14:paraId="37220F99" w14:textId="77777777" w:rsidR="00E429F2" w:rsidRPr="00FF770E" w:rsidRDefault="00E429F2">
      <w:pPr>
        <w:pStyle w:val="Default"/>
        <w:spacing w:before="0"/>
        <w:jc w:val="both"/>
        <w:rPr>
          <w:rStyle w:val="None"/>
          <w:rFonts w:ascii="Times New Roman" w:eastAsia="Times New Roman" w:hAnsi="Times New Roman" w:cs="Times New Roman"/>
          <w:b/>
          <w:bCs/>
          <w:i/>
          <w:iCs/>
          <w:kern w:val="2"/>
          <w:u w:color="000000"/>
          <w14:textOutline w14:w="12700" w14:cap="flat" w14:cmpd="sng" w14:algn="ctr">
            <w14:noFill/>
            <w14:prstDash w14:val="solid"/>
            <w14:miter w14:lim="400000"/>
          </w14:textOutline>
        </w:rPr>
      </w:pPr>
    </w:p>
    <w:p w14:paraId="30BD3A59" w14:textId="77777777" w:rsidR="00E429F2" w:rsidRPr="00FF770E" w:rsidRDefault="00E429F2">
      <w:pPr>
        <w:pStyle w:val="Default"/>
        <w:spacing w:before="0"/>
        <w:jc w:val="both"/>
        <w:rPr>
          <w:rStyle w:val="None"/>
          <w:rFonts w:ascii="Times New Roman" w:eastAsia="Times New Roman" w:hAnsi="Times New Roman" w:cs="Times New Roman"/>
          <w:b/>
          <w:bCs/>
          <w:i/>
          <w:iCs/>
          <w:kern w:val="2"/>
          <w:u w:color="000000"/>
          <w14:textOutline w14:w="12700" w14:cap="flat" w14:cmpd="sng" w14:algn="ctr">
            <w14:noFill/>
            <w14:prstDash w14:val="solid"/>
            <w14:miter w14:lim="400000"/>
          </w14:textOutline>
        </w:rPr>
      </w:pPr>
    </w:p>
    <w:p w14:paraId="66743309" w14:textId="77777777" w:rsidR="00E429F2" w:rsidRPr="00FF770E" w:rsidRDefault="00000000">
      <w:pPr>
        <w:pStyle w:val="Default"/>
        <w:numPr>
          <w:ilvl w:val="0"/>
          <w:numId w:val="2"/>
        </w:numPr>
        <w:spacing w:before="0"/>
        <w:jc w:val="both"/>
        <w:rPr>
          <w:rFonts w:ascii="Arial" w:hAnsi="Arial"/>
          <w:b/>
          <w:bCs/>
          <w:kern w:val="2"/>
          <w:sz w:val="22"/>
          <w:szCs w:val="22"/>
          <w:u w:color="000000"/>
          <w14:textOutline w14:w="12700" w14:cap="flat" w14:cmpd="sng" w14:algn="ctr">
            <w14:noFill/>
            <w14:prstDash w14:val="solid"/>
            <w14:miter w14:lim="400000"/>
          </w14:textOutline>
        </w:rPr>
      </w:pPr>
      <w:r w:rsidRPr="00FF770E">
        <w:rPr>
          <w:rFonts w:ascii="Arial" w:hAnsi="Arial"/>
          <w:b/>
          <w:bCs/>
          <w:kern w:val="2"/>
          <w:sz w:val="22"/>
          <w:szCs w:val="22"/>
          <w:u w:color="000000"/>
          <w14:textOutline w14:w="12700" w14:cap="flat" w14:cmpd="sng" w14:algn="ctr">
            <w14:noFill/>
            <w14:prstDash w14:val="solid"/>
            <w14:miter w14:lim="400000"/>
          </w14:textOutline>
        </w:rPr>
        <w:t>INTRODUCTION</w:t>
      </w:r>
    </w:p>
    <w:p w14:paraId="12D6BDC8" w14:textId="77777777" w:rsidR="00E429F2" w:rsidRPr="00FF770E" w:rsidRDefault="00000000">
      <w:pPr>
        <w:pStyle w:val="Default"/>
        <w:spacing w:before="0" w:after="240"/>
        <w:jc w:val="both"/>
        <w:rPr>
          <w:rFonts w:ascii="Arial" w:eastAsia="Arial" w:hAnsi="Arial" w:cs="Arial"/>
          <w:sz w:val="20"/>
          <w:szCs w:val="20"/>
        </w:rPr>
      </w:pPr>
      <w:r w:rsidRPr="00FF770E">
        <w:rPr>
          <w:rFonts w:ascii="Arial" w:hAnsi="Arial"/>
          <w:sz w:val="20"/>
          <w:szCs w:val="20"/>
        </w:rPr>
        <w:t>Nanotechnology has emerged as one of the most dynamic and rapidly advancing fields of research worldwide, particularly in materials science and nanoparticle synthesis. Nanoparticles (NPs) possess unique physicochemical properties, including nanoscale size, high surface area-to-volume ratio, tunable morphology, enhanced reactivity, flexibility, and component purity, which distinguish them from their bulk counterparts. (Khan et al., 2019).Various inorganic metals, including gold, zinc, titanium, palladium, and silver, have been widely utilized for nanoparticle synthesis because of their distinctive thermal, magnetic, catalytic, and biological properties(</w:t>
      </w:r>
      <w:proofErr w:type="spellStart"/>
      <w:r w:rsidRPr="00FF770E">
        <w:rPr>
          <w:rFonts w:ascii="Arial" w:hAnsi="Arial"/>
          <w:sz w:val="20"/>
          <w:szCs w:val="20"/>
        </w:rPr>
        <w:t>Jeevanandam</w:t>
      </w:r>
      <w:proofErr w:type="spellEnd"/>
      <w:r w:rsidRPr="00FF770E">
        <w:rPr>
          <w:rFonts w:ascii="Arial" w:hAnsi="Arial"/>
          <w:sz w:val="20"/>
          <w:szCs w:val="20"/>
        </w:rPr>
        <w:t xml:space="preserve"> et al., 2018). Among metallic nanoparticles, silver nanoparticles (</w:t>
      </w:r>
      <w:proofErr w:type="spellStart"/>
      <w:r w:rsidRPr="00FF770E">
        <w:rPr>
          <w:rFonts w:ascii="Arial" w:hAnsi="Arial"/>
          <w:sz w:val="20"/>
          <w:szCs w:val="20"/>
        </w:rPr>
        <w:t>AgNPs</w:t>
      </w:r>
      <w:proofErr w:type="spellEnd"/>
      <w:r w:rsidRPr="00FF770E">
        <w:rPr>
          <w:rFonts w:ascii="Arial" w:hAnsi="Arial"/>
          <w:sz w:val="20"/>
          <w:szCs w:val="20"/>
        </w:rPr>
        <w:t xml:space="preserve">) have attracted remarkable attention because silver has been recognized for its medicinal and antimicrobial properties for more than 2000 years. Silver exhibits broad-spectrum antimicrobial activity and can inhibit </w:t>
      </w:r>
      <w:r w:rsidRPr="00FF770E">
        <w:rPr>
          <w:rFonts w:ascii="Arial" w:hAnsi="Arial"/>
          <w:sz w:val="20"/>
          <w:szCs w:val="20"/>
        </w:rPr>
        <w:lastRenderedPageBreak/>
        <w:t>microbial growth through multiple mechanisms(</w:t>
      </w:r>
      <w:r w:rsidRPr="00FF770E">
        <w:rPr>
          <w:rFonts w:ascii="Arial" w:hAnsi="Arial"/>
          <w:sz w:val="20"/>
          <w:szCs w:val="20"/>
          <w:lang w:val="it-IT"/>
        </w:rPr>
        <w:t>Iravani et al., 2014</w:t>
      </w:r>
      <w:r w:rsidRPr="00FF770E">
        <w:rPr>
          <w:rFonts w:ascii="Arial" w:hAnsi="Arial"/>
          <w:sz w:val="20"/>
          <w:szCs w:val="20"/>
        </w:rPr>
        <w:t xml:space="preserve">). With the increasing prevalence of antimicrobial resistance, </w:t>
      </w:r>
      <w:proofErr w:type="spellStart"/>
      <w:r w:rsidRPr="00FF770E">
        <w:rPr>
          <w:rFonts w:ascii="Arial" w:hAnsi="Arial"/>
          <w:sz w:val="20"/>
          <w:szCs w:val="20"/>
        </w:rPr>
        <w:t>AgNPs</w:t>
      </w:r>
      <w:proofErr w:type="spellEnd"/>
      <w:r w:rsidRPr="00FF770E">
        <w:rPr>
          <w:rFonts w:ascii="Arial" w:hAnsi="Arial"/>
          <w:sz w:val="20"/>
          <w:szCs w:val="20"/>
        </w:rPr>
        <w:t xml:space="preserve"> have emerged as promising alternatives owing to their potent bactericidal effects against numerous pathogenic microorganisms, lower cost, and reduced likelihood of inducing resistance compared to conventional antibiotics. These unique characteristics have expanded the applications of </w:t>
      </w:r>
      <w:proofErr w:type="spellStart"/>
      <w:r w:rsidRPr="00FF770E">
        <w:rPr>
          <w:rFonts w:ascii="Arial" w:hAnsi="Arial"/>
          <w:sz w:val="20"/>
          <w:szCs w:val="20"/>
        </w:rPr>
        <w:t>AgNPs</w:t>
      </w:r>
      <w:proofErr w:type="spellEnd"/>
      <w:r w:rsidRPr="00FF770E">
        <w:rPr>
          <w:rFonts w:ascii="Arial" w:hAnsi="Arial"/>
          <w:sz w:val="20"/>
          <w:szCs w:val="20"/>
        </w:rPr>
        <w:t xml:space="preserve"> into healthcare, food preservation, consumer products, biological systems, and industrial fields(</w:t>
      </w:r>
      <w:r w:rsidRPr="00FF770E">
        <w:rPr>
          <w:rFonts w:ascii="Arial" w:hAnsi="Arial"/>
          <w:sz w:val="20"/>
          <w:szCs w:val="20"/>
          <w:lang w:val="it-IT"/>
        </w:rPr>
        <w:t>Rai et al., 2009</w:t>
      </w:r>
      <w:r w:rsidRPr="00FF770E">
        <w:rPr>
          <w:rFonts w:ascii="Arial" w:hAnsi="Arial"/>
          <w:sz w:val="20"/>
          <w:szCs w:val="20"/>
        </w:rPr>
        <w:t>).</w:t>
      </w:r>
    </w:p>
    <w:p w14:paraId="533B6F82" w14:textId="77777777" w:rsidR="00E429F2" w:rsidRPr="00FF770E" w:rsidRDefault="00000000">
      <w:pPr>
        <w:pStyle w:val="Default"/>
        <w:spacing w:before="0" w:after="240"/>
        <w:jc w:val="both"/>
        <w:rPr>
          <w:rFonts w:ascii="Arial" w:eastAsia="Arial" w:hAnsi="Arial" w:cs="Arial"/>
          <w:sz w:val="20"/>
          <w:szCs w:val="20"/>
        </w:rPr>
      </w:pPr>
      <w:r w:rsidRPr="00FF770E">
        <w:rPr>
          <w:rFonts w:ascii="Arial" w:hAnsi="Arial"/>
          <w:sz w:val="20"/>
          <w:szCs w:val="20"/>
        </w:rPr>
        <w:t>Silver nanoparticles can be synthesized through physical, chemical, and biological approaches.(Wasilewska et al., 2023). Conventional physical and chemical synthesis methods often involve toxic reagents, high energy consumption, and elevated costs, limiting their sustainability and environmental compatibility(Durán et al., 2016). In contrast, biological or green synthesis methods have gained increasing preference due to their eco-friendly nature, cost effectiveness, and reduced risks to human health(Ahmed et al., 2016).  Consequently, developing novel synthesis strategies capable of controlling nanoparticle morphology, size distribution, stability, and physicochemical properties has become an important area of research(</w:t>
      </w:r>
      <w:r w:rsidRPr="00FF770E">
        <w:rPr>
          <w:rFonts w:ascii="Arial" w:hAnsi="Arial"/>
          <w:sz w:val="20"/>
          <w:szCs w:val="20"/>
          <w:lang w:val="fr-FR"/>
        </w:rPr>
        <w:t>Shnoudeh et al., 2019</w:t>
      </w:r>
      <w:r w:rsidRPr="00FF770E">
        <w:rPr>
          <w:rFonts w:ascii="Arial" w:hAnsi="Arial"/>
          <w:sz w:val="20"/>
          <w:szCs w:val="20"/>
        </w:rPr>
        <w:t xml:space="preserve">). Nanoparticle stability is a crucial factor influencing their functionality and biomedical performance(Meran et al., 2018). Generally, nanoparticles can be stabilized through electrostatic stabilization, steric stabilization, or </w:t>
      </w:r>
      <w:proofErr w:type="spellStart"/>
      <w:r w:rsidRPr="00FF770E">
        <w:rPr>
          <w:rFonts w:ascii="Arial" w:hAnsi="Arial"/>
          <w:sz w:val="20"/>
          <w:szCs w:val="20"/>
        </w:rPr>
        <w:t>electrosteric</w:t>
      </w:r>
      <w:proofErr w:type="spellEnd"/>
      <w:r w:rsidRPr="00FF770E">
        <w:rPr>
          <w:rFonts w:ascii="Arial" w:hAnsi="Arial"/>
          <w:sz w:val="20"/>
          <w:szCs w:val="20"/>
        </w:rPr>
        <w:t xml:space="preserve"> stabilization </w:t>
      </w:r>
      <w:r w:rsidRPr="00FF770E">
        <w:rPr>
          <w:rFonts w:ascii="Arial" w:hAnsi="Arial"/>
          <w:sz w:val="20"/>
          <w:szCs w:val="20"/>
          <w:lang w:val="de-DE"/>
        </w:rPr>
        <w:t>(Nuss &amp; Von Rechenberg, 2008)</w:t>
      </w:r>
      <w:r w:rsidRPr="00FF770E">
        <w:rPr>
          <w:rFonts w:ascii="Arial" w:hAnsi="Arial"/>
          <w:sz w:val="20"/>
          <w:szCs w:val="20"/>
        </w:rPr>
        <w:t>. Various stabilizing agents such as surfactants, polymers, dendrimers, and biomacromolecules have been utilized to improve nanoparticle stability and prevent aggregation(</w:t>
      </w:r>
      <w:proofErr w:type="spellStart"/>
      <w:r w:rsidRPr="00FF770E">
        <w:rPr>
          <w:rFonts w:ascii="Arial" w:hAnsi="Arial"/>
          <w:sz w:val="20"/>
          <w:szCs w:val="20"/>
        </w:rPr>
        <w:t>Mourdikoudis</w:t>
      </w:r>
      <w:proofErr w:type="spellEnd"/>
      <w:r w:rsidRPr="00FF770E">
        <w:rPr>
          <w:rFonts w:ascii="Arial" w:hAnsi="Arial"/>
          <w:sz w:val="20"/>
          <w:szCs w:val="20"/>
        </w:rPr>
        <w:t xml:space="preserve"> et al., 2018;Pişkin, 1997. Among polymeric stabilizers, hydrogels represent an important class of materials that have received substantial attention, particularly for biomedical and pharmaceutical applications(Li &amp; Mooney, 2016; Pavlovic, 2015).</w:t>
      </w:r>
    </w:p>
    <w:p w14:paraId="2A319D81" w14:textId="77777777" w:rsidR="00E429F2" w:rsidRPr="00FF770E" w:rsidRDefault="00000000">
      <w:pPr>
        <w:pStyle w:val="Default"/>
        <w:spacing w:before="0" w:after="240"/>
        <w:jc w:val="both"/>
        <w:rPr>
          <w:rFonts w:ascii="Arial" w:eastAsia="Arial" w:hAnsi="Arial" w:cs="Arial"/>
          <w:sz w:val="20"/>
          <w:szCs w:val="20"/>
        </w:rPr>
      </w:pPr>
      <w:r w:rsidRPr="00FF770E">
        <w:rPr>
          <w:rFonts w:ascii="Arial" w:hAnsi="Arial"/>
          <w:sz w:val="20"/>
          <w:szCs w:val="20"/>
        </w:rPr>
        <w:t xml:space="preserve">Hydrogels are three-dimensional networks of hydrophilic polymers capable of absorbing large quantities of water while maintaining structural integrity through physical or chemical crosslinking(Hoffman, </w:t>
      </w:r>
      <w:proofErr w:type="spellStart"/>
      <w:r w:rsidRPr="00FF770E">
        <w:rPr>
          <w:rFonts w:ascii="Arial" w:hAnsi="Arial"/>
          <w:sz w:val="20"/>
          <w:szCs w:val="20"/>
        </w:rPr>
        <w:t>n.d.;Ross-Murphy</w:t>
      </w:r>
      <w:proofErr w:type="spellEnd"/>
      <w:r w:rsidRPr="00FF770E">
        <w:rPr>
          <w:rFonts w:ascii="Arial" w:hAnsi="Arial"/>
          <w:sz w:val="20"/>
          <w:szCs w:val="20"/>
        </w:rPr>
        <w:t xml:space="preserve"> &amp; McEvoy, 1986). Owing to their biocompatibility, tunable mechanical properties, and resemblance to biological tissues, hydrogels have been extensively investigated for drug delivery systems, wound healing, tissue engineering, and regenerative medicine(E. M. Ahmed, 2015; Peppas et al., 2006). To date, numerous hydrogels derived from natural and synthetic polymers have been developed for therapeutic delivery and tissue repair applications(Dreiss, 2020). Natural hydrogels are commonly fabricated using biopolymers such as carrageenan, collagen, chitosan, gelatin, fibrin, silk fibroin, alginate, and hyaluronic acid(Zhao et al., 2023). Conversely, synthetic hydrogels are prepared from engineered polymers including polyvinyl alcohol (PVA), poly(acrylic acid) (PAA), poly(lactic acid) (PLA), poly(lactic-co-glycolic acid) (PLGA), poly(hydroxyethyl methacrylate) (PHEMA), and polyethylene glycol (PEG)(Bhatia &amp; Bhatia, 2016;Satchanska et al., 2024).  Synthetic polymers often exhibit superior mechanical strength, stability, and tunability compared with natural polymers. Among them, PEG is widely used in hydrogel formulations because of its excellent hydrophilicity, non-toxicity, and biocompatibility, particularly in drug delivery applications. PEG-based hydrogels are frequently combined with other biomaterials to optimize their physicochemical and biological properties(Wang et al., 2023).</w:t>
      </w:r>
    </w:p>
    <w:p w14:paraId="4C741815" w14:textId="77777777" w:rsidR="00E429F2" w:rsidRPr="00FF770E" w:rsidRDefault="00000000">
      <w:pPr>
        <w:pStyle w:val="Default"/>
        <w:spacing w:before="0" w:after="240"/>
        <w:jc w:val="both"/>
        <w:rPr>
          <w:rFonts w:ascii="Arial" w:eastAsia="Arial" w:hAnsi="Arial" w:cs="Arial"/>
          <w:sz w:val="20"/>
          <w:szCs w:val="20"/>
        </w:rPr>
      </w:pPr>
      <w:r w:rsidRPr="00FF770E">
        <w:rPr>
          <w:rFonts w:ascii="Arial" w:hAnsi="Arial"/>
          <w:sz w:val="20"/>
          <w:szCs w:val="20"/>
        </w:rPr>
        <w:t>Among naturally derived hydrogel-forming biomaterials, carrageenan has attracted considerable interest for biomedical applications. Carrageenan is a natural sulfated polysaccharide obtained from the intercellular matrix of red algae and primarily composed of galactose and its derivatives(Campo et al., 2009). It possesses multiple biological activities, including anticoagulant(Yermak et al., 2012), antiviral(</w:t>
      </w:r>
      <w:proofErr w:type="spellStart"/>
      <w:r w:rsidRPr="00FF770E">
        <w:rPr>
          <w:rFonts w:ascii="Arial" w:hAnsi="Arial"/>
          <w:sz w:val="20"/>
          <w:szCs w:val="20"/>
        </w:rPr>
        <w:t>Frediansyah</w:t>
      </w:r>
      <w:proofErr w:type="spellEnd"/>
      <w:r w:rsidRPr="00FF770E">
        <w:rPr>
          <w:rFonts w:ascii="Arial" w:hAnsi="Arial"/>
          <w:sz w:val="20"/>
          <w:szCs w:val="20"/>
        </w:rPr>
        <w:t xml:space="preserve">, 2021), antibacterial, anti-inflammatory, and wound-healing properties(Pereira &amp; Faria, 2024). Additionally, carrageenan demonstrates excellent biocompatibility, biodegradability, gel-forming capability, and moisture retention, making it highly suitable for hydrogel development. Importantly, carrageenan has been classified as </w:t>
      </w:r>
      <w:r w:rsidRPr="00FF770E">
        <w:rPr>
          <w:rFonts w:ascii="Arial" w:hAnsi="Arial"/>
          <w:sz w:val="20"/>
          <w:szCs w:val="20"/>
          <w:rtl/>
          <w:lang w:val="ar-SA"/>
        </w:rPr>
        <w:t>“</w:t>
      </w:r>
      <w:r w:rsidRPr="00FF770E">
        <w:rPr>
          <w:rFonts w:ascii="Arial" w:hAnsi="Arial"/>
          <w:sz w:val="20"/>
          <w:szCs w:val="20"/>
        </w:rPr>
        <w:t>Generally Recognized As Safe” (GRAS) by the U.S. Food and Drug Administration (FDA) since 1973(Cohen &amp; Ito, 2002).</w:t>
      </w:r>
    </w:p>
    <w:p w14:paraId="1CCCBCA4" w14:textId="77777777" w:rsidR="00E429F2" w:rsidRPr="00FF770E" w:rsidRDefault="00000000">
      <w:pPr>
        <w:pStyle w:val="Default"/>
        <w:spacing w:before="0" w:after="240"/>
        <w:jc w:val="both"/>
        <w:rPr>
          <w:rFonts w:ascii="Arial" w:eastAsia="Arial" w:hAnsi="Arial" w:cs="Arial"/>
          <w:sz w:val="20"/>
          <w:szCs w:val="20"/>
        </w:rPr>
      </w:pPr>
      <w:r w:rsidRPr="00FF770E">
        <w:rPr>
          <w:rFonts w:ascii="Arial" w:hAnsi="Arial"/>
          <w:sz w:val="20"/>
          <w:szCs w:val="20"/>
        </w:rPr>
        <w:t xml:space="preserve">Considering these favorable characteristics, carrageenan-based hydrogels incorporated with green synthesized </w:t>
      </w:r>
      <w:proofErr w:type="spellStart"/>
      <w:r w:rsidRPr="00FF770E">
        <w:rPr>
          <w:rFonts w:ascii="Arial" w:hAnsi="Arial"/>
          <w:sz w:val="20"/>
          <w:szCs w:val="20"/>
        </w:rPr>
        <w:t>AgNPs</w:t>
      </w:r>
      <w:proofErr w:type="spellEnd"/>
      <w:r w:rsidRPr="00FF770E">
        <w:rPr>
          <w:rFonts w:ascii="Arial" w:hAnsi="Arial"/>
          <w:sz w:val="20"/>
          <w:szCs w:val="20"/>
        </w:rPr>
        <w:t xml:space="preserve"> represent a promising platform for biomedical applications.(Benali et al., 2023) The integration of biocompatible hydrogels with antimicrobial nanoparticles offers opportunities to develop multifunctional materials with enhanced therapeutic efficacy and improved biological performance.</w:t>
      </w:r>
    </w:p>
    <w:p w14:paraId="756D9F57" w14:textId="77777777" w:rsidR="00E429F2" w:rsidRPr="00FF770E" w:rsidRDefault="00000000">
      <w:pPr>
        <w:pStyle w:val="Default"/>
        <w:numPr>
          <w:ilvl w:val="0"/>
          <w:numId w:val="2"/>
        </w:numPr>
        <w:spacing w:before="0"/>
        <w:jc w:val="both"/>
        <w:rPr>
          <w:rFonts w:ascii="Arial" w:hAnsi="Arial"/>
          <w:b/>
          <w:bCs/>
          <w:kern w:val="2"/>
          <w:sz w:val="22"/>
          <w:szCs w:val="22"/>
          <w:u w:color="000000"/>
          <w14:textOutline w14:w="12700" w14:cap="flat" w14:cmpd="sng" w14:algn="ctr">
            <w14:noFill/>
            <w14:prstDash w14:val="solid"/>
            <w14:miter w14:lim="400000"/>
          </w14:textOutline>
        </w:rPr>
      </w:pPr>
      <w:r w:rsidRPr="00FF770E">
        <w:rPr>
          <w:rFonts w:ascii="Arial" w:hAnsi="Arial"/>
          <w:b/>
          <w:bCs/>
          <w:kern w:val="2"/>
          <w:sz w:val="22"/>
          <w:szCs w:val="22"/>
          <w:u w:color="000000"/>
          <w14:textOutline w14:w="12700" w14:cap="flat" w14:cmpd="sng" w14:algn="ctr">
            <w14:noFill/>
            <w14:prstDash w14:val="solid"/>
            <w14:miter w14:lim="400000"/>
          </w14:textOutline>
        </w:rPr>
        <w:lastRenderedPageBreak/>
        <w:t>MATERIAL AND METHODS</w:t>
      </w:r>
    </w:p>
    <w:p w14:paraId="0986BC8D" w14:textId="77777777" w:rsidR="00E429F2" w:rsidRPr="00FF770E" w:rsidRDefault="00000000">
      <w:pPr>
        <w:pStyle w:val="Default"/>
        <w:spacing w:before="0"/>
        <w:jc w:val="both"/>
        <w:rPr>
          <w:rFonts w:ascii="Times New Roman" w:eastAsia="Times New Roman" w:hAnsi="Times New Roman" w:cs="Times New Roman"/>
          <w:b/>
          <w:bCs/>
          <w:kern w:val="2"/>
          <w:u w:color="000000"/>
          <w14:textOutline w14:w="12700" w14:cap="flat" w14:cmpd="sng" w14:algn="ctr">
            <w14:noFill/>
            <w14:prstDash w14:val="solid"/>
            <w14:miter w14:lim="400000"/>
          </w14:textOutline>
        </w:rPr>
      </w:pPr>
      <w:r w:rsidRPr="00FF770E">
        <w:rPr>
          <w:rStyle w:val="None"/>
          <w:rFonts w:ascii="Arial" w:hAnsi="Arial"/>
          <w:b/>
          <w:bCs/>
          <w:kern w:val="2"/>
          <w:sz w:val="22"/>
          <w:szCs w:val="22"/>
          <w:u w:color="000000"/>
          <w14:textOutline w14:w="12700" w14:cap="flat" w14:cmpd="sng" w14:algn="ctr">
            <w14:noFill/>
            <w14:prstDash w14:val="solid"/>
            <w14:miter w14:lim="400000"/>
          </w14:textOutline>
        </w:rPr>
        <w:t xml:space="preserve">2.1. Materials </w:t>
      </w:r>
    </w:p>
    <w:p w14:paraId="10FC2F16" w14:textId="77777777" w:rsidR="00E429F2" w:rsidRPr="00FF770E" w:rsidRDefault="00000000">
      <w:pPr>
        <w:pStyle w:val="Default"/>
        <w:spacing w:before="0" w:after="240"/>
        <w:jc w:val="both"/>
        <w:rPr>
          <w:rFonts w:ascii="Arial" w:eastAsia="Arial" w:hAnsi="Arial" w:cs="Arial"/>
          <w:sz w:val="20"/>
          <w:szCs w:val="20"/>
        </w:rPr>
      </w:pPr>
      <w:r w:rsidRPr="00FF770E">
        <w:rPr>
          <w:rStyle w:val="None"/>
          <w:rFonts w:ascii="Arial" w:hAnsi="Arial"/>
          <w:i/>
          <w:iCs/>
          <w:sz w:val="20"/>
          <w:szCs w:val="20"/>
        </w:rPr>
        <w:t>k</w:t>
      </w:r>
      <w:r w:rsidRPr="00FF770E">
        <w:rPr>
          <w:rFonts w:ascii="Arial" w:hAnsi="Arial"/>
          <w:sz w:val="20"/>
          <w:szCs w:val="20"/>
          <w:lang w:val="nl-NL"/>
        </w:rPr>
        <w:t>-carrageenan (</w:t>
      </w:r>
      <w:r w:rsidRPr="00FF770E">
        <w:rPr>
          <w:rStyle w:val="None"/>
          <w:rFonts w:ascii="Arial" w:hAnsi="Arial"/>
          <w:i/>
          <w:iCs/>
          <w:sz w:val="20"/>
          <w:szCs w:val="20"/>
        </w:rPr>
        <w:t>k</w:t>
      </w:r>
      <w:r w:rsidRPr="00FF770E">
        <w:rPr>
          <w:rFonts w:ascii="Arial" w:hAnsi="Arial"/>
          <w:sz w:val="20"/>
          <w:szCs w:val="20"/>
          <w:lang w:val="pt-PT"/>
        </w:rPr>
        <w:t>-C),</w:t>
      </w:r>
      <w:r w:rsidRPr="00FF770E">
        <w:rPr>
          <w:rFonts w:ascii="Arial" w:hAnsi="Arial"/>
          <w:sz w:val="20"/>
          <w:szCs w:val="20"/>
        </w:rPr>
        <w:t xml:space="preserve"> polyethylene glycol (PEG), KCl and</w:t>
      </w:r>
      <w:r w:rsidRPr="00FF770E">
        <w:rPr>
          <w:rFonts w:ascii="Arial" w:hAnsi="Arial"/>
          <w:sz w:val="20"/>
          <w:szCs w:val="20"/>
          <w:lang w:val="de-DE"/>
        </w:rPr>
        <w:t xml:space="preserve"> AgNO</w:t>
      </w:r>
      <w:r w:rsidRPr="00FF770E">
        <w:rPr>
          <w:rStyle w:val="None"/>
          <w:rFonts w:ascii="Arial" w:hAnsi="Arial"/>
          <w:position w:val="-6"/>
          <w:sz w:val="20"/>
          <w:szCs w:val="20"/>
        </w:rPr>
        <w:t>3</w:t>
      </w:r>
      <w:r w:rsidRPr="00FF770E">
        <w:rPr>
          <w:rFonts w:ascii="Arial" w:hAnsi="Arial"/>
          <w:sz w:val="20"/>
          <w:szCs w:val="20"/>
        </w:rPr>
        <w:t xml:space="preserve"> were utilized for hydrogel synthesis. All solutions were prepared utilizing </w:t>
      </w:r>
      <w:proofErr w:type="spellStart"/>
      <w:r w:rsidRPr="00FF770E">
        <w:rPr>
          <w:rFonts w:ascii="Arial" w:hAnsi="Arial"/>
          <w:sz w:val="20"/>
          <w:szCs w:val="20"/>
        </w:rPr>
        <w:t>MilliQ</w:t>
      </w:r>
      <w:proofErr w:type="spellEnd"/>
      <w:r w:rsidRPr="00FF770E">
        <w:rPr>
          <w:rFonts w:ascii="Arial" w:hAnsi="Arial"/>
          <w:sz w:val="20"/>
          <w:szCs w:val="20"/>
        </w:rPr>
        <w:t xml:space="preserve"> water. Distilled water was utilized for the preparation of any solutions in antifungal study. The Fungal strains of Aspergillus </w:t>
      </w:r>
      <w:proofErr w:type="spellStart"/>
      <w:r w:rsidRPr="00FF770E">
        <w:rPr>
          <w:rFonts w:ascii="Arial" w:hAnsi="Arial"/>
          <w:sz w:val="20"/>
          <w:szCs w:val="20"/>
        </w:rPr>
        <w:t>niger</w:t>
      </w:r>
      <w:proofErr w:type="spellEnd"/>
      <w:r w:rsidRPr="00FF770E">
        <w:rPr>
          <w:rFonts w:ascii="Arial" w:hAnsi="Arial"/>
          <w:sz w:val="20"/>
          <w:szCs w:val="20"/>
        </w:rPr>
        <w:t xml:space="preserve"> were obtained from the Microbiology Department of Shobhit University. These strains were then cultured in nutrient broth and incubated at 32</w:t>
      </w:r>
      <w:r w:rsidRPr="00FF770E">
        <w:rPr>
          <w:rFonts w:ascii="Arial" w:hAnsi="Arial"/>
          <w:sz w:val="20"/>
          <w:szCs w:val="20"/>
          <w:lang w:val="it-IT"/>
        </w:rPr>
        <w:t>°</w:t>
      </w:r>
      <w:r w:rsidRPr="00FF770E">
        <w:rPr>
          <w:rFonts w:ascii="Arial" w:hAnsi="Arial"/>
          <w:sz w:val="20"/>
          <w:szCs w:val="20"/>
        </w:rPr>
        <w:t>C for 24 to 42 hours. After incubation, potato dextrose agar media were prepared and poured into petri dishes for further analysis.</w:t>
      </w:r>
    </w:p>
    <w:p w14:paraId="35A72BDF" w14:textId="77777777" w:rsidR="00E429F2" w:rsidRPr="00FF770E" w:rsidRDefault="00000000">
      <w:pPr>
        <w:pStyle w:val="Default"/>
        <w:spacing w:before="0"/>
        <w:jc w:val="both"/>
        <w:rPr>
          <w:rStyle w:val="None"/>
          <w:rFonts w:ascii="Times New Roman" w:eastAsia="Times New Roman" w:hAnsi="Times New Roman" w:cs="Times New Roman"/>
          <w:b/>
          <w:bCs/>
          <w:i/>
          <w:iCs/>
          <w:kern w:val="2"/>
          <w:u w:color="000000"/>
          <w14:textOutline w14:w="12700" w14:cap="flat" w14:cmpd="sng" w14:algn="ctr">
            <w14:noFill/>
            <w14:prstDash w14:val="solid"/>
            <w14:miter w14:lim="400000"/>
          </w14:textOutline>
        </w:rPr>
      </w:pPr>
      <w:r w:rsidRPr="00FF770E">
        <w:rPr>
          <w:rStyle w:val="None"/>
          <w:rFonts w:ascii="Arial" w:hAnsi="Arial"/>
          <w:b/>
          <w:bCs/>
          <w:kern w:val="2"/>
          <w:sz w:val="22"/>
          <w:szCs w:val="22"/>
          <w:u w:color="000000"/>
          <w14:textOutline w14:w="12700" w14:cap="flat" w14:cmpd="sng" w14:algn="ctr">
            <w14:noFill/>
            <w14:prstDash w14:val="solid"/>
            <w14:miter w14:lim="400000"/>
          </w14:textOutline>
        </w:rPr>
        <w:t xml:space="preserve">2.2 </w:t>
      </w:r>
      <w:r w:rsidRPr="00FF770E">
        <w:rPr>
          <w:rFonts w:ascii="Times New Roman" w:hAnsi="Times New Roman"/>
          <w:b/>
          <w:bCs/>
          <w:kern w:val="2"/>
          <w:u w:color="000000"/>
          <w14:textOutline w14:w="12700" w14:cap="flat" w14:cmpd="sng" w14:algn="ctr">
            <w14:noFill/>
            <w14:prstDash w14:val="solid"/>
            <w14:miter w14:lim="400000"/>
          </w14:textOutline>
        </w:rPr>
        <w:t xml:space="preserve"> </w:t>
      </w:r>
      <w:r w:rsidRPr="00FF770E">
        <w:rPr>
          <w:rStyle w:val="None"/>
          <w:rFonts w:ascii="Arial" w:hAnsi="Arial"/>
          <w:b/>
          <w:bCs/>
          <w:kern w:val="2"/>
          <w:sz w:val="22"/>
          <w:szCs w:val="22"/>
          <w:u w:color="000000"/>
          <w14:textOutline w14:w="12700" w14:cap="flat" w14:cmpd="sng" w14:algn="ctr">
            <w14:noFill/>
            <w14:prstDash w14:val="solid"/>
            <w14:miter w14:lim="400000"/>
          </w14:textOutline>
        </w:rPr>
        <w:t>Experimental Section</w:t>
      </w:r>
    </w:p>
    <w:p w14:paraId="694ACB6C" w14:textId="77777777" w:rsidR="00E429F2" w:rsidRPr="00FF770E" w:rsidRDefault="00000000">
      <w:pPr>
        <w:pStyle w:val="Default"/>
        <w:spacing w:before="0"/>
        <w:jc w:val="both"/>
        <w:rPr>
          <w:rFonts w:ascii="Times New Roman" w:eastAsia="Times New Roman" w:hAnsi="Times New Roman" w:cs="Times New Roman"/>
          <w:b/>
          <w:bCs/>
          <w:kern w:val="2"/>
          <w:u w:color="000000"/>
          <w14:textOutline w14:w="12700" w14:cap="flat" w14:cmpd="sng" w14:algn="ctr">
            <w14:noFill/>
            <w14:prstDash w14:val="solid"/>
            <w14:miter w14:lim="400000"/>
          </w14:textOutline>
        </w:rPr>
      </w:pPr>
      <w:r w:rsidRPr="00FF770E">
        <w:rPr>
          <w:rStyle w:val="None"/>
          <w:rFonts w:ascii="Arial" w:hAnsi="Arial"/>
          <w:b/>
          <w:bCs/>
          <w:kern w:val="2"/>
          <w:sz w:val="20"/>
          <w:szCs w:val="20"/>
          <w:u w:val="single" w:color="000000"/>
          <w14:textOutline w14:w="12700" w14:cap="flat" w14:cmpd="sng" w14:algn="ctr">
            <w14:noFill/>
            <w14:prstDash w14:val="solid"/>
            <w14:miter w14:lim="400000"/>
          </w14:textOutline>
        </w:rPr>
        <w:t>2.2.1 Synthesis of k-C/PEG/PVP Hydrogels</w:t>
      </w:r>
      <w:r w:rsidRPr="00FF770E">
        <w:rPr>
          <w:rStyle w:val="None"/>
          <w:rFonts w:ascii="Arial" w:hAnsi="Arial"/>
          <w:b/>
          <w:bCs/>
          <w:kern w:val="2"/>
          <w:sz w:val="20"/>
          <w:szCs w:val="20"/>
          <w:u w:color="000000"/>
          <w14:textOutline w14:w="12700" w14:cap="flat" w14:cmpd="sng" w14:algn="ctr">
            <w14:noFill/>
            <w14:prstDash w14:val="solid"/>
            <w14:miter w14:lim="400000"/>
          </w14:textOutline>
        </w:rPr>
        <w:t xml:space="preserve"> </w:t>
      </w:r>
    </w:p>
    <w:p w14:paraId="756ADE06" w14:textId="77777777" w:rsidR="00E429F2" w:rsidRPr="00FF770E" w:rsidRDefault="00000000">
      <w:pPr>
        <w:pStyle w:val="Body"/>
        <w:tabs>
          <w:tab w:val="left" w:pos="709"/>
        </w:tabs>
        <w:spacing w:line="288" w:lineRule="auto"/>
        <w:jc w:val="both"/>
        <w:rPr>
          <w:rFonts w:ascii="Arial" w:eastAsia="Arial" w:hAnsi="Arial" w:cs="Arial"/>
          <w:sz w:val="20"/>
          <w:szCs w:val="20"/>
          <w:u w:color="000000"/>
        </w:rPr>
      </w:pPr>
      <w:r w:rsidRPr="00FF770E">
        <w:rPr>
          <w:rFonts w:ascii="Arial" w:hAnsi="Arial"/>
          <w:sz w:val="20"/>
          <w:szCs w:val="20"/>
          <w:u w:color="000000"/>
        </w:rPr>
        <w:t>A suitable clinically relevant tri-polymeric hydrogel system (</w:t>
      </w:r>
      <w:r w:rsidRPr="00FF770E">
        <w:rPr>
          <w:rStyle w:val="None"/>
          <w:rFonts w:ascii="Arial" w:hAnsi="Arial"/>
          <w:i/>
          <w:iCs/>
          <w:sz w:val="20"/>
          <w:szCs w:val="20"/>
          <w:u w:color="000000"/>
        </w:rPr>
        <w:t>k</w:t>
      </w:r>
      <w:r w:rsidRPr="00FF770E">
        <w:rPr>
          <w:rFonts w:ascii="Arial" w:hAnsi="Arial"/>
          <w:sz w:val="20"/>
          <w:szCs w:val="20"/>
          <w:u w:color="000000"/>
          <w:lang w:val="de-DE"/>
        </w:rPr>
        <w:t>-C</w:t>
      </w:r>
      <w:r w:rsidRPr="00FF770E">
        <w:rPr>
          <w:rFonts w:ascii="Arial" w:hAnsi="Arial"/>
          <w:sz w:val="20"/>
          <w:szCs w:val="20"/>
          <w:u w:color="000000"/>
        </w:rPr>
        <w:t>/</w:t>
      </w:r>
      <w:r w:rsidRPr="00FF770E">
        <w:rPr>
          <w:rFonts w:ascii="Arial" w:hAnsi="Arial"/>
          <w:sz w:val="20"/>
          <w:szCs w:val="20"/>
          <w:u w:color="000000"/>
          <w:lang w:val="de-DE"/>
        </w:rPr>
        <w:t>PEG</w:t>
      </w:r>
      <w:r w:rsidRPr="00FF770E">
        <w:rPr>
          <w:rFonts w:ascii="Arial" w:hAnsi="Arial"/>
          <w:sz w:val="20"/>
          <w:szCs w:val="20"/>
          <w:u w:color="000000"/>
        </w:rPr>
        <w:t xml:space="preserve">/PVP) was prepared by blending </w:t>
      </w:r>
      <w:r w:rsidRPr="00FF770E">
        <w:rPr>
          <w:rStyle w:val="None"/>
          <w:rFonts w:ascii="Arial" w:hAnsi="Arial"/>
          <w:i/>
          <w:iCs/>
          <w:sz w:val="20"/>
          <w:szCs w:val="20"/>
          <w:u w:color="000000"/>
        </w:rPr>
        <w:t>k</w:t>
      </w:r>
      <w:r w:rsidRPr="00FF770E">
        <w:rPr>
          <w:rFonts w:ascii="Arial" w:hAnsi="Arial"/>
          <w:sz w:val="20"/>
          <w:szCs w:val="20"/>
          <w:u w:color="000000"/>
          <w:lang w:val="nl-NL"/>
        </w:rPr>
        <w:t>-carrageenan (</w:t>
      </w:r>
      <w:r w:rsidRPr="00FF770E">
        <w:rPr>
          <w:rStyle w:val="None"/>
          <w:rFonts w:ascii="Arial" w:hAnsi="Arial"/>
          <w:i/>
          <w:iCs/>
          <w:sz w:val="20"/>
          <w:szCs w:val="20"/>
          <w:u w:color="000000"/>
        </w:rPr>
        <w:t>k</w:t>
      </w:r>
      <w:r w:rsidRPr="00FF770E">
        <w:rPr>
          <w:rFonts w:ascii="Arial" w:hAnsi="Arial"/>
          <w:sz w:val="20"/>
          <w:szCs w:val="20"/>
          <w:u w:color="000000"/>
          <w:lang w:val="pt-PT"/>
        </w:rPr>
        <w:t>-C)</w:t>
      </w:r>
      <w:r w:rsidRPr="00FF770E">
        <w:rPr>
          <w:rFonts w:ascii="Arial" w:hAnsi="Arial"/>
          <w:sz w:val="20"/>
          <w:szCs w:val="20"/>
          <w:u w:color="000000"/>
        </w:rPr>
        <w:t xml:space="preserve"> and polyethylene glycol (PEG) addressing its potential biomedical applications like wound healing. Prior to the hydrogel fabrication, aqueous solutions of individual polymer were prepared using distilled water. A 1.0 % (w/v) </w:t>
      </w:r>
      <w:r w:rsidRPr="00FF770E">
        <w:rPr>
          <w:rStyle w:val="None"/>
          <w:rFonts w:ascii="Arial" w:hAnsi="Arial"/>
          <w:i/>
          <w:iCs/>
          <w:sz w:val="20"/>
          <w:szCs w:val="20"/>
          <w:u w:color="000000"/>
        </w:rPr>
        <w:t>k</w:t>
      </w:r>
      <w:r w:rsidRPr="00FF770E">
        <w:rPr>
          <w:rFonts w:ascii="Arial" w:hAnsi="Arial"/>
          <w:sz w:val="20"/>
          <w:szCs w:val="20"/>
          <w:u w:color="000000"/>
          <w:lang w:val="nl-NL"/>
        </w:rPr>
        <w:t>-carrageenan (</w:t>
      </w:r>
      <w:bookmarkStart w:id="0" w:name="_Hlk213848412"/>
      <w:r w:rsidRPr="00FF770E">
        <w:rPr>
          <w:rStyle w:val="None"/>
          <w:rFonts w:ascii="Arial" w:hAnsi="Arial"/>
          <w:i/>
          <w:iCs/>
          <w:sz w:val="20"/>
          <w:szCs w:val="20"/>
          <w:u w:color="000000"/>
        </w:rPr>
        <w:t>k</w:t>
      </w:r>
      <w:bookmarkEnd w:id="0"/>
      <w:r w:rsidRPr="00FF770E">
        <w:rPr>
          <w:rFonts w:ascii="Arial" w:hAnsi="Arial"/>
          <w:sz w:val="20"/>
          <w:szCs w:val="20"/>
          <w:u w:color="000000"/>
          <w:lang w:val="pt-PT"/>
        </w:rPr>
        <w:t xml:space="preserve">-C) </w:t>
      </w:r>
      <w:r w:rsidRPr="00FF770E">
        <w:rPr>
          <w:rFonts w:ascii="Arial" w:hAnsi="Arial"/>
          <w:sz w:val="20"/>
          <w:szCs w:val="20"/>
          <w:u w:color="000000"/>
        </w:rPr>
        <w:t xml:space="preserve">, 7% (w/v) PVP, and 1.5%( w/v) PEG(Sigma, USA) was prepared by dissolving in 50 ml distilled water at 80 </w:t>
      </w:r>
      <w:r w:rsidRPr="00FF770E">
        <w:rPr>
          <w:rStyle w:val="None"/>
          <w:rFonts w:ascii="Arial" w:hAnsi="Arial"/>
          <w:sz w:val="20"/>
          <w:szCs w:val="20"/>
          <w:u w:color="000000"/>
          <w:lang w:val="it-IT"/>
        </w:rPr>
        <w:t>°</w:t>
      </w:r>
      <w:r w:rsidRPr="00FF770E">
        <w:rPr>
          <w:rFonts w:ascii="Arial" w:hAnsi="Arial"/>
          <w:sz w:val="20"/>
          <w:szCs w:val="20"/>
          <w:u w:color="000000"/>
        </w:rPr>
        <w:t xml:space="preserve">C for 30 min with gentle stirring according to (De Silva et al., 2011). These polymeric solutions were then blended at 80 </w:t>
      </w:r>
      <w:r w:rsidRPr="00FF770E">
        <w:rPr>
          <w:rStyle w:val="None"/>
          <w:rFonts w:ascii="Arial" w:hAnsi="Arial"/>
          <w:sz w:val="20"/>
          <w:szCs w:val="20"/>
          <w:u w:color="000000"/>
          <w:lang w:val="it-IT"/>
        </w:rPr>
        <w:t>°</w:t>
      </w:r>
      <w:r w:rsidRPr="00FF770E">
        <w:rPr>
          <w:rFonts w:ascii="Arial" w:hAnsi="Arial"/>
          <w:sz w:val="20"/>
          <w:szCs w:val="20"/>
          <w:u w:color="000000"/>
        </w:rPr>
        <w:t xml:space="preserve">C with vigorous stirring to ensure homogeneous mixing. The sol-gel transition occurred at temperature below 30 </w:t>
      </w:r>
      <w:r w:rsidRPr="00FF770E">
        <w:rPr>
          <w:rStyle w:val="None"/>
          <w:rFonts w:ascii="Arial" w:hAnsi="Arial"/>
          <w:sz w:val="20"/>
          <w:szCs w:val="20"/>
          <w:u w:color="000000"/>
          <w:lang w:val="it-IT"/>
        </w:rPr>
        <w:t>°</w:t>
      </w:r>
      <w:r w:rsidRPr="00FF770E">
        <w:rPr>
          <w:rFonts w:ascii="Arial" w:hAnsi="Arial"/>
          <w:sz w:val="20"/>
          <w:szCs w:val="20"/>
          <w:u w:color="000000"/>
          <w:lang w:val="it-IT"/>
        </w:rPr>
        <w:t>C.</w:t>
      </w:r>
    </w:p>
    <w:p w14:paraId="1FD48CAF" w14:textId="77777777" w:rsidR="00E429F2" w:rsidRPr="00FF770E" w:rsidRDefault="00000000">
      <w:pPr>
        <w:pStyle w:val="Default"/>
        <w:spacing w:before="0"/>
        <w:jc w:val="both"/>
        <w:rPr>
          <w:rFonts w:ascii="Times New Roman" w:eastAsia="Times New Roman" w:hAnsi="Times New Roman" w:cs="Times New Roman"/>
          <w:b/>
          <w:bCs/>
          <w:kern w:val="2"/>
          <w:u w:val="single" w:color="000000"/>
          <w14:textOutline w14:w="12700" w14:cap="flat" w14:cmpd="sng" w14:algn="ctr">
            <w14:noFill/>
            <w14:prstDash w14:val="solid"/>
            <w14:miter w14:lim="400000"/>
          </w14:textOutline>
        </w:rPr>
      </w:pPr>
      <w:r w:rsidRPr="00FF770E">
        <w:rPr>
          <w:rStyle w:val="None"/>
          <w:rFonts w:ascii="Arial" w:hAnsi="Arial"/>
          <w:b/>
          <w:bCs/>
          <w:kern w:val="2"/>
          <w:sz w:val="20"/>
          <w:szCs w:val="20"/>
          <w:u w:val="single" w:color="000000"/>
          <w14:textOutline w14:w="12700" w14:cap="flat" w14:cmpd="sng" w14:algn="ctr">
            <w14:noFill/>
            <w14:prstDash w14:val="solid"/>
            <w14:miter w14:lim="400000"/>
          </w14:textOutline>
        </w:rPr>
        <w:t>2.2.2</w:t>
      </w:r>
      <w:r w:rsidRPr="00FF770E">
        <w:rPr>
          <w:rFonts w:ascii="Times New Roman" w:hAnsi="Times New Roman"/>
          <w:b/>
          <w:bCs/>
          <w:kern w:val="2"/>
          <w:u w:val="single" w:color="000000"/>
          <w14:textOutline w14:w="12700" w14:cap="flat" w14:cmpd="sng" w14:algn="ctr">
            <w14:noFill/>
            <w14:prstDash w14:val="solid"/>
            <w14:miter w14:lim="400000"/>
          </w14:textOutline>
        </w:rPr>
        <w:t xml:space="preserve"> </w:t>
      </w:r>
      <w:r w:rsidRPr="00FF770E">
        <w:rPr>
          <w:rStyle w:val="None"/>
          <w:rFonts w:ascii="Arial" w:hAnsi="Arial"/>
          <w:b/>
          <w:bCs/>
          <w:kern w:val="2"/>
          <w:sz w:val="20"/>
          <w:szCs w:val="20"/>
          <w:u w:val="single" w:color="000000"/>
          <w14:textOutline w14:w="12700" w14:cap="flat" w14:cmpd="sng" w14:algn="ctr">
            <w14:noFill/>
            <w14:prstDash w14:val="solid"/>
            <w14:miter w14:lim="400000"/>
          </w14:textOutline>
        </w:rPr>
        <w:t xml:space="preserve"> Preparation of </w:t>
      </w:r>
      <w:proofErr w:type="spellStart"/>
      <w:r w:rsidRPr="00FF770E">
        <w:rPr>
          <w:rStyle w:val="None"/>
          <w:rFonts w:ascii="Arial" w:hAnsi="Arial"/>
          <w:b/>
          <w:bCs/>
          <w:kern w:val="2"/>
          <w:sz w:val="20"/>
          <w:szCs w:val="20"/>
          <w:u w:val="single" w:color="000000"/>
          <w14:textOutline w14:w="12700" w14:cap="flat" w14:cmpd="sng" w14:algn="ctr">
            <w14:noFill/>
            <w14:prstDash w14:val="solid"/>
            <w14:miter w14:lim="400000"/>
          </w14:textOutline>
        </w:rPr>
        <w:t>AgNPs</w:t>
      </w:r>
      <w:proofErr w:type="spellEnd"/>
      <w:r w:rsidRPr="00FF770E">
        <w:rPr>
          <w:rStyle w:val="None"/>
          <w:rFonts w:ascii="Arial" w:hAnsi="Arial"/>
          <w:b/>
          <w:bCs/>
          <w:kern w:val="2"/>
          <w:sz w:val="20"/>
          <w:szCs w:val="20"/>
          <w:u w:val="single" w:color="000000"/>
          <w14:textOutline w14:w="12700" w14:cap="flat" w14:cmpd="sng" w14:algn="ctr">
            <w14:noFill/>
            <w14:prstDash w14:val="solid"/>
            <w14:miter w14:lim="400000"/>
          </w14:textOutline>
        </w:rPr>
        <w:t xml:space="preserve"> Impregnated-Hydrogel</w:t>
      </w:r>
    </w:p>
    <w:p w14:paraId="3825DCD5" w14:textId="77777777" w:rsidR="00E429F2" w:rsidRPr="00FF770E" w:rsidRDefault="00000000">
      <w:pPr>
        <w:pStyle w:val="Default"/>
        <w:spacing w:before="0"/>
        <w:jc w:val="both"/>
        <w:rPr>
          <w:rFonts w:ascii="Arial" w:eastAsia="Arial" w:hAnsi="Arial" w:cs="Arial"/>
          <w:sz w:val="20"/>
          <w:szCs w:val="20"/>
        </w:rPr>
      </w:pPr>
      <w:r w:rsidRPr="00FF770E">
        <w:rPr>
          <w:rFonts w:ascii="Arial" w:hAnsi="Arial"/>
          <w:sz w:val="20"/>
          <w:szCs w:val="20"/>
        </w:rPr>
        <w:t xml:space="preserve">To evaluate the antifungal potential of the developed hydrogel system, </w:t>
      </w:r>
      <w:proofErr w:type="spellStart"/>
      <w:r w:rsidRPr="00FF770E">
        <w:rPr>
          <w:rFonts w:ascii="Arial" w:hAnsi="Arial"/>
          <w:sz w:val="20"/>
          <w:szCs w:val="20"/>
        </w:rPr>
        <w:t>AgNPs</w:t>
      </w:r>
      <w:proofErr w:type="spellEnd"/>
      <w:r w:rsidRPr="00FF770E">
        <w:rPr>
          <w:rFonts w:ascii="Arial" w:hAnsi="Arial"/>
          <w:sz w:val="20"/>
          <w:szCs w:val="20"/>
        </w:rPr>
        <w:t xml:space="preserve"> at an optimized concentration of 10 ppm were incorporated into the κ-carrageenan (k-C)/polyethylene glycol (PEG)/polyvinylpyrrolidone (PVP) hydrogel matrix during formulation. Briefly, 1 mL of </w:t>
      </w:r>
      <w:proofErr w:type="spellStart"/>
      <w:r w:rsidRPr="00FF770E">
        <w:rPr>
          <w:rFonts w:ascii="Arial" w:hAnsi="Arial"/>
          <w:sz w:val="20"/>
          <w:szCs w:val="20"/>
        </w:rPr>
        <w:t>AgNP</w:t>
      </w:r>
      <w:proofErr w:type="spellEnd"/>
      <w:r w:rsidRPr="00FF770E">
        <w:rPr>
          <w:rFonts w:ascii="Arial" w:hAnsi="Arial"/>
          <w:sz w:val="20"/>
          <w:szCs w:val="20"/>
        </w:rPr>
        <w:t xml:space="preserve"> suspension was mixed with 10 mL of the tri-polymeric k-C/PEG/PVP solution and poured into a Petri dish. The mixture was allowed to stand under controlled conditions until a uniform hydrogel layer with an approximate thickness of 1 mm was formed. Subsequently, the hydrogel was treated with 0.2 M potassium chloride (KCl) solution to facilitate interchain crosslinking and enhance structural stability. The crosslinked hydrogel sheets were then cut into small pieces and thoroughly washed with distilled water to remove any residual KCl. The purified and stabilized </w:t>
      </w:r>
      <w:proofErr w:type="spellStart"/>
      <w:r w:rsidRPr="00FF770E">
        <w:rPr>
          <w:rFonts w:ascii="Arial" w:hAnsi="Arial"/>
          <w:sz w:val="20"/>
          <w:szCs w:val="20"/>
        </w:rPr>
        <w:t>AgNP</w:t>
      </w:r>
      <w:proofErr w:type="spellEnd"/>
      <w:r w:rsidRPr="00FF770E">
        <w:rPr>
          <w:rFonts w:ascii="Arial" w:hAnsi="Arial"/>
          <w:sz w:val="20"/>
          <w:szCs w:val="20"/>
        </w:rPr>
        <w:t xml:space="preserve">-loaded hydrogel sheets were subsequently utilized to assess their antifungal activity against </w:t>
      </w:r>
      <w:r w:rsidRPr="00FF770E">
        <w:rPr>
          <w:rStyle w:val="None"/>
          <w:rFonts w:ascii="Arial" w:hAnsi="Arial"/>
          <w:i/>
          <w:iCs/>
          <w:sz w:val="20"/>
          <w:szCs w:val="20"/>
          <w:lang w:val="de-DE"/>
        </w:rPr>
        <w:t>Aspergillus niger</w:t>
      </w:r>
      <w:r w:rsidRPr="00FF770E">
        <w:rPr>
          <w:rFonts w:ascii="Arial" w:hAnsi="Arial"/>
          <w:sz w:val="20"/>
          <w:szCs w:val="20"/>
        </w:rPr>
        <w:t>.</w:t>
      </w:r>
    </w:p>
    <w:p w14:paraId="1F95A741" w14:textId="77777777" w:rsidR="00E429F2" w:rsidRPr="00FF770E" w:rsidRDefault="00E429F2">
      <w:pPr>
        <w:pStyle w:val="Default"/>
        <w:spacing w:before="0"/>
        <w:jc w:val="both"/>
        <w:rPr>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4B3E3437" w14:textId="77777777" w:rsidR="00E429F2" w:rsidRPr="00FF770E" w:rsidRDefault="00000000">
      <w:pPr>
        <w:pStyle w:val="Default"/>
        <w:spacing w:before="0"/>
        <w:jc w:val="both"/>
        <w:rPr>
          <w:rFonts w:ascii="Times New Roman" w:eastAsia="Times New Roman" w:hAnsi="Times New Roman" w:cs="Times New Roman"/>
          <w:b/>
          <w:bCs/>
          <w:kern w:val="2"/>
          <w:u w:val="single" w:color="000000"/>
          <w14:textOutline w14:w="12700" w14:cap="flat" w14:cmpd="sng" w14:algn="ctr">
            <w14:noFill/>
            <w14:prstDash w14:val="solid"/>
            <w14:miter w14:lim="400000"/>
          </w14:textOutline>
        </w:rPr>
      </w:pPr>
      <w:r w:rsidRPr="00FF770E">
        <w:rPr>
          <w:rStyle w:val="None"/>
          <w:rFonts w:ascii="Arial" w:hAnsi="Arial"/>
          <w:b/>
          <w:bCs/>
          <w:kern w:val="2"/>
          <w:sz w:val="20"/>
          <w:szCs w:val="20"/>
          <w:u w:val="single" w:color="000000"/>
          <w14:textOutline w14:w="12700" w14:cap="flat" w14:cmpd="sng" w14:algn="ctr">
            <w14:noFill/>
            <w14:prstDash w14:val="solid"/>
            <w14:miter w14:lim="400000"/>
          </w14:textOutline>
        </w:rPr>
        <w:t xml:space="preserve">2.2.3 Antifungal Properties of </w:t>
      </w:r>
      <w:proofErr w:type="spellStart"/>
      <w:r w:rsidRPr="00FF770E">
        <w:rPr>
          <w:rStyle w:val="None"/>
          <w:rFonts w:ascii="Arial" w:hAnsi="Arial"/>
          <w:b/>
          <w:bCs/>
          <w:kern w:val="2"/>
          <w:sz w:val="20"/>
          <w:szCs w:val="20"/>
          <w:u w:val="single" w:color="000000"/>
          <w14:textOutline w14:w="12700" w14:cap="flat" w14:cmpd="sng" w14:algn="ctr">
            <w14:noFill/>
            <w14:prstDash w14:val="solid"/>
            <w14:miter w14:lim="400000"/>
          </w14:textOutline>
        </w:rPr>
        <w:t>AgNPs</w:t>
      </w:r>
      <w:proofErr w:type="spellEnd"/>
      <w:r w:rsidRPr="00FF770E">
        <w:rPr>
          <w:rStyle w:val="None"/>
          <w:rFonts w:ascii="Arial" w:hAnsi="Arial"/>
          <w:b/>
          <w:bCs/>
          <w:kern w:val="2"/>
          <w:sz w:val="20"/>
          <w:szCs w:val="20"/>
          <w:u w:val="single" w:color="000000"/>
          <w14:textOutline w14:w="12700" w14:cap="flat" w14:cmpd="sng" w14:algn="ctr">
            <w14:noFill/>
            <w14:prstDash w14:val="solid"/>
            <w14:miter w14:lim="400000"/>
          </w14:textOutline>
        </w:rPr>
        <w:t xml:space="preserve"> Impregnated-Hydrogel</w:t>
      </w:r>
    </w:p>
    <w:p w14:paraId="2C660663" w14:textId="77777777" w:rsidR="00E429F2" w:rsidRPr="00FF770E" w:rsidRDefault="00000000">
      <w:pPr>
        <w:pStyle w:val="Default"/>
        <w:spacing w:before="0"/>
        <w:jc w:val="both"/>
        <w:rPr>
          <w:rStyle w:val="None"/>
          <w:rFonts w:ascii="Arial" w:eastAsia="Arial" w:hAnsi="Arial" w:cs="Arial"/>
          <w:b/>
          <w:bCs/>
          <w:i/>
          <w:iCs/>
          <w:sz w:val="20"/>
          <w:szCs w:val="20"/>
          <w:u w:color="000000"/>
          <w14:textOutline w14:w="12700" w14:cap="flat" w14:cmpd="sng" w14:algn="ctr">
            <w14:noFill/>
            <w14:prstDash w14:val="solid"/>
            <w14:miter w14:lim="400000"/>
          </w14:textOutline>
        </w:rPr>
      </w:pPr>
      <w:r w:rsidRPr="00FF770E">
        <w:rPr>
          <w:rStyle w:val="None"/>
          <w:rFonts w:ascii="Arial" w:hAnsi="Arial"/>
          <w:b/>
          <w:bCs/>
          <w:i/>
          <w:iCs/>
          <w:sz w:val="20"/>
          <w:szCs w:val="20"/>
          <w:u w:color="000000"/>
          <w14:textOutline w14:w="12700" w14:cap="flat" w14:cmpd="sng" w14:algn="ctr">
            <w14:noFill/>
            <w14:prstDash w14:val="solid"/>
            <w14:miter w14:lim="400000"/>
          </w14:textOutline>
        </w:rPr>
        <w:t xml:space="preserve">2.3.3.1. Antifungal activities: The Treatment Approach Using an In Vitro Model simulating Contaminated Wound </w:t>
      </w:r>
    </w:p>
    <w:p w14:paraId="610FC6B9" w14:textId="159DF7EC" w:rsidR="00E429F2" w:rsidRPr="00FF770E" w:rsidRDefault="00000000">
      <w:pPr>
        <w:pStyle w:val="Default"/>
        <w:spacing w:before="0"/>
        <w:jc w:val="both"/>
        <w:rPr>
          <w:rStyle w:val="None"/>
          <w:rFonts w:ascii="Arial" w:eastAsia="Arial" w:hAnsi="Arial" w:cs="Arial"/>
          <w:b/>
          <w:bCs/>
          <w:sz w:val="20"/>
          <w:szCs w:val="20"/>
        </w:rPr>
      </w:pPr>
      <w:r w:rsidRPr="00FF770E">
        <w:rPr>
          <w:rFonts w:ascii="Arial" w:hAnsi="Arial"/>
          <w:sz w:val="20"/>
          <w:szCs w:val="20"/>
        </w:rPr>
        <w:t xml:space="preserve">A 100 µL fungal suspension of </w:t>
      </w:r>
      <w:r w:rsidRPr="00FF770E">
        <w:rPr>
          <w:rStyle w:val="None"/>
          <w:rFonts w:ascii="Arial" w:hAnsi="Arial"/>
          <w:i/>
          <w:iCs/>
          <w:sz w:val="20"/>
          <w:szCs w:val="20"/>
          <w:lang w:val="de-DE"/>
        </w:rPr>
        <w:t>Aspergillus niger</w:t>
      </w:r>
      <w:r w:rsidRPr="00FF770E">
        <w:rPr>
          <w:rFonts w:ascii="Arial" w:hAnsi="Arial"/>
          <w:sz w:val="20"/>
          <w:szCs w:val="20"/>
        </w:rPr>
        <w:t xml:space="preserve"> was uniformly spread onto the surface of solidified nutrient agar plates and allowed to air dry for a short period under aseptic conditions. Subsequently, </w:t>
      </w:r>
      <w:proofErr w:type="spellStart"/>
      <w:r w:rsidRPr="00FF770E">
        <w:rPr>
          <w:rFonts w:ascii="Arial" w:hAnsi="Arial"/>
          <w:sz w:val="20"/>
          <w:szCs w:val="20"/>
        </w:rPr>
        <w:t>AgNP</w:t>
      </w:r>
      <w:proofErr w:type="spellEnd"/>
      <w:r w:rsidRPr="00FF770E">
        <w:rPr>
          <w:rFonts w:ascii="Arial" w:hAnsi="Arial"/>
          <w:sz w:val="20"/>
          <w:szCs w:val="20"/>
        </w:rPr>
        <w:t xml:space="preserve">-impregnated hydrogel pieces were carefully placed onto the inoculated agar surface. Hydrogel sheets without </w:t>
      </w:r>
      <w:proofErr w:type="spellStart"/>
      <w:r w:rsidRPr="00FF770E">
        <w:rPr>
          <w:rFonts w:ascii="Arial" w:hAnsi="Arial"/>
          <w:sz w:val="20"/>
          <w:szCs w:val="20"/>
        </w:rPr>
        <w:t>AgNP</w:t>
      </w:r>
      <w:proofErr w:type="spellEnd"/>
      <w:r w:rsidRPr="00FF770E">
        <w:rPr>
          <w:rFonts w:ascii="Arial" w:hAnsi="Arial"/>
          <w:sz w:val="20"/>
          <w:szCs w:val="20"/>
        </w:rPr>
        <w:t xml:space="preserve"> incorporation served as the control group (Figure </w:t>
      </w:r>
      <w:r w:rsidR="00F03029" w:rsidRPr="00FF770E">
        <w:rPr>
          <w:rFonts w:ascii="Arial" w:hAnsi="Arial"/>
          <w:sz w:val="20"/>
          <w:szCs w:val="20"/>
        </w:rPr>
        <w:t>1</w:t>
      </w:r>
      <w:r w:rsidRPr="00FF770E">
        <w:rPr>
          <w:rFonts w:ascii="Arial" w:hAnsi="Arial"/>
          <w:sz w:val="20"/>
          <w:szCs w:val="20"/>
        </w:rPr>
        <w:t xml:space="preserve">C, a). The plates were then incubated at 37 </w:t>
      </w:r>
      <w:r w:rsidRPr="00FF770E">
        <w:rPr>
          <w:rFonts w:ascii="Arial" w:hAnsi="Arial"/>
          <w:sz w:val="20"/>
          <w:szCs w:val="20"/>
          <w:lang w:val="it-IT"/>
        </w:rPr>
        <w:t>°</w:t>
      </w:r>
      <w:r w:rsidRPr="00FF770E">
        <w:rPr>
          <w:rFonts w:ascii="Arial" w:hAnsi="Arial"/>
          <w:sz w:val="20"/>
          <w:szCs w:val="20"/>
        </w:rPr>
        <w:t>C for 24–48 h, after which fungal growth and inhibition at the interface between the agar medium and the hydrogel sheets were examined and recorded.</w:t>
      </w:r>
    </w:p>
    <w:p w14:paraId="3547A157" w14:textId="77777777" w:rsidR="00E429F2" w:rsidRPr="00FF770E" w:rsidRDefault="00E429F2">
      <w:pPr>
        <w:pStyle w:val="Default"/>
        <w:spacing w:before="0"/>
        <w:jc w:val="both"/>
        <w:rPr>
          <w:rStyle w:val="None"/>
          <w:rFonts w:ascii="Times New Roman" w:eastAsia="Times New Roman" w:hAnsi="Times New Roman" w:cs="Times New Roman"/>
          <w:b/>
          <w:bCs/>
          <w:u w:color="000000"/>
          <w14:textOutline w14:w="12700" w14:cap="flat" w14:cmpd="sng" w14:algn="ctr">
            <w14:noFill/>
            <w14:prstDash w14:val="solid"/>
            <w14:miter w14:lim="400000"/>
          </w14:textOutline>
        </w:rPr>
      </w:pPr>
    </w:p>
    <w:p w14:paraId="1805634B" w14:textId="77777777" w:rsidR="00E429F2" w:rsidRPr="00FF770E" w:rsidRDefault="00000000">
      <w:pPr>
        <w:pStyle w:val="Default"/>
        <w:spacing w:before="0"/>
        <w:jc w:val="both"/>
        <w:rPr>
          <w:rStyle w:val="None"/>
          <w:rFonts w:ascii="Arial" w:eastAsia="Arial" w:hAnsi="Arial" w:cs="Arial"/>
          <w:b/>
          <w:bCs/>
          <w:i/>
          <w:iCs/>
          <w:sz w:val="20"/>
          <w:szCs w:val="20"/>
          <w:u w:color="000000"/>
          <w14:textOutline w14:w="12700" w14:cap="flat" w14:cmpd="sng" w14:algn="ctr">
            <w14:noFill/>
            <w14:prstDash w14:val="solid"/>
            <w14:miter w14:lim="400000"/>
          </w14:textOutline>
        </w:rPr>
      </w:pPr>
      <w:r w:rsidRPr="00FF770E">
        <w:rPr>
          <w:rStyle w:val="None"/>
          <w:rFonts w:ascii="Arial" w:hAnsi="Arial"/>
          <w:b/>
          <w:bCs/>
          <w:i/>
          <w:iCs/>
          <w:sz w:val="20"/>
          <w:szCs w:val="20"/>
          <w:u w:color="000000"/>
          <w14:textOutline w14:w="12700" w14:cap="flat" w14:cmpd="sng" w14:algn="ctr">
            <w14:noFill/>
            <w14:prstDash w14:val="solid"/>
            <w14:miter w14:lim="400000"/>
          </w14:textOutline>
        </w:rPr>
        <w:t>2.3.3.2. Antifungal activities: The Preventive Approach Using an In Vitro Model simulating Fresh Wound</w:t>
      </w:r>
    </w:p>
    <w:p w14:paraId="21BF022C" w14:textId="77777777" w:rsidR="00E429F2" w:rsidRPr="00FF770E" w:rsidRDefault="00000000">
      <w:pPr>
        <w:pStyle w:val="Default"/>
        <w:spacing w:before="0" w:after="240"/>
        <w:jc w:val="both"/>
        <w:rPr>
          <w:rFonts w:ascii="Arial" w:eastAsia="Arial" w:hAnsi="Arial" w:cs="Arial"/>
          <w:sz w:val="20"/>
          <w:szCs w:val="20"/>
        </w:rPr>
      </w:pPr>
      <w:r w:rsidRPr="00FF770E">
        <w:rPr>
          <w:rFonts w:ascii="Arial" w:hAnsi="Arial"/>
          <w:sz w:val="20"/>
          <w:szCs w:val="20"/>
        </w:rPr>
        <w:t xml:space="preserve">A seamless biphasic hydrogel plate was fabricated in which one half of the hydrogel contained </w:t>
      </w:r>
      <w:proofErr w:type="spellStart"/>
      <w:r w:rsidRPr="00FF770E">
        <w:rPr>
          <w:rFonts w:ascii="Arial" w:hAnsi="Arial"/>
          <w:sz w:val="20"/>
          <w:szCs w:val="20"/>
        </w:rPr>
        <w:t>AgNPs</w:t>
      </w:r>
      <w:proofErr w:type="spellEnd"/>
      <w:r w:rsidRPr="00FF770E">
        <w:rPr>
          <w:rFonts w:ascii="Arial" w:hAnsi="Arial"/>
          <w:sz w:val="20"/>
          <w:szCs w:val="20"/>
        </w:rPr>
        <w:t xml:space="preserve">, while the other half served as the control. Briefly, 2 mL of sterile nutrient broth medium (5%, w/v; Sigma, USA) was thoroughly mixed with 25 mL of the tri-polymeric κ-carrageenan (k-C)/polyethylene glycol (PEG)/polyvinylpyrrolidone (PVP) composite solution . The resulting solution was divided into two equal portions. </w:t>
      </w:r>
      <w:proofErr w:type="spellStart"/>
      <w:r w:rsidRPr="00FF770E">
        <w:rPr>
          <w:rFonts w:ascii="Arial" w:hAnsi="Arial"/>
          <w:sz w:val="20"/>
          <w:szCs w:val="20"/>
        </w:rPr>
        <w:t>AgNPs</w:t>
      </w:r>
      <w:proofErr w:type="spellEnd"/>
      <w:r w:rsidRPr="00FF770E">
        <w:rPr>
          <w:rFonts w:ascii="Arial" w:hAnsi="Arial"/>
          <w:sz w:val="20"/>
          <w:szCs w:val="20"/>
        </w:rPr>
        <w:t xml:space="preserve"> were incorporated into one portion, whereas the second portion remained nanoparticle-free and served as the control.</w:t>
      </w:r>
    </w:p>
    <w:p w14:paraId="37C3283A" w14:textId="64706B05" w:rsidR="00E429F2" w:rsidRPr="00FF770E" w:rsidRDefault="00000000">
      <w:pPr>
        <w:pStyle w:val="Default"/>
        <w:spacing w:before="0" w:after="240"/>
        <w:jc w:val="both"/>
        <w:rPr>
          <w:rFonts w:ascii="Arial" w:eastAsia="Arial" w:hAnsi="Arial" w:cs="Arial"/>
          <w:sz w:val="20"/>
          <w:szCs w:val="20"/>
        </w:rPr>
      </w:pPr>
      <w:r w:rsidRPr="00FF770E">
        <w:rPr>
          <w:rFonts w:ascii="Arial" w:hAnsi="Arial"/>
          <w:sz w:val="20"/>
          <w:szCs w:val="20"/>
        </w:rPr>
        <w:t xml:space="preserve">Both hydrogel formulations were simultaneously poured into opposite sides of a 30 mm Petri plate, allowing the two solutions to meet and form a continuous interface along the central line. The plate was then maintained at room temperature (25 </w:t>
      </w:r>
      <w:r w:rsidRPr="00FF770E">
        <w:rPr>
          <w:rFonts w:ascii="Arial" w:hAnsi="Arial"/>
          <w:sz w:val="20"/>
          <w:szCs w:val="20"/>
          <w:lang w:val="it-IT"/>
        </w:rPr>
        <w:t>°</w:t>
      </w:r>
      <w:r w:rsidRPr="00FF770E">
        <w:rPr>
          <w:rFonts w:ascii="Arial" w:hAnsi="Arial"/>
          <w:sz w:val="20"/>
          <w:szCs w:val="20"/>
        </w:rPr>
        <w:t xml:space="preserve">C) under laminar airflow conditions to facilitate the sol–gel transition. Following complete gelation, 100 µL of an </w:t>
      </w:r>
      <w:r w:rsidRPr="00FF770E">
        <w:rPr>
          <w:rStyle w:val="None"/>
          <w:rFonts w:ascii="Arial" w:hAnsi="Arial"/>
          <w:i/>
          <w:iCs/>
          <w:sz w:val="20"/>
          <w:szCs w:val="20"/>
          <w:lang w:val="de-DE"/>
        </w:rPr>
        <w:t>Aspergillus niger</w:t>
      </w:r>
      <w:r w:rsidRPr="00FF770E">
        <w:rPr>
          <w:rFonts w:ascii="Arial" w:hAnsi="Arial"/>
          <w:sz w:val="20"/>
          <w:szCs w:val="20"/>
        </w:rPr>
        <w:t xml:space="preserve"> spore suspension was uniformly spread over the hydrogel </w:t>
      </w:r>
      <w:r w:rsidRPr="00FF770E">
        <w:rPr>
          <w:rFonts w:ascii="Arial" w:hAnsi="Arial"/>
          <w:sz w:val="20"/>
          <w:szCs w:val="20"/>
        </w:rPr>
        <w:lastRenderedPageBreak/>
        <w:t xml:space="preserve">surface and incubated at 25 </w:t>
      </w:r>
      <w:r w:rsidRPr="00FF770E">
        <w:rPr>
          <w:rFonts w:ascii="Arial" w:hAnsi="Arial"/>
          <w:sz w:val="20"/>
          <w:szCs w:val="20"/>
          <w:lang w:val="it-IT"/>
        </w:rPr>
        <w:t>°</w:t>
      </w:r>
      <w:r w:rsidRPr="00FF770E">
        <w:rPr>
          <w:rFonts w:ascii="Arial" w:hAnsi="Arial"/>
          <w:sz w:val="20"/>
          <w:szCs w:val="20"/>
        </w:rPr>
        <w:t xml:space="preserve">C for 3–5 days to evaluate fungal growth and inhibition across the biphasic hydrogel system (Figure </w:t>
      </w:r>
      <w:r w:rsidR="002967D2" w:rsidRPr="00FF770E">
        <w:rPr>
          <w:rFonts w:ascii="Arial" w:hAnsi="Arial"/>
          <w:sz w:val="20"/>
          <w:szCs w:val="20"/>
        </w:rPr>
        <w:t>1</w:t>
      </w:r>
      <w:r w:rsidRPr="00FF770E">
        <w:rPr>
          <w:rFonts w:ascii="Arial" w:hAnsi="Arial"/>
          <w:sz w:val="20"/>
          <w:szCs w:val="20"/>
        </w:rPr>
        <w:t>A).</w:t>
      </w:r>
    </w:p>
    <w:p w14:paraId="54EB1588" w14:textId="77777777" w:rsidR="00E429F2" w:rsidRPr="00FF770E" w:rsidRDefault="00000000">
      <w:pPr>
        <w:pStyle w:val="Default"/>
        <w:spacing w:before="0" w:after="240"/>
        <w:jc w:val="both"/>
        <w:rPr>
          <w:rFonts w:ascii="Arial" w:eastAsia="Arial" w:hAnsi="Arial" w:cs="Arial"/>
          <w:sz w:val="20"/>
          <w:szCs w:val="20"/>
        </w:rPr>
      </w:pPr>
      <w:r w:rsidRPr="00FF770E">
        <w:rPr>
          <w:rFonts w:ascii="Arial" w:hAnsi="Arial"/>
          <w:sz w:val="20"/>
          <w:szCs w:val="20"/>
        </w:rPr>
        <w:t>All experiments described in Section 2.3 were performed in triplicate under aseptic conditions within a laminar airflow cabinet to ensure reproducibility and prevent microbial contamination.</w:t>
      </w:r>
    </w:p>
    <w:p w14:paraId="59A5E1CA" w14:textId="77777777" w:rsidR="00E429F2" w:rsidRPr="00FF770E" w:rsidRDefault="00000000">
      <w:pPr>
        <w:pStyle w:val="Default"/>
        <w:spacing w:before="0"/>
        <w:jc w:val="both"/>
        <w:rPr>
          <w:rStyle w:val="None"/>
          <w:rFonts w:ascii="Arial" w:eastAsia="Arial" w:hAnsi="Arial" w:cs="Arial"/>
          <w:b/>
          <w:bCs/>
          <w:sz w:val="22"/>
          <w:szCs w:val="22"/>
          <w:u w:color="000000"/>
          <w14:textOutline w14:w="12700" w14:cap="flat" w14:cmpd="sng" w14:algn="ctr">
            <w14:noFill/>
            <w14:prstDash w14:val="solid"/>
            <w14:miter w14:lim="400000"/>
          </w14:textOutline>
        </w:rPr>
      </w:pPr>
      <w:r w:rsidRPr="00FF770E">
        <w:rPr>
          <w:rStyle w:val="None"/>
          <w:rFonts w:ascii="Arial" w:hAnsi="Arial"/>
          <w:b/>
          <w:bCs/>
          <w:sz w:val="22"/>
          <w:szCs w:val="22"/>
          <w:u w:color="000000"/>
          <w14:textOutline w14:w="12700" w14:cap="flat" w14:cmpd="sng" w14:algn="ctr">
            <w14:noFill/>
            <w14:prstDash w14:val="solid"/>
            <w14:miter w14:lim="400000"/>
          </w14:textOutline>
        </w:rPr>
        <w:t xml:space="preserve">2.3. Statistical analysis </w:t>
      </w:r>
    </w:p>
    <w:p w14:paraId="4BD3E4FD" w14:textId="77777777" w:rsidR="00E429F2" w:rsidRPr="00FF770E" w:rsidRDefault="00000000">
      <w:pPr>
        <w:pStyle w:val="Default"/>
        <w:spacing w:before="0"/>
        <w:jc w:val="both"/>
        <w:rPr>
          <w:rStyle w:val="None"/>
          <w:rFonts w:ascii="Arial" w:eastAsia="Arial" w:hAnsi="Arial" w:cs="Arial"/>
          <w:b/>
          <w:bCs/>
          <w:sz w:val="20"/>
          <w:szCs w:val="20"/>
          <w:u w:color="000000"/>
          <w14:textOutline w14:w="12700" w14:cap="flat" w14:cmpd="sng" w14:algn="ctr">
            <w14:noFill/>
            <w14:prstDash w14:val="solid"/>
            <w14:miter w14:lim="400000"/>
          </w14:textOutline>
        </w:rPr>
      </w:pPr>
      <w:r w:rsidRPr="00FF770E">
        <w:rPr>
          <w:rFonts w:ascii="Arial" w:hAnsi="Arial"/>
          <w:sz w:val="20"/>
          <w:szCs w:val="20"/>
          <w:u w:color="000000"/>
          <w14:textOutline w14:w="12700" w14:cap="flat" w14:cmpd="sng" w14:algn="ctr">
            <w14:noFill/>
            <w14:prstDash w14:val="solid"/>
            <w14:miter w14:lim="400000"/>
          </w14:textOutline>
        </w:rPr>
        <w:t>All the experiments were performed in triplicates and results are expressed as mean ± standard deviation.</w:t>
      </w:r>
    </w:p>
    <w:p w14:paraId="1B049940" w14:textId="77777777" w:rsidR="00E429F2" w:rsidRPr="00FF770E" w:rsidRDefault="00E429F2">
      <w:pPr>
        <w:pStyle w:val="Default"/>
        <w:spacing w:before="0"/>
        <w:jc w:val="both"/>
        <w:rPr>
          <w:rStyle w:val="None"/>
          <w:rFonts w:ascii="Times New Roman" w:eastAsia="Times New Roman" w:hAnsi="Times New Roman" w:cs="Times New Roman"/>
          <w:b/>
          <w:bCs/>
          <w:u w:color="000000"/>
          <w14:textOutline w14:w="12700" w14:cap="flat" w14:cmpd="sng" w14:algn="ctr">
            <w14:noFill/>
            <w14:prstDash w14:val="solid"/>
            <w14:miter w14:lim="400000"/>
          </w14:textOutline>
        </w:rPr>
      </w:pPr>
    </w:p>
    <w:p w14:paraId="1A77EFD7" w14:textId="77777777" w:rsidR="00E429F2" w:rsidRPr="00FF770E" w:rsidRDefault="00000000">
      <w:pPr>
        <w:pStyle w:val="Default"/>
        <w:spacing w:before="0"/>
        <w:jc w:val="both"/>
        <w:rPr>
          <w:rStyle w:val="None"/>
          <w:rFonts w:ascii="Arial" w:eastAsia="Arial" w:hAnsi="Arial" w:cs="Arial"/>
          <w:i/>
          <w:iCs/>
          <w:sz w:val="22"/>
          <w:szCs w:val="22"/>
          <w:u w:color="000000"/>
          <w14:textOutline w14:w="12700" w14:cap="flat" w14:cmpd="sng" w14:algn="ctr">
            <w14:noFill/>
            <w14:prstDash w14:val="solid"/>
            <w14:miter w14:lim="400000"/>
          </w14:textOutline>
        </w:rPr>
      </w:pPr>
      <w:r w:rsidRPr="00FF770E">
        <w:rPr>
          <w:rStyle w:val="None"/>
          <w:rFonts w:ascii="Arial" w:hAnsi="Arial"/>
          <w:b/>
          <w:bCs/>
          <w:sz w:val="22"/>
          <w:szCs w:val="22"/>
          <w:u w:color="000000"/>
          <w14:textOutline w14:w="12700" w14:cap="flat" w14:cmpd="sng" w14:algn="ctr">
            <w14:noFill/>
            <w14:prstDash w14:val="solid"/>
            <w14:miter w14:lim="400000"/>
          </w14:textOutline>
        </w:rPr>
        <w:t xml:space="preserve">3. Results </w:t>
      </w:r>
    </w:p>
    <w:p w14:paraId="0638B871" w14:textId="77777777" w:rsidR="00E429F2" w:rsidRPr="00FF770E" w:rsidRDefault="00000000">
      <w:pPr>
        <w:pStyle w:val="Default"/>
        <w:spacing w:before="0"/>
        <w:jc w:val="both"/>
        <w:rPr>
          <w:rFonts w:ascii="Arial" w:eastAsia="Arial" w:hAnsi="Arial" w:cs="Arial"/>
          <w:b/>
          <w:bCs/>
          <w:sz w:val="20"/>
          <w:szCs w:val="20"/>
          <w:u w:color="000000"/>
          <w14:textOutline w14:w="12700" w14:cap="flat" w14:cmpd="sng" w14:algn="ctr">
            <w14:noFill/>
            <w14:prstDash w14:val="solid"/>
            <w14:miter w14:lim="400000"/>
          </w14:textOutline>
        </w:rPr>
      </w:pPr>
      <w:r w:rsidRPr="00FF770E">
        <w:rPr>
          <w:rFonts w:ascii="Arial" w:hAnsi="Arial"/>
          <w:b/>
          <w:bCs/>
          <w:sz w:val="20"/>
          <w:szCs w:val="20"/>
          <w:u w:color="000000"/>
          <w14:textOutline w14:w="12700" w14:cap="flat" w14:cmpd="sng" w14:algn="ctr">
            <w14:noFill/>
            <w14:prstDash w14:val="solid"/>
            <w14:miter w14:lim="400000"/>
          </w14:textOutline>
        </w:rPr>
        <w:t xml:space="preserve">3.1 Preparation of k-C-PEG Hydrogels </w:t>
      </w:r>
    </w:p>
    <w:p w14:paraId="49087668" w14:textId="1EAEE2A0" w:rsidR="00E429F2" w:rsidRPr="00FF770E" w:rsidRDefault="00000000">
      <w:pPr>
        <w:pStyle w:val="Default"/>
        <w:spacing w:before="0"/>
        <w:jc w:val="both"/>
        <w:rPr>
          <w:rStyle w:val="None"/>
          <w:rFonts w:ascii="Times New Roman" w:eastAsia="Times New Roman" w:hAnsi="Times New Roman" w:cs="Times New Roman"/>
          <w:kern w:val="2"/>
          <w:u w:color="000000"/>
        </w:rPr>
      </w:pPr>
      <w:r w:rsidRPr="00FF770E">
        <w:rPr>
          <w:rStyle w:val="None"/>
          <w:rFonts w:ascii="Arial" w:hAnsi="Arial"/>
          <w:kern w:val="2"/>
          <w:sz w:val="20"/>
          <w:szCs w:val="20"/>
          <w:u w:color="000000"/>
        </w:rPr>
        <w:t>The synthesis of the κ</w:t>
      </w:r>
      <w:r w:rsidRPr="00FF770E">
        <w:rPr>
          <w:rStyle w:val="None"/>
          <w:rFonts w:ascii="Arial" w:hAnsi="Arial"/>
          <w:kern w:val="2"/>
          <w:sz w:val="20"/>
          <w:szCs w:val="20"/>
          <w:u w:color="000000"/>
          <w:lang w:val="nl-NL"/>
        </w:rPr>
        <w:t>-carrageenan (k-C)/polyethylene glycol (PEG)</w:t>
      </w:r>
      <w:r w:rsidRPr="00FF770E">
        <w:rPr>
          <w:rStyle w:val="None"/>
          <w:rFonts w:ascii="Arial" w:hAnsi="Arial"/>
          <w:kern w:val="2"/>
          <w:sz w:val="20"/>
          <w:szCs w:val="20"/>
          <w:u w:color="000000"/>
        </w:rPr>
        <w:t>/ polyvinylpyrrolidone (PVP)  hydrogel was carried out as illustrated in Figure 1. Briefly, the PEG chains were crosslinked within the polymeric network through ionic interactions induced by potassium chloride (KCl), resulting in the formation of a stable hydrogel matrix. The successful formation of the hydrogel was evidenced by the appearance of transparent and uniform hydrogel sheets, as shown in Figure 1.</w:t>
      </w:r>
    </w:p>
    <w:p w14:paraId="64B345D3" w14:textId="26BEE30A" w:rsidR="00E429F2" w:rsidRPr="00FF770E" w:rsidRDefault="00E429F2">
      <w:pPr>
        <w:pStyle w:val="Default"/>
        <w:spacing w:before="0"/>
        <w:jc w:val="both"/>
        <w:rPr>
          <w:rStyle w:val="None"/>
          <w:rFonts w:ascii="Times New Roman" w:eastAsia="Times New Roman" w:hAnsi="Times New Roman" w:cs="Times New Roman"/>
          <w:kern w:val="2"/>
          <w:u w:color="000000"/>
        </w:rPr>
      </w:pPr>
    </w:p>
    <w:p w14:paraId="4C8AABE2" w14:textId="2B0AA40C" w:rsidR="00E429F2" w:rsidRPr="00FF770E" w:rsidRDefault="00E429F2">
      <w:pPr>
        <w:pStyle w:val="Default"/>
        <w:spacing w:before="0"/>
        <w:jc w:val="both"/>
        <w:rPr>
          <w:rStyle w:val="None"/>
          <w:rFonts w:ascii="Times New Roman" w:eastAsia="Times New Roman" w:hAnsi="Times New Roman" w:cs="Times New Roman"/>
          <w:kern w:val="2"/>
          <w:u w:color="000000"/>
        </w:rPr>
      </w:pPr>
    </w:p>
    <w:p w14:paraId="7EF0DD15" w14:textId="7C110C42" w:rsidR="00E429F2" w:rsidRPr="00FF770E" w:rsidRDefault="00E429F2">
      <w:pPr>
        <w:pStyle w:val="Default"/>
        <w:spacing w:before="0"/>
        <w:jc w:val="both"/>
        <w:rPr>
          <w:rStyle w:val="None"/>
          <w:rFonts w:ascii="Times New Roman" w:eastAsia="Times New Roman" w:hAnsi="Times New Roman" w:cs="Times New Roman"/>
          <w:b/>
          <w:bCs/>
          <w:kern w:val="2"/>
          <w:u w:color="000000"/>
        </w:rPr>
      </w:pPr>
    </w:p>
    <w:p w14:paraId="795E629D" w14:textId="14A67D7E" w:rsidR="00E429F2" w:rsidRPr="00FF770E" w:rsidRDefault="00E429F2">
      <w:pPr>
        <w:pStyle w:val="Default"/>
        <w:spacing w:before="0"/>
        <w:jc w:val="both"/>
        <w:rPr>
          <w:rStyle w:val="None"/>
          <w:rFonts w:ascii="Times New Roman" w:eastAsia="Times New Roman" w:hAnsi="Times New Roman" w:cs="Times New Roman"/>
          <w:b/>
          <w:bCs/>
          <w:kern w:val="2"/>
          <w:u w:color="000000"/>
        </w:rPr>
      </w:pPr>
    </w:p>
    <w:p w14:paraId="34FA2822" w14:textId="2ABE70AD" w:rsidR="00E429F2" w:rsidRPr="00FF770E" w:rsidRDefault="00E429F2">
      <w:pPr>
        <w:pStyle w:val="Default"/>
        <w:spacing w:before="0"/>
        <w:jc w:val="both"/>
        <w:rPr>
          <w:rStyle w:val="None"/>
          <w:rFonts w:ascii="Times New Roman" w:eastAsia="Times New Roman" w:hAnsi="Times New Roman" w:cs="Times New Roman"/>
          <w:b/>
          <w:bCs/>
          <w:kern w:val="2"/>
          <w:u w:color="000000"/>
        </w:rPr>
      </w:pPr>
    </w:p>
    <w:p w14:paraId="7BE26701" w14:textId="3638D816" w:rsidR="00E429F2" w:rsidRPr="00FF770E" w:rsidRDefault="00E34A6E">
      <w:pPr>
        <w:pStyle w:val="Default"/>
        <w:spacing w:before="0"/>
        <w:jc w:val="both"/>
        <w:rPr>
          <w:rStyle w:val="None"/>
          <w:rFonts w:ascii="Times New Roman" w:eastAsia="Times New Roman" w:hAnsi="Times New Roman" w:cs="Times New Roman"/>
          <w:b/>
          <w:bCs/>
          <w:kern w:val="2"/>
          <w:u w:color="000000"/>
        </w:rPr>
      </w:pPr>
      <w:r w:rsidRPr="00FF770E">
        <w:rPr>
          <w:rStyle w:val="None"/>
          <w:rFonts w:ascii="Times New Roman" w:eastAsia="Times New Roman" w:hAnsi="Times New Roman" w:cs="Times New Roman"/>
          <w:noProof/>
          <w:kern w:val="2"/>
          <w:u w:color="000000"/>
        </w:rPr>
        <w:drawing>
          <wp:anchor distT="152400" distB="152400" distL="152400" distR="152400" simplePos="0" relativeHeight="251660288" behindDoc="0" locked="0" layoutInCell="1" allowOverlap="1" wp14:anchorId="747E2FB9" wp14:editId="31F97E9C">
            <wp:simplePos x="0" y="0"/>
            <wp:positionH relativeFrom="margin">
              <wp:posOffset>942975</wp:posOffset>
            </wp:positionH>
            <wp:positionV relativeFrom="line">
              <wp:posOffset>45085</wp:posOffset>
            </wp:positionV>
            <wp:extent cx="4672965" cy="4181475"/>
            <wp:effectExtent l="0" t="0" r="0" b="0"/>
            <wp:wrapThrough wrapText="bothSides" distL="152400" distR="152400">
              <wp:wrapPolygon edited="1">
                <wp:start x="0" y="0"/>
                <wp:lineTo x="21600" y="0"/>
                <wp:lineTo x="21600" y="21615"/>
                <wp:lineTo x="0" y="21615"/>
                <wp:lineTo x="0" y="0"/>
              </wp:wrapPolygon>
            </wp:wrapThrough>
            <wp:docPr id="1073741825" name="officeArt object" descr="Screenshot 2026-05-30 at 11.15.53 pm.png"/>
            <wp:cNvGraphicFramePr/>
            <a:graphic xmlns:a="http://schemas.openxmlformats.org/drawingml/2006/main">
              <a:graphicData uri="http://schemas.openxmlformats.org/drawingml/2006/picture">
                <pic:pic xmlns:pic="http://schemas.openxmlformats.org/drawingml/2006/picture">
                  <pic:nvPicPr>
                    <pic:cNvPr id="1073741825" name="Screenshot 2026-05-30 at 11.15.53 pm.png" descr="Screenshot 2026-05-30 at 11.15.53 pm.png"/>
                    <pic:cNvPicPr>
                      <a:picLocks noChangeAspect="1"/>
                    </pic:cNvPicPr>
                  </pic:nvPicPr>
                  <pic:blipFill>
                    <a:blip r:embed="rId7"/>
                    <a:stretch>
                      <a:fillRect/>
                    </a:stretch>
                  </pic:blipFill>
                  <pic:spPr>
                    <a:xfrm>
                      <a:off x="0" y="0"/>
                      <a:ext cx="4672965" cy="4181475"/>
                    </a:xfrm>
                    <a:prstGeom prst="rect">
                      <a:avLst/>
                    </a:prstGeom>
                    <a:ln w="12700" cap="flat">
                      <a:noFill/>
                      <a:miter lim="400000"/>
                    </a:ln>
                    <a:effectLst/>
                  </pic:spPr>
                </pic:pic>
              </a:graphicData>
            </a:graphic>
          </wp:anchor>
        </w:drawing>
      </w:r>
    </w:p>
    <w:p w14:paraId="37969C95"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rPr>
      </w:pPr>
    </w:p>
    <w:p w14:paraId="2801C67D"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rPr>
      </w:pPr>
    </w:p>
    <w:p w14:paraId="67287263"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rPr>
      </w:pPr>
    </w:p>
    <w:p w14:paraId="15B93D06"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rPr>
      </w:pPr>
    </w:p>
    <w:p w14:paraId="7E66C8B9"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rPr>
      </w:pPr>
    </w:p>
    <w:p w14:paraId="482F4E3A"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rPr>
      </w:pPr>
    </w:p>
    <w:p w14:paraId="59D8EBFF"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rPr>
      </w:pPr>
    </w:p>
    <w:p w14:paraId="71E2892C"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rPr>
      </w:pPr>
    </w:p>
    <w:p w14:paraId="1AB560A3"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rPr>
      </w:pPr>
    </w:p>
    <w:p w14:paraId="14A9C74D" w14:textId="77777777" w:rsidR="00E34A6E" w:rsidRPr="00FF770E" w:rsidRDefault="00E34A6E">
      <w:pPr>
        <w:pStyle w:val="Default"/>
        <w:spacing w:before="0"/>
        <w:jc w:val="both"/>
        <w:rPr>
          <w:rStyle w:val="None"/>
          <w:rFonts w:ascii="Times New Roman" w:eastAsia="Times New Roman" w:hAnsi="Times New Roman" w:cs="Times New Roman"/>
          <w:b/>
          <w:bCs/>
          <w:kern w:val="2"/>
          <w:u w:color="000000"/>
        </w:rPr>
      </w:pPr>
    </w:p>
    <w:p w14:paraId="1A8F178F" w14:textId="77777777" w:rsidR="00E34A6E" w:rsidRPr="00FF770E" w:rsidRDefault="00E34A6E">
      <w:pPr>
        <w:pStyle w:val="Default"/>
        <w:spacing w:before="0"/>
        <w:jc w:val="both"/>
        <w:rPr>
          <w:rStyle w:val="None"/>
          <w:rFonts w:ascii="Times New Roman" w:eastAsia="Times New Roman" w:hAnsi="Times New Roman" w:cs="Times New Roman"/>
          <w:b/>
          <w:bCs/>
          <w:kern w:val="2"/>
          <w:u w:color="000000"/>
        </w:rPr>
      </w:pPr>
    </w:p>
    <w:p w14:paraId="32048D82" w14:textId="77777777" w:rsidR="00E34A6E" w:rsidRPr="00FF770E" w:rsidRDefault="00E34A6E">
      <w:pPr>
        <w:pStyle w:val="Default"/>
        <w:spacing w:before="0"/>
        <w:jc w:val="both"/>
        <w:rPr>
          <w:rStyle w:val="None"/>
          <w:rFonts w:ascii="Times New Roman" w:eastAsia="Times New Roman" w:hAnsi="Times New Roman" w:cs="Times New Roman"/>
          <w:b/>
          <w:bCs/>
          <w:kern w:val="2"/>
          <w:u w:color="000000"/>
        </w:rPr>
      </w:pPr>
    </w:p>
    <w:p w14:paraId="14F00CAE" w14:textId="77777777" w:rsidR="00E34A6E" w:rsidRPr="00FF770E" w:rsidRDefault="00E34A6E">
      <w:pPr>
        <w:pStyle w:val="Default"/>
        <w:spacing w:before="0"/>
        <w:jc w:val="both"/>
        <w:rPr>
          <w:rStyle w:val="None"/>
          <w:rFonts w:ascii="Times New Roman" w:eastAsia="Times New Roman" w:hAnsi="Times New Roman" w:cs="Times New Roman"/>
          <w:b/>
          <w:bCs/>
          <w:kern w:val="2"/>
          <w:u w:color="000000"/>
        </w:rPr>
      </w:pPr>
    </w:p>
    <w:p w14:paraId="3B49063C"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rPr>
      </w:pPr>
    </w:p>
    <w:p w14:paraId="7B810E66"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rPr>
      </w:pPr>
    </w:p>
    <w:p w14:paraId="211260C2"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rPr>
      </w:pPr>
    </w:p>
    <w:p w14:paraId="5916B623"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rPr>
      </w:pPr>
    </w:p>
    <w:p w14:paraId="57563761"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rPr>
      </w:pPr>
    </w:p>
    <w:p w14:paraId="062EF6BD" w14:textId="77777777" w:rsidR="00E34A6E" w:rsidRPr="00FF770E" w:rsidRDefault="00E34A6E">
      <w:pPr>
        <w:pStyle w:val="Default"/>
        <w:spacing w:before="0" w:line="360" w:lineRule="auto"/>
        <w:jc w:val="both"/>
        <w:rPr>
          <w:rStyle w:val="None"/>
          <w:rFonts w:ascii="Arial" w:hAnsi="Arial"/>
          <w:b/>
          <w:bCs/>
          <w:kern w:val="2"/>
          <w:sz w:val="22"/>
          <w:szCs w:val="22"/>
          <w:u w:color="000000"/>
          <w14:textOutline w14:w="12700" w14:cap="flat" w14:cmpd="sng" w14:algn="ctr">
            <w14:noFill/>
            <w14:prstDash w14:val="solid"/>
            <w14:miter w14:lim="400000"/>
          </w14:textOutline>
        </w:rPr>
      </w:pPr>
    </w:p>
    <w:p w14:paraId="1F774E9B" w14:textId="77777777" w:rsidR="00E34A6E" w:rsidRPr="00FF770E" w:rsidRDefault="00E34A6E">
      <w:pPr>
        <w:pStyle w:val="Default"/>
        <w:spacing w:before="0" w:line="360" w:lineRule="auto"/>
        <w:jc w:val="both"/>
        <w:rPr>
          <w:rStyle w:val="None"/>
          <w:rFonts w:ascii="Arial" w:hAnsi="Arial"/>
          <w:b/>
          <w:bCs/>
          <w:kern w:val="2"/>
          <w:sz w:val="22"/>
          <w:szCs w:val="22"/>
          <w:u w:color="000000"/>
          <w14:textOutline w14:w="12700" w14:cap="flat" w14:cmpd="sng" w14:algn="ctr">
            <w14:noFill/>
            <w14:prstDash w14:val="solid"/>
            <w14:miter w14:lim="400000"/>
          </w14:textOutline>
        </w:rPr>
      </w:pPr>
    </w:p>
    <w:p w14:paraId="4A62C844" w14:textId="77777777" w:rsidR="00E34A6E" w:rsidRPr="00FF770E" w:rsidRDefault="00E34A6E">
      <w:pPr>
        <w:pStyle w:val="Default"/>
        <w:spacing w:before="0" w:line="360" w:lineRule="auto"/>
        <w:jc w:val="both"/>
        <w:rPr>
          <w:rStyle w:val="None"/>
          <w:rFonts w:ascii="Arial" w:hAnsi="Arial"/>
          <w:b/>
          <w:bCs/>
          <w:kern w:val="2"/>
          <w:sz w:val="22"/>
          <w:szCs w:val="22"/>
          <w:u w:color="000000"/>
          <w14:textOutline w14:w="12700" w14:cap="flat" w14:cmpd="sng" w14:algn="ctr">
            <w14:noFill/>
            <w14:prstDash w14:val="solid"/>
            <w14:miter w14:lim="400000"/>
          </w14:textOutline>
        </w:rPr>
      </w:pPr>
    </w:p>
    <w:p w14:paraId="219755D6" w14:textId="3F0F55FE" w:rsidR="00E429F2" w:rsidRPr="00FF770E" w:rsidRDefault="00000000">
      <w:pPr>
        <w:pStyle w:val="Default"/>
        <w:spacing w:before="0" w:line="360" w:lineRule="auto"/>
        <w:jc w:val="both"/>
        <w:rPr>
          <w:rStyle w:val="None"/>
          <w:rFonts w:ascii="Arial" w:eastAsia="Arial" w:hAnsi="Arial" w:cs="Arial"/>
          <w:b/>
          <w:bCs/>
          <w:kern w:val="2"/>
          <w:sz w:val="22"/>
          <w:szCs w:val="22"/>
          <w:u w:color="000000"/>
          <w14:textOutline w14:w="12700" w14:cap="flat" w14:cmpd="sng" w14:algn="ctr">
            <w14:noFill/>
            <w14:prstDash w14:val="solid"/>
            <w14:miter w14:lim="400000"/>
          </w14:textOutline>
        </w:rPr>
      </w:pPr>
      <w:r w:rsidRPr="00FF770E">
        <w:rPr>
          <w:rStyle w:val="None"/>
          <w:rFonts w:ascii="Arial" w:hAnsi="Arial"/>
          <w:b/>
          <w:bCs/>
          <w:kern w:val="2"/>
          <w:sz w:val="22"/>
          <w:szCs w:val="22"/>
          <w:u w:color="000000"/>
          <w14:textOutline w14:w="12700" w14:cap="flat" w14:cmpd="sng" w14:algn="ctr">
            <w14:noFill/>
            <w14:prstDash w14:val="solid"/>
            <w14:miter w14:lim="400000"/>
          </w14:textOutline>
        </w:rPr>
        <w:t xml:space="preserve">Figure 1. Antimicrobial hydrogel preparation; (A) representing the fabrication of </w:t>
      </w:r>
      <w:proofErr w:type="spellStart"/>
      <w:r w:rsidRPr="00FF770E">
        <w:rPr>
          <w:rStyle w:val="None"/>
          <w:rFonts w:ascii="Arial" w:hAnsi="Arial"/>
          <w:b/>
          <w:bCs/>
          <w:kern w:val="2"/>
          <w:sz w:val="22"/>
          <w:szCs w:val="22"/>
          <w:u w:color="000000"/>
          <w14:textOutline w14:w="12700" w14:cap="flat" w14:cmpd="sng" w14:algn="ctr">
            <w14:noFill/>
            <w14:prstDash w14:val="solid"/>
            <w14:miter w14:lim="400000"/>
          </w14:textOutline>
        </w:rPr>
        <w:t>AgNPs</w:t>
      </w:r>
      <w:proofErr w:type="spellEnd"/>
      <w:r w:rsidRPr="00FF770E">
        <w:rPr>
          <w:rStyle w:val="None"/>
          <w:rFonts w:ascii="Arial" w:hAnsi="Arial"/>
          <w:b/>
          <w:bCs/>
          <w:kern w:val="2"/>
          <w:sz w:val="22"/>
          <w:szCs w:val="22"/>
          <w:u w:color="000000"/>
          <w14:textOutline w14:w="12700" w14:cap="flat" w14:cmpd="sng" w14:algn="ctr">
            <w14:noFill/>
            <w14:prstDash w14:val="solid"/>
            <w14:miter w14:lim="400000"/>
          </w14:textOutline>
        </w:rPr>
        <w:t xml:space="preserve">  (10 ppm) impregnated clinically relevant tri-polymeric hydrogel composed of k-carrageenan, polyethylene glycol and polyvinylpyrrolidone (PVP) (k-C-PEG-PVP), including the cross-</w:t>
      </w:r>
      <w:r w:rsidRPr="00FF770E">
        <w:rPr>
          <w:rStyle w:val="None"/>
          <w:rFonts w:ascii="Arial" w:hAnsi="Arial"/>
          <w:b/>
          <w:bCs/>
          <w:kern w:val="2"/>
          <w:sz w:val="22"/>
          <w:szCs w:val="22"/>
          <w:u w:color="000000"/>
          <w14:textOutline w14:w="12700" w14:cap="flat" w14:cmpd="sng" w14:algn="ctr">
            <w14:noFill/>
            <w14:prstDash w14:val="solid"/>
            <w14:miter w14:lim="400000"/>
          </w14:textOutline>
        </w:rPr>
        <w:lastRenderedPageBreak/>
        <w:t xml:space="preserve">linking mechanism in presence of potassium chloride (KCl) and its envisioned application for the treatment of contaminated atopic chronic wounds, (B) Images representing the impregnation of </w:t>
      </w:r>
      <w:proofErr w:type="spellStart"/>
      <w:r w:rsidRPr="00FF770E">
        <w:rPr>
          <w:rStyle w:val="None"/>
          <w:rFonts w:ascii="Arial" w:hAnsi="Arial"/>
          <w:b/>
          <w:bCs/>
          <w:kern w:val="2"/>
          <w:sz w:val="22"/>
          <w:szCs w:val="22"/>
          <w:u w:color="000000"/>
          <w14:textOutline w14:w="12700" w14:cap="flat" w14:cmpd="sng" w14:algn="ctr">
            <w14:noFill/>
            <w14:prstDash w14:val="solid"/>
            <w14:miter w14:lim="400000"/>
          </w14:textOutline>
        </w:rPr>
        <w:t>AgNPs</w:t>
      </w:r>
      <w:proofErr w:type="spellEnd"/>
      <w:r w:rsidRPr="00FF770E">
        <w:rPr>
          <w:rStyle w:val="None"/>
          <w:rFonts w:ascii="Arial" w:hAnsi="Arial"/>
          <w:b/>
          <w:bCs/>
          <w:kern w:val="2"/>
          <w:sz w:val="22"/>
          <w:szCs w:val="22"/>
          <w:u w:color="000000"/>
          <w14:textOutline w14:w="12700" w14:cap="flat" w14:cmpd="sng" w14:algn="ctr">
            <w14:noFill/>
            <w14:prstDash w14:val="solid"/>
            <w14:miter w14:lim="400000"/>
          </w14:textOutline>
        </w:rPr>
        <w:t xml:space="preserve"> into the hydrogel system. (ii) The brown-colored hydrogel blocks or sheets indicate successful incorporation of </w:t>
      </w:r>
      <w:proofErr w:type="spellStart"/>
      <w:r w:rsidRPr="00FF770E">
        <w:rPr>
          <w:rStyle w:val="None"/>
          <w:rFonts w:ascii="Arial" w:hAnsi="Arial"/>
          <w:b/>
          <w:bCs/>
          <w:kern w:val="2"/>
          <w:sz w:val="22"/>
          <w:szCs w:val="22"/>
          <w:u w:color="000000"/>
          <w14:textOutline w14:w="12700" w14:cap="flat" w14:cmpd="sng" w14:algn="ctr">
            <w14:noFill/>
            <w14:prstDash w14:val="solid"/>
            <w14:miter w14:lim="400000"/>
          </w14:textOutline>
        </w:rPr>
        <w:t>AgNPs</w:t>
      </w:r>
      <w:proofErr w:type="spellEnd"/>
      <w:r w:rsidRPr="00FF770E">
        <w:rPr>
          <w:rStyle w:val="None"/>
          <w:rFonts w:ascii="Arial" w:hAnsi="Arial"/>
          <w:b/>
          <w:bCs/>
          <w:kern w:val="2"/>
          <w:sz w:val="22"/>
          <w:szCs w:val="22"/>
          <w:u w:color="000000"/>
          <w14:textOutline w14:w="12700" w14:cap="flat" w14:cmpd="sng" w14:algn="ctr">
            <w14:noFill/>
            <w14:prstDash w14:val="solid"/>
            <w14:miter w14:lim="400000"/>
          </w14:textOutline>
        </w:rPr>
        <w:t xml:space="preserve">, (iii) whereas the transparent hydrogels serve as the control and (iv) shows  biphasic hydrogel system consisting of one half  Containing hydrogel and other half have </w:t>
      </w:r>
      <w:proofErr w:type="spellStart"/>
      <w:r w:rsidRPr="00FF770E">
        <w:rPr>
          <w:rStyle w:val="None"/>
          <w:rFonts w:ascii="Arial" w:hAnsi="Arial"/>
          <w:b/>
          <w:bCs/>
          <w:kern w:val="2"/>
          <w:sz w:val="22"/>
          <w:szCs w:val="22"/>
          <w:u w:color="000000"/>
          <w14:textOutline w14:w="12700" w14:cap="flat" w14:cmpd="sng" w14:algn="ctr">
            <w14:noFill/>
            <w14:prstDash w14:val="solid"/>
            <w14:miter w14:lim="400000"/>
          </w14:textOutline>
        </w:rPr>
        <w:t>AgNP</w:t>
      </w:r>
      <w:proofErr w:type="spellEnd"/>
      <w:r w:rsidRPr="00FF770E">
        <w:rPr>
          <w:rStyle w:val="None"/>
          <w:rFonts w:ascii="Arial" w:hAnsi="Arial"/>
          <w:b/>
          <w:bCs/>
          <w:kern w:val="2"/>
          <w:sz w:val="22"/>
          <w:szCs w:val="22"/>
          <w:u w:color="000000"/>
          <w14:textOutline w14:w="12700" w14:cap="flat" w14:cmpd="sng" w14:algn="ctr">
            <w14:noFill/>
            <w14:prstDash w14:val="solid"/>
            <w14:miter w14:lim="400000"/>
          </w14:textOutline>
        </w:rPr>
        <w:t xml:space="preserve"> incorporated hydrogel.</w:t>
      </w:r>
    </w:p>
    <w:p w14:paraId="45C4C52A"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rPr>
      </w:pPr>
    </w:p>
    <w:p w14:paraId="28CCAE9B" w14:textId="77777777" w:rsidR="00E429F2" w:rsidRPr="00FF770E" w:rsidRDefault="00000000">
      <w:pPr>
        <w:pStyle w:val="Default"/>
        <w:spacing w:before="0"/>
        <w:jc w:val="both"/>
        <w:rPr>
          <w:rStyle w:val="None"/>
          <w:rFonts w:ascii="Arial" w:eastAsia="Arial" w:hAnsi="Arial" w:cs="Arial"/>
          <w:b/>
          <w:bCs/>
          <w:sz w:val="20"/>
          <w:szCs w:val="20"/>
        </w:rPr>
      </w:pPr>
      <w:r w:rsidRPr="00FF770E">
        <w:rPr>
          <w:rFonts w:ascii="Arial" w:hAnsi="Arial"/>
          <w:b/>
          <w:bCs/>
          <w:sz w:val="20"/>
          <w:szCs w:val="20"/>
        </w:rPr>
        <w:t xml:space="preserve">3.2  Preparation of </w:t>
      </w:r>
      <w:proofErr w:type="spellStart"/>
      <w:r w:rsidRPr="00FF770E">
        <w:rPr>
          <w:rFonts w:ascii="Arial" w:hAnsi="Arial"/>
          <w:b/>
          <w:bCs/>
          <w:sz w:val="20"/>
          <w:szCs w:val="20"/>
        </w:rPr>
        <w:t>AgNPs</w:t>
      </w:r>
      <w:proofErr w:type="spellEnd"/>
      <w:r w:rsidRPr="00FF770E">
        <w:rPr>
          <w:rFonts w:ascii="Arial" w:hAnsi="Arial"/>
          <w:b/>
          <w:bCs/>
          <w:sz w:val="20"/>
          <w:szCs w:val="20"/>
        </w:rPr>
        <w:t xml:space="preserve"> Impregnated-Hydrogel</w:t>
      </w:r>
    </w:p>
    <w:p w14:paraId="4F533BB0" w14:textId="77777777" w:rsidR="00E429F2" w:rsidRPr="00FF770E" w:rsidRDefault="00000000">
      <w:pPr>
        <w:pStyle w:val="Default"/>
        <w:spacing w:before="0"/>
        <w:jc w:val="both"/>
        <w:rPr>
          <w:rStyle w:val="None"/>
          <w:rFonts w:ascii="Arial" w:eastAsia="Arial" w:hAnsi="Arial" w:cs="Arial"/>
          <w:b/>
          <w:bCs/>
          <w:color w:val="333333"/>
          <w:sz w:val="20"/>
          <w:szCs w:val="20"/>
          <w:u w:color="333333"/>
        </w:rPr>
      </w:pPr>
      <w:r w:rsidRPr="00FF770E">
        <w:rPr>
          <w:rStyle w:val="None"/>
          <w:rFonts w:ascii="Arial" w:hAnsi="Arial"/>
          <w:kern w:val="2"/>
          <w:sz w:val="20"/>
          <w:szCs w:val="20"/>
          <w:u w:color="000000"/>
        </w:rPr>
        <w:t xml:space="preserve">To assess whether the antifungal activity of </w:t>
      </w:r>
      <w:proofErr w:type="spellStart"/>
      <w:r w:rsidRPr="00FF770E">
        <w:rPr>
          <w:rStyle w:val="None"/>
          <w:rFonts w:ascii="Arial" w:hAnsi="Arial"/>
          <w:kern w:val="2"/>
          <w:sz w:val="20"/>
          <w:szCs w:val="20"/>
          <w:u w:color="000000"/>
        </w:rPr>
        <w:t>AgNPs</w:t>
      </w:r>
      <w:proofErr w:type="spellEnd"/>
      <w:r w:rsidRPr="00FF770E">
        <w:rPr>
          <w:rStyle w:val="None"/>
          <w:rFonts w:ascii="Arial" w:hAnsi="Arial"/>
          <w:kern w:val="2"/>
          <w:sz w:val="20"/>
          <w:szCs w:val="20"/>
          <w:u w:color="000000"/>
        </w:rPr>
        <w:t xml:space="preserve"> was retained after incorporation into a polymeric matrix, the nanoparticles were embedded within a clinically relevant κ</w:t>
      </w:r>
      <w:r w:rsidRPr="00FF770E">
        <w:rPr>
          <w:rStyle w:val="None"/>
          <w:rFonts w:ascii="Arial" w:hAnsi="Arial"/>
          <w:kern w:val="2"/>
          <w:sz w:val="20"/>
          <w:szCs w:val="20"/>
          <w:u w:color="000000"/>
          <w:lang w:val="nl-NL"/>
        </w:rPr>
        <w:t xml:space="preserve">-carrageenan (k-C)/polyethylene glycol (PEG)/polyvinylpyrrolidone (PVP) hydrogel system with potential applications in wound healing. For this purpose, a tri-polymeric hydrogel composed of k-C, PEG, and PVP was fabricated, and AgNPs were incorporated during the hydrogel preparation process. The resulting hydrogel was transparent and exhibited a light brown coloration, indicating the successful incorporation of AgNPs into the polymeric network (Figure </w:t>
      </w:r>
      <w:r w:rsidRPr="00FF770E">
        <w:rPr>
          <w:rStyle w:val="None"/>
          <w:rFonts w:ascii="Arial" w:hAnsi="Arial"/>
          <w:kern w:val="2"/>
          <w:sz w:val="20"/>
          <w:szCs w:val="20"/>
          <w:u w:color="000000"/>
        </w:rPr>
        <w:t xml:space="preserve">1B). The </w:t>
      </w:r>
      <w:proofErr w:type="spellStart"/>
      <w:r w:rsidRPr="00FF770E">
        <w:rPr>
          <w:rStyle w:val="None"/>
          <w:rFonts w:ascii="Arial" w:hAnsi="Arial"/>
          <w:kern w:val="2"/>
          <w:sz w:val="20"/>
          <w:szCs w:val="20"/>
          <w:u w:color="000000"/>
        </w:rPr>
        <w:t>AgNP</w:t>
      </w:r>
      <w:proofErr w:type="spellEnd"/>
      <w:r w:rsidRPr="00FF770E">
        <w:rPr>
          <w:rStyle w:val="None"/>
          <w:rFonts w:ascii="Arial" w:hAnsi="Arial"/>
          <w:kern w:val="2"/>
          <w:sz w:val="20"/>
          <w:szCs w:val="20"/>
          <w:u w:color="000000"/>
        </w:rPr>
        <w:t>-loaded hydrogel was subsequently evaluated using two different approaches to investigate its antifungal efficacy: (</w:t>
      </w:r>
      <w:proofErr w:type="spellStart"/>
      <w:r w:rsidRPr="00FF770E">
        <w:rPr>
          <w:rStyle w:val="None"/>
          <w:rFonts w:ascii="Arial" w:hAnsi="Arial"/>
          <w:kern w:val="2"/>
          <w:sz w:val="20"/>
          <w:szCs w:val="20"/>
          <w:u w:color="000000"/>
        </w:rPr>
        <w:t>i</w:t>
      </w:r>
      <w:proofErr w:type="spellEnd"/>
      <w:r w:rsidRPr="00FF770E">
        <w:rPr>
          <w:rStyle w:val="None"/>
          <w:rFonts w:ascii="Arial" w:hAnsi="Arial"/>
          <w:kern w:val="2"/>
          <w:sz w:val="20"/>
          <w:szCs w:val="20"/>
          <w:u w:color="000000"/>
        </w:rPr>
        <w:t>) treatment of contaminated wound models and (ii) prevention of fungal colonization and growth.</w:t>
      </w:r>
    </w:p>
    <w:p w14:paraId="47259E70" w14:textId="77777777" w:rsidR="00E429F2" w:rsidRPr="00FF770E" w:rsidRDefault="00E429F2">
      <w:pPr>
        <w:pStyle w:val="Default"/>
        <w:spacing w:before="0"/>
        <w:jc w:val="both"/>
        <w:rPr>
          <w:rStyle w:val="None"/>
          <w:rFonts w:ascii="Times New Roman" w:eastAsia="Times New Roman" w:hAnsi="Times New Roman" w:cs="Times New Roman"/>
          <w:b/>
          <w:bCs/>
          <w:color w:val="333333"/>
          <w:u w:color="333333"/>
          <w14:textOutline w14:w="12700" w14:cap="flat" w14:cmpd="sng" w14:algn="ctr">
            <w14:noFill/>
            <w14:prstDash w14:val="solid"/>
            <w14:miter w14:lim="400000"/>
          </w14:textOutline>
        </w:rPr>
      </w:pPr>
    </w:p>
    <w:p w14:paraId="093BFDD1" w14:textId="77777777" w:rsidR="00E429F2" w:rsidRPr="00FF770E" w:rsidRDefault="00000000">
      <w:pPr>
        <w:pStyle w:val="Default"/>
        <w:spacing w:before="0"/>
        <w:jc w:val="both"/>
        <w:rPr>
          <w:rStyle w:val="None"/>
          <w:rFonts w:ascii="Arial" w:eastAsia="Arial" w:hAnsi="Arial" w:cs="Arial"/>
          <w:b/>
          <w:bCs/>
          <w:kern w:val="2"/>
          <w:sz w:val="20"/>
          <w:szCs w:val="20"/>
          <w:u w:val="single" w:color="000000"/>
          <w14:textOutline w14:w="12700" w14:cap="flat" w14:cmpd="sng" w14:algn="ctr">
            <w14:noFill/>
            <w14:prstDash w14:val="solid"/>
            <w14:miter w14:lim="400000"/>
          </w14:textOutline>
        </w:rPr>
      </w:pPr>
      <w:r w:rsidRPr="00FF770E">
        <w:rPr>
          <w:rStyle w:val="None"/>
          <w:rFonts w:ascii="Arial" w:hAnsi="Arial"/>
          <w:b/>
          <w:bCs/>
          <w:color w:val="333333"/>
          <w:sz w:val="20"/>
          <w:szCs w:val="20"/>
          <w:u w:val="single" w:color="333333"/>
          <w14:textOutline w14:w="12700" w14:cap="flat" w14:cmpd="sng" w14:algn="ctr">
            <w14:noFill/>
            <w14:prstDash w14:val="solid"/>
            <w14:miter w14:lim="400000"/>
          </w14:textOutline>
        </w:rPr>
        <w:t xml:space="preserve">3.2.1 </w:t>
      </w:r>
      <w:bookmarkStart w:id="1" w:name="_Hlk214317782"/>
      <w:r w:rsidRPr="00FF770E">
        <w:rPr>
          <w:rStyle w:val="None"/>
          <w:rFonts w:ascii="Arial" w:hAnsi="Arial"/>
          <w:b/>
          <w:bCs/>
          <w:kern w:val="2"/>
          <w:sz w:val="20"/>
          <w:szCs w:val="20"/>
          <w:u w:val="single" w:color="000000"/>
          <w14:textOutline w14:w="12700" w14:cap="flat" w14:cmpd="sng" w14:algn="ctr">
            <w14:noFill/>
            <w14:prstDash w14:val="solid"/>
            <w14:miter w14:lim="400000"/>
          </w14:textOutline>
        </w:rPr>
        <w:t>Treatment of Contaminated Wound Approach</w:t>
      </w:r>
      <w:bookmarkEnd w:id="1"/>
    </w:p>
    <w:p w14:paraId="5D84E735" w14:textId="77777777" w:rsidR="00E429F2" w:rsidRPr="00FF770E" w:rsidRDefault="00000000">
      <w:pPr>
        <w:pStyle w:val="Default"/>
        <w:spacing w:before="0"/>
        <w:jc w:val="both"/>
        <w:rPr>
          <w:rStyle w:val="None"/>
          <w:rFonts w:ascii="Arial" w:eastAsia="Arial" w:hAnsi="Arial" w:cs="Arial"/>
          <w:kern w:val="2"/>
          <w:sz w:val="20"/>
          <w:szCs w:val="20"/>
        </w:rPr>
      </w:pPr>
      <w:r w:rsidRPr="00FF770E">
        <w:rPr>
          <w:rFonts w:ascii="Arial" w:hAnsi="Arial"/>
          <w:sz w:val="20"/>
          <w:szCs w:val="20"/>
        </w:rPr>
        <w:t xml:space="preserve">For this purpose, a uniform fungal lawn of </w:t>
      </w:r>
      <w:r w:rsidRPr="00FF770E">
        <w:rPr>
          <w:rStyle w:val="None"/>
          <w:rFonts w:ascii="Arial" w:hAnsi="Arial"/>
          <w:i/>
          <w:iCs/>
          <w:sz w:val="20"/>
          <w:szCs w:val="20"/>
          <w:lang w:val="de-DE"/>
        </w:rPr>
        <w:t>Aspergillus niger</w:t>
      </w:r>
      <w:r w:rsidRPr="00FF770E">
        <w:rPr>
          <w:rFonts w:ascii="Arial" w:hAnsi="Arial"/>
          <w:sz w:val="20"/>
          <w:szCs w:val="20"/>
        </w:rPr>
        <w:t xml:space="preserve"> was first established on the surface of solidified agar plates to simulate a contaminated wound environment. </w:t>
      </w:r>
      <w:proofErr w:type="spellStart"/>
      <w:r w:rsidRPr="00FF770E">
        <w:rPr>
          <w:rFonts w:ascii="Arial" w:hAnsi="Arial"/>
          <w:sz w:val="20"/>
          <w:szCs w:val="20"/>
        </w:rPr>
        <w:t>AgNP</w:t>
      </w:r>
      <w:proofErr w:type="spellEnd"/>
      <w:r w:rsidRPr="00FF770E">
        <w:rPr>
          <w:rFonts w:ascii="Arial" w:hAnsi="Arial"/>
          <w:sz w:val="20"/>
          <w:szCs w:val="20"/>
        </w:rPr>
        <w:t xml:space="preserve">-impregnated hydrogel sheets were then carefully placed onto the inoculated agar surface. A distinct zone of inhibition was observed at the interface between the agar medium and the </w:t>
      </w:r>
      <w:proofErr w:type="spellStart"/>
      <w:r w:rsidRPr="00FF770E">
        <w:rPr>
          <w:rFonts w:ascii="Arial" w:hAnsi="Arial"/>
          <w:sz w:val="20"/>
          <w:szCs w:val="20"/>
        </w:rPr>
        <w:t>AgNP</w:t>
      </w:r>
      <w:proofErr w:type="spellEnd"/>
      <w:r w:rsidRPr="00FF770E">
        <w:rPr>
          <w:rFonts w:ascii="Arial" w:hAnsi="Arial"/>
          <w:sz w:val="20"/>
          <w:szCs w:val="20"/>
        </w:rPr>
        <w:t xml:space="preserve">-loaded hydrogel sheets (left), indicating effective suppression of fungal growth. In contrast, substantial fungal growth was observed beneath and around the control hydrogel sheets lacking </w:t>
      </w:r>
      <w:proofErr w:type="spellStart"/>
      <w:r w:rsidRPr="00FF770E">
        <w:rPr>
          <w:rFonts w:ascii="Arial" w:hAnsi="Arial"/>
          <w:sz w:val="20"/>
          <w:szCs w:val="20"/>
        </w:rPr>
        <w:t>AgNPs</w:t>
      </w:r>
      <w:proofErr w:type="spellEnd"/>
      <w:r w:rsidRPr="00FF770E">
        <w:rPr>
          <w:rFonts w:ascii="Arial" w:hAnsi="Arial"/>
          <w:sz w:val="20"/>
          <w:szCs w:val="20"/>
        </w:rPr>
        <w:t xml:space="preserve"> (right), confirming the absence of antifungal activity in the control system (Figure 2A).</w:t>
      </w:r>
    </w:p>
    <w:p w14:paraId="4EA6C381" w14:textId="77777777" w:rsidR="00E429F2" w:rsidRPr="00FF770E" w:rsidRDefault="00000000">
      <w:pPr>
        <w:pStyle w:val="Default"/>
        <w:spacing w:before="0"/>
        <w:jc w:val="both"/>
        <w:rPr>
          <w:rStyle w:val="None"/>
          <w:rFonts w:ascii="Times New Roman" w:eastAsia="Times New Roman" w:hAnsi="Times New Roman" w:cs="Times New Roman"/>
          <w:kern w:val="2"/>
          <w:u w:color="000000"/>
          <w14:textOutline w14:w="12700" w14:cap="flat" w14:cmpd="sng" w14:algn="ctr">
            <w14:noFill/>
            <w14:prstDash w14:val="solid"/>
            <w14:miter w14:lim="400000"/>
          </w14:textOutline>
        </w:rPr>
      </w:pPr>
      <w:r w:rsidRPr="00FF770E">
        <w:rPr>
          <w:rStyle w:val="None"/>
          <w:rFonts w:ascii="Times New Roman" w:eastAsia="Times New Roman" w:hAnsi="Times New Roman" w:cs="Times New Roman"/>
          <w:noProof/>
          <w:kern w:val="2"/>
          <w:u w:color="000000"/>
          <w14:textOutline w14:w="12700" w14:cap="flat" w14:cmpd="sng" w14:algn="ctr">
            <w14:noFill/>
            <w14:prstDash w14:val="solid"/>
            <w14:miter w14:lim="400000"/>
          </w14:textOutline>
        </w:rPr>
        <w:lastRenderedPageBreak/>
        <w:drawing>
          <wp:anchor distT="152400" distB="152400" distL="152400" distR="152400" simplePos="0" relativeHeight="251659264" behindDoc="0" locked="0" layoutInCell="1" allowOverlap="1" wp14:anchorId="35F58060" wp14:editId="264AC256">
            <wp:simplePos x="0" y="0"/>
            <wp:positionH relativeFrom="margin">
              <wp:posOffset>399479</wp:posOffset>
            </wp:positionH>
            <wp:positionV relativeFrom="line">
              <wp:posOffset>365664</wp:posOffset>
            </wp:positionV>
            <wp:extent cx="4579624" cy="4330649"/>
            <wp:effectExtent l="0" t="0" r="0" b="0"/>
            <wp:wrapThrough wrapText="bothSides" distL="152400" distR="152400">
              <wp:wrapPolygon edited="1">
                <wp:start x="0" y="0"/>
                <wp:lineTo x="21600" y="0"/>
                <wp:lineTo x="21600" y="21615"/>
                <wp:lineTo x="0" y="21615"/>
                <wp:lineTo x="0" y="0"/>
              </wp:wrapPolygon>
            </wp:wrapThrough>
            <wp:docPr id="1073741826" name="officeArt object" descr="Screenshot 2026-05-30 at 11.16.38 pm.png"/>
            <wp:cNvGraphicFramePr/>
            <a:graphic xmlns:a="http://schemas.openxmlformats.org/drawingml/2006/main">
              <a:graphicData uri="http://schemas.openxmlformats.org/drawingml/2006/picture">
                <pic:pic xmlns:pic="http://schemas.openxmlformats.org/drawingml/2006/picture">
                  <pic:nvPicPr>
                    <pic:cNvPr id="1073741826" name="Screenshot 2026-05-30 at 11.16.38 pm.png" descr="Screenshot 2026-05-30 at 11.16.38 pm.png"/>
                    <pic:cNvPicPr>
                      <a:picLocks noChangeAspect="1"/>
                    </pic:cNvPicPr>
                  </pic:nvPicPr>
                  <pic:blipFill>
                    <a:blip r:embed="rId8"/>
                    <a:stretch>
                      <a:fillRect/>
                    </a:stretch>
                  </pic:blipFill>
                  <pic:spPr>
                    <a:xfrm>
                      <a:off x="0" y="0"/>
                      <a:ext cx="4579624" cy="4330649"/>
                    </a:xfrm>
                    <a:prstGeom prst="rect">
                      <a:avLst/>
                    </a:prstGeom>
                    <a:ln w="12700" cap="flat">
                      <a:noFill/>
                      <a:miter lim="400000"/>
                    </a:ln>
                    <a:effectLst/>
                  </pic:spPr>
                </pic:pic>
              </a:graphicData>
            </a:graphic>
          </wp:anchor>
        </w:drawing>
      </w:r>
    </w:p>
    <w:p w14:paraId="6EA7113D"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1A4D4826"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21D59E5E"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1B293758"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173CF17B"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1808AC3D"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1FC46E9D"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4DD43754"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615B777E"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0D03FEC8"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6D52089C"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7F212D39"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36D0DAEB"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056B42EA"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7EF2C0CE"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41DB88B6"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1E187AEC"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2C306A2E"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58663443"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63EFC81A"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00DC7E84" w14:textId="77777777" w:rsidR="00E429F2" w:rsidRPr="00FF770E" w:rsidRDefault="00E429F2">
      <w:pPr>
        <w:pStyle w:val="Default"/>
        <w:spacing w:before="0" w:line="360" w:lineRule="auto"/>
        <w:jc w:val="both"/>
        <w:rPr>
          <w:rStyle w:val="None"/>
          <w:kern w:val="2"/>
          <w:u w:color="000000"/>
          <w14:textOutline w14:w="12700" w14:cap="flat" w14:cmpd="sng" w14:algn="ctr">
            <w14:noFill/>
            <w14:prstDash w14:val="solid"/>
            <w14:miter w14:lim="400000"/>
          </w14:textOutline>
        </w:rPr>
      </w:pPr>
    </w:p>
    <w:p w14:paraId="6A89B7CC" w14:textId="77777777" w:rsidR="00E34A6E" w:rsidRPr="00FF770E" w:rsidRDefault="00E34A6E">
      <w:pPr>
        <w:pStyle w:val="Default"/>
        <w:spacing w:before="0" w:line="360" w:lineRule="auto"/>
        <w:jc w:val="both"/>
        <w:rPr>
          <w:rStyle w:val="None"/>
          <w:rFonts w:ascii="Arial" w:hAnsi="Arial"/>
          <w:b/>
          <w:bCs/>
          <w:kern w:val="2"/>
          <w:sz w:val="22"/>
          <w:szCs w:val="22"/>
          <w:u w:color="000000"/>
          <w14:textOutline w14:w="12700" w14:cap="flat" w14:cmpd="sng" w14:algn="ctr">
            <w14:noFill/>
            <w14:prstDash w14:val="solid"/>
            <w14:miter w14:lim="400000"/>
          </w14:textOutline>
        </w:rPr>
      </w:pPr>
    </w:p>
    <w:p w14:paraId="25EE451A" w14:textId="4AA9AE1F" w:rsidR="00E429F2" w:rsidRPr="00FF770E" w:rsidRDefault="00000000">
      <w:pPr>
        <w:pStyle w:val="Default"/>
        <w:spacing w:before="0" w:line="360" w:lineRule="auto"/>
        <w:jc w:val="both"/>
        <w:rPr>
          <w:rStyle w:val="None"/>
          <w:rFonts w:ascii="Times New Roman" w:eastAsia="Times New Roman" w:hAnsi="Times New Roman" w:cs="Times New Roman"/>
          <w:b/>
          <w:bCs/>
          <w:kern w:val="2"/>
          <w:sz w:val="22"/>
          <w:szCs w:val="22"/>
          <w:u w:color="000000"/>
          <w14:textOutline w14:w="12700" w14:cap="flat" w14:cmpd="sng" w14:algn="ctr">
            <w14:noFill/>
            <w14:prstDash w14:val="solid"/>
            <w14:miter w14:lim="400000"/>
          </w14:textOutline>
        </w:rPr>
      </w:pPr>
      <w:r w:rsidRPr="00FF770E">
        <w:rPr>
          <w:rStyle w:val="None"/>
          <w:rFonts w:ascii="Arial" w:hAnsi="Arial"/>
          <w:b/>
          <w:bCs/>
          <w:kern w:val="2"/>
          <w:sz w:val="22"/>
          <w:szCs w:val="22"/>
          <w:u w:color="000000"/>
          <w14:textOutline w14:w="12700" w14:cap="flat" w14:cmpd="sng" w14:algn="ctr">
            <w14:noFill/>
            <w14:prstDash w14:val="solid"/>
            <w14:miter w14:lim="400000"/>
          </w14:textOutline>
        </w:rPr>
        <w:t xml:space="preserve">Figure 2. </w:t>
      </w:r>
      <w:r w:rsidRPr="00FF770E">
        <w:rPr>
          <w:rFonts w:ascii="Arial" w:hAnsi="Arial"/>
          <w:b/>
          <w:bCs/>
          <w:sz w:val="22"/>
          <w:szCs w:val="22"/>
          <w:u w:color="000000"/>
          <w14:textOutline w14:w="12700" w14:cap="flat" w14:cmpd="sng" w14:algn="ctr">
            <w14:noFill/>
            <w14:prstDash w14:val="solid"/>
            <w14:miter w14:lim="400000"/>
          </w14:textOutline>
        </w:rPr>
        <w:t xml:space="preserve">Evaluation of the Antifungal Activity of </w:t>
      </w:r>
      <w:proofErr w:type="spellStart"/>
      <w:r w:rsidRPr="00FF770E">
        <w:rPr>
          <w:rFonts w:ascii="Arial" w:hAnsi="Arial"/>
          <w:b/>
          <w:bCs/>
          <w:sz w:val="22"/>
          <w:szCs w:val="22"/>
          <w:u w:color="000000"/>
          <w14:textOutline w14:w="12700" w14:cap="flat" w14:cmpd="sng" w14:algn="ctr">
            <w14:noFill/>
            <w14:prstDash w14:val="solid"/>
            <w14:miter w14:lim="400000"/>
          </w14:textOutline>
        </w:rPr>
        <w:t>AgNP</w:t>
      </w:r>
      <w:proofErr w:type="spellEnd"/>
      <w:r w:rsidRPr="00FF770E">
        <w:rPr>
          <w:rFonts w:ascii="Arial" w:hAnsi="Arial"/>
          <w:b/>
          <w:bCs/>
          <w:sz w:val="22"/>
          <w:szCs w:val="22"/>
          <w:u w:color="000000"/>
          <w14:textOutline w14:w="12700" w14:cap="flat" w14:cmpd="sng" w14:algn="ctr">
            <w14:noFill/>
            <w14:prstDash w14:val="solid"/>
            <w14:miter w14:lim="400000"/>
          </w14:textOutline>
        </w:rPr>
        <w:t>-Loaded Hydrogels Using Therapeutic and Preventive Models.</w:t>
      </w:r>
      <w:r w:rsidRPr="00FF770E">
        <w:rPr>
          <w:rStyle w:val="None"/>
          <w:rFonts w:ascii="Arial" w:hAnsi="Arial"/>
          <w:b/>
          <w:bCs/>
          <w:kern w:val="2"/>
          <w:sz w:val="22"/>
          <w:szCs w:val="22"/>
          <w:u w:color="000000"/>
          <w14:textOutline w14:w="12700" w14:cap="flat" w14:cmpd="sng" w14:algn="ctr">
            <w14:noFill/>
            <w14:prstDash w14:val="solid"/>
            <w14:miter w14:lim="400000"/>
          </w14:textOutline>
        </w:rPr>
        <w:t xml:space="preserve"> (A) Treatment of contaminated wound approach; representation of a simulated contaminated wound, where an agar plate with bacteria spread onto its surface acts as a contaminated wound bed, and the application of </w:t>
      </w:r>
      <w:proofErr w:type="spellStart"/>
      <w:r w:rsidRPr="00FF770E">
        <w:rPr>
          <w:rStyle w:val="None"/>
          <w:rFonts w:ascii="Arial" w:hAnsi="Arial"/>
          <w:b/>
          <w:bCs/>
          <w:kern w:val="2"/>
          <w:sz w:val="22"/>
          <w:szCs w:val="22"/>
          <w:u w:color="000000"/>
          <w14:textOutline w14:w="12700" w14:cap="flat" w14:cmpd="sng" w14:algn="ctr">
            <w14:noFill/>
            <w14:prstDash w14:val="solid"/>
            <w14:miter w14:lim="400000"/>
          </w14:textOutline>
        </w:rPr>
        <w:t>AgNP</w:t>
      </w:r>
      <w:proofErr w:type="spellEnd"/>
      <w:r w:rsidRPr="00FF770E">
        <w:rPr>
          <w:rStyle w:val="None"/>
          <w:rFonts w:ascii="Arial" w:hAnsi="Arial"/>
          <w:b/>
          <w:bCs/>
          <w:kern w:val="2"/>
          <w:sz w:val="22"/>
          <w:szCs w:val="22"/>
          <w:u w:color="000000"/>
          <w14:textOutline w14:w="12700" w14:cap="flat" w14:cmpd="sng" w14:algn="ctr">
            <w14:noFill/>
            <w14:prstDash w14:val="solid"/>
            <w14:miter w14:lim="400000"/>
          </w14:textOutline>
        </w:rPr>
        <w:t xml:space="preserve">-impregnated hydrogel represents the treatment, and image showing successful killing of A. Niger following the treatment with </w:t>
      </w:r>
      <w:proofErr w:type="spellStart"/>
      <w:r w:rsidRPr="00FF770E">
        <w:rPr>
          <w:rStyle w:val="None"/>
          <w:rFonts w:ascii="Arial" w:hAnsi="Arial"/>
          <w:b/>
          <w:bCs/>
          <w:kern w:val="2"/>
          <w:sz w:val="22"/>
          <w:szCs w:val="22"/>
          <w:u w:color="000000"/>
          <w14:textOutline w14:w="12700" w14:cap="flat" w14:cmpd="sng" w14:algn="ctr">
            <w14:noFill/>
            <w14:prstDash w14:val="solid"/>
            <w14:miter w14:lim="400000"/>
          </w14:textOutline>
        </w:rPr>
        <w:t>AgNPs</w:t>
      </w:r>
      <w:proofErr w:type="spellEnd"/>
      <w:r w:rsidRPr="00FF770E">
        <w:rPr>
          <w:rStyle w:val="None"/>
          <w:rFonts w:ascii="Arial" w:hAnsi="Arial"/>
          <w:b/>
          <w:bCs/>
          <w:kern w:val="2"/>
          <w:sz w:val="22"/>
          <w:szCs w:val="22"/>
          <w:u w:color="000000"/>
          <w14:textOutline w14:w="12700" w14:cap="flat" w14:cmpd="sng" w14:algn="ctr">
            <w14:noFill/>
            <w14:prstDash w14:val="solid"/>
            <w14:miter w14:lim="400000"/>
          </w14:textOutline>
        </w:rPr>
        <w:t xml:space="preserve"> impregnated hydrogel system. (B) The Preventive Approach; representing the preparation of a seamless biphasic hydrogel plate, where one half contains </w:t>
      </w:r>
      <w:proofErr w:type="spellStart"/>
      <w:r w:rsidRPr="00FF770E">
        <w:rPr>
          <w:rStyle w:val="None"/>
          <w:rFonts w:ascii="Arial" w:hAnsi="Arial"/>
          <w:b/>
          <w:bCs/>
          <w:kern w:val="2"/>
          <w:sz w:val="22"/>
          <w:szCs w:val="22"/>
          <w:u w:color="000000"/>
          <w14:textOutline w14:w="12700" w14:cap="flat" w14:cmpd="sng" w14:algn="ctr">
            <w14:noFill/>
            <w14:prstDash w14:val="solid"/>
            <w14:miter w14:lim="400000"/>
          </w14:textOutline>
        </w:rPr>
        <w:t>AgNPs</w:t>
      </w:r>
      <w:proofErr w:type="spellEnd"/>
      <w:r w:rsidRPr="00FF770E">
        <w:rPr>
          <w:rStyle w:val="None"/>
          <w:rFonts w:ascii="Arial" w:hAnsi="Arial"/>
          <w:b/>
          <w:bCs/>
          <w:kern w:val="2"/>
          <w:sz w:val="22"/>
          <w:szCs w:val="22"/>
          <w:u w:color="000000"/>
          <w14:textOutline w14:w="12700" w14:cap="flat" w14:cmpd="sng" w14:algn="ctr">
            <w14:noFill/>
            <w14:prstDash w14:val="solid"/>
            <w14:miter w14:lim="400000"/>
          </w14:textOutline>
        </w:rPr>
        <w:t xml:space="preserve">, simulating a fresh wound bed protected by the antimicrobial hydrogel layer, and figure showing the biphasic hydrogel </w:t>
      </w:r>
      <w:r w:rsidRPr="00FF770E">
        <w:rPr>
          <w:rFonts w:ascii="Arial" w:hAnsi="Arial"/>
          <w:b/>
          <w:bCs/>
          <w:sz w:val="22"/>
          <w:szCs w:val="22"/>
          <w:u w:color="000000"/>
          <w14:textOutline w14:w="12700" w14:cap="flat" w14:cmpd="sng" w14:algn="ctr">
            <w14:noFill/>
            <w14:prstDash w14:val="solid"/>
            <w14:miter w14:lim="400000"/>
          </w14:textOutline>
        </w:rPr>
        <w:t xml:space="preserve">(a) the biphasic hydrogel plate, where the </w:t>
      </w:r>
      <w:proofErr w:type="spellStart"/>
      <w:r w:rsidRPr="00FF770E">
        <w:rPr>
          <w:rFonts w:ascii="Arial" w:hAnsi="Arial"/>
          <w:b/>
          <w:bCs/>
          <w:sz w:val="22"/>
          <w:szCs w:val="22"/>
          <w:u w:color="000000"/>
          <w14:textOutline w14:w="12700" w14:cap="flat" w14:cmpd="sng" w14:algn="ctr">
            <w14:noFill/>
            <w14:prstDash w14:val="solid"/>
            <w14:miter w14:lim="400000"/>
          </w14:textOutline>
        </w:rPr>
        <w:t>AgNP</w:t>
      </w:r>
      <w:proofErr w:type="spellEnd"/>
      <w:r w:rsidRPr="00FF770E">
        <w:rPr>
          <w:rFonts w:ascii="Arial" w:hAnsi="Arial"/>
          <w:b/>
          <w:bCs/>
          <w:sz w:val="22"/>
          <w:szCs w:val="22"/>
          <w:u w:color="000000"/>
          <w14:textOutline w14:w="12700" w14:cap="flat" w14:cmpd="sng" w14:algn="ctr">
            <w14:noFill/>
            <w14:prstDash w14:val="solid"/>
            <w14:miter w14:lim="400000"/>
          </w14:textOutline>
        </w:rPr>
        <w:t xml:space="preserve">-containing region (left) exhibits a characteristic brown coloration, indicating successful nanoparticle incorporation, and (b) fungal growth occurring exclusively on the control region (right), whereas no fungal colonization is observed on the </w:t>
      </w:r>
      <w:proofErr w:type="spellStart"/>
      <w:r w:rsidRPr="00FF770E">
        <w:rPr>
          <w:rFonts w:ascii="Arial" w:hAnsi="Arial"/>
          <w:b/>
          <w:bCs/>
          <w:sz w:val="22"/>
          <w:szCs w:val="22"/>
          <w:u w:color="000000"/>
          <w14:textOutline w14:w="12700" w14:cap="flat" w14:cmpd="sng" w14:algn="ctr">
            <w14:noFill/>
            <w14:prstDash w14:val="solid"/>
            <w14:miter w14:lim="400000"/>
          </w14:textOutline>
        </w:rPr>
        <w:t>AgNP</w:t>
      </w:r>
      <w:proofErr w:type="spellEnd"/>
      <w:r w:rsidRPr="00FF770E">
        <w:rPr>
          <w:rFonts w:ascii="Arial" w:hAnsi="Arial"/>
          <w:b/>
          <w:bCs/>
          <w:sz w:val="22"/>
          <w:szCs w:val="22"/>
          <w:u w:color="000000"/>
          <w14:textOutline w14:w="12700" w14:cap="flat" w14:cmpd="sng" w14:algn="ctr">
            <w14:noFill/>
            <w14:prstDash w14:val="solid"/>
            <w14:miter w14:lim="400000"/>
          </w14:textOutline>
        </w:rPr>
        <w:t>-loaded hydrogel, confirming its preventive antifungal efficacy.</w:t>
      </w:r>
    </w:p>
    <w:p w14:paraId="40DDC44C" w14:textId="77777777" w:rsidR="00E429F2" w:rsidRPr="00FF770E" w:rsidRDefault="00E429F2">
      <w:pPr>
        <w:pStyle w:val="Default"/>
        <w:spacing w:before="0"/>
        <w:jc w:val="both"/>
        <w:rPr>
          <w:rStyle w:val="None"/>
          <w:rFonts w:ascii="Times New Roman" w:eastAsia="Times New Roman" w:hAnsi="Times New Roman" w:cs="Times New Roman"/>
          <w:b/>
          <w:bCs/>
          <w:kern w:val="2"/>
          <w:u w:color="000000"/>
          <w14:textOutline w14:w="12700" w14:cap="flat" w14:cmpd="sng" w14:algn="ctr">
            <w14:noFill/>
            <w14:prstDash w14:val="solid"/>
            <w14:miter w14:lim="400000"/>
          </w14:textOutline>
        </w:rPr>
      </w:pPr>
    </w:p>
    <w:p w14:paraId="16C07263" w14:textId="77777777" w:rsidR="00E429F2" w:rsidRPr="00FF770E" w:rsidRDefault="00000000">
      <w:pPr>
        <w:pStyle w:val="Default"/>
        <w:spacing w:before="0"/>
        <w:jc w:val="both"/>
        <w:rPr>
          <w:rFonts w:ascii="Arial" w:eastAsia="Arial" w:hAnsi="Arial" w:cs="Arial"/>
          <w:b/>
          <w:bCs/>
          <w:sz w:val="20"/>
          <w:szCs w:val="20"/>
          <w:u w:val="single" w:color="000000"/>
          <w14:textOutline w14:w="12700" w14:cap="flat" w14:cmpd="sng" w14:algn="ctr">
            <w14:noFill/>
            <w14:prstDash w14:val="solid"/>
            <w14:miter w14:lim="400000"/>
          </w14:textOutline>
        </w:rPr>
      </w:pPr>
      <w:r w:rsidRPr="00FF770E">
        <w:rPr>
          <w:rStyle w:val="None"/>
          <w:rFonts w:ascii="Arial" w:hAnsi="Arial"/>
          <w:b/>
          <w:bCs/>
          <w:kern w:val="2"/>
          <w:sz w:val="20"/>
          <w:szCs w:val="20"/>
          <w:u w:val="single" w:color="000000"/>
          <w14:textOutline w14:w="12700" w14:cap="flat" w14:cmpd="sng" w14:algn="ctr">
            <w14:noFill/>
            <w14:prstDash w14:val="solid"/>
            <w14:miter w14:lim="400000"/>
          </w14:textOutline>
        </w:rPr>
        <w:t xml:space="preserve">3.2.2 </w:t>
      </w:r>
      <w:r w:rsidRPr="00FF770E">
        <w:rPr>
          <w:rFonts w:ascii="Arial" w:hAnsi="Arial"/>
          <w:b/>
          <w:bCs/>
          <w:sz w:val="20"/>
          <w:szCs w:val="20"/>
          <w:u w:val="single" w:color="000000"/>
          <w14:textOutline w14:w="12700" w14:cap="flat" w14:cmpd="sng" w14:algn="ctr">
            <w14:noFill/>
            <w14:prstDash w14:val="solid"/>
            <w14:miter w14:lim="400000"/>
          </w14:textOutline>
        </w:rPr>
        <w:t>The Preventive Approach</w:t>
      </w:r>
    </w:p>
    <w:p w14:paraId="6FF108CB" w14:textId="77777777" w:rsidR="00E429F2" w:rsidRPr="00FF770E" w:rsidRDefault="00000000">
      <w:pPr>
        <w:pStyle w:val="Default"/>
        <w:spacing w:before="0"/>
        <w:jc w:val="both"/>
        <w:rPr>
          <w:rStyle w:val="None"/>
          <w:rFonts w:ascii="Arial" w:eastAsia="Arial" w:hAnsi="Arial" w:cs="Arial"/>
          <w:kern w:val="2"/>
          <w:sz w:val="20"/>
          <w:szCs w:val="20"/>
        </w:rPr>
      </w:pPr>
      <w:r w:rsidRPr="00FF770E">
        <w:rPr>
          <w:rFonts w:ascii="Arial" w:hAnsi="Arial"/>
          <w:sz w:val="20"/>
          <w:szCs w:val="20"/>
        </w:rPr>
        <w:t xml:space="preserve">To simulate a freshly formed wound susceptible to microbial contamination, a seamless biphasic nutrient-rich hydrogel plate was fabricated, with one half (50%) impregnated with </w:t>
      </w:r>
      <w:proofErr w:type="spellStart"/>
      <w:r w:rsidRPr="00FF770E">
        <w:rPr>
          <w:rFonts w:ascii="Arial" w:hAnsi="Arial"/>
          <w:sz w:val="20"/>
          <w:szCs w:val="20"/>
        </w:rPr>
        <w:t>AgNPs</w:t>
      </w:r>
      <w:proofErr w:type="spellEnd"/>
      <w:r w:rsidRPr="00FF770E">
        <w:rPr>
          <w:rFonts w:ascii="Arial" w:hAnsi="Arial"/>
          <w:sz w:val="20"/>
          <w:szCs w:val="20"/>
        </w:rPr>
        <w:t xml:space="preserve"> and the other half serving as the control. A suspension of </w:t>
      </w:r>
      <w:r w:rsidRPr="00FF770E">
        <w:rPr>
          <w:rStyle w:val="None"/>
          <w:rFonts w:ascii="Arial" w:hAnsi="Arial"/>
          <w:i/>
          <w:iCs/>
          <w:sz w:val="20"/>
          <w:szCs w:val="20"/>
          <w:lang w:val="de-DE"/>
        </w:rPr>
        <w:t>Aspergillus niger</w:t>
      </w:r>
      <w:r w:rsidRPr="00FF770E">
        <w:rPr>
          <w:rFonts w:ascii="Arial" w:hAnsi="Arial"/>
          <w:sz w:val="20"/>
          <w:szCs w:val="20"/>
        </w:rPr>
        <w:t xml:space="preserve"> was then uniformly spread across the entire hydrogel surface. Following incubation, no fungal growth was observed on the </w:t>
      </w:r>
      <w:proofErr w:type="spellStart"/>
      <w:r w:rsidRPr="00FF770E">
        <w:rPr>
          <w:rFonts w:ascii="Arial" w:hAnsi="Arial"/>
          <w:sz w:val="20"/>
          <w:szCs w:val="20"/>
        </w:rPr>
        <w:t>AgNP</w:t>
      </w:r>
      <w:proofErr w:type="spellEnd"/>
      <w:r w:rsidRPr="00FF770E">
        <w:rPr>
          <w:rFonts w:ascii="Arial" w:hAnsi="Arial"/>
          <w:sz w:val="20"/>
          <w:szCs w:val="20"/>
        </w:rPr>
        <w:t xml:space="preserve">-loaded region of the hydrogel, whereas the </w:t>
      </w:r>
      <w:r w:rsidRPr="00FF770E">
        <w:rPr>
          <w:rFonts w:ascii="Arial" w:hAnsi="Arial"/>
          <w:sz w:val="20"/>
          <w:szCs w:val="20"/>
        </w:rPr>
        <w:lastRenderedPageBreak/>
        <w:t xml:space="preserve">control region exhibited extensive fungal colonization and was completely covered by fungal growth (Figure 2B). These findings demonstrate the effective preventive antifungal activity of the </w:t>
      </w:r>
      <w:proofErr w:type="spellStart"/>
      <w:r w:rsidRPr="00FF770E">
        <w:rPr>
          <w:rFonts w:ascii="Arial" w:hAnsi="Arial"/>
          <w:sz w:val="20"/>
          <w:szCs w:val="20"/>
        </w:rPr>
        <w:t>AgNP</w:t>
      </w:r>
      <w:proofErr w:type="spellEnd"/>
      <w:r w:rsidRPr="00FF770E">
        <w:rPr>
          <w:rFonts w:ascii="Arial" w:hAnsi="Arial"/>
          <w:sz w:val="20"/>
          <w:szCs w:val="20"/>
        </w:rPr>
        <w:t xml:space="preserve">-impregnated hydrogel against </w:t>
      </w:r>
      <w:r w:rsidRPr="00FF770E">
        <w:rPr>
          <w:rStyle w:val="None"/>
          <w:rFonts w:ascii="Arial" w:hAnsi="Arial"/>
          <w:i/>
          <w:iCs/>
          <w:sz w:val="20"/>
          <w:szCs w:val="20"/>
          <w:lang w:val="de-DE"/>
        </w:rPr>
        <w:t>A. niger</w:t>
      </w:r>
      <w:r w:rsidRPr="00FF770E">
        <w:rPr>
          <w:rFonts w:ascii="Arial" w:hAnsi="Arial"/>
          <w:sz w:val="20"/>
          <w:szCs w:val="20"/>
        </w:rPr>
        <w:t>.</w:t>
      </w:r>
    </w:p>
    <w:p w14:paraId="0CEB42DE" w14:textId="77777777" w:rsidR="00E429F2" w:rsidRPr="00FF770E" w:rsidRDefault="00E429F2">
      <w:pPr>
        <w:pStyle w:val="Default"/>
        <w:spacing w:before="0"/>
        <w:jc w:val="both"/>
        <w:rPr>
          <w:rStyle w:val="None"/>
          <w:rFonts w:ascii="Arial" w:eastAsia="Arial" w:hAnsi="Arial" w:cs="Arial"/>
          <w:b/>
          <w:bCs/>
          <w:kern w:val="2"/>
          <w:sz w:val="22"/>
          <w:szCs w:val="22"/>
          <w:u w:color="000000"/>
          <w14:textOutline w14:w="12700" w14:cap="flat" w14:cmpd="sng" w14:algn="ctr">
            <w14:noFill/>
            <w14:prstDash w14:val="solid"/>
            <w14:miter w14:lim="400000"/>
          </w14:textOutline>
        </w:rPr>
      </w:pPr>
    </w:p>
    <w:p w14:paraId="38710083" w14:textId="77777777" w:rsidR="00E429F2" w:rsidRPr="00FF770E" w:rsidRDefault="00000000">
      <w:pPr>
        <w:pStyle w:val="Default"/>
        <w:spacing w:before="0"/>
        <w:jc w:val="both"/>
        <w:rPr>
          <w:rStyle w:val="None"/>
          <w:rFonts w:ascii="Arial" w:eastAsia="Arial" w:hAnsi="Arial" w:cs="Arial"/>
          <w:b/>
          <w:bCs/>
          <w:kern w:val="2"/>
          <w:sz w:val="22"/>
          <w:szCs w:val="22"/>
          <w:u w:color="000000"/>
          <w14:textOutline w14:w="12700" w14:cap="flat" w14:cmpd="sng" w14:algn="ctr">
            <w14:noFill/>
            <w14:prstDash w14:val="solid"/>
            <w14:miter w14:lim="400000"/>
          </w14:textOutline>
        </w:rPr>
      </w:pPr>
      <w:r w:rsidRPr="00FF770E">
        <w:rPr>
          <w:rStyle w:val="None"/>
          <w:rFonts w:ascii="Arial" w:hAnsi="Arial"/>
          <w:b/>
          <w:bCs/>
          <w:kern w:val="2"/>
          <w:sz w:val="22"/>
          <w:szCs w:val="22"/>
          <w:u w:color="000000"/>
          <w14:textOutline w14:w="12700" w14:cap="flat" w14:cmpd="sng" w14:algn="ctr">
            <w14:noFill/>
            <w14:prstDash w14:val="solid"/>
            <w14:miter w14:lim="400000"/>
          </w14:textOutline>
        </w:rPr>
        <w:t>4.  DISCUSSIONS</w:t>
      </w:r>
    </w:p>
    <w:p w14:paraId="622D6E77" w14:textId="77777777" w:rsidR="00E429F2" w:rsidRPr="00FF770E" w:rsidRDefault="00000000">
      <w:pPr>
        <w:pStyle w:val="Default"/>
        <w:spacing w:before="0" w:after="240"/>
        <w:jc w:val="both"/>
        <w:rPr>
          <w:rStyle w:val="None"/>
          <w:rFonts w:ascii="Arial" w:eastAsia="Arial" w:hAnsi="Arial" w:cs="Arial"/>
          <w:kern w:val="2"/>
          <w:sz w:val="22"/>
          <w:szCs w:val="22"/>
          <w:u w:color="000000"/>
        </w:rPr>
      </w:pPr>
      <w:r w:rsidRPr="00FF770E">
        <w:rPr>
          <w:rStyle w:val="None"/>
          <w:rFonts w:ascii="Arial" w:hAnsi="Arial"/>
          <w:kern w:val="2"/>
          <w:sz w:val="22"/>
          <w:szCs w:val="22"/>
          <w:u w:color="000000"/>
        </w:rPr>
        <w:t>Antimicrobial resistance (AMR) has emerged as a major global healthcare challenge, largely driven by the excessive and inappropriate use of antibiotics. One promising strategy to mitigate this issue is the development of alternative antimicrobial agents, such as silver nanoparticles (</w:t>
      </w:r>
      <w:proofErr w:type="spellStart"/>
      <w:r w:rsidRPr="00FF770E">
        <w:rPr>
          <w:rStyle w:val="None"/>
          <w:rFonts w:ascii="Arial" w:hAnsi="Arial"/>
          <w:kern w:val="2"/>
          <w:sz w:val="22"/>
          <w:szCs w:val="22"/>
          <w:u w:color="000000"/>
        </w:rPr>
        <w:t>AgNPs</w:t>
      </w:r>
      <w:proofErr w:type="spellEnd"/>
      <w:r w:rsidRPr="00FF770E">
        <w:rPr>
          <w:rStyle w:val="None"/>
          <w:rFonts w:ascii="Arial" w:hAnsi="Arial"/>
          <w:kern w:val="2"/>
          <w:sz w:val="22"/>
          <w:szCs w:val="22"/>
          <w:u w:color="000000"/>
        </w:rPr>
        <w:t xml:space="preserve">), which exhibit broad-spectrum antibacterial activity while reducing dependence on conventional antibiotics. Although </w:t>
      </w:r>
      <w:proofErr w:type="spellStart"/>
      <w:r w:rsidRPr="00FF770E">
        <w:rPr>
          <w:rStyle w:val="None"/>
          <w:rFonts w:ascii="Arial" w:hAnsi="Arial"/>
          <w:kern w:val="2"/>
          <w:sz w:val="22"/>
          <w:szCs w:val="22"/>
          <w:u w:color="000000"/>
        </w:rPr>
        <w:t>AgNPs</w:t>
      </w:r>
      <w:proofErr w:type="spellEnd"/>
      <w:r w:rsidRPr="00FF770E">
        <w:rPr>
          <w:rStyle w:val="None"/>
          <w:rFonts w:ascii="Arial" w:hAnsi="Arial"/>
          <w:kern w:val="2"/>
          <w:sz w:val="22"/>
          <w:szCs w:val="22"/>
          <w:u w:color="000000"/>
        </w:rPr>
        <w:t xml:space="preserve"> can be applied directly in solution form, the present study focused on their incorporation into a biopolymeric hydrogel matrix to develop an effective antimicrobial wound dressing for the management of atopic, chronic, and infected wounds.</w:t>
      </w:r>
    </w:p>
    <w:p w14:paraId="03F3B303" w14:textId="77777777" w:rsidR="00E429F2" w:rsidRPr="00FF770E" w:rsidRDefault="00000000">
      <w:pPr>
        <w:pStyle w:val="Default"/>
        <w:spacing w:before="0" w:after="240"/>
        <w:jc w:val="both"/>
        <w:rPr>
          <w:rStyle w:val="None"/>
          <w:rFonts w:ascii="Arial" w:eastAsia="Arial" w:hAnsi="Arial" w:cs="Arial"/>
          <w:kern w:val="2"/>
          <w:sz w:val="22"/>
          <w:szCs w:val="22"/>
          <w:u w:color="000000"/>
        </w:rPr>
      </w:pPr>
      <w:r w:rsidRPr="00FF770E">
        <w:rPr>
          <w:rStyle w:val="None"/>
          <w:rFonts w:ascii="Arial" w:hAnsi="Arial"/>
          <w:kern w:val="2"/>
          <w:sz w:val="22"/>
          <w:szCs w:val="22"/>
          <w:u w:color="000000"/>
        </w:rPr>
        <w:t xml:space="preserve">To verify the retention of antifungal efficacy within a three-dimensional polymeric network, </w:t>
      </w:r>
      <w:proofErr w:type="spellStart"/>
      <w:r w:rsidRPr="00FF770E">
        <w:rPr>
          <w:rStyle w:val="None"/>
          <w:rFonts w:ascii="Arial" w:hAnsi="Arial"/>
          <w:kern w:val="2"/>
          <w:sz w:val="22"/>
          <w:szCs w:val="22"/>
          <w:u w:color="000000"/>
        </w:rPr>
        <w:t>AgNPs</w:t>
      </w:r>
      <w:proofErr w:type="spellEnd"/>
      <w:r w:rsidRPr="00FF770E">
        <w:rPr>
          <w:rStyle w:val="None"/>
          <w:rFonts w:ascii="Arial" w:hAnsi="Arial"/>
          <w:kern w:val="2"/>
          <w:sz w:val="22"/>
          <w:szCs w:val="22"/>
          <w:u w:color="000000"/>
        </w:rPr>
        <w:t xml:space="preserve"> were incorporated into a di-polymeric hydrogel composed of polyethylene glycol (PEG) and carrageenan. Both polymers are extensively studied, biocompatible, FDA-approved materials widely utilized in biomedical applications due to their non-toxic nature and favorable physicochemical properties. The antimicrobial performance of the </w:t>
      </w:r>
      <w:proofErr w:type="spellStart"/>
      <w:r w:rsidRPr="00FF770E">
        <w:rPr>
          <w:rStyle w:val="None"/>
          <w:rFonts w:ascii="Arial" w:hAnsi="Arial"/>
          <w:kern w:val="2"/>
          <w:sz w:val="22"/>
          <w:szCs w:val="22"/>
          <w:u w:color="000000"/>
        </w:rPr>
        <w:t>AgNP</w:t>
      </w:r>
      <w:proofErr w:type="spellEnd"/>
      <w:r w:rsidRPr="00FF770E">
        <w:rPr>
          <w:rStyle w:val="None"/>
          <w:rFonts w:ascii="Arial" w:hAnsi="Arial"/>
          <w:kern w:val="2"/>
          <w:sz w:val="22"/>
          <w:szCs w:val="22"/>
          <w:u w:color="000000"/>
        </w:rPr>
        <w:t xml:space="preserve">-loaded hydrogel was assessed using two different approaches: treatment of contaminated wounds and prevention of wound contamination. In the treatment model, agar plates were used to simulate wound beds, while fungal growth on the agar surface represented an infected wound environment. Application of the </w:t>
      </w:r>
      <w:proofErr w:type="spellStart"/>
      <w:r w:rsidRPr="00FF770E">
        <w:rPr>
          <w:rStyle w:val="None"/>
          <w:rFonts w:ascii="Arial" w:hAnsi="Arial"/>
          <w:kern w:val="2"/>
          <w:sz w:val="22"/>
          <w:szCs w:val="22"/>
          <w:u w:color="000000"/>
        </w:rPr>
        <w:t>AgNP</w:t>
      </w:r>
      <w:proofErr w:type="spellEnd"/>
      <w:r w:rsidRPr="00FF770E">
        <w:rPr>
          <w:rStyle w:val="None"/>
          <w:rFonts w:ascii="Arial" w:hAnsi="Arial"/>
          <w:kern w:val="2"/>
          <w:sz w:val="22"/>
          <w:szCs w:val="22"/>
          <w:u w:color="000000"/>
        </w:rPr>
        <w:t xml:space="preserve">-impregnated hydrogel resulted in significant fungal inhibition, indicating its effectiveness in treating contaminated wounds. In the preventive model, </w:t>
      </w:r>
      <w:proofErr w:type="spellStart"/>
      <w:r w:rsidRPr="00FF770E">
        <w:rPr>
          <w:rStyle w:val="None"/>
          <w:rFonts w:ascii="Arial" w:hAnsi="Arial"/>
          <w:kern w:val="2"/>
          <w:sz w:val="22"/>
          <w:szCs w:val="22"/>
          <w:u w:color="000000"/>
        </w:rPr>
        <w:t>AgNPs</w:t>
      </w:r>
      <w:proofErr w:type="spellEnd"/>
      <w:r w:rsidRPr="00FF770E">
        <w:rPr>
          <w:rStyle w:val="None"/>
          <w:rFonts w:ascii="Arial" w:hAnsi="Arial"/>
          <w:kern w:val="2"/>
          <w:sz w:val="22"/>
          <w:szCs w:val="22"/>
          <w:u w:color="000000"/>
        </w:rPr>
        <w:t xml:space="preserve"> were incorporated into a nutrient-rich hydrogel system prior to fungal inoculation, thereby simulating a wound dressing containing embedded antimicrobial agents. The complete absence of fungal growth on the </w:t>
      </w:r>
      <w:proofErr w:type="spellStart"/>
      <w:r w:rsidRPr="00FF770E">
        <w:rPr>
          <w:rStyle w:val="None"/>
          <w:rFonts w:ascii="Arial" w:hAnsi="Arial"/>
          <w:kern w:val="2"/>
          <w:sz w:val="22"/>
          <w:szCs w:val="22"/>
          <w:u w:color="000000"/>
        </w:rPr>
        <w:t>AgNP</w:t>
      </w:r>
      <w:proofErr w:type="spellEnd"/>
      <w:r w:rsidRPr="00FF770E">
        <w:rPr>
          <w:rStyle w:val="None"/>
          <w:rFonts w:ascii="Arial" w:hAnsi="Arial"/>
          <w:kern w:val="2"/>
          <w:sz w:val="22"/>
          <w:szCs w:val="22"/>
          <w:u w:color="000000"/>
        </w:rPr>
        <w:t>-loaded hydrogel confirmed the sustained antifungal activity of the nanoparticles and highlighted the hydrogel's potential to prevent microbial colonization and infection.</w:t>
      </w:r>
    </w:p>
    <w:p w14:paraId="37271D28" w14:textId="77777777" w:rsidR="00E429F2" w:rsidRPr="00FF770E" w:rsidRDefault="00000000">
      <w:pPr>
        <w:pStyle w:val="Default"/>
        <w:spacing w:before="0" w:after="240"/>
        <w:jc w:val="both"/>
        <w:rPr>
          <w:rStyle w:val="None"/>
          <w:rFonts w:ascii="Arial" w:eastAsia="Arial" w:hAnsi="Arial" w:cs="Arial"/>
          <w:kern w:val="2"/>
          <w:sz w:val="22"/>
          <w:szCs w:val="22"/>
          <w:u w:color="000000"/>
        </w:rPr>
      </w:pPr>
      <w:r w:rsidRPr="00FF770E">
        <w:rPr>
          <w:rStyle w:val="None"/>
          <w:rFonts w:ascii="Arial" w:hAnsi="Arial"/>
          <w:kern w:val="2"/>
          <w:sz w:val="22"/>
          <w:szCs w:val="22"/>
          <w:u w:color="000000"/>
        </w:rPr>
        <w:t xml:space="preserve">Since the principal aim of this study was to develop </w:t>
      </w:r>
      <w:proofErr w:type="spellStart"/>
      <w:r w:rsidRPr="00FF770E">
        <w:rPr>
          <w:rStyle w:val="None"/>
          <w:rFonts w:ascii="Arial" w:hAnsi="Arial"/>
          <w:kern w:val="2"/>
          <w:sz w:val="22"/>
          <w:szCs w:val="22"/>
          <w:u w:color="000000"/>
        </w:rPr>
        <w:t>AgNP</w:t>
      </w:r>
      <w:proofErr w:type="spellEnd"/>
      <w:r w:rsidRPr="00FF770E">
        <w:rPr>
          <w:rStyle w:val="None"/>
          <w:rFonts w:ascii="Arial" w:hAnsi="Arial"/>
          <w:kern w:val="2"/>
          <w:sz w:val="22"/>
          <w:szCs w:val="22"/>
          <w:u w:color="000000"/>
        </w:rPr>
        <w:t xml:space="preserve">-based antimicrobial materials, the synthesis conditions and nanoparticle concentration were optimized primarily based on antibacterial performance. Consequently, this work focused on the </w:t>
      </w:r>
      <w:proofErr w:type="spellStart"/>
      <w:r w:rsidRPr="00FF770E">
        <w:rPr>
          <w:rStyle w:val="None"/>
          <w:rFonts w:ascii="Arial" w:hAnsi="Arial"/>
          <w:kern w:val="2"/>
          <w:sz w:val="22"/>
          <w:szCs w:val="22"/>
          <w:u w:color="000000"/>
        </w:rPr>
        <w:t>AgNPs</w:t>
      </w:r>
      <w:proofErr w:type="spellEnd"/>
      <w:r w:rsidRPr="00FF770E">
        <w:rPr>
          <w:rStyle w:val="None"/>
          <w:rFonts w:ascii="Arial" w:hAnsi="Arial"/>
          <w:kern w:val="2"/>
          <w:sz w:val="22"/>
          <w:szCs w:val="22"/>
          <w:u w:color="000000"/>
        </w:rPr>
        <w:t xml:space="preserve"> successful incorporation into a clinically relevant hydrogel system intended for atopic wound-healing applications. While the current study established the antimicrobial efficacy of the developed hydrogel, comprehensive characterization of the final formulation—including rheological and mechanical properties, swelling behavior, water absorption capacity, biodegradation profile, and in vitro biocompatibility—will be the subject of future investigations to further validate its suitability for biomedical and wound-care applications.</w:t>
      </w:r>
    </w:p>
    <w:p w14:paraId="729661AB" w14:textId="77777777" w:rsidR="00E429F2" w:rsidRPr="00FF770E" w:rsidRDefault="00000000">
      <w:pPr>
        <w:pStyle w:val="Default"/>
        <w:spacing w:before="0"/>
        <w:jc w:val="both"/>
        <w:rPr>
          <w:rStyle w:val="None"/>
          <w:rFonts w:ascii="Arial" w:eastAsia="Arial" w:hAnsi="Arial" w:cs="Arial"/>
          <w:b/>
          <w:bCs/>
          <w:kern w:val="2"/>
          <w:sz w:val="22"/>
          <w:szCs w:val="22"/>
          <w:u w:color="000000"/>
          <w14:textOutline w14:w="12700" w14:cap="flat" w14:cmpd="sng" w14:algn="ctr">
            <w14:noFill/>
            <w14:prstDash w14:val="solid"/>
            <w14:miter w14:lim="400000"/>
          </w14:textOutline>
        </w:rPr>
      </w:pPr>
      <w:r w:rsidRPr="00FF770E">
        <w:rPr>
          <w:rStyle w:val="None"/>
          <w:rFonts w:ascii="Arial" w:hAnsi="Arial"/>
          <w:b/>
          <w:bCs/>
          <w:kern w:val="2"/>
          <w:sz w:val="22"/>
          <w:szCs w:val="22"/>
          <w:u w:color="000000"/>
          <w14:textOutline w14:w="12700" w14:cap="flat" w14:cmpd="sng" w14:algn="ctr">
            <w14:noFill/>
            <w14:prstDash w14:val="solid"/>
            <w14:miter w14:lim="400000"/>
          </w14:textOutline>
        </w:rPr>
        <w:t>5.  CONCLUSION</w:t>
      </w:r>
    </w:p>
    <w:p w14:paraId="0DC4CB2E" w14:textId="7F9EB394" w:rsidR="00E429F2" w:rsidRDefault="00000000" w:rsidP="0060315D">
      <w:pPr>
        <w:pStyle w:val="Default"/>
        <w:spacing w:before="0"/>
        <w:jc w:val="both"/>
        <w:rPr>
          <w:rFonts w:ascii="Arial" w:eastAsia="Arial" w:hAnsi="Arial" w:cs="Arial"/>
          <w:sz w:val="22"/>
          <w:szCs w:val="22"/>
          <w:u w:color="000000"/>
          <w14:textOutline w14:w="12700" w14:cap="flat" w14:cmpd="sng" w14:algn="ctr">
            <w14:noFill/>
            <w14:prstDash w14:val="solid"/>
            <w14:miter w14:lim="400000"/>
          </w14:textOutline>
        </w:rPr>
      </w:pPr>
      <w:r w:rsidRPr="00FF770E">
        <w:rPr>
          <w:rFonts w:ascii="Arial" w:hAnsi="Arial"/>
          <w:sz w:val="22"/>
          <w:szCs w:val="22"/>
          <w:u w:color="000000"/>
          <w14:textOutline w14:w="12700" w14:cap="flat" w14:cmpd="sng" w14:algn="ctr">
            <w14:noFill/>
            <w14:prstDash w14:val="solid"/>
            <w14:miter w14:lim="400000"/>
          </w14:textOutline>
        </w:rPr>
        <w:t>A silver nanoparticle (</w:t>
      </w:r>
      <w:proofErr w:type="spellStart"/>
      <w:r w:rsidRPr="00FF770E">
        <w:rPr>
          <w:rFonts w:ascii="Arial" w:hAnsi="Arial"/>
          <w:sz w:val="22"/>
          <w:szCs w:val="22"/>
          <w:u w:color="000000"/>
          <w14:textOutline w14:w="12700" w14:cap="flat" w14:cmpd="sng" w14:algn="ctr">
            <w14:noFill/>
            <w14:prstDash w14:val="solid"/>
            <w14:miter w14:lim="400000"/>
          </w14:textOutline>
        </w:rPr>
        <w:t>AgNP</w:t>
      </w:r>
      <w:proofErr w:type="spellEnd"/>
      <w:r w:rsidRPr="00FF770E">
        <w:rPr>
          <w:rFonts w:ascii="Arial" w:hAnsi="Arial"/>
          <w:sz w:val="22"/>
          <w:szCs w:val="22"/>
          <w:u w:color="000000"/>
          <w14:textOutline w14:w="12700" w14:cap="flat" w14:cmpd="sng" w14:algn="ctr">
            <w14:noFill/>
            <w14:prstDash w14:val="solid"/>
            <w14:miter w14:lim="400000"/>
          </w14:textOutline>
        </w:rPr>
        <w:t xml:space="preserve">)-loaded hydrogel system was successfully developed and evaluated for both therapeutic and preventive wound-healing applications. These findings indicate that the </w:t>
      </w:r>
      <w:proofErr w:type="spellStart"/>
      <w:r w:rsidRPr="00FF770E">
        <w:rPr>
          <w:rFonts w:ascii="Arial" w:hAnsi="Arial"/>
          <w:sz w:val="22"/>
          <w:szCs w:val="22"/>
          <w:u w:color="000000"/>
          <w14:textOutline w14:w="12700" w14:cap="flat" w14:cmpd="sng" w14:algn="ctr">
            <w14:noFill/>
            <w14:prstDash w14:val="solid"/>
            <w14:miter w14:lim="400000"/>
          </w14:textOutline>
        </w:rPr>
        <w:t>AgNPs</w:t>
      </w:r>
      <w:proofErr w:type="spellEnd"/>
      <w:r w:rsidRPr="00FF770E">
        <w:rPr>
          <w:rFonts w:ascii="Arial" w:hAnsi="Arial"/>
          <w:sz w:val="22"/>
          <w:szCs w:val="22"/>
          <w:u w:color="000000"/>
          <w14:textOutline w14:w="12700" w14:cap="flat" w14:cmpd="sng" w14:algn="ctr">
            <w14:noFill/>
            <w14:prstDash w14:val="solid"/>
            <w14:miter w14:lim="400000"/>
          </w14:textOutline>
        </w:rPr>
        <w:t xml:space="preserve"> retained their antifungal efficacy even after incorporation into the hydrogel matrix, highlighting the potential of such hydrogel systems as antimicrobial wound dressings. The antifungal activity observed in this study is consistent with previous reports demonstrating the broad-spectrum antimicrobial properties of </w:t>
      </w:r>
      <w:proofErr w:type="spellStart"/>
      <w:r w:rsidRPr="00FF770E">
        <w:rPr>
          <w:rFonts w:ascii="Arial" w:hAnsi="Arial"/>
          <w:sz w:val="22"/>
          <w:szCs w:val="22"/>
          <w:u w:color="000000"/>
          <w14:textOutline w14:w="12700" w14:cap="flat" w14:cmpd="sng" w14:algn="ctr">
            <w14:noFill/>
            <w14:prstDash w14:val="solid"/>
            <w14:miter w14:lim="400000"/>
          </w14:textOutline>
        </w:rPr>
        <w:t>AgNPs</w:t>
      </w:r>
      <w:proofErr w:type="spellEnd"/>
      <w:r w:rsidRPr="00FF770E">
        <w:rPr>
          <w:rFonts w:ascii="Arial" w:hAnsi="Arial"/>
          <w:sz w:val="22"/>
          <w:szCs w:val="22"/>
          <w:u w:color="000000"/>
          <w14:textOutline w14:w="12700" w14:cap="flat" w14:cmpd="sng" w14:algn="ctr">
            <w14:noFill/>
            <w14:prstDash w14:val="solid"/>
            <w14:miter w14:lim="400000"/>
          </w14:textOutline>
        </w:rPr>
        <w:t xml:space="preserve">, including their effectiveness against fungal pathogens such as </w:t>
      </w:r>
      <w:r w:rsidRPr="00FF770E">
        <w:rPr>
          <w:rStyle w:val="None"/>
          <w:rFonts w:ascii="Arial" w:hAnsi="Arial"/>
          <w:i/>
          <w:iCs/>
          <w:sz w:val="22"/>
          <w:szCs w:val="22"/>
          <w:u w:color="000000"/>
          <w14:textOutline w14:w="12700" w14:cap="flat" w14:cmpd="sng" w14:algn="ctr">
            <w14:noFill/>
            <w14:prstDash w14:val="solid"/>
            <w14:miter w14:lim="400000"/>
          </w14:textOutline>
        </w:rPr>
        <w:t xml:space="preserve">A. </w:t>
      </w:r>
      <w:proofErr w:type="spellStart"/>
      <w:r w:rsidRPr="00FF770E">
        <w:rPr>
          <w:rStyle w:val="None"/>
          <w:rFonts w:ascii="Arial" w:hAnsi="Arial"/>
          <w:i/>
          <w:iCs/>
          <w:sz w:val="22"/>
          <w:szCs w:val="22"/>
          <w:u w:color="000000"/>
          <w14:textOutline w14:w="12700" w14:cap="flat" w14:cmpd="sng" w14:algn="ctr">
            <w14:noFill/>
            <w14:prstDash w14:val="solid"/>
            <w14:miter w14:lim="400000"/>
          </w14:textOutline>
        </w:rPr>
        <w:t>niger</w:t>
      </w:r>
      <w:proofErr w:type="spellEnd"/>
      <w:r w:rsidRPr="00FF770E">
        <w:rPr>
          <w:rFonts w:ascii="Arial" w:hAnsi="Arial"/>
          <w:sz w:val="22"/>
          <w:szCs w:val="22"/>
          <w:u w:color="000000"/>
          <w14:textOutline w14:w="12700" w14:cap="flat" w14:cmpd="sng" w14:algn="ctr">
            <w14:noFill/>
            <w14:prstDash w14:val="solid"/>
            <w14:miter w14:lim="400000"/>
          </w14:textOutline>
        </w:rPr>
        <w:t xml:space="preserve">. Therefore, the developed </w:t>
      </w:r>
      <w:proofErr w:type="spellStart"/>
      <w:r w:rsidRPr="00FF770E">
        <w:rPr>
          <w:rFonts w:ascii="Arial" w:hAnsi="Arial"/>
          <w:sz w:val="22"/>
          <w:szCs w:val="22"/>
          <w:u w:color="000000"/>
          <w14:textOutline w14:w="12700" w14:cap="flat" w14:cmpd="sng" w14:algn="ctr">
            <w14:noFill/>
            <w14:prstDash w14:val="solid"/>
            <w14:miter w14:lim="400000"/>
          </w14:textOutline>
        </w:rPr>
        <w:t>AgNP</w:t>
      </w:r>
      <w:proofErr w:type="spellEnd"/>
      <w:r w:rsidRPr="00FF770E">
        <w:rPr>
          <w:rFonts w:ascii="Arial" w:hAnsi="Arial"/>
          <w:sz w:val="22"/>
          <w:szCs w:val="22"/>
          <w:u w:color="000000"/>
          <w14:textOutline w14:w="12700" w14:cap="flat" w14:cmpd="sng" w14:algn="ctr">
            <w14:noFill/>
            <w14:prstDash w14:val="solid"/>
            <w14:miter w14:lim="400000"/>
          </w14:textOutline>
        </w:rPr>
        <w:t>-loaded hydrogel represents a promising platform for the prevention and treatment of fungal infections in wound-healing applications.</w:t>
      </w:r>
    </w:p>
    <w:p w14:paraId="1871D666" w14:textId="77777777" w:rsidR="0060315D" w:rsidRPr="0060315D" w:rsidRDefault="0060315D" w:rsidP="0060315D">
      <w:pPr>
        <w:pStyle w:val="Default"/>
        <w:spacing w:before="0"/>
        <w:jc w:val="both"/>
        <w:rPr>
          <w:rFonts w:ascii="Arial" w:eastAsia="Arial" w:hAnsi="Arial" w:cs="Arial"/>
          <w:sz w:val="22"/>
          <w:szCs w:val="22"/>
          <w:u w:color="000000"/>
          <w14:textOutline w14:w="12700" w14:cap="flat" w14:cmpd="sng" w14:algn="ctr">
            <w14:noFill/>
            <w14:prstDash w14:val="solid"/>
            <w14:miter w14:lim="400000"/>
          </w14:textOutline>
        </w:rPr>
      </w:pPr>
    </w:p>
    <w:p w14:paraId="51B35B02" w14:textId="77777777" w:rsidR="00E429F2" w:rsidRPr="00FF770E" w:rsidRDefault="00000000">
      <w:pPr>
        <w:pStyle w:val="Body"/>
        <w:spacing w:line="288" w:lineRule="auto"/>
        <w:jc w:val="both"/>
        <w:rPr>
          <w:rStyle w:val="None"/>
          <w:rFonts w:ascii="Arial" w:eastAsia="Arial" w:hAnsi="Arial" w:cs="Arial"/>
          <w:b/>
          <w:bCs/>
          <w:u w:color="000000"/>
        </w:rPr>
      </w:pPr>
      <w:r w:rsidRPr="00FF770E">
        <w:rPr>
          <w:rStyle w:val="None"/>
          <w:rFonts w:ascii="Arial" w:hAnsi="Arial"/>
          <w:b/>
          <w:bCs/>
          <w:u w:color="000000"/>
        </w:rPr>
        <w:t>CONFLICTS OF INTEREST</w:t>
      </w:r>
    </w:p>
    <w:p w14:paraId="68B73783" w14:textId="77777777" w:rsidR="00E429F2" w:rsidRPr="00FF770E" w:rsidRDefault="00000000">
      <w:pPr>
        <w:pStyle w:val="Body"/>
        <w:spacing w:line="288" w:lineRule="auto"/>
        <w:jc w:val="both"/>
        <w:rPr>
          <w:rStyle w:val="None"/>
          <w:rFonts w:ascii="Arial" w:eastAsia="Arial" w:hAnsi="Arial" w:cs="Arial"/>
          <w:b/>
          <w:bCs/>
          <w:u w:color="000000"/>
        </w:rPr>
      </w:pPr>
      <w:r w:rsidRPr="00FF770E">
        <w:rPr>
          <w:rFonts w:ascii="Arial" w:hAnsi="Arial"/>
          <w:u w:color="000000"/>
        </w:rPr>
        <w:t>There are no conflicts to declare</w:t>
      </w:r>
    </w:p>
    <w:p w14:paraId="57D989FC" w14:textId="77777777" w:rsidR="00E429F2" w:rsidRPr="00FF770E" w:rsidRDefault="00E429F2">
      <w:pPr>
        <w:spacing w:line="288" w:lineRule="auto"/>
        <w:jc w:val="both"/>
        <w:rPr>
          <w:rStyle w:val="None"/>
          <w:rFonts w:eastAsia="Times New Roman"/>
          <w:b/>
          <w:bCs/>
          <w:color w:val="000000"/>
          <w:u w:color="000000"/>
          <w14:textOutline w14:w="0" w14:cap="flat" w14:cmpd="sng" w14:algn="ctr">
            <w14:noFill/>
            <w14:prstDash w14:val="solid"/>
            <w14:bevel/>
          </w14:textOutline>
        </w:rPr>
      </w:pPr>
    </w:p>
    <w:p w14:paraId="136A40AC" w14:textId="77777777" w:rsidR="00E429F2" w:rsidRPr="00FF770E" w:rsidRDefault="00E429F2">
      <w:pPr>
        <w:pStyle w:val="Body"/>
        <w:spacing w:line="288" w:lineRule="auto"/>
        <w:jc w:val="both"/>
        <w:rPr>
          <w:rFonts w:ascii="Times New Roman" w:eastAsia="Times New Roman" w:hAnsi="Times New Roman" w:cs="Times New Roman"/>
          <w:sz w:val="24"/>
          <w:szCs w:val="24"/>
          <w:u w:color="000000"/>
        </w:rPr>
      </w:pPr>
    </w:p>
    <w:p w14:paraId="6E3FD3CF" w14:textId="77777777" w:rsidR="00E429F2" w:rsidRPr="00FF770E" w:rsidRDefault="00000000">
      <w:pPr>
        <w:pStyle w:val="Default"/>
        <w:spacing w:before="0"/>
        <w:jc w:val="both"/>
        <w:rPr>
          <w:rStyle w:val="None"/>
          <w:rFonts w:ascii="Arial" w:eastAsia="Arial" w:hAnsi="Arial" w:cs="Arial"/>
          <w:b/>
          <w:bCs/>
          <w:sz w:val="22"/>
          <w:szCs w:val="22"/>
          <w:u w:color="000000"/>
          <w14:textOutline w14:w="12700" w14:cap="flat" w14:cmpd="sng" w14:algn="ctr">
            <w14:noFill/>
            <w14:prstDash w14:val="solid"/>
            <w14:miter w14:lim="400000"/>
          </w14:textOutline>
        </w:rPr>
      </w:pPr>
      <w:r w:rsidRPr="00FF770E">
        <w:rPr>
          <w:rFonts w:ascii="Arial" w:hAnsi="Arial"/>
          <w:b/>
          <w:bCs/>
          <w:sz w:val="22"/>
          <w:szCs w:val="22"/>
          <w:u w:color="000000"/>
          <w14:textOutline w14:w="12700" w14:cap="flat" w14:cmpd="sng" w14:algn="ctr">
            <w14:noFill/>
            <w14:prstDash w14:val="solid"/>
            <w14:miter w14:lim="400000"/>
          </w14:textOutline>
        </w:rPr>
        <w:t>REFERENCES:</w:t>
      </w:r>
    </w:p>
    <w:p w14:paraId="21AD976C" w14:textId="77777777" w:rsidR="00E429F2" w:rsidRPr="00FF770E" w:rsidRDefault="00E429F2">
      <w:pPr>
        <w:pStyle w:val="Default"/>
        <w:spacing w:before="0"/>
        <w:jc w:val="both"/>
        <w:rPr>
          <w:rStyle w:val="None"/>
          <w:rFonts w:ascii="Times New Roman" w:eastAsia="Times New Roman" w:hAnsi="Times New Roman" w:cs="Times New Roman"/>
          <w:b/>
          <w:bCs/>
          <w:color w:val="37393C"/>
          <w:shd w:val="clear" w:color="auto" w:fill="FFFFFF"/>
        </w:rPr>
      </w:pPr>
    </w:p>
    <w:p w14:paraId="1B96E161"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r w:rsidRPr="00FF770E">
        <w:rPr>
          <w:rFonts w:ascii="Arial" w:hAnsi="Arial"/>
          <w:color w:val="37393C"/>
          <w:sz w:val="22"/>
          <w:szCs w:val="22"/>
          <w:shd w:val="clear" w:color="auto" w:fill="FFFFFF"/>
        </w:rPr>
        <w:t xml:space="preserve">Ahmed, E. M. (2015). Hydrogel: Preparation, characterization, and applications: A review. </w:t>
      </w:r>
      <w:r w:rsidRPr="00FF770E">
        <w:rPr>
          <w:rStyle w:val="None"/>
          <w:rFonts w:ascii="Arial" w:hAnsi="Arial"/>
          <w:i/>
          <w:iCs/>
          <w:color w:val="37393C"/>
          <w:sz w:val="22"/>
          <w:szCs w:val="22"/>
          <w:shd w:val="clear" w:color="auto" w:fill="FFFFFF"/>
        </w:rPr>
        <w:t>Journal of Advanced Research</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6</w:t>
      </w:r>
      <w:r w:rsidRPr="00FF770E">
        <w:rPr>
          <w:rFonts w:ascii="Arial" w:hAnsi="Arial"/>
          <w:color w:val="37393C"/>
          <w:sz w:val="22"/>
          <w:szCs w:val="22"/>
          <w:shd w:val="clear" w:color="auto" w:fill="FFFFFF"/>
        </w:rPr>
        <w:t>(2), 105–121. https://doi.org/10.1016/j.jare.2013.07.006</w:t>
      </w:r>
    </w:p>
    <w:p w14:paraId="0651033C" w14:textId="77777777" w:rsidR="00E429F2" w:rsidRPr="00FF770E" w:rsidRDefault="00E429F2">
      <w:pPr>
        <w:pStyle w:val="Default"/>
        <w:spacing w:before="0"/>
        <w:jc w:val="both"/>
        <w:rPr>
          <w:rFonts w:ascii="Arial" w:eastAsia="Arial" w:hAnsi="Arial" w:cs="Arial"/>
          <w:color w:val="37393C"/>
          <w:sz w:val="22"/>
          <w:szCs w:val="22"/>
          <w:shd w:val="clear" w:color="auto" w:fill="FFFFFF"/>
        </w:rPr>
      </w:pPr>
    </w:p>
    <w:p w14:paraId="6CF5C2BA"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r w:rsidRPr="00FF770E">
        <w:rPr>
          <w:rFonts w:ascii="Arial" w:hAnsi="Arial"/>
          <w:color w:val="37393C"/>
          <w:sz w:val="22"/>
          <w:szCs w:val="22"/>
          <w:shd w:val="clear" w:color="auto" w:fill="FFFFFF"/>
        </w:rPr>
        <w:t xml:space="preserve">Ahmed, S., Ahmad, M., Swami, B. L., &amp; Ikram, S. (2016). A review on plants extract mediated synthesis of silver nanoparticles for antimicrobial applications: A green expertise. </w:t>
      </w:r>
      <w:r w:rsidRPr="00FF770E">
        <w:rPr>
          <w:rStyle w:val="None"/>
          <w:rFonts w:ascii="Arial" w:hAnsi="Arial"/>
          <w:i/>
          <w:iCs/>
          <w:color w:val="37393C"/>
          <w:sz w:val="22"/>
          <w:szCs w:val="22"/>
          <w:shd w:val="clear" w:color="auto" w:fill="FFFFFF"/>
        </w:rPr>
        <w:t>Journal of Advanced Research</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7</w:t>
      </w:r>
      <w:r w:rsidRPr="00FF770E">
        <w:rPr>
          <w:rFonts w:ascii="Arial" w:hAnsi="Arial"/>
          <w:color w:val="37393C"/>
          <w:sz w:val="22"/>
          <w:szCs w:val="22"/>
          <w:shd w:val="clear" w:color="auto" w:fill="FFFFFF"/>
        </w:rPr>
        <w:t>(1), 17–28. https://doi.org/10.1016/j.jare.2015.02.007</w:t>
      </w:r>
    </w:p>
    <w:p w14:paraId="2B3C40AC" w14:textId="77777777" w:rsidR="00E429F2" w:rsidRPr="00FF770E" w:rsidRDefault="00E429F2">
      <w:pPr>
        <w:pStyle w:val="Default"/>
        <w:spacing w:before="0"/>
        <w:jc w:val="both"/>
        <w:rPr>
          <w:rFonts w:ascii="Arial" w:eastAsia="Arial" w:hAnsi="Arial" w:cs="Arial"/>
          <w:color w:val="37393C"/>
          <w:sz w:val="22"/>
          <w:szCs w:val="22"/>
          <w:shd w:val="clear" w:color="auto" w:fill="FFFFFF"/>
        </w:rPr>
      </w:pPr>
    </w:p>
    <w:p w14:paraId="4189DDED"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r w:rsidRPr="00FF770E">
        <w:rPr>
          <w:rFonts w:ascii="Arial" w:hAnsi="Arial"/>
          <w:color w:val="37393C"/>
          <w:sz w:val="22"/>
          <w:szCs w:val="22"/>
          <w:shd w:val="clear" w:color="auto" w:fill="FFFFFF"/>
        </w:rPr>
        <w:t xml:space="preserve">Benali, F., Boukoussa, B., Issam, I., Iqbal, J., Mokhtar, A., </w:t>
      </w:r>
      <w:proofErr w:type="spellStart"/>
      <w:r w:rsidRPr="00FF770E">
        <w:rPr>
          <w:rFonts w:ascii="Arial" w:hAnsi="Arial"/>
          <w:color w:val="37393C"/>
          <w:sz w:val="22"/>
          <w:szCs w:val="22"/>
          <w:shd w:val="clear" w:color="auto" w:fill="FFFFFF"/>
        </w:rPr>
        <w:t>Hachemaoui</w:t>
      </w:r>
      <w:proofErr w:type="spellEnd"/>
      <w:r w:rsidRPr="00FF770E">
        <w:rPr>
          <w:rFonts w:ascii="Arial" w:hAnsi="Arial"/>
          <w:color w:val="37393C"/>
          <w:sz w:val="22"/>
          <w:szCs w:val="22"/>
          <w:shd w:val="clear" w:color="auto" w:fill="FFFFFF"/>
        </w:rPr>
        <w:t xml:space="preserve">, M., </w:t>
      </w:r>
      <w:proofErr w:type="spellStart"/>
      <w:r w:rsidRPr="00FF770E">
        <w:rPr>
          <w:rFonts w:ascii="Arial" w:hAnsi="Arial"/>
          <w:color w:val="37393C"/>
          <w:sz w:val="22"/>
          <w:szCs w:val="22"/>
          <w:shd w:val="clear" w:color="auto" w:fill="FFFFFF"/>
        </w:rPr>
        <w:t>Habeche</w:t>
      </w:r>
      <w:proofErr w:type="spellEnd"/>
      <w:r w:rsidRPr="00FF770E">
        <w:rPr>
          <w:rFonts w:ascii="Arial" w:hAnsi="Arial"/>
          <w:color w:val="37393C"/>
          <w:sz w:val="22"/>
          <w:szCs w:val="22"/>
          <w:shd w:val="clear" w:color="auto" w:fill="FFFFFF"/>
        </w:rPr>
        <w:t>, F., Hacini, S., &amp; Abboud, M. (2023). Zinc nanoparticles encapsulated in porous biopolymer beads for</w:t>
      </w:r>
    </w:p>
    <w:p w14:paraId="6113A5F6"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r w:rsidRPr="00FF770E">
        <w:rPr>
          <w:rFonts w:ascii="Arial" w:hAnsi="Arial"/>
          <w:color w:val="37393C"/>
          <w:sz w:val="22"/>
          <w:szCs w:val="22"/>
          <w:shd w:val="clear" w:color="auto" w:fill="FFFFFF"/>
        </w:rPr>
        <w:t xml:space="preserve">reduction of water pollutants and antimicrobial activity. </w:t>
      </w:r>
      <w:r w:rsidRPr="00FF770E">
        <w:rPr>
          <w:rStyle w:val="None"/>
          <w:rFonts w:ascii="Arial" w:hAnsi="Arial"/>
          <w:i/>
          <w:iCs/>
          <w:color w:val="37393C"/>
          <w:sz w:val="22"/>
          <w:szCs w:val="22"/>
          <w:shd w:val="clear" w:color="auto" w:fill="FFFFFF"/>
        </w:rPr>
        <w:t>International Journal of Biological Macromolecules</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248</w:t>
      </w:r>
      <w:r w:rsidRPr="00FF770E">
        <w:rPr>
          <w:rFonts w:ascii="Arial" w:hAnsi="Arial"/>
          <w:color w:val="37393C"/>
          <w:sz w:val="22"/>
          <w:szCs w:val="22"/>
          <w:shd w:val="clear" w:color="auto" w:fill="FFFFFF"/>
          <w:lang w:val="nl-NL"/>
        </w:rPr>
        <w:t>(125832), 125832. https://doi.org/10.1016/j.ijbiomac.2023.125832</w:t>
      </w:r>
    </w:p>
    <w:p w14:paraId="49D2B88A" w14:textId="77777777" w:rsidR="00E429F2" w:rsidRPr="00FF770E" w:rsidRDefault="00E429F2">
      <w:pPr>
        <w:pStyle w:val="Default"/>
        <w:spacing w:before="0"/>
        <w:jc w:val="both"/>
        <w:rPr>
          <w:rFonts w:ascii="Arial" w:eastAsia="Arial" w:hAnsi="Arial" w:cs="Arial"/>
          <w:i/>
          <w:iCs/>
          <w:color w:val="37393C"/>
          <w:sz w:val="22"/>
          <w:szCs w:val="22"/>
          <w:shd w:val="clear" w:color="auto" w:fill="FFFFFF"/>
        </w:rPr>
      </w:pPr>
    </w:p>
    <w:p w14:paraId="33FE6EBC" w14:textId="77777777" w:rsidR="00E429F2" w:rsidRPr="00FF770E" w:rsidRDefault="00000000">
      <w:pPr>
        <w:pStyle w:val="Default"/>
        <w:spacing w:before="0"/>
        <w:jc w:val="both"/>
        <w:rPr>
          <w:rStyle w:val="None"/>
          <w:rFonts w:ascii="Arial" w:eastAsia="Arial" w:hAnsi="Arial" w:cs="Arial"/>
          <w:color w:val="37393C"/>
          <w:sz w:val="22"/>
          <w:szCs w:val="22"/>
          <w:shd w:val="clear" w:color="auto" w:fill="FFFFFF"/>
        </w:rPr>
      </w:pPr>
      <w:r w:rsidRPr="00FF770E">
        <w:rPr>
          <w:rStyle w:val="None"/>
          <w:rFonts w:ascii="Arial" w:hAnsi="Arial"/>
          <w:color w:val="37393C"/>
          <w:sz w:val="22"/>
          <w:szCs w:val="22"/>
          <w:shd w:val="clear" w:color="auto" w:fill="FFFFFF"/>
          <w:lang w:val="it-IT"/>
        </w:rPr>
        <w:t xml:space="preserve">Bhatia, S., &amp; Bhatia, S. (2016). </w:t>
      </w:r>
      <w:r w:rsidRPr="00FF770E">
        <w:rPr>
          <w:rFonts w:ascii="Arial" w:hAnsi="Arial"/>
          <w:i/>
          <w:iCs/>
          <w:color w:val="37393C"/>
          <w:sz w:val="22"/>
          <w:szCs w:val="22"/>
          <w:shd w:val="clear" w:color="auto" w:fill="FFFFFF"/>
        </w:rPr>
        <w:t>Natural polymers vs synthetic polymer. Natural polymer drug delivery systems: nanoparticles, plants, and algae</w:t>
      </w:r>
      <w:r w:rsidRPr="00FF770E">
        <w:rPr>
          <w:rStyle w:val="None"/>
          <w:rFonts w:ascii="Arial" w:hAnsi="Arial"/>
          <w:color w:val="37393C"/>
          <w:sz w:val="22"/>
          <w:szCs w:val="22"/>
          <w:shd w:val="clear" w:color="auto" w:fill="FFFFFF"/>
        </w:rPr>
        <w:t>. 95–118.</w:t>
      </w:r>
    </w:p>
    <w:p w14:paraId="42EAEBA7" w14:textId="77777777" w:rsidR="00E429F2" w:rsidRPr="00FF770E" w:rsidRDefault="00E429F2">
      <w:pPr>
        <w:pStyle w:val="Default"/>
        <w:spacing w:before="0"/>
        <w:jc w:val="both"/>
        <w:rPr>
          <w:rStyle w:val="None"/>
          <w:rFonts w:ascii="Arial" w:eastAsia="Arial" w:hAnsi="Arial" w:cs="Arial"/>
          <w:color w:val="37393C"/>
          <w:sz w:val="22"/>
          <w:szCs w:val="22"/>
          <w:shd w:val="clear" w:color="auto" w:fill="FFFFFF"/>
        </w:rPr>
      </w:pPr>
    </w:p>
    <w:p w14:paraId="495F38D7" w14:textId="77777777" w:rsidR="00E429F2" w:rsidRPr="00FF770E" w:rsidRDefault="00000000">
      <w:pPr>
        <w:pStyle w:val="Default"/>
        <w:spacing w:before="0"/>
        <w:jc w:val="both"/>
        <w:rPr>
          <w:rStyle w:val="None"/>
          <w:rFonts w:ascii="Arial" w:eastAsia="Arial" w:hAnsi="Arial" w:cs="Arial"/>
          <w:color w:val="37393C"/>
          <w:sz w:val="22"/>
          <w:szCs w:val="22"/>
          <w:shd w:val="clear" w:color="auto" w:fill="FFFFFF"/>
        </w:rPr>
      </w:pPr>
      <w:r w:rsidRPr="00FF770E">
        <w:rPr>
          <w:rStyle w:val="None"/>
          <w:rFonts w:ascii="Arial" w:hAnsi="Arial"/>
          <w:color w:val="37393C"/>
          <w:sz w:val="22"/>
          <w:szCs w:val="22"/>
          <w:shd w:val="clear" w:color="auto" w:fill="FFFFFF"/>
          <w:lang w:val="pt-PT"/>
        </w:rPr>
        <w:t xml:space="preserve">Campo, V. L., Kawano, D. F., Da Silva, D. B., Jr, &amp; Carvalho, I. (2009). </w:t>
      </w:r>
      <w:proofErr w:type="spellStart"/>
      <w:r w:rsidRPr="00FF770E">
        <w:rPr>
          <w:rFonts w:ascii="Arial" w:hAnsi="Arial"/>
          <w:i/>
          <w:iCs/>
          <w:color w:val="37393C"/>
          <w:sz w:val="22"/>
          <w:szCs w:val="22"/>
          <w:shd w:val="clear" w:color="auto" w:fill="FFFFFF"/>
        </w:rPr>
        <w:t>Carrageenans</w:t>
      </w:r>
      <w:proofErr w:type="spellEnd"/>
      <w:r w:rsidRPr="00FF770E">
        <w:rPr>
          <w:rFonts w:ascii="Arial" w:hAnsi="Arial"/>
          <w:i/>
          <w:iCs/>
          <w:color w:val="37393C"/>
          <w:sz w:val="22"/>
          <w:szCs w:val="22"/>
          <w:shd w:val="clear" w:color="auto" w:fill="FFFFFF"/>
        </w:rPr>
        <w:t>: Biological properties, chemical modifications and structural analysis-A review. Carbohydrate polymers</w:t>
      </w:r>
      <w:r w:rsidRPr="00FF770E">
        <w:rPr>
          <w:rStyle w:val="None"/>
          <w:rFonts w:ascii="Arial" w:hAnsi="Arial"/>
          <w:color w:val="37393C"/>
          <w:sz w:val="22"/>
          <w:szCs w:val="22"/>
          <w:shd w:val="clear" w:color="auto" w:fill="FFFFFF"/>
        </w:rPr>
        <w:t xml:space="preserve">. </w:t>
      </w:r>
      <w:r w:rsidRPr="00FF770E">
        <w:rPr>
          <w:rFonts w:ascii="Arial" w:hAnsi="Arial"/>
          <w:i/>
          <w:iCs/>
          <w:color w:val="37393C"/>
          <w:sz w:val="22"/>
          <w:szCs w:val="22"/>
          <w:shd w:val="clear" w:color="auto" w:fill="FFFFFF"/>
        </w:rPr>
        <w:t>77</w:t>
      </w:r>
      <w:r w:rsidRPr="00FF770E">
        <w:rPr>
          <w:rStyle w:val="None"/>
          <w:rFonts w:ascii="Arial" w:hAnsi="Arial"/>
          <w:color w:val="37393C"/>
          <w:sz w:val="22"/>
          <w:szCs w:val="22"/>
          <w:shd w:val="clear" w:color="auto" w:fill="FFFFFF"/>
        </w:rPr>
        <w:t>, 167–180.</w:t>
      </w:r>
    </w:p>
    <w:p w14:paraId="65145B68" w14:textId="77777777" w:rsidR="00E429F2" w:rsidRPr="00FF770E" w:rsidRDefault="00E429F2">
      <w:pPr>
        <w:pStyle w:val="Default"/>
        <w:spacing w:before="0"/>
        <w:jc w:val="both"/>
        <w:rPr>
          <w:rFonts w:ascii="Arial" w:eastAsia="Arial" w:hAnsi="Arial" w:cs="Arial"/>
          <w:color w:val="37393C"/>
          <w:sz w:val="22"/>
          <w:szCs w:val="22"/>
          <w:shd w:val="clear" w:color="auto" w:fill="FFFFFF"/>
        </w:rPr>
      </w:pPr>
    </w:p>
    <w:p w14:paraId="590393AD"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r w:rsidRPr="00FF770E">
        <w:rPr>
          <w:rFonts w:ascii="Arial" w:hAnsi="Arial"/>
          <w:color w:val="37393C"/>
          <w:sz w:val="22"/>
          <w:szCs w:val="22"/>
          <w:shd w:val="clear" w:color="auto" w:fill="FFFFFF"/>
        </w:rPr>
        <w:t xml:space="preserve">Cohen, S. M., &amp; Ito, N. (2002). A critical review of the toxicological effects of carrageenan and processed </w:t>
      </w:r>
      <w:proofErr w:type="spellStart"/>
      <w:r w:rsidRPr="00FF770E">
        <w:rPr>
          <w:rFonts w:ascii="Arial" w:hAnsi="Arial"/>
          <w:color w:val="37393C"/>
          <w:sz w:val="22"/>
          <w:szCs w:val="22"/>
          <w:shd w:val="clear" w:color="auto" w:fill="FFFFFF"/>
        </w:rPr>
        <w:t>eucheuma</w:t>
      </w:r>
      <w:proofErr w:type="spellEnd"/>
      <w:r w:rsidRPr="00FF770E">
        <w:rPr>
          <w:rFonts w:ascii="Arial" w:hAnsi="Arial"/>
          <w:color w:val="37393C"/>
          <w:sz w:val="22"/>
          <w:szCs w:val="22"/>
          <w:shd w:val="clear" w:color="auto" w:fill="FFFFFF"/>
        </w:rPr>
        <w:t xml:space="preserve"> seaweed on the gastrointestinal tract. </w:t>
      </w:r>
      <w:r w:rsidRPr="00FF770E">
        <w:rPr>
          <w:rStyle w:val="None"/>
          <w:rFonts w:ascii="Arial" w:hAnsi="Arial"/>
          <w:i/>
          <w:iCs/>
          <w:color w:val="37393C"/>
          <w:sz w:val="22"/>
          <w:szCs w:val="22"/>
          <w:shd w:val="clear" w:color="auto" w:fill="FFFFFF"/>
        </w:rPr>
        <w:t>Critical Reviews in Toxicology</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32</w:t>
      </w:r>
      <w:r w:rsidRPr="00FF770E">
        <w:rPr>
          <w:rFonts w:ascii="Arial" w:hAnsi="Arial"/>
          <w:color w:val="37393C"/>
          <w:sz w:val="22"/>
          <w:szCs w:val="22"/>
          <w:shd w:val="clear" w:color="auto" w:fill="FFFFFF"/>
        </w:rPr>
        <w:t>(5), 413–444. https://doi.org/10.1080/20024091064282</w:t>
      </w:r>
    </w:p>
    <w:p w14:paraId="79452717" w14:textId="77777777" w:rsidR="00E429F2" w:rsidRPr="00FF770E" w:rsidRDefault="00E429F2">
      <w:pPr>
        <w:pStyle w:val="Default"/>
        <w:spacing w:before="0"/>
        <w:jc w:val="both"/>
        <w:rPr>
          <w:rStyle w:val="None"/>
          <w:rFonts w:ascii="Arial" w:eastAsia="Arial" w:hAnsi="Arial" w:cs="Arial"/>
          <w:color w:val="8A9096"/>
          <w:sz w:val="22"/>
          <w:szCs w:val="22"/>
          <w:shd w:val="clear" w:color="auto" w:fill="FFFFFF"/>
        </w:rPr>
      </w:pPr>
    </w:p>
    <w:p w14:paraId="6CF995FD"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r w:rsidRPr="00FF770E">
        <w:rPr>
          <w:rFonts w:ascii="Arial" w:hAnsi="Arial"/>
          <w:color w:val="37393C"/>
          <w:sz w:val="22"/>
          <w:szCs w:val="22"/>
          <w:shd w:val="clear" w:color="auto" w:fill="FFFFFF"/>
        </w:rPr>
        <w:t xml:space="preserve">De Silva, D. A., Hettiarachchi, B. U., </w:t>
      </w:r>
      <w:proofErr w:type="spellStart"/>
      <w:r w:rsidRPr="00FF770E">
        <w:rPr>
          <w:rFonts w:ascii="Arial" w:hAnsi="Arial"/>
          <w:color w:val="37393C"/>
          <w:sz w:val="22"/>
          <w:szCs w:val="22"/>
          <w:shd w:val="clear" w:color="auto" w:fill="FFFFFF"/>
        </w:rPr>
        <w:t>Nayanajith</w:t>
      </w:r>
      <w:proofErr w:type="spellEnd"/>
      <w:r w:rsidRPr="00FF770E">
        <w:rPr>
          <w:rFonts w:ascii="Arial" w:hAnsi="Arial"/>
          <w:color w:val="37393C"/>
          <w:sz w:val="22"/>
          <w:szCs w:val="22"/>
          <w:shd w:val="clear" w:color="auto" w:fill="FFFFFF"/>
        </w:rPr>
        <w:t xml:space="preserve">, L. D. C., Milani, M. D. Y., &amp; Motha, J. T. S. (2011). Development of a PVP/kappa-carrageenan/PEG hydrogel dressing for wound healing applications in Sri Lanka. </w:t>
      </w:r>
      <w:r w:rsidRPr="00FF770E">
        <w:rPr>
          <w:rStyle w:val="None"/>
          <w:rFonts w:ascii="Arial" w:hAnsi="Arial"/>
          <w:i/>
          <w:iCs/>
          <w:color w:val="37393C"/>
          <w:sz w:val="22"/>
          <w:szCs w:val="22"/>
          <w:shd w:val="clear" w:color="auto" w:fill="FFFFFF"/>
        </w:rPr>
        <w:t>Journal of the National Science Foundation of Sri Lanka</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39</w:t>
      </w:r>
      <w:r w:rsidRPr="00FF770E">
        <w:rPr>
          <w:rFonts w:ascii="Arial" w:hAnsi="Arial"/>
          <w:color w:val="37393C"/>
          <w:sz w:val="22"/>
          <w:szCs w:val="22"/>
          <w:shd w:val="clear" w:color="auto" w:fill="FFFFFF"/>
        </w:rPr>
        <w:t xml:space="preserve">(1), 25. </w:t>
      </w:r>
      <w:hyperlink r:id="rId9" w:history="1">
        <w:r w:rsidR="00E429F2" w:rsidRPr="00FF770E">
          <w:rPr>
            <w:rStyle w:val="Hyperlink1"/>
            <w:rFonts w:ascii="Arial" w:hAnsi="Arial"/>
            <w:color w:val="37393C"/>
            <w:sz w:val="22"/>
            <w:szCs w:val="22"/>
            <w:shd w:val="clear" w:color="auto" w:fill="FFFFFF"/>
          </w:rPr>
          <w:t>https://doi.org/10.4038/jnsfsr.v39i1.2920</w:t>
        </w:r>
      </w:hyperlink>
    </w:p>
    <w:p w14:paraId="3DFBF5D5" w14:textId="77777777" w:rsidR="00E429F2" w:rsidRPr="00FF770E" w:rsidRDefault="00E429F2">
      <w:pPr>
        <w:pStyle w:val="Default"/>
        <w:spacing w:before="0"/>
        <w:jc w:val="both"/>
        <w:rPr>
          <w:rFonts w:ascii="Arial" w:eastAsia="Arial" w:hAnsi="Arial" w:cs="Arial"/>
          <w:color w:val="37393C"/>
          <w:sz w:val="22"/>
          <w:szCs w:val="22"/>
          <w:shd w:val="clear" w:color="auto" w:fill="FFFFFF"/>
        </w:rPr>
      </w:pPr>
    </w:p>
    <w:p w14:paraId="0612CE04"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r w:rsidRPr="00FF770E">
        <w:rPr>
          <w:rFonts w:ascii="Arial" w:hAnsi="Arial"/>
          <w:color w:val="37393C"/>
          <w:sz w:val="22"/>
          <w:szCs w:val="22"/>
          <w:shd w:val="clear" w:color="auto" w:fill="FFFFFF"/>
        </w:rPr>
        <w:t xml:space="preserve">Dreiss, C. A. (2020). Hydrogel design strategies for drug delivery. </w:t>
      </w:r>
      <w:r w:rsidRPr="00FF770E">
        <w:rPr>
          <w:rStyle w:val="None"/>
          <w:rFonts w:ascii="Arial" w:hAnsi="Arial"/>
          <w:i/>
          <w:iCs/>
          <w:color w:val="37393C"/>
          <w:sz w:val="22"/>
          <w:szCs w:val="22"/>
          <w:shd w:val="clear" w:color="auto" w:fill="FFFFFF"/>
        </w:rPr>
        <w:t>Current Opinion in Colloid &amp; Interface Science</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48</w:t>
      </w:r>
      <w:r w:rsidRPr="00FF770E">
        <w:rPr>
          <w:rFonts w:ascii="Arial" w:hAnsi="Arial"/>
          <w:color w:val="37393C"/>
          <w:sz w:val="22"/>
          <w:szCs w:val="22"/>
          <w:shd w:val="clear" w:color="auto" w:fill="FFFFFF"/>
        </w:rPr>
        <w:t>, 1–17. https://doi.org/10.1016/j.cocis.2020.02.001</w:t>
      </w:r>
    </w:p>
    <w:p w14:paraId="1A761691" w14:textId="77777777" w:rsidR="00E429F2" w:rsidRPr="00FF770E" w:rsidRDefault="00E429F2">
      <w:pPr>
        <w:pStyle w:val="Default"/>
        <w:spacing w:before="0"/>
        <w:jc w:val="both"/>
        <w:rPr>
          <w:rStyle w:val="None"/>
          <w:rFonts w:ascii="Arial" w:eastAsia="Arial" w:hAnsi="Arial" w:cs="Arial"/>
          <w:color w:val="8A9096"/>
          <w:sz w:val="22"/>
          <w:szCs w:val="22"/>
          <w:shd w:val="clear" w:color="auto" w:fill="FFFFFF"/>
        </w:rPr>
      </w:pPr>
    </w:p>
    <w:p w14:paraId="3F4C8B79"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proofErr w:type="spellStart"/>
      <w:r w:rsidRPr="00FF770E">
        <w:rPr>
          <w:rFonts w:ascii="Arial" w:hAnsi="Arial"/>
          <w:color w:val="37393C"/>
          <w:sz w:val="22"/>
          <w:szCs w:val="22"/>
          <w:shd w:val="clear" w:color="auto" w:fill="FFFFFF"/>
        </w:rPr>
        <w:t>Durá</w:t>
      </w:r>
      <w:proofErr w:type="spellEnd"/>
      <w:r w:rsidRPr="00FF770E">
        <w:rPr>
          <w:rFonts w:ascii="Arial" w:hAnsi="Arial"/>
          <w:color w:val="37393C"/>
          <w:sz w:val="22"/>
          <w:szCs w:val="22"/>
          <w:shd w:val="clear" w:color="auto" w:fill="FFFFFF"/>
          <w:lang w:val="nl-NL"/>
        </w:rPr>
        <w:t>n, N., Dur</w:t>
      </w:r>
      <w:r w:rsidRPr="00FF770E">
        <w:rPr>
          <w:rFonts w:ascii="Arial" w:hAnsi="Arial"/>
          <w:color w:val="37393C"/>
          <w:sz w:val="22"/>
          <w:szCs w:val="22"/>
          <w:shd w:val="clear" w:color="auto" w:fill="FFFFFF"/>
        </w:rPr>
        <w:t>á</w:t>
      </w:r>
      <w:r w:rsidRPr="00FF770E">
        <w:rPr>
          <w:rFonts w:ascii="Arial" w:hAnsi="Arial"/>
          <w:color w:val="37393C"/>
          <w:sz w:val="22"/>
          <w:szCs w:val="22"/>
          <w:shd w:val="clear" w:color="auto" w:fill="FFFFFF"/>
          <w:lang w:val="sv-SE"/>
        </w:rPr>
        <w:t>n, M., de Jesus, M. B., Seabra, A. B., F</w:t>
      </w:r>
      <w:proofErr w:type="spellStart"/>
      <w:r w:rsidRPr="00FF770E">
        <w:rPr>
          <w:rFonts w:ascii="Arial" w:hAnsi="Arial"/>
          <w:color w:val="37393C"/>
          <w:sz w:val="22"/>
          <w:szCs w:val="22"/>
          <w:shd w:val="clear" w:color="auto" w:fill="FFFFFF"/>
        </w:rPr>
        <w:t>ávaro</w:t>
      </w:r>
      <w:proofErr w:type="spellEnd"/>
      <w:r w:rsidRPr="00FF770E">
        <w:rPr>
          <w:rFonts w:ascii="Arial" w:hAnsi="Arial"/>
          <w:color w:val="37393C"/>
          <w:sz w:val="22"/>
          <w:szCs w:val="22"/>
          <w:shd w:val="clear" w:color="auto" w:fill="FFFFFF"/>
        </w:rPr>
        <w:t xml:space="preserve">, W. J., &amp; Nakazato, G. (2016). Silver nanoparticles: A new view on mechanistic aspects on antimicrobial activity. </w:t>
      </w:r>
      <w:r w:rsidRPr="00FF770E">
        <w:rPr>
          <w:rStyle w:val="None"/>
          <w:rFonts w:ascii="Arial" w:hAnsi="Arial"/>
          <w:i/>
          <w:iCs/>
          <w:color w:val="37393C"/>
          <w:sz w:val="22"/>
          <w:szCs w:val="22"/>
          <w:shd w:val="clear" w:color="auto" w:fill="FFFFFF"/>
        </w:rPr>
        <w:t>Nanomedicine: Nanotechnology, Biology, and Medicine</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12</w:t>
      </w:r>
      <w:r w:rsidRPr="00FF770E">
        <w:rPr>
          <w:rFonts w:ascii="Arial" w:hAnsi="Arial"/>
          <w:color w:val="37393C"/>
          <w:sz w:val="22"/>
          <w:szCs w:val="22"/>
          <w:shd w:val="clear" w:color="auto" w:fill="FFFFFF"/>
        </w:rPr>
        <w:t>(3), 789–799. https://doi.org/10.1016/j.nano.2015.11.016</w:t>
      </w:r>
    </w:p>
    <w:p w14:paraId="768F6FC7" w14:textId="77777777" w:rsidR="00E429F2" w:rsidRPr="00FF770E" w:rsidRDefault="00E429F2">
      <w:pPr>
        <w:pStyle w:val="Default"/>
        <w:spacing w:before="0"/>
        <w:jc w:val="both"/>
        <w:rPr>
          <w:rStyle w:val="None"/>
          <w:rFonts w:ascii="Arial" w:eastAsia="Arial" w:hAnsi="Arial" w:cs="Arial"/>
          <w:color w:val="8A9096"/>
          <w:sz w:val="22"/>
          <w:szCs w:val="22"/>
          <w:shd w:val="clear" w:color="auto" w:fill="FFFFFF"/>
        </w:rPr>
      </w:pPr>
    </w:p>
    <w:p w14:paraId="77C028CA"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proofErr w:type="spellStart"/>
      <w:r w:rsidRPr="00FF770E">
        <w:rPr>
          <w:rFonts w:ascii="Arial" w:hAnsi="Arial"/>
          <w:color w:val="37393C"/>
          <w:sz w:val="22"/>
          <w:szCs w:val="22"/>
          <w:shd w:val="clear" w:color="auto" w:fill="FFFFFF"/>
        </w:rPr>
        <w:t>Frediansyah</w:t>
      </w:r>
      <w:proofErr w:type="spellEnd"/>
      <w:r w:rsidRPr="00FF770E">
        <w:rPr>
          <w:rFonts w:ascii="Arial" w:hAnsi="Arial"/>
          <w:color w:val="37393C"/>
          <w:sz w:val="22"/>
          <w:szCs w:val="22"/>
          <w:shd w:val="clear" w:color="auto" w:fill="FFFFFF"/>
        </w:rPr>
        <w:t xml:space="preserve">, A. (2021). The antiviral activity of iota-, kappa-, and lambda-carrageenan against COVID-19: A critical review. </w:t>
      </w:r>
      <w:r w:rsidRPr="00FF770E">
        <w:rPr>
          <w:rStyle w:val="None"/>
          <w:rFonts w:ascii="Arial" w:hAnsi="Arial"/>
          <w:i/>
          <w:iCs/>
          <w:color w:val="37393C"/>
          <w:sz w:val="22"/>
          <w:szCs w:val="22"/>
          <w:shd w:val="clear" w:color="auto" w:fill="FFFFFF"/>
        </w:rPr>
        <w:t>Clinical Epidemiology and Global Health</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12</w:t>
      </w:r>
      <w:r w:rsidRPr="00FF770E">
        <w:rPr>
          <w:rFonts w:ascii="Arial" w:hAnsi="Arial"/>
          <w:color w:val="37393C"/>
          <w:sz w:val="22"/>
          <w:szCs w:val="22"/>
          <w:shd w:val="clear" w:color="auto" w:fill="FFFFFF"/>
        </w:rPr>
        <w:t xml:space="preserve">(100826), 100826. </w:t>
      </w:r>
      <w:hyperlink r:id="rId10" w:history="1">
        <w:r w:rsidR="00E429F2" w:rsidRPr="00FF770E">
          <w:rPr>
            <w:rStyle w:val="Hyperlink1"/>
            <w:rFonts w:ascii="Arial" w:hAnsi="Arial"/>
            <w:color w:val="37393C"/>
            <w:sz w:val="22"/>
            <w:szCs w:val="22"/>
            <w:shd w:val="clear" w:color="auto" w:fill="FFFFFF"/>
          </w:rPr>
          <w:t>https://doi.org/10.1016/j.cegh.2021.100826</w:t>
        </w:r>
      </w:hyperlink>
    </w:p>
    <w:p w14:paraId="21E9C532"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r w:rsidRPr="00FF770E">
        <w:rPr>
          <w:rFonts w:ascii="Arial" w:hAnsi="Arial"/>
          <w:color w:val="37393C"/>
          <w:sz w:val="22"/>
          <w:szCs w:val="22"/>
          <w:shd w:val="clear" w:color="auto" w:fill="FFFFFF"/>
        </w:rPr>
        <w:t xml:space="preserve">Hoffman, A. S. (n.d.). Hydrogels for biomedical applications. </w:t>
      </w:r>
      <w:r w:rsidRPr="00FF770E">
        <w:rPr>
          <w:rStyle w:val="None"/>
          <w:rFonts w:ascii="Arial" w:hAnsi="Arial"/>
          <w:i/>
          <w:iCs/>
          <w:color w:val="37393C"/>
          <w:sz w:val="22"/>
          <w:szCs w:val="22"/>
          <w:shd w:val="clear" w:color="auto" w:fill="FFFFFF"/>
        </w:rPr>
        <w:t>Advanced Drug Delivery Reviews 2012</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64</w:t>
      </w:r>
      <w:r w:rsidRPr="00FF770E">
        <w:rPr>
          <w:rFonts w:ascii="Arial" w:hAnsi="Arial"/>
          <w:color w:val="37393C"/>
          <w:sz w:val="22"/>
          <w:szCs w:val="22"/>
          <w:shd w:val="clear" w:color="auto" w:fill="FFFFFF"/>
        </w:rPr>
        <w:t>, 18–23.</w:t>
      </w:r>
    </w:p>
    <w:p w14:paraId="203ED3BA" w14:textId="77777777" w:rsidR="00E429F2" w:rsidRPr="00FF770E" w:rsidRDefault="00E429F2">
      <w:pPr>
        <w:pStyle w:val="Default"/>
        <w:spacing w:before="0"/>
        <w:jc w:val="both"/>
        <w:rPr>
          <w:rStyle w:val="None"/>
          <w:rFonts w:ascii="Arial" w:eastAsia="Arial" w:hAnsi="Arial" w:cs="Arial"/>
          <w:color w:val="8A9096"/>
          <w:sz w:val="22"/>
          <w:szCs w:val="22"/>
          <w:shd w:val="clear" w:color="auto" w:fill="FFFFFF"/>
        </w:rPr>
      </w:pPr>
    </w:p>
    <w:p w14:paraId="254D41C4"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r w:rsidRPr="00FF770E">
        <w:rPr>
          <w:rFonts w:ascii="Arial" w:hAnsi="Arial"/>
          <w:color w:val="37393C"/>
          <w:sz w:val="22"/>
          <w:szCs w:val="22"/>
          <w:shd w:val="clear" w:color="auto" w:fill="FFFFFF"/>
        </w:rPr>
        <w:lastRenderedPageBreak/>
        <w:t xml:space="preserve">Iravani, S., </w:t>
      </w:r>
      <w:proofErr w:type="spellStart"/>
      <w:r w:rsidRPr="00FF770E">
        <w:rPr>
          <w:rFonts w:ascii="Arial" w:hAnsi="Arial"/>
          <w:color w:val="37393C"/>
          <w:sz w:val="22"/>
          <w:szCs w:val="22"/>
          <w:shd w:val="clear" w:color="auto" w:fill="FFFFFF"/>
        </w:rPr>
        <w:t>Korbekandi</w:t>
      </w:r>
      <w:proofErr w:type="spellEnd"/>
      <w:r w:rsidRPr="00FF770E">
        <w:rPr>
          <w:rFonts w:ascii="Arial" w:hAnsi="Arial"/>
          <w:color w:val="37393C"/>
          <w:sz w:val="22"/>
          <w:szCs w:val="22"/>
          <w:shd w:val="clear" w:color="auto" w:fill="FFFFFF"/>
        </w:rPr>
        <w:t xml:space="preserve">, H., </w:t>
      </w:r>
      <w:proofErr w:type="spellStart"/>
      <w:r w:rsidRPr="00FF770E">
        <w:rPr>
          <w:rFonts w:ascii="Arial" w:hAnsi="Arial"/>
          <w:color w:val="37393C"/>
          <w:sz w:val="22"/>
          <w:szCs w:val="22"/>
          <w:shd w:val="clear" w:color="auto" w:fill="FFFFFF"/>
        </w:rPr>
        <w:t>Mirmohammadi</w:t>
      </w:r>
      <w:proofErr w:type="spellEnd"/>
      <w:r w:rsidRPr="00FF770E">
        <w:rPr>
          <w:rFonts w:ascii="Arial" w:hAnsi="Arial"/>
          <w:color w:val="37393C"/>
          <w:sz w:val="22"/>
          <w:szCs w:val="22"/>
          <w:shd w:val="clear" w:color="auto" w:fill="FFFFFF"/>
        </w:rPr>
        <w:t xml:space="preserve">, S. V., &amp; Zolfaghari, B. (2014). Synthesis of silver nanoparticles: chemical, physical and biological methods. </w:t>
      </w:r>
      <w:r w:rsidRPr="00FF770E">
        <w:rPr>
          <w:rStyle w:val="None"/>
          <w:rFonts w:ascii="Arial" w:hAnsi="Arial"/>
          <w:i/>
          <w:iCs/>
          <w:color w:val="37393C"/>
          <w:sz w:val="22"/>
          <w:szCs w:val="22"/>
          <w:shd w:val="clear" w:color="auto" w:fill="FFFFFF"/>
        </w:rPr>
        <w:t>Research in Pharmaceutical Sciences</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9</w:t>
      </w:r>
      <w:r w:rsidRPr="00FF770E">
        <w:rPr>
          <w:rFonts w:ascii="Arial" w:hAnsi="Arial"/>
          <w:color w:val="37393C"/>
          <w:sz w:val="22"/>
          <w:szCs w:val="22"/>
          <w:shd w:val="clear" w:color="auto" w:fill="FFFFFF"/>
        </w:rPr>
        <w:t>(6), 385–406.</w:t>
      </w:r>
    </w:p>
    <w:p w14:paraId="1FE0C2B7" w14:textId="77777777" w:rsidR="00E429F2" w:rsidRPr="00FF770E" w:rsidRDefault="00E429F2">
      <w:pPr>
        <w:pStyle w:val="Default"/>
        <w:spacing w:before="0"/>
        <w:jc w:val="both"/>
        <w:rPr>
          <w:rStyle w:val="None"/>
          <w:rFonts w:ascii="Arial" w:eastAsia="Arial" w:hAnsi="Arial" w:cs="Arial"/>
          <w:color w:val="8A9096"/>
          <w:sz w:val="22"/>
          <w:szCs w:val="22"/>
          <w:shd w:val="clear" w:color="auto" w:fill="FFFFFF"/>
        </w:rPr>
      </w:pPr>
    </w:p>
    <w:p w14:paraId="0C9A970A"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proofErr w:type="spellStart"/>
      <w:r w:rsidRPr="00FF770E">
        <w:rPr>
          <w:rFonts w:ascii="Arial" w:hAnsi="Arial"/>
          <w:color w:val="37393C"/>
          <w:sz w:val="22"/>
          <w:szCs w:val="22"/>
          <w:shd w:val="clear" w:color="auto" w:fill="FFFFFF"/>
        </w:rPr>
        <w:t>Jeevanandam</w:t>
      </w:r>
      <w:proofErr w:type="spellEnd"/>
      <w:r w:rsidRPr="00FF770E">
        <w:rPr>
          <w:rFonts w:ascii="Arial" w:hAnsi="Arial"/>
          <w:color w:val="37393C"/>
          <w:sz w:val="22"/>
          <w:szCs w:val="22"/>
          <w:shd w:val="clear" w:color="auto" w:fill="FFFFFF"/>
        </w:rPr>
        <w:t xml:space="preserve">, J., Barhoum, A., Chan, Y. S., Dufresne, A., &amp; Danquah, M. K. (2018). Review on nanoparticles and nanostructured materials: history, sources, toxicity and regulations. </w:t>
      </w:r>
      <w:r w:rsidRPr="00FF770E">
        <w:rPr>
          <w:rStyle w:val="None"/>
          <w:rFonts w:ascii="Arial" w:hAnsi="Arial"/>
          <w:i/>
          <w:iCs/>
          <w:color w:val="37393C"/>
          <w:sz w:val="22"/>
          <w:szCs w:val="22"/>
          <w:shd w:val="clear" w:color="auto" w:fill="FFFFFF"/>
        </w:rPr>
        <w:t>Beilstein Journal of Nanotechnology</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9</w:t>
      </w:r>
      <w:r w:rsidRPr="00FF770E">
        <w:rPr>
          <w:rFonts w:ascii="Arial" w:hAnsi="Arial"/>
          <w:color w:val="37393C"/>
          <w:sz w:val="22"/>
          <w:szCs w:val="22"/>
          <w:shd w:val="clear" w:color="auto" w:fill="FFFFFF"/>
        </w:rPr>
        <w:t>, 1050–</w:t>
      </w:r>
      <w:r w:rsidRPr="00FF770E">
        <w:rPr>
          <w:rFonts w:ascii="Arial" w:hAnsi="Arial"/>
          <w:color w:val="37393C"/>
          <w:sz w:val="22"/>
          <w:szCs w:val="22"/>
          <w:shd w:val="clear" w:color="auto" w:fill="FFFFFF"/>
          <w:lang w:val="pt-PT"/>
        </w:rPr>
        <w:t>1074. https://doi.org/10.3762/bjnano.9.98</w:t>
      </w:r>
    </w:p>
    <w:p w14:paraId="21A102B9" w14:textId="77777777" w:rsidR="00E429F2" w:rsidRPr="00FF770E" w:rsidRDefault="00E429F2">
      <w:pPr>
        <w:pStyle w:val="Default"/>
        <w:spacing w:before="0"/>
        <w:jc w:val="both"/>
        <w:rPr>
          <w:rFonts w:ascii="Arial" w:eastAsia="Arial" w:hAnsi="Arial" w:cs="Arial"/>
          <w:color w:val="37393C"/>
          <w:sz w:val="22"/>
          <w:szCs w:val="22"/>
          <w:shd w:val="clear" w:color="auto" w:fill="FFFFFF"/>
        </w:rPr>
      </w:pPr>
    </w:p>
    <w:p w14:paraId="38F22D81"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r w:rsidRPr="00FF770E">
        <w:rPr>
          <w:rFonts w:ascii="Arial" w:hAnsi="Arial"/>
          <w:color w:val="37393C"/>
          <w:sz w:val="22"/>
          <w:szCs w:val="22"/>
          <w:shd w:val="clear" w:color="auto" w:fill="FFFFFF"/>
        </w:rPr>
        <w:t xml:space="preserve">Khan, I., Saeed, K., &amp; Khan, I. (2019). Nanoparticles: Properties, applications and toxicities. </w:t>
      </w:r>
      <w:r w:rsidRPr="00FF770E">
        <w:rPr>
          <w:rStyle w:val="None"/>
          <w:rFonts w:ascii="Arial" w:hAnsi="Arial"/>
          <w:i/>
          <w:iCs/>
          <w:color w:val="37393C"/>
          <w:sz w:val="22"/>
          <w:szCs w:val="22"/>
          <w:shd w:val="clear" w:color="auto" w:fill="FFFFFF"/>
        </w:rPr>
        <w:t>Arabian Journal of Chemistry</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12</w:t>
      </w:r>
      <w:r w:rsidRPr="00FF770E">
        <w:rPr>
          <w:rFonts w:ascii="Arial" w:hAnsi="Arial"/>
          <w:color w:val="37393C"/>
          <w:sz w:val="22"/>
          <w:szCs w:val="22"/>
          <w:shd w:val="clear" w:color="auto" w:fill="FFFFFF"/>
        </w:rPr>
        <w:t>(7), 908–931. https://doi.org/10.1016/j.arabjc.2017.05.011</w:t>
      </w:r>
    </w:p>
    <w:p w14:paraId="3DC86D7A" w14:textId="77777777" w:rsidR="00E429F2" w:rsidRPr="00FF770E" w:rsidRDefault="00E429F2">
      <w:pPr>
        <w:pStyle w:val="Default"/>
        <w:spacing w:before="0"/>
        <w:jc w:val="both"/>
        <w:rPr>
          <w:rStyle w:val="None"/>
          <w:rFonts w:ascii="Arial" w:eastAsia="Arial" w:hAnsi="Arial" w:cs="Arial"/>
          <w:color w:val="8A9096"/>
          <w:sz w:val="22"/>
          <w:szCs w:val="22"/>
          <w:shd w:val="clear" w:color="auto" w:fill="FFFFFF"/>
        </w:rPr>
      </w:pPr>
    </w:p>
    <w:p w14:paraId="4D1CC353"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r w:rsidRPr="00FF770E">
        <w:rPr>
          <w:rFonts w:ascii="Arial" w:hAnsi="Arial"/>
          <w:color w:val="37393C"/>
          <w:sz w:val="22"/>
          <w:szCs w:val="22"/>
          <w:shd w:val="clear" w:color="auto" w:fill="FFFFFF"/>
        </w:rPr>
        <w:t xml:space="preserve">Li, J., &amp; Mooney, D. J. (2016). Designing hydrogels for controlled drug delivery. </w:t>
      </w:r>
      <w:r w:rsidRPr="00FF770E">
        <w:rPr>
          <w:rStyle w:val="None"/>
          <w:rFonts w:ascii="Arial" w:hAnsi="Arial"/>
          <w:i/>
          <w:iCs/>
          <w:color w:val="37393C"/>
          <w:sz w:val="22"/>
          <w:szCs w:val="22"/>
          <w:shd w:val="clear" w:color="auto" w:fill="FFFFFF"/>
        </w:rPr>
        <w:t>Nature Reviews. Materials</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1</w:t>
      </w:r>
      <w:r w:rsidRPr="00FF770E">
        <w:rPr>
          <w:rFonts w:ascii="Arial" w:hAnsi="Arial"/>
          <w:color w:val="37393C"/>
          <w:sz w:val="22"/>
          <w:szCs w:val="22"/>
          <w:shd w:val="clear" w:color="auto" w:fill="FFFFFF"/>
          <w:lang w:val="pt-PT"/>
        </w:rPr>
        <w:t>(12), 16071. https://doi.org/10.1038/natrevmats.2016.71</w:t>
      </w:r>
    </w:p>
    <w:p w14:paraId="637E3778" w14:textId="77777777" w:rsidR="00E429F2" w:rsidRPr="00FF770E" w:rsidRDefault="00E429F2">
      <w:pPr>
        <w:pStyle w:val="Default"/>
        <w:spacing w:before="0"/>
        <w:jc w:val="both"/>
        <w:rPr>
          <w:rStyle w:val="None"/>
          <w:rFonts w:ascii="Arial" w:eastAsia="Arial" w:hAnsi="Arial" w:cs="Arial"/>
          <w:color w:val="8A9096"/>
          <w:sz w:val="22"/>
          <w:szCs w:val="22"/>
          <w:shd w:val="clear" w:color="auto" w:fill="FFFFFF"/>
        </w:rPr>
      </w:pPr>
    </w:p>
    <w:p w14:paraId="7C22DB25"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r w:rsidRPr="00FF770E">
        <w:rPr>
          <w:rFonts w:ascii="Arial" w:hAnsi="Arial"/>
          <w:color w:val="37393C"/>
          <w:sz w:val="22"/>
          <w:szCs w:val="22"/>
          <w:shd w:val="clear" w:color="auto" w:fill="FFFFFF"/>
        </w:rPr>
        <w:t xml:space="preserve">Meran, Z., </w:t>
      </w:r>
      <w:proofErr w:type="spellStart"/>
      <w:r w:rsidRPr="00FF770E">
        <w:rPr>
          <w:rFonts w:ascii="Arial" w:hAnsi="Arial"/>
          <w:color w:val="37393C"/>
          <w:sz w:val="22"/>
          <w:szCs w:val="22"/>
          <w:shd w:val="clear" w:color="auto" w:fill="FFFFFF"/>
        </w:rPr>
        <w:t>Besinis</w:t>
      </w:r>
      <w:proofErr w:type="spellEnd"/>
      <w:r w:rsidRPr="00FF770E">
        <w:rPr>
          <w:rFonts w:ascii="Arial" w:hAnsi="Arial"/>
          <w:color w:val="37393C"/>
          <w:sz w:val="22"/>
          <w:szCs w:val="22"/>
          <w:shd w:val="clear" w:color="auto" w:fill="FFFFFF"/>
        </w:rPr>
        <w:t xml:space="preserve">, A., De Peralta, T., &amp; Handy, R. D. (2018). Antifungal properties and biocompatibility of silver nanoparticle coatings on silicone maxillofacial prostheses in vitro. </w:t>
      </w:r>
      <w:r w:rsidRPr="00FF770E">
        <w:rPr>
          <w:rStyle w:val="None"/>
          <w:rFonts w:ascii="Arial" w:hAnsi="Arial"/>
          <w:i/>
          <w:iCs/>
          <w:color w:val="37393C"/>
          <w:sz w:val="22"/>
          <w:szCs w:val="22"/>
          <w:shd w:val="clear" w:color="auto" w:fill="FFFFFF"/>
        </w:rPr>
        <w:t>Journal of Biomedical Materials Research. Part B, Applied Biomaterials</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106</w:t>
      </w:r>
      <w:r w:rsidRPr="00FF770E">
        <w:rPr>
          <w:rFonts w:ascii="Arial" w:hAnsi="Arial"/>
          <w:color w:val="37393C"/>
          <w:sz w:val="22"/>
          <w:szCs w:val="22"/>
          <w:shd w:val="clear" w:color="auto" w:fill="FFFFFF"/>
        </w:rPr>
        <w:t>(3), 1038–1051. https://doi.org/10.1002/jbm.b.33917</w:t>
      </w:r>
    </w:p>
    <w:p w14:paraId="603E1180" w14:textId="77777777" w:rsidR="00E429F2" w:rsidRPr="00FF770E" w:rsidRDefault="00E429F2">
      <w:pPr>
        <w:pStyle w:val="Default"/>
        <w:spacing w:before="0"/>
        <w:jc w:val="both"/>
        <w:rPr>
          <w:rStyle w:val="None"/>
          <w:rFonts w:ascii="Arial" w:eastAsia="Arial" w:hAnsi="Arial" w:cs="Arial"/>
          <w:color w:val="8A9096"/>
          <w:sz w:val="22"/>
          <w:szCs w:val="22"/>
          <w:shd w:val="clear" w:color="auto" w:fill="FFFFFF"/>
        </w:rPr>
      </w:pPr>
    </w:p>
    <w:p w14:paraId="48324D77"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proofErr w:type="spellStart"/>
      <w:r w:rsidRPr="00FF770E">
        <w:rPr>
          <w:rFonts w:ascii="Arial" w:hAnsi="Arial"/>
          <w:color w:val="37393C"/>
          <w:sz w:val="22"/>
          <w:szCs w:val="22"/>
          <w:shd w:val="clear" w:color="auto" w:fill="FFFFFF"/>
        </w:rPr>
        <w:t>Mourdikoudis</w:t>
      </w:r>
      <w:proofErr w:type="spellEnd"/>
      <w:r w:rsidRPr="00FF770E">
        <w:rPr>
          <w:rFonts w:ascii="Arial" w:hAnsi="Arial"/>
          <w:color w:val="37393C"/>
          <w:sz w:val="22"/>
          <w:szCs w:val="22"/>
          <w:shd w:val="clear" w:color="auto" w:fill="FFFFFF"/>
        </w:rPr>
        <w:t xml:space="preserve">, S., Biophysics Group, Department of Physics and Astronomy, University College London, London, WC1E 6BT, UK. </w:t>
      </w:r>
      <w:proofErr w:type="spellStart"/>
      <w:r w:rsidRPr="00FF770E">
        <w:rPr>
          <w:rFonts w:ascii="Arial" w:hAnsi="Arial"/>
          <w:color w:val="37393C"/>
          <w:sz w:val="22"/>
          <w:szCs w:val="22"/>
          <w:shd w:val="clear" w:color="auto" w:fill="FFFFFF"/>
        </w:rPr>
        <w:t>ntk</w:t>
      </w:r>
      <w:proofErr w:type="spellEnd"/>
      <w:r w:rsidRPr="00FF770E">
        <w:rPr>
          <w:rFonts w:ascii="Arial" w:hAnsi="Arial"/>
          <w:color w:val="37393C"/>
          <w:sz w:val="22"/>
          <w:szCs w:val="22"/>
          <w:shd w:val="clear" w:color="auto" w:fill="FFFFFF"/>
        </w:rPr>
        <w:t xml:space="preserve">. </w:t>
      </w:r>
      <w:proofErr w:type="spellStart"/>
      <w:r w:rsidRPr="00FF770E">
        <w:rPr>
          <w:rFonts w:ascii="Arial" w:hAnsi="Arial"/>
          <w:color w:val="37393C"/>
          <w:sz w:val="22"/>
          <w:szCs w:val="22"/>
          <w:shd w:val="clear" w:color="auto" w:fill="FFFFFF"/>
        </w:rPr>
        <w:t>thanh@ucl</w:t>
      </w:r>
      <w:proofErr w:type="spellEnd"/>
      <w:r w:rsidRPr="00FF770E">
        <w:rPr>
          <w:rFonts w:ascii="Arial" w:hAnsi="Arial"/>
          <w:color w:val="37393C"/>
          <w:sz w:val="22"/>
          <w:szCs w:val="22"/>
          <w:shd w:val="clear" w:color="auto" w:fill="FFFFFF"/>
        </w:rPr>
        <w:t xml:space="preserve">. ac. </w:t>
      </w:r>
      <w:proofErr w:type="spellStart"/>
      <w:r w:rsidRPr="00FF770E">
        <w:rPr>
          <w:rFonts w:ascii="Arial" w:hAnsi="Arial"/>
          <w:color w:val="37393C"/>
          <w:sz w:val="22"/>
          <w:szCs w:val="22"/>
          <w:shd w:val="clear" w:color="auto" w:fill="FFFFFF"/>
        </w:rPr>
        <w:t>uk</w:t>
      </w:r>
      <w:proofErr w:type="spellEnd"/>
      <w:r w:rsidRPr="00FF770E">
        <w:rPr>
          <w:rFonts w:ascii="Arial" w:hAnsi="Arial"/>
          <w:color w:val="37393C"/>
          <w:sz w:val="22"/>
          <w:szCs w:val="22"/>
          <w:shd w:val="clear" w:color="auto" w:fill="FFFFFF"/>
        </w:rPr>
        <w:t xml:space="preserve">, Pallares, R. M., &amp; Thanh, N. T. K. (2018). Characterization techniques for nanoparticles: comparison and complementarity upon studying nanoparticle properties. </w:t>
      </w:r>
      <w:r w:rsidRPr="00FF770E">
        <w:rPr>
          <w:rStyle w:val="None"/>
          <w:rFonts w:ascii="Arial" w:hAnsi="Arial"/>
          <w:i/>
          <w:iCs/>
          <w:color w:val="37393C"/>
          <w:sz w:val="22"/>
          <w:szCs w:val="22"/>
          <w:shd w:val="clear" w:color="auto" w:fill="FFFFFF"/>
          <w:lang w:val="it-IT"/>
        </w:rPr>
        <w:t>Nanoscale</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10</w:t>
      </w:r>
      <w:r w:rsidRPr="00FF770E">
        <w:rPr>
          <w:rFonts w:ascii="Arial" w:hAnsi="Arial"/>
          <w:color w:val="37393C"/>
          <w:sz w:val="22"/>
          <w:szCs w:val="22"/>
          <w:shd w:val="clear" w:color="auto" w:fill="FFFFFF"/>
        </w:rPr>
        <w:t>(27), 12871–12934. https://doi.org/10.1039/c8nr02278j</w:t>
      </w:r>
    </w:p>
    <w:p w14:paraId="4CD2B2A2" w14:textId="77777777" w:rsidR="00E429F2" w:rsidRPr="00FF770E" w:rsidRDefault="00E429F2">
      <w:pPr>
        <w:pStyle w:val="Default"/>
        <w:spacing w:before="0"/>
        <w:jc w:val="both"/>
        <w:rPr>
          <w:rStyle w:val="None"/>
          <w:rFonts w:ascii="Arial" w:eastAsia="Arial" w:hAnsi="Arial" w:cs="Arial"/>
          <w:color w:val="8A9096"/>
          <w:sz w:val="22"/>
          <w:szCs w:val="22"/>
          <w:shd w:val="clear" w:color="auto" w:fill="FFFFFF"/>
        </w:rPr>
      </w:pPr>
    </w:p>
    <w:p w14:paraId="4A1BD9FA" w14:textId="77777777" w:rsidR="00E429F2" w:rsidRPr="00FF770E" w:rsidRDefault="00000000">
      <w:pPr>
        <w:pStyle w:val="Default"/>
        <w:spacing w:before="0"/>
        <w:jc w:val="both"/>
        <w:rPr>
          <w:rStyle w:val="None"/>
          <w:rFonts w:ascii="Arial" w:eastAsia="Arial" w:hAnsi="Arial" w:cs="Arial"/>
          <w:color w:val="37393C"/>
          <w:sz w:val="22"/>
          <w:szCs w:val="22"/>
          <w:shd w:val="clear" w:color="auto" w:fill="FFFFFF"/>
        </w:rPr>
      </w:pPr>
      <w:r w:rsidRPr="00FF770E">
        <w:rPr>
          <w:rStyle w:val="None"/>
          <w:rFonts w:ascii="Arial" w:hAnsi="Arial"/>
          <w:color w:val="37393C"/>
          <w:sz w:val="22"/>
          <w:szCs w:val="22"/>
          <w:shd w:val="clear" w:color="auto" w:fill="FFFFFF"/>
          <w:lang w:val="de-DE"/>
        </w:rPr>
        <w:t xml:space="preserve">Nuss, K. M., &amp; Von Rechenberg, B. (2008). </w:t>
      </w:r>
      <w:r w:rsidRPr="00FF770E">
        <w:rPr>
          <w:rFonts w:ascii="Arial" w:hAnsi="Arial"/>
          <w:i/>
          <w:iCs/>
          <w:color w:val="37393C"/>
          <w:sz w:val="22"/>
          <w:szCs w:val="22"/>
          <w:shd w:val="clear" w:color="auto" w:fill="FFFFFF"/>
        </w:rPr>
        <w:t xml:space="preserve">Biocompatibility issues with modern implants in bone-a review for clinical orthopedics. The open </w:t>
      </w:r>
      <w:proofErr w:type="spellStart"/>
      <w:r w:rsidRPr="00FF770E">
        <w:rPr>
          <w:rFonts w:ascii="Arial" w:hAnsi="Arial"/>
          <w:i/>
          <w:iCs/>
          <w:color w:val="37393C"/>
          <w:sz w:val="22"/>
          <w:szCs w:val="22"/>
          <w:shd w:val="clear" w:color="auto" w:fill="FFFFFF"/>
        </w:rPr>
        <w:t>orthopaedics</w:t>
      </w:r>
      <w:proofErr w:type="spellEnd"/>
      <w:r w:rsidRPr="00FF770E">
        <w:rPr>
          <w:rFonts w:ascii="Arial" w:hAnsi="Arial"/>
          <w:i/>
          <w:iCs/>
          <w:color w:val="37393C"/>
          <w:sz w:val="22"/>
          <w:szCs w:val="22"/>
          <w:shd w:val="clear" w:color="auto" w:fill="FFFFFF"/>
        </w:rPr>
        <w:t xml:space="preserve"> journal</w:t>
      </w:r>
      <w:r w:rsidRPr="00FF770E">
        <w:rPr>
          <w:rStyle w:val="None"/>
          <w:rFonts w:ascii="Arial" w:hAnsi="Arial"/>
          <w:color w:val="37393C"/>
          <w:sz w:val="22"/>
          <w:szCs w:val="22"/>
          <w:shd w:val="clear" w:color="auto" w:fill="FFFFFF"/>
        </w:rPr>
        <w:t xml:space="preserve">. </w:t>
      </w:r>
      <w:r w:rsidRPr="00FF770E">
        <w:rPr>
          <w:rFonts w:ascii="Arial" w:hAnsi="Arial"/>
          <w:i/>
          <w:iCs/>
          <w:color w:val="37393C"/>
          <w:sz w:val="22"/>
          <w:szCs w:val="22"/>
          <w:shd w:val="clear" w:color="auto" w:fill="FFFFFF"/>
        </w:rPr>
        <w:t>2</w:t>
      </w:r>
      <w:r w:rsidRPr="00FF770E">
        <w:rPr>
          <w:rStyle w:val="None"/>
          <w:rFonts w:ascii="Arial" w:hAnsi="Arial"/>
          <w:color w:val="37393C"/>
          <w:sz w:val="22"/>
          <w:szCs w:val="22"/>
          <w:shd w:val="clear" w:color="auto" w:fill="FFFFFF"/>
        </w:rPr>
        <w:t>.</w:t>
      </w:r>
    </w:p>
    <w:p w14:paraId="29861F98" w14:textId="77777777" w:rsidR="00E429F2" w:rsidRPr="00FF770E" w:rsidRDefault="00E429F2">
      <w:pPr>
        <w:pStyle w:val="Default"/>
        <w:spacing w:before="0"/>
        <w:jc w:val="both"/>
        <w:rPr>
          <w:rStyle w:val="None"/>
          <w:rFonts w:ascii="Arial" w:eastAsia="Arial" w:hAnsi="Arial" w:cs="Arial"/>
          <w:color w:val="37393C"/>
          <w:sz w:val="22"/>
          <w:szCs w:val="22"/>
          <w:shd w:val="clear" w:color="auto" w:fill="FFFFFF"/>
        </w:rPr>
      </w:pPr>
    </w:p>
    <w:p w14:paraId="1976C08B" w14:textId="77777777" w:rsidR="00E429F2" w:rsidRPr="00FF770E" w:rsidRDefault="00000000">
      <w:pPr>
        <w:pStyle w:val="Default"/>
        <w:spacing w:before="0"/>
        <w:jc w:val="both"/>
        <w:rPr>
          <w:rStyle w:val="None"/>
          <w:rFonts w:ascii="Arial" w:eastAsia="Arial" w:hAnsi="Arial" w:cs="Arial"/>
          <w:color w:val="37393C"/>
          <w:sz w:val="22"/>
          <w:szCs w:val="22"/>
          <w:shd w:val="clear" w:color="auto" w:fill="FFFFFF"/>
        </w:rPr>
      </w:pPr>
      <w:r w:rsidRPr="00FF770E">
        <w:rPr>
          <w:rStyle w:val="None"/>
          <w:rFonts w:ascii="Arial" w:hAnsi="Arial"/>
          <w:color w:val="37393C"/>
          <w:sz w:val="22"/>
          <w:szCs w:val="22"/>
          <w:shd w:val="clear" w:color="auto" w:fill="FFFFFF"/>
        </w:rPr>
        <w:t xml:space="preserve">Pavlovic, M., &amp; Pavlovic, M. (2015). </w:t>
      </w:r>
      <w:r w:rsidRPr="00FF770E">
        <w:rPr>
          <w:rFonts w:ascii="Arial" w:hAnsi="Arial"/>
          <w:i/>
          <w:iCs/>
          <w:color w:val="37393C"/>
          <w:sz w:val="22"/>
          <w:szCs w:val="22"/>
          <w:shd w:val="clear" w:color="auto" w:fill="FFFFFF"/>
        </w:rPr>
        <w:t>What are biomaterials? Bioengineering: A Conceptual Approach</w:t>
      </w:r>
      <w:r w:rsidRPr="00FF770E">
        <w:rPr>
          <w:rStyle w:val="None"/>
          <w:rFonts w:ascii="Arial" w:hAnsi="Arial"/>
          <w:color w:val="37393C"/>
          <w:sz w:val="22"/>
          <w:szCs w:val="22"/>
          <w:shd w:val="clear" w:color="auto" w:fill="FFFFFF"/>
        </w:rPr>
        <w:t>. 229–244.</w:t>
      </w:r>
    </w:p>
    <w:p w14:paraId="7BC5626B" w14:textId="77777777" w:rsidR="00E429F2" w:rsidRPr="00FF770E" w:rsidRDefault="00000000">
      <w:pPr>
        <w:pStyle w:val="Default"/>
        <w:spacing w:before="0"/>
        <w:jc w:val="both"/>
        <w:rPr>
          <w:rFonts w:ascii="Arial" w:eastAsia="Arial" w:hAnsi="Arial" w:cs="Arial"/>
          <w:i/>
          <w:iCs/>
          <w:color w:val="37393C"/>
          <w:sz w:val="22"/>
          <w:szCs w:val="22"/>
          <w:shd w:val="clear" w:color="auto" w:fill="FFFFFF"/>
        </w:rPr>
      </w:pPr>
      <w:r w:rsidRPr="00FF770E">
        <w:rPr>
          <w:rFonts w:ascii="Arial" w:hAnsi="Arial"/>
          <w:i/>
          <w:iCs/>
          <w:color w:val="37393C"/>
          <w:sz w:val="22"/>
          <w:szCs w:val="22"/>
          <w:shd w:val="clear" w:color="auto" w:fill="FFFFFF"/>
        </w:rPr>
        <w:t xml:space="preserve">Peppas, N. A., Hilt, J. Z., </w:t>
      </w:r>
      <w:proofErr w:type="spellStart"/>
      <w:r w:rsidRPr="00FF770E">
        <w:rPr>
          <w:rFonts w:ascii="Arial" w:hAnsi="Arial"/>
          <w:i/>
          <w:iCs/>
          <w:color w:val="37393C"/>
          <w:sz w:val="22"/>
          <w:szCs w:val="22"/>
          <w:shd w:val="clear" w:color="auto" w:fill="FFFFFF"/>
        </w:rPr>
        <w:t>Khademhosseini</w:t>
      </w:r>
      <w:proofErr w:type="spellEnd"/>
      <w:r w:rsidRPr="00FF770E">
        <w:rPr>
          <w:rFonts w:ascii="Arial" w:hAnsi="Arial"/>
          <w:i/>
          <w:iCs/>
          <w:color w:val="37393C"/>
          <w:sz w:val="22"/>
          <w:szCs w:val="22"/>
          <w:shd w:val="clear" w:color="auto" w:fill="FFFFFF"/>
        </w:rPr>
        <w:t xml:space="preserve">, A., &amp; Langer, R. (2006). Hydrogels in biology and medicine: From molecular principles to </w:t>
      </w:r>
      <w:proofErr w:type="spellStart"/>
      <w:r w:rsidRPr="00FF770E">
        <w:rPr>
          <w:rFonts w:ascii="Arial" w:hAnsi="Arial"/>
          <w:i/>
          <w:iCs/>
          <w:color w:val="37393C"/>
          <w:sz w:val="22"/>
          <w:szCs w:val="22"/>
          <w:shd w:val="clear" w:color="auto" w:fill="FFFFFF"/>
        </w:rPr>
        <w:t>bionanotechnology</w:t>
      </w:r>
      <w:proofErr w:type="spellEnd"/>
      <w:r w:rsidRPr="00FF770E">
        <w:rPr>
          <w:rFonts w:ascii="Arial" w:hAnsi="Arial"/>
          <w:i/>
          <w:iCs/>
          <w:color w:val="37393C"/>
          <w:sz w:val="22"/>
          <w:szCs w:val="22"/>
          <w:shd w:val="clear" w:color="auto" w:fill="FFFFFF"/>
        </w:rPr>
        <w:t>. Advanced Materials (Deerfield Beach, Fla.), 18(11), 1345–</w:t>
      </w:r>
      <w:r w:rsidRPr="00FF770E">
        <w:rPr>
          <w:rFonts w:ascii="Arial" w:hAnsi="Arial"/>
          <w:i/>
          <w:iCs/>
          <w:color w:val="37393C"/>
          <w:sz w:val="22"/>
          <w:szCs w:val="22"/>
          <w:shd w:val="clear" w:color="auto" w:fill="FFFFFF"/>
          <w:lang w:val="pt-PT"/>
        </w:rPr>
        <w:t>1360. https://doi.org/10.1002/adma.200501612</w:t>
      </w:r>
    </w:p>
    <w:p w14:paraId="5E5D9F7A" w14:textId="77777777" w:rsidR="00E429F2" w:rsidRPr="00FF770E" w:rsidRDefault="00E429F2">
      <w:pPr>
        <w:pStyle w:val="Default"/>
        <w:spacing w:before="0"/>
        <w:jc w:val="both"/>
        <w:rPr>
          <w:rStyle w:val="None"/>
          <w:rFonts w:ascii="Arial" w:eastAsia="Arial" w:hAnsi="Arial" w:cs="Arial"/>
          <w:color w:val="8A9096"/>
          <w:sz w:val="22"/>
          <w:szCs w:val="22"/>
          <w:shd w:val="clear" w:color="auto" w:fill="FFFFFF"/>
        </w:rPr>
      </w:pPr>
    </w:p>
    <w:p w14:paraId="48BBE7DB"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r w:rsidRPr="00FF770E">
        <w:rPr>
          <w:rFonts w:ascii="Arial" w:hAnsi="Arial"/>
          <w:color w:val="37393C"/>
          <w:sz w:val="22"/>
          <w:szCs w:val="22"/>
          <w:shd w:val="clear" w:color="auto" w:fill="FFFFFF"/>
        </w:rPr>
        <w:t xml:space="preserve">Pereira, J. S., &amp; Faria, R. X. (2024). Molecular aspects of carrageenan in the pharmaceutical and food industries. </w:t>
      </w:r>
      <w:r w:rsidRPr="00FF770E">
        <w:rPr>
          <w:rStyle w:val="None"/>
          <w:rFonts w:ascii="Arial" w:hAnsi="Arial"/>
          <w:i/>
          <w:iCs/>
          <w:color w:val="37393C"/>
          <w:sz w:val="22"/>
          <w:szCs w:val="22"/>
          <w:shd w:val="clear" w:color="auto" w:fill="FFFFFF"/>
        </w:rPr>
        <w:t>Current Nutrition and Food Science</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20</w:t>
      </w:r>
      <w:r w:rsidRPr="00FF770E">
        <w:rPr>
          <w:rFonts w:ascii="Arial" w:hAnsi="Arial"/>
          <w:color w:val="37393C"/>
          <w:sz w:val="22"/>
          <w:szCs w:val="22"/>
          <w:shd w:val="clear" w:color="auto" w:fill="FFFFFF"/>
        </w:rPr>
        <w:t>(4), 466–475. https://doi.org/10.2174/1573401319666230418123401</w:t>
      </w:r>
    </w:p>
    <w:p w14:paraId="6BBAA2E9" w14:textId="77777777" w:rsidR="00E429F2" w:rsidRPr="00FF770E" w:rsidRDefault="00E429F2">
      <w:pPr>
        <w:pStyle w:val="Default"/>
        <w:spacing w:before="0"/>
        <w:jc w:val="both"/>
        <w:rPr>
          <w:rStyle w:val="None"/>
          <w:rFonts w:ascii="Arial" w:eastAsia="Arial" w:hAnsi="Arial" w:cs="Arial"/>
          <w:color w:val="8A9096"/>
          <w:sz w:val="22"/>
          <w:szCs w:val="22"/>
          <w:shd w:val="clear" w:color="auto" w:fill="FFFFFF"/>
        </w:rPr>
      </w:pPr>
    </w:p>
    <w:p w14:paraId="7208A320"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r w:rsidRPr="00FF770E">
        <w:rPr>
          <w:rFonts w:ascii="Arial" w:hAnsi="Arial"/>
          <w:color w:val="37393C"/>
          <w:sz w:val="22"/>
          <w:szCs w:val="22"/>
          <w:shd w:val="clear" w:color="auto" w:fill="FFFFFF"/>
        </w:rPr>
        <w:t xml:space="preserve">Pişkin, E. (1997). Biomaterials in different forms for tissue engineering: an overview, Materials science forum. </w:t>
      </w:r>
      <w:r w:rsidRPr="00FF770E">
        <w:rPr>
          <w:rStyle w:val="None"/>
          <w:rFonts w:ascii="Arial" w:hAnsi="Arial"/>
          <w:i/>
          <w:iCs/>
          <w:color w:val="37393C"/>
          <w:sz w:val="22"/>
          <w:szCs w:val="22"/>
          <w:shd w:val="clear" w:color="auto" w:fill="FFFFFF"/>
          <w:lang w:val="nl-NL"/>
        </w:rPr>
        <w:t>Trans Tech Publ</w:t>
      </w:r>
      <w:r w:rsidRPr="00FF770E">
        <w:rPr>
          <w:rFonts w:ascii="Arial" w:hAnsi="Arial"/>
          <w:color w:val="37393C"/>
          <w:sz w:val="22"/>
          <w:szCs w:val="22"/>
          <w:shd w:val="clear" w:color="auto" w:fill="FFFFFF"/>
        </w:rPr>
        <w:t>, 1–14.</w:t>
      </w:r>
    </w:p>
    <w:p w14:paraId="506704C6" w14:textId="77777777" w:rsidR="00E429F2" w:rsidRPr="00FF770E" w:rsidRDefault="00E429F2">
      <w:pPr>
        <w:pStyle w:val="Default"/>
        <w:spacing w:before="0"/>
        <w:jc w:val="both"/>
        <w:rPr>
          <w:rStyle w:val="None"/>
          <w:rFonts w:ascii="Arial" w:eastAsia="Arial" w:hAnsi="Arial" w:cs="Arial"/>
          <w:color w:val="8A9096"/>
          <w:sz w:val="22"/>
          <w:szCs w:val="22"/>
          <w:shd w:val="clear" w:color="auto" w:fill="FFFFFF"/>
        </w:rPr>
      </w:pPr>
    </w:p>
    <w:p w14:paraId="1B2F0D67"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r w:rsidRPr="00FF770E">
        <w:rPr>
          <w:rFonts w:ascii="Arial" w:hAnsi="Arial"/>
          <w:color w:val="37393C"/>
          <w:sz w:val="22"/>
          <w:szCs w:val="22"/>
          <w:shd w:val="clear" w:color="auto" w:fill="FFFFFF"/>
        </w:rPr>
        <w:t xml:space="preserve">Rai, M., Yadav, A., &amp; Gade, A. (2009). Silver nanoparticles as a new generation of antimicrobials. </w:t>
      </w:r>
      <w:r w:rsidRPr="00FF770E">
        <w:rPr>
          <w:rStyle w:val="None"/>
          <w:rFonts w:ascii="Arial" w:hAnsi="Arial"/>
          <w:i/>
          <w:iCs/>
          <w:color w:val="37393C"/>
          <w:sz w:val="22"/>
          <w:szCs w:val="22"/>
          <w:shd w:val="clear" w:color="auto" w:fill="FFFFFF"/>
        </w:rPr>
        <w:t>Biotechnology Advances</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27</w:t>
      </w:r>
      <w:r w:rsidRPr="00FF770E">
        <w:rPr>
          <w:rFonts w:ascii="Arial" w:hAnsi="Arial"/>
          <w:color w:val="37393C"/>
          <w:sz w:val="22"/>
          <w:szCs w:val="22"/>
          <w:shd w:val="clear" w:color="auto" w:fill="FFFFFF"/>
        </w:rPr>
        <w:t>(1), 76–</w:t>
      </w:r>
      <w:r w:rsidRPr="00FF770E">
        <w:rPr>
          <w:rFonts w:ascii="Arial" w:hAnsi="Arial"/>
          <w:color w:val="37393C"/>
          <w:sz w:val="22"/>
          <w:szCs w:val="22"/>
          <w:shd w:val="clear" w:color="auto" w:fill="FFFFFF"/>
          <w:lang w:val="pt-PT"/>
        </w:rPr>
        <w:t>83. https://doi.org/10.1016/j.biotechadv.2008.09.002</w:t>
      </w:r>
    </w:p>
    <w:p w14:paraId="7721EA5A" w14:textId="77777777" w:rsidR="00E429F2" w:rsidRPr="00FF770E" w:rsidRDefault="00E429F2">
      <w:pPr>
        <w:pStyle w:val="Default"/>
        <w:spacing w:before="0"/>
        <w:jc w:val="both"/>
        <w:rPr>
          <w:rStyle w:val="None"/>
          <w:rFonts w:ascii="Arial" w:eastAsia="Arial" w:hAnsi="Arial" w:cs="Arial"/>
          <w:color w:val="8A9096"/>
          <w:sz w:val="22"/>
          <w:szCs w:val="22"/>
          <w:shd w:val="clear" w:color="auto" w:fill="FFFFFF"/>
        </w:rPr>
      </w:pPr>
    </w:p>
    <w:p w14:paraId="6B2878E7"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r w:rsidRPr="00FF770E">
        <w:rPr>
          <w:rFonts w:ascii="Arial" w:hAnsi="Arial"/>
          <w:color w:val="37393C"/>
          <w:sz w:val="22"/>
          <w:szCs w:val="22"/>
          <w:shd w:val="clear" w:color="auto" w:fill="FFFFFF"/>
        </w:rPr>
        <w:t xml:space="preserve">Ross-Murphy, S. B., &amp; McEvoy, H. (1986). Fundamentals of hydrogels and gelation. </w:t>
      </w:r>
      <w:r w:rsidRPr="00FF770E">
        <w:rPr>
          <w:rStyle w:val="None"/>
          <w:rFonts w:ascii="Arial" w:hAnsi="Arial"/>
          <w:i/>
          <w:iCs/>
          <w:color w:val="37393C"/>
          <w:sz w:val="22"/>
          <w:szCs w:val="22"/>
          <w:shd w:val="clear" w:color="auto" w:fill="FFFFFF"/>
        </w:rPr>
        <w:t>British Polymer Journal</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18</w:t>
      </w:r>
      <w:r w:rsidRPr="00FF770E">
        <w:rPr>
          <w:rFonts w:ascii="Arial" w:hAnsi="Arial"/>
          <w:color w:val="37393C"/>
          <w:sz w:val="22"/>
          <w:szCs w:val="22"/>
          <w:shd w:val="clear" w:color="auto" w:fill="FFFFFF"/>
        </w:rPr>
        <w:t>(1), 2–7. https://doi.org/10.1002/pi.4980180103</w:t>
      </w:r>
    </w:p>
    <w:p w14:paraId="0AB319A7" w14:textId="77777777" w:rsidR="00E429F2" w:rsidRPr="00FF770E" w:rsidRDefault="00E429F2">
      <w:pPr>
        <w:pStyle w:val="Default"/>
        <w:spacing w:before="0"/>
        <w:jc w:val="both"/>
        <w:rPr>
          <w:rFonts w:ascii="Arial" w:eastAsia="Arial" w:hAnsi="Arial" w:cs="Arial"/>
          <w:color w:val="37393C"/>
          <w:sz w:val="22"/>
          <w:szCs w:val="22"/>
          <w:shd w:val="clear" w:color="auto" w:fill="FFFFFF"/>
        </w:rPr>
      </w:pPr>
    </w:p>
    <w:p w14:paraId="13EBC628"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proofErr w:type="spellStart"/>
      <w:r w:rsidRPr="00FF770E">
        <w:rPr>
          <w:rFonts w:ascii="Arial" w:hAnsi="Arial"/>
          <w:color w:val="37393C"/>
          <w:sz w:val="22"/>
          <w:szCs w:val="22"/>
          <w:shd w:val="clear" w:color="auto" w:fill="FFFFFF"/>
        </w:rPr>
        <w:t>Satchanska</w:t>
      </w:r>
      <w:proofErr w:type="spellEnd"/>
      <w:r w:rsidRPr="00FF770E">
        <w:rPr>
          <w:rFonts w:ascii="Arial" w:hAnsi="Arial"/>
          <w:color w:val="37393C"/>
          <w:sz w:val="22"/>
          <w:szCs w:val="22"/>
          <w:shd w:val="clear" w:color="auto" w:fill="FFFFFF"/>
        </w:rPr>
        <w:t xml:space="preserve">, G., Davidova, S., &amp; Petrov, P. D. (2024). Natural and synthetic polymers for biomedical and environmental applications. </w:t>
      </w:r>
      <w:r w:rsidRPr="00FF770E">
        <w:rPr>
          <w:rStyle w:val="None"/>
          <w:rFonts w:ascii="Arial" w:hAnsi="Arial"/>
          <w:i/>
          <w:iCs/>
          <w:color w:val="37393C"/>
          <w:sz w:val="22"/>
          <w:szCs w:val="22"/>
          <w:shd w:val="clear" w:color="auto" w:fill="FFFFFF"/>
        </w:rPr>
        <w:t>Polymers</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16</w:t>
      </w:r>
      <w:r w:rsidRPr="00FF770E">
        <w:rPr>
          <w:rFonts w:ascii="Arial" w:hAnsi="Arial"/>
          <w:color w:val="37393C"/>
          <w:sz w:val="22"/>
          <w:szCs w:val="22"/>
          <w:shd w:val="clear" w:color="auto" w:fill="FFFFFF"/>
        </w:rPr>
        <w:t>(8), 1159. https://doi.org/10.3390/polym16081159</w:t>
      </w:r>
    </w:p>
    <w:p w14:paraId="571D9FA2" w14:textId="77777777" w:rsidR="00E429F2" w:rsidRPr="00FF770E" w:rsidRDefault="00E429F2">
      <w:pPr>
        <w:pStyle w:val="Default"/>
        <w:spacing w:before="0"/>
        <w:jc w:val="both"/>
        <w:rPr>
          <w:rStyle w:val="None"/>
          <w:rFonts w:ascii="Arial" w:eastAsia="Arial" w:hAnsi="Arial" w:cs="Arial"/>
          <w:color w:val="8A9096"/>
          <w:sz w:val="22"/>
          <w:szCs w:val="22"/>
          <w:shd w:val="clear" w:color="auto" w:fill="FFFFFF"/>
        </w:rPr>
      </w:pPr>
    </w:p>
    <w:p w14:paraId="2681DF0C"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proofErr w:type="spellStart"/>
      <w:r w:rsidRPr="00FF770E">
        <w:rPr>
          <w:rFonts w:ascii="Arial" w:hAnsi="Arial"/>
          <w:color w:val="37393C"/>
          <w:sz w:val="22"/>
          <w:szCs w:val="22"/>
          <w:shd w:val="clear" w:color="auto" w:fill="FFFFFF"/>
        </w:rPr>
        <w:t>Shnoudeh</w:t>
      </w:r>
      <w:proofErr w:type="spellEnd"/>
      <w:r w:rsidRPr="00FF770E">
        <w:rPr>
          <w:rFonts w:ascii="Arial" w:hAnsi="Arial"/>
          <w:color w:val="37393C"/>
          <w:sz w:val="22"/>
          <w:szCs w:val="22"/>
          <w:shd w:val="clear" w:color="auto" w:fill="FFFFFF"/>
        </w:rPr>
        <w:t xml:space="preserve">, A. J., Hamad, I., Abdo, R. W., </w:t>
      </w:r>
      <w:proofErr w:type="spellStart"/>
      <w:r w:rsidRPr="00FF770E">
        <w:rPr>
          <w:rFonts w:ascii="Arial" w:hAnsi="Arial"/>
          <w:color w:val="37393C"/>
          <w:sz w:val="22"/>
          <w:szCs w:val="22"/>
          <w:shd w:val="clear" w:color="auto" w:fill="FFFFFF"/>
        </w:rPr>
        <w:t>Qadumii</w:t>
      </w:r>
      <w:proofErr w:type="spellEnd"/>
      <w:r w:rsidRPr="00FF770E">
        <w:rPr>
          <w:rFonts w:ascii="Arial" w:hAnsi="Arial"/>
          <w:color w:val="37393C"/>
          <w:sz w:val="22"/>
          <w:szCs w:val="22"/>
          <w:shd w:val="clear" w:color="auto" w:fill="FFFFFF"/>
        </w:rPr>
        <w:t xml:space="preserve">, L., Jaber, A. Y., </w:t>
      </w:r>
      <w:proofErr w:type="spellStart"/>
      <w:r w:rsidRPr="00FF770E">
        <w:rPr>
          <w:rFonts w:ascii="Arial" w:hAnsi="Arial"/>
          <w:color w:val="37393C"/>
          <w:sz w:val="22"/>
          <w:szCs w:val="22"/>
          <w:shd w:val="clear" w:color="auto" w:fill="FFFFFF"/>
        </w:rPr>
        <w:t>Surchi</w:t>
      </w:r>
      <w:proofErr w:type="spellEnd"/>
      <w:r w:rsidRPr="00FF770E">
        <w:rPr>
          <w:rFonts w:ascii="Arial" w:hAnsi="Arial"/>
          <w:color w:val="37393C"/>
          <w:sz w:val="22"/>
          <w:szCs w:val="22"/>
          <w:shd w:val="clear" w:color="auto" w:fill="FFFFFF"/>
        </w:rPr>
        <w:t xml:space="preserve">, H. S., &amp; </w:t>
      </w:r>
      <w:proofErr w:type="spellStart"/>
      <w:r w:rsidRPr="00FF770E">
        <w:rPr>
          <w:rFonts w:ascii="Arial" w:hAnsi="Arial"/>
          <w:color w:val="37393C"/>
          <w:sz w:val="22"/>
          <w:szCs w:val="22"/>
          <w:shd w:val="clear" w:color="auto" w:fill="FFFFFF"/>
        </w:rPr>
        <w:t>Alkelany</w:t>
      </w:r>
      <w:proofErr w:type="spellEnd"/>
      <w:r w:rsidRPr="00FF770E">
        <w:rPr>
          <w:rFonts w:ascii="Arial" w:hAnsi="Arial"/>
          <w:color w:val="37393C"/>
          <w:sz w:val="22"/>
          <w:szCs w:val="22"/>
          <w:shd w:val="clear" w:color="auto" w:fill="FFFFFF"/>
        </w:rPr>
        <w:t xml:space="preserve">, S. Z. (2019). Synthesis, characterization, and applications of metal nanoparticles. In </w:t>
      </w:r>
      <w:r w:rsidRPr="00FF770E">
        <w:rPr>
          <w:rStyle w:val="None"/>
          <w:rFonts w:ascii="Arial" w:hAnsi="Arial"/>
          <w:i/>
          <w:iCs/>
          <w:color w:val="37393C"/>
          <w:sz w:val="22"/>
          <w:szCs w:val="22"/>
          <w:shd w:val="clear" w:color="auto" w:fill="FFFFFF"/>
        </w:rPr>
        <w:t xml:space="preserve">Biomaterials and </w:t>
      </w:r>
      <w:proofErr w:type="spellStart"/>
      <w:r w:rsidRPr="00FF770E">
        <w:rPr>
          <w:rStyle w:val="None"/>
          <w:rFonts w:ascii="Arial" w:hAnsi="Arial"/>
          <w:i/>
          <w:iCs/>
          <w:color w:val="37393C"/>
          <w:sz w:val="22"/>
          <w:szCs w:val="22"/>
          <w:shd w:val="clear" w:color="auto" w:fill="FFFFFF"/>
        </w:rPr>
        <w:t>Bionanotechnology</w:t>
      </w:r>
      <w:proofErr w:type="spellEnd"/>
      <w:r w:rsidRPr="00FF770E">
        <w:rPr>
          <w:rFonts w:ascii="Arial" w:hAnsi="Arial"/>
          <w:color w:val="37393C"/>
          <w:sz w:val="22"/>
          <w:szCs w:val="22"/>
          <w:shd w:val="clear" w:color="auto" w:fill="FFFFFF"/>
        </w:rPr>
        <w:t xml:space="preserve"> (pp. 527–612). Elsevier.</w:t>
      </w:r>
    </w:p>
    <w:p w14:paraId="5F5696FD" w14:textId="77777777" w:rsidR="00E429F2" w:rsidRPr="00FF770E" w:rsidRDefault="00E429F2">
      <w:pPr>
        <w:pStyle w:val="Default"/>
        <w:spacing w:before="0"/>
        <w:jc w:val="both"/>
        <w:rPr>
          <w:rStyle w:val="None"/>
          <w:rFonts w:ascii="Arial" w:eastAsia="Arial" w:hAnsi="Arial" w:cs="Arial"/>
          <w:color w:val="8A9096"/>
          <w:sz w:val="22"/>
          <w:szCs w:val="22"/>
          <w:shd w:val="clear" w:color="auto" w:fill="FFFFFF"/>
        </w:rPr>
      </w:pPr>
    </w:p>
    <w:p w14:paraId="17EB5AA1"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r w:rsidRPr="00FF770E">
        <w:rPr>
          <w:rFonts w:ascii="Arial" w:hAnsi="Arial"/>
          <w:color w:val="37393C"/>
          <w:sz w:val="22"/>
          <w:szCs w:val="22"/>
          <w:shd w:val="clear" w:color="auto" w:fill="FFFFFF"/>
        </w:rPr>
        <w:t xml:space="preserve">Wang, Z., Ye, Q., Yu, S., &amp; Akhavan, B. (2023). Poly ethylene glycol (PEG)-based hydrogels for drug delivery in cancer therapy: A comprehensive review. </w:t>
      </w:r>
      <w:r w:rsidRPr="00FF770E">
        <w:rPr>
          <w:rStyle w:val="None"/>
          <w:rFonts w:ascii="Arial" w:hAnsi="Arial"/>
          <w:i/>
          <w:iCs/>
          <w:color w:val="37393C"/>
          <w:sz w:val="22"/>
          <w:szCs w:val="22"/>
          <w:shd w:val="clear" w:color="auto" w:fill="FFFFFF"/>
        </w:rPr>
        <w:t>Advanced Healthcare Materials</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12</w:t>
      </w:r>
      <w:r w:rsidRPr="00FF770E">
        <w:rPr>
          <w:rFonts w:ascii="Arial" w:hAnsi="Arial"/>
          <w:color w:val="37393C"/>
          <w:sz w:val="22"/>
          <w:szCs w:val="22"/>
          <w:shd w:val="clear" w:color="auto" w:fill="FFFFFF"/>
        </w:rPr>
        <w:t>(18), e2300105. https://doi.org/10.1002/adhm.202300105</w:t>
      </w:r>
    </w:p>
    <w:p w14:paraId="3B00897C" w14:textId="77777777" w:rsidR="00E429F2" w:rsidRPr="00FF770E" w:rsidRDefault="00E429F2">
      <w:pPr>
        <w:pStyle w:val="Default"/>
        <w:spacing w:before="0"/>
        <w:jc w:val="both"/>
        <w:rPr>
          <w:rStyle w:val="None"/>
          <w:rFonts w:ascii="Arial" w:eastAsia="Arial" w:hAnsi="Arial" w:cs="Arial"/>
          <w:color w:val="8A9096"/>
          <w:sz w:val="22"/>
          <w:szCs w:val="22"/>
          <w:shd w:val="clear" w:color="auto" w:fill="FFFFFF"/>
        </w:rPr>
      </w:pPr>
    </w:p>
    <w:p w14:paraId="1EA74054"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r w:rsidRPr="00FF770E">
        <w:rPr>
          <w:rFonts w:ascii="Arial" w:hAnsi="Arial"/>
          <w:color w:val="37393C"/>
          <w:sz w:val="22"/>
          <w:szCs w:val="22"/>
          <w:shd w:val="clear" w:color="auto" w:fill="FFFFFF"/>
        </w:rPr>
        <w:t xml:space="preserve">Wasilewska, A., Klekotka, U., </w:t>
      </w:r>
      <w:proofErr w:type="spellStart"/>
      <w:r w:rsidRPr="00FF770E">
        <w:rPr>
          <w:rFonts w:ascii="Arial" w:hAnsi="Arial"/>
          <w:color w:val="37393C"/>
          <w:sz w:val="22"/>
          <w:szCs w:val="22"/>
          <w:shd w:val="clear" w:color="auto" w:fill="FFFFFF"/>
        </w:rPr>
        <w:t>Zambrzycka</w:t>
      </w:r>
      <w:proofErr w:type="spellEnd"/>
      <w:r w:rsidRPr="00FF770E">
        <w:rPr>
          <w:rFonts w:ascii="Arial" w:hAnsi="Arial"/>
          <w:color w:val="37393C"/>
          <w:sz w:val="22"/>
          <w:szCs w:val="22"/>
          <w:shd w:val="clear" w:color="auto" w:fill="FFFFFF"/>
        </w:rPr>
        <w:t xml:space="preserve">, M., Zambrowski, G., </w:t>
      </w:r>
      <w:proofErr w:type="spellStart"/>
      <w:r w:rsidRPr="00FF770E">
        <w:rPr>
          <w:rFonts w:ascii="Arial" w:hAnsi="Arial"/>
          <w:color w:val="37393C"/>
          <w:sz w:val="22"/>
          <w:szCs w:val="22"/>
          <w:shd w:val="clear" w:color="auto" w:fill="FFFFFF"/>
        </w:rPr>
        <w:t>Święcicka</w:t>
      </w:r>
      <w:proofErr w:type="spellEnd"/>
      <w:r w:rsidRPr="00FF770E">
        <w:rPr>
          <w:rFonts w:ascii="Arial" w:hAnsi="Arial"/>
          <w:color w:val="37393C"/>
          <w:sz w:val="22"/>
          <w:szCs w:val="22"/>
          <w:shd w:val="clear" w:color="auto" w:fill="FFFFFF"/>
        </w:rPr>
        <w:t xml:space="preserve">, I., &amp; </w:t>
      </w:r>
      <w:proofErr w:type="spellStart"/>
      <w:r w:rsidRPr="00FF770E">
        <w:rPr>
          <w:rFonts w:ascii="Arial" w:hAnsi="Arial"/>
          <w:color w:val="37393C"/>
          <w:sz w:val="22"/>
          <w:szCs w:val="22"/>
          <w:shd w:val="clear" w:color="auto" w:fill="FFFFFF"/>
        </w:rPr>
        <w:t>Kalska-Szostko</w:t>
      </w:r>
      <w:proofErr w:type="spellEnd"/>
      <w:r w:rsidRPr="00FF770E">
        <w:rPr>
          <w:rFonts w:ascii="Arial" w:hAnsi="Arial"/>
          <w:color w:val="37393C"/>
          <w:sz w:val="22"/>
          <w:szCs w:val="22"/>
          <w:shd w:val="clear" w:color="auto" w:fill="FFFFFF"/>
        </w:rPr>
        <w:t xml:space="preserve">, B. (2023). </w:t>
      </w:r>
      <w:proofErr w:type="spellStart"/>
      <w:r w:rsidRPr="00FF770E">
        <w:rPr>
          <w:rFonts w:ascii="Arial" w:hAnsi="Arial"/>
          <w:color w:val="37393C"/>
          <w:sz w:val="22"/>
          <w:szCs w:val="22"/>
          <w:shd w:val="clear" w:color="auto" w:fill="FFFFFF"/>
        </w:rPr>
        <w:t>Physico</w:t>
      </w:r>
      <w:proofErr w:type="spellEnd"/>
      <w:r w:rsidRPr="00FF770E">
        <w:rPr>
          <w:rFonts w:ascii="Arial" w:hAnsi="Arial"/>
          <w:color w:val="37393C"/>
          <w:sz w:val="22"/>
          <w:szCs w:val="22"/>
          <w:shd w:val="clear" w:color="auto" w:fill="FFFFFF"/>
        </w:rPr>
        <w:t xml:space="preserve">-chemical properties and antimicrobial activity of silver nanoparticles fabricated by green synthesis. </w:t>
      </w:r>
      <w:r w:rsidRPr="00FF770E">
        <w:rPr>
          <w:rStyle w:val="None"/>
          <w:rFonts w:ascii="Arial" w:hAnsi="Arial"/>
          <w:i/>
          <w:iCs/>
          <w:color w:val="37393C"/>
          <w:sz w:val="22"/>
          <w:szCs w:val="22"/>
          <w:shd w:val="clear" w:color="auto" w:fill="FFFFFF"/>
        </w:rPr>
        <w:t>Food Chemistry</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400</w:t>
      </w:r>
      <w:r w:rsidRPr="00FF770E">
        <w:rPr>
          <w:rFonts w:ascii="Arial" w:hAnsi="Arial"/>
          <w:color w:val="37393C"/>
          <w:sz w:val="22"/>
          <w:szCs w:val="22"/>
          <w:shd w:val="clear" w:color="auto" w:fill="FFFFFF"/>
        </w:rPr>
        <w:t xml:space="preserve">(133960), 133960. </w:t>
      </w:r>
      <w:hyperlink r:id="rId11" w:history="1">
        <w:r w:rsidR="00E429F2" w:rsidRPr="00FF770E">
          <w:rPr>
            <w:rStyle w:val="Hyperlink1"/>
            <w:rFonts w:ascii="Arial" w:hAnsi="Arial"/>
            <w:color w:val="37393C"/>
            <w:sz w:val="22"/>
            <w:szCs w:val="22"/>
            <w:shd w:val="clear" w:color="auto" w:fill="FFFFFF"/>
          </w:rPr>
          <w:t>https://doi.org/10.1016/j.foodchem.2022.133960</w:t>
        </w:r>
      </w:hyperlink>
    </w:p>
    <w:p w14:paraId="115B87AC" w14:textId="77777777" w:rsidR="00E429F2" w:rsidRPr="00FF770E" w:rsidRDefault="00E429F2">
      <w:pPr>
        <w:pStyle w:val="Default"/>
        <w:spacing w:before="0"/>
        <w:jc w:val="both"/>
        <w:rPr>
          <w:rFonts w:ascii="Arial" w:eastAsia="Arial" w:hAnsi="Arial" w:cs="Arial"/>
          <w:color w:val="37393C"/>
          <w:sz w:val="22"/>
          <w:szCs w:val="22"/>
          <w:shd w:val="clear" w:color="auto" w:fill="FFFFFF"/>
        </w:rPr>
      </w:pPr>
    </w:p>
    <w:p w14:paraId="7F708AF3" w14:textId="77777777" w:rsidR="00E429F2" w:rsidRPr="00FF770E" w:rsidRDefault="00000000">
      <w:pPr>
        <w:pStyle w:val="Default"/>
        <w:spacing w:before="0"/>
        <w:jc w:val="both"/>
        <w:rPr>
          <w:rFonts w:ascii="Arial" w:eastAsia="Arial" w:hAnsi="Arial" w:cs="Arial"/>
          <w:color w:val="37393C"/>
          <w:sz w:val="22"/>
          <w:szCs w:val="22"/>
          <w:shd w:val="clear" w:color="auto" w:fill="FFFFFF"/>
        </w:rPr>
      </w:pPr>
      <w:r w:rsidRPr="00FF770E">
        <w:rPr>
          <w:rFonts w:ascii="Arial" w:hAnsi="Arial"/>
          <w:color w:val="37393C"/>
          <w:sz w:val="22"/>
          <w:szCs w:val="22"/>
          <w:shd w:val="clear" w:color="auto" w:fill="FFFFFF"/>
        </w:rPr>
        <w:t xml:space="preserve">Yermak, I. M., </w:t>
      </w:r>
      <w:proofErr w:type="spellStart"/>
      <w:r w:rsidRPr="00FF770E">
        <w:rPr>
          <w:rFonts w:ascii="Arial" w:hAnsi="Arial"/>
          <w:color w:val="37393C"/>
          <w:sz w:val="22"/>
          <w:szCs w:val="22"/>
          <w:shd w:val="clear" w:color="auto" w:fill="FFFFFF"/>
        </w:rPr>
        <w:t>Barabanova</w:t>
      </w:r>
      <w:proofErr w:type="spellEnd"/>
      <w:r w:rsidRPr="00FF770E">
        <w:rPr>
          <w:rFonts w:ascii="Arial" w:hAnsi="Arial"/>
          <w:color w:val="37393C"/>
          <w:sz w:val="22"/>
          <w:szCs w:val="22"/>
          <w:shd w:val="clear" w:color="auto" w:fill="FFFFFF"/>
        </w:rPr>
        <w:t>, A. O., Aminin, D. L., Davydova, V. N., Sokolova, E. V., Solov</w:t>
      </w:r>
      <w:r w:rsidRPr="00FF770E">
        <w:rPr>
          <w:rFonts w:ascii="Arial" w:hAnsi="Arial"/>
          <w:color w:val="37393C"/>
          <w:sz w:val="22"/>
          <w:szCs w:val="22"/>
          <w:shd w:val="clear" w:color="auto" w:fill="FFFFFF"/>
          <w:rtl/>
        </w:rPr>
        <w:t>’</w:t>
      </w:r>
      <w:proofErr w:type="spellStart"/>
      <w:r w:rsidRPr="00FF770E">
        <w:rPr>
          <w:rFonts w:ascii="Arial" w:hAnsi="Arial"/>
          <w:color w:val="37393C"/>
          <w:sz w:val="22"/>
          <w:szCs w:val="22"/>
          <w:shd w:val="clear" w:color="auto" w:fill="FFFFFF"/>
        </w:rPr>
        <w:t>eva</w:t>
      </w:r>
      <w:proofErr w:type="spellEnd"/>
      <w:r w:rsidRPr="00FF770E">
        <w:rPr>
          <w:rFonts w:ascii="Arial" w:hAnsi="Arial"/>
          <w:color w:val="37393C"/>
          <w:sz w:val="22"/>
          <w:szCs w:val="22"/>
          <w:shd w:val="clear" w:color="auto" w:fill="FFFFFF"/>
        </w:rPr>
        <w:t xml:space="preserve">, T. F., Kim, Y. H., &amp; Shin, K. S. (2012). Effects of structural peculiarities of </w:t>
      </w:r>
      <w:proofErr w:type="spellStart"/>
      <w:r w:rsidRPr="00FF770E">
        <w:rPr>
          <w:rFonts w:ascii="Arial" w:hAnsi="Arial"/>
          <w:color w:val="37393C"/>
          <w:sz w:val="22"/>
          <w:szCs w:val="22"/>
          <w:shd w:val="clear" w:color="auto" w:fill="FFFFFF"/>
        </w:rPr>
        <w:t>carrageenans</w:t>
      </w:r>
      <w:proofErr w:type="spellEnd"/>
      <w:r w:rsidRPr="00FF770E">
        <w:rPr>
          <w:rFonts w:ascii="Arial" w:hAnsi="Arial"/>
          <w:color w:val="37393C"/>
          <w:sz w:val="22"/>
          <w:szCs w:val="22"/>
          <w:shd w:val="clear" w:color="auto" w:fill="FFFFFF"/>
        </w:rPr>
        <w:t xml:space="preserve"> on their immunomodulatory and anticoagulant activities. </w:t>
      </w:r>
      <w:r w:rsidRPr="00FF770E">
        <w:rPr>
          <w:rStyle w:val="None"/>
          <w:rFonts w:ascii="Arial" w:hAnsi="Arial"/>
          <w:i/>
          <w:iCs/>
          <w:color w:val="37393C"/>
          <w:sz w:val="22"/>
          <w:szCs w:val="22"/>
          <w:shd w:val="clear" w:color="auto" w:fill="FFFFFF"/>
        </w:rPr>
        <w:t>Carbohydrate Polymers</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87</w:t>
      </w:r>
      <w:r w:rsidRPr="00FF770E">
        <w:rPr>
          <w:rFonts w:ascii="Arial" w:hAnsi="Arial"/>
          <w:color w:val="37393C"/>
          <w:sz w:val="22"/>
          <w:szCs w:val="22"/>
          <w:shd w:val="clear" w:color="auto" w:fill="FFFFFF"/>
        </w:rPr>
        <w:t>(1), 713–720. https://doi.org/10.1016/j.carbpol.2011.08.053</w:t>
      </w:r>
    </w:p>
    <w:p w14:paraId="1B8F98B2" w14:textId="77777777" w:rsidR="00E429F2" w:rsidRPr="00FF770E" w:rsidRDefault="00E429F2">
      <w:pPr>
        <w:pStyle w:val="Default"/>
        <w:spacing w:before="0"/>
        <w:jc w:val="both"/>
        <w:rPr>
          <w:rStyle w:val="None"/>
          <w:rFonts w:ascii="Arial" w:eastAsia="Arial" w:hAnsi="Arial" w:cs="Arial"/>
          <w:color w:val="8A9096"/>
          <w:sz w:val="22"/>
          <w:szCs w:val="22"/>
          <w:shd w:val="clear" w:color="auto" w:fill="FFFFFF"/>
        </w:rPr>
      </w:pPr>
    </w:p>
    <w:p w14:paraId="6EE1A76C" w14:textId="77777777" w:rsidR="00E429F2" w:rsidRDefault="00000000">
      <w:pPr>
        <w:pStyle w:val="Default"/>
        <w:spacing w:before="0"/>
        <w:jc w:val="both"/>
        <w:rPr>
          <w:rStyle w:val="None"/>
          <w:rFonts w:ascii="Arial" w:eastAsia="Arial" w:hAnsi="Arial" w:cs="Arial"/>
          <w:b/>
          <w:bCs/>
          <w:color w:val="37393C"/>
          <w:sz w:val="22"/>
          <w:szCs w:val="22"/>
          <w:shd w:val="clear" w:color="auto" w:fill="FFFFFF"/>
        </w:rPr>
      </w:pPr>
      <w:r w:rsidRPr="00FF770E">
        <w:rPr>
          <w:rFonts w:ascii="Arial" w:hAnsi="Arial"/>
          <w:color w:val="37393C"/>
          <w:sz w:val="22"/>
          <w:szCs w:val="22"/>
          <w:shd w:val="clear" w:color="auto" w:fill="FFFFFF"/>
        </w:rPr>
        <w:t xml:space="preserve">Zhao, L., Zhou, Y., Zhang, J., Liang, H., Chen, X., &amp; Tan, H. (2023). Natural polymer-based hydrogels: From polymer to biomedical applications. </w:t>
      </w:r>
      <w:r w:rsidRPr="00FF770E">
        <w:rPr>
          <w:rStyle w:val="None"/>
          <w:rFonts w:ascii="Arial" w:hAnsi="Arial"/>
          <w:i/>
          <w:iCs/>
          <w:color w:val="37393C"/>
          <w:sz w:val="22"/>
          <w:szCs w:val="22"/>
          <w:shd w:val="clear" w:color="auto" w:fill="FFFFFF"/>
        </w:rPr>
        <w:t>Pharmaceutics</w:t>
      </w:r>
      <w:r w:rsidRPr="00FF770E">
        <w:rPr>
          <w:rFonts w:ascii="Arial" w:hAnsi="Arial"/>
          <w:color w:val="37393C"/>
          <w:sz w:val="22"/>
          <w:szCs w:val="22"/>
          <w:shd w:val="clear" w:color="auto" w:fill="FFFFFF"/>
        </w:rPr>
        <w:t xml:space="preserve">, </w:t>
      </w:r>
      <w:r w:rsidRPr="00FF770E">
        <w:rPr>
          <w:rStyle w:val="None"/>
          <w:rFonts w:ascii="Arial" w:hAnsi="Arial"/>
          <w:i/>
          <w:iCs/>
          <w:color w:val="37393C"/>
          <w:sz w:val="22"/>
          <w:szCs w:val="22"/>
          <w:shd w:val="clear" w:color="auto" w:fill="FFFFFF"/>
        </w:rPr>
        <w:t>15</w:t>
      </w:r>
      <w:r w:rsidRPr="00FF770E">
        <w:rPr>
          <w:rFonts w:ascii="Arial" w:hAnsi="Arial"/>
          <w:color w:val="37393C"/>
          <w:sz w:val="22"/>
          <w:szCs w:val="22"/>
          <w:shd w:val="clear" w:color="auto" w:fill="FFFFFF"/>
        </w:rPr>
        <w:t>(10), 2514. https://doi.org/10.3390/pharmaceutics15102514</w:t>
      </w:r>
    </w:p>
    <w:p w14:paraId="61E0D45E" w14:textId="77777777" w:rsidR="00E429F2" w:rsidRDefault="00E429F2">
      <w:pPr>
        <w:pStyle w:val="Default"/>
        <w:spacing w:before="0"/>
        <w:jc w:val="both"/>
        <w:rPr>
          <w:rStyle w:val="None"/>
          <w:rFonts w:ascii="Times New Roman" w:eastAsia="Times New Roman" w:hAnsi="Times New Roman" w:cs="Times New Roman"/>
          <w:b/>
          <w:bCs/>
          <w:u w:color="000000"/>
          <w14:textOutline w14:w="12700" w14:cap="flat" w14:cmpd="sng" w14:algn="ctr">
            <w14:noFill/>
            <w14:prstDash w14:val="solid"/>
            <w14:miter w14:lim="400000"/>
          </w14:textOutline>
        </w:rPr>
      </w:pPr>
    </w:p>
    <w:p w14:paraId="093FF6FD" w14:textId="77777777" w:rsidR="00E429F2" w:rsidRDefault="00E429F2">
      <w:pPr>
        <w:pStyle w:val="Default"/>
        <w:spacing w:before="0"/>
        <w:jc w:val="both"/>
        <w:rPr>
          <w:rStyle w:val="None"/>
          <w:rFonts w:ascii="Times New Roman" w:eastAsia="Times New Roman" w:hAnsi="Times New Roman" w:cs="Times New Roman"/>
          <w:b/>
          <w:bCs/>
          <w:u w:color="000000"/>
          <w14:textOutline w14:w="12700" w14:cap="flat" w14:cmpd="sng" w14:algn="ctr">
            <w14:noFill/>
            <w14:prstDash w14:val="solid"/>
            <w14:miter w14:lim="400000"/>
          </w14:textOutline>
        </w:rPr>
      </w:pPr>
    </w:p>
    <w:p w14:paraId="75F2FD68" w14:textId="77777777" w:rsidR="00E429F2" w:rsidRDefault="00E429F2">
      <w:pPr>
        <w:pStyle w:val="Default"/>
        <w:spacing w:before="0"/>
        <w:jc w:val="both"/>
        <w:rPr>
          <w:rStyle w:val="None"/>
          <w:rFonts w:ascii="Times New Roman" w:eastAsia="Times New Roman" w:hAnsi="Times New Roman" w:cs="Times New Roman"/>
          <w:b/>
          <w:bCs/>
          <w:u w:color="000000"/>
          <w14:textOutline w14:w="12700" w14:cap="flat" w14:cmpd="sng" w14:algn="ctr">
            <w14:noFill/>
            <w14:prstDash w14:val="solid"/>
            <w14:miter w14:lim="400000"/>
          </w14:textOutline>
        </w:rPr>
      </w:pPr>
    </w:p>
    <w:p w14:paraId="05F07326" w14:textId="77777777" w:rsidR="00E429F2" w:rsidRDefault="00E429F2">
      <w:pPr>
        <w:pStyle w:val="Default"/>
        <w:spacing w:before="0"/>
        <w:jc w:val="both"/>
      </w:pPr>
    </w:p>
    <w:sectPr w:rsidR="00E429F2">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331CF" w14:textId="77777777" w:rsidR="00683786" w:rsidRDefault="00683786">
      <w:r>
        <w:separator/>
      </w:r>
    </w:p>
  </w:endnote>
  <w:endnote w:type="continuationSeparator" w:id="0">
    <w:p w14:paraId="6A4B0941" w14:textId="77777777" w:rsidR="00683786" w:rsidRDefault="00683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00"/>
    <w:family w:val="roman"/>
    <w:pitch w:val="default"/>
  </w:font>
  <w:font w:name="Helvetica Neue">
    <w:altName w:val="SimSun"/>
    <w:charset w:val="00"/>
    <w:family w:val="roman"/>
    <w:pitch w:val="default"/>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91496" w14:textId="77777777" w:rsidR="0060315D" w:rsidRDefault="006031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507E6" w14:textId="77777777" w:rsidR="0060315D" w:rsidRDefault="006031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A8BB" w14:textId="77777777" w:rsidR="0060315D" w:rsidRDefault="006031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0CB10" w14:textId="77777777" w:rsidR="00683786" w:rsidRDefault="00683786">
      <w:r>
        <w:separator/>
      </w:r>
    </w:p>
  </w:footnote>
  <w:footnote w:type="continuationSeparator" w:id="0">
    <w:p w14:paraId="7E7D1B3C" w14:textId="77777777" w:rsidR="00683786" w:rsidRDefault="00683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56F5E" w14:textId="3DFF0259" w:rsidR="0060315D" w:rsidRDefault="0060315D">
    <w:pPr>
      <w:pStyle w:val="Header"/>
    </w:pPr>
    <w:r>
      <w:rPr>
        <w:noProof/>
      </w:rPr>
      <w:pict w14:anchorId="447E57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3672" o:spid="_x0000_s1026" type="#_x0000_t136" style="position:absolute;margin-left:0;margin-top:0;width:610.5pt;height:68.8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C8A13" w14:textId="11BC4B3A" w:rsidR="0060315D" w:rsidRDefault="0060315D">
    <w:pPr>
      <w:pStyle w:val="Header"/>
    </w:pPr>
    <w:r>
      <w:rPr>
        <w:noProof/>
      </w:rPr>
      <w:pict w14:anchorId="55D61A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3673" o:spid="_x0000_s1027" type="#_x0000_t136" style="position:absolute;margin-left:0;margin-top:0;width:610.5pt;height:68.8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DBD30" w14:textId="6CB6AE81" w:rsidR="0060315D" w:rsidRDefault="0060315D">
    <w:pPr>
      <w:pStyle w:val="Header"/>
    </w:pPr>
    <w:r>
      <w:rPr>
        <w:noProof/>
      </w:rPr>
      <w:pict w14:anchorId="498ACB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3671" o:spid="_x0000_s1025" type="#_x0000_t136" style="position:absolute;margin-left:0;margin-top:0;width:610.5pt;height:68.8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5CA1"/>
    <w:multiLevelType w:val="hybridMultilevel"/>
    <w:tmpl w:val="CD7A734E"/>
    <w:styleLink w:val="Numbered"/>
    <w:lvl w:ilvl="0" w:tplc="D960CF24">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tplc="589A7F12">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C940316">
      <w:start w:val="1"/>
      <w:numFmt w:val="decimal"/>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DE10CCD8">
      <w:start w:val="1"/>
      <w:numFmt w:val="decimal"/>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F5AC8BCA">
      <w:start w:val="1"/>
      <w:numFmt w:val="decimal"/>
      <w:lvlText w:val="%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4612A126">
      <w:start w:val="1"/>
      <w:numFmt w:val="decimal"/>
      <w:lvlText w:val="%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D2C201C4">
      <w:start w:val="1"/>
      <w:numFmt w:val="decimal"/>
      <w:lvlText w:val="%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D266104">
      <w:start w:val="1"/>
      <w:numFmt w:val="decimal"/>
      <w:lvlText w:val="%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17452A6">
      <w:start w:val="1"/>
      <w:numFmt w:val="decimal"/>
      <w:lvlText w:val="%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A075334"/>
    <w:multiLevelType w:val="hybridMultilevel"/>
    <w:tmpl w:val="CD7A734E"/>
    <w:numStyleLink w:val="Numbered"/>
  </w:abstractNum>
  <w:num w:numId="1" w16cid:durableId="412512784">
    <w:abstractNumId w:val="0"/>
  </w:num>
  <w:num w:numId="2" w16cid:durableId="741218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9F2"/>
    <w:rsid w:val="002967D2"/>
    <w:rsid w:val="003B797B"/>
    <w:rsid w:val="003E0B0F"/>
    <w:rsid w:val="005213AB"/>
    <w:rsid w:val="005C5DA3"/>
    <w:rsid w:val="0060315D"/>
    <w:rsid w:val="00683786"/>
    <w:rsid w:val="0076402A"/>
    <w:rsid w:val="00AF4F0B"/>
    <w:rsid w:val="00C72863"/>
    <w:rsid w:val="00E34A6E"/>
    <w:rsid w:val="00E429F2"/>
    <w:rsid w:val="00E72BF4"/>
    <w:rsid w:val="00F03029"/>
    <w:rsid w:val="00F138DE"/>
    <w:rsid w:val="00FF7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B26E3"/>
  <w15:docId w15:val="{59A48560-FDEC-4122-BB79-358364328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u w:val="single"/>
    </w:rPr>
  </w:style>
  <w:style w:type="numbering" w:customStyle="1" w:styleId="Numbered">
    <w:name w:val="Numbered"/>
    <w:pPr>
      <w:numPr>
        <w:numId w:val="1"/>
      </w:numPr>
    </w:p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character" w:customStyle="1" w:styleId="Hyperlink1">
    <w:name w:val="Hyperlink.1"/>
    <w:basedOn w:val="Hyperlink"/>
    <w:rPr>
      <w:u w:val="single"/>
    </w:rPr>
  </w:style>
  <w:style w:type="paragraph" w:styleId="Header">
    <w:name w:val="header"/>
    <w:basedOn w:val="Normal"/>
    <w:link w:val="HeaderChar"/>
    <w:uiPriority w:val="99"/>
    <w:unhideWhenUsed/>
    <w:rsid w:val="00E34A6E"/>
    <w:pPr>
      <w:tabs>
        <w:tab w:val="center" w:pos="4513"/>
        <w:tab w:val="right" w:pos="9026"/>
      </w:tabs>
    </w:pPr>
  </w:style>
  <w:style w:type="character" w:customStyle="1" w:styleId="HeaderChar">
    <w:name w:val="Header Char"/>
    <w:basedOn w:val="DefaultParagraphFont"/>
    <w:link w:val="Header"/>
    <w:uiPriority w:val="99"/>
    <w:rsid w:val="00E34A6E"/>
    <w:rPr>
      <w:sz w:val="24"/>
      <w:szCs w:val="24"/>
      <w:lang w:val="en-US" w:eastAsia="en-US"/>
    </w:rPr>
  </w:style>
  <w:style w:type="paragraph" w:styleId="Footer">
    <w:name w:val="footer"/>
    <w:basedOn w:val="Normal"/>
    <w:link w:val="FooterChar"/>
    <w:uiPriority w:val="99"/>
    <w:unhideWhenUsed/>
    <w:rsid w:val="00E34A6E"/>
    <w:pPr>
      <w:tabs>
        <w:tab w:val="center" w:pos="4513"/>
        <w:tab w:val="right" w:pos="9026"/>
      </w:tabs>
    </w:pPr>
  </w:style>
  <w:style w:type="character" w:customStyle="1" w:styleId="FooterChar">
    <w:name w:val="Footer Char"/>
    <w:basedOn w:val="DefaultParagraphFont"/>
    <w:link w:val="Footer"/>
    <w:uiPriority w:val="99"/>
    <w:rsid w:val="00E34A6E"/>
    <w:rPr>
      <w:sz w:val="24"/>
      <w:szCs w:val="24"/>
      <w:lang w:val="en-US" w:eastAsia="en-US"/>
    </w:rPr>
  </w:style>
  <w:style w:type="character" w:styleId="UnresolvedMention">
    <w:name w:val="Unresolved Mention"/>
    <w:basedOn w:val="DefaultParagraphFont"/>
    <w:uiPriority w:val="99"/>
    <w:semiHidden/>
    <w:unhideWhenUsed/>
    <w:rsid w:val="00E34A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foodchem.2022.13396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1016/j.cegh.2021.10082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4038/jnsfsr.v39i1.2920" TargetMode="External"/><Relationship Id="rId14"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4169</Words>
  <Characters>23766</Characters>
  <Application>Microsoft Office Word</Application>
  <DocSecurity>0</DocSecurity>
  <Lines>198</Lines>
  <Paragraphs>55</Paragraphs>
  <ScaleCrop>false</ScaleCrop>
  <Company/>
  <LinksUpToDate>false</LinksUpToDate>
  <CharactersWithSpaces>27880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SDI 1084</cp:lastModifiedBy>
  <cp:revision>9</cp:revision>
  <dcterms:created xsi:type="dcterms:W3CDTF">2026-06-01T09:31:00Z</dcterms:created>
  <dcterms:modified xsi:type="dcterms:W3CDTF">2026-06-03T13:13:00Z</dcterms:modified>
</cp:coreProperties>
</file>