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F3485" w14:paraId="30308A17" w14:textId="77777777" w:rsidTr="004F10F3">
        <w:trPr>
          <w:trHeight w:val="20"/>
          <w:jc w:val="center"/>
        </w:trPr>
        <w:tc>
          <w:tcPr>
            <w:tcW w:w="1186" w:type="pct"/>
          </w:tcPr>
          <w:p w14:paraId="3862F74D" w14:textId="77777777" w:rsidR="006F3485" w:rsidRDefault="004F10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7B61AD7" w14:textId="77777777" w:rsidR="006F3485" w:rsidRDefault="006F348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14:paraId="551C8FF4" w14:textId="77777777" w:rsidTr="004F10F3">
        <w:trPr>
          <w:trHeight w:val="20"/>
          <w:jc w:val="center"/>
        </w:trPr>
        <w:tc>
          <w:tcPr>
            <w:tcW w:w="1186" w:type="pct"/>
          </w:tcPr>
          <w:p w14:paraId="512E61FB" w14:textId="77777777" w:rsidR="006F3485" w:rsidRDefault="004F10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B71BAEA" w14:textId="77777777" w:rsidR="006F3485" w:rsidRDefault="00CE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E470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Ms_JIRMEPS_14877</w:t>
            </w:r>
          </w:p>
        </w:tc>
      </w:tr>
      <w:tr w:rsidR="006F3485" w14:paraId="79B0EB52" w14:textId="77777777" w:rsidTr="004F10F3">
        <w:trPr>
          <w:trHeight w:val="20"/>
          <w:jc w:val="center"/>
        </w:trPr>
        <w:tc>
          <w:tcPr>
            <w:tcW w:w="1186" w:type="pct"/>
          </w:tcPr>
          <w:p w14:paraId="43CB61AD" w14:textId="77777777" w:rsidR="006F3485" w:rsidRDefault="004F10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C6F021C" w14:textId="77777777" w:rsidR="006F3485" w:rsidRDefault="00CE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E470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Novel Drug Delivery Systems in Film-Forming Sprays: Formulation Principles, Polymeric Architectures, Therapeutic Applications, and Emerging Frontiers</w:t>
            </w:r>
          </w:p>
        </w:tc>
      </w:tr>
      <w:tr w:rsidR="006F3485" w14:paraId="79A6DBFF" w14:textId="77777777" w:rsidTr="004F10F3">
        <w:trPr>
          <w:trHeight w:val="20"/>
          <w:jc w:val="center"/>
        </w:trPr>
        <w:tc>
          <w:tcPr>
            <w:tcW w:w="1186" w:type="pct"/>
          </w:tcPr>
          <w:p w14:paraId="1340B26F" w14:textId="77777777" w:rsidR="006F3485" w:rsidRDefault="004F10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40A19BA" w14:textId="77777777" w:rsidR="006F3485" w:rsidRDefault="004F10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289C067" w14:textId="77777777" w:rsidR="006F3485" w:rsidRDefault="006F34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152C8C4" w14:textId="77777777" w:rsidR="006F3485" w:rsidRDefault="006F34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B7009D" w14:textId="77777777" w:rsidR="006F3485" w:rsidRDefault="006F3485">
      <w:pPr>
        <w:jc w:val="both"/>
        <w:rPr>
          <w:rFonts w:eastAsia="MS Mincho"/>
          <w:sz w:val="20"/>
          <w:szCs w:val="20"/>
          <w:lang w:val="en-GB"/>
        </w:rPr>
      </w:pPr>
    </w:p>
    <w:p w14:paraId="089F72C9" w14:textId="77777777" w:rsidR="006F3485" w:rsidRDefault="006F3485">
      <w:pPr>
        <w:jc w:val="both"/>
        <w:rPr>
          <w:rFonts w:eastAsia="MS Mincho"/>
          <w:sz w:val="20"/>
          <w:szCs w:val="20"/>
          <w:lang w:val="en-GB"/>
        </w:rPr>
      </w:pPr>
    </w:p>
    <w:p w14:paraId="68034449" w14:textId="77777777" w:rsidR="006F3485" w:rsidRDefault="004F10F3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05F985B" w14:textId="77777777" w:rsidR="006F3485" w:rsidRDefault="006F3485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4E64D438" w14:textId="77777777" w:rsidR="006F3485" w:rsidRDefault="006F3485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76BD94D3" w14:textId="77777777" w:rsidTr="004F10F3">
        <w:trPr>
          <w:trHeight w:val="20"/>
          <w:jc w:val="center"/>
        </w:trPr>
        <w:tc>
          <w:tcPr>
            <w:tcW w:w="1666" w:type="pct"/>
            <w:noWrap/>
          </w:tcPr>
          <w:p w14:paraId="0D2E372C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0749C2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A568D9" w14:textId="77777777" w:rsidR="006F3485" w:rsidRDefault="004F10F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B430B7" w14:textId="77777777" w:rsidR="006F3485" w:rsidRDefault="006F3485" w:rsidP="00965D4E">
            <w:pPr>
              <w:spacing w:after="160" w:line="259" w:lineRule="auto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25CAC27D" w14:textId="77777777" w:rsidTr="004F10F3">
        <w:trPr>
          <w:trHeight w:val="20"/>
          <w:jc w:val="center"/>
        </w:trPr>
        <w:tc>
          <w:tcPr>
            <w:tcW w:w="1666" w:type="pct"/>
            <w:noWrap/>
          </w:tcPr>
          <w:p w14:paraId="62035345" w14:textId="77777777" w:rsidR="006F3485" w:rsidRDefault="004F10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49E5835" w14:textId="77777777" w:rsidR="006F3485" w:rsidRDefault="006F34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AAB070" w14:textId="77777777" w:rsidR="006F3485" w:rsidRPr="002F4651" w:rsidRDefault="00C95A9B" w:rsidP="002F4651">
            <w:pPr>
              <w:contextualSpacing/>
            </w:pPr>
            <w:r>
              <w:t>This appro</w:t>
            </w:r>
            <w:r w:rsidR="00874F19">
              <w:t xml:space="preserve">ach acts as a hybrid technology </w:t>
            </w:r>
            <w:r>
              <w:t>combining the effortless application of a conventional spray with the sustained-release capabilities of a transdermal patch.</w:t>
            </w:r>
            <w:r w:rsidR="002F4651">
              <w:t xml:space="preserve"> It clearly establishes how FFS has evolved from a scientifically promising concept into a sophisticated platform that outperforms old-school creams and patches, especially on irregular skin surfaces.</w:t>
            </w:r>
          </w:p>
        </w:tc>
        <w:tc>
          <w:tcPr>
            <w:tcW w:w="1667" w:type="pct"/>
          </w:tcPr>
          <w:p w14:paraId="643F8197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35B73F1" w14:textId="77777777" w:rsidR="0067443A" w:rsidRDefault="0067443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67BC895" w14:textId="77777777" w:rsidR="0067443A" w:rsidRDefault="0067443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E93FE63" w14:textId="77777777" w:rsidR="006F3485" w:rsidRDefault="006F3485">
      <w:pPr>
        <w:rPr>
          <w:sz w:val="20"/>
          <w:szCs w:val="20"/>
          <w:lang w:val="en-GB"/>
        </w:rPr>
      </w:pPr>
    </w:p>
    <w:p w14:paraId="3E931905" w14:textId="77777777" w:rsidR="006F3485" w:rsidRDefault="006F3485">
      <w:pPr>
        <w:rPr>
          <w:sz w:val="20"/>
          <w:szCs w:val="20"/>
          <w:lang w:val="en-GB"/>
        </w:rPr>
      </w:pPr>
    </w:p>
    <w:p w14:paraId="2C33B4CD" w14:textId="77777777" w:rsidR="00B73797" w:rsidRDefault="00B73797" w:rsidP="00B7379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ABEA19" w14:textId="77777777" w:rsidR="006F3485" w:rsidRDefault="006F34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4C6974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0A1D1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8C9581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A507A1E" w14:textId="63BF18BA" w:rsidR="00965D4E" w:rsidRPr="0017497C" w:rsidRDefault="004F10F3" w:rsidP="00965D4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F3485" w14:paraId="18DC55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B80331" w14:textId="77777777" w:rsidR="006F3485" w:rsidRDefault="004F10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25F26C6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F47B5" w14:textId="77777777" w:rsidR="006F3485" w:rsidRDefault="004F10F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4EB30F" w14:textId="77777777" w:rsidR="006F3485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382B27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77EDAB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D4831F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B71A73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E6D9E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4016F3" w14:textId="77777777" w:rsidR="006F3485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7BD25DE" w14:textId="77777777" w:rsidR="00C66898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29B54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29F93C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DED9BE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7543127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E8B00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572CB4" w14:textId="77777777" w:rsidR="006F3485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85AEDF3" w14:textId="77777777" w:rsidR="00C66898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3676729" w14:textId="77777777" w:rsidR="00C66898" w:rsidRDefault="00C668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ED483F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3D592D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9D785B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91F2D24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3736E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00306" w14:textId="77777777" w:rsidR="006F3485" w:rsidRDefault="00245E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FC0E2A1" w14:textId="77777777" w:rsidR="00245EB3" w:rsidRDefault="00245E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C33871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54B37C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43C600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00FACDD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78356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26470C" w14:textId="77777777" w:rsidR="00695CD3" w:rsidRDefault="00B80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18051CE" w14:textId="77777777" w:rsidR="006F3485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should be stated more precisely</w:t>
            </w:r>
          </w:p>
          <w:p w14:paraId="02CF1965" w14:textId="77777777" w:rsidR="00695CD3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DDBBB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3792E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CD22A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40A759F8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34839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669757" w14:textId="77777777" w:rsidR="006F3485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3C895FD" w14:textId="77777777" w:rsidR="00695CD3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But practical research problems and limitations should be considered primarily.</w:t>
            </w:r>
          </w:p>
        </w:tc>
        <w:tc>
          <w:tcPr>
            <w:tcW w:w="1667" w:type="pct"/>
          </w:tcPr>
          <w:p w14:paraId="412EB2EC" w14:textId="77777777" w:rsidR="006F3485" w:rsidRDefault="003C473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 and manuscript is modified as per detailed suggestions.</w:t>
            </w:r>
          </w:p>
        </w:tc>
      </w:tr>
      <w:tr w:rsidR="006F3485" w14:paraId="603FF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ED656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7D15C83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6DB10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9EEDF9" w14:textId="77777777" w:rsidR="006F3485" w:rsidRDefault="00B80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421C385B" w14:textId="77777777" w:rsidR="00B80CB0" w:rsidRPr="00B80CB0" w:rsidRDefault="00B80CB0" w:rsidP="00B80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80CB0">
              <w:rPr>
                <w:b/>
                <w:bCs/>
                <w:sz w:val="20"/>
                <w:szCs w:val="20"/>
                <w:lang w:val="en-GB"/>
              </w:rPr>
              <w:t>Some Citations Are Not Current</w:t>
            </w:r>
          </w:p>
          <w:p w14:paraId="4FAADF2A" w14:textId="77777777" w:rsidR="00B80CB0" w:rsidRDefault="00B80CB0" w:rsidP="00B80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80CB0">
              <w:rPr>
                <w:b/>
                <w:bCs/>
                <w:sz w:val="20"/>
                <w:szCs w:val="20"/>
                <w:lang w:val="en-GB"/>
              </w:rPr>
              <w:t>Several foundational references (Barry, 2001; Siepmann &amp; Peppas, 2001; Ritger &amp; Peppas, 1987; Müller et al., 2000) are heavily dated.</w:t>
            </w:r>
          </w:p>
          <w:p w14:paraId="69401B82" w14:textId="77777777" w:rsidR="00B80CB0" w:rsidRDefault="00B80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80CB0">
              <w:rPr>
                <w:b/>
                <w:bCs/>
                <w:sz w:val="20"/>
                <w:szCs w:val="20"/>
                <w:lang w:val="en-GB"/>
              </w:rPr>
              <w:t xml:space="preserve">Revisit the </w:t>
            </w:r>
            <w:proofErr w:type="spellStart"/>
            <w:r w:rsidRPr="00B80CB0">
              <w:rPr>
                <w:b/>
                <w:bCs/>
                <w:sz w:val="20"/>
                <w:szCs w:val="20"/>
                <w:lang w:val="en-GB"/>
              </w:rPr>
              <w:t>Nastiti</w:t>
            </w:r>
            <w:proofErr w:type="spellEnd"/>
            <w:r w:rsidRPr="00B80CB0">
              <w:rPr>
                <w:b/>
                <w:bCs/>
                <w:sz w:val="20"/>
                <w:szCs w:val="20"/>
                <w:lang w:val="en-GB"/>
              </w:rPr>
              <w:t xml:space="preserve"> et al. (2017) citation and replace with a more directly relevant primary source for NLC-FFS permeation data.</w:t>
            </w:r>
          </w:p>
        </w:tc>
        <w:tc>
          <w:tcPr>
            <w:tcW w:w="1667" w:type="pct"/>
          </w:tcPr>
          <w:p w14:paraId="5B6C2E7B" w14:textId="77777777" w:rsidR="0067443A" w:rsidRDefault="003C473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agree that the citation window is large and it was designed purposefully to cover recent as well as influential old studies to provide a complete picture to the readers.</w:t>
            </w:r>
          </w:p>
        </w:tc>
      </w:tr>
      <w:tr w:rsidR="006F3485" w14:paraId="2EC3CA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47EA07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BE9C41D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587DF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0A28E4" w14:textId="77777777" w:rsidR="00695CD3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13CF731F" w14:textId="77777777" w:rsidR="008F0527" w:rsidRPr="008F0527" w:rsidRDefault="00695CD3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Step by step Systemic review process should be mentioned.</w:t>
            </w:r>
            <w:r w:rsidR="0016089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F0527" w:rsidRPr="008F0527">
              <w:rPr>
                <w:b/>
                <w:bCs/>
                <w:sz w:val="20"/>
                <w:szCs w:val="20"/>
                <w:lang w:val="en-GB"/>
              </w:rPr>
              <w:t>A proper scoping review or structured narrative review would require:</w:t>
            </w:r>
          </w:p>
          <w:p w14:paraId="188030E6" w14:textId="77777777" w:rsidR="008F0527" w:rsidRPr="008F0527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8E0A9B8" w14:textId="77777777" w:rsidR="008F0527" w:rsidRPr="008F0527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F0527">
              <w:rPr>
                <w:b/>
                <w:bCs/>
                <w:sz w:val="20"/>
                <w:szCs w:val="20"/>
                <w:lang w:val="en-GB"/>
              </w:rPr>
              <w:t>A PRISMA-</w:t>
            </w:r>
            <w:proofErr w:type="spellStart"/>
            <w:r w:rsidRPr="008F0527">
              <w:rPr>
                <w:b/>
                <w:bCs/>
                <w:sz w:val="20"/>
                <w:szCs w:val="20"/>
                <w:lang w:val="en-GB"/>
              </w:rPr>
              <w:t>ScR</w:t>
            </w:r>
            <w:proofErr w:type="spellEnd"/>
            <w:r w:rsidRPr="008F0527">
              <w:rPr>
                <w:b/>
                <w:bCs/>
                <w:sz w:val="20"/>
                <w:szCs w:val="20"/>
                <w:lang w:val="en-GB"/>
              </w:rPr>
              <w:t xml:space="preserve"> (PRISMA for Scoping Reviews) flow diagram documenting the number of records identified, screened, excluded, and included at each stage.</w:t>
            </w:r>
          </w:p>
          <w:p w14:paraId="2DDBBA3B" w14:textId="77777777" w:rsidR="008F0527" w:rsidRPr="008F0527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F0527">
              <w:rPr>
                <w:b/>
                <w:bCs/>
                <w:sz w:val="20"/>
                <w:szCs w:val="20"/>
                <w:lang w:val="en-GB"/>
              </w:rPr>
              <w:t>Pre-registration (e.g., PROSPERO or OSF) to minimise post-hoc bias.</w:t>
            </w:r>
          </w:p>
          <w:p w14:paraId="618440B9" w14:textId="77777777" w:rsidR="008F0527" w:rsidRPr="008F0527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F0527">
              <w:rPr>
                <w:b/>
                <w:bCs/>
                <w:sz w:val="20"/>
                <w:szCs w:val="20"/>
                <w:lang w:val="en-GB"/>
              </w:rPr>
              <w:t>More explicit documentation of how the "priority" for including studies with "rigorous experimental methodology" was operationalised.</w:t>
            </w:r>
          </w:p>
          <w:p w14:paraId="29B3EA80" w14:textId="77777777" w:rsidR="008F0527" w:rsidRDefault="008F0527" w:rsidP="008F05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F0527">
              <w:rPr>
                <w:b/>
                <w:bCs/>
                <w:sz w:val="20"/>
                <w:szCs w:val="20"/>
                <w:lang w:val="en-GB"/>
              </w:rPr>
              <w:t>Without these elements, the literature selection process remains opaque and the potential for cherry-picking of supportive studies cannot be ruled out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7637FC8D" w14:textId="77777777" w:rsidR="008F0527" w:rsidRDefault="008F0527" w:rsidP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09512" w14:textId="77777777" w:rsidR="006F3485" w:rsidRDefault="004D69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suggestions. It was explicitly declared that this is a Narrative review. Please see </w:t>
            </w:r>
            <w:r w:rsidRPr="004D6934">
              <w:rPr>
                <w:rFonts w:eastAsia="MS Mincho"/>
                <w:bCs/>
                <w:sz w:val="20"/>
                <w:szCs w:val="20"/>
                <w:lang w:val="en-GB"/>
              </w:rPr>
              <w:t>2. Methods for Literature Selection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br/>
              <w:t xml:space="preserve">PRISMA guideline is not mandatory for Narrative review.  </w:t>
            </w:r>
          </w:p>
        </w:tc>
      </w:tr>
      <w:tr w:rsidR="006F3485" w14:paraId="0FC06B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3A81BC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78FC89C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FF52C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D4D10" w14:textId="77777777" w:rsidR="006F3485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0FC21B82" w14:textId="77777777" w:rsidR="00695CD3" w:rsidRDefault="00695C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‘No Restrictions on databases’ is not cleared </w:t>
            </w: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why.</w:t>
            </w:r>
          </w:p>
        </w:tc>
        <w:tc>
          <w:tcPr>
            <w:tcW w:w="1667" w:type="pct"/>
          </w:tcPr>
          <w:p w14:paraId="24A602A6" w14:textId="77777777" w:rsidR="006F3485" w:rsidRDefault="004D69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Noted and corrected.</w:t>
            </w:r>
          </w:p>
        </w:tc>
      </w:tr>
      <w:tr w:rsidR="006F3485" w14:paraId="50067E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E9EFFC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0A87D80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36100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0D4479" w14:textId="77777777" w:rsidR="006F3485" w:rsidRDefault="006F34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089905" w14:textId="77777777" w:rsidR="00033D46" w:rsidRPr="00033D46" w:rsidRDefault="00033D4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E31E1A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10DCC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40AD5B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04752AD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B8FCA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08032A" w14:textId="77777777" w:rsidR="006F3485" w:rsidRPr="0016089D" w:rsidRDefault="00453EF8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6E205F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4B330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225F6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4970511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A2794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BD4C3B" w14:textId="77777777" w:rsidR="006F3485" w:rsidRPr="0016089D" w:rsidRDefault="00B80CB0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3</w:t>
            </w:r>
          </w:p>
          <w:p w14:paraId="5B2249D3" w14:textId="77777777" w:rsidR="00B80CB0" w:rsidRPr="0016089D" w:rsidRDefault="00B80CB0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Include a critical appraisal of the quality and limitations of key cited studies.</w:t>
            </w:r>
          </w:p>
          <w:p w14:paraId="4D770E0D" w14:textId="77777777" w:rsidR="00B80CB0" w:rsidRPr="0016089D" w:rsidRDefault="00B80CB0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Address propylene glycol systemic toxicity, inhalation risk, and ethanol concentration thresholds.</w:t>
            </w:r>
          </w:p>
        </w:tc>
        <w:tc>
          <w:tcPr>
            <w:tcW w:w="1667" w:type="pct"/>
          </w:tcPr>
          <w:p w14:paraId="6B62DFDD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corrected. Revised section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br/>
            </w:r>
            <w:r w:rsidRPr="002C2DDB">
              <w:rPr>
                <w:rFonts w:eastAsia="MS Mincho"/>
                <w:bCs/>
                <w:sz w:val="20"/>
                <w:szCs w:val="20"/>
                <w:lang w:val="en-GB"/>
              </w:rPr>
              <w:t>1.3 Scope and Objectives</w:t>
            </w:r>
          </w:p>
        </w:tc>
      </w:tr>
      <w:tr w:rsidR="006F3485" w14:paraId="281F93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45DC05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616A0DB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5C0E9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66BD5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43A545" w14:textId="77777777" w:rsidR="006F3485" w:rsidRPr="0016089D" w:rsidRDefault="0016089D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  <w:p w14:paraId="0E280835" w14:textId="77777777" w:rsidR="00366B7A" w:rsidRPr="0016089D" w:rsidRDefault="00366B7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&gt;50 references are expected in systematic review.</w:t>
            </w:r>
          </w:p>
        </w:tc>
        <w:tc>
          <w:tcPr>
            <w:tcW w:w="1667" w:type="pct"/>
          </w:tcPr>
          <w:p w14:paraId="30CF9F50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br/>
              <w:t xml:space="preserve">In section </w:t>
            </w:r>
            <w:r w:rsidRPr="002C2DDB">
              <w:rPr>
                <w:rFonts w:eastAsia="MS Mincho"/>
                <w:bCs/>
                <w:sz w:val="20"/>
                <w:szCs w:val="20"/>
                <w:lang w:val="en-GB"/>
              </w:rPr>
              <w:t>2.1 Review Approach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, it was mentioned that it is not a Systematic review.</w:t>
            </w:r>
          </w:p>
        </w:tc>
      </w:tr>
      <w:tr w:rsidR="006F3485" w14:paraId="1A229E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6BAF95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43BC589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613E0" w14:textId="77777777" w:rsidR="006F3485" w:rsidRDefault="004F1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0562EC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B0DCCF" w14:textId="77777777" w:rsidR="006F3485" w:rsidRPr="0016089D" w:rsidRDefault="00366B7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4</w:t>
            </w:r>
          </w:p>
          <w:p w14:paraId="6F13F2AC" w14:textId="77777777" w:rsidR="00366B7A" w:rsidRPr="0016089D" w:rsidRDefault="00366B7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As per Author’s guidelines of JIRMEPS word limit of review article is 5000 to 9000.</w:t>
            </w:r>
          </w:p>
          <w:p w14:paraId="6B51ABE4" w14:textId="77777777" w:rsidR="00366B7A" w:rsidRPr="0016089D" w:rsidRDefault="00366B7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In this manuscript it is exceed.</w:t>
            </w:r>
          </w:p>
        </w:tc>
        <w:tc>
          <w:tcPr>
            <w:tcW w:w="1667" w:type="pct"/>
          </w:tcPr>
          <w:p w14:paraId="373C29F6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As per the demand of the topic, suggestive word limits are crossed slightly. </w:t>
            </w:r>
          </w:p>
        </w:tc>
      </w:tr>
    </w:tbl>
    <w:p w14:paraId="3D146BD3" w14:textId="77777777" w:rsidR="006F3485" w:rsidRDefault="006F3485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37940DD" w14:textId="77777777" w:rsidR="006F3485" w:rsidRDefault="006F3485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DBA3580" w14:textId="77777777" w:rsidR="006F3485" w:rsidRDefault="004F10F3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A359D3" w14:textId="77777777" w:rsidR="006F3485" w:rsidRDefault="006F34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06CA46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B9C3E6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9D3D00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39F8CD" w14:textId="77777777" w:rsidR="006F3485" w:rsidRDefault="006F34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0A951C" w14:textId="77777777" w:rsidR="006F3485" w:rsidRDefault="004F10F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965D4E">
              <w:rPr>
                <w:rFonts w:eastAsia="Calibri"/>
                <w:b/>
                <w:bCs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r w:rsidRPr="00965D4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0C071556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629157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0465C8" w14:textId="77777777" w:rsidR="006F3485" w:rsidRDefault="004F10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C17495" w14:textId="77777777" w:rsidR="006F3485" w:rsidRDefault="006F3485">
            <w:pPr>
              <w:rPr>
                <w:bCs/>
                <w:sz w:val="20"/>
                <w:szCs w:val="20"/>
                <w:lang w:val="en-GB"/>
              </w:rPr>
            </w:pPr>
          </w:p>
          <w:p w14:paraId="10A26A8C" w14:textId="77777777" w:rsidR="006F3485" w:rsidRDefault="004F10F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DE3E59" w14:textId="77777777" w:rsidR="006F3485" w:rsidRDefault="00B80CB0" w:rsidP="00B80C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0AACBC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7D510A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E7F332" w14:textId="77777777" w:rsidR="006F3485" w:rsidRDefault="004F10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69B0E9" w14:textId="77777777" w:rsidR="006F3485" w:rsidRDefault="006F3485">
            <w:pPr>
              <w:rPr>
                <w:bCs/>
                <w:sz w:val="20"/>
                <w:szCs w:val="20"/>
                <w:lang w:val="en-GB"/>
              </w:rPr>
            </w:pPr>
          </w:p>
          <w:p w14:paraId="16B4BC47" w14:textId="77777777" w:rsidR="006F3485" w:rsidRDefault="004F10F3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EA7BD45" w14:textId="77777777" w:rsidR="006F3485" w:rsidRDefault="00B80CB0" w:rsidP="00B80C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80CB0">
              <w:rPr>
                <w:b/>
                <w:bCs/>
                <w:sz w:val="20"/>
                <w:szCs w:val="20"/>
                <w:lang w:val="en-GB"/>
              </w:rPr>
              <w:t>It is too long</w:t>
            </w:r>
          </w:p>
          <w:p w14:paraId="7414D2DC" w14:textId="77777777" w:rsidR="00B80CB0" w:rsidRDefault="00B80CB0" w:rsidP="00B80C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80CB0">
              <w:rPr>
                <w:b/>
                <w:bCs/>
                <w:sz w:val="20"/>
                <w:szCs w:val="20"/>
                <w:lang w:val="en-GB"/>
              </w:rPr>
              <w:t xml:space="preserve">It lists what is covered but does not signal any evaluative conclusions, unresolved controversies, or the authors' own position on key debates. </w:t>
            </w:r>
          </w:p>
        </w:tc>
        <w:tc>
          <w:tcPr>
            <w:tcW w:w="1667" w:type="pct"/>
          </w:tcPr>
          <w:p w14:paraId="5DEA371C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 and corrected. Following points covered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br/>
            </w:r>
            <w:r w:rsidRPr="002C2DDB">
              <w:rPr>
                <w:rFonts w:eastAsia="MS Mincho"/>
                <w:bCs/>
                <w:sz w:val="20"/>
                <w:szCs w:val="20"/>
                <w:lang w:val="en-GB"/>
              </w:rPr>
              <w:t>evaluative conclusions, unresolved controversies, position on key debates</w:t>
            </w:r>
          </w:p>
        </w:tc>
      </w:tr>
      <w:tr w:rsidR="006F3485" w14:paraId="61BBC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54A13" w14:textId="77777777" w:rsidR="006F3485" w:rsidRDefault="004F10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AF77891" w14:textId="77777777" w:rsidR="006F3485" w:rsidRDefault="004F10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2D93F53" w14:textId="77777777" w:rsidR="006F3485" w:rsidRPr="0016089D" w:rsidRDefault="008F0527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The review largely summarises literature findings rather than critically evaluating the quality of evidence.</w:t>
            </w:r>
          </w:p>
        </w:tc>
        <w:tc>
          <w:tcPr>
            <w:tcW w:w="1667" w:type="pct"/>
          </w:tcPr>
          <w:p w14:paraId="335F152A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Noted. Authors have described and evaluated literature finding and outcomes are recorded in Table 1-4 as per the scope of narrative review.</w:t>
            </w:r>
          </w:p>
        </w:tc>
      </w:tr>
      <w:tr w:rsidR="006F3485" w14:paraId="65C113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0DD12" w14:textId="77777777" w:rsidR="006F3485" w:rsidRDefault="004F10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BDEC16" w14:textId="77777777" w:rsidR="006F3485" w:rsidRDefault="006F3485">
            <w:pPr>
              <w:rPr>
                <w:bCs/>
                <w:sz w:val="20"/>
                <w:szCs w:val="20"/>
                <w:lang w:val="en-GB"/>
              </w:rPr>
            </w:pPr>
          </w:p>
          <w:p w14:paraId="0F16B4E1" w14:textId="77777777" w:rsidR="006F3485" w:rsidRDefault="004F10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525C7A5" w14:textId="77777777" w:rsidR="006F3485" w:rsidRPr="0016089D" w:rsidRDefault="00951C1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 xml:space="preserve">More </w:t>
            </w:r>
            <w:r w:rsidR="0016089D">
              <w:rPr>
                <w:b/>
                <w:sz w:val="20"/>
                <w:szCs w:val="20"/>
                <w:lang w:val="en-GB"/>
              </w:rPr>
              <w:t>citations are</w:t>
            </w:r>
            <w:r w:rsidRPr="0016089D">
              <w:rPr>
                <w:b/>
                <w:sz w:val="20"/>
                <w:szCs w:val="20"/>
                <w:lang w:val="en-GB"/>
              </w:rPr>
              <w:t xml:space="preserve"> expected</w:t>
            </w:r>
            <w:r w:rsidR="00A268A1" w:rsidRPr="0016089D">
              <w:rPr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68EFB7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6F3485" w14:paraId="6EDB68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97B11" w14:textId="77777777" w:rsidR="006F3485" w:rsidRDefault="004F10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C30D38" w14:textId="77777777" w:rsidR="006F3485" w:rsidRDefault="004F10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DF1993" w14:textId="77777777" w:rsidR="006F3485" w:rsidRDefault="006F3485">
            <w:pPr>
              <w:rPr>
                <w:bCs/>
                <w:sz w:val="20"/>
                <w:szCs w:val="20"/>
                <w:lang w:val="en-GB"/>
              </w:rPr>
            </w:pPr>
          </w:p>
          <w:p w14:paraId="47E4FC89" w14:textId="77777777" w:rsidR="006F3485" w:rsidRDefault="004F10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B8EF55" w14:textId="77777777" w:rsidR="006F3485" w:rsidRDefault="006F348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C2685E" w14:textId="77777777" w:rsidR="006F3485" w:rsidRPr="0016089D" w:rsidRDefault="0048223E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Yes</w:t>
            </w:r>
          </w:p>
          <w:p w14:paraId="102ACBD9" w14:textId="77777777" w:rsidR="0048223E" w:rsidRPr="0016089D" w:rsidRDefault="0048223E" w:rsidP="008F0527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16089D">
              <w:rPr>
                <w:b/>
                <w:sz w:val="20"/>
                <w:szCs w:val="20"/>
                <w:lang w:val="en-GB"/>
              </w:rPr>
              <w:t>As uncertainty is mentioned</w:t>
            </w:r>
            <w:r w:rsidR="008F0527" w:rsidRPr="0016089D">
              <w:rPr>
                <w:b/>
                <w:sz w:val="20"/>
                <w:szCs w:val="20"/>
                <w:lang w:val="en-GB"/>
              </w:rPr>
              <w:t xml:space="preserve"> “The acknowledgement that no FFS-specific guidance exists from either the EMA or FDA” </w:t>
            </w:r>
            <w:r w:rsidRPr="0016089D">
              <w:rPr>
                <w:b/>
                <w:sz w:val="20"/>
                <w:szCs w:val="20"/>
                <w:lang w:val="en-GB"/>
              </w:rPr>
              <w:t>in regulatory gaps; safety, unknown toxicity, clinical trial exploitation and justice etc should be discussed.</w:t>
            </w:r>
          </w:p>
        </w:tc>
        <w:tc>
          <w:tcPr>
            <w:tcW w:w="1667" w:type="pct"/>
          </w:tcPr>
          <w:p w14:paraId="54DAF44F" w14:textId="77777777" w:rsidR="006F3485" w:rsidRDefault="002C2DD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thanks for the suggestions </w:t>
            </w:r>
            <w:r w:rsidR="003C4737">
              <w:rPr>
                <w:rFonts w:eastAsia="MS Mincho"/>
                <w:bCs/>
                <w:sz w:val="20"/>
                <w:szCs w:val="20"/>
                <w:lang w:val="en-GB"/>
              </w:rPr>
              <w:t xml:space="preserve">and Limitation section has incorporated these lacuna. </w:t>
            </w:r>
          </w:p>
        </w:tc>
      </w:tr>
    </w:tbl>
    <w:p w14:paraId="72468146" w14:textId="77777777" w:rsidR="006F3485" w:rsidRDefault="006F3485">
      <w:pPr>
        <w:rPr>
          <w:sz w:val="20"/>
          <w:szCs w:val="20"/>
          <w:lang w:val="en-GB"/>
        </w:rPr>
      </w:pPr>
    </w:p>
    <w:sectPr w:rsidR="006F3485" w:rsidSect="00197A6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AA83" w14:textId="77777777" w:rsidR="00B42D4D" w:rsidRDefault="00B42D4D">
      <w:r>
        <w:separator/>
      </w:r>
    </w:p>
  </w:endnote>
  <w:endnote w:type="continuationSeparator" w:id="0">
    <w:p w14:paraId="11C85FB4" w14:textId="77777777" w:rsidR="00B42D4D" w:rsidRDefault="00B4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DA4B" w14:textId="77777777" w:rsidR="003C4737" w:rsidRDefault="003C473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F4C1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F4C1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346E66" w14:textId="77777777" w:rsidR="003C4737" w:rsidRDefault="003C4737">
    <w:pPr>
      <w:pStyle w:val="Footer"/>
      <w:jc w:val="right"/>
    </w:pPr>
  </w:p>
  <w:p w14:paraId="427C2256" w14:textId="77777777" w:rsidR="003C4737" w:rsidRDefault="003C47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EEC8E" w14:textId="77777777" w:rsidR="00B42D4D" w:rsidRDefault="00B42D4D">
      <w:r>
        <w:separator/>
      </w:r>
    </w:p>
  </w:footnote>
  <w:footnote w:type="continuationSeparator" w:id="0">
    <w:p w14:paraId="77A6B6AD" w14:textId="77777777" w:rsidR="00B42D4D" w:rsidRDefault="00B42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FD48D" w14:textId="77777777" w:rsidR="003C4737" w:rsidRDefault="003C47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9A122B" w14:textId="77777777" w:rsidR="003C4737" w:rsidRDefault="003C473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1848482">
    <w:abstractNumId w:val="4"/>
  </w:num>
  <w:num w:numId="2" w16cid:durableId="793720943">
    <w:abstractNumId w:val="8"/>
  </w:num>
  <w:num w:numId="3" w16cid:durableId="1435442451">
    <w:abstractNumId w:val="7"/>
  </w:num>
  <w:num w:numId="4" w16cid:durableId="1124235094">
    <w:abstractNumId w:val="9"/>
  </w:num>
  <w:num w:numId="5" w16cid:durableId="720983121">
    <w:abstractNumId w:val="6"/>
  </w:num>
  <w:num w:numId="6" w16cid:durableId="200292953">
    <w:abstractNumId w:val="0"/>
  </w:num>
  <w:num w:numId="7" w16cid:durableId="678964348">
    <w:abstractNumId w:val="3"/>
  </w:num>
  <w:num w:numId="8" w16cid:durableId="1210531991">
    <w:abstractNumId w:val="11"/>
  </w:num>
  <w:num w:numId="9" w16cid:durableId="466822634">
    <w:abstractNumId w:val="10"/>
  </w:num>
  <w:num w:numId="10" w16cid:durableId="714819315">
    <w:abstractNumId w:val="2"/>
  </w:num>
  <w:num w:numId="11" w16cid:durableId="732387546">
    <w:abstractNumId w:val="1"/>
  </w:num>
  <w:num w:numId="12" w16cid:durableId="1238635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W2tDA1NDM1sDQ2NDRT0lEKTi0uzszPAykwqgUA2JSI2ywAAAA="/>
  </w:docVars>
  <w:rsids>
    <w:rsidRoot w:val="006F3485"/>
    <w:rsid w:val="00033D46"/>
    <w:rsid w:val="000C4F8F"/>
    <w:rsid w:val="000D5E92"/>
    <w:rsid w:val="0016089D"/>
    <w:rsid w:val="0017497C"/>
    <w:rsid w:val="00193195"/>
    <w:rsid w:val="00197A66"/>
    <w:rsid w:val="00245EB3"/>
    <w:rsid w:val="002512B3"/>
    <w:rsid w:val="002C2DDB"/>
    <w:rsid w:val="002F4651"/>
    <w:rsid w:val="00366B7A"/>
    <w:rsid w:val="003C4737"/>
    <w:rsid w:val="003E453E"/>
    <w:rsid w:val="00453EF8"/>
    <w:rsid w:val="0048223E"/>
    <w:rsid w:val="004D6934"/>
    <w:rsid w:val="004F10F3"/>
    <w:rsid w:val="0050582B"/>
    <w:rsid w:val="00570414"/>
    <w:rsid w:val="005D0DFC"/>
    <w:rsid w:val="0067443A"/>
    <w:rsid w:val="00695CD3"/>
    <w:rsid w:val="006B2EF5"/>
    <w:rsid w:val="006F3485"/>
    <w:rsid w:val="006F4C1C"/>
    <w:rsid w:val="00722AD5"/>
    <w:rsid w:val="00727040"/>
    <w:rsid w:val="007721F7"/>
    <w:rsid w:val="00823F9D"/>
    <w:rsid w:val="00874F19"/>
    <w:rsid w:val="008C4016"/>
    <w:rsid w:val="008F0527"/>
    <w:rsid w:val="00951C11"/>
    <w:rsid w:val="00965D4E"/>
    <w:rsid w:val="009B3FF1"/>
    <w:rsid w:val="009D0F31"/>
    <w:rsid w:val="00A0737A"/>
    <w:rsid w:val="00A268A1"/>
    <w:rsid w:val="00A42268"/>
    <w:rsid w:val="00AE65E4"/>
    <w:rsid w:val="00B01890"/>
    <w:rsid w:val="00B42D4D"/>
    <w:rsid w:val="00B73797"/>
    <w:rsid w:val="00B80CB0"/>
    <w:rsid w:val="00B93B76"/>
    <w:rsid w:val="00C66898"/>
    <w:rsid w:val="00C95A9B"/>
    <w:rsid w:val="00CE4709"/>
    <w:rsid w:val="00D450D0"/>
    <w:rsid w:val="00D94602"/>
    <w:rsid w:val="00DC4F3E"/>
    <w:rsid w:val="00D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2C54D"/>
  <w15:docId w15:val="{A4EBFF85-C6E2-437E-8762-09B4ACE3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A6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97A6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97A6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97A6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97A6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97A6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97A6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97A6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97A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97A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7A6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7A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97A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7A66"/>
    <w:pPr>
      <w:ind w:left="720"/>
      <w:contextualSpacing/>
    </w:pPr>
  </w:style>
  <w:style w:type="paragraph" w:styleId="Revision">
    <w:name w:val="Revision"/>
    <w:hidden/>
    <w:uiPriority w:val="99"/>
    <w:semiHidden/>
    <w:rsid w:val="00197A6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97A66"/>
    <w:rPr>
      <w:color w:val="800080"/>
      <w:u w:val="single"/>
    </w:rPr>
  </w:style>
  <w:style w:type="table" w:styleId="TableGrid">
    <w:name w:val="Table Grid"/>
    <w:basedOn w:val="TableNormal"/>
    <w:uiPriority w:val="59"/>
    <w:rsid w:val="00197A6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97A6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97A66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5D0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1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2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12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68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19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02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107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135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37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853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8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6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4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61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6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8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22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0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115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3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95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52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4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0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902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94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65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136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49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16</cp:revision>
  <dcterms:created xsi:type="dcterms:W3CDTF">2026-03-24T06:32:00Z</dcterms:created>
  <dcterms:modified xsi:type="dcterms:W3CDTF">2026-06-13T04:52:00Z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