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4363" w14:textId="77777777" w:rsidR="00A17AE7" w:rsidRPr="00560D34" w:rsidRDefault="00A17AE7" w:rsidP="004336DD">
      <w:pPr>
        <w:spacing w:after="0" w:line="240" w:lineRule="auto"/>
        <w:jc w:val="center"/>
        <w:rPr>
          <w:rFonts w:ascii="Times New Roman" w:eastAsia="Times New Roman" w:hAnsi="Times New Roman" w:cs="Times New Roman"/>
          <w:i/>
          <w:sz w:val="14"/>
          <w:szCs w:val="20"/>
        </w:rPr>
      </w:pPr>
    </w:p>
    <w:p w14:paraId="22B1EB3B" w14:textId="255F060B" w:rsidR="004336DD" w:rsidRPr="00560D34" w:rsidRDefault="003C6BF8" w:rsidP="004336DD">
      <w:pPr>
        <w:spacing w:after="0" w:line="240" w:lineRule="auto"/>
        <w:jc w:val="right"/>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12"/>
          <w:szCs w:val="20"/>
          <w:lang w:val="ru-RU" w:eastAsia="ru-RU"/>
        </w:rPr>
        <mc:AlternateContent>
          <mc:Choice Requires="wps">
            <w:drawing>
              <wp:inline distT="0" distB="0" distL="0" distR="0" wp14:anchorId="5B23C91D" wp14:editId="068131C5">
                <wp:extent cx="5723890" cy="635"/>
                <wp:effectExtent l="9525" t="18415" r="10160" b="9525"/>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723890" cy="635"/>
                        </a:xfrm>
                        <a:prstGeom prst="bentConnector3">
                          <a:avLst>
                            <a:gd name="adj1" fmla="val 49995"/>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5F82E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" adj="10799" strokeweight="1.5pt">
                <o:lock v:ext="edit" aspectratio="t"/>
                <w10:anchorlock/>
              </v:shape>
            </w:pict>
          </mc:Fallback>
        </mc:AlternateContent>
      </w:r>
    </w:p>
    <w:p w14:paraId="1E9A0E1B" w14:textId="77777777" w:rsidR="00444654" w:rsidRPr="00560D34" w:rsidRDefault="00444654" w:rsidP="00444654">
      <w:pPr>
        <w:spacing w:after="0" w:line="240" w:lineRule="auto"/>
        <w:jc w:val="right"/>
        <w:rPr>
          <w:rFonts w:ascii="Times New Roman" w:eastAsia="Times New Roman" w:hAnsi="Times New Roman" w:cs="Times New Roman"/>
          <w:b/>
          <w:bCs/>
          <w:color w:val="000000"/>
          <w:sz w:val="20"/>
          <w:szCs w:val="36"/>
        </w:rPr>
      </w:pPr>
    </w:p>
    <w:p w14:paraId="171BD9DC" w14:textId="215F7BCB" w:rsidR="00EB63D6" w:rsidRPr="00560D34" w:rsidRDefault="00EE3544" w:rsidP="003B134C">
      <w:pPr>
        <w:pStyle w:val="Heading1"/>
        <w:rPr>
          <w:rFonts w:ascii="Times New Roman" w:eastAsia="Times New Roman" w:hAnsi="Times New Roman" w:cs="Times New Roman"/>
          <w:kern w:val="28"/>
          <w:sz w:val="48"/>
          <w:szCs w:val="48"/>
        </w:rPr>
      </w:pPr>
      <w:r w:rsidRPr="00560D34">
        <w:rPr>
          <w:rFonts w:ascii="Times New Roman" w:eastAsia="Times New Roman" w:hAnsi="Times New Roman" w:cs="Times New Roman"/>
          <w:kern w:val="28"/>
          <w:sz w:val="48"/>
          <w:szCs w:val="48"/>
        </w:rPr>
        <w:t>Effect of Fermentation and Germination on the Functional, Microbial, Pasting and Sensory Properties of Maize–Black Kidney Bean–Date Flour Breakfast Meal Blends</w:t>
      </w:r>
    </w:p>
    <w:p w14:paraId="22817B4E" w14:textId="77777777" w:rsidR="00EB63D6" w:rsidRPr="00560D34" w:rsidRDefault="00EB63D6" w:rsidP="00EB63D6">
      <w:pPr>
        <w:spacing w:after="0" w:line="240" w:lineRule="auto"/>
        <w:contextualSpacing/>
        <w:jc w:val="right"/>
        <w:rPr>
          <w:rFonts w:ascii="Times New Roman" w:eastAsia="Times New Roman" w:hAnsi="Times New Roman" w:cs="Times New Roman"/>
          <w:b/>
          <w:bCs/>
          <w:sz w:val="36"/>
          <w:szCs w:val="20"/>
        </w:rPr>
      </w:pPr>
    </w:p>
    <w:p w14:paraId="2277D0C7" w14:textId="65808A16" w:rsidR="00444654" w:rsidRPr="00560D34" w:rsidRDefault="003C6BF8" w:rsidP="00444654">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noProof/>
          <w:sz w:val="24"/>
          <w:szCs w:val="20"/>
          <w:lang w:val="ru-RU" w:eastAsia="ru-RU"/>
        </w:rPr>
        <mc:AlternateContent>
          <mc:Choice Requires="wps">
            <w:drawing>
              <wp:inline distT="0" distB="0" distL="0" distR="0" wp14:anchorId="417A4900" wp14:editId="3452BF45">
                <wp:extent cx="5723890" cy="635"/>
                <wp:effectExtent l="9525" t="13970" r="10160" b="1460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C8416B" id="_x0000_t32" coordsize="21600,21600" o:spt="32" o:oned="t" path="m,l21600,21600e" filled="f">
                <v:path arrowok="t" fillok="f" o:connecttype="none"/>
                <o:lock v:ext="edit" shapetype="t"/>
              </v:shapetype>
              <v:shape id="AutoShape 2" o:spid="_x0000_s1026" type="#_x0000_t32"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S/HgIAADw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" strokeweight="1.5pt">
                <w10:anchorlock/>
              </v:shape>
            </w:pict>
          </mc:Fallback>
        </mc:AlternateContent>
      </w:r>
    </w:p>
    <w:p w14:paraId="69911937"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p w14:paraId="7E813249" w14:textId="45E82EB9" w:rsidR="00444654" w:rsidRPr="00560D34" w:rsidRDefault="00ED4643" w:rsidP="003B134C">
      <w:pPr>
        <w:pStyle w:val="Heading2"/>
        <w:rPr>
          <w:rFonts w:ascii="Times New Roman" w:eastAsia="Times New Roman" w:hAnsi="Times New Roman" w:cs="Times New Roman"/>
        </w:rPr>
      </w:pPr>
      <w:r w:rsidRPr="00560D34">
        <w:rPr>
          <w:rFonts w:ascii="Times New Roman" w:eastAsia="Times New Roman" w:hAnsi="Times New Roman" w:cs="Times New Roman"/>
        </w:rPr>
        <w:t>Abstract</w:t>
      </w:r>
    </w:p>
    <w:p w14:paraId="3D731C85"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560D34" w14:paraId="4082A4D1" w14:textId="77777777" w:rsidTr="001808B9">
        <w:trPr>
          <w:jc w:val="center"/>
        </w:trPr>
        <w:tc>
          <w:tcPr>
            <w:tcW w:w="9040" w:type="dxa"/>
          </w:tcPr>
          <w:p w14:paraId="0419F9DB" w14:textId="2D1909C5" w:rsidR="00EB63D6" w:rsidRPr="00560D34" w:rsidRDefault="00EE3544" w:rsidP="00EB63D6">
            <w:pPr>
              <w:spacing w:after="0" w:line="240" w:lineRule="auto"/>
              <w:contextualSpacing/>
              <w:jc w:val="both"/>
              <w:rPr>
                <w:rFonts w:ascii="Times New Roman" w:eastAsia="Calibri" w:hAnsi="Times New Roman" w:cs="Times New Roman"/>
                <w:sz w:val="20"/>
              </w:rPr>
            </w:pPr>
            <w:r>
              <w:rPr>
                <w:rFonts w:ascii="Times New Roman" w:hAnsi="Times New Roman"/>
                <w:sz w:val="20"/>
                <w:highlight w:val="yellow"/>
              </w:rPr>
              <w:t xml:space="preserve">This study investigated the effects of fermentation and germination on the functional, microbial, pasting and sensory properties of breakfast meal flour blends formulated from maize, black kidney bean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used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capacity from 1.35 to 2.51 g/g, and viscosity from 32.35 to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GFMSBD exhibited the highest water absorption capacity, oil absorption capacity, foaming capacity, emulsifying activity and swelling capacity, indicating that combined germination and fermentation improved the functional characteristics of the flour blends. Microbial analysis showed that all samples were microbiologically acceptable, with bacterial and fungal counts within stated limits and no coliform contamination. Pasting properties indicated that germination and fermentation reduced viscosity and setback values, while sensory evaluation showed that GFMSBD had the highest overall acceptability score (8.77). The study concluded that the combined application of fermentation and germination improved the functional performance, microbial quality, pasting </w:t>
            </w:r>
            <w:proofErr w:type="spellStart"/>
            <w:r>
              <w:rPr>
                <w:rFonts w:ascii="Times New Roman" w:hAnsi="Times New Roman"/>
                <w:sz w:val="20"/>
                <w:highlight w:val="yellow"/>
              </w:rPr>
              <w:t>behaviour</w:t>
            </w:r>
            <w:proofErr w:type="spellEnd"/>
            <w:r>
              <w:rPr>
                <w:rFonts w:ascii="Times New Roman" w:hAnsi="Times New Roman"/>
                <w:sz w:val="20"/>
                <w:highlight w:val="yellow"/>
              </w:rPr>
              <w:t xml:space="preserve"> and sensory acceptability of maize-black kidney bean-date flour breakfast meal blends.</w:t>
            </w:r>
          </w:p>
          <w:p w14:paraId="3B838B45" w14:textId="77777777" w:rsidR="00EB63D6" w:rsidRPr="00560D34" w:rsidRDefault="00EB63D6" w:rsidP="00EE3544">
            <w:pPr>
              <w:spacing w:after="0" w:line="240" w:lineRule="auto"/>
              <w:jc w:val="both"/>
              <w:rPr>
                <w:rFonts w:ascii="Times New Roman" w:eastAsia="Times New Roman" w:hAnsi="Times New Roman" w:cs="Times New Roman"/>
                <w:bCs/>
                <w:sz w:val="16"/>
                <w:szCs w:val="20"/>
              </w:rPr>
            </w:pPr>
          </w:p>
        </w:tc>
      </w:tr>
    </w:tbl>
    <w:p w14:paraId="6EF9BC17" w14:textId="77777777" w:rsidR="00444654" w:rsidRPr="00560D34" w:rsidRDefault="00444654" w:rsidP="00444654">
      <w:pPr>
        <w:spacing w:after="0" w:line="240" w:lineRule="auto"/>
        <w:ind w:left="990" w:hanging="990"/>
        <w:jc w:val="both"/>
        <w:textAlignment w:val="top"/>
        <w:rPr>
          <w:rFonts w:ascii="Times New Roman" w:eastAsia="Times New Roman" w:hAnsi="Times New Roman" w:cs="Times New Roman"/>
          <w:i/>
          <w:sz w:val="16"/>
          <w:szCs w:val="16"/>
        </w:rPr>
      </w:pPr>
    </w:p>
    <w:p w14:paraId="7DB1BA35" w14:textId="4D938894" w:rsidR="00EB63D6" w:rsidRPr="00560D34" w:rsidRDefault="00EE3544" w:rsidP="00EB63D6">
      <w:pPr>
        <w:spacing w:after="0" w:line="240" w:lineRule="auto"/>
        <w:ind w:left="1080" w:hanging="1080"/>
        <w:contextualSpacing/>
        <w:jc w:val="both"/>
        <w:rPr>
          <w:rFonts w:ascii="Times New Roman" w:eastAsia="Times New Roman" w:hAnsi="Times New Roman" w:cs="Times New Roman"/>
          <w:bCs/>
          <w:i/>
          <w:iCs/>
          <w:sz w:val="20"/>
          <w:szCs w:val="20"/>
        </w:rPr>
      </w:pPr>
      <w:r>
        <w:rPr>
          <w:rFonts w:ascii="Times New Roman" w:hAnsi="Times New Roman"/>
          <w:i/>
          <w:sz w:val="20"/>
          <w:highlight w:val="yellow"/>
        </w:rPr>
        <w:t>Keywords:</w:t>
      </w:r>
      <w:r>
        <w:rPr>
          <w:rFonts w:ascii="Times New Roman" w:hAnsi="Times New Roman"/>
          <w:i/>
          <w:sz w:val="20"/>
          <w:highlight w:val="yellow"/>
        </w:rPr>
        <w:tab/>
        <w:t>Fermentation; germination; breakfast meal; maize flour; black kidney bean; date flour; functional properties; sensory evaluation.</w:t>
      </w:r>
    </w:p>
    <w:p w14:paraId="2FEB869C" w14:textId="37D92F85" w:rsidR="00EE3544" w:rsidRPr="00560D34" w:rsidRDefault="00EE3544" w:rsidP="00EE3544">
      <w:pPr>
        <w:spacing w:after="0" w:line="240" w:lineRule="auto"/>
        <w:contextualSpacing/>
        <w:jc w:val="both"/>
        <w:rPr>
          <w:rFonts w:ascii="Times New Roman" w:eastAsia="Times New Roman" w:hAnsi="Times New Roman" w:cs="Times New Roman"/>
          <w:bCs/>
          <w:iCs/>
          <w:sz w:val="16"/>
          <w:szCs w:val="16"/>
        </w:rPr>
      </w:pPr>
    </w:p>
    <w:p w14:paraId="121C1C49" w14:textId="1CECEFBB"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1. Introduction</w:t>
      </w:r>
    </w:p>
    <w:p w14:paraId="1712EC24"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B75D324" w14:textId="01B02928"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Breakfast is often considered an important meal because it supplies the body with nutrients and energy required for growth, mental focus and normal metabolic functions (</w:t>
      </w:r>
      <w:r w:rsidR="001B366B" w:rsidRPr="00A30099">
        <w:rPr>
          <w:rFonts w:ascii="Times New Roman" w:hAnsi="Times New Roman"/>
          <w:sz w:val="20"/>
          <w:highlight w:val="yellow"/>
        </w:rPr>
        <w:t xml:space="preserve">Hamzah </w:t>
      </w:r>
      <w:r>
        <w:rPr>
          <w:rFonts w:ascii="Times New Roman" w:hAnsi="Times New Roman"/>
          <w:sz w:val="20"/>
          <w:highlight w:val="yellow"/>
        </w:rPr>
        <w:t>et al., 2025). Regular consumption of a nutritious breakfast has been associated with better concentration, higher academic performance, improved nutrient intake and a lower risk of chronic disease (Rani et al., 2021). However, in many developing countries, breakfast meals rely heavily on cereals, resulting in foods with low-quality protein, insufficient micronutrients and limited dietary diversity (</w:t>
      </w:r>
      <w:proofErr w:type="spellStart"/>
      <w:r>
        <w:rPr>
          <w:rFonts w:ascii="Times New Roman" w:hAnsi="Times New Roman"/>
          <w:sz w:val="20"/>
          <w:highlight w:val="yellow"/>
        </w:rPr>
        <w:t>Feyera</w:t>
      </w:r>
      <w:proofErr w:type="spellEnd"/>
      <w:r>
        <w:rPr>
          <w:rFonts w:ascii="Times New Roman" w:hAnsi="Times New Roman"/>
          <w:sz w:val="20"/>
          <w:highlight w:val="yellow"/>
        </w:rPr>
        <w:t xml:space="preserve">, 2020; Edima-Nyah &amp; </w:t>
      </w:r>
      <w:proofErr w:type="spellStart"/>
      <w:r>
        <w:rPr>
          <w:rFonts w:ascii="Times New Roman" w:hAnsi="Times New Roman"/>
          <w:sz w:val="20"/>
          <w:highlight w:val="yellow"/>
        </w:rPr>
        <w:t>Ntukidem</w:t>
      </w:r>
      <w:proofErr w:type="spellEnd"/>
      <w:r>
        <w:rPr>
          <w:rFonts w:ascii="Times New Roman" w:hAnsi="Times New Roman"/>
          <w:sz w:val="20"/>
          <w:highlight w:val="yellow"/>
        </w:rPr>
        <w:t>, 2019; Gibney et al., 2018). These limitations contribute to protein-energy malnutrition, micronutrient deficiencies and poor health outcomes, particularly among children and low-income groups (Tesfay et al., 2020).</w:t>
      </w:r>
    </w:p>
    <w:p w14:paraId="2AE72D05"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231F5E0" w14:textId="274F0685"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Maize is one of the most widely consumed cereal grains in the world and serves as a major staple food in many African countries due to its affordability, availability, and high carbohydrate content </w:t>
      </w:r>
      <w:r w:rsidRPr="00560D34">
        <w:rPr>
          <w:rFonts w:ascii="Times New Roman" w:eastAsia="Times New Roman" w:hAnsi="Times New Roman" w:cs="Times New Roman"/>
          <w:bCs/>
          <w:noProof/>
          <w:sz w:val="20"/>
          <w:szCs w:val="20"/>
        </w:rPr>
        <w:t>(Jacinto et al., 2018)</w:t>
      </w:r>
      <w:r w:rsidRPr="00560D34">
        <w:rPr>
          <w:rFonts w:ascii="Times New Roman" w:eastAsia="Times New Roman" w:hAnsi="Times New Roman" w:cs="Times New Roman"/>
          <w:bCs/>
          <w:sz w:val="20"/>
          <w:szCs w:val="20"/>
        </w:rPr>
        <w:t xml:space="preserve">. Despite its importance as an energy source, maize is deficient in essential amino acids such as lysine and tryptophan, thereby limiting its protein quality. Therefore, the nutritional quality of maize-based foods can be improved </w:t>
      </w:r>
      <w:r w:rsidRPr="00560D34">
        <w:rPr>
          <w:rFonts w:ascii="Times New Roman" w:eastAsia="Times New Roman" w:hAnsi="Times New Roman" w:cs="Times New Roman"/>
          <w:bCs/>
          <w:sz w:val="20"/>
          <w:szCs w:val="20"/>
        </w:rPr>
        <w:lastRenderedPageBreak/>
        <w:t>through supplementation with legumes and fruits that provide proteins, minerals, vitamins, and bioactive compounds (Edima-Nyah et al., 2024).</w:t>
      </w:r>
    </w:p>
    <w:p w14:paraId="1DB9F6E8"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61B27E7F" w14:textId="3E67C866"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 xml:space="preserve">Black kidney beans are rich sources of protein, dietary </w:t>
      </w:r>
      <w:proofErr w:type="spellStart"/>
      <w:r>
        <w:rPr>
          <w:rFonts w:ascii="Times New Roman" w:hAnsi="Times New Roman"/>
          <w:sz w:val="20"/>
          <w:highlight w:val="yellow"/>
        </w:rPr>
        <w:t>fibre</w:t>
      </w:r>
      <w:proofErr w:type="spellEnd"/>
      <w:r>
        <w:rPr>
          <w:rFonts w:ascii="Times New Roman" w:hAnsi="Times New Roman"/>
          <w:sz w:val="20"/>
          <w:highlight w:val="yellow"/>
        </w:rPr>
        <w:t>, minerals and phytochemicals (</w:t>
      </w:r>
      <w:proofErr w:type="spellStart"/>
      <w:r>
        <w:rPr>
          <w:rFonts w:ascii="Times New Roman" w:hAnsi="Times New Roman"/>
          <w:sz w:val="20"/>
          <w:highlight w:val="yellow"/>
        </w:rPr>
        <w:t>Srenuja</w:t>
      </w:r>
      <w:proofErr w:type="spellEnd"/>
      <w:r>
        <w:rPr>
          <w:rFonts w:ascii="Times New Roman" w:hAnsi="Times New Roman"/>
          <w:sz w:val="20"/>
          <w:highlight w:val="yellow"/>
        </w:rPr>
        <w:t xml:space="preserve"> et al., 2023). They contain approximately 20-25% protein and are rich in dietary </w:t>
      </w:r>
      <w:proofErr w:type="spellStart"/>
      <w:r>
        <w:rPr>
          <w:rFonts w:ascii="Times New Roman" w:hAnsi="Times New Roman"/>
          <w:sz w:val="20"/>
          <w:highlight w:val="yellow"/>
        </w:rPr>
        <w:t>fibre</w:t>
      </w:r>
      <w:proofErr w:type="spellEnd"/>
      <w:r>
        <w:rPr>
          <w:rFonts w:ascii="Times New Roman" w:hAnsi="Times New Roman"/>
          <w:sz w:val="20"/>
          <w:highlight w:val="yellow"/>
        </w:rPr>
        <w:t>, B vitamins, and minerals, including iron, zinc and potassium (</w:t>
      </w:r>
      <w:proofErr w:type="spellStart"/>
      <w:r>
        <w:rPr>
          <w:rFonts w:ascii="Times New Roman" w:hAnsi="Times New Roman"/>
          <w:sz w:val="20"/>
          <w:highlight w:val="yellow"/>
        </w:rPr>
        <w:t>Kimothi</w:t>
      </w:r>
      <w:proofErr w:type="spellEnd"/>
      <w:r>
        <w:rPr>
          <w:rFonts w:ascii="Times New Roman" w:hAnsi="Times New Roman"/>
          <w:sz w:val="20"/>
          <w:highlight w:val="yellow"/>
        </w:rPr>
        <w:t xml:space="preserve"> &amp; Dhaliwal, 2020). The incorporation of legumes into cereal-based products has been reported to improve amino acid balance, enhance protein quality and increase micronutrient content (Mostafa et al., 2017).</w:t>
      </w:r>
    </w:p>
    <w:p w14:paraId="2E7FC341"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17ABAC19" w14:textId="691FFD1E"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 xml:space="preserve">Date fruit contains natural sugars, antioxidants, vitamins, minerals and dietary </w:t>
      </w:r>
      <w:proofErr w:type="spellStart"/>
      <w:r>
        <w:rPr>
          <w:rFonts w:ascii="Times New Roman" w:hAnsi="Times New Roman"/>
          <w:sz w:val="20"/>
          <w:highlight w:val="yellow"/>
        </w:rPr>
        <w:t>fibre</w:t>
      </w:r>
      <w:proofErr w:type="spellEnd"/>
      <w:r>
        <w:rPr>
          <w:rFonts w:ascii="Times New Roman" w:hAnsi="Times New Roman"/>
          <w:sz w:val="20"/>
          <w:highlight w:val="yellow"/>
        </w:rPr>
        <w:t xml:space="preserve">, making it a valuable ingredient for improving the </w:t>
      </w:r>
      <w:proofErr w:type="spellStart"/>
      <w:r>
        <w:rPr>
          <w:rFonts w:ascii="Times New Roman" w:hAnsi="Times New Roman"/>
          <w:sz w:val="20"/>
          <w:highlight w:val="yellow"/>
        </w:rPr>
        <w:t>flavour</w:t>
      </w:r>
      <w:proofErr w:type="spellEnd"/>
      <w:r>
        <w:rPr>
          <w:rFonts w:ascii="Times New Roman" w:hAnsi="Times New Roman"/>
          <w:sz w:val="20"/>
          <w:highlight w:val="yellow"/>
        </w:rPr>
        <w:t>, sweetness and sensory acceptability of food products (</w:t>
      </w:r>
      <w:proofErr w:type="spellStart"/>
      <w:r>
        <w:rPr>
          <w:rFonts w:ascii="Times New Roman" w:hAnsi="Times New Roman"/>
          <w:sz w:val="20"/>
          <w:highlight w:val="yellow"/>
        </w:rPr>
        <w:t>Aljaloud</w:t>
      </w:r>
      <w:proofErr w:type="spellEnd"/>
      <w:r>
        <w:rPr>
          <w:rFonts w:ascii="Times New Roman" w:hAnsi="Times New Roman"/>
          <w:sz w:val="20"/>
          <w:highlight w:val="yellow"/>
        </w:rPr>
        <w:t xml:space="preserve"> et al., 2020).</w:t>
      </w:r>
    </w:p>
    <w:p w14:paraId="0B3E45B6"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2FF60C61" w14:textId="368537E0"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Processing techniques such as fermentation and germination are widely used to enhance the nutritional quality and functional performance of cereal-legume foods (Adebo et al., 2022). Fermentation improves </w:t>
      </w:r>
      <w:proofErr w:type="spellStart"/>
      <w:r>
        <w:rPr>
          <w:rFonts w:ascii="Times New Roman" w:hAnsi="Times New Roman"/>
          <w:sz w:val="20"/>
          <w:highlight w:val="yellow"/>
        </w:rPr>
        <w:t>flavour</w:t>
      </w:r>
      <w:proofErr w:type="spellEnd"/>
      <w:r>
        <w:rPr>
          <w:rFonts w:ascii="Times New Roman" w:hAnsi="Times New Roman"/>
          <w:sz w:val="20"/>
          <w:highlight w:val="yellow"/>
        </w:rPr>
        <w:t>, digestibility, microbial safety and mineral bioavailability through microbial and enzymatic activities. It also reduces anti-nutritional factors and enhances shelf stability (</w:t>
      </w:r>
      <w:proofErr w:type="spellStart"/>
      <w:r>
        <w:rPr>
          <w:rFonts w:ascii="Times New Roman" w:hAnsi="Times New Roman"/>
          <w:sz w:val="20"/>
          <w:highlight w:val="yellow"/>
        </w:rPr>
        <w:t>Ikujenlola</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Iwayemi</w:t>
      </w:r>
      <w:proofErr w:type="spellEnd"/>
      <w:r>
        <w:rPr>
          <w:rFonts w:ascii="Times New Roman" w:hAnsi="Times New Roman"/>
          <w:sz w:val="20"/>
          <w:highlight w:val="yellow"/>
        </w:rPr>
        <w:t>, 2025). Germination activates endogenous enzymes, such as amylases and proteases, leading to starch hydrolysis, protein modification and improved nutrient availability (</w:t>
      </w:r>
      <w:proofErr w:type="spellStart"/>
      <w:r>
        <w:rPr>
          <w:rFonts w:ascii="Times New Roman" w:hAnsi="Times New Roman"/>
          <w:sz w:val="20"/>
          <w:highlight w:val="yellow"/>
        </w:rPr>
        <w:t>Sobowale</w:t>
      </w:r>
      <w:proofErr w:type="spellEnd"/>
      <w:r>
        <w:rPr>
          <w:rFonts w:ascii="Times New Roman" w:hAnsi="Times New Roman"/>
          <w:sz w:val="20"/>
          <w:highlight w:val="yellow"/>
        </w:rPr>
        <w:t>, 2025).</w:t>
      </w:r>
    </w:p>
    <w:p w14:paraId="72BF512C" w14:textId="77777777" w:rsidR="0077328A" w:rsidRPr="00560D34" w:rsidRDefault="0077328A" w:rsidP="0077328A">
      <w:pPr>
        <w:spacing w:after="0" w:line="240" w:lineRule="auto"/>
        <w:jc w:val="both"/>
        <w:rPr>
          <w:rFonts w:ascii="Times New Roman" w:eastAsia="Calibri" w:hAnsi="Times New Roman" w:cs="Times New Roman"/>
          <w:sz w:val="16"/>
          <w:szCs w:val="16"/>
        </w:rPr>
      </w:pPr>
    </w:p>
    <w:p w14:paraId="0D45C227" w14:textId="7777777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However, blending raw cereals and legumes often results in poor functional properties, including low water and oil absorption, high viscosity, rapid retrogradation and undesirable sensory attributes, such as gritty texture and off-</w:t>
      </w:r>
      <w:proofErr w:type="spellStart"/>
      <w:r>
        <w:rPr>
          <w:rFonts w:ascii="Times New Roman" w:hAnsi="Times New Roman"/>
          <w:sz w:val="20"/>
          <w:highlight w:val="yellow"/>
        </w:rPr>
        <w:t>flavours</w:t>
      </w:r>
      <w:proofErr w:type="spellEnd"/>
      <w:r>
        <w:rPr>
          <w:rFonts w:ascii="Times New Roman" w:hAnsi="Times New Roman"/>
          <w:sz w:val="20"/>
          <w:highlight w:val="yellow"/>
        </w:rPr>
        <w:t>. Traditional bioprocessing techniques, including fermentation and germination (sprouting), have therefore attracted scientific interest as approaches for addressing these limitations. Although each technique has been studied individually, limited information is available on their combined effects in ternary blends of cereal, legume and fruit flour, particularly for breakfast meal applications. Therefore, this study aimed to evaluate the functional, pasting, microbial and sensory properties of breakfast meal flour blends produced from fermented and germinated maize combined with sprouted and non-sprouted black kidney beans and date flour.</w:t>
      </w:r>
    </w:p>
    <w:p w14:paraId="48360EA3" w14:textId="77777777" w:rsidR="0077328A" w:rsidRPr="00560D34" w:rsidRDefault="0077328A" w:rsidP="0077328A">
      <w:pPr>
        <w:spacing w:after="0" w:line="240" w:lineRule="auto"/>
        <w:jc w:val="both"/>
        <w:outlineLvl w:val="0"/>
        <w:rPr>
          <w:rFonts w:ascii="Times New Roman" w:eastAsia="Times New Roman" w:hAnsi="Times New Roman" w:cs="Times New Roman"/>
          <w:b/>
          <w:kern w:val="36"/>
          <w:sz w:val="14"/>
          <w:szCs w:val="16"/>
        </w:rPr>
      </w:pPr>
    </w:p>
    <w:p w14:paraId="5CDC4D18" w14:textId="77777777"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kern w:val="36"/>
          <w:szCs w:val="20"/>
        </w:rPr>
        <w:t>2. Materials and Methods</w:t>
      </w:r>
    </w:p>
    <w:p w14:paraId="633F7164"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866F4F" w14:textId="1CA4398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2.1 Raw Materials Procurement </w:t>
      </w:r>
    </w:p>
    <w:p w14:paraId="09F6C784" w14:textId="77777777" w:rsidR="0077328A" w:rsidRPr="00560D34" w:rsidRDefault="0077328A" w:rsidP="0077328A">
      <w:pPr>
        <w:spacing w:after="0" w:line="240" w:lineRule="auto"/>
        <w:jc w:val="both"/>
        <w:rPr>
          <w:rFonts w:ascii="Times New Roman" w:eastAsia="Times New Roman" w:hAnsi="Times New Roman" w:cs="Times New Roman"/>
          <w:sz w:val="14"/>
          <w:szCs w:val="16"/>
        </w:rPr>
      </w:pPr>
    </w:p>
    <w:p w14:paraId="6268D827" w14:textId="0B72B3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Yellow maize and date fruits were procured from </w:t>
      </w:r>
      <w:proofErr w:type="spellStart"/>
      <w:r>
        <w:rPr>
          <w:rFonts w:ascii="Times New Roman" w:hAnsi="Times New Roman"/>
          <w:sz w:val="20"/>
          <w:highlight w:val="yellow"/>
        </w:rPr>
        <w:t>Wurukum</w:t>
      </w:r>
      <w:proofErr w:type="spellEnd"/>
      <w:r>
        <w:rPr>
          <w:rFonts w:ascii="Times New Roman" w:hAnsi="Times New Roman"/>
          <w:sz w:val="20"/>
          <w:highlight w:val="yellow"/>
        </w:rPr>
        <w:t xml:space="preserve"> Market in Makurdi, Benue State, Nigeria. Black kidney beans were purchased from Bamenda Food Market, Cameroon.</w:t>
      </w:r>
    </w:p>
    <w:p w14:paraId="4A5423D3" w14:textId="77777777" w:rsidR="0077328A" w:rsidRPr="00560D34" w:rsidRDefault="0077328A" w:rsidP="0077328A">
      <w:pPr>
        <w:spacing w:after="0" w:line="240" w:lineRule="auto"/>
        <w:jc w:val="both"/>
        <w:rPr>
          <w:rFonts w:ascii="Times New Roman" w:eastAsia="Times New Roman" w:hAnsi="Times New Roman" w:cs="Times New Roman"/>
          <w:b/>
          <w:sz w:val="14"/>
          <w:szCs w:val="16"/>
        </w:rPr>
      </w:pPr>
    </w:p>
    <w:p w14:paraId="6B3941AF" w14:textId="2716120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Pr>
          <w:rFonts w:ascii="Times New Roman" w:hAnsi="Times New Roman"/>
          <w:b/>
          <w:highlight w:val="yellow"/>
        </w:rPr>
        <w:t>2.2 Preparation of Flour Samples</w:t>
      </w:r>
    </w:p>
    <w:p w14:paraId="14BDEE29"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291D7A" w14:textId="42AEB01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2.2.1 Production of Fermented Yellow Maize Seeds Flour</w:t>
      </w:r>
    </w:p>
    <w:p w14:paraId="0BECE2AF"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3A22B80B" w14:textId="17A40F55" w:rsidR="0077328A" w:rsidRPr="00560D34" w:rsidRDefault="0077328A" w:rsidP="0077328A">
      <w:pPr>
        <w:spacing w:after="0" w:line="240" w:lineRule="auto"/>
        <w:jc w:val="both"/>
        <w:outlineLvl w:val="1"/>
        <w:rPr>
          <w:rFonts w:ascii="Times New Roman" w:eastAsia="Times New Roman" w:hAnsi="Times New Roman" w:cs="Times New Roman"/>
          <w:bCs/>
          <w:sz w:val="20"/>
          <w:szCs w:val="20"/>
        </w:rPr>
      </w:pPr>
      <w:r>
        <w:rPr>
          <w:rFonts w:ascii="Times New Roman" w:hAnsi="Times New Roman"/>
          <w:sz w:val="20"/>
          <w:highlight w:val="yellow"/>
        </w:rPr>
        <w:t xml:space="preserve">Fermented yellow maize flour was processed using the method described by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Fadupin</w:t>
      </w:r>
      <w:proofErr w:type="spellEnd"/>
      <w:r>
        <w:rPr>
          <w:rFonts w:ascii="Times New Roman" w:hAnsi="Times New Roman"/>
          <w:sz w:val="20"/>
          <w:highlight w:val="yellow"/>
        </w:rPr>
        <w:t xml:space="preserve"> (2020). Four kilograms of yellow maize seeds were cleaned, washed, soaked in excess tepid water (1:3 w/v) and allowed to ferment naturally for 72 h at room temperature (30 ± 2 °C). The fermented seeds were washed and dried in a dehydrator at 60 °C (model: ST 0-2) for 24 h. The seeds were milled using an electric grinder (DE-2000 g) and sieved through a 450 µm pore sieve to obtain fermented maize flour. The flour obtained was packaged in zip-lock bags and stored in a refrigerator at 4 °C.</w:t>
      </w:r>
    </w:p>
    <w:p w14:paraId="33538597"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BD21A9" w14:textId="12FD1112"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2.2.2 Production of Germinated/Fermented Yellow Maize Seeds Flour</w:t>
      </w:r>
    </w:p>
    <w:p w14:paraId="775930CE"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263D14B7" w14:textId="7DC7DC3E" w:rsidR="0077328A" w:rsidRPr="00560D34" w:rsidRDefault="0077328A" w:rsidP="0077328A">
      <w:pPr>
        <w:spacing w:after="0" w:line="240" w:lineRule="auto"/>
        <w:jc w:val="both"/>
        <w:outlineLvl w:val="1"/>
        <w:rPr>
          <w:rFonts w:ascii="Times New Roman" w:eastAsia="Times New Roman" w:hAnsi="Times New Roman" w:cs="Times New Roman"/>
          <w:b/>
          <w:bCs/>
          <w:sz w:val="20"/>
          <w:szCs w:val="20"/>
        </w:rPr>
      </w:pPr>
      <w:r>
        <w:rPr>
          <w:rFonts w:ascii="Times New Roman" w:hAnsi="Times New Roman"/>
          <w:sz w:val="20"/>
          <w:highlight w:val="yellow"/>
        </w:rPr>
        <w:t xml:space="preserve">Four kilograms of yellow maize seeds were cleaned and soaked in excess tepid water for 24 h, with rinsing at 12 h intervals to prevent fermentation. The maize seeds were washed, drained and spread again at the 24th and 48th hours of germination, and were allowed to continue sprouting at room temperature until 72 h using a modified method of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Fadupin</w:t>
      </w:r>
      <w:proofErr w:type="spellEnd"/>
      <w:r>
        <w:rPr>
          <w:rFonts w:ascii="Times New Roman" w:hAnsi="Times New Roman"/>
          <w:sz w:val="20"/>
          <w:highlight w:val="yellow"/>
        </w:rPr>
        <w:t xml:space="preserve"> (2020). Water was sprinkled once or twice daily during the germination period to encourage aeration. The germinated maize was washed and fermented in water for 48 h at 30 °C. The sprouted fermented seeds were dried in a dehydrator at 60 °C (model: ST 0-2) for 24 h. The rootlets and hulls were removed, and the seeds were milled, sieved through a 450 µm pore sieve, packed in zip-lock bags and stored at 4 °C as germinated/fermented maize flour for further analysis.</w:t>
      </w:r>
    </w:p>
    <w:p w14:paraId="105087B3"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69CDE91F" w14:textId="0760E263" w:rsidR="0077328A" w:rsidRPr="00560D34"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
          <w:bCs/>
          <w:sz w:val="20"/>
          <w:szCs w:val="20"/>
          <w:lang w:val="en-GB"/>
        </w:rPr>
      </w:pPr>
      <w:r w:rsidRPr="00560D34">
        <w:rPr>
          <w:rFonts w:ascii="Times New Roman" w:eastAsia="Times New Roman" w:hAnsi="Times New Roman" w:cs="Times New Roman"/>
          <w:b/>
          <w:bCs/>
          <w:sz w:val="20"/>
          <w:szCs w:val="20"/>
          <w:lang w:val="en-GB"/>
        </w:rPr>
        <w:t>2.2.3 Preparation of Black Kidney Flour</w:t>
      </w:r>
    </w:p>
    <w:p w14:paraId="52C97CC3" w14:textId="36A126BA" w:rsidR="0077328A"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F579186" w14:textId="11E90A85" w:rsidR="0049170D" w:rsidRPr="0049170D"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8"/>
          <w:szCs w:val="16"/>
          <w:lang w:val="en-GB"/>
        </w:rPr>
      </w:pPr>
      <w:r>
        <w:rPr>
          <w:rFonts w:ascii="Times New Roman" w:hAnsi="Times New Roman"/>
          <w:sz w:val="18"/>
          <w:highlight w:val="yellow"/>
        </w:rPr>
        <w:t>Black kidney bean flour was prepared following the steps shown in the flowchart below:</w:t>
      </w:r>
    </w:p>
    <w:p w14:paraId="34454837" w14:textId="77777777" w:rsidR="0049170D" w:rsidRPr="00560D34"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87D47B5" w14:textId="72C8FEE5" w:rsidR="0077328A" w:rsidRPr="00560D34" w:rsidRDefault="006C6D05"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r w:rsidRPr="00560D34">
        <w:rPr>
          <w:noProof/>
          <w:lang w:val="ru-RU" w:eastAsia="ru-RU"/>
        </w:rPr>
        <w:lastRenderedPageBreak/>
        <w:drawing>
          <wp:inline distT="0" distB="0" distL="0" distR="0" wp14:anchorId="23E7911A" wp14:editId="6DD12E40">
            <wp:extent cx="2751431" cy="2951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65044" cy="2965619"/>
                    </a:xfrm>
                    <a:prstGeom prst="rect">
                      <a:avLst/>
                    </a:prstGeom>
                  </pic:spPr>
                </pic:pic>
              </a:graphicData>
            </a:graphic>
          </wp:inline>
        </w:drawing>
      </w:r>
    </w:p>
    <w:p w14:paraId="51E4605B" w14:textId="77777777" w:rsidR="0077328A" w:rsidRPr="00560D34" w:rsidRDefault="0077328A"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p>
    <w:p w14:paraId="3498574D" w14:textId="71A68675" w:rsidR="0077328A" w:rsidRPr="00560D34" w:rsidRDefault="006C6D05" w:rsidP="006C6D05">
      <w:pPr>
        <w:tabs>
          <w:tab w:val="left" w:pos="6561"/>
        </w:tabs>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Fig. 1. </w:t>
      </w:r>
      <w:r w:rsidR="0077328A" w:rsidRPr="00560D34">
        <w:rPr>
          <w:rFonts w:ascii="Times New Roman" w:eastAsia="Times New Roman" w:hAnsi="Times New Roman" w:cs="Times New Roman"/>
          <w:b/>
          <w:sz w:val="20"/>
          <w:szCs w:val="20"/>
        </w:rPr>
        <w:t>Flow chart for the production of non-sprouted and sprouted black kidney beans flour</w:t>
      </w:r>
    </w:p>
    <w:p w14:paraId="5359EF00" w14:textId="2F893F28" w:rsidR="0077328A" w:rsidRPr="00560D34" w:rsidRDefault="0077328A" w:rsidP="006C6D05">
      <w:pPr>
        <w:tabs>
          <w:tab w:val="left" w:pos="6561"/>
        </w:tabs>
        <w:spacing w:after="0" w:line="240" w:lineRule="auto"/>
        <w:jc w:val="center"/>
        <w:rPr>
          <w:rFonts w:ascii="Times New Roman" w:eastAsia="Times New Roman" w:hAnsi="Times New Roman" w:cs="Times New Roman"/>
          <w:i/>
          <w:sz w:val="18"/>
          <w:szCs w:val="20"/>
        </w:rPr>
      </w:pPr>
      <w:r>
        <w:rPr>
          <w:rFonts w:ascii="Times New Roman" w:hAnsi="Times New Roman"/>
          <w:i/>
          <w:sz w:val="18"/>
          <w:highlight w:val="yellow"/>
        </w:rPr>
        <w:t xml:space="preserve">Source: Abera et al. (2023) and </w:t>
      </w:r>
      <w:proofErr w:type="spellStart"/>
      <w:r>
        <w:rPr>
          <w:rFonts w:ascii="Times New Roman" w:hAnsi="Times New Roman"/>
          <w:i/>
          <w:sz w:val="18"/>
          <w:highlight w:val="yellow"/>
        </w:rPr>
        <w:t>Heuvey</w:t>
      </w:r>
      <w:proofErr w:type="spellEnd"/>
      <w:r>
        <w:rPr>
          <w:rFonts w:ascii="Times New Roman" w:hAnsi="Times New Roman"/>
          <w:i/>
          <w:sz w:val="18"/>
          <w:highlight w:val="yellow"/>
        </w:rPr>
        <w:t xml:space="preserve"> et al. (2023).</w:t>
      </w:r>
    </w:p>
    <w:p w14:paraId="01C3E743" w14:textId="34C6239B" w:rsidR="0077328A" w:rsidRPr="00560D34" w:rsidRDefault="006C6D05" w:rsidP="0077328A">
      <w:pPr>
        <w:tabs>
          <w:tab w:val="left" w:pos="6561"/>
        </w:tabs>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2.2.4 </w:t>
      </w:r>
      <w:r w:rsidR="0077328A" w:rsidRPr="00560D34">
        <w:rPr>
          <w:rFonts w:ascii="Times New Roman" w:eastAsia="Times New Roman" w:hAnsi="Times New Roman" w:cs="Times New Roman"/>
          <w:b/>
          <w:szCs w:val="20"/>
        </w:rPr>
        <w:t xml:space="preserve">Processing of </w:t>
      </w:r>
      <w:r w:rsidRPr="00560D34">
        <w:rPr>
          <w:rFonts w:ascii="Times New Roman" w:eastAsia="Times New Roman" w:hAnsi="Times New Roman" w:cs="Times New Roman"/>
          <w:b/>
          <w:szCs w:val="20"/>
        </w:rPr>
        <w:t>Date Flour</w:t>
      </w:r>
    </w:p>
    <w:p w14:paraId="328A5BD0" w14:textId="77777777" w:rsidR="006C6D05" w:rsidRPr="00560D34" w:rsidRDefault="006C6D05" w:rsidP="0077328A">
      <w:pPr>
        <w:tabs>
          <w:tab w:val="left" w:pos="6561"/>
        </w:tabs>
        <w:spacing w:after="0" w:line="240" w:lineRule="auto"/>
        <w:jc w:val="both"/>
        <w:rPr>
          <w:rFonts w:ascii="Times New Roman" w:eastAsia="Times New Roman" w:hAnsi="Times New Roman" w:cs="Times New Roman"/>
          <w:b/>
          <w:sz w:val="20"/>
          <w:szCs w:val="20"/>
        </w:rPr>
      </w:pPr>
    </w:p>
    <w:p w14:paraId="48B90DE0" w14:textId="7927760E" w:rsidR="006C6D05" w:rsidRPr="00560D34" w:rsidRDefault="0077328A" w:rsidP="006C6D05">
      <w:pPr>
        <w:tabs>
          <w:tab w:val="left" w:pos="6561"/>
        </w:tabs>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Date fruit flour was produced following Ahmadu et al. (2023), with minor modifications to the drying temperature. Two kilograms of dates were sorted, washed and soaked in 2.5 </w:t>
      </w:r>
      <w:proofErr w:type="spellStart"/>
      <w:r>
        <w:rPr>
          <w:rFonts w:ascii="Times New Roman" w:hAnsi="Times New Roman"/>
          <w:sz w:val="20"/>
          <w:highlight w:val="yellow"/>
        </w:rPr>
        <w:t>litres</w:t>
      </w:r>
      <w:proofErr w:type="spellEnd"/>
      <w:r>
        <w:rPr>
          <w:rFonts w:ascii="Times New Roman" w:hAnsi="Times New Roman"/>
          <w:sz w:val="20"/>
          <w:highlight w:val="yellow"/>
        </w:rPr>
        <w:t xml:space="preserve"> of water at 30 ± 2 °C for 24 h, with the water changed every 6 h to prevent fermentation. The seeds were removed, and the pulp was rinsed, spread on trays and dried in a dehydrator at 60 °C (model: ST 0-2) for 20 h, with stirring every 30 min. The dried pulp was milled, sieved (500 µm), mixed with 0.2% calcium triphosphate to prevent caking, packaged in a covered plastic container and stored at 4 °C.</w:t>
      </w:r>
    </w:p>
    <w:p w14:paraId="7E5B91C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73E48D4F" w14:textId="554C6295" w:rsidR="0077328A" w:rsidRPr="00560D34" w:rsidRDefault="0077328A" w:rsidP="006C6D05">
      <w:pPr>
        <w:tabs>
          <w:tab w:val="left" w:pos="6561"/>
        </w:tabs>
        <w:spacing w:after="0" w:line="240" w:lineRule="auto"/>
        <w:jc w:val="both"/>
        <w:rPr>
          <w:rFonts w:ascii="Times New Roman" w:eastAsia="Times New Roman" w:hAnsi="Times New Roman" w:cs="Times New Roman"/>
          <w:bCs/>
          <w:sz w:val="20"/>
          <w:szCs w:val="20"/>
          <w:lang w:val="en-GB"/>
        </w:rPr>
      </w:pPr>
      <w:r>
        <w:rPr>
          <w:rFonts w:ascii="Times New Roman" w:hAnsi="Times New Roman"/>
          <w:sz w:val="20"/>
          <w:highlight w:val="yellow"/>
        </w:rPr>
        <w:t>Samples were formulated after proximate analysis through material balancing, targeting 16% protein per 100 g.</w:t>
      </w:r>
    </w:p>
    <w:p w14:paraId="6E6EC27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0E79BA35" w14:textId="3F16A734" w:rsidR="0077328A" w:rsidRPr="00560D34" w:rsidRDefault="006C6D05" w:rsidP="006C6D05">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Table 1. </w:t>
      </w:r>
      <w:r w:rsidR="0077328A" w:rsidRPr="00560D34">
        <w:rPr>
          <w:rFonts w:ascii="Times New Roman" w:eastAsia="Times New Roman" w:hAnsi="Times New Roman" w:cs="Times New Roman"/>
          <w:b/>
          <w:sz w:val="20"/>
          <w:szCs w:val="20"/>
        </w:rPr>
        <w:t>Sample formulation</w:t>
      </w:r>
    </w:p>
    <w:p w14:paraId="63194816" w14:textId="77777777" w:rsidR="006C6D05" w:rsidRPr="00560D34" w:rsidRDefault="006C6D05" w:rsidP="0077328A">
      <w:pPr>
        <w:spacing w:after="0" w:line="240" w:lineRule="auto"/>
        <w:jc w:val="both"/>
        <w:rPr>
          <w:rFonts w:ascii="Times New Roman" w:eastAsia="Times New Roman"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353"/>
        <w:gridCol w:w="2381"/>
        <w:gridCol w:w="2025"/>
      </w:tblGrid>
      <w:tr w:rsidR="0077328A" w:rsidRPr="00560D34" w14:paraId="790D6D91" w14:textId="77777777" w:rsidTr="00F95923">
        <w:trPr>
          <w:trHeight w:val="20"/>
          <w:jc w:val="center"/>
        </w:trPr>
        <w:tc>
          <w:tcPr>
            <w:tcW w:w="2128" w:type="dxa"/>
            <w:tcBorders>
              <w:top w:val="single" w:sz="4" w:space="0" w:color="auto"/>
              <w:bottom w:val="single" w:sz="4" w:space="0" w:color="auto"/>
            </w:tcBorders>
            <w:hideMark/>
          </w:tcPr>
          <w:p w14:paraId="6EE92C03" w14:textId="77777777" w:rsidR="0077328A" w:rsidRPr="00560D34" w:rsidRDefault="0077328A" w:rsidP="006C6D05">
            <w:pPr>
              <w:rPr>
                <w:rFonts w:ascii="Times New Roman" w:eastAsia="Times New Roman" w:hAnsi="Times New Roman" w:cs="Times New Roman"/>
                <w:b/>
                <w:sz w:val="16"/>
              </w:rPr>
            </w:pPr>
            <w:bookmarkStart w:id="0" w:name="_Toc193211153"/>
            <w:bookmarkStart w:id="1" w:name="_Toc197993473"/>
            <w:bookmarkStart w:id="2" w:name="_Toc224479153"/>
            <w:bookmarkStart w:id="3" w:name="_Toc224493792"/>
            <w:bookmarkStart w:id="4" w:name="_Toc228872098"/>
            <w:bookmarkStart w:id="5" w:name="_Toc228874072"/>
            <w:r w:rsidRPr="00560D34">
              <w:rPr>
                <w:rFonts w:ascii="Times New Roman" w:eastAsia="Times New Roman" w:hAnsi="Times New Roman" w:cs="Times New Roman"/>
                <w:b/>
                <w:sz w:val="16"/>
              </w:rPr>
              <w:t>Sample code</w:t>
            </w:r>
            <w:bookmarkEnd w:id="0"/>
            <w:bookmarkEnd w:id="1"/>
            <w:bookmarkEnd w:id="2"/>
            <w:bookmarkEnd w:id="3"/>
            <w:bookmarkEnd w:id="4"/>
            <w:bookmarkEnd w:id="5"/>
          </w:p>
        </w:tc>
        <w:tc>
          <w:tcPr>
            <w:tcW w:w="2414" w:type="dxa"/>
            <w:tcBorders>
              <w:top w:val="single" w:sz="4" w:space="0" w:color="auto"/>
              <w:bottom w:val="single" w:sz="4" w:space="0" w:color="auto"/>
            </w:tcBorders>
            <w:hideMark/>
          </w:tcPr>
          <w:p w14:paraId="024A681A" w14:textId="77777777" w:rsidR="0077328A" w:rsidRPr="00560D34" w:rsidRDefault="0077328A" w:rsidP="006C6D05">
            <w:pPr>
              <w:rPr>
                <w:rFonts w:ascii="Times New Roman" w:eastAsia="Times New Roman" w:hAnsi="Times New Roman" w:cs="Times New Roman"/>
                <w:b/>
                <w:sz w:val="16"/>
              </w:rPr>
            </w:pPr>
            <w:bookmarkStart w:id="6" w:name="_Toc193211150"/>
            <w:bookmarkStart w:id="7" w:name="_Toc197993470"/>
            <w:bookmarkStart w:id="8" w:name="_Toc224479154"/>
            <w:bookmarkStart w:id="9" w:name="_Toc224493793"/>
            <w:bookmarkStart w:id="10" w:name="_Toc228872099"/>
            <w:bookmarkStart w:id="11" w:name="_Toc228874073"/>
            <w:r w:rsidRPr="00560D34">
              <w:rPr>
                <w:rFonts w:ascii="Times New Roman" w:eastAsia="Times New Roman" w:hAnsi="Times New Roman" w:cs="Times New Roman"/>
                <w:b/>
                <w:sz w:val="16"/>
              </w:rPr>
              <w:t>Maize</w:t>
            </w:r>
            <w:bookmarkEnd w:id="6"/>
            <w:bookmarkEnd w:id="7"/>
            <w:bookmarkEnd w:id="8"/>
            <w:bookmarkEnd w:id="9"/>
            <w:bookmarkEnd w:id="10"/>
            <w:bookmarkEnd w:id="11"/>
            <w:r w:rsidRPr="00560D34">
              <w:rPr>
                <w:rFonts w:ascii="Times New Roman" w:eastAsia="Times New Roman" w:hAnsi="Times New Roman" w:cs="Times New Roman"/>
                <w:b/>
                <w:sz w:val="16"/>
              </w:rPr>
              <w:t xml:space="preserve"> </w:t>
            </w:r>
          </w:p>
        </w:tc>
        <w:tc>
          <w:tcPr>
            <w:tcW w:w="2443" w:type="dxa"/>
            <w:tcBorders>
              <w:top w:val="single" w:sz="4" w:space="0" w:color="auto"/>
              <w:bottom w:val="single" w:sz="4" w:space="0" w:color="auto"/>
            </w:tcBorders>
            <w:hideMark/>
          </w:tcPr>
          <w:p w14:paraId="7B886E68" w14:textId="77777777" w:rsidR="0077328A" w:rsidRPr="00560D34" w:rsidRDefault="0077328A" w:rsidP="006C6D05">
            <w:pPr>
              <w:rPr>
                <w:rFonts w:ascii="Times New Roman" w:eastAsia="Times New Roman" w:hAnsi="Times New Roman" w:cs="Times New Roman"/>
                <w:b/>
                <w:sz w:val="16"/>
              </w:rPr>
            </w:pPr>
            <w:bookmarkStart w:id="12" w:name="_Toc193211151"/>
            <w:bookmarkStart w:id="13" w:name="_Toc197993471"/>
            <w:bookmarkStart w:id="14" w:name="_Toc224479155"/>
            <w:bookmarkStart w:id="15" w:name="_Toc224493794"/>
            <w:bookmarkStart w:id="16" w:name="_Toc228872100"/>
            <w:bookmarkStart w:id="17" w:name="_Toc228874074"/>
            <w:r w:rsidRPr="00560D34">
              <w:rPr>
                <w:rFonts w:ascii="Times New Roman" w:eastAsia="Times New Roman" w:hAnsi="Times New Roman" w:cs="Times New Roman"/>
                <w:b/>
                <w:sz w:val="16"/>
              </w:rPr>
              <w:t>Black beans</w:t>
            </w:r>
            <w:bookmarkEnd w:id="12"/>
            <w:bookmarkEnd w:id="13"/>
            <w:bookmarkEnd w:id="14"/>
            <w:bookmarkEnd w:id="15"/>
            <w:bookmarkEnd w:id="16"/>
            <w:bookmarkEnd w:id="17"/>
          </w:p>
        </w:tc>
        <w:tc>
          <w:tcPr>
            <w:tcW w:w="2075" w:type="dxa"/>
            <w:tcBorders>
              <w:top w:val="single" w:sz="4" w:space="0" w:color="auto"/>
              <w:bottom w:val="single" w:sz="4" w:space="0" w:color="auto"/>
            </w:tcBorders>
            <w:hideMark/>
          </w:tcPr>
          <w:p w14:paraId="3C007821" w14:textId="77777777" w:rsidR="0077328A" w:rsidRPr="00560D34" w:rsidRDefault="0077328A" w:rsidP="006C6D05">
            <w:pPr>
              <w:rPr>
                <w:rFonts w:ascii="Times New Roman" w:eastAsia="Times New Roman" w:hAnsi="Times New Roman" w:cs="Times New Roman"/>
                <w:b/>
                <w:sz w:val="16"/>
              </w:rPr>
            </w:pPr>
            <w:bookmarkStart w:id="18" w:name="_Toc193211152"/>
            <w:bookmarkStart w:id="19" w:name="_Toc197993472"/>
            <w:bookmarkStart w:id="20" w:name="_Toc224479156"/>
            <w:bookmarkStart w:id="21" w:name="_Toc224493795"/>
            <w:bookmarkStart w:id="22" w:name="_Toc228872101"/>
            <w:bookmarkStart w:id="23" w:name="_Toc228874075"/>
            <w:r w:rsidRPr="00560D34">
              <w:rPr>
                <w:rFonts w:ascii="Times New Roman" w:eastAsia="Times New Roman" w:hAnsi="Times New Roman" w:cs="Times New Roman"/>
                <w:b/>
                <w:sz w:val="16"/>
              </w:rPr>
              <w:t>Dates</w:t>
            </w:r>
            <w:bookmarkEnd w:id="18"/>
            <w:bookmarkEnd w:id="19"/>
            <w:bookmarkEnd w:id="20"/>
            <w:bookmarkEnd w:id="21"/>
            <w:bookmarkEnd w:id="22"/>
            <w:bookmarkEnd w:id="23"/>
            <w:r w:rsidRPr="00560D34">
              <w:rPr>
                <w:rFonts w:ascii="Times New Roman" w:eastAsia="Times New Roman" w:hAnsi="Times New Roman" w:cs="Times New Roman"/>
                <w:b/>
                <w:sz w:val="16"/>
              </w:rPr>
              <w:t xml:space="preserve"> </w:t>
            </w:r>
          </w:p>
        </w:tc>
      </w:tr>
      <w:tr w:rsidR="0077328A" w:rsidRPr="00560D34" w14:paraId="36170A1C" w14:textId="77777777" w:rsidTr="00F95923">
        <w:trPr>
          <w:trHeight w:val="20"/>
          <w:jc w:val="center"/>
        </w:trPr>
        <w:tc>
          <w:tcPr>
            <w:tcW w:w="2128" w:type="dxa"/>
            <w:tcBorders>
              <w:top w:val="single" w:sz="4" w:space="0" w:color="auto"/>
            </w:tcBorders>
            <w:hideMark/>
          </w:tcPr>
          <w:p w14:paraId="13313CE1" w14:textId="77777777" w:rsidR="0077328A" w:rsidRPr="00560D34" w:rsidRDefault="0077328A" w:rsidP="006C6D05">
            <w:pPr>
              <w:rPr>
                <w:rFonts w:ascii="Times New Roman" w:eastAsia="Times New Roman" w:hAnsi="Times New Roman" w:cs="Times New Roman"/>
                <w:sz w:val="16"/>
              </w:rPr>
            </w:pPr>
            <w:bookmarkStart w:id="24" w:name="_Toc193211156"/>
            <w:bookmarkStart w:id="25" w:name="_Toc197993476"/>
            <w:bookmarkStart w:id="26" w:name="_Toc224479157"/>
            <w:bookmarkStart w:id="27" w:name="_Toc224493796"/>
            <w:bookmarkStart w:id="28" w:name="_Toc228872102"/>
            <w:bookmarkStart w:id="29" w:name="_Toc228874076"/>
            <w:r w:rsidRPr="00560D34">
              <w:rPr>
                <w:rFonts w:ascii="Times New Roman" w:eastAsia="Times New Roman" w:hAnsi="Times New Roman" w:cs="Times New Roman"/>
                <w:sz w:val="16"/>
              </w:rPr>
              <w:t>FM</w:t>
            </w:r>
            <w:bookmarkEnd w:id="24"/>
            <w:bookmarkEnd w:id="25"/>
            <w:bookmarkEnd w:id="26"/>
            <w:bookmarkEnd w:id="27"/>
            <w:bookmarkEnd w:id="28"/>
            <w:bookmarkEnd w:id="29"/>
          </w:p>
        </w:tc>
        <w:tc>
          <w:tcPr>
            <w:tcW w:w="2414" w:type="dxa"/>
            <w:tcBorders>
              <w:top w:val="single" w:sz="4" w:space="0" w:color="auto"/>
            </w:tcBorders>
            <w:hideMark/>
          </w:tcPr>
          <w:p w14:paraId="62F9381D" w14:textId="77777777" w:rsidR="0077328A" w:rsidRPr="00560D34" w:rsidRDefault="0077328A" w:rsidP="006C6D05">
            <w:pPr>
              <w:rPr>
                <w:rFonts w:ascii="Times New Roman" w:eastAsia="Times New Roman" w:hAnsi="Times New Roman" w:cs="Times New Roman"/>
                <w:bCs/>
                <w:sz w:val="16"/>
              </w:rPr>
            </w:pPr>
            <w:bookmarkStart w:id="30" w:name="_Toc224479158"/>
            <w:bookmarkStart w:id="31" w:name="_Toc224493797"/>
            <w:bookmarkStart w:id="32" w:name="_Toc228872103"/>
            <w:bookmarkStart w:id="33" w:name="_Toc228874077"/>
            <w:r w:rsidRPr="00560D34">
              <w:rPr>
                <w:rFonts w:ascii="Times New Roman" w:eastAsia="Times New Roman" w:hAnsi="Times New Roman" w:cs="Times New Roman"/>
                <w:bCs/>
                <w:sz w:val="16"/>
              </w:rPr>
              <w:t>100</w:t>
            </w:r>
            <w:bookmarkEnd w:id="30"/>
            <w:bookmarkEnd w:id="31"/>
            <w:bookmarkEnd w:id="32"/>
            <w:bookmarkEnd w:id="33"/>
          </w:p>
        </w:tc>
        <w:tc>
          <w:tcPr>
            <w:tcW w:w="2443" w:type="dxa"/>
            <w:tcBorders>
              <w:top w:val="single" w:sz="4" w:space="0" w:color="auto"/>
            </w:tcBorders>
            <w:hideMark/>
          </w:tcPr>
          <w:p w14:paraId="0DEA891B" w14:textId="77777777" w:rsidR="0077328A" w:rsidRPr="00560D34" w:rsidRDefault="0077328A" w:rsidP="006C6D05">
            <w:pPr>
              <w:rPr>
                <w:rFonts w:ascii="Times New Roman" w:eastAsia="Times New Roman" w:hAnsi="Times New Roman" w:cs="Times New Roman"/>
                <w:bCs/>
                <w:sz w:val="16"/>
              </w:rPr>
            </w:pPr>
            <w:bookmarkStart w:id="34" w:name="_Toc224479159"/>
            <w:bookmarkStart w:id="35" w:name="_Toc224493798"/>
            <w:bookmarkStart w:id="36" w:name="_Toc228872104"/>
            <w:bookmarkStart w:id="37" w:name="_Toc228874078"/>
            <w:r w:rsidRPr="00560D34">
              <w:rPr>
                <w:rFonts w:ascii="Times New Roman" w:eastAsia="Times New Roman" w:hAnsi="Times New Roman" w:cs="Times New Roman"/>
                <w:bCs/>
                <w:sz w:val="16"/>
              </w:rPr>
              <w:t>-</w:t>
            </w:r>
            <w:bookmarkEnd w:id="34"/>
            <w:bookmarkEnd w:id="35"/>
            <w:bookmarkEnd w:id="36"/>
            <w:bookmarkEnd w:id="37"/>
          </w:p>
        </w:tc>
        <w:tc>
          <w:tcPr>
            <w:tcW w:w="2075" w:type="dxa"/>
            <w:tcBorders>
              <w:top w:val="single" w:sz="4" w:space="0" w:color="auto"/>
            </w:tcBorders>
            <w:hideMark/>
          </w:tcPr>
          <w:p w14:paraId="799A78BE" w14:textId="77777777" w:rsidR="0077328A" w:rsidRPr="00560D34" w:rsidRDefault="0077328A" w:rsidP="006C6D05">
            <w:pPr>
              <w:rPr>
                <w:rFonts w:ascii="Times New Roman" w:eastAsia="Times New Roman" w:hAnsi="Times New Roman" w:cs="Times New Roman"/>
                <w:bCs/>
                <w:sz w:val="16"/>
              </w:rPr>
            </w:pPr>
            <w:bookmarkStart w:id="38" w:name="_Toc224479160"/>
            <w:bookmarkStart w:id="39" w:name="_Toc224493799"/>
            <w:bookmarkStart w:id="40" w:name="_Toc228872105"/>
            <w:bookmarkStart w:id="41" w:name="_Toc228874079"/>
            <w:r w:rsidRPr="00560D34">
              <w:rPr>
                <w:rFonts w:ascii="Times New Roman" w:eastAsia="Times New Roman" w:hAnsi="Times New Roman" w:cs="Times New Roman"/>
                <w:bCs/>
                <w:sz w:val="16"/>
              </w:rPr>
              <w:t>-</w:t>
            </w:r>
            <w:bookmarkEnd w:id="38"/>
            <w:bookmarkEnd w:id="39"/>
            <w:bookmarkEnd w:id="40"/>
            <w:bookmarkEnd w:id="41"/>
          </w:p>
        </w:tc>
      </w:tr>
      <w:tr w:rsidR="0077328A" w:rsidRPr="00560D34" w14:paraId="72D6AB96" w14:textId="77777777" w:rsidTr="00F95923">
        <w:trPr>
          <w:trHeight w:val="20"/>
          <w:jc w:val="center"/>
        </w:trPr>
        <w:tc>
          <w:tcPr>
            <w:tcW w:w="2128" w:type="dxa"/>
            <w:hideMark/>
          </w:tcPr>
          <w:p w14:paraId="2CEB9C08" w14:textId="77777777" w:rsidR="0077328A" w:rsidRPr="00560D34" w:rsidRDefault="0077328A" w:rsidP="006C6D05">
            <w:pPr>
              <w:rPr>
                <w:rFonts w:ascii="Times New Roman" w:eastAsia="Times New Roman" w:hAnsi="Times New Roman" w:cs="Times New Roman"/>
                <w:sz w:val="16"/>
              </w:rPr>
            </w:pPr>
            <w:bookmarkStart w:id="42" w:name="_Toc193211161"/>
            <w:bookmarkStart w:id="43" w:name="_Toc197993481"/>
            <w:bookmarkStart w:id="44" w:name="_Toc224479161"/>
            <w:bookmarkStart w:id="45" w:name="_Toc224493800"/>
            <w:bookmarkStart w:id="46" w:name="_Toc228872106"/>
            <w:bookmarkStart w:id="47" w:name="_Toc228874080"/>
            <w:r w:rsidRPr="00560D34">
              <w:rPr>
                <w:rFonts w:ascii="Times New Roman" w:eastAsia="Times New Roman" w:hAnsi="Times New Roman" w:cs="Times New Roman"/>
                <w:sz w:val="16"/>
              </w:rPr>
              <w:t>FMSBD</w:t>
            </w:r>
            <w:bookmarkEnd w:id="42"/>
            <w:bookmarkEnd w:id="43"/>
            <w:bookmarkEnd w:id="44"/>
            <w:bookmarkEnd w:id="45"/>
            <w:bookmarkEnd w:id="46"/>
            <w:bookmarkEnd w:id="47"/>
          </w:p>
        </w:tc>
        <w:tc>
          <w:tcPr>
            <w:tcW w:w="2414" w:type="dxa"/>
            <w:hideMark/>
          </w:tcPr>
          <w:p w14:paraId="65CD99CC" w14:textId="77777777" w:rsidR="0077328A" w:rsidRPr="00560D34" w:rsidRDefault="0077328A" w:rsidP="006C6D05">
            <w:pPr>
              <w:rPr>
                <w:rFonts w:ascii="Times New Roman" w:eastAsia="Times New Roman" w:hAnsi="Times New Roman" w:cs="Times New Roman"/>
                <w:bCs/>
                <w:sz w:val="16"/>
              </w:rPr>
            </w:pPr>
            <w:bookmarkStart w:id="48" w:name="_Toc224479162"/>
            <w:bookmarkStart w:id="49" w:name="_Toc224493801"/>
            <w:bookmarkStart w:id="50" w:name="_Toc228872107"/>
            <w:bookmarkStart w:id="51" w:name="_Toc228874081"/>
            <w:r w:rsidRPr="00560D34">
              <w:rPr>
                <w:rFonts w:ascii="Times New Roman" w:eastAsia="Times New Roman" w:hAnsi="Times New Roman" w:cs="Times New Roman"/>
                <w:bCs/>
                <w:sz w:val="16"/>
              </w:rPr>
              <w:t>44.76</w:t>
            </w:r>
            <w:bookmarkEnd w:id="48"/>
            <w:bookmarkEnd w:id="49"/>
            <w:bookmarkEnd w:id="50"/>
            <w:bookmarkEnd w:id="51"/>
          </w:p>
        </w:tc>
        <w:tc>
          <w:tcPr>
            <w:tcW w:w="2443" w:type="dxa"/>
            <w:hideMark/>
          </w:tcPr>
          <w:p w14:paraId="1B921E79" w14:textId="77777777" w:rsidR="0077328A" w:rsidRPr="00560D34" w:rsidRDefault="0077328A" w:rsidP="006C6D05">
            <w:pPr>
              <w:rPr>
                <w:rFonts w:ascii="Times New Roman" w:eastAsia="Times New Roman" w:hAnsi="Times New Roman" w:cs="Times New Roman"/>
                <w:bCs/>
                <w:sz w:val="16"/>
              </w:rPr>
            </w:pPr>
            <w:bookmarkStart w:id="52" w:name="_Toc224479163"/>
            <w:bookmarkStart w:id="53" w:name="_Toc224493802"/>
            <w:bookmarkStart w:id="54" w:name="_Toc228872108"/>
            <w:bookmarkStart w:id="55" w:name="_Toc228874082"/>
            <w:r w:rsidRPr="00560D34">
              <w:rPr>
                <w:rFonts w:ascii="Times New Roman" w:eastAsia="Times New Roman" w:hAnsi="Times New Roman" w:cs="Times New Roman"/>
                <w:bCs/>
                <w:sz w:val="16"/>
              </w:rPr>
              <w:t>45.24</w:t>
            </w:r>
            <w:bookmarkEnd w:id="52"/>
            <w:bookmarkEnd w:id="53"/>
            <w:bookmarkEnd w:id="54"/>
            <w:bookmarkEnd w:id="55"/>
            <w:r w:rsidRPr="00560D34">
              <w:rPr>
                <w:rFonts w:ascii="Times New Roman" w:eastAsia="Times New Roman" w:hAnsi="Times New Roman" w:cs="Times New Roman"/>
                <w:bCs/>
                <w:sz w:val="16"/>
              </w:rPr>
              <w:t xml:space="preserve"> </w:t>
            </w:r>
          </w:p>
        </w:tc>
        <w:tc>
          <w:tcPr>
            <w:tcW w:w="2075" w:type="dxa"/>
            <w:hideMark/>
          </w:tcPr>
          <w:p w14:paraId="4FA7C8FF" w14:textId="77777777" w:rsidR="0077328A" w:rsidRPr="00560D34" w:rsidRDefault="0077328A" w:rsidP="006C6D05">
            <w:pPr>
              <w:rPr>
                <w:rFonts w:ascii="Times New Roman" w:eastAsia="Times New Roman" w:hAnsi="Times New Roman" w:cs="Times New Roman"/>
                <w:bCs/>
                <w:sz w:val="16"/>
              </w:rPr>
            </w:pPr>
            <w:bookmarkStart w:id="56" w:name="_Toc224479164"/>
            <w:bookmarkStart w:id="57" w:name="_Toc224493803"/>
            <w:bookmarkStart w:id="58" w:name="_Toc228872109"/>
            <w:bookmarkStart w:id="59" w:name="_Toc228874083"/>
            <w:r w:rsidRPr="00560D34">
              <w:rPr>
                <w:rFonts w:ascii="Times New Roman" w:eastAsia="Times New Roman" w:hAnsi="Times New Roman" w:cs="Times New Roman"/>
                <w:bCs/>
                <w:sz w:val="16"/>
              </w:rPr>
              <w:t>10</w:t>
            </w:r>
            <w:bookmarkEnd w:id="56"/>
            <w:bookmarkEnd w:id="57"/>
            <w:bookmarkEnd w:id="58"/>
            <w:bookmarkEnd w:id="59"/>
          </w:p>
        </w:tc>
      </w:tr>
      <w:tr w:rsidR="0077328A" w:rsidRPr="00560D34" w14:paraId="1C73C231" w14:textId="77777777" w:rsidTr="00F95923">
        <w:trPr>
          <w:trHeight w:val="20"/>
          <w:jc w:val="center"/>
        </w:trPr>
        <w:tc>
          <w:tcPr>
            <w:tcW w:w="2128" w:type="dxa"/>
            <w:hideMark/>
          </w:tcPr>
          <w:p w14:paraId="3081883D" w14:textId="77777777" w:rsidR="0077328A" w:rsidRPr="00560D34" w:rsidRDefault="0077328A" w:rsidP="006C6D05">
            <w:pPr>
              <w:rPr>
                <w:rFonts w:ascii="Times New Roman" w:eastAsia="Times New Roman" w:hAnsi="Times New Roman" w:cs="Times New Roman"/>
                <w:sz w:val="16"/>
              </w:rPr>
            </w:pPr>
            <w:bookmarkStart w:id="60" w:name="_Toc193211166"/>
            <w:bookmarkStart w:id="61" w:name="_Toc197993486"/>
            <w:bookmarkStart w:id="62" w:name="_Toc224479165"/>
            <w:bookmarkStart w:id="63" w:name="_Toc224493804"/>
            <w:bookmarkStart w:id="64" w:name="_Toc228872110"/>
            <w:bookmarkStart w:id="65" w:name="_Toc228874084"/>
            <w:r w:rsidRPr="00560D34">
              <w:rPr>
                <w:rFonts w:ascii="Times New Roman" w:eastAsia="Times New Roman" w:hAnsi="Times New Roman" w:cs="Times New Roman"/>
                <w:sz w:val="16"/>
              </w:rPr>
              <w:t>FMNSBD</w:t>
            </w:r>
            <w:bookmarkEnd w:id="60"/>
            <w:bookmarkEnd w:id="61"/>
            <w:bookmarkEnd w:id="62"/>
            <w:bookmarkEnd w:id="63"/>
            <w:bookmarkEnd w:id="64"/>
            <w:bookmarkEnd w:id="65"/>
          </w:p>
        </w:tc>
        <w:tc>
          <w:tcPr>
            <w:tcW w:w="2414" w:type="dxa"/>
            <w:hideMark/>
          </w:tcPr>
          <w:p w14:paraId="7454519E" w14:textId="77777777" w:rsidR="0077328A" w:rsidRPr="00560D34" w:rsidRDefault="0077328A" w:rsidP="006C6D05">
            <w:pPr>
              <w:rPr>
                <w:rFonts w:ascii="Times New Roman" w:eastAsia="Times New Roman" w:hAnsi="Times New Roman" w:cs="Times New Roman"/>
                <w:bCs/>
                <w:sz w:val="16"/>
              </w:rPr>
            </w:pPr>
            <w:bookmarkStart w:id="66" w:name="_Toc224479166"/>
            <w:bookmarkStart w:id="67" w:name="_Toc224493805"/>
            <w:bookmarkStart w:id="68" w:name="_Toc228872111"/>
            <w:bookmarkStart w:id="69" w:name="_Toc228874085"/>
            <w:r w:rsidRPr="00560D34">
              <w:rPr>
                <w:rFonts w:ascii="Times New Roman" w:eastAsia="Times New Roman" w:hAnsi="Times New Roman" w:cs="Times New Roman"/>
                <w:bCs/>
                <w:sz w:val="16"/>
              </w:rPr>
              <w:t>41.5</w:t>
            </w:r>
            <w:bookmarkEnd w:id="66"/>
            <w:bookmarkEnd w:id="67"/>
            <w:bookmarkEnd w:id="68"/>
            <w:bookmarkEnd w:id="69"/>
            <w:r w:rsidRPr="00560D34">
              <w:rPr>
                <w:rFonts w:ascii="Times New Roman" w:eastAsia="Times New Roman" w:hAnsi="Times New Roman" w:cs="Times New Roman"/>
                <w:bCs/>
                <w:sz w:val="16"/>
              </w:rPr>
              <w:t>0</w:t>
            </w:r>
          </w:p>
        </w:tc>
        <w:tc>
          <w:tcPr>
            <w:tcW w:w="2443" w:type="dxa"/>
            <w:hideMark/>
          </w:tcPr>
          <w:p w14:paraId="61CC02D9" w14:textId="77777777" w:rsidR="0077328A" w:rsidRPr="00560D34" w:rsidRDefault="0077328A" w:rsidP="006C6D05">
            <w:pPr>
              <w:rPr>
                <w:rFonts w:ascii="Times New Roman" w:eastAsia="Times New Roman" w:hAnsi="Times New Roman" w:cs="Times New Roman"/>
                <w:bCs/>
                <w:sz w:val="16"/>
              </w:rPr>
            </w:pPr>
            <w:bookmarkStart w:id="70" w:name="_Toc224479167"/>
            <w:bookmarkStart w:id="71" w:name="_Toc224493806"/>
            <w:bookmarkStart w:id="72" w:name="_Toc228872112"/>
            <w:bookmarkStart w:id="73" w:name="_Toc228874086"/>
            <w:r w:rsidRPr="00560D34">
              <w:rPr>
                <w:rFonts w:ascii="Times New Roman" w:eastAsia="Times New Roman" w:hAnsi="Times New Roman" w:cs="Times New Roman"/>
                <w:bCs/>
                <w:sz w:val="16"/>
              </w:rPr>
              <w:t>48.5</w:t>
            </w:r>
            <w:bookmarkEnd w:id="70"/>
            <w:bookmarkEnd w:id="71"/>
            <w:bookmarkEnd w:id="72"/>
            <w:bookmarkEnd w:id="73"/>
          </w:p>
        </w:tc>
        <w:tc>
          <w:tcPr>
            <w:tcW w:w="2075" w:type="dxa"/>
            <w:hideMark/>
          </w:tcPr>
          <w:p w14:paraId="6A9620C3" w14:textId="77777777" w:rsidR="0077328A" w:rsidRPr="00560D34" w:rsidRDefault="0077328A" w:rsidP="006C6D05">
            <w:pPr>
              <w:rPr>
                <w:rFonts w:ascii="Times New Roman" w:eastAsia="Times New Roman" w:hAnsi="Times New Roman" w:cs="Times New Roman"/>
                <w:bCs/>
                <w:sz w:val="16"/>
              </w:rPr>
            </w:pPr>
            <w:bookmarkStart w:id="74" w:name="_Toc224479168"/>
            <w:bookmarkStart w:id="75" w:name="_Toc224493807"/>
            <w:bookmarkStart w:id="76" w:name="_Toc228872113"/>
            <w:bookmarkStart w:id="77" w:name="_Toc228874087"/>
            <w:r w:rsidRPr="00560D34">
              <w:rPr>
                <w:rFonts w:ascii="Times New Roman" w:eastAsia="Times New Roman" w:hAnsi="Times New Roman" w:cs="Times New Roman"/>
                <w:bCs/>
                <w:sz w:val="16"/>
              </w:rPr>
              <w:t>10</w:t>
            </w:r>
            <w:bookmarkEnd w:id="74"/>
            <w:bookmarkEnd w:id="75"/>
            <w:bookmarkEnd w:id="76"/>
            <w:bookmarkEnd w:id="77"/>
          </w:p>
        </w:tc>
      </w:tr>
      <w:tr w:rsidR="0077328A" w:rsidRPr="00560D34" w14:paraId="56A72198" w14:textId="77777777" w:rsidTr="00F95923">
        <w:trPr>
          <w:trHeight w:val="20"/>
          <w:jc w:val="center"/>
        </w:trPr>
        <w:tc>
          <w:tcPr>
            <w:tcW w:w="2128" w:type="dxa"/>
            <w:hideMark/>
          </w:tcPr>
          <w:p w14:paraId="1FED941D" w14:textId="77777777" w:rsidR="0077328A" w:rsidRPr="00560D34" w:rsidRDefault="0077328A" w:rsidP="006C6D05">
            <w:pPr>
              <w:rPr>
                <w:rFonts w:ascii="Times New Roman" w:eastAsia="Times New Roman" w:hAnsi="Times New Roman" w:cs="Times New Roman"/>
                <w:sz w:val="16"/>
              </w:rPr>
            </w:pPr>
            <w:bookmarkStart w:id="78" w:name="_Toc193211171"/>
            <w:bookmarkStart w:id="79" w:name="_Toc197993491"/>
            <w:bookmarkStart w:id="80" w:name="_Toc224479169"/>
            <w:bookmarkStart w:id="81" w:name="_Toc224493808"/>
            <w:bookmarkStart w:id="82" w:name="_Toc228872114"/>
            <w:bookmarkStart w:id="83" w:name="_Toc228874088"/>
            <w:r w:rsidRPr="00560D34">
              <w:rPr>
                <w:rFonts w:ascii="Times New Roman" w:eastAsia="Times New Roman" w:hAnsi="Times New Roman" w:cs="Times New Roman"/>
                <w:sz w:val="16"/>
              </w:rPr>
              <w:t>GFMSBD</w:t>
            </w:r>
            <w:bookmarkEnd w:id="78"/>
            <w:bookmarkEnd w:id="79"/>
            <w:bookmarkEnd w:id="80"/>
            <w:bookmarkEnd w:id="81"/>
            <w:bookmarkEnd w:id="82"/>
            <w:bookmarkEnd w:id="83"/>
          </w:p>
        </w:tc>
        <w:tc>
          <w:tcPr>
            <w:tcW w:w="2414" w:type="dxa"/>
            <w:hideMark/>
          </w:tcPr>
          <w:p w14:paraId="7857ECDB" w14:textId="77777777" w:rsidR="0077328A" w:rsidRPr="00560D34" w:rsidRDefault="0077328A" w:rsidP="006C6D05">
            <w:pPr>
              <w:rPr>
                <w:rFonts w:ascii="Times New Roman" w:eastAsia="Times New Roman" w:hAnsi="Times New Roman" w:cs="Times New Roman"/>
                <w:bCs/>
                <w:sz w:val="16"/>
              </w:rPr>
            </w:pPr>
            <w:bookmarkStart w:id="84" w:name="_Toc224479170"/>
            <w:bookmarkStart w:id="85" w:name="_Toc224493809"/>
            <w:bookmarkStart w:id="86" w:name="_Toc228872115"/>
            <w:bookmarkStart w:id="87" w:name="_Toc228874089"/>
            <w:r w:rsidRPr="00560D34">
              <w:rPr>
                <w:rFonts w:ascii="Times New Roman" w:eastAsia="Times New Roman" w:hAnsi="Times New Roman" w:cs="Times New Roman"/>
                <w:bCs/>
                <w:sz w:val="16"/>
              </w:rPr>
              <w:t>44.25</w:t>
            </w:r>
            <w:bookmarkEnd w:id="84"/>
            <w:bookmarkEnd w:id="85"/>
            <w:bookmarkEnd w:id="86"/>
            <w:bookmarkEnd w:id="87"/>
          </w:p>
        </w:tc>
        <w:tc>
          <w:tcPr>
            <w:tcW w:w="2443" w:type="dxa"/>
            <w:hideMark/>
          </w:tcPr>
          <w:p w14:paraId="602682F8" w14:textId="77777777" w:rsidR="0077328A" w:rsidRPr="00560D34" w:rsidRDefault="0077328A" w:rsidP="006C6D05">
            <w:pPr>
              <w:rPr>
                <w:rFonts w:ascii="Times New Roman" w:eastAsia="Times New Roman" w:hAnsi="Times New Roman" w:cs="Times New Roman"/>
                <w:bCs/>
                <w:sz w:val="16"/>
              </w:rPr>
            </w:pPr>
            <w:r w:rsidRPr="00560D34">
              <w:rPr>
                <w:rFonts w:ascii="Times New Roman" w:eastAsia="Times New Roman" w:hAnsi="Times New Roman" w:cs="Times New Roman"/>
                <w:bCs/>
                <w:sz w:val="16"/>
              </w:rPr>
              <w:t xml:space="preserve">  </w:t>
            </w:r>
            <w:bookmarkStart w:id="88" w:name="_Toc224479171"/>
            <w:bookmarkStart w:id="89" w:name="_Toc224493810"/>
            <w:bookmarkStart w:id="90" w:name="_Toc228872116"/>
            <w:bookmarkStart w:id="91" w:name="_Toc228874090"/>
            <w:r w:rsidRPr="00560D34">
              <w:rPr>
                <w:rFonts w:ascii="Times New Roman" w:eastAsia="Times New Roman" w:hAnsi="Times New Roman" w:cs="Times New Roman"/>
                <w:bCs/>
                <w:sz w:val="16"/>
              </w:rPr>
              <w:t>45.75</w:t>
            </w:r>
            <w:bookmarkEnd w:id="88"/>
            <w:bookmarkEnd w:id="89"/>
            <w:bookmarkEnd w:id="90"/>
            <w:bookmarkEnd w:id="91"/>
          </w:p>
        </w:tc>
        <w:tc>
          <w:tcPr>
            <w:tcW w:w="2075" w:type="dxa"/>
            <w:hideMark/>
          </w:tcPr>
          <w:p w14:paraId="407B5636" w14:textId="77777777" w:rsidR="0077328A" w:rsidRPr="00560D34" w:rsidRDefault="0077328A" w:rsidP="006C6D05">
            <w:pPr>
              <w:rPr>
                <w:rFonts w:ascii="Times New Roman" w:eastAsia="Times New Roman" w:hAnsi="Times New Roman" w:cs="Times New Roman"/>
                <w:bCs/>
                <w:sz w:val="16"/>
              </w:rPr>
            </w:pPr>
            <w:bookmarkStart w:id="92" w:name="_Toc224479172"/>
            <w:bookmarkStart w:id="93" w:name="_Toc224493811"/>
            <w:bookmarkStart w:id="94" w:name="_Toc228872117"/>
            <w:bookmarkStart w:id="95" w:name="_Toc228874091"/>
            <w:r w:rsidRPr="00560D34">
              <w:rPr>
                <w:rFonts w:ascii="Times New Roman" w:eastAsia="Times New Roman" w:hAnsi="Times New Roman" w:cs="Times New Roman"/>
                <w:bCs/>
                <w:sz w:val="16"/>
              </w:rPr>
              <w:t>10</w:t>
            </w:r>
            <w:bookmarkEnd w:id="92"/>
            <w:bookmarkEnd w:id="93"/>
            <w:bookmarkEnd w:id="94"/>
            <w:bookmarkEnd w:id="95"/>
          </w:p>
        </w:tc>
      </w:tr>
      <w:tr w:rsidR="0077328A" w:rsidRPr="00560D34" w14:paraId="019C76A2" w14:textId="77777777" w:rsidTr="00F95923">
        <w:trPr>
          <w:trHeight w:val="20"/>
          <w:jc w:val="center"/>
        </w:trPr>
        <w:tc>
          <w:tcPr>
            <w:tcW w:w="2128" w:type="dxa"/>
            <w:hideMark/>
          </w:tcPr>
          <w:p w14:paraId="64C0A519" w14:textId="77777777" w:rsidR="0077328A" w:rsidRPr="00560D34" w:rsidRDefault="0077328A" w:rsidP="006C6D05">
            <w:pPr>
              <w:rPr>
                <w:rFonts w:ascii="Times New Roman" w:eastAsia="Times New Roman" w:hAnsi="Times New Roman" w:cs="Times New Roman"/>
                <w:sz w:val="16"/>
              </w:rPr>
            </w:pPr>
            <w:bookmarkStart w:id="96" w:name="_Toc193211176"/>
            <w:bookmarkStart w:id="97" w:name="_Toc197993496"/>
            <w:bookmarkStart w:id="98" w:name="_Toc224479173"/>
            <w:bookmarkStart w:id="99" w:name="_Toc224493812"/>
            <w:bookmarkStart w:id="100" w:name="_Toc228872118"/>
            <w:bookmarkStart w:id="101" w:name="_Toc228874092"/>
            <w:r w:rsidRPr="00560D34">
              <w:rPr>
                <w:rFonts w:ascii="Times New Roman" w:eastAsia="Times New Roman" w:hAnsi="Times New Roman" w:cs="Times New Roman"/>
                <w:sz w:val="16"/>
              </w:rPr>
              <w:t>GFMNSBD</w:t>
            </w:r>
            <w:bookmarkEnd w:id="96"/>
            <w:bookmarkEnd w:id="97"/>
            <w:bookmarkEnd w:id="98"/>
            <w:bookmarkEnd w:id="99"/>
            <w:bookmarkEnd w:id="100"/>
            <w:bookmarkEnd w:id="101"/>
          </w:p>
        </w:tc>
        <w:tc>
          <w:tcPr>
            <w:tcW w:w="2414" w:type="dxa"/>
            <w:hideMark/>
          </w:tcPr>
          <w:p w14:paraId="4D8AAAF7" w14:textId="77777777" w:rsidR="0077328A" w:rsidRPr="00560D34" w:rsidRDefault="0077328A" w:rsidP="006C6D05">
            <w:pPr>
              <w:rPr>
                <w:rFonts w:ascii="Times New Roman" w:eastAsia="Times New Roman" w:hAnsi="Times New Roman" w:cs="Times New Roman"/>
                <w:bCs/>
                <w:sz w:val="16"/>
              </w:rPr>
            </w:pPr>
            <w:bookmarkStart w:id="102" w:name="_Toc224479174"/>
            <w:bookmarkStart w:id="103" w:name="_Toc224493813"/>
            <w:bookmarkStart w:id="104" w:name="_Toc228872119"/>
            <w:bookmarkStart w:id="105" w:name="_Toc228874093"/>
            <w:r w:rsidRPr="00560D34">
              <w:rPr>
                <w:rFonts w:ascii="Times New Roman" w:eastAsia="Times New Roman" w:hAnsi="Times New Roman" w:cs="Times New Roman"/>
                <w:bCs/>
                <w:sz w:val="16"/>
              </w:rPr>
              <w:t>41.02</w:t>
            </w:r>
            <w:bookmarkEnd w:id="102"/>
            <w:bookmarkEnd w:id="103"/>
            <w:bookmarkEnd w:id="104"/>
            <w:bookmarkEnd w:id="105"/>
          </w:p>
        </w:tc>
        <w:tc>
          <w:tcPr>
            <w:tcW w:w="2443" w:type="dxa"/>
            <w:hideMark/>
          </w:tcPr>
          <w:p w14:paraId="5BCD9B5F" w14:textId="77777777" w:rsidR="0077328A" w:rsidRPr="00560D34" w:rsidRDefault="0077328A" w:rsidP="006C6D05">
            <w:pPr>
              <w:rPr>
                <w:rFonts w:ascii="Times New Roman" w:eastAsia="Times New Roman" w:hAnsi="Times New Roman" w:cs="Times New Roman"/>
                <w:bCs/>
                <w:sz w:val="16"/>
              </w:rPr>
            </w:pPr>
            <w:bookmarkStart w:id="106" w:name="_Toc224479175"/>
            <w:bookmarkStart w:id="107" w:name="_Toc224493814"/>
            <w:bookmarkStart w:id="108" w:name="_Toc228872120"/>
            <w:bookmarkStart w:id="109" w:name="_Toc228874094"/>
            <w:r w:rsidRPr="00560D34">
              <w:rPr>
                <w:rFonts w:ascii="Times New Roman" w:eastAsia="Times New Roman" w:hAnsi="Times New Roman" w:cs="Times New Roman"/>
                <w:bCs/>
                <w:sz w:val="16"/>
              </w:rPr>
              <w:t>48.98</w:t>
            </w:r>
            <w:bookmarkEnd w:id="106"/>
            <w:bookmarkEnd w:id="107"/>
            <w:bookmarkEnd w:id="108"/>
            <w:bookmarkEnd w:id="109"/>
          </w:p>
        </w:tc>
        <w:tc>
          <w:tcPr>
            <w:tcW w:w="2075" w:type="dxa"/>
            <w:hideMark/>
          </w:tcPr>
          <w:p w14:paraId="79CE7CF3" w14:textId="77777777" w:rsidR="0077328A" w:rsidRPr="00560D34" w:rsidRDefault="0077328A" w:rsidP="006C6D05">
            <w:pPr>
              <w:rPr>
                <w:rFonts w:ascii="Times New Roman" w:eastAsia="Times New Roman" w:hAnsi="Times New Roman" w:cs="Times New Roman"/>
                <w:bCs/>
                <w:sz w:val="16"/>
              </w:rPr>
            </w:pPr>
            <w:bookmarkStart w:id="110" w:name="_Toc224479176"/>
            <w:bookmarkStart w:id="111" w:name="_Toc224493815"/>
            <w:bookmarkStart w:id="112" w:name="_Toc228872121"/>
            <w:bookmarkStart w:id="113" w:name="_Toc228874095"/>
            <w:r w:rsidRPr="00560D34">
              <w:rPr>
                <w:rFonts w:ascii="Times New Roman" w:eastAsia="Times New Roman" w:hAnsi="Times New Roman" w:cs="Times New Roman"/>
                <w:bCs/>
                <w:sz w:val="16"/>
              </w:rPr>
              <w:t>10</w:t>
            </w:r>
            <w:bookmarkEnd w:id="110"/>
            <w:bookmarkEnd w:id="111"/>
            <w:bookmarkEnd w:id="112"/>
            <w:bookmarkEnd w:id="113"/>
          </w:p>
        </w:tc>
      </w:tr>
    </w:tbl>
    <w:p w14:paraId="7167C749" w14:textId="3452981D" w:rsidR="0077328A" w:rsidRPr="00560D34" w:rsidRDefault="0077328A" w:rsidP="00F95923">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29EEF5CA" w14:textId="77777777" w:rsidR="00F95923" w:rsidRPr="00560D34" w:rsidRDefault="00F95923" w:rsidP="0077328A">
      <w:pPr>
        <w:spacing w:after="0" w:line="240" w:lineRule="auto"/>
        <w:jc w:val="both"/>
        <w:rPr>
          <w:rFonts w:ascii="Times New Roman" w:eastAsia="Calibri" w:hAnsi="Times New Roman" w:cs="Times New Roman"/>
          <w:sz w:val="20"/>
          <w:szCs w:val="20"/>
        </w:rPr>
      </w:pPr>
    </w:p>
    <w:p w14:paraId="35552877" w14:textId="77777777"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2.3 Determination of Functional Properties</w:t>
      </w:r>
    </w:p>
    <w:p w14:paraId="1A7A40EC"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EFE3B45" w14:textId="4B407DC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2.3.1 </w:t>
      </w:r>
      <w:r w:rsidR="0077328A" w:rsidRPr="00560D34">
        <w:rPr>
          <w:rFonts w:ascii="Times New Roman" w:eastAsia="Times New Roman" w:hAnsi="Times New Roman" w:cs="Times New Roman"/>
          <w:b/>
          <w:szCs w:val="20"/>
        </w:rPr>
        <w:t xml:space="preserve">Water </w:t>
      </w:r>
      <w:r w:rsidRPr="00560D34">
        <w:rPr>
          <w:rFonts w:ascii="Times New Roman" w:eastAsia="Times New Roman" w:hAnsi="Times New Roman" w:cs="Times New Roman"/>
          <w:b/>
          <w:szCs w:val="20"/>
        </w:rPr>
        <w:t xml:space="preserve">Absorption Capacity </w:t>
      </w:r>
      <w:r w:rsidR="0077328A" w:rsidRPr="00560D34">
        <w:rPr>
          <w:rFonts w:ascii="Times New Roman" w:eastAsia="Times New Roman" w:hAnsi="Times New Roman" w:cs="Times New Roman"/>
          <w:b/>
          <w:szCs w:val="20"/>
        </w:rPr>
        <w:t xml:space="preserve">(WAC) of the </w:t>
      </w:r>
      <w:r w:rsidRPr="00560D34">
        <w:rPr>
          <w:rFonts w:ascii="Times New Roman" w:eastAsia="Times New Roman" w:hAnsi="Times New Roman" w:cs="Times New Roman"/>
          <w:b/>
          <w:szCs w:val="20"/>
        </w:rPr>
        <w:t xml:space="preserve">Breakfast Meal </w:t>
      </w:r>
    </w:p>
    <w:p w14:paraId="4890A05D"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A3477F9" w14:textId="298860E2"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Water absorption capacity was quantified using the method described by </w:t>
      </w:r>
      <w:proofErr w:type="spellStart"/>
      <w:r>
        <w:rPr>
          <w:rFonts w:ascii="Times New Roman" w:hAnsi="Times New Roman"/>
          <w:sz w:val="20"/>
          <w:highlight w:val="yellow"/>
        </w:rPr>
        <w:t>Heuvey</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Ahure</w:t>
      </w:r>
      <w:proofErr w:type="spellEnd"/>
      <w:r>
        <w:rPr>
          <w:rFonts w:ascii="Times New Roman" w:hAnsi="Times New Roman"/>
          <w:sz w:val="20"/>
          <w:highlight w:val="yellow"/>
        </w:rPr>
        <w:t xml:space="preserve"> (2024) and Ojo et al. (2017). Ten </w:t>
      </w:r>
      <w:proofErr w:type="spellStart"/>
      <w:r>
        <w:rPr>
          <w:rFonts w:ascii="Times New Roman" w:hAnsi="Times New Roman"/>
          <w:sz w:val="20"/>
          <w:highlight w:val="yellow"/>
        </w:rPr>
        <w:t>millilitres</w:t>
      </w:r>
      <w:proofErr w:type="spellEnd"/>
      <w:r>
        <w:rPr>
          <w:rFonts w:ascii="Times New Roman" w:hAnsi="Times New Roman"/>
          <w:sz w:val="20"/>
          <w:highlight w:val="yellow"/>
        </w:rPr>
        <w:t xml:space="preserve"> of distilled water was added to 1 g of the composite flour sample in a pre-weighed centrifuge tube. The tube was agitated on a vortex mixer for 2 min and subsequently centrifuged at 500 rpm for 30 min. The clear supernatant was carefully decanted and discarded. Water droplets were removed, and the sample was subsequently weighed. Water absorption capacity was expressed as the mass of water retained by 100 g of dried flour.</w:t>
      </w:r>
    </w:p>
    <w:p w14:paraId="2B2098A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9EB3DE2" w14:textId="77777777"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 xml:space="preserve"> 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4B43AC75"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00B1EA50" w14:textId="4409E930"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Water absorbed (mL) = Volume of water added - Volume of water obtained after centrifugation</w:t>
      </w:r>
    </w:p>
    <w:p w14:paraId="47A8D8DE"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44769F0F" w14:textId="773427B0" w:rsidR="0077328A" w:rsidRPr="00560D34" w:rsidRDefault="00F95923" w:rsidP="0077328A">
      <w:pPr>
        <w:spacing w:after="0" w:line="240" w:lineRule="auto"/>
        <w:jc w:val="both"/>
        <w:rPr>
          <w:rFonts w:ascii="Times New Roman" w:eastAsia="Times New Roman" w:hAnsi="Times New Roman" w:cs="Times New Roman"/>
          <w:b/>
          <w:sz w:val="20"/>
          <w:szCs w:val="20"/>
        </w:rPr>
      </w:pPr>
      <w:r>
        <w:rPr>
          <w:rFonts w:ascii="Times New Roman" w:hAnsi="Times New Roman"/>
          <w:b/>
          <w:sz w:val="20"/>
          <w:highlight w:val="yellow"/>
        </w:rPr>
        <w:lastRenderedPageBreak/>
        <w:t>2.3.2 Determination of Oil Absorption Capacity of the Breakfast Meal</w:t>
      </w:r>
    </w:p>
    <w:p w14:paraId="47B220C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15C0CB6F" w14:textId="4C0024E1"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Oil absorption capacity was </w:t>
      </w:r>
      <w:proofErr w:type="spellStart"/>
      <w:r>
        <w:rPr>
          <w:rFonts w:ascii="Times New Roman" w:hAnsi="Times New Roman"/>
          <w:sz w:val="20"/>
          <w:highlight w:val="yellow"/>
        </w:rPr>
        <w:t>analysed</w:t>
      </w:r>
      <w:proofErr w:type="spellEnd"/>
      <w:r>
        <w:rPr>
          <w:rFonts w:ascii="Times New Roman" w:hAnsi="Times New Roman"/>
          <w:sz w:val="20"/>
          <w:highlight w:val="yellow"/>
        </w:rPr>
        <w:t xml:space="preserve"> according to the methods outlined by Arya et al. (2020) and </w:t>
      </w:r>
      <w:proofErr w:type="spellStart"/>
      <w:r>
        <w:rPr>
          <w:rFonts w:ascii="Times New Roman" w:hAnsi="Times New Roman"/>
          <w:sz w:val="20"/>
          <w:highlight w:val="yellow"/>
        </w:rPr>
        <w:t>Heuvey</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Ahure</w:t>
      </w:r>
      <w:proofErr w:type="spellEnd"/>
      <w:r>
        <w:rPr>
          <w:rFonts w:ascii="Times New Roman" w:hAnsi="Times New Roman"/>
          <w:sz w:val="20"/>
          <w:highlight w:val="yellow"/>
        </w:rPr>
        <w:t xml:space="preserve"> (2024). One gram of the composite flour sample was combined with 10 mL of refined vegetable oil and allowed to equilibrate at ambient temperature (30 °C) for 30 min. The mixture was then centrifuged for 30 min at 500 rpm. The resultant oil, together with adhering oil droplets, was carefully decanted and discarded. Oil absorption capacity was expressed as the percentage of oil bound per gram of flour.</w:t>
      </w:r>
    </w:p>
    <w:p w14:paraId="781DDEFB"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20491D1F" w14:textId="2BCF2950"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Para>
        <m:oMathParaPr>
          <m:jc m:val="left"/>
        </m:oMathParaPr>
        <m:oMath>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m:oMathPara>
    </w:p>
    <w:p w14:paraId="5FD1399A"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A0C24B1" w14:textId="2FF9012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Oil absorbed (mL) = Volume of oil added</w:t>
      </w:r>
      <w:r w:rsidR="00F95923" w:rsidRPr="00560D34">
        <w:rPr>
          <w:rFonts w:ascii="Times New Roman" w:eastAsia="Times New Roman" w:hAnsi="Times New Roman" w:cs="Times New Roman"/>
          <w:sz w:val="20"/>
          <w:szCs w:val="20"/>
        </w:rPr>
        <w:t xml:space="preserve"> - Volume of oil obtained after </w:t>
      </w:r>
      <w:r w:rsidRPr="00560D34">
        <w:rPr>
          <w:rFonts w:ascii="Times New Roman" w:eastAsia="Times New Roman" w:hAnsi="Times New Roman" w:cs="Times New Roman"/>
          <w:sz w:val="20"/>
          <w:szCs w:val="20"/>
        </w:rPr>
        <w:t xml:space="preserve">centrifugation. </w:t>
      </w:r>
    </w:p>
    <w:p w14:paraId="7E94F38F"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3EE8921D" w14:textId="3975DD6B" w:rsidR="0077328A" w:rsidRPr="00560D34" w:rsidRDefault="00F95923" w:rsidP="0077328A">
      <w:pPr>
        <w:spacing w:after="0" w:line="240" w:lineRule="auto"/>
        <w:jc w:val="both"/>
        <w:rPr>
          <w:rFonts w:ascii="Times New Roman" w:eastAsia="Times New Roman" w:hAnsi="Times New Roman" w:cs="Times New Roman"/>
          <w:b/>
          <w:szCs w:val="20"/>
        </w:rPr>
      </w:pPr>
      <w:r>
        <w:rPr>
          <w:rFonts w:ascii="Times New Roman" w:hAnsi="Times New Roman"/>
          <w:b/>
          <w:highlight w:val="yellow"/>
        </w:rPr>
        <w:t>2.3.3 Determination of Bulk Density (BD) of the Breakfast Meal</w:t>
      </w:r>
    </w:p>
    <w:p w14:paraId="23A3262F"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B3A2717" w14:textId="38F9A90B"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Bulk densities of the flour blends were determined using the methods described by Friday et al. (2019) and </w:t>
      </w:r>
      <w:proofErr w:type="spellStart"/>
      <w:r>
        <w:rPr>
          <w:rFonts w:ascii="Times New Roman" w:hAnsi="Times New Roman"/>
          <w:sz w:val="20"/>
          <w:highlight w:val="yellow"/>
        </w:rPr>
        <w:t>Heuvey</w:t>
      </w:r>
      <w:proofErr w:type="spellEnd"/>
      <w:r>
        <w:rPr>
          <w:rFonts w:ascii="Times New Roman" w:hAnsi="Times New Roman"/>
          <w:sz w:val="20"/>
          <w:highlight w:val="yellow"/>
        </w:rPr>
        <w:t xml:space="preserve"> et al. (2023). Five grams of each flour blend were poured into a 10 mL dry measuring cylinder. For packed bulk density, the bottom of the cylinder was tapped 50 times on the laboratory bench until a constant volume was achieved, and the volume was recorded. For loose bulk density, the bottom of the cylinder was not tapped. The bulk density of the samples was calculated as:</w:t>
      </w:r>
    </w:p>
    <w:p w14:paraId="00FAA548" w14:textId="38D7E11B"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Bulk</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density</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f>
                  <m:fPr>
                    <m:type m:val="skw"/>
                    <m:ctrlPr>
                      <w:rPr>
                        <w:rFonts w:ascii="Cambria Math" w:eastAsia="Calibri" w:hAnsi="Cambria Math" w:cs="Times New Roman"/>
                        <w:sz w:val="20"/>
                        <w:szCs w:val="20"/>
                      </w:rPr>
                    </m:ctrlPr>
                  </m:fPr>
                  <m:num>
                    <m:r>
                      <w:rPr>
                        <w:rFonts w:ascii="Cambria Math" w:eastAsia="Calibri" w:hAnsi="Cambria Math" w:cs="Times New Roman"/>
                        <w:sz w:val="20"/>
                        <w:szCs w:val="20"/>
                      </w:rPr>
                      <m:t>g</m:t>
                    </m:r>
                  </m:num>
                  <m:den>
                    <m:r>
                      <w:rPr>
                        <w:rFonts w:ascii="Cambria Math" w:eastAsia="Calibri" w:hAnsi="Cambria Math" w:cs="Times New Roman"/>
                        <w:sz w:val="20"/>
                        <w:szCs w:val="20"/>
                      </w:rPr>
                      <m:t>mL</m:t>
                    </m:r>
                  </m:den>
                </m:f>
              </m:e>
              <m:sup/>
            </m:sSup>
          </m:e>
        </m:d>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weight</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num>
          <m:den>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after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trapping</m:t>
            </m: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705C90D3"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2AA35B74" w14:textId="1D98EEBF"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2.3.4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Swelling Capacity </w:t>
      </w:r>
      <w:r w:rsidR="0077328A" w:rsidRPr="00560D34">
        <w:rPr>
          <w:rFonts w:ascii="Times New Roman" w:eastAsia="Times New Roman" w:hAnsi="Times New Roman" w:cs="Times New Roman"/>
          <w:b/>
          <w:szCs w:val="20"/>
        </w:rPr>
        <w:t xml:space="preserve">(SC) of the </w:t>
      </w:r>
      <w:r w:rsidRPr="00560D34">
        <w:rPr>
          <w:rFonts w:ascii="Times New Roman" w:eastAsia="Times New Roman" w:hAnsi="Times New Roman" w:cs="Times New Roman"/>
          <w:b/>
          <w:szCs w:val="20"/>
        </w:rPr>
        <w:t>Breakfast Meal</w:t>
      </w:r>
    </w:p>
    <w:p w14:paraId="299AC482"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57F82FA1" w14:textId="46661BE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Swelling capacity was determined using the method described by </w:t>
      </w:r>
      <w:proofErr w:type="spellStart"/>
      <w:r>
        <w:rPr>
          <w:rFonts w:ascii="Times New Roman" w:hAnsi="Times New Roman"/>
          <w:sz w:val="20"/>
          <w:highlight w:val="yellow"/>
        </w:rPr>
        <w:t>Ukeyima</w:t>
      </w:r>
      <w:proofErr w:type="spellEnd"/>
      <w:r>
        <w:rPr>
          <w:rFonts w:ascii="Times New Roman" w:hAnsi="Times New Roman"/>
          <w:sz w:val="20"/>
          <w:highlight w:val="yellow"/>
        </w:rPr>
        <w:t xml:space="preserve"> et al. (2019). Five grams of the sample was weighed into a clean, dry graduated measuring cylinder. Fifty </w:t>
      </w:r>
      <w:proofErr w:type="spellStart"/>
      <w:r>
        <w:rPr>
          <w:rFonts w:ascii="Times New Roman" w:hAnsi="Times New Roman"/>
          <w:sz w:val="20"/>
          <w:highlight w:val="yellow"/>
        </w:rPr>
        <w:t>millilitres</w:t>
      </w:r>
      <w:proofErr w:type="spellEnd"/>
      <w:r>
        <w:rPr>
          <w:rFonts w:ascii="Times New Roman" w:hAnsi="Times New Roman"/>
          <w:sz w:val="20"/>
          <w:highlight w:val="yellow"/>
        </w:rPr>
        <w:t xml:space="preserve"> of boiled distilled water was added and stirred with a glass rod. The mixture was allowed to stand for 15 min, and the change in sample volume was recorded. The ratio of the initial volume to the final volume was calculated as the swelling ratio:</w:t>
      </w:r>
    </w:p>
    <w:p w14:paraId="564A62BC"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7482B8F" w14:textId="5E734D96" w:rsidR="0077328A" w:rsidRPr="00560D34" w:rsidRDefault="0077328A" w:rsidP="00F95923">
      <w:pPr>
        <w:spacing w:after="0" w:line="240" w:lineRule="auto"/>
        <w:ind w:left="720"/>
        <w:jc w:val="both"/>
        <w:rPr>
          <w:rFonts w:ascii="Times New Roman" w:eastAsia="Calibri" w:hAnsi="Times New Roman" w:cs="Times New Roman"/>
          <w:sz w:val="20"/>
          <w:szCs w:val="20"/>
        </w:rPr>
      </w:pPr>
      <m:oMath>
        <m:r>
          <w:rPr>
            <w:rFonts w:ascii="Cambria Math" w:eastAsia="Calibri" w:hAnsi="Cambria Math" w:cs="Times New Roman"/>
            <w:sz w:val="20"/>
            <w:szCs w:val="20"/>
          </w:rPr>
          <m:t>swelling</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chan</m:t>
            </m:r>
            <m:r>
              <m:rPr>
                <m:sty m:val="p"/>
              </m:rPr>
              <w:rPr>
                <w:rFonts w:ascii="Cambria Math" w:eastAsia="Calibri" w:hAnsi="Cambria Math" w:cs="Times New Roman"/>
                <w:sz w:val="20"/>
                <w:szCs w:val="20"/>
              </w:rPr>
              <m:t>g</m:t>
            </m:r>
            <m:r>
              <w:rPr>
                <w:rFonts w:ascii="Cambria Math" w:eastAsia="Calibri" w:hAnsi="Cambria Math" w:cs="Times New Roman"/>
                <w:sz w:val="20"/>
                <w:szCs w:val="20"/>
              </w:rPr>
              <m:t>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in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num>
          <m:den>
            <m:eqArr>
              <m:eqArrPr>
                <m:ctrlPr>
                  <w:rPr>
                    <w:rFonts w:ascii="Cambria Math" w:eastAsia="Calibri" w:hAnsi="Cambria Math" w:cs="Times New Roman"/>
                    <w:sz w:val="20"/>
                    <w:szCs w:val="20"/>
                  </w:rPr>
                </m:ctrlPr>
              </m:eqArrPr>
              <m:e>
                <m:r>
                  <w:rPr>
                    <w:rFonts w:ascii="Cambria Math" w:eastAsia="Calibri" w:hAnsi="Cambria Math" w:cs="Times New Roman"/>
                    <w:sz w:val="20"/>
                    <w:szCs w:val="20"/>
                  </w:rPr>
                  <m:t>original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m:t>
                </m:r>
                <m:r>
                  <w:rPr>
                    <w:rFonts w:ascii="Cambria Math" w:eastAsia="Calibri" w:hAnsi="Cambria Math" w:cs="Times New Roman"/>
                    <w:sz w:val="20"/>
                    <w:szCs w:val="20"/>
                  </w:rPr>
                  <m:t>mL</m:t>
                </m:r>
                <m:r>
                  <m:rPr>
                    <m:sty m:val="p"/>
                  </m:rPr>
                  <w:rPr>
                    <w:rFonts w:ascii="Cambria Math" w:eastAsia="Calibri" w:hAnsi="Cambria Math" w:cs="Times New Roman"/>
                    <w:sz w:val="20"/>
                    <w:szCs w:val="20"/>
                  </w:rPr>
                  <m:t xml:space="preserve">) </m:t>
                </m:r>
              </m:e>
              <m:e>
                <m:r>
                  <m:rPr>
                    <m:sty m:val="p"/>
                  </m:rPr>
                  <w:rPr>
                    <w:rFonts w:ascii="Cambria Math" w:eastAsia="Calibri" w:hAnsi="Cambria Math" w:cs="Times New Roman"/>
                    <w:sz w:val="20"/>
                    <w:szCs w:val="20"/>
                  </w:rPr>
                  <m:t xml:space="preserve"> </m:t>
                </m:r>
              </m:e>
            </m:eqAr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362C3523" w14:textId="77777777" w:rsidR="00F95923" w:rsidRPr="00560D34" w:rsidRDefault="00F95923" w:rsidP="0077328A">
      <w:pPr>
        <w:spacing w:after="0" w:line="240" w:lineRule="auto"/>
        <w:jc w:val="both"/>
        <w:rPr>
          <w:rFonts w:ascii="Times New Roman" w:eastAsia="Times New Roman" w:hAnsi="Times New Roman" w:cs="Times New Roman"/>
          <w:b/>
          <w:sz w:val="14"/>
          <w:szCs w:val="16"/>
        </w:rPr>
      </w:pPr>
    </w:p>
    <w:p w14:paraId="56BBFD0A" w14:textId="11E2A99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2.3.5 </w:t>
      </w:r>
      <w:r w:rsidR="0077328A" w:rsidRPr="00560D34">
        <w:rPr>
          <w:rFonts w:ascii="Times New Roman" w:eastAsia="Times New Roman" w:hAnsi="Times New Roman" w:cs="Times New Roman"/>
          <w:b/>
          <w:szCs w:val="20"/>
        </w:rPr>
        <w:t>Determina</w:t>
      </w:r>
      <w:r w:rsidRPr="00560D34">
        <w:rPr>
          <w:rFonts w:ascii="Times New Roman" w:eastAsia="Times New Roman" w:hAnsi="Times New Roman" w:cs="Times New Roman"/>
          <w:b/>
          <w:szCs w:val="20"/>
        </w:rPr>
        <w:t>tion of Viscosity</w:t>
      </w:r>
    </w:p>
    <w:p w14:paraId="5756828B"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04E75EA6" w14:textId="410C129D"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Gruels were prepared from both the control and formulated samples of the breakfast meal flour blends. Exactly 60 g of each sample was dissolved in 150 mL of potable water to produce a slurry. Then, 180 mL of boiling water was added to each slurry with continuous stirring to obtain homogeneous gruels (Okoye et al., 2021; Marcel et al., 2021). The viscosity of the gruels was measured using a Brookfield viscometer (Model DVI+, Italy). Cooked gruels were placed in a water bath maintained at 30 °C, which was the ambient temperature at which viscosity measurements were taken. The Brookfield viscometer was used to measure gruel viscosity in centipoise (</w:t>
      </w:r>
      <w:proofErr w:type="spellStart"/>
      <w:r>
        <w:rPr>
          <w:rFonts w:ascii="Times New Roman" w:hAnsi="Times New Roman"/>
          <w:sz w:val="20"/>
          <w:highlight w:val="yellow"/>
        </w:rPr>
        <w:t>cP</w:t>
      </w:r>
      <w:proofErr w:type="spellEnd"/>
      <w:r>
        <w:rPr>
          <w:rFonts w:ascii="Times New Roman" w:hAnsi="Times New Roman"/>
          <w:sz w:val="20"/>
          <w:highlight w:val="yellow"/>
        </w:rPr>
        <w:t>) using spindle number 4 at a shear rate of 50 rpm (Tesfay et al., 2020; Okoye et al., 2021).</w:t>
      </w:r>
    </w:p>
    <w:p w14:paraId="0732D63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3B26BD01" w14:textId="49DBA5B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2.4 Determination of Pasting Properties</w:t>
      </w:r>
    </w:p>
    <w:p w14:paraId="0A70C19C"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582D99C4" w14:textId="59CF6DD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Pasting properties, including peak viscosity, trough viscosity, breakdown viscosity, final viscosity, setback viscosity, peak time and pasting temperature, were determined using a Rapid Visco Analyzer (RVA).</w:t>
      </w:r>
    </w:p>
    <w:p w14:paraId="05B6F26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6870DC34" w14:textId="5C03B7F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2.5 Determination of Microbial Quality</w:t>
      </w:r>
    </w:p>
    <w:p w14:paraId="15B509E6"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CBC953A" w14:textId="689179B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Total bacterial count, total fungi count, and coliform count were determined using standard microbiological methods (</w:t>
      </w:r>
      <w:r w:rsidRPr="00560D34">
        <w:rPr>
          <w:rFonts w:ascii="Times New Roman" w:eastAsia="Times New Roman" w:hAnsi="Times New Roman" w:cs="Times New Roman"/>
          <w:sz w:val="20"/>
          <w:szCs w:val="20"/>
          <w:highlight w:val="yellow"/>
        </w:rPr>
        <w:t xml:space="preserve">Horwitz &amp; </w:t>
      </w:r>
      <w:r w:rsidR="00560D34" w:rsidRPr="00560D34">
        <w:rPr>
          <w:rFonts w:ascii="Times New Roman" w:eastAsia="Times New Roman" w:hAnsi="Times New Roman" w:cs="Times New Roman"/>
          <w:sz w:val="20"/>
          <w:szCs w:val="20"/>
          <w:highlight w:val="yellow"/>
        </w:rPr>
        <w:t>Latimer</w:t>
      </w:r>
      <w:r w:rsidRPr="00560D34">
        <w:rPr>
          <w:rFonts w:ascii="Times New Roman" w:eastAsia="Times New Roman" w:hAnsi="Times New Roman" w:cs="Times New Roman"/>
          <w:sz w:val="20"/>
          <w:szCs w:val="20"/>
          <w:highlight w:val="yellow"/>
        </w:rPr>
        <w:t>, 2006</w:t>
      </w:r>
      <w:r w:rsidRPr="00560D34">
        <w:rPr>
          <w:rFonts w:ascii="Times New Roman" w:eastAsia="Times New Roman" w:hAnsi="Times New Roman" w:cs="Times New Roman"/>
          <w:sz w:val="20"/>
          <w:szCs w:val="20"/>
        </w:rPr>
        <w:t>)</w:t>
      </w:r>
      <w:r w:rsidR="00F95923" w:rsidRPr="00560D34">
        <w:rPr>
          <w:rFonts w:ascii="Times New Roman" w:eastAsia="Times New Roman" w:hAnsi="Times New Roman" w:cs="Times New Roman"/>
          <w:sz w:val="20"/>
          <w:szCs w:val="20"/>
        </w:rPr>
        <w:t>.</w:t>
      </w:r>
    </w:p>
    <w:p w14:paraId="33DBCE8D"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79B59FD8" w14:textId="463CBD3E"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2.6 Sensory Evaluation</w:t>
      </w:r>
    </w:p>
    <w:p w14:paraId="2334C559"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7C21023" w14:textId="28F68DC6"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t xml:space="preserve">Breakfast gruels were prepared from the flour blends and evaluated by </w:t>
      </w:r>
      <w:proofErr w:type="spellStart"/>
      <w:r>
        <w:rPr>
          <w:rFonts w:ascii="Times New Roman" w:hAnsi="Times New Roman"/>
          <w:sz w:val="20"/>
          <w:highlight w:val="yellow"/>
        </w:rPr>
        <w:t>panellists</w:t>
      </w:r>
      <w:proofErr w:type="spellEnd"/>
      <w:r>
        <w:rPr>
          <w:rFonts w:ascii="Times New Roman" w:hAnsi="Times New Roman"/>
          <w:sz w:val="20"/>
          <w:highlight w:val="yellow"/>
        </w:rPr>
        <w:t xml:space="preserve"> using a 9-point hedonic scale. Sixty grams of each sample was combined with 150 mL of potable water to generate a slurry. Subsequently, 180 mL of boiling water was incorporated into the slurry with continuous agitation to achieve a uniform gruel consistency. The resulting gruel was cooked at 100 °C on a gas stove for 3 min. Sensory evaluation was conducted in a dedicated sensory evaluation area to assess appearance (</w:t>
      </w:r>
      <w:proofErr w:type="spellStart"/>
      <w:r>
        <w:rPr>
          <w:rFonts w:ascii="Times New Roman" w:hAnsi="Times New Roman"/>
          <w:sz w:val="20"/>
          <w:highlight w:val="yellow"/>
        </w:rPr>
        <w:t>colour</w:t>
      </w:r>
      <w:proofErr w:type="spellEnd"/>
      <w:r>
        <w:rPr>
          <w:rFonts w:ascii="Times New Roman" w:hAnsi="Times New Roman"/>
          <w:sz w:val="20"/>
          <w:highlight w:val="yellow"/>
        </w:rPr>
        <w:t>), taste, aroma, texture and overall acceptability, using both descriptive and affective testing methods.</w:t>
      </w:r>
    </w:p>
    <w:p w14:paraId="15A99BE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7AF1F37D" w14:textId="5C195C29"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lastRenderedPageBreak/>
        <w:t>The sample scores were based on the degree of liking and acceptance using a 9-point hedonic scale, where 1 = dislike extremely, 2 = dislike very much, 3 = dislike moderately, 4 = dislike slightly, 5 = neither like nor dislike, 6 = like slightly, 7 = like moderately, 8 = like very much and 9 = like extremely.</w:t>
      </w:r>
    </w:p>
    <w:p w14:paraId="53F1870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2F170E61" w14:textId="177CF7CB"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2.7 Statistical Analysis</w:t>
      </w:r>
    </w:p>
    <w:p w14:paraId="303AE337"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228F5E68" w14:textId="77777777"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All analyses were conducted in triplicate. Data were subjected to analysis of variance (ANOVA), and means were separated using Duncan’s multiple range test at p &lt; 0.05.</w:t>
      </w:r>
    </w:p>
    <w:p w14:paraId="78FAF637"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712573FA" w14:textId="00FDE96E" w:rsidR="0077328A" w:rsidRPr="00560D34" w:rsidRDefault="0077328A"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3. Results and Discussion</w:t>
      </w:r>
    </w:p>
    <w:p w14:paraId="27F0C29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44DF2080" w14:textId="4864E54F"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3.1 Functional Properties of Breakfast Meal Flour Blends</w:t>
      </w:r>
    </w:p>
    <w:p w14:paraId="61BDE5E2"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3EEEB0E2" w14:textId="4F3AD82E"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3.1.1 </w:t>
      </w:r>
      <w:r w:rsidR="0077328A" w:rsidRPr="00560D34">
        <w:rPr>
          <w:rFonts w:ascii="Times New Roman" w:eastAsia="Times New Roman" w:hAnsi="Times New Roman" w:cs="Times New Roman"/>
          <w:b/>
          <w:bCs/>
          <w:kern w:val="36"/>
          <w:szCs w:val="20"/>
        </w:rPr>
        <w:t>Bulk Density</w:t>
      </w:r>
    </w:p>
    <w:p w14:paraId="4BB1476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20"/>
        </w:rPr>
      </w:pPr>
    </w:p>
    <w:p w14:paraId="66049488" w14:textId="33A313BD" w:rsidR="0077328A" w:rsidRPr="00560D34" w:rsidRDefault="0077328A" w:rsidP="0077328A">
      <w:pPr>
        <w:spacing w:after="0" w:line="240" w:lineRule="auto"/>
        <w:jc w:val="both"/>
        <w:outlineLvl w:val="0"/>
        <w:rPr>
          <w:rFonts w:ascii="Times New Roman" w:eastAsia="Times New Roman" w:hAnsi="Times New Roman" w:cs="Times New Roman"/>
          <w:bCs/>
          <w:kern w:val="36"/>
          <w:sz w:val="20"/>
          <w:szCs w:val="20"/>
        </w:rPr>
      </w:pPr>
      <w:r>
        <w:rPr>
          <w:rFonts w:ascii="Times New Roman" w:hAnsi="Times New Roman"/>
          <w:sz w:val="20"/>
          <w:highlight w:val="yellow"/>
        </w:rPr>
        <w:t>The bulk density of the breakfast meal flour blends, as presented in Table 2, ranged from 0.66 to 0.84 g/cm³. Significant differences (p &lt; 0.05) were observed in the bulk density of the germinated and fermented samples. The higher bulk density observed in FMNSBD may be attributed to structural modifications during fermentation, which can enhance particle density and reduce inter-particle void spaces. Lower bulk density, as observed in GFMSBD, is desirable in complementary and breakfast foods because it allows greater nutrient density at lower viscosity and may improve energy intake in children. The values obtained in this study were lower than those reported by Edima-Nyah et al. (2024) (0.90-0.97 g/cm³) in the production of breakfast cereals. This difference may be due to variation in fermentation time and material composition. Similar findings were reported by Adebowale et al. (2025), who observed reduced bulk density in fermented cereal-legume blends due to enzymatic breakdown of complex macromolecules, such as carbohydrates and proteins, into less dense compounds. Likewise, Adebiyi et al. (2021) reported that sprouting of legumes altered particle size distribution, thereby influencing bulk packing characteristics.</w:t>
      </w:r>
    </w:p>
    <w:p w14:paraId="78D410FE" w14:textId="77777777" w:rsidR="00F95923" w:rsidRPr="00560D34" w:rsidRDefault="00F95923" w:rsidP="0077328A">
      <w:pPr>
        <w:spacing w:after="0" w:line="240" w:lineRule="auto"/>
        <w:jc w:val="both"/>
        <w:outlineLvl w:val="0"/>
        <w:rPr>
          <w:rFonts w:ascii="Times New Roman" w:eastAsia="Times New Roman" w:hAnsi="Times New Roman" w:cs="Times New Roman"/>
          <w:bCs/>
          <w:kern w:val="36"/>
          <w:sz w:val="20"/>
          <w:szCs w:val="20"/>
        </w:rPr>
      </w:pPr>
    </w:p>
    <w:p w14:paraId="58C31BB8" w14:textId="39C5B1B5"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3.1.2 </w:t>
      </w:r>
      <w:r w:rsidR="0077328A" w:rsidRPr="00560D34">
        <w:rPr>
          <w:rFonts w:ascii="Times New Roman" w:eastAsia="Times New Roman" w:hAnsi="Times New Roman" w:cs="Times New Roman"/>
          <w:b/>
          <w:bCs/>
          <w:kern w:val="36"/>
          <w:szCs w:val="20"/>
        </w:rPr>
        <w:t>Water Absorption Capacity (WAC)</w:t>
      </w:r>
    </w:p>
    <w:p w14:paraId="7F6958EC"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20"/>
          <w:szCs w:val="20"/>
        </w:rPr>
      </w:pPr>
    </w:p>
    <w:p w14:paraId="500B346A" w14:textId="12B47253" w:rsidR="0077328A" w:rsidRPr="00560D34" w:rsidRDefault="0077328A" w:rsidP="0077328A">
      <w:pPr>
        <w:spacing w:after="0" w:line="240" w:lineRule="auto"/>
        <w:jc w:val="both"/>
        <w:rPr>
          <w:rFonts w:ascii="Times New Roman" w:eastAsia="Times New Roman" w:hAnsi="Times New Roman" w:cs="Times New Roman"/>
          <w:bCs/>
          <w:kern w:val="36"/>
          <w:sz w:val="20"/>
          <w:szCs w:val="20"/>
        </w:rPr>
      </w:pPr>
      <w:r>
        <w:rPr>
          <w:rFonts w:ascii="Times New Roman" w:hAnsi="Times New Roman"/>
          <w:sz w:val="20"/>
          <w:highlight w:val="yellow"/>
        </w:rPr>
        <w:t xml:space="preserve">WAC varied significantly (p &lt; 0.05) from 2.02 to 2.81 g/g, with GFMSBD (2.81 g/g) recording the highest value. The increased WAC in the GFMSBD blend may be due to the combined effects of fermentation and germination, including exposure of hydrophilic amino acid residues and partial starch hydrolysis during enzymatic activity, which enhance water-binding sites. Similar results (2.40-2.60 g/g) were obtained by Edima-Nyah et al. (2024). High WAC improves dough handling, reconstitution and viscosity development in cereal-based products (Falade &amp; </w:t>
      </w:r>
      <w:proofErr w:type="spellStart"/>
      <w:r>
        <w:rPr>
          <w:rFonts w:ascii="Times New Roman" w:hAnsi="Times New Roman"/>
          <w:sz w:val="20"/>
          <w:highlight w:val="yellow"/>
        </w:rPr>
        <w:t>Oyeyinka</w:t>
      </w:r>
      <w:proofErr w:type="spellEnd"/>
      <w:r>
        <w:rPr>
          <w:rFonts w:ascii="Times New Roman" w:hAnsi="Times New Roman"/>
          <w:sz w:val="20"/>
          <w:highlight w:val="yellow"/>
        </w:rPr>
        <w:t>, 2020). The lower WAC observed in FMNSBD (2.36 g/g) may reflect intact starch granules and limited protein unfolding compared with germinated blends. High WAC is beneficial in breakfast cereals and porridges because it contributes to improved consistency and mouthfeel (Arya et al., 2020).</w:t>
      </w:r>
    </w:p>
    <w:p w14:paraId="0B1D803E" w14:textId="77777777" w:rsidR="00F95923" w:rsidRPr="00560D34" w:rsidRDefault="00F95923" w:rsidP="00F95923">
      <w:pPr>
        <w:spacing w:after="0" w:line="240" w:lineRule="auto"/>
        <w:jc w:val="both"/>
        <w:rPr>
          <w:rFonts w:ascii="Times New Roman" w:eastAsia="Times New Roman" w:hAnsi="Times New Roman" w:cs="Times New Roman"/>
          <w:b/>
          <w:bCs/>
          <w:sz w:val="20"/>
          <w:szCs w:val="20"/>
        </w:rPr>
      </w:pPr>
    </w:p>
    <w:p w14:paraId="4FC3E4B5" w14:textId="3086F858" w:rsidR="00F95923" w:rsidRPr="00560D34" w:rsidRDefault="00F95923" w:rsidP="00F95923">
      <w:pPr>
        <w:spacing w:after="0" w:line="240" w:lineRule="auto"/>
        <w:jc w:val="both"/>
        <w:rPr>
          <w:rFonts w:ascii="Times New Roman" w:eastAsia="Calibri" w:hAnsi="Times New Roman" w:cs="Times New Roman"/>
          <w:szCs w:val="20"/>
        </w:rPr>
      </w:pPr>
      <w:r w:rsidRPr="00560D34">
        <w:rPr>
          <w:rFonts w:ascii="Times New Roman" w:eastAsia="Times New Roman" w:hAnsi="Times New Roman" w:cs="Times New Roman"/>
          <w:b/>
          <w:bCs/>
          <w:szCs w:val="20"/>
        </w:rPr>
        <w:t xml:space="preserve">3.1.3 </w:t>
      </w:r>
      <w:r w:rsidR="0077328A" w:rsidRPr="00560D34">
        <w:rPr>
          <w:rFonts w:ascii="Times New Roman" w:eastAsia="Times New Roman" w:hAnsi="Times New Roman" w:cs="Times New Roman"/>
          <w:b/>
          <w:bCs/>
          <w:szCs w:val="20"/>
        </w:rPr>
        <w:t>Oil Absorption Capacity (OAC)</w:t>
      </w:r>
      <w:r w:rsidRPr="00560D34">
        <w:rPr>
          <w:rFonts w:ascii="Times New Roman" w:eastAsia="Calibri" w:hAnsi="Times New Roman" w:cs="Times New Roman"/>
          <w:szCs w:val="20"/>
        </w:rPr>
        <w:t xml:space="preserve"> </w:t>
      </w:r>
    </w:p>
    <w:p w14:paraId="14CF388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240E83A6" w14:textId="7F689305" w:rsidR="00F95923" w:rsidRPr="00560D34" w:rsidRDefault="0077328A" w:rsidP="00F95923">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Oil absorption capacity, as shown in Table 2, increased significantly (p &lt; 0.05) from 1.35 g/g in sample FM to 2.51 g/g in sample GFMSBD. The increase in the oil retention capacity of the composite flour may be due to the inclusion of kidney beans, which are high in protein. Oil absorption capacity is primarily influenced by hydrophobic interactions within protein molecules. This result agrees with the study by </w:t>
      </w:r>
      <w:proofErr w:type="spellStart"/>
      <w:r>
        <w:rPr>
          <w:rFonts w:ascii="Times New Roman" w:hAnsi="Times New Roman"/>
          <w:sz w:val="20"/>
          <w:highlight w:val="yellow"/>
        </w:rPr>
        <w:t>Elkhalifa</w:t>
      </w:r>
      <w:proofErr w:type="spellEnd"/>
      <w:r>
        <w:rPr>
          <w:rFonts w:ascii="Times New Roman" w:hAnsi="Times New Roman"/>
          <w:sz w:val="20"/>
          <w:highlight w:val="yellow"/>
        </w:rPr>
        <w:t xml:space="preserve"> and Bernhardt (2018), which reported a 9% increase in sorghum flour after germination and fermentation. According to Adebo et al. (2022), germination breaks down protein and exposes hydrophobic sites, thereby enhancing protein flexibility and surface activity and improving lipid-binding ability. Improved OAC was observed in samples subjected to the combined processing technology, which is advantageous because it enhances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retention and mouthfeel in breakfast cereals and reconstituted meals (Peter-Ikechukwu et al., 2020).</w:t>
      </w:r>
    </w:p>
    <w:p w14:paraId="4FE8F54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5258BA59" w14:textId="6840A60D" w:rsidR="0077328A" w:rsidRPr="00560D34" w:rsidRDefault="006667F1" w:rsidP="006667F1">
      <w:pPr>
        <w:spacing w:after="0" w:line="240" w:lineRule="auto"/>
        <w:jc w:val="center"/>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Table 2. </w:t>
      </w:r>
      <w:r w:rsidR="0077328A" w:rsidRPr="00560D34">
        <w:rPr>
          <w:rFonts w:ascii="Times New Roman" w:eastAsia="Calibri" w:hAnsi="Times New Roman" w:cs="Times New Roman"/>
          <w:b/>
          <w:bCs/>
          <w:sz w:val="20"/>
          <w:szCs w:val="20"/>
          <w:lang w:val="en-GB"/>
        </w:rPr>
        <w:t>Functional properties of the breakfast meal flour blends</w:t>
      </w:r>
    </w:p>
    <w:p w14:paraId="1EFF580F" w14:textId="77777777" w:rsidR="00F95923" w:rsidRPr="00560D34" w:rsidRDefault="00F95923" w:rsidP="00F95923">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82"/>
        <w:gridCol w:w="967"/>
        <w:gridCol w:w="974"/>
        <w:gridCol w:w="950"/>
        <w:gridCol w:w="972"/>
        <w:gridCol w:w="1000"/>
        <w:gridCol w:w="950"/>
        <w:gridCol w:w="1043"/>
        <w:gridCol w:w="1010"/>
      </w:tblGrid>
      <w:tr w:rsidR="0077328A" w:rsidRPr="00560D34" w14:paraId="2A47923F" w14:textId="77777777" w:rsidTr="006667F1">
        <w:trPr>
          <w:trHeight w:val="20"/>
          <w:jc w:val="center"/>
        </w:trPr>
        <w:tc>
          <w:tcPr>
            <w:tcW w:w="1006" w:type="dxa"/>
            <w:tcBorders>
              <w:top w:val="single" w:sz="4" w:space="0" w:color="auto"/>
              <w:bottom w:val="single" w:sz="4" w:space="0" w:color="auto"/>
            </w:tcBorders>
          </w:tcPr>
          <w:p w14:paraId="30F1D6C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Sample </w:t>
            </w:r>
          </w:p>
        </w:tc>
        <w:tc>
          <w:tcPr>
            <w:tcW w:w="990" w:type="dxa"/>
            <w:tcBorders>
              <w:top w:val="single" w:sz="4" w:space="0" w:color="auto"/>
              <w:bottom w:val="single" w:sz="4" w:space="0" w:color="auto"/>
            </w:tcBorders>
          </w:tcPr>
          <w:p w14:paraId="48C9601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Bulk density</w:t>
            </w:r>
          </w:p>
          <w:p w14:paraId="70783D5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(g/ml)</w:t>
            </w:r>
          </w:p>
        </w:tc>
        <w:tc>
          <w:tcPr>
            <w:tcW w:w="997" w:type="dxa"/>
            <w:tcBorders>
              <w:top w:val="single" w:sz="4" w:space="0" w:color="auto"/>
              <w:bottom w:val="single" w:sz="4" w:space="0" w:color="auto"/>
            </w:tcBorders>
          </w:tcPr>
          <w:p w14:paraId="4FD68E38"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Water absorption capacity (g/g)</w:t>
            </w:r>
          </w:p>
        </w:tc>
        <w:tc>
          <w:tcPr>
            <w:tcW w:w="973" w:type="dxa"/>
            <w:tcBorders>
              <w:top w:val="single" w:sz="4" w:space="0" w:color="auto"/>
              <w:bottom w:val="single" w:sz="4" w:space="0" w:color="auto"/>
            </w:tcBorders>
          </w:tcPr>
          <w:p w14:paraId="751AE32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Oil absorption capacity (g/g)</w:t>
            </w:r>
          </w:p>
        </w:tc>
        <w:tc>
          <w:tcPr>
            <w:tcW w:w="995" w:type="dxa"/>
            <w:tcBorders>
              <w:top w:val="single" w:sz="4" w:space="0" w:color="auto"/>
              <w:bottom w:val="single" w:sz="4" w:space="0" w:color="auto"/>
            </w:tcBorders>
          </w:tcPr>
          <w:p w14:paraId="2389C6E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Foaming Capacity %</w:t>
            </w:r>
          </w:p>
        </w:tc>
        <w:tc>
          <w:tcPr>
            <w:tcW w:w="1024" w:type="dxa"/>
            <w:tcBorders>
              <w:top w:val="single" w:sz="4" w:space="0" w:color="auto"/>
              <w:bottom w:val="single" w:sz="4" w:space="0" w:color="auto"/>
            </w:tcBorders>
          </w:tcPr>
          <w:p w14:paraId="779F930E"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Emulsion Activity and Stability (EA/</w:t>
            </w:r>
            <w:proofErr w:type="gramStart"/>
            <w:r w:rsidRPr="00560D34">
              <w:rPr>
                <w:rFonts w:ascii="Times New Roman" w:eastAsia="Calibri" w:hAnsi="Times New Roman" w:cs="Times New Roman"/>
                <w:b/>
                <w:sz w:val="16"/>
                <w:szCs w:val="16"/>
              </w:rPr>
              <w:t>ES)%</w:t>
            </w:r>
            <w:proofErr w:type="gramEnd"/>
          </w:p>
        </w:tc>
        <w:tc>
          <w:tcPr>
            <w:tcW w:w="973" w:type="dxa"/>
            <w:tcBorders>
              <w:top w:val="single" w:sz="4" w:space="0" w:color="auto"/>
              <w:bottom w:val="single" w:sz="4" w:space="0" w:color="auto"/>
            </w:tcBorders>
          </w:tcPr>
          <w:p w14:paraId="3FD980D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Solubility Index (swelling capacity) g/g</w:t>
            </w:r>
          </w:p>
        </w:tc>
        <w:tc>
          <w:tcPr>
            <w:tcW w:w="1068" w:type="dxa"/>
            <w:tcBorders>
              <w:top w:val="single" w:sz="4" w:space="0" w:color="auto"/>
              <w:bottom w:val="single" w:sz="4" w:space="0" w:color="auto"/>
            </w:tcBorders>
          </w:tcPr>
          <w:p w14:paraId="162F87CD" w14:textId="77777777" w:rsidR="0077328A" w:rsidRPr="00560D34" w:rsidRDefault="0077328A" w:rsidP="006667F1">
            <w:pPr>
              <w:ind w:right="-193"/>
              <w:rPr>
                <w:rFonts w:ascii="Times New Roman" w:eastAsia="Calibri" w:hAnsi="Times New Roman" w:cs="Times New Roman"/>
                <w:b/>
                <w:sz w:val="16"/>
                <w:szCs w:val="16"/>
              </w:rPr>
            </w:pPr>
            <w:r w:rsidRPr="00560D34">
              <w:rPr>
                <w:rFonts w:ascii="Times New Roman" w:eastAsia="Calibri" w:hAnsi="Times New Roman" w:cs="Times New Roman"/>
                <w:b/>
                <w:sz w:val="16"/>
                <w:szCs w:val="16"/>
              </w:rPr>
              <w:t>Gelatinization Temperature (℃)</w:t>
            </w:r>
          </w:p>
        </w:tc>
        <w:tc>
          <w:tcPr>
            <w:tcW w:w="1034" w:type="dxa"/>
            <w:tcBorders>
              <w:top w:val="single" w:sz="4" w:space="0" w:color="auto"/>
              <w:bottom w:val="single" w:sz="4" w:space="0" w:color="auto"/>
            </w:tcBorders>
          </w:tcPr>
          <w:p w14:paraId="38798DF4"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Viscosity (</w:t>
            </w:r>
            <w:proofErr w:type="spellStart"/>
            <w:r w:rsidRPr="00560D34">
              <w:rPr>
                <w:rFonts w:ascii="Times New Roman" w:eastAsia="Calibri" w:hAnsi="Times New Roman" w:cs="Times New Roman"/>
                <w:b/>
                <w:sz w:val="16"/>
                <w:szCs w:val="16"/>
              </w:rPr>
              <w:t>cP</w:t>
            </w:r>
            <w:proofErr w:type="spellEnd"/>
            <w:r w:rsidRPr="00560D34">
              <w:rPr>
                <w:rFonts w:ascii="Times New Roman" w:eastAsia="Calibri" w:hAnsi="Times New Roman" w:cs="Times New Roman"/>
                <w:b/>
                <w:sz w:val="16"/>
                <w:szCs w:val="16"/>
              </w:rPr>
              <w:t>)</w:t>
            </w:r>
          </w:p>
        </w:tc>
      </w:tr>
      <w:tr w:rsidR="0077328A" w:rsidRPr="00560D34" w14:paraId="49651AFB" w14:textId="77777777" w:rsidTr="006667F1">
        <w:trPr>
          <w:trHeight w:val="20"/>
          <w:jc w:val="center"/>
        </w:trPr>
        <w:tc>
          <w:tcPr>
            <w:tcW w:w="1006" w:type="dxa"/>
            <w:tcBorders>
              <w:top w:val="single" w:sz="4" w:space="0" w:color="auto"/>
            </w:tcBorders>
          </w:tcPr>
          <w:p w14:paraId="1F7BC00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990" w:type="dxa"/>
            <w:tcBorders>
              <w:top w:val="single" w:sz="4" w:space="0" w:color="auto"/>
            </w:tcBorders>
          </w:tcPr>
          <w:p w14:paraId="6983671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0.77</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Borders>
              <w:top w:val="single" w:sz="4" w:space="0" w:color="auto"/>
            </w:tcBorders>
          </w:tcPr>
          <w:p w14:paraId="711702A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2.02</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73" w:type="dxa"/>
            <w:tcBorders>
              <w:top w:val="single" w:sz="4" w:space="0" w:color="auto"/>
            </w:tcBorders>
          </w:tcPr>
          <w:p w14:paraId="1ACD689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1.35</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95" w:type="dxa"/>
            <w:tcBorders>
              <w:top w:val="single" w:sz="4" w:space="0" w:color="auto"/>
            </w:tcBorders>
          </w:tcPr>
          <w:p w14:paraId="5532D51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c>
          <w:tcPr>
            <w:tcW w:w="1024" w:type="dxa"/>
            <w:tcBorders>
              <w:top w:val="single" w:sz="4" w:space="0" w:color="auto"/>
            </w:tcBorders>
          </w:tcPr>
          <w:p w14:paraId="1A263BA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9.23</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±0.03</w:t>
            </w:r>
          </w:p>
        </w:tc>
        <w:tc>
          <w:tcPr>
            <w:tcW w:w="973" w:type="dxa"/>
            <w:tcBorders>
              <w:top w:val="single" w:sz="4" w:space="0" w:color="auto"/>
            </w:tcBorders>
          </w:tcPr>
          <w:p w14:paraId="47CA92F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0.99</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±0.04</w:t>
            </w:r>
          </w:p>
        </w:tc>
        <w:tc>
          <w:tcPr>
            <w:tcW w:w="1068" w:type="dxa"/>
            <w:tcBorders>
              <w:top w:val="single" w:sz="4" w:space="0" w:color="auto"/>
            </w:tcBorders>
          </w:tcPr>
          <w:p w14:paraId="4175C54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49.99</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1034" w:type="dxa"/>
            <w:tcBorders>
              <w:top w:val="single" w:sz="4" w:space="0" w:color="auto"/>
            </w:tcBorders>
          </w:tcPr>
          <w:p w14:paraId="5E1E3F09"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198.91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r>
      <w:tr w:rsidR="0077328A" w:rsidRPr="00560D34" w14:paraId="03BF89B9" w14:textId="77777777" w:rsidTr="006667F1">
        <w:trPr>
          <w:trHeight w:val="20"/>
          <w:jc w:val="center"/>
        </w:trPr>
        <w:tc>
          <w:tcPr>
            <w:tcW w:w="1006" w:type="dxa"/>
          </w:tcPr>
          <w:p w14:paraId="46C8D97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990" w:type="dxa"/>
          </w:tcPr>
          <w:p w14:paraId="224A77C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±0.03</w:t>
            </w:r>
          </w:p>
        </w:tc>
        <w:tc>
          <w:tcPr>
            <w:tcW w:w="997" w:type="dxa"/>
          </w:tcPr>
          <w:p w14:paraId="1DE0E75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2.42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±0.52</w:t>
            </w:r>
          </w:p>
        </w:tc>
        <w:tc>
          <w:tcPr>
            <w:tcW w:w="973" w:type="dxa"/>
          </w:tcPr>
          <w:p w14:paraId="58174E8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995" w:type="dxa"/>
          </w:tcPr>
          <w:p w14:paraId="112CF9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83.73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24" w:type="dxa"/>
          </w:tcPr>
          <w:p w14:paraId="0579BB0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53.86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±4.71</w:t>
            </w:r>
          </w:p>
        </w:tc>
        <w:tc>
          <w:tcPr>
            <w:tcW w:w="973" w:type="dxa"/>
          </w:tcPr>
          <w:p w14:paraId="2A0889B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68" w:type="dxa"/>
          </w:tcPr>
          <w:p w14:paraId="2497A4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82.43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34" w:type="dxa"/>
          </w:tcPr>
          <w:p w14:paraId="689DAB3F"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166.04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±0.95</w:t>
            </w:r>
          </w:p>
        </w:tc>
      </w:tr>
      <w:tr w:rsidR="0077328A" w:rsidRPr="00560D34" w14:paraId="384FE7E6" w14:textId="77777777" w:rsidTr="006667F1">
        <w:trPr>
          <w:trHeight w:val="20"/>
          <w:jc w:val="center"/>
        </w:trPr>
        <w:tc>
          <w:tcPr>
            <w:tcW w:w="1006" w:type="dxa"/>
          </w:tcPr>
          <w:p w14:paraId="66133F0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lastRenderedPageBreak/>
              <w:t>FMNSBD</w:t>
            </w:r>
          </w:p>
        </w:tc>
        <w:tc>
          <w:tcPr>
            <w:tcW w:w="990" w:type="dxa"/>
          </w:tcPr>
          <w:p w14:paraId="0B6581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0.84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7" w:type="dxa"/>
          </w:tcPr>
          <w:p w14:paraId="501B62D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45AAB01C"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2.12</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±0.01</w:t>
            </w:r>
          </w:p>
        </w:tc>
        <w:tc>
          <w:tcPr>
            <w:tcW w:w="995" w:type="dxa"/>
          </w:tcPr>
          <w:p w14:paraId="4033074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78.14</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24" w:type="dxa"/>
          </w:tcPr>
          <w:p w14:paraId="00A9FD5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48.73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1469ADD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1.51</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68" w:type="dxa"/>
          </w:tcPr>
          <w:p w14:paraId="353E7E1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87.30</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±0.10</w:t>
            </w:r>
          </w:p>
        </w:tc>
        <w:tc>
          <w:tcPr>
            <w:tcW w:w="1034" w:type="dxa"/>
          </w:tcPr>
          <w:p w14:paraId="39777F00"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241.69</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±0.57</w:t>
            </w:r>
          </w:p>
        </w:tc>
      </w:tr>
      <w:tr w:rsidR="0077328A" w:rsidRPr="00560D34" w14:paraId="664D0501" w14:textId="77777777" w:rsidTr="006667F1">
        <w:trPr>
          <w:trHeight w:val="20"/>
          <w:jc w:val="center"/>
        </w:trPr>
        <w:tc>
          <w:tcPr>
            <w:tcW w:w="1006" w:type="dxa"/>
          </w:tcPr>
          <w:p w14:paraId="6C8029E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990" w:type="dxa"/>
          </w:tcPr>
          <w:p w14:paraId="0BD3C04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0.66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997" w:type="dxa"/>
          </w:tcPr>
          <w:p w14:paraId="55855E4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73" w:type="dxa"/>
          </w:tcPr>
          <w:p w14:paraId="787DCF5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2.51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5" w:type="dxa"/>
          </w:tcPr>
          <w:p w14:paraId="0D88DDE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86.12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1024" w:type="dxa"/>
          </w:tcPr>
          <w:p w14:paraId="56B5CC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59.31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973" w:type="dxa"/>
          </w:tcPr>
          <w:p w14:paraId="17824F3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1068" w:type="dxa"/>
          </w:tcPr>
          <w:p w14:paraId="7D25217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74.13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34" w:type="dxa"/>
          </w:tcPr>
          <w:p w14:paraId="148250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±1.01</w:t>
            </w:r>
          </w:p>
        </w:tc>
      </w:tr>
      <w:tr w:rsidR="0077328A" w:rsidRPr="00560D34" w14:paraId="66765019" w14:textId="77777777" w:rsidTr="006667F1">
        <w:trPr>
          <w:trHeight w:val="20"/>
          <w:jc w:val="center"/>
        </w:trPr>
        <w:tc>
          <w:tcPr>
            <w:tcW w:w="1006" w:type="dxa"/>
          </w:tcPr>
          <w:p w14:paraId="33C5F73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990" w:type="dxa"/>
          </w:tcPr>
          <w:p w14:paraId="4CA8E7F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Pr>
          <w:p w14:paraId="06D8E94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4A79C86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5" w:type="dxa"/>
          </w:tcPr>
          <w:p w14:paraId="3D0A8E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73.23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24" w:type="dxa"/>
          </w:tcPr>
          <w:p w14:paraId="58FF53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54.61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563B44A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68" w:type="dxa"/>
          </w:tcPr>
          <w:p w14:paraId="3AC4DAA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77.52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34" w:type="dxa"/>
          </w:tcPr>
          <w:p w14:paraId="2D0651A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32.35</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±1.13</w:t>
            </w:r>
          </w:p>
        </w:tc>
      </w:tr>
    </w:tbl>
    <w:p w14:paraId="63EBBB47" w14:textId="77777777"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657C77B8" w14:textId="5EED7286"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7309C161" w14:textId="77777777" w:rsidR="0077328A" w:rsidRPr="00560D34" w:rsidRDefault="0077328A" w:rsidP="0077328A">
      <w:pPr>
        <w:spacing w:after="0" w:line="240" w:lineRule="auto"/>
        <w:jc w:val="both"/>
        <w:rPr>
          <w:rFonts w:ascii="Times New Roman" w:eastAsia="Times New Roman" w:hAnsi="Times New Roman" w:cs="Times New Roman"/>
          <w:bCs/>
          <w:sz w:val="20"/>
          <w:szCs w:val="20"/>
        </w:rPr>
      </w:pPr>
    </w:p>
    <w:p w14:paraId="584CA9E3" w14:textId="6D4A2F6F"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3.1.4 </w:t>
      </w:r>
      <w:r w:rsidR="0077328A" w:rsidRPr="00560D34">
        <w:rPr>
          <w:rFonts w:ascii="Times New Roman" w:eastAsia="Times New Roman" w:hAnsi="Times New Roman" w:cs="Times New Roman"/>
          <w:b/>
          <w:bCs/>
          <w:szCs w:val="20"/>
        </w:rPr>
        <w:t>Foaming Capacity</w:t>
      </w:r>
    </w:p>
    <w:p w14:paraId="2175F3B2"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101E48DA" w14:textId="431A300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Foaming capacity ranged from 15.31% to 86.12%, with GFMSBD (86.12%) showing the highest value. Proteins promote foam formation by reducing surface tension and forming stable interfacial films (Adebowale et al., 2025; Godswill et al., 2019). These results are consistent with Xinrui et al. (2024) and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and Riar (2023), who reported increased foaming capacity in kidney beans after germination. </w:t>
      </w:r>
      <w:proofErr w:type="spellStart"/>
      <w:r>
        <w:rPr>
          <w:rFonts w:ascii="Times New Roman" w:hAnsi="Times New Roman"/>
          <w:sz w:val="20"/>
          <w:highlight w:val="yellow"/>
        </w:rPr>
        <w:t>Elkhalifa</w:t>
      </w:r>
      <w:proofErr w:type="spellEnd"/>
      <w:r>
        <w:rPr>
          <w:rFonts w:ascii="Times New Roman" w:hAnsi="Times New Roman"/>
          <w:sz w:val="20"/>
          <w:highlight w:val="yellow"/>
        </w:rPr>
        <w:t xml:space="preserve"> and Bernhardt (2018) also found a 9% increase after fermenting and germinating sorghum flour. Germination and fermentation may have improved protein solubility and molecular flexibility, thereby enhancing foam formation (Xinrui et al., 2024). FM displayed the lowest foaming capacity (15.31%), possibly due to its low protein content compared with the composite blends (FMSBD, FMNSBD, GFMSBD and GFMNSBD).</w:t>
      </w:r>
    </w:p>
    <w:p w14:paraId="5EB2895D"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4DD8F6F" w14:textId="11EBB76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3.1.5 </w:t>
      </w:r>
      <w:r w:rsidR="0077328A" w:rsidRPr="00560D34">
        <w:rPr>
          <w:rFonts w:ascii="Times New Roman" w:eastAsia="Times New Roman" w:hAnsi="Times New Roman" w:cs="Times New Roman"/>
          <w:b/>
          <w:bCs/>
          <w:szCs w:val="20"/>
        </w:rPr>
        <w:t>Emulsion Activity and Stability (EA/ES)</w:t>
      </w:r>
    </w:p>
    <w:p w14:paraId="043A1E91"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2D49706" w14:textId="0D65DF64"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EA/ES values ranged from 9.23% to 59.31%, with GFMSBD (59.31%) demonstrating the highest emulsifying properties. This result agrees with the observations of Xinrui et al. (2024) and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and Riar (2023), who reported increased emulsion properties after kidney bean germination. Emulsification depends on protein solubility and the balance between hydrophilic and hydrophobic domains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&amp; Riar, 2023; Adebo et al., 2022). Enhanced emulsifying properties in germinated and fermented blends may result from partial proteolysis, which increases surface-active peptides capable of </w:t>
      </w:r>
      <w:proofErr w:type="spellStart"/>
      <w:r>
        <w:rPr>
          <w:rFonts w:ascii="Times New Roman" w:hAnsi="Times New Roman"/>
          <w:sz w:val="20"/>
          <w:highlight w:val="yellow"/>
        </w:rPr>
        <w:t>stabilising</w:t>
      </w:r>
      <w:proofErr w:type="spellEnd"/>
      <w:r>
        <w:rPr>
          <w:rFonts w:ascii="Times New Roman" w:hAnsi="Times New Roman"/>
          <w:sz w:val="20"/>
          <w:highlight w:val="yellow"/>
        </w:rPr>
        <w:t xml:space="preserve"> oil-water interfaces (Adebo et al., 2022).</w:t>
      </w:r>
    </w:p>
    <w:p w14:paraId="6D5F4C18" w14:textId="21243FC3" w:rsidR="006667F1" w:rsidRPr="00560D34" w:rsidRDefault="006667F1" w:rsidP="0077328A">
      <w:pPr>
        <w:spacing w:after="0" w:line="240" w:lineRule="auto"/>
        <w:jc w:val="both"/>
        <w:rPr>
          <w:rFonts w:ascii="Times New Roman" w:eastAsia="Times New Roman" w:hAnsi="Times New Roman" w:cs="Times New Roman"/>
          <w:sz w:val="20"/>
          <w:szCs w:val="20"/>
        </w:rPr>
      </w:pPr>
    </w:p>
    <w:p w14:paraId="60B2AB34" w14:textId="3E24B1E2"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3.1.6 </w:t>
      </w:r>
      <w:r w:rsidR="0077328A" w:rsidRPr="00560D34">
        <w:rPr>
          <w:rFonts w:ascii="Times New Roman" w:eastAsia="Times New Roman" w:hAnsi="Times New Roman" w:cs="Times New Roman"/>
          <w:b/>
          <w:bCs/>
          <w:szCs w:val="20"/>
        </w:rPr>
        <w:t>Solubility Index (Swelling Capacity)</w:t>
      </w:r>
    </w:p>
    <w:p w14:paraId="6AC13C39"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15EC4A1" w14:textId="3A157D5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Swelling capacity, which measures the ability of starch in flour or food to absorb water and swell, increased significantly (p &lt; 0.05) following the inclusion of sprouted and non-sprouted kidney beans and date flour. The increase in the swelling index of the samples processed using the combined method (fermentation and germination/sprouting) may be due to modification of starch granules. Germination activates amylases that </w:t>
      </w:r>
      <w:proofErr w:type="spellStart"/>
      <w:r>
        <w:rPr>
          <w:rFonts w:ascii="Times New Roman" w:hAnsi="Times New Roman"/>
          <w:sz w:val="20"/>
          <w:highlight w:val="yellow"/>
        </w:rPr>
        <w:t>hydrolyse</w:t>
      </w:r>
      <w:proofErr w:type="spellEnd"/>
      <w:r>
        <w:rPr>
          <w:rFonts w:ascii="Times New Roman" w:hAnsi="Times New Roman"/>
          <w:sz w:val="20"/>
          <w:highlight w:val="yellow"/>
        </w:rPr>
        <w:t xml:space="preserve"> starch, improving solubility and dispersibility (Nkhata et al., 2018). A similar result was obtained by </w:t>
      </w:r>
      <w:proofErr w:type="spellStart"/>
      <w:r>
        <w:rPr>
          <w:rFonts w:ascii="Times New Roman" w:hAnsi="Times New Roman"/>
          <w:sz w:val="20"/>
          <w:highlight w:val="yellow"/>
        </w:rPr>
        <w:t>Sobowale</w:t>
      </w:r>
      <w:proofErr w:type="spellEnd"/>
      <w:r>
        <w:rPr>
          <w:rFonts w:ascii="Times New Roman" w:hAnsi="Times New Roman"/>
          <w:sz w:val="20"/>
          <w:highlight w:val="yellow"/>
        </w:rPr>
        <w:t xml:space="preserve"> (2025) after the germination and fermentation of pigeon pea flour. A high swelling index was observed in sample GFMSBD (2.82) due to the combined processing methods. Higher swelling capacity is advantageous for breakfast formulations because it enhances digestibility and rapid reconstitution.</w:t>
      </w:r>
    </w:p>
    <w:p w14:paraId="32128C6B" w14:textId="77777777" w:rsidR="006667F1" w:rsidRPr="00560D34" w:rsidRDefault="006667F1" w:rsidP="0077328A">
      <w:pPr>
        <w:spacing w:after="0" w:line="240" w:lineRule="auto"/>
        <w:jc w:val="both"/>
        <w:rPr>
          <w:rFonts w:ascii="Times New Roman" w:eastAsia="Times New Roman" w:hAnsi="Times New Roman" w:cs="Times New Roman"/>
          <w:b/>
          <w:bCs/>
          <w:sz w:val="20"/>
          <w:szCs w:val="20"/>
        </w:rPr>
      </w:pPr>
    </w:p>
    <w:p w14:paraId="6BAA2D0D" w14:textId="3164D95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3.1.7 </w:t>
      </w:r>
      <w:r w:rsidR="0077328A" w:rsidRPr="00560D34">
        <w:rPr>
          <w:rFonts w:ascii="Times New Roman" w:eastAsia="Times New Roman" w:hAnsi="Times New Roman" w:cs="Times New Roman"/>
          <w:b/>
          <w:bCs/>
          <w:szCs w:val="20"/>
        </w:rPr>
        <w:t>Gelatinization Temperature</w:t>
      </w:r>
    </w:p>
    <w:p w14:paraId="248A37A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A8F4062" w14:textId="6C8A3E1B" w:rsidR="0077328A" w:rsidRPr="00560D34" w:rsidRDefault="0077328A" w:rsidP="0077328A">
      <w:pPr>
        <w:spacing w:after="0" w:line="240" w:lineRule="auto"/>
        <w:jc w:val="both"/>
        <w:rPr>
          <w:rFonts w:ascii="Times New Roman" w:eastAsia="Times New Roman" w:hAnsi="Times New Roman" w:cs="Times New Roman"/>
          <w:sz w:val="20"/>
          <w:szCs w:val="20"/>
        </w:rPr>
      </w:pP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temperatures ranged from 49.99 °C to 87.30 °C, with the lowest value recorded in FM (49.99 °C) and the highest in FMNSBD (87.30 °C). A lower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 indicates that less energy is needed to break down starch granules, making processing more energy efficient (Olatunde et al., 2022). In germinated blends, such as GFMSBD (74.13 °C), the reduced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 indicates that enzymatic activity during sprouting weakens the structure of starch granules.</w:t>
      </w:r>
    </w:p>
    <w:p w14:paraId="0E7D7C23"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4A5E8C2" w14:textId="1A147E29"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3.1.8 </w:t>
      </w:r>
      <w:r w:rsidR="0077328A" w:rsidRPr="00560D34">
        <w:rPr>
          <w:rFonts w:ascii="Times New Roman" w:eastAsia="Times New Roman" w:hAnsi="Times New Roman" w:cs="Times New Roman"/>
          <w:b/>
          <w:bCs/>
          <w:szCs w:val="20"/>
        </w:rPr>
        <w:t>Viscosity</w:t>
      </w:r>
    </w:p>
    <w:p w14:paraId="680E784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BDF4FBD" w14:textId="31D4FBC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Viscosity ranged widely from 32.35 to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with FMNSBD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recording the highest value and the germinated samples (GFMSBD and GFMNSBD) recording the lowest values (approximately 32-33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The sharp reduction in viscosity in germinated/fermented samples was attributed to enzymatic breakdown of starch (amylolysis), producing lower-molecular-weight </w:t>
      </w:r>
      <w:proofErr w:type="spellStart"/>
      <w:r>
        <w:rPr>
          <w:rFonts w:ascii="Times New Roman" w:hAnsi="Times New Roman"/>
          <w:sz w:val="20"/>
          <w:highlight w:val="yellow"/>
        </w:rPr>
        <w:t>dextrins</w:t>
      </w:r>
      <w:proofErr w:type="spellEnd"/>
      <w:r>
        <w:rPr>
          <w:rFonts w:ascii="Times New Roman" w:hAnsi="Times New Roman"/>
          <w:sz w:val="20"/>
          <w:highlight w:val="yellow"/>
        </w:rPr>
        <w:t>. Germination increases the activity of α- and β-amylase enzymes in kidney bean. Amylase-producing microorganisms break down starch into simpler sugars, release bound water and reduce viscosity (</w:t>
      </w:r>
      <w:proofErr w:type="spellStart"/>
      <w:r>
        <w:rPr>
          <w:rFonts w:ascii="Times New Roman" w:hAnsi="Times New Roman"/>
          <w:sz w:val="20"/>
          <w:highlight w:val="yellow"/>
        </w:rPr>
        <w:t>Heuvey</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Ahure</w:t>
      </w:r>
      <w:proofErr w:type="spellEnd"/>
      <w:r>
        <w:rPr>
          <w:rFonts w:ascii="Times New Roman" w:hAnsi="Times New Roman"/>
          <w:sz w:val="20"/>
          <w:highlight w:val="yellow"/>
        </w:rPr>
        <w:t>, 2024). This is particularly beneficial for infant foods because it allows higher solid concentration without excessive thickness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Fadupin</w:t>
      </w:r>
      <w:proofErr w:type="spellEnd"/>
      <w:r>
        <w:rPr>
          <w:rFonts w:ascii="Times New Roman" w:hAnsi="Times New Roman"/>
          <w:sz w:val="20"/>
          <w:highlight w:val="yellow"/>
        </w:rPr>
        <w:t>, 2020). The higher viscosity in FMNSBD indicates limited starch degradation, which may be suitable for products requiring a thicker consistency.</w:t>
      </w:r>
    </w:p>
    <w:p w14:paraId="5102E9C3" w14:textId="77777777" w:rsidR="0077328A" w:rsidRPr="00560D34" w:rsidRDefault="0077328A" w:rsidP="0077328A">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lastRenderedPageBreak/>
        <w:t xml:space="preserve">  </w:t>
      </w:r>
    </w:p>
    <w:p w14:paraId="77CED173" w14:textId="27E863C1" w:rsidR="0077328A" w:rsidRPr="00560D34" w:rsidRDefault="0077328A" w:rsidP="0077328A">
      <w:pPr>
        <w:spacing w:after="0" w:line="240" w:lineRule="auto"/>
        <w:jc w:val="both"/>
        <w:rPr>
          <w:rFonts w:ascii="Times New Roman" w:eastAsia="Calibri" w:hAnsi="Times New Roman" w:cs="Times New Roman"/>
          <w:b/>
          <w:szCs w:val="20"/>
        </w:rPr>
      </w:pPr>
      <w:r>
        <w:rPr>
          <w:rFonts w:ascii="Times New Roman" w:hAnsi="Times New Roman"/>
          <w:b/>
          <w:highlight w:val="yellow"/>
        </w:rPr>
        <w:t>3.2 Pasting Properties of the Breakfast Meal Composite Flour</w:t>
      </w:r>
    </w:p>
    <w:p w14:paraId="0E817897"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4463365" w14:textId="2B2ED34C"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The pasting properties of the breakfast meal composite flour showed significant variations among the samples (p &lt; 0.05), indicating that fermentation and sprouting influenced the starch </w:t>
      </w:r>
      <w:proofErr w:type="spellStart"/>
      <w:r>
        <w:rPr>
          <w:rFonts w:ascii="Times New Roman" w:hAnsi="Times New Roman"/>
          <w:sz w:val="20"/>
          <w:highlight w:val="yellow"/>
        </w:rPr>
        <w:t>behaviour</w:t>
      </w:r>
      <w:proofErr w:type="spellEnd"/>
      <w:r>
        <w:rPr>
          <w:rFonts w:ascii="Times New Roman" w:hAnsi="Times New Roman"/>
          <w:sz w:val="20"/>
          <w:highlight w:val="yellow"/>
        </w:rPr>
        <w:t>, viscosity characteristics and cooking quality of the formulated breakfast meals. The parameters evaluated included peak viscosity, trough viscosity, breakdown viscosity, final viscosity, setback viscosity, peak time and pasting temperature.</w:t>
      </w:r>
    </w:p>
    <w:p w14:paraId="3E6CC4C1" w14:textId="03DE596B" w:rsidR="006667F1" w:rsidRPr="00560D34" w:rsidRDefault="006667F1" w:rsidP="0077328A">
      <w:pPr>
        <w:spacing w:after="0" w:line="240" w:lineRule="auto"/>
        <w:jc w:val="both"/>
        <w:rPr>
          <w:rFonts w:ascii="Times New Roman" w:eastAsia="Times New Roman" w:hAnsi="Times New Roman" w:cs="Times New Roman"/>
          <w:sz w:val="20"/>
          <w:szCs w:val="20"/>
        </w:rPr>
      </w:pPr>
    </w:p>
    <w:p w14:paraId="78093020" w14:textId="2FB10575" w:rsidR="006667F1" w:rsidRPr="00560D34" w:rsidRDefault="006667F1" w:rsidP="006667F1">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Peak viscosity ranged from 36 RVU in GFMNSBD to 125 RVU in FM. This suggests that fermented maize flour possessed greater swelling capacity and starch granule integrity during heating than the composite blends. Peak viscosity reflects the ability of starch granules to absorb water and swell before rupture during heating (Ikechukwu, 2023). The high peak viscosity in FM may be attributed to the high starch content of maize flour and lower interference from protein and </w:t>
      </w:r>
      <w:proofErr w:type="spellStart"/>
      <w:r>
        <w:rPr>
          <w:rFonts w:ascii="Times New Roman" w:hAnsi="Times New Roman"/>
          <w:sz w:val="20"/>
          <w:highlight w:val="yellow"/>
        </w:rPr>
        <w:t>fibre</w:t>
      </w:r>
      <w:proofErr w:type="spellEnd"/>
      <w:r>
        <w:rPr>
          <w:rFonts w:ascii="Times New Roman" w:hAnsi="Times New Roman"/>
          <w:sz w:val="20"/>
          <w:highlight w:val="yellow"/>
        </w:rPr>
        <w:t xml:space="preserve">. The high values recorded in FM and FMSBD indicate the suitability of the blends for products requiring moderate viscosity, such as cookies. Similar observations were reported by </w:t>
      </w:r>
      <w:proofErr w:type="spellStart"/>
      <w:r>
        <w:rPr>
          <w:rFonts w:ascii="Times New Roman" w:hAnsi="Times New Roman"/>
          <w:sz w:val="20"/>
          <w:highlight w:val="yellow"/>
        </w:rPr>
        <w:t>Anyadioha</w:t>
      </w:r>
      <w:proofErr w:type="spellEnd"/>
      <w:r>
        <w:rPr>
          <w:rFonts w:ascii="Times New Roman" w:hAnsi="Times New Roman"/>
          <w:sz w:val="20"/>
          <w:highlight w:val="yellow"/>
        </w:rPr>
        <w:t xml:space="preserve"> et al. (2023) in maize-based composite flour systems, where pure maize flour exhibited higher viscosity than legume-enriched blends due to its higher carbohydrate content and starch availability.</w:t>
      </w:r>
    </w:p>
    <w:p w14:paraId="0419012B"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242E8508" w14:textId="77777777" w:rsidR="0077328A" w:rsidRPr="00560D34" w:rsidRDefault="0077328A" w:rsidP="006667F1">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noProof/>
          <w:sz w:val="20"/>
          <w:szCs w:val="20"/>
          <w:lang w:val="ru-RU" w:eastAsia="ru-RU"/>
        </w:rPr>
        <w:drawing>
          <wp:inline distT="0" distB="0" distL="0" distR="0" wp14:anchorId="2B3283F7" wp14:editId="707F7079">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DFD1DA" w14:textId="77777777" w:rsidR="006667F1" w:rsidRPr="00560D34" w:rsidRDefault="006667F1" w:rsidP="006667F1">
      <w:pPr>
        <w:spacing w:after="0" w:line="240" w:lineRule="auto"/>
        <w:jc w:val="center"/>
        <w:rPr>
          <w:rFonts w:ascii="Times New Roman" w:eastAsia="Calibri" w:hAnsi="Times New Roman" w:cs="Times New Roman"/>
          <w:b/>
          <w:sz w:val="20"/>
          <w:szCs w:val="20"/>
        </w:rPr>
      </w:pPr>
    </w:p>
    <w:p w14:paraId="27B2477E" w14:textId="09AE9FE0"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Fig. 2. Pasting </w:t>
      </w:r>
      <w:r w:rsidR="0077328A" w:rsidRPr="00560D34">
        <w:rPr>
          <w:rFonts w:ascii="Times New Roman" w:eastAsia="Calibri" w:hAnsi="Times New Roman" w:cs="Times New Roman"/>
          <w:b/>
          <w:sz w:val="20"/>
          <w:szCs w:val="20"/>
        </w:rPr>
        <w:t>properties of the breakfast meal composite flour</w:t>
      </w:r>
    </w:p>
    <w:p w14:paraId="0B8555C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CE6514F" w14:textId="499B74C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(Adebowale et al., 2025).</w:t>
      </w:r>
    </w:p>
    <w:p w14:paraId="6BDBAA8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ACA3C1C" w14:textId="2CD1F368"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may be linked to disruption of starch granules during sprouting and fermentation. Similar reductions in trough viscosity were observed in fermented maize-soybean blends (Edima-Nyah et al., 2024).</w:t>
      </w:r>
    </w:p>
    <w:p w14:paraId="0D73B14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1B70D41E" w14:textId="3A07029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Breakdown viscosity indicates the stability of starch granules during heating. FM and FMSBD had higher breakdown values than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Ikechukwu (2023) and Adeyanju et al. (2025) </w:t>
      </w:r>
      <w:r>
        <w:rPr>
          <w:rFonts w:ascii="Times New Roman" w:hAnsi="Times New Roman"/>
          <w:sz w:val="20"/>
          <w:highlight w:val="yellow"/>
        </w:rPr>
        <w:lastRenderedPageBreak/>
        <w:t xml:space="preserve">in sprouted soybean-maize composite flour, </w:t>
      </w:r>
      <w:proofErr w:type="gramStart"/>
      <w:r>
        <w:rPr>
          <w:rFonts w:ascii="Times New Roman" w:hAnsi="Times New Roman"/>
          <w:sz w:val="20"/>
          <w:highlight w:val="yellow"/>
        </w:rPr>
        <w:t>where</w:t>
      </w:r>
      <w:proofErr w:type="gramEnd"/>
      <w:r>
        <w:rPr>
          <w:rFonts w:ascii="Times New Roman" w:hAnsi="Times New Roman"/>
          <w:sz w:val="20"/>
          <w:highlight w:val="yellow"/>
        </w:rPr>
        <w:t xml:space="preserve"> increased protein and lipid contents restricted starch swelling and reduced breakdown viscosity.</w:t>
      </w:r>
    </w:p>
    <w:p w14:paraId="39FC71A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286437C" w14:textId="66FB91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Final viscosity was higher in FMSBD (approximately 240) and FM/GFMNSBD (approximately 245), indicating strong gel formation upon cooling. Final viscosity, which reflects the ability of flour paste to form a viscous paste or gel after cooling, was markedly reduced in the germinated blends. High final viscosity indicates stronger gel formation and retrogradation tendency during cooling (Adeyanju et al., 2025).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 (Eli et al., 2022).</w:t>
      </w:r>
    </w:p>
    <w:p w14:paraId="5C00E985"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D7DBEB" w14:textId="70BA9F4A"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 (Edima-Nyah et al., 2024).</w:t>
      </w:r>
    </w:p>
    <w:p w14:paraId="427DD5D0"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B1C811E" w14:textId="3B2D443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529F81B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F921EF5" w14:textId="19567A7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Pasting temperature indicates the minimum temperature required for starch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and cooking initiation. GFMSBD recorded the highest pasting temperature (approximately 86 °C), followed by FMSBD and GFMNSBD, while FM had the lowest value (approximately 50 °C). Higher pasting temperatures in germinated blends may indicate structural modification of starch granules and protein-starch interactions that delay </w:t>
      </w:r>
      <w:proofErr w:type="spellStart"/>
      <w:r>
        <w:rPr>
          <w:rFonts w:ascii="Times New Roman" w:hAnsi="Times New Roman"/>
          <w:sz w:val="20"/>
          <w:highlight w:val="yellow"/>
        </w:rPr>
        <w:t>gelatinisation</w:t>
      </w:r>
      <w:proofErr w:type="spellEnd"/>
      <w:r>
        <w:rPr>
          <w:rFonts w:ascii="Times New Roman" w:hAnsi="Times New Roman"/>
          <w:sz w:val="20"/>
          <w:highlight w:val="yellow"/>
        </w:rPr>
        <w:t>. Similar observations were reported by Adeyanju et al. (2025), who found increased pasting temperature in legume-enriched cereal blends due to protein interference with starch swelling. Higher pasting temperatures imply increased thermal energy requirements during preparation. Similar observations were reported in fermented maize and composite flour studies, where pasting temperatures were slightly affected by legume supplementation (Adeyanju et al., 2025; Ikechukwu, 2023).</w:t>
      </w:r>
    </w:p>
    <w:p w14:paraId="25A4983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BA8CA7" w14:textId="5F2AADA5"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3. </w:t>
      </w:r>
      <w:r w:rsidR="0077328A" w:rsidRPr="00560D34">
        <w:rPr>
          <w:rFonts w:ascii="Times New Roman" w:eastAsia="Calibri" w:hAnsi="Times New Roman" w:cs="Times New Roman"/>
          <w:b/>
          <w:sz w:val="20"/>
          <w:szCs w:val="20"/>
        </w:rPr>
        <w:t>Microbial composition of breakfast meal composite flour</w:t>
      </w:r>
    </w:p>
    <w:p w14:paraId="22944941" w14:textId="77777777" w:rsidR="006667F1" w:rsidRPr="00560D34" w:rsidRDefault="006667F1" w:rsidP="0077328A">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348"/>
        <w:gridCol w:w="2276"/>
        <w:gridCol w:w="2280"/>
        <w:gridCol w:w="1944"/>
      </w:tblGrid>
      <w:tr w:rsidR="0077328A" w:rsidRPr="00560D34" w14:paraId="4546F970" w14:textId="77777777" w:rsidTr="006667F1">
        <w:trPr>
          <w:trHeight w:val="20"/>
          <w:jc w:val="center"/>
        </w:trPr>
        <w:tc>
          <w:tcPr>
            <w:tcW w:w="2405" w:type="dxa"/>
            <w:tcBorders>
              <w:top w:val="single" w:sz="4" w:space="0" w:color="auto"/>
              <w:bottom w:val="single" w:sz="4" w:space="0" w:color="auto"/>
            </w:tcBorders>
          </w:tcPr>
          <w:p w14:paraId="26B28882" w14:textId="1A4E0A06" w:rsidR="0077328A" w:rsidRPr="00560D34" w:rsidRDefault="006667F1"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Sample</w:t>
            </w:r>
          </w:p>
        </w:tc>
        <w:tc>
          <w:tcPr>
            <w:tcW w:w="2333" w:type="dxa"/>
            <w:tcBorders>
              <w:top w:val="single" w:sz="4" w:space="0" w:color="auto"/>
              <w:bottom w:val="single" w:sz="4" w:space="0" w:color="auto"/>
            </w:tcBorders>
          </w:tcPr>
          <w:p w14:paraId="2A2BB2A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bacterial count</w:t>
            </w:r>
          </w:p>
          <w:p w14:paraId="697178D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2335" w:type="dxa"/>
            <w:tcBorders>
              <w:top w:val="single" w:sz="4" w:space="0" w:color="auto"/>
              <w:bottom w:val="single" w:sz="4" w:space="0" w:color="auto"/>
            </w:tcBorders>
          </w:tcPr>
          <w:p w14:paraId="41350D6B"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fungi count</w:t>
            </w:r>
          </w:p>
          <w:p w14:paraId="2B50A8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1987" w:type="dxa"/>
            <w:tcBorders>
              <w:top w:val="single" w:sz="4" w:space="0" w:color="auto"/>
              <w:bottom w:val="single" w:sz="4" w:space="0" w:color="auto"/>
            </w:tcBorders>
          </w:tcPr>
          <w:p w14:paraId="50669049"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Coliforms </w:t>
            </w:r>
          </w:p>
          <w:p w14:paraId="09BA25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r>
      <w:tr w:rsidR="0077328A" w:rsidRPr="00560D34" w14:paraId="460284AF" w14:textId="77777777" w:rsidTr="006667F1">
        <w:trPr>
          <w:trHeight w:val="20"/>
          <w:jc w:val="center"/>
        </w:trPr>
        <w:tc>
          <w:tcPr>
            <w:tcW w:w="2405" w:type="dxa"/>
            <w:tcBorders>
              <w:top w:val="single" w:sz="4" w:space="0" w:color="auto"/>
            </w:tcBorders>
          </w:tcPr>
          <w:p w14:paraId="0FAB270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2333" w:type="dxa"/>
            <w:tcBorders>
              <w:top w:val="single" w:sz="4" w:space="0" w:color="auto"/>
            </w:tcBorders>
          </w:tcPr>
          <w:p w14:paraId="34043D5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3.87</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2335" w:type="dxa"/>
            <w:tcBorders>
              <w:top w:val="single" w:sz="4" w:space="0" w:color="auto"/>
            </w:tcBorders>
          </w:tcPr>
          <w:p w14:paraId="21B1DC4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3.52</w:t>
            </w:r>
            <w:r w:rsidRPr="00560D34">
              <w:rPr>
                <w:rFonts w:ascii="Times New Roman" w:eastAsia="Calibri" w:hAnsi="Times New Roman" w:cs="Times New Roman"/>
                <w:sz w:val="16"/>
                <w:szCs w:val="16"/>
                <w:vertAlign w:val="superscript"/>
              </w:rPr>
              <w:t>bc</w:t>
            </w:r>
            <w:r w:rsidRPr="00560D34">
              <w:rPr>
                <w:rFonts w:ascii="Times New Roman" w:eastAsia="Calibri" w:hAnsi="Times New Roman" w:cs="Times New Roman"/>
                <w:sz w:val="16"/>
                <w:szCs w:val="16"/>
              </w:rPr>
              <w:t>±0.02</w:t>
            </w:r>
          </w:p>
        </w:tc>
        <w:tc>
          <w:tcPr>
            <w:tcW w:w="1987" w:type="dxa"/>
            <w:tcBorders>
              <w:top w:val="single" w:sz="4" w:space="0" w:color="auto"/>
            </w:tcBorders>
          </w:tcPr>
          <w:p w14:paraId="3F5BF6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02030B35" w14:textId="77777777" w:rsidTr="006667F1">
        <w:trPr>
          <w:trHeight w:val="20"/>
          <w:jc w:val="center"/>
        </w:trPr>
        <w:tc>
          <w:tcPr>
            <w:tcW w:w="2405" w:type="dxa"/>
          </w:tcPr>
          <w:p w14:paraId="69A9177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2333" w:type="dxa"/>
          </w:tcPr>
          <w:p w14:paraId="16F5638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4.58</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±0.23</w:t>
            </w:r>
          </w:p>
        </w:tc>
        <w:tc>
          <w:tcPr>
            <w:tcW w:w="2335" w:type="dxa"/>
          </w:tcPr>
          <w:p w14:paraId="5EF725B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3.68</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±0.05</w:t>
            </w:r>
          </w:p>
        </w:tc>
        <w:tc>
          <w:tcPr>
            <w:tcW w:w="1987" w:type="dxa"/>
          </w:tcPr>
          <w:p w14:paraId="4A6E3C1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5549CD9B" w14:textId="77777777" w:rsidTr="006667F1">
        <w:trPr>
          <w:trHeight w:val="20"/>
          <w:jc w:val="center"/>
        </w:trPr>
        <w:tc>
          <w:tcPr>
            <w:tcW w:w="2405" w:type="dxa"/>
          </w:tcPr>
          <w:p w14:paraId="49D1981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2333" w:type="dxa"/>
          </w:tcPr>
          <w:p w14:paraId="08C582A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6.34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±0.06</w:t>
            </w:r>
          </w:p>
        </w:tc>
        <w:tc>
          <w:tcPr>
            <w:tcW w:w="2335" w:type="dxa"/>
          </w:tcPr>
          <w:p w14:paraId="1C3223A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±0.17</w:t>
            </w:r>
          </w:p>
        </w:tc>
        <w:tc>
          <w:tcPr>
            <w:tcW w:w="1987" w:type="dxa"/>
          </w:tcPr>
          <w:p w14:paraId="4A8E6F1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78B2E0AF" w14:textId="77777777" w:rsidTr="006667F1">
        <w:trPr>
          <w:trHeight w:val="20"/>
          <w:jc w:val="center"/>
        </w:trPr>
        <w:tc>
          <w:tcPr>
            <w:tcW w:w="2405" w:type="dxa"/>
          </w:tcPr>
          <w:p w14:paraId="0B6188E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2333" w:type="dxa"/>
          </w:tcPr>
          <w:p w14:paraId="37CCE3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4.18</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±0.06</w:t>
            </w:r>
          </w:p>
        </w:tc>
        <w:tc>
          <w:tcPr>
            <w:tcW w:w="2335" w:type="dxa"/>
          </w:tcPr>
          <w:p w14:paraId="4A4DD9F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3.55</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±0.12</w:t>
            </w:r>
          </w:p>
        </w:tc>
        <w:tc>
          <w:tcPr>
            <w:tcW w:w="1987" w:type="dxa"/>
          </w:tcPr>
          <w:p w14:paraId="27AED1C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14C4658D" w14:textId="77777777" w:rsidTr="006667F1">
        <w:trPr>
          <w:trHeight w:val="20"/>
          <w:jc w:val="center"/>
        </w:trPr>
        <w:tc>
          <w:tcPr>
            <w:tcW w:w="2405" w:type="dxa"/>
          </w:tcPr>
          <w:p w14:paraId="0162A38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2333" w:type="dxa"/>
          </w:tcPr>
          <w:p w14:paraId="4027E83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2335" w:type="dxa"/>
          </w:tcPr>
          <w:p w14:paraId="5604DAC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4.53</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±0.17</w:t>
            </w:r>
          </w:p>
        </w:tc>
        <w:tc>
          <w:tcPr>
            <w:tcW w:w="1987" w:type="dxa"/>
          </w:tcPr>
          <w:p w14:paraId="1349E43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03C02615" w14:textId="77777777" w:rsidTr="006667F1">
        <w:trPr>
          <w:trHeight w:val="20"/>
          <w:jc w:val="center"/>
        </w:trPr>
        <w:tc>
          <w:tcPr>
            <w:tcW w:w="2405" w:type="dxa"/>
          </w:tcPr>
          <w:p w14:paraId="4D7890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Permissible level</w:t>
            </w:r>
          </w:p>
        </w:tc>
        <w:tc>
          <w:tcPr>
            <w:tcW w:w="2333" w:type="dxa"/>
          </w:tcPr>
          <w:p w14:paraId="255482B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≤10</w:t>
            </w:r>
            <w:r w:rsidRPr="00560D34">
              <w:rPr>
                <w:rFonts w:ascii="Times New Roman" w:eastAsia="Calibri" w:hAnsi="Times New Roman" w:cs="Times New Roman"/>
                <w:sz w:val="16"/>
                <w:szCs w:val="16"/>
                <w:vertAlign w:val="superscript"/>
              </w:rPr>
              <w:t>5</w:t>
            </w:r>
            <w:r w:rsidRPr="00560D34">
              <w:rPr>
                <w:rFonts w:ascii="Times New Roman" w:eastAsia="Calibri" w:hAnsi="Times New Roman" w:cs="Times New Roman"/>
                <w:sz w:val="16"/>
                <w:szCs w:val="16"/>
              </w:rPr>
              <w:t xml:space="preserve"> CFU/g</w:t>
            </w:r>
          </w:p>
        </w:tc>
        <w:tc>
          <w:tcPr>
            <w:tcW w:w="2335" w:type="dxa"/>
          </w:tcPr>
          <w:p w14:paraId="36267B58" w14:textId="77777777" w:rsidR="0077328A" w:rsidRPr="00560D34" w:rsidRDefault="0077328A" w:rsidP="006667F1">
            <w:pPr>
              <w:rPr>
                <w:rFonts w:ascii="Times New Roman" w:eastAsia="Calibri" w:hAnsi="Times New Roman" w:cs="Times New Roman"/>
                <w:sz w:val="16"/>
                <w:szCs w:val="16"/>
                <w:vertAlign w:val="superscript"/>
              </w:rPr>
            </w:pPr>
            <w:r w:rsidRPr="00560D34">
              <w:rPr>
                <w:rFonts w:ascii="Times New Roman" w:eastAsia="Calibri" w:hAnsi="Times New Roman" w:cs="Times New Roman"/>
                <w:sz w:val="16"/>
                <w:szCs w:val="16"/>
              </w:rPr>
              <w:t>≤5×10</w:t>
            </w:r>
            <w:r w:rsidRPr="00560D34">
              <w:rPr>
                <w:rFonts w:ascii="Times New Roman" w:eastAsia="Calibri" w:hAnsi="Times New Roman" w:cs="Times New Roman"/>
                <w:sz w:val="16"/>
                <w:szCs w:val="16"/>
                <w:vertAlign w:val="superscript"/>
              </w:rPr>
              <w:t xml:space="preserve">3 </w:t>
            </w:r>
            <w:r w:rsidRPr="00560D34">
              <w:rPr>
                <w:rFonts w:ascii="Times New Roman" w:eastAsia="Calibri" w:hAnsi="Times New Roman" w:cs="Times New Roman"/>
                <w:sz w:val="16"/>
                <w:szCs w:val="16"/>
              </w:rPr>
              <w:t>CFU/g</w:t>
            </w:r>
          </w:p>
        </w:tc>
        <w:tc>
          <w:tcPr>
            <w:tcW w:w="1987" w:type="dxa"/>
          </w:tcPr>
          <w:p w14:paraId="7D56BDE6" w14:textId="77777777" w:rsidR="0077328A" w:rsidRPr="00560D34" w:rsidRDefault="0077328A" w:rsidP="006667F1">
            <w:pPr>
              <w:rPr>
                <w:rFonts w:ascii="Times New Roman" w:eastAsia="Calibri" w:hAnsi="Times New Roman" w:cs="Times New Roman"/>
                <w:sz w:val="16"/>
                <w:szCs w:val="16"/>
              </w:rPr>
            </w:pPr>
          </w:p>
        </w:tc>
      </w:tr>
    </w:tbl>
    <w:p w14:paraId="7D819B1D" w14:textId="77777777" w:rsidR="0077328A"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7EBB654A" w14:textId="74F5A24A" w:rsidR="006667F1"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1AFFBAD7" w14:textId="77777777" w:rsidR="006667F1" w:rsidRPr="00560D34" w:rsidRDefault="006667F1" w:rsidP="006667F1">
      <w:pPr>
        <w:spacing w:after="0" w:line="240" w:lineRule="auto"/>
        <w:jc w:val="both"/>
        <w:rPr>
          <w:rFonts w:ascii="Times New Roman" w:eastAsia="Calibri" w:hAnsi="Times New Roman" w:cs="Times New Roman"/>
          <w:sz w:val="20"/>
          <w:szCs w:val="20"/>
        </w:rPr>
      </w:pPr>
    </w:p>
    <w:p w14:paraId="612281B7" w14:textId="5398C93B" w:rsidR="0077328A" w:rsidRPr="00560D34" w:rsidRDefault="0077328A" w:rsidP="006667F1">
      <w:pPr>
        <w:spacing w:after="0" w:line="240" w:lineRule="auto"/>
        <w:jc w:val="both"/>
        <w:rPr>
          <w:rFonts w:ascii="Times New Roman" w:eastAsia="Calibri" w:hAnsi="Times New Roman" w:cs="Times New Roman"/>
          <w:szCs w:val="20"/>
        </w:rPr>
      </w:pPr>
      <w:r w:rsidRPr="00560D34">
        <w:rPr>
          <w:rFonts w:ascii="Times New Roman" w:eastAsia="Calibri" w:hAnsi="Times New Roman" w:cs="Times New Roman"/>
          <w:b/>
          <w:szCs w:val="20"/>
          <w:lang w:val="en-GB"/>
        </w:rPr>
        <w:t xml:space="preserve">3.3 Microbial </w:t>
      </w:r>
      <w:r w:rsidR="006667F1" w:rsidRPr="00560D34">
        <w:rPr>
          <w:rFonts w:ascii="Times New Roman" w:eastAsia="Calibri" w:hAnsi="Times New Roman" w:cs="Times New Roman"/>
          <w:b/>
          <w:szCs w:val="20"/>
          <w:lang w:val="en-GB"/>
        </w:rPr>
        <w:t xml:space="preserve">Composition </w:t>
      </w:r>
      <w:r w:rsidRPr="00560D34">
        <w:rPr>
          <w:rFonts w:ascii="Times New Roman" w:eastAsia="Calibri" w:hAnsi="Times New Roman" w:cs="Times New Roman"/>
          <w:b/>
          <w:szCs w:val="20"/>
          <w:lang w:val="en-GB"/>
        </w:rPr>
        <w:t xml:space="preserve">of </w:t>
      </w:r>
      <w:r w:rsidR="006667F1" w:rsidRPr="00560D34">
        <w:rPr>
          <w:rFonts w:ascii="Times New Roman" w:eastAsia="Calibri" w:hAnsi="Times New Roman" w:cs="Times New Roman"/>
          <w:b/>
          <w:szCs w:val="20"/>
          <w:lang w:val="en-GB"/>
        </w:rPr>
        <w:t>Breakfast Meal Composite Flour</w:t>
      </w:r>
    </w:p>
    <w:p w14:paraId="79812F69"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03D73681" w14:textId="7B114F31"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microbial composition of the breakfast meal composite flour (Table 3) indicates that all samples were microbiologically acceptable and within the stated limits for human consumption.</w:t>
      </w:r>
    </w:p>
    <w:p w14:paraId="62180635"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7252B15A" w14:textId="750183A1"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3.3.1 </w:t>
      </w:r>
      <w:r w:rsidR="0077328A" w:rsidRPr="00560D34">
        <w:rPr>
          <w:rFonts w:ascii="Times New Roman" w:eastAsia="Calibri" w:hAnsi="Times New Roman" w:cs="Times New Roman"/>
          <w:b/>
          <w:szCs w:val="20"/>
        </w:rPr>
        <w:t>Total Bacterial Count (TBC)</w:t>
      </w:r>
    </w:p>
    <w:p w14:paraId="4CC5057A"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696AB644" w14:textId="5D46C51A"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The total bacterial count ranged from 3.87 CFU/g (FM) to 6.34 CFU/g (FMNSBD). The significant increase in bacterial counts in the composite samples compared with FM may be attributed to the addition of legumes and date flour, which may introduce additional microbial load and increase nutrient availability (proteins and sugars), thereby supporting microbial growth. Fermentation is known to suppress pathogenic and spoilage microorganisms through the production of organic acids (e.g., lactic acid), pH reduction, bacteriocin production and antimicrobial metabolites. Studies have shown that lactic acid fermentation can reduce bacterial load in cereal-based products </w:t>
      </w:r>
      <w:r>
        <w:rPr>
          <w:rFonts w:ascii="Times New Roman" w:hAnsi="Times New Roman"/>
          <w:sz w:val="20"/>
          <w:highlight w:val="yellow"/>
        </w:rPr>
        <w:lastRenderedPageBreak/>
        <w:t xml:space="preserve">by creating an </w:t>
      </w:r>
      <w:proofErr w:type="spellStart"/>
      <w:r>
        <w:rPr>
          <w:rFonts w:ascii="Times New Roman" w:hAnsi="Times New Roman"/>
          <w:sz w:val="20"/>
          <w:highlight w:val="yellow"/>
        </w:rPr>
        <w:t>unfavourable</w:t>
      </w:r>
      <w:proofErr w:type="spellEnd"/>
      <w:r>
        <w:rPr>
          <w:rFonts w:ascii="Times New Roman" w:hAnsi="Times New Roman"/>
          <w:sz w:val="20"/>
          <w:highlight w:val="yellow"/>
        </w:rPr>
        <w:t xml:space="preserve"> acidic environment (Adebo et al., 2022; Adebiyi et al., 2021). In comparison with international microbiological standards, even the highest value recorded (6.34 log CFU/g) remains within acceptable limits for flour-based products intended for reconstitution and subsequent cooking, provided pathogens are absent. Comparable total bacterial counts (2-6 log CFU/g) have been reported in fermented cereal-legume blends (Edima-Nyah et al., 2024), indicating that the present findings are consistent with previous research.</w:t>
      </w:r>
    </w:p>
    <w:p w14:paraId="4B8BC038"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DDF302F" w14:textId="7461E14C"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3.3.2 </w:t>
      </w:r>
      <w:r w:rsidR="0077328A" w:rsidRPr="00560D34">
        <w:rPr>
          <w:rFonts w:ascii="Times New Roman" w:eastAsia="Calibri" w:hAnsi="Times New Roman" w:cs="Times New Roman"/>
          <w:b/>
          <w:szCs w:val="20"/>
        </w:rPr>
        <w:t>Total Fungi Count (TFC)</w:t>
      </w:r>
    </w:p>
    <w:p w14:paraId="3E708654"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64860FA" w14:textId="3ED0F94C"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The fungal count ranged from 3.32 CFU/g (FMNSBD) to 4.53 CFU/g (GFMNSBD). The relatively higher fungal counts in some samples, particularly GFMNSBD, may be due to increased moisture during germination, which provides </w:t>
      </w:r>
      <w:proofErr w:type="spellStart"/>
      <w:r>
        <w:rPr>
          <w:rFonts w:ascii="Times New Roman" w:hAnsi="Times New Roman"/>
          <w:sz w:val="20"/>
          <w:highlight w:val="yellow"/>
        </w:rPr>
        <w:t>favourable</w:t>
      </w:r>
      <w:proofErr w:type="spellEnd"/>
      <w:r>
        <w:rPr>
          <w:rFonts w:ascii="Times New Roman" w:hAnsi="Times New Roman"/>
          <w:sz w:val="20"/>
          <w:highlight w:val="yellow"/>
        </w:rPr>
        <w:t xml:space="preserve"> moisture and temperature conditions for fungal growth if not strictly controlled. Sprouting increases water activity, which can promote </w:t>
      </w:r>
      <w:proofErr w:type="spellStart"/>
      <w:r>
        <w:rPr>
          <w:rFonts w:ascii="Times New Roman" w:hAnsi="Times New Roman"/>
          <w:sz w:val="20"/>
          <w:highlight w:val="yellow"/>
        </w:rPr>
        <w:t>mould</w:t>
      </w:r>
      <w:proofErr w:type="spellEnd"/>
      <w:r>
        <w:rPr>
          <w:rFonts w:ascii="Times New Roman" w:hAnsi="Times New Roman"/>
          <w:sz w:val="20"/>
          <w:highlight w:val="yellow"/>
        </w:rPr>
        <w:t xml:space="preserve"> proliferation (</w:t>
      </w:r>
      <w:proofErr w:type="spellStart"/>
      <w:r>
        <w:rPr>
          <w:rFonts w:ascii="Times New Roman" w:hAnsi="Times New Roman"/>
          <w:sz w:val="20"/>
          <w:highlight w:val="yellow"/>
        </w:rPr>
        <w:t>Oghbaei</w:t>
      </w:r>
      <w:proofErr w:type="spellEnd"/>
      <w:r>
        <w:rPr>
          <w:rFonts w:ascii="Times New Roman" w:hAnsi="Times New Roman"/>
          <w:sz w:val="20"/>
          <w:highlight w:val="yellow"/>
        </w:rPr>
        <w:t xml:space="preserve"> &amp; Prakash, 2016). However, the significantly lower fungal count in FM suggests that fermentation and adequate drying effectively inhibited fungal survival. Fermentation reduces pH and produces antifungal compounds that suppress </w:t>
      </w:r>
      <w:proofErr w:type="spellStart"/>
      <w:r>
        <w:rPr>
          <w:rFonts w:ascii="Times New Roman" w:hAnsi="Times New Roman"/>
          <w:sz w:val="20"/>
          <w:highlight w:val="yellow"/>
        </w:rPr>
        <w:t>mould</w:t>
      </w:r>
      <w:proofErr w:type="spellEnd"/>
      <w:r>
        <w:rPr>
          <w:rFonts w:ascii="Times New Roman" w:hAnsi="Times New Roman"/>
          <w:sz w:val="20"/>
          <w:highlight w:val="yellow"/>
        </w:rPr>
        <w:t xml:space="preserve"> growth (Adebo et al., 2022).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the combined processing techniques enhanced microbial safety. Fermentation contributes antimicrobial metabolites, while proper drying after germination reduces water activity, thereby limiting microbial growth. The products were microbiologically acceptable within the stated limits.</w:t>
      </w:r>
    </w:p>
    <w:p w14:paraId="6A42DBDE"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1BD31DD" w14:textId="4169F835"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3.3.3 </w:t>
      </w:r>
      <w:r w:rsidR="0077328A" w:rsidRPr="00560D34">
        <w:rPr>
          <w:rFonts w:ascii="Times New Roman" w:eastAsia="Calibri" w:hAnsi="Times New Roman" w:cs="Times New Roman"/>
          <w:b/>
          <w:szCs w:val="20"/>
        </w:rPr>
        <w:t>Coliform Count</w:t>
      </w:r>
    </w:p>
    <w:p w14:paraId="1682F1A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222E9300" w14:textId="76B3537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All samples recorded no coliform count, indicating absence of </w:t>
      </w:r>
      <w:proofErr w:type="spellStart"/>
      <w:r>
        <w:rPr>
          <w:rFonts w:ascii="Times New Roman" w:hAnsi="Times New Roman"/>
          <w:sz w:val="20"/>
          <w:highlight w:val="yellow"/>
        </w:rPr>
        <w:t>faecal</w:t>
      </w:r>
      <w:proofErr w:type="spellEnd"/>
      <w:r>
        <w:rPr>
          <w:rFonts w:ascii="Times New Roman" w:hAnsi="Times New Roman"/>
          <w:sz w:val="20"/>
          <w:highlight w:val="yellow"/>
        </w:rPr>
        <w:t xml:space="preserve"> contamination, good hygienic handling and processing conditions, and microbiological safety with respect to pathogenic bacteria.</w:t>
      </w:r>
    </w:p>
    <w:p w14:paraId="58953C8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FCA24D0" w14:textId="23678A36"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absence of coliforms is a critical safety indicator and aligns with standards set by food safety authorities. This result suggests that, despite variations in total microbial load, the products were free from enteric pathogens. This finding agrees with the work of Adebo et al. (2022), who reported zero coliform counts in properly processed cereal-legume blends, attributing this to adequate heat treatment and hygienic practices.</w:t>
      </w:r>
    </w:p>
    <w:p w14:paraId="562E0B9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8F33A25" w14:textId="4693FD4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36683C3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60A7D93" w14:textId="185CA5B8" w:rsidR="0077328A" w:rsidRPr="00560D34" w:rsidRDefault="00246A63" w:rsidP="00246A63">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4. </w:t>
      </w:r>
      <w:r w:rsidR="0077328A" w:rsidRPr="00560D34">
        <w:rPr>
          <w:rFonts w:ascii="Times New Roman" w:eastAsia="Calibri" w:hAnsi="Times New Roman" w:cs="Times New Roman"/>
          <w:b/>
          <w:sz w:val="20"/>
          <w:szCs w:val="20"/>
        </w:rPr>
        <w:t>Sensory evaluation of breakfast meal gruels</w:t>
      </w:r>
    </w:p>
    <w:p w14:paraId="2CC40343"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542"/>
        <w:gridCol w:w="1371"/>
        <w:gridCol w:w="1364"/>
        <w:gridCol w:w="1458"/>
        <w:gridCol w:w="1614"/>
      </w:tblGrid>
      <w:tr w:rsidR="0077328A" w:rsidRPr="00560D34" w14:paraId="40BFEBDA" w14:textId="77777777" w:rsidTr="00246A63">
        <w:trPr>
          <w:trHeight w:val="20"/>
          <w:jc w:val="center"/>
        </w:trPr>
        <w:tc>
          <w:tcPr>
            <w:tcW w:w="1541" w:type="dxa"/>
            <w:tcBorders>
              <w:top w:val="single" w:sz="4" w:space="0" w:color="auto"/>
              <w:bottom w:val="single" w:sz="4" w:space="0" w:color="auto"/>
            </w:tcBorders>
          </w:tcPr>
          <w:p w14:paraId="3B804BF7" w14:textId="26050E07" w:rsidR="0077328A" w:rsidRPr="00560D34" w:rsidRDefault="00246A63"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Samples</w:t>
            </w:r>
          </w:p>
        </w:tc>
        <w:tc>
          <w:tcPr>
            <w:tcW w:w="1584" w:type="dxa"/>
            <w:tcBorders>
              <w:top w:val="single" w:sz="4" w:space="0" w:color="auto"/>
              <w:bottom w:val="single" w:sz="4" w:space="0" w:color="auto"/>
            </w:tcBorders>
          </w:tcPr>
          <w:p w14:paraId="43EF1B39"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Appearance </w:t>
            </w:r>
          </w:p>
        </w:tc>
        <w:tc>
          <w:tcPr>
            <w:tcW w:w="1410" w:type="dxa"/>
            <w:tcBorders>
              <w:top w:val="single" w:sz="4" w:space="0" w:color="auto"/>
              <w:bottom w:val="single" w:sz="4" w:space="0" w:color="auto"/>
            </w:tcBorders>
          </w:tcPr>
          <w:p w14:paraId="46F4210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Aroma </w:t>
            </w:r>
          </w:p>
        </w:tc>
        <w:tc>
          <w:tcPr>
            <w:tcW w:w="1402" w:type="dxa"/>
            <w:tcBorders>
              <w:top w:val="single" w:sz="4" w:space="0" w:color="auto"/>
              <w:bottom w:val="single" w:sz="4" w:space="0" w:color="auto"/>
            </w:tcBorders>
          </w:tcPr>
          <w:p w14:paraId="1EA4537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Taste </w:t>
            </w:r>
          </w:p>
        </w:tc>
        <w:tc>
          <w:tcPr>
            <w:tcW w:w="1497" w:type="dxa"/>
            <w:tcBorders>
              <w:top w:val="single" w:sz="4" w:space="0" w:color="auto"/>
              <w:bottom w:val="single" w:sz="4" w:space="0" w:color="auto"/>
            </w:tcBorders>
          </w:tcPr>
          <w:p w14:paraId="212336CE"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consistency</w:t>
            </w:r>
          </w:p>
        </w:tc>
        <w:tc>
          <w:tcPr>
            <w:tcW w:w="1658" w:type="dxa"/>
            <w:tcBorders>
              <w:top w:val="single" w:sz="4" w:space="0" w:color="auto"/>
              <w:bottom w:val="single" w:sz="4" w:space="0" w:color="auto"/>
            </w:tcBorders>
          </w:tcPr>
          <w:p w14:paraId="5EFA3B40"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Overall acceptability</w:t>
            </w:r>
          </w:p>
        </w:tc>
      </w:tr>
      <w:tr w:rsidR="0077328A" w:rsidRPr="00560D34" w14:paraId="22F49518" w14:textId="77777777" w:rsidTr="00246A63">
        <w:trPr>
          <w:trHeight w:val="20"/>
          <w:jc w:val="center"/>
        </w:trPr>
        <w:tc>
          <w:tcPr>
            <w:tcW w:w="1541" w:type="dxa"/>
            <w:tcBorders>
              <w:top w:val="single" w:sz="4" w:space="0" w:color="auto"/>
            </w:tcBorders>
          </w:tcPr>
          <w:p w14:paraId="1DC7EFBA"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w:t>
            </w:r>
          </w:p>
        </w:tc>
        <w:tc>
          <w:tcPr>
            <w:tcW w:w="1584" w:type="dxa"/>
            <w:tcBorders>
              <w:top w:val="single" w:sz="4" w:space="0" w:color="auto"/>
            </w:tcBorders>
          </w:tcPr>
          <w:p w14:paraId="1A446AC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±0.56</w:t>
            </w:r>
          </w:p>
        </w:tc>
        <w:tc>
          <w:tcPr>
            <w:tcW w:w="1410" w:type="dxa"/>
            <w:tcBorders>
              <w:top w:val="single" w:sz="4" w:space="0" w:color="auto"/>
            </w:tcBorders>
          </w:tcPr>
          <w:p w14:paraId="4DC0C3E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±0.83</w:t>
            </w:r>
          </w:p>
        </w:tc>
        <w:tc>
          <w:tcPr>
            <w:tcW w:w="1402" w:type="dxa"/>
            <w:tcBorders>
              <w:top w:val="single" w:sz="4" w:space="0" w:color="auto"/>
            </w:tcBorders>
          </w:tcPr>
          <w:p w14:paraId="7727976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7.93</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±1.22</w:t>
            </w:r>
          </w:p>
        </w:tc>
        <w:tc>
          <w:tcPr>
            <w:tcW w:w="1497" w:type="dxa"/>
            <w:tcBorders>
              <w:top w:val="single" w:sz="4" w:space="0" w:color="auto"/>
            </w:tcBorders>
          </w:tcPr>
          <w:p w14:paraId="44E8569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8.07</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±0.94</w:t>
            </w:r>
          </w:p>
        </w:tc>
        <w:tc>
          <w:tcPr>
            <w:tcW w:w="1658" w:type="dxa"/>
            <w:tcBorders>
              <w:top w:val="single" w:sz="4" w:space="0" w:color="auto"/>
            </w:tcBorders>
          </w:tcPr>
          <w:p w14:paraId="204F72D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7.83</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±0.65</w:t>
            </w:r>
          </w:p>
        </w:tc>
      </w:tr>
      <w:tr w:rsidR="0077328A" w:rsidRPr="00560D34" w14:paraId="54AADE2D" w14:textId="77777777" w:rsidTr="00246A63">
        <w:trPr>
          <w:trHeight w:val="20"/>
          <w:jc w:val="center"/>
        </w:trPr>
        <w:tc>
          <w:tcPr>
            <w:tcW w:w="1541" w:type="dxa"/>
          </w:tcPr>
          <w:p w14:paraId="1C08730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FMSBD</w:t>
            </w:r>
          </w:p>
        </w:tc>
        <w:tc>
          <w:tcPr>
            <w:tcW w:w="1584" w:type="dxa"/>
          </w:tcPr>
          <w:p w14:paraId="0B321EC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 xml:space="preserve">±0.60 </w:t>
            </w:r>
          </w:p>
        </w:tc>
        <w:tc>
          <w:tcPr>
            <w:tcW w:w="1410" w:type="dxa"/>
          </w:tcPr>
          <w:p w14:paraId="1CD2769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7.36</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±0.95</w:t>
            </w:r>
          </w:p>
        </w:tc>
        <w:tc>
          <w:tcPr>
            <w:tcW w:w="1402" w:type="dxa"/>
          </w:tcPr>
          <w:p w14:paraId="511CDD6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7.88</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±1.20</w:t>
            </w:r>
          </w:p>
        </w:tc>
        <w:tc>
          <w:tcPr>
            <w:tcW w:w="1497" w:type="dxa"/>
          </w:tcPr>
          <w:p w14:paraId="5B66314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6.96</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±1.56</w:t>
            </w:r>
          </w:p>
        </w:tc>
        <w:tc>
          <w:tcPr>
            <w:tcW w:w="1658" w:type="dxa"/>
          </w:tcPr>
          <w:p w14:paraId="7A7E26FE"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±0.58</w:t>
            </w:r>
          </w:p>
        </w:tc>
      </w:tr>
      <w:tr w:rsidR="0077328A" w:rsidRPr="00560D34" w14:paraId="1C721FE1" w14:textId="77777777" w:rsidTr="00246A63">
        <w:trPr>
          <w:trHeight w:val="20"/>
          <w:jc w:val="center"/>
        </w:trPr>
        <w:tc>
          <w:tcPr>
            <w:tcW w:w="1541" w:type="dxa"/>
          </w:tcPr>
          <w:p w14:paraId="3A1A409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FMNSBD</w:t>
            </w:r>
          </w:p>
        </w:tc>
        <w:tc>
          <w:tcPr>
            <w:tcW w:w="1584" w:type="dxa"/>
          </w:tcPr>
          <w:p w14:paraId="1C2C84F9"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±0.76</w:t>
            </w:r>
          </w:p>
        </w:tc>
        <w:tc>
          <w:tcPr>
            <w:tcW w:w="1410" w:type="dxa"/>
          </w:tcPr>
          <w:p w14:paraId="72F60D0F"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±1.15</w:t>
            </w:r>
          </w:p>
        </w:tc>
        <w:tc>
          <w:tcPr>
            <w:tcW w:w="1402" w:type="dxa"/>
          </w:tcPr>
          <w:p w14:paraId="645FF90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±1.25</w:t>
            </w:r>
          </w:p>
        </w:tc>
        <w:tc>
          <w:tcPr>
            <w:tcW w:w="1497" w:type="dxa"/>
          </w:tcPr>
          <w:p w14:paraId="50E14FB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7.74</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±1.15</w:t>
            </w:r>
          </w:p>
        </w:tc>
        <w:tc>
          <w:tcPr>
            <w:tcW w:w="1658" w:type="dxa"/>
          </w:tcPr>
          <w:p w14:paraId="6EBB247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bc</w:t>
            </w:r>
            <w:r w:rsidRPr="00560D34">
              <w:rPr>
                <w:rFonts w:ascii="Times New Roman" w:hAnsi="Times New Roman" w:cs="Times New Roman"/>
                <w:sz w:val="16"/>
                <w:szCs w:val="16"/>
                <w:lang w:val="en-GB" w:eastAsia="en-GB"/>
              </w:rPr>
              <w:t>±0.72</w:t>
            </w:r>
          </w:p>
        </w:tc>
      </w:tr>
      <w:tr w:rsidR="0077328A" w:rsidRPr="00560D34" w14:paraId="64444984" w14:textId="77777777" w:rsidTr="00246A63">
        <w:trPr>
          <w:trHeight w:val="20"/>
          <w:jc w:val="center"/>
        </w:trPr>
        <w:tc>
          <w:tcPr>
            <w:tcW w:w="1541" w:type="dxa"/>
          </w:tcPr>
          <w:p w14:paraId="613DB4F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GFMSBD</w:t>
            </w:r>
          </w:p>
        </w:tc>
        <w:tc>
          <w:tcPr>
            <w:tcW w:w="1584" w:type="dxa"/>
          </w:tcPr>
          <w:p w14:paraId="1753FA0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±0.72</w:t>
            </w:r>
          </w:p>
        </w:tc>
        <w:tc>
          <w:tcPr>
            <w:tcW w:w="1410" w:type="dxa"/>
          </w:tcPr>
          <w:p w14:paraId="0BAB2B3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±0.88</w:t>
            </w:r>
          </w:p>
        </w:tc>
        <w:tc>
          <w:tcPr>
            <w:tcW w:w="1402" w:type="dxa"/>
          </w:tcPr>
          <w:p w14:paraId="40A5CCE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±1.05</w:t>
            </w:r>
          </w:p>
        </w:tc>
        <w:tc>
          <w:tcPr>
            <w:tcW w:w="1497" w:type="dxa"/>
          </w:tcPr>
          <w:p w14:paraId="33B361D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±0.64</w:t>
            </w:r>
          </w:p>
        </w:tc>
        <w:tc>
          <w:tcPr>
            <w:tcW w:w="1658" w:type="dxa"/>
          </w:tcPr>
          <w:p w14:paraId="03BC278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8.77</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±0.57</w:t>
            </w:r>
          </w:p>
        </w:tc>
      </w:tr>
      <w:tr w:rsidR="0077328A" w:rsidRPr="00560D34" w14:paraId="1B4EE4C5" w14:textId="77777777" w:rsidTr="00246A63">
        <w:trPr>
          <w:trHeight w:val="20"/>
          <w:jc w:val="center"/>
        </w:trPr>
        <w:tc>
          <w:tcPr>
            <w:tcW w:w="1541" w:type="dxa"/>
          </w:tcPr>
          <w:p w14:paraId="2AC53C0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GFMNSBD</w:t>
            </w:r>
          </w:p>
        </w:tc>
        <w:tc>
          <w:tcPr>
            <w:tcW w:w="1584" w:type="dxa"/>
          </w:tcPr>
          <w:p w14:paraId="6B9B86D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±0.67</w:t>
            </w:r>
          </w:p>
        </w:tc>
        <w:tc>
          <w:tcPr>
            <w:tcW w:w="1410" w:type="dxa"/>
          </w:tcPr>
          <w:p w14:paraId="488FF05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±0.62</w:t>
            </w:r>
          </w:p>
        </w:tc>
        <w:tc>
          <w:tcPr>
            <w:tcW w:w="1402" w:type="dxa"/>
          </w:tcPr>
          <w:p w14:paraId="7892BCDA" w14:textId="25DE877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7.58</w:t>
            </w:r>
            <w:r w:rsidRPr="00560D34">
              <w:rPr>
                <w:rFonts w:ascii="Times New Roman" w:hAnsi="Times New Roman" w:cs="Times New Roman"/>
                <w:sz w:val="16"/>
                <w:szCs w:val="16"/>
                <w:vertAlign w:val="superscript"/>
                <w:lang w:val="en-GB" w:eastAsia="en-GB"/>
              </w:rPr>
              <w:t>a</w:t>
            </w:r>
            <w:r w:rsidR="00246A63" w:rsidRPr="00560D34">
              <w:rPr>
                <w:rFonts w:ascii="Times New Roman" w:hAnsi="Times New Roman" w:cs="Times New Roman"/>
                <w:sz w:val="16"/>
                <w:szCs w:val="16"/>
                <w:lang w:val="en-GB" w:eastAsia="en-GB"/>
              </w:rPr>
              <w:t>±0.67</w:t>
            </w:r>
          </w:p>
        </w:tc>
        <w:tc>
          <w:tcPr>
            <w:tcW w:w="1497" w:type="dxa"/>
          </w:tcPr>
          <w:p w14:paraId="04002DDC" w14:textId="7B38E68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b</w:t>
            </w:r>
            <w:r w:rsidR="00246A63" w:rsidRPr="00560D34">
              <w:rPr>
                <w:rFonts w:ascii="Times New Roman" w:hAnsi="Times New Roman" w:cs="Times New Roman"/>
                <w:sz w:val="16"/>
                <w:szCs w:val="16"/>
                <w:lang w:val="en-GB" w:eastAsia="en-GB"/>
              </w:rPr>
              <w:t>±0.67</w:t>
            </w:r>
          </w:p>
        </w:tc>
        <w:tc>
          <w:tcPr>
            <w:tcW w:w="1658" w:type="dxa"/>
          </w:tcPr>
          <w:p w14:paraId="15EC0A2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7.39</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±0.67</w:t>
            </w:r>
          </w:p>
        </w:tc>
      </w:tr>
    </w:tbl>
    <w:p w14:paraId="3CAB288B" w14:textId="77777777" w:rsidR="0077328A"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5E692085" w14:textId="64F56349" w:rsidR="00246A63"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5AA2A031"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49E9B762" w14:textId="19D42A99" w:rsidR="0077328A" w:rsidRPr="00560D34" w:rsidRDefault="00246A63" w:rsidP="00246A63">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3.3.4 </w:t>
      </w:r>
      <w:r w:rsidR="0077328A" w:rsidRPr="00560D34">
        <w:rPr>
          <w:rFonts w:ascii="Times New Roman" w:eastAsia="Calibri" w:hAnsi="Times New Roman" w:cs="Times New Roman"/>
          <w:b/>
          <w:bCs/>
          <w:sz w:val="20"/>
          <w:szCs w:val="20"/>
          <w:lang w:val="en-GB"/>
        </w:rPr>
        <w:t xml:space="preserve">Sensory </w:t>
      </w:r>
      <w:r w:rsidRPr="00560D34">
        <w:rPr>
          <w:rFonts w:ascii="Times New Roman" w:eastAsia="Calibri" w:hAnsi="Times New Roman" w:cs="Times New Roman"/>
          <w:b/>
          <w:bCs/>
          <w:sz w:val="20"/>
          <w:szCs w:val="20"/>
          <w:lang w:val="en-GB"/>
        </w:rPr>
        <w:t xml:space="preserve">Properties </w:t>
      </w:r>
      <w:r w:rsidR="0077328A" w:rsidRPr="00560D34">
        <w:rPr>
          <w:rFonts w:ascii="Times New Roman" w:eastAsia="Calibri" w:hAnsi="Times New Roman" w:cs="Times New Roman"/>
          <w:b/>
          <w:bCs/>
          <w:sz w:val="20"/>
          <w:szCs w:val="20"/>
          <w:lang w:val="en-GB"/>
        </w:rPr>
        <w:t xml:space="preserve">of the </w:t>
      </w:r>
      <w:r w:rsidRPr="00560D34">
        <w:rPr>
          <w:rFonts w:ascii="Times New Roman" w:eastAsia="Calibri" w:hAnsi="Times New Roman" w:cs="Times New Roman"/>
          <w:b/>
          <w:bCs/>
          <w:sz w:val="20"/>
          <w:szCs w:val="20"/>
          <w:lang w:val="en-GB"/>
        </w:rPr>
        <w:t>Breakfast Meal Gruels</w:t>
      </w:r>
    </w:p>
    <w:p w14:paraId="7332F524"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262D0F3B" w14:textId="2D81769D"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sensory evaluation results in Table 4 show differences in consumer preference among the formulated breakfast gruels, with processing methods (fermentation and germination/sprouting) and ingredient combinations exerting significant influence (p &lt; 0.05) on key attributes.</w:t>
      </w:r>
    </w:p>
    <w:p w14:paraId="5AB02DD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29AE221A" w14:textId="749EC124"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3.3.5 </w:t>
      </w:r>
      <w:r w:rsidR="0077328A" w:rsidRPr="00560D34">
        <w:rPr>
          <w:rFonts w:ascii="Times New Roman" w:eastAsia="Calibri" w:hAnsi="Times New Roman" w:cs="Times New Roman"/>
          <w:b/>
          <w:szCs w:val="20"/>
        </w:rPr>
        <w:t>Appearance</w:t>
      </w:r>
    </w:p>
    <w:p w14:paraId="1A0DF5E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185F06DB" w14:textId="294477C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Appearance scores showed significant differences (p &lt; 0.05) among the samples. FM, FMSBD and GFMSBD recorded the highest and statistically similar scores (8.35-8.45), suggesting that fermentation and sprouting </w:t>
      </w:r>
      <w:r>
        <w:rPr>
          <w:rFonts w:ascii="Times New Roman" w:hAnsi="Times New Roman"/>
          <w:sz w:val="20"/>
          <w:highlight w:val="yellow"/>
        </w:rPr>
        <w:lastRenderedPageBreak/>
        <w:t xml:space="preserve">enhanced the visual appeal of the products. These processing techniques are known to improve </w:t>
      </w:r>
      <w:proofErr w:type="spellStart"/>
      <w:r>
        <w:rPr>
          <w:rFonts w:ascii="Times New Roman" w:hAnsi="Times New Roman"/>
          <w:sz w:val="20"/>
          <w:highlight w:val="yellow"/>
        </w:rPr>
        <w:t>colour</w:t>
      </w:r>
      <w:proofErr w:type="spellEnd"/>
      <w:r>
        <w:rPr>
          <w:rFonts w:ascii="Times New Roman" w:hAnsi="Times New Roman"/>
          <w:sz w:val="20"/>
          <w:highlight w:val="yellow"/>
        </w:rPr>
        <w:t xml:space="preserve"> uniformity and surface characteristics of cereal-legume blends, thereby increasing consumer appeal (Akeem et al., 2018; Nkhata et al., 2018). Germination is known to improve grain pigmentation and </w:t>
      </w:r>
      <w:proofErr w:type="spellStart"/>
      <w:r>
        <w:rPr>
          <w:rFonts w:ascii="Times New Roman" w:hAnsi="Times New Roman"/>
          <w:sz w:val="20"/>
          <w:highlight w:val="yellow"/>
        </w:rPr>
        <w:t>colour</w:t>
      </w:r>
      <w:proofErr w:type="spellEnd"/>
      <w:r>
        <w:rPr>
          <w:rFonts w:ascii="Times New Roman" w:hAnsi="Times New Roman"/>
          <w:sz w:val="20"/>
          <w:highlight w:val="yellow"/>
        </w:rPr>
        <w:t xml:space="preserve"> uniformity through enzymatic activities that influence browning and starch degradation (</w:t>
      </w:r>
      <w:proofErr w:type="spellStart"/>
      <w:r>
        <w:rPr>
          <w:rFonts w:ascii="Times New Roman" w:hAnsi="Times New Roman"/>
          <w:sz w:val="20"/>
          <w:highlight w:val="yellow"/>
        </w:rPr>
        <w:t>Ojokoh</w:t>
      </w:r>
      <w:proofErr w:type="spellEnd"/>
      <w:r>
        <w:rPr>
          <w:rFonts w:ascii="Times New Roman" w:hAnsi="Times New Roman"/>
          <w:sz w:val="20"/>
          <w:highlight w:val="yellow"/>
        </w:rPr>
        <w:t xml:space="preserve"> et al., 2020). By contrast, FMNSBD and GFMNSBD had significantly lower appearance scores (7.40), which may be attributed to the inclusion of non-sprouted kidney beans that could have imparted darker </w:t>
      </w:r>
      <w:proofErr w:type="spellStart"/>
      <w:r>
        <w:rPr>
          <w:rFonts w:ascii="Times New Roman" w:hAnsi="Times New Roman"/>
          <w:sz w:val="20"/>
          <w:highlight w:val="yellow"/>
        </w:rPr>
        <w:t>colouration</w:t>
      </w:r>
      <w:proofErr w:type="spellEnd"/>
      <w:r>
        <w:rPr>
          <w:rFonts w:ascii="Times New Roman" w:hAnsi="Times New Roman"/>
          <w:sz w:val="20"/>
          <w:highlight w:val="yellow"/>
        </w:rPr>
        <w:t>, reducing visual attractiveness. Similar patterns were reported in legume-fortified cereals (</w:t>
      </w:r>
      <w:proofErr w:type="spellStart"/>
      <w:r>
        <w:rPr>
          <w:rFonts w:ascii="Times New Roman" w:hAnsi="Times New Roman"/>
          <w:sz w:val="20"/>
          <w:highlight w:val="yellow"/>
        </w:rPr>
        <w:t>Ocheme</w:t>
      </w:r>
      <w:proofErr w:type="spellEnd"/>
      <w:r>
        <w:rPr>
          <w:rFonts w:ascii="Times New Roman" w:hAnsi="Times New Roman"/>
          <w:sz w:val="20"/>
          <w:highlight w:val="yellow"/>
        </w:rPr>
        <w:t xml:space="preserve"> et al., 2018). Nonetheless, all appearance scores remained within acceptable limits.</w:t>
      </w:r>
    </w:p>
    <w:p w14:paraId="42B31230"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96B702" w14:textId="744D1A7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3.3.6 </w:t>
      </w:r>
      <w:r w:rsidR="0077328A" w:rsidRPr="00560D34">
        <w:rPr>
          <w:rFonts w:ascii="Times New Roman" w:eastAsia="Calibri" w:hAnsi="Times New Roman" w:cs="Times New Roman"/>
          <w:b/>
          <w:szCs w:val="20"/>
        </w:rPr>
        <w:t>Aroma</w:t>
      </w:r>
    </w:p>
    <w:p w14:paraId="07710907"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00F78B17" w14:textId="5939AA2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No significant differences (p &gt; 0.05) were observed in aroma among the samples, with scores ranging from 7.36 to 7.70. Fermentation is known to enhance aroma through the production of organic acids and volatile aromatic compounds (Akeem et al., 2018). Samples containing black kidney beans had slightly reduced aroma scores, likely due to inherent beany volatiles associated with legumes. Sprouting decreases lipoxygenase activity responsible for beany </w:t>
      </w:r>
      <w:proofErr w:type="spellStart"/>
      <w:r>
        <w:rPr>
          <w:rFonts w:ascii="Times New Roman" w:hAnsi="Times New Roman"/>
          <w:sz w:val="20"/>
          <w:highlight w:val="yellow"/>
        </w:rPr>
        <w:t>odour</w:t>
      </w:r>
      <w:proofErr w:type="spellEnd"/>
      <w:r>
        <w:rPr>
          <w:rFonts w:ascii="Times New Roman" w:hAnsi="Times New Roman"/>
          <w:sz w:val="20"/>
          <w:highlight w:val="yellow"/>
        </w:rPr>
        <w:t xml:space="preserve"> (Shimelis &amp; Rakshit, 2007), although traces may remain detectable. The overall aroma acceptability aligns with previous findings that cereal-legume blends maintain moderate to high aroma acceptability despite legume inclusion (Babarinde et al., 2020).</w:t>
      </w:r>
    </w:p>
    <w:p w14:paraId="060C43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39FB025" w14:textId="587B23C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3.3.7 </w:t>
      </w:r>
      <w:r w:rsidR="0077328A" w:rsidRPr="00560D34">
        <w:rPr>
          <w:rFonts w:ascii="Times New Roman" w:eastAsia="Calibri" w:hAnsi="Times New Roman" w:cs="Times New Roman"/>
          <w:b/>
          <w:szCs w:val="20"/>
        </w:rPr>
        <w:t>Taste</w:t>
      </w:r>
    </w:p>
    <w:p w14:paraId="22E7646C"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355D87" w14:textId="03A59C03"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Taste scores did not differ significantly (p &gt; 0.05) among the samples, ranging from 7.41 to 7.93, with FM rated highest. Fermentation enhances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by reducing bitterness and increasing the perception of sweetness through organic acid formation and starch hydrolysis (Capuano et al., 2018). Bean-containing samples remained acceptable, partly due to the natural sweetness of date flour, which can mask beany </w:t>
      </w:r>
      <w:proofErr w:type="spellStart"/>
      <w:r>
        <w:rPr>
          <w:rFonts w:ascii="Times New Roman" w:hAnsi="Times New Roman"/>
          <w:sz w:val="20"/>
          <w:highlight w:val="yellow"/>
        </w:rPr>
        <w:t>flavours</w:t>
      </w:r>
      <w:proofErr w:type="spellEnd"/>
      <w:r>
        <w:rPr>
          <w:rFonts w:ascii="Times New Roman" w:hAnsi="Times New Roman"/>
          <w:sz w:val="20"/>
          <w:highlight w:val="yellow"/>
        </w:rPr>
        <w:t xml:space="preserve"> (Al-Farsi &amp; Lee, 2008). Similar studies by Akeem et al. (2018) have shown that adding fruit-based sweeteners improves the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profile of cereal/legume products.</w:t>
      </w:r>
    </w:p>
    <w:p w14:paraId="035EBE7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A51BA1A" w14:textId="0A4C5B1F"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3.3.8 </w:t>
      </w:r>
      <w:r w:rsidR="0077328A" w:rsidRPr="00560D34">
        <w:rPr>
          <w:rFonts w:ascii="Times New Roman" w:eastAsia="Calibri" w:hAnsi="Times New Roman" w:cs="Times New Roman"/>
          <w:b/>
          <w:szCs w:val="20"/>
        </w:rPr>
        <w:t>Consistency</w:t>
      </w:r>
    </w:p>
    <w:p w14:paraId="5E9FFEA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5C5D6686" w14:textId="4EC4DD6D"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There were significant differences (p &lt; 0.05) in consistency among the samples. GFMNSBD had the highest consistency rating, indicating that germination improved viscosity and texture by increasing soluble sugars and modifying starch structure (Mucheru-Muna et al., 2010; Singh et al., 2017). The lowest consistency in FMSBD may be linked to the combined effects of fermentation and sprouting, both of which reduce starch content and gel strength due to enzymatic hydrolysis (</w:t>
      </w:r>
      <w:proofErr w:type="spellStart"/>
      <w:r>
        <w:rPr>
          <w:rFonts w:ascii="Times New Roman" w:hAnsi="Times New Roman"/>
          <w:sz w:val="20"/>
          <w:highlight w:val="yellow"/>
        </w:rPr>
        <w:t>Adejuwon</w:t>
      </w:r>
      <w:proofErr w:type="spellEnd"/>
      <w:r>
        <w:rPr>
          <w:rFonts w:ascii="Times New Roman" w:hAnsi="Times New Roman"/>
          <w:sz w:val="20"/>
          <w:highlight w:val="yellow"/>
        </w:rPr>
        <w:t xml:space="preserve"> et al., 2021). Similar reductions in viscosity were reported in cereal porridges enriched with sprouted legumes (</w:t>
      </w:r>
      <w:proofErr w:type="spellStart"/>
      <w:r>
        <w:rPr>
          <w:rFonts w:ascii="Times New Roman" w:hAnsi="Times New Roman"/>
          <w:sz w:val="20"/>
          <w:highlight w:val="yellow"/>
        </w:rPr>
        <w:t>Adejuwon</w:t>
      </w:r>
      <w:proofErr w:type="spellEnd"/>
      <w:r>
        <w:rPr>
          <w:rFonts w:ascii="Times New Roman" w:hAnsi="Times New Roman"/>
          <w:sz w:val="20"/>
          <w:highlight w:val="yellow"/>
        </w:rPr>
        <w:t xml:space="preserve"> et al., 2021).</w:t>
      </w:r>
    </w:p>
    <w:p w14:paraId="716F77E9"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06331A92" w14:textId="28BFE950"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3.3.9 </w:t>
      </w:r>
      <w:r w:rsidR="0077328A" w:rsidRPr="00560D34">
        <w:rPr>
          <w:rFonts w:ascii="Times New Roman" w:eastAsia="Calibri" w:hAnsi="Times New Roman" w:cs="Times New Roman"/>
          <w:b/>
          <w:szCs w:val="20"/>
        </w:rPr>
        <w:t>Overall Acceptability</w:t>
      </w:r>
    </w:p>
    <w:p w14:paraId="53CBA0FA"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718EF820" w14:textId="3279BD3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Overall acceptability scores ranged from 7.39 to 8.77, with GFMSBD being the most preferred formulation. The high score indicates that germinated/fermented maize combined with sprouted beans and date flour achieved a desirable balance of taste, appearance and texture. Although GFMNSBD was the least preferred, it still achieved a rating above 7.0, consistent with observations that sensory acceptability is often moderated by processing-induced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and textural changes (Nwosu et al., 2014), which support previous findings that </w:t>
      </w:r>
      <w:proofErr w:type="spellStart"/>
      <w:r>
        <w:rPr>
          <w:rFonts w:ascii="Times New Roman" w:hAnsi="Times New Roman"/>
          <w:sz w:val="20"/>
          <w:highlight w:val="yellow"/>
        </w:rPr>
        <w:t>optimising</w:t>
      </w:r>
      <w:proofErr w:type="spellEnd"/>
      <w:r>
        <w:rPr>
          <w:rFonts w:ascii="Times New Roman" w:hAnsi="Times New Roman"/>
          <w:sz w:val="20"/>
          <w:highlight w:val="yellow"/>
        </w:rPr>
        <w:t xml:space="preserve"> cereal-legume blends through fermentation, germination and natural sweeteners can enhance consumer acceptability (</w:t>
      </w:r>
      <w:proofErr w:type="spellStart"/>
      <w:r>
        <w:rPr>
          <w:rFonts w:ascii="Times New Roman" w:hAnsi="Times New Roman"/>
          <w:sz w:val="20"/>
          <w:highlight w:val="yellow"/>
        </w:rPr>
        <w:t>Otegbayo</w:t>
      </w:r>
      <w:proofErr w:type="spellEnd"/>
      <w:r>
        <w:rPr>
          <w:rFonts w:ascii="Times New Roman" w:hAnsi="Times New Roman"/>
          <w:sz w:val="20"/>
          <w:highlight w:val="yellow"/>
        </w:rPr>
        <w:t xml:space="preserve"> et al., 2018).</w:t>
      </w:r>
    </w:p>
    <w:p w14:paraId="035C5321"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4D1E075" w14:textId="2C847E5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Furthermore, all formulations recorded sensory scores above 7.0 across all attributes, indicating general consumer acceptance, consistent with findings that cereal-legume blends enhanced with natural sweeteners maintain acceptable sensory quality (Adebowale et al., 2025; Bakare et al., 2020). The GFMSBD formulation was the most acceptable sample, demonstrating the positive synergy of fermentation/germination and the use of sprouted beans in breakfast meal formulation.</w:t>
      </w:r>
    </w:p>
    <w:p w14:paraId="71EF145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7D8AA6A2" w14:textId="73E51227" w:rsidR="009D08C1" w:rsidRDefault="009D08C1" w:rsidP="00EF3E1B">
      <w:pPr>
        <w:pStyle w:val="isselectedend"/>
        <w:jc w:val="both"/>
      </w:pPr>
      <w:r>
        <w:rPr>
          <w:rStyle w:val="Strong"/>
        </w:rPr>
        <w:t>Conclusions</w:t>
      </w:r>
      <w:r>
        <w:br/>
      </w:r>
      <w:r w:rsidR="00EF3E1B">
        <w:t xml:space="preserve">This study demonstrated that fermentation and germination are effective methods for enhancing the quality of breakfast meal flour blends made from maize, black kidney beans, and date fruits. Using both sprouted and non-sprouted beans, along with date flour, improved the </w:t>
      </w:r>
      <w:r w:rsidR="00EF3E1B">
        <w:lastRenderedPageBreak/>
        <w:t>blends’ functional, pasting, microbial, and sensory properties. 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children and vulnerable groups. Germination and fermentation also altered starch properties, lowering viscosities and improving digestibility. This allows for higher nutrient concentrations in foods for infants or those at risk of malnutrition without making them too thick. Microbiological tests confirmed that all blends were safe to eat, with low bacteria and fungi levels and no coliforms. This safety is linked to fermentation’s antimicrobial effects, proper drying, and good hygiene during processing. Sensory evaluations showed all products were well-liked in terms of appearance, aroma, taste, and texture. The blend with germinated/fermented maize, sprouted black kidney bean, and date flour (GFMSBD) stood out for its high acceptability and quality. GFMSBD was the top performer, showing the potential of local ingredients to reduce reliance on imports and improve food security in developing regions. The study recommends fermentation and germination as affordable, sustainable ways to create enriched breakfast foods.</w:t>
      </w:r>
    </w:p>
    <w:p w14:paraId="4B278C36" w14:textId="77777777" w:rsidR="009D08C1" w:rsidRDefault="009D08C1" w:rsidP="009D08C1">
      <w:pPr>
        <w:pStyle w:val="NormalWeb"/>
      </w:pPr>
      <w:r>
        <w:rPr>
          <w:rStyle w:val="Strong"/>
        </w:rPr>
        <w:t>Limitation</w:t>
      </w:r>
      <w:r>
        <w:br/>
        <w:t>The study was limited to selected maize–black kidney bean–date flour formulations and did not assess nutrient bioavailability, antinutrient reduction, shelf-life stability, packaging performance or cost analysis during storage and scale-up. The sensory evaluation was based on the tested gruel preparations and may not fully represent consumer responses across wider populations or preparation methods.</w:t>
      </w:r>
    </w:p>
    <w:p w14:paraId="6986F9FD" w14:textId="74F3D9D1" w:rsidR="00EE3544" w:rsidRPr="00560D34" w:rsidRDefault="00EE3544" w:rsidP="00EE3544">
      <w:pPr>
        <w:spacing w:after="0" w:line="240" w:lineRule="auto"/>
        <w:contextualSpacing/>
        <w:jc w:val="both"/>
        <w:rPr>
          <w:rFonts w:ascii="Times New Roman" w:eastAsia="Times New Roman" w:hAnsi="Times New Roman" w:cs="Times New Roman"/>
          <w:bCs/>
          <w:iCs/>
          <w:sz w:val="14"/>
          <w:szCs w:val="16"/>
        </w:rPr>
      </w:pPr>
    </w:p>
    <w:p w14:paraId="2DB835F4" w14:textId="77777777" w:rsidR="00724F4F" w:rsidRPr="00724F4F" w:rsidRDefault="00724F4F" w:rsidP="00724F4F">
      <w:pPr>
        <w:spacing w:after="160" w:line="278" w:lineRule="auto"/>
        <w:rPr>
          <w:rFonts w:ascii="Calibri" w:eastAsia="Calibri" w:hAnsi="Calibri" w:cs="Times New Roman"/>
          <w:b/>
          <w:bCs/>
          <w:kern w:val="2"/>
          <w:sz w:val="24"/>
          <w:szCs w:val="24"/>
          <w14:ligatures w14:val="standardContextual"/>
        </w:rPr>
      </w:pPr>
      <w:r w:rsidRPr="00724F4F">
        <w:rPr>
          <w:rFonts w:ascii="Calibri" w:eastAsia="Calibri" w:hAnsi="Calibri" w:cs="Times New Roman"/>
          <w:b/>
          <w:bCs/>
          <w:kern w:val="2"/>
          <w:sz w:val="24"/>
          <w:szCs w:val="24"/>
          <w14:ligatures w14:val="standardContextual"/>
        </w:rPr>
        <w:t>Declaration of AI Use</w:t>
      </w:r>
    </w:p>
    <w:p w14:paraId="0EFAA783" w14:textId="77777777" w:rsidR="00724F4F" w:rsidRPr="00724F4F" w:rsidRDefault="00724F4F" w:rsidP="00724F4F">
      <w:pPr>
        <w:spacing w:after="160" w:line="278" w:lineRule="auto"/>
        <w:jc w:val="both"/>
        <w:rPr>
          <w:rFonts w:ascii="Calibri" w:eastAsia="Calibri" w:hAnsi="Calibri" w:cs="Times New Roman"/>
          <w:kern w:val="2"/>
          <w:sz w:val="24"/>
          <w:szCs w:val="24"/>
          <w14:ligatures w14:val="standardContextual"/>
        </w:rPr>
      </w:pPr>
      <w:r w:rsidRPr="00724F4F">
        <w:rPr>
          <w:rFonts w:ascii="Calibri" w:eastAsia="Calibri" w:hAnsi="Calibri" w:cs="Times New Roman"/>
          <w:kern w:val="2"/>
          <w:sz w:val="24"/>
          <w:szCs w:val="24"/>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A8341F"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p>
    <w:p w14:paraId="1A61CA66" w14:textId="28D059EA" w:rsidR="00B65653" w:rsidRPr="00560D34" w:rsidRDefault="00ED4643" w:rsidP="00B65653">
      <w:pPr>
        <w:pStyle w:val="ReferHead"/>
        <w:spacing w:after="0"/>
        <w:jc w:val="both"/>
        <w:rPr>
          <w:rFonts w:ascii="Times New Roman" w:hAnsi="Times New Roman"/>
          <w:bCs/>
        </w:rPr>
      </w:pPr>
      <w:r w:rsidRPr="00560D34">
        <w:rPr>
          <w:rFonts w:ascii="Times New Roman" w:hAnsi="Times New Roman"/>
          <w:bCs/>
          <w:caps w:val="0"/>
        </w:rPr>
        <w:t>Competing Interests</w:t>
      </w:r>
    </w:p>
    <w:p w14:paraId="349E5923" w14:textId="77777777" w:rsidR="00B65653" w:rsidRPr="00560D34" w:rsidRDefault="00B65653" w:rsidP="00B65653">
      <w:pPr>
        <w:pStyle w:val="ReferHead"/>
        <w:spacing w:after="0"/>
        <w:rPr>
          <w:rFonts w:ascii="Times New Roman" w:hAnsi="Times New Roman"/>
        </w:rPr>
      </w:pPr>
    </w:p>
    <w:p w14:paraId="39CE6264" w14:textId="77777777" w:rsidR="00B65653" w:rsidRPr="00560D34" w:rsidRDefault="00B65653" w:rsidP="00B65653">
      <w:pPr>
        <w:pStyle w:val="ReferHead"/>
        <w:spacing w:after="0"/>
        <w:jc w:val="both"/>
        <w:rPr>
          <w:rFonts w:ascii="Times New Roman" w:hAnsi="Times New Roman"/>
          <w:b w:val="0"/>
          <w:caps w:val="0"/>
          <w:sz w:val="20"/>
        </w:rPr>
      </w:pPr>
      <w:r>
        <w:rPr>
          <w:rFonts w:ascii="Times New Roman" w:hAnsi="Times New Roman"/>
          <w:b w:val="0"/>
          <w:sz w:val="20"/>
          <w:highlight w:val="yellow"/>
        </w:rPr>
        <w:t>The authors declare that no competing interests exist.</w:t>
      </w:r>
    </w:p>
    <w:p w14:paraId="3DA16587"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3C0C5A8" w14:textId="2D94D1DB" w:rsidR="007E1ABC" w:rsidRPr="00560D34" w:rsidRDefault="00FF7203" w:rsidP="00246A63">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References</w:t>
      </w:r>
    </w:p>
    <w:p w14:paraId="456BA129"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83A37DB"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Abera, S., Yohannes, W., &amp; </w:t>
      </w:r>
      <w:proofErr w:type="spellStart"/>
      <w:r w:rsidRPr="00093EDF">
        <w:rPr>
          <w:rFonts w:ascii="Arial" w:eastAsia="Calibri" w:hAnsi="Arial" w:cs="Times New Roman"/>
          <w:kern w:val="2"/>
          <w:sz w:val="20"/>
          <w14:ligatures w14:val="standardContextual"/>
        </w:rPr>
        <w:t>Chandravanshi</w:t>
      </w:r>
      <w:proofErr w:type="spellEnd"/>
      <w:r w:rsidRPr="00093EDF">
        <w:rPr>
          <w:rFonts w:ascii="Arial" w:eastAsia="Calibri" w:hAnsi="Arial" w:cs="Times New Roman"/>
          <w:kern w:val="2"/>
          <w:sz w:val="20"/>
          <w14:ligatures w14:val="standardContextual"/>
        </w:rPr>
        <w:t xml:space="preserve">, B. S. (2023). Effect of processing methods on antinutritional factors (oxalate, phytate, and tannin) and their interaction with minerals (calcium, iron, and zinc) in red, white, and black kidney beans. </w:t>
      </w:r>
      <w:r w:rsidRPr="00093EDF">
        <w:rPr>
          <w:rFonts w:ascii="Arial" w:eastAsia="Calibri" w:hAnsi="Arial" w:cs="Times New Roman"/>
          <w:i/>
          <w:iCs/>
          <w:kern w:val="2"/>
          <w:sz w:val="20"/>
          <w14:ligatures w14:val="standardContextual"/>
        </w:rPr>
        <w:t>International Journal of Analytical Chemistry, 2023</w:t>
      </w:r>
      <w:r w:rsidRPr="00093EDF">
        <w:rPr>
          <w:rFonts w:ascii="Arial" w:eastAsia="Calibri" w:hAnsi="Arial" w:cs="Times New Roman"/>
          <w:kern w:val="2"/>
          <w:sz w:val="20"/>
          <w14:ligatures w14:val="standardContextual"/>
        </w:rPr>
        <w:t xml:space="preserve">, 6762027. </w:t>
      </w:r>
      <w:hyperlink r:id="rId10" w:tgtFrame="_new" w:history="1">
        <w:r w:rsidRPr="00093EDF">
          <w:rPr>
            <w:rFonts w:ascii="Arial" w:eastAsia="Calibri" w:hAnsi="Arial" w:cs="Times New Roman"/>
            <w:color w:val="0563C1"/>
            <w:kern w:val="2"/>
            <w:sz w:val="20"/>
            <w:u w:val="single"/>
            <w14:ligatures w14:val="standardContextual"/>
          </w:rPr>
          <w:t>https://doi.org/10.1155/2023/6762027</w:t>
        </w:r>
      </w:hyperlink>
    </w:p>
    <w:p w14:paraId="6C7DBEAC"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Abiodun Victor Ikujenlola, A. V., &amp; </w:t>
      </w:r>
      <w:proofErr w:type="spellStart"/>
      <w:r w:rsidRPr="00093EDF">
        <w:rPr>
          <w:rFonts w:ascii="Arial" w:eastAsia="Calibri" w:hAnsi="Arial" w:cs="Times New Roman"/>
          <w:kern w:val="2"/>
          <w:sz w:val="20"/>
          <w14:ligatures w14:val="standardContextual"/>
        </w:rPr>
        <w:t>Iwayemi</w:t>
      </w:r>
      <w:proofErr w:type="spellEnd"/>
      <w:r w:rsidRPr="00093EDF">
        <w:rPr>
          <w:rFonts w:ascii="Arial" w:eastAsia="Calibri" w:hAnsi="Arial" w:cs="Times New Roman"/>
          <w:kern w:val="2"/>
          <w:sz w:val="20"/>
          <w14:ligatures w14:val="standardContextual"/>
        </w:rPr>
        <w:t xml:space="preserve">, E. F. (2025). Nutritional quality of complementary food made from malted-fermented sorghum and soybean flour blends. </w:t>
      </w:r>
      <w:r w:rsidRPr="00093EDF">
        <w:rPr>
          <w:rFonts w:ascii="Arial" w:eastAsia="Calibri" w:hAnsi="Arial" w:cs="Times New Roman"/>
          <w:i/>
          <w:iCs/>
          <w:kern w:val="2"/>
          <w:sz w:val="20"/>
          <w14:ligatures w14:val="standardContextual"/>
        </w:rPr>
        <w:t xml:space="preserve">Acta Universitatis </w:t>
      </w:r>
      <w:proofErr w:type="spellStart"/>
      <w:r w:rsidRPr="00093EDF">
        <w:rPr>
          <w:rFonts w:ascii="Arial" w:eastAsia="Calibri" w:hAnsi="Arial" w:cs="Times New Roman"/>
          <w:i/>
          <w:iCs/>
          <w:kern w:val="2"/>
          <w:sz w:val="20"/>
          <w14:ligatures w14:val="standardContextual"/>
        </w:rPr>
        <w:t>Cibiniensis</w:t>
      </w:r>
      <w:proofErr w:type="spellEnd"/>
      <w:r w:rsidRPr="00093EDF">
        <w:rPr>
          <w:rFonts w:ascii="Arial" w:eastAsia="Calibri" w:hAnsi="Arial" w:cs="Times New Roman"/>
          <w:i/>
          <w:iCs/>
          <w:kern w:val="2"/>
          <w:sz w:val="20"/>
          <w14:ligatures w14:val="standardContextual"/>
        </w:rPr>
        <w:t xml:space="preserve"> Series </w:t>
      </w:r>
      <w:r w:rsidRPr="00093EDF">
        <w:rPr>
          <w:rFonts w:ascii="Arial" w:eastAsia="Calibri" w:hAnsi="Arial" w:cs="Times New Roman"/>
          <w:i/>
          <w:iCs/>
          <w:kern w:val="2"/>
          <w:sz w:val="20"/>
          <w14:ligatures w14:val="standardContextual"/>
        </w:rPr>
        <w:lastRenderedPageBreak/>
        <w:t>E: Food Technology, 29</w:t>
      </w:r>
      <w:r w:rsidRPr="00093EDF">
        <w:rPr>
          <w:rFonts w:ascii="Arial" w:eastAsia="Calibri" w:hAnsi="Arial" w:cs="Times New Roman"/>
          <w:kern w:val="2"/>
          <w:sz w:val="20"/>
          <w14:ligatures w14:val="standardContextual"/>
        </w:rPr>
        <w:t xml:space="preserve">(1), 29–42. </w:t>
      </w:r>
      <w:hyperlink r:id="rId11" w:tgtFrame="_new" w:history="1">
        <w:r w:rsidRPr="00093EDF">
          <w:rPr>
            <w:rFonts w:ascii="Arial" w:eastAsia="Calibri" w:hAnsi="Arial" w:cs="Times New Roman"/>
            <w:color w:val="0563C1"/>
            <w:kern w:val="2"/>
            <w:sz w:val="20"/>
            <w:u w:val="single"/>
            <w14:ligatures w14:val="standardContextual"/>
          </w:rPr>
          <w:t>https://sciendo.com/2/v2/download/article/10.2478/aucft-2025-0002.pdf</w:t>
        </w:r>
      </w:hyperlink>
    </w:p>
    <w:p w14:paraId="2F08BEE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Adebiyi, F. G., Adediran, K. I., Olaoye, O. A., </w:t>
      </w:r>
      <w:proofErr w:type="spellStart"/>
      <w:r w:rsidRPr="00093EDF">
        <w:rPr>
          <w:rFonts w:ascii="Arial" w:eastAsia="Calibri" w:hAnsi="Arial" w:cs="Times New Roman"/>
          <w:kern w:val="2"/>
          <w:sz w:val="20"/>
          <w14:ligatures w14:val="standardContextual"/>
        </w:rPr>
        <w:t>Mosuro</w:t>
      </w:r>
      <w:proofErr w:type="spellEnd"/>
      <w:r w:rsidRPr="00093EDF">
        <w:rPr>
          <w:rFonts w:ascii="Arial" w:eastAsia="Calibri" w:hAnsi="Arial" w:cs="Times New Roman"/>
          <w:kern w:val="2"/>
          <w:sz w:val="20"/>
          <w14:ligatures w14:val="standardContextual"/>
        </w:rPr>
        <w:t xml:space="preserve">, A. O., Olaomi, O. A., &amp; </w:t>
      </w:r>
      <w:proofErr w:type="spellStart"/>
      <w:r w:rsidRPr="00093EDF">
        <w:rPr>
          <w:rFonts w:ascii="Arial" w:eastAsia="Calibri" w:hAnsi="Arial" w:cs="Times New Roman"/>
          <w:kern w:val="2"/>
          <w:sz w:val="20"/>
          <w14:ligatures w14:val="standardContextual"/>
        </w:rPr>
        <w:t>Ogunwole</w:t>
      </w:r>
      <w:proofErr w:type="spellEnd"/>
      <w:r w:rsidRPr="00093EDF">
        <w:rPr>
          <w:rFonts w:ascii="Arial" w:eastAsia="Calibri" w:hAnsi="Arial" w:cs="Times New Roman"/>
          <w:kern w:val="2"/>
          <w:sz w:val="20"/>
          <w14:ligatures w14:val="standardContextual"/>
        </w:rPr>
        <w:t xml:space="preserve">, O. A. (2021). Biological evaluation of cereals and legumes weaning blends for infant weaning food. </w:t>
      </w:r>
      <w:r w:rsidRPr="00093EDF">
        <w:rPr>
          <w:rFonts w:ascii="Arial" w:eastAsia="Calibri" w:hAnsi="Arial" w:cs="Times New Roman"/>
          <w:i/>
          <w:iCs/>
          <w:kern w:val="2"/>
          <w:sz w:val="20"/>
          <w14:ligatures w14:val="standardContextual"/>
        </w:rPr>
        <w:t>Food and Public Health, 11</w:t>
      </w:r>
      <w:r w:rsidRPr="00093EDF">
        <w:rPr>
          <w:rFonts w:ascii="Arial" w:eastAsia="Calibri" w:hAnsi="Arial" w:cs="Times New Roman"/>
          <w:kern w:val="2"/>
          <w:sz w:val="20"/>
          <w14:ligatures w14:val="standardContextual"/>
        </w:rPr>
        <w:t xml:space="preserve">(2), 44–52. </w:t>
      </w:r>
      <w:hyperlink r:id="rId12" w:tgtFrame="_new" w:history="1">
        <w:r w:rsidRPr="00093EDF">
          <w:rPr>
            <w:rFonts w:ascii="Arial" w:eastAsia="Calibri" w:hAnsi="Arial" w:cs="Times New Roman"/>
            <w:color w:val="0563C1"/>
            <w:kern w:val="2"/>
            <w:sz w:val="20"/>
            <w:u w:val="single"/>
            <w14:ligatures w14:val="standardContextual"/>
          </w:rPr>
          <w:t>https://doi.org/10.5923/j.fph.20211102.02</w:t>
        </w:r>
      </w:hyperlink>
    </w:p>
    <w:p w14:paraId="7D90657A" w14:textId="77777777"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Adebo, J. A., Berka </w:t>
      </w:r>
      <w:proofErr w:type="spellStart"/>
      <w:r w:rsidRPr="00093EDF">
        <w:rPr>
          <w:rFonts w:ascii="Arial" w:eastAsia="Calibri" w:hAnsi="Arial" w:cs="Times New Roman"/>
          <w:kern w:val="2"/>
          <w:sz w:val="20"/>
          <w14:ligatures w14:val="standardContextual"/>
        </w:rPr>
        <w:t>Njobeh</w:t>
      </w:r>
      <w:proofErr w:type="spellEnd"/>
      <w:r w:rsidRPr="00093EDF">
        <w:rPr>
          <w:rFonts w:ascii="Arial" w:eastAsia="Calibri" w:hAnsi="Arial" w:cs="Times New Roman"/>
          <w:kern w:val="2"/>
          <w:sz w:val="20"/>
          <w14:ligatures w14:val="standardContextual"/>
        </w:rPr>
        <w:t xml:space="preserve">, P., Gbashi, S., Oyedeji, A. B., Mayowa Ogundele, O., </w:t>
      </w:r>
      <w:proofErr w:type="spellStart"/>
      <w:r w:rsidRPr="00093EDF">
        <w:rPr>
          <w:rFonts w:ascii="Arial" w:eastAsia="Calibri" w:hAnsi="Arial" w:cs="Times New Roman"/>
          <w:kern w:val="2"/>
          <w:sz w:val="20"/>
          <w14:ligatures w14:val="standardContextual"/>
        </w:rPr>
        <w:t>Oyeyinka</w:t>
      </w:r>
      <w:proofErr w:type="spellEnd"/>
      <w:r w:rsidRPr="00093EDF">
        <w:rPr>
          <w:rFonts w:ascii="Arial" w:eastAsia="Calibri" w:hAnsi="Arial" w:cs="Times New Roman"/>
          <w:kern w:val="2"/>
          <w:sz w:val="20"/>
          <w14:ligatures w14:val="standardContextual"/>
        </w:rPr>
        <w:t xml:space="preserve">, S. A., &amp; Adebo, O. A. (2022). </w:t>
      </w:r>
      <w:r w:rsidRPr="00093EDF">
        <w:rPr>
          <w:rFonts w:ascii="Arial" w:eastAsia="Calibri" w:hAnsi="Arial" w:cs="Times New Roman"/>
          <w:kern w:val="2"/>
          <w:sz w:val="20"/>
          <w:lang w:val="pt-BR"/>
          <w14:ligatures w14:val="standardContextual"/>
        </w:rPr>
        <w:t xml:space="preserve">Fermentation des céréales et des légumineuses: Impact sur les constituants nutritionnels et la biodisponibilité des nutriments. </w:t>
      </w:r>
      <w:r w:rsidRPr="00093EDF">
        <w:rPr>
          <w:rFonts w:ascii="Arial" w:eastAsia="Calibri" w:hAnsi="Arial" w:cs="Times New Roman"/>
          <w:i/>
          <w:iCs/>
          <w:kern w:val="2"/>
          <w:sz w:val="20"/>
          <w:lang w:val="nb-NO"/>
          <w14:ligatures w14:val="standardContextual"/>
        </w:rPr>
        <w:t>Fermentation, 8</w:t>
      </w:r>
      <w:r w:rsidRPr="00093EDF">
        <w:rPr>
          <w:rFonts w:ascii="Arial" w:eastAsia="Calibri" w:hAnsi="Arial" w:cs="Times New Roman"/>
          <w:kern w:val="2"/>
          <w:sz w:val="20"/>
          <w:lang w:val="nb-NO"/>
          <w14:ligatures w14:val="standardContextual"/>
        </w:rPr>
        <w:t xml:space="preserve">(2), 63. </w:t>
      </w:r>
      <w:r>
        <w:fldChar w:fldCharType="begin"/>
      </w:r>
      <w:r>
        <w:instrText>HYPERLINK "https://www.mdpi.com/2311-5637/8/2/63" \t "_new"</w:instrText>
      </w:r>
      <w:r>
        <w:fldChar w:fldCharType="separate"/>
      </w:r>
      <w:r w:rsidRPr="00093EDF">
        <w:rPr>
          <w:rFonts w:ascii="Arial" w:eastAsia="Calibri" w:hAnsi="Arial" w:cs="Times New Roman"/>
          <w:color w:val="0563C1"/>
          <w:kern w:val="2"/>
          <w:sz w:val="20"/>
          <w:u w:val="single"/>
          <w:lang w:val="nb-NO"/>
          <w14:ligatures w14:val="standardContextual"/>
        </w:rPr>
        <w:t>https://www.mdpi.com/2311-5637/8/2/63</w:t>
      </w:r>
      <w:r>
        <w:fldChar w:fldCharType="end"/>
      </w:r>
    </w:p>
    <w:p w14:paraId="2791F70D"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Adebowale, O. J., Ayotunde, A., Mokhele, T., &amp; Bamidele, O. P. (2025). </w:t>
      </w:r>
      <w:r w:rsidRPr="00093EDF">
        <w:rPr>
          <w:rFonts w:ascii="Arial" w:eastAsia="Calibri" w:hAnsi="Arial" w:cs="Times New Roman"/>
          <w:kern w:val="2"/>
          <w:sz w:val="20"/>
          <w14:ligatures w14:val="standardContextual"/>
        </w:rPr>
        <w:t xml:space="preserve">Chemical composition of composite flour from okara powder and whole wheat flour and the sensory evaluation of the biscuits made from the composite flour. </w:t>
      </w:r>
      <w:r w:rsidRPr="00093EDF">
        <w:rPr>
          <w:rFonts w:ascii="Arial" w:eastAsia="Calibri" w:hAnsi="Arial" w:cs="Times New Roman"/>
          <w:i/>
          <w:iCs/>
          <w:kern w:val="2"/>
          <w:sz w:val="20"/>
          <w14:ligatures w14:val="standardContextual"/>
        </w:rPr>
        <w:t>Food Science &amp; Nutrition, 13</w:t>
      </w:r>
      <w:r w:rsidRPr="00093EDF">
        <w:rPr>
          <w:rFonts w:ascii="Arial" w:eastAsia="Calibri" w:hAnsi="Arial" w:cs="Times New Roman"/>
          <w:kern w:val="2"/>
          <w:sz w:val="20"/>
          <w14:ligatures w14:val="standardContextual"/>
        </w:rPr>
        <w:t xml:space="preserve">(6), e70450. </w:t>
      </w:r>
      <w:hyperlink r:id="rId13" w:tgtFrame="_new" w:history="1">
        <w:r w:rsidRPr="00093EDF">
          <w:rPr>
            <w:rFonts w:ascii="Arial" w:eastAsia="Calibri" w:hAnsi="Arial" w:cs="Times New Roman"/>
            <w:color w:val="0563C1"/>
            <w:kern w:val="2"/>
            <w:sz w:val="20"/>
            <w:u w:val="single"/>
            <w14:ligatures w14:val="standardContextual"/>
          </w:rPr>
          <w:t>https://doi.org/10.1002/fsn3.70450</w:t>
        </w:r>
      </w:hyperlink>
    </w:p>
    <w:p w14:paraId="25BF7FC5"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Adejuwon</w:t>
      </w:r>
      <w:proofErr w:type="spellEnd"/>
      <w:r w:rsidRPr="00093EDF">
        <w:rPr>
          <w:rFonts w:ascii="Arial" w:eastAsia="Calibri" w:hAnsi="Arial" w:cs="Times New Roman"/>
          <w:kern w:val="2"/>
          <w:sz w:val="20"/>
          <w14:ligatures w14:val="standardContextual"/>
        </w:rPr>
        <w:t xml:space="preserve">, K. P., </w:t>
      </w:r>
      <w:proofErr w:type="spellStart"/>
      <w:r w:rsidRPr="00093EDF">
        <w:rPr>
          <w:rFonts w:ascii="Arial" w:eastAsia="Calibri" w:hAnsi="Arial" w:cs="Times New Roman"/>
          <w:kern w:val="2"/>
          <w:sz w:val="20"/>
          <w14:ligatures w14:val="standardContextual"/>
        </w:rPr>
        <w:t>Osundahunsi</w:t>
      </w:r>
      <w:proofErr w:type="spellEnd"/>
      <w:r w:rsidRPr="00093EDF">
        <w:rPr>
          <w:rFonts w:ascii="Arial" w:eastAsia="Calibri" w:hAnsi="Arial" w:cs="Times New Roman"/>
          <w:kern w:val="2"/>
          <w:sz w:val="20"/>
          <w14:ligatures w14:val="standardContextual"/>
        </w:rPr>
        <w:t xml:space="preserve">, O. F., Oluwamukomi, M. O., Mwanza, M., &amp; Akinola, S. A. (2021). Effect of fermentation on nutritional quality, growth and hematological parameters of rats fed sorghum-soybean-orange flesh sweet potato complementary diet. </w:t>
      </w:r>
      <w:r w:rsidRPr="00093EDF">
        <w:rPr>
          <w:rFonts w:ascii="Arial" w:eastAsia="Calibri" w:hAnsi="Arial" w:cs="Times New Roman"/>
          <w:i/>
          <w:iCs/>
          <w:kern w:val="2"/>
          <w:sz w:val="20"/>
          <w14:ligatures w14:val="standardContextual"/>
        </w:rPr>
        <w:t>(October 2020)</w:t>
      </w:r>
      <w:r w:rsidRPr="00093EDF">
        <w:rPr>
          <w:rFonts w:ascii="Arial" w:eastAsia="Calibri" w:hAnsi="Arial" w:cs="Times New Roman"/>
          <w:kern w:val="2"/>
          <w:sz w:val="20"/>
          <w14:ligatures w14:val="standardContextual"/>
        </w:rPr>
        <w:t xml:space="preserve">, 639–650. </w:t>
      </w:r>
      <w:hyperlink r:id="rId14" w:tgtFrame="_new" w:history="1">
        <w:r w:rsidRPr="00093EDF">
          <w:rPr>
            <w:rFonts w:ascii="Arial" w:eastAsia="Calibri" w:hAnsi="Arial" w:cs="Times New Roman"/>
            <w:color w:val="0563C1"/>
            <w:kern w:val="2"/>
            <w:sz w:val="20"/>
            <w:u w:val="single"/>
            <w14:ligatures w14:val="standardContextual"/>
          </w:rPr>
          <w:t>https://doi.org/10.1002/fsn3.2013</w:t>
        </w:r>
      </w:hyperlink>
    </w:p>
    <w:p w14:paraId="3E957E6F"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Adeyanju, A. A., Emmanuel, P. O., Adetunji, A. I., &amp; Adebo, O. A. (2025). Nutritional, pasting, rheological, and thermal properties of sorghum–okara composite flours and porridges. </w:t>
      </w:r>
      <w:r w:rsidRPr="00093EDF">
        <w:rPr>
          <w:rFonts w:ascii="Arial" w:eastAsia="Calibri" w:hAnsi="Arial" w:cs="Times New Roman"/>
          <w:i/>
          <w:iCs/>
          <w:kern w:val="2"/>
          <w:sz w:val="20"/>
          <w14:ligatures w14:val="standardContextual"/>
        </w:rPr>
        <w:t>International Journal of Food Science and Technology, 60</w:t>
      </w:r>
      <w:r w:rsidRPr="00093EDF">
        <w:rPr>
          <w:rFonts w:ascii="Arial" w:eastAsia="Calibri" w:hAnsi="Arial" w:cs="Times New Roman"/>
          <w:kern w:val="2"/>
          <w:sz w:val="20"/>
          <w14:ligatures w14:val="standardContextual"/>
        </w:rPr>
        <w:t xml:space="preserve">(1), vvae021. </w:t>
      </w:r>
      <w:hyperlink r:id="rId15" w:tgtFrame="_new" w:history="1">
        <w:r w:rsidRPr="00093EDF">
          <w:rPr>
            <w:rFonts w:ascii="Arial" w:eastAsia="Calibri" w:hAnsi="Arial" w:cs="Times New Roman"/>
            <w:color w:val="0563C1"/>
            <w:kern w:val="2"/>
            <w:sz w:val="20"/>
            <w:u w:val="single"/>
            <w14:ligatures w14:val="standardContextual"/>
          </w:rPr>
          <w:t>https://doi.org/10.1093/ijfood/vvae021</w:t>
        </w:r>
      </w:hyperlink>
    </w:p>
    <w:p w14:paraId="0820485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Akeem, S. A., </w:t>
      </w:r>
      <w:proofErr w:type="spellStart"/>
      <w:r w:rsidRPr="00093EDF">
        <w:rPr>
          <w:rFonts w:ascii="Arial" w:eastAsia="Calibri" w:hAnsi="Arial" w:cs="Times New Roman"/>
          <w:kern w:val="2"/>
          <w:sz w:val="20"/>
          <w14:ligatures w14:val="standardContextual"/>
        </w:rPr>
        <w:t>Yerumoh</w:t>
      </w:r>
      <w:proofErr w:type="spellEnd"/>
      <w:r w:rsidRPr="00093EDF">
        <w:rPr>
          <w:rFonts w:ascii="Arial" w:eastAsia="Calibri" w:hAnsi="Arial" w:cs="Times New Roman"/>
          <w:kern w:val="2"/>
          <w:sz w:val="20"/>
          <w14:ligatures w14:val="standardContextual"/>
        </w:rPr>
        <w:t xml:space="preserve">, O., Leigh, O., </w:t>
      </w:r>
      <w:proofErr w:type="spellStart"/>
      <w:r w:rsidRPr="00093EDF">
        <w:rPr>
          <w:rFonts w:ascii="Arial" w:eastAsia="Calibri" w:hAnsi="Arial" w:cs="Times New Roman"/>
          <w:kern w:val="2"/>
          <w:sz w:val="20"/>
          <w14:ligatures w14:val="standardContextual"/>
        </w:rPr>
        <w:t>Bamgbala</w:t>
      </w:r>
      <w:proofErr w:type="spellEnd"/>
      <w:r w:rsidRPr="00093EDF">
        <w:rPr>
          <w:rFonts w:ascii="Arial" w:eastAsia="Calibri" w:hAnsi="Arial" w:cs="Times New Roman"/>
          <w:kern w:val="2"/>
          <w:sz w:val="20"/>
          <w14:ligatures w14:val="standardContextual"/>
        </w:rPr>
        <w:t xml:space="preserve">, K., Okeke, G., </w:t>
      </w:r>
      <w:proofErr w:type="spellStart"/>
      <w:r w:rsidRPr="00093EDF">
        <w:rPr>
          <w:rFonts w:ascii="Arial" w:eastAsia="Calibri" w:hAnsi="Arial" w:cs="Times New Roman"/>
          <w:kern w:val="2"/>
          <w:sz w:val="20"/>
          <w14:ligatures w14:val="standardContextual"/>
        </w:rPr>
        <w:t>Sokunbi</w:t>
      </w:r>
      <w:proofErr w:type="spellEnd"/>
      <w:r w:rsidRPr="00093EDF">
        <w:rPr>
          <w:rFonts w:ascii="Arial" w:eastAsia="Calibri" w:hAnsi="Arial" w:cs="Times New Roman"/>
          <w:kern w:val="2"/>
          <w:sz w:val="20"/>
          <w14:ligatures w14:val="standardContextual"/>
        </w:rPr>
        <w:t xml:space="preserve">, F., &amp; Olayiwola, I. (2018). Physicochemical properties, </w:t>
      </w:r>
      <w:proofErr w:type="spellStart"/>
      <w:r w:rsidRPr="00093EDF">
        <w:rPr>
          <w:rFonts w:ascii="Arial" w:eastAsia="Calibri" w:hAnsi="Arial" w:cs="Times New Roman"/>
          <w:kern w:val="2"/>
          <w:sz w:val="20"/>
          <w14:ligatures w14:val="standardContextual"/>
        </w:rPr>
        <w:t>colour</w:t>
      </w:r>
      <w:proofErr w:type="spellEnd"/>
      <w:r w:rsidRPr="00093EDF">
        <w:rPr>
          <w:rFonts w:ascii="Arial" w:eastAsia="Calibri" w:hAnsi="Arial" w:cs="Times New Roman"/>
          <w:kern w:val="2"/>
          <w:sz w:val="20"/>
          <w14:ligatures w14:val="standardContextual"/>
        </w:rPr>
        <w:t xml:space="preserve"> characteristics, and sensory evaluation of full-cream cow-coconut milk yoghurts. </w:t>
      </w:r>
      <w:r w:rsidRPr="00093EDF">
        <w:rPr>
          <w:rFonts w:ascii="Arial" w:eastAsia="Calibri" w:hAnsi="Arial" w:cs="Times New Roman"/>
          <w:i/>
          <w:iCs/>
          <w:kern w:val="2"/>
          <w:sz w:val="20"/>
          <w14:ligatures w14:val="standardContextual"/>
        </w:rPr>
        <w:t>Croatian Journal of Food Science and Technology, 10</w:t>
      </w:r>
      <w:r w:rsidRPr="00093EDF">
        <w:rPr>
          <w:rFonts w:ascii="Arial" w:eastAsia="Calibri" w:hAnsi="Arial" w:cs="Times New Roman"/>
          <w:kern w:val="2"/>
          <w:sz w:val="20"/>
          <w14:ligatures w14:val="standardContextual"/>
        </w:rPr>
        <w:t xml:space="preserve">(2), 226–233. </w:t>
      </w:r>
      <w:hyperlink r:id="rId16" w:tgtFrame="_new" w:history="1">
        <w:r w:rsidRPr="00093EDF">
          <w:rPr>
            <w:rFonts w:ascii="Arial" w:eastAsia="Calibri" w:hAnsi="Arial" w:cs="Times New Roman"/>
            <w:color w:val="0563C1"/>
            <w:kern w:val="2"/>
            <w:sz w:val="20"/>
            <w:u w:val="single"/>
            <w14:ligatures w14:val="standardContextual"/>
          </w:rPr>
          <w:t>https://doi.org/10.17508/cjfst.2018.10.2.13</w:t>
        </w:r>
      </w:hyperlink>
    </w:p>
    <w:p w14:paraId="5982CC53"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Aljaloud</w:t>
      </w:r>
      <w:proofErr w:type="spellEnd"/>
      <w:r w:rsidRPr="00093EDF">
        <w:rPr>
          <w:rFonts w:ascii="Arial" w:eastAsia="Calibri" w:hAnsi="Arial" w:cs="Times New Roman"/>
          <w:kern w:val="2"/>
          <w:sz w:val="20"/>
          <w14:ligatures w14:val="standardContextual"/>
        </w:rPr>
        <w:t xml:space="preserve">, S., Colleran, H. L., &amp; Ibrahim, S. A. (2020). Nutritional value of date fruits and potential use in nutritional bars for athletes. </w:t>
      </w:r>
      <w:r w:rsidRPr="00093EDF">
        <w:rPr>
          <w:rFonts w:ascii="Arial" w:eastAsia="Calibri" w:hAnsi="Arial" w:cs="Times New Roman"/>
          <w:i/>
          <w:iCs/>
          <w:kern w:val="2"/>
          <w:sz w:val="20"/>
          <w14:ligatures w14:val="standardContextual"/>
        </w:rPr>
        <w:t>Food and Nutrition Sciences, 11</w:t>
      </w:r>
      <w:r w:rsidRPr="00093EDF">
        <w:rPr>
          <w:rFonts w:ascii="Arial" w:eastAsia="Calibri" w:hAnsi="Arial" w:cs="Times New Roman"/>
          <w:kern w:val="2"/>
          <w:sz w:val="20"/>
          <w14:ligatures w14:val="standardContextual"/>
        </w:rPr>
        <w:t xml:space="preserve">(6), 463–480. </w:t>
      </w:r>
      <w:hyperlink r:id="rId17" w:tgtFrame="_new" w:history="1">
        <w:r w:rsidRPr="00093EDF">
          <w:rPr>
            <w:rFonts w:ascii="Arial" w:eastAsia="Calibri" w:hAnsi="Arial" w:cs="Times New Roman"/>
            <w:color w:val="0563C1"/>
            <w:kern w:val="2"/>
            <w:sz w:val="20"/>
            <w:u w:val="single"/>
            <w14:ligatures w14:val="standardContextual"/>
          </w:rPr>
          <w:t>https://doi.org/10.4236/fns.2020.116034</w:t>
        </w:r>
      </w:hyperlink>
    </w:p>
    <w:p w14:paraId="09E56CE3"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Anaemene</w:t>
      </w:r>
      <w:proofErr w:type="spellEnd"/>
      <w:r w:rsidRPr="00093EDF">
        <w:rPr>
          <w:rFonts w:ascii="Arial" w:eastAsia="Calibri" w:hAnsi="Arial" w:cs="Times New Roman"/>
          <w:kern w:val="2"/>
          <w:sz w:val="20"/>
          <w14:ligatures w14:val="standardContextual"/>
        </w:rPr>
        <w:t xml:space="preserve">, &amp; </w:t>
      </w:r>
      <w:proofErr w:type="spellStart"/>
      <w:r w:rsidRPr="00093EDF">
        <w:rPr>
          <w:rFonts w:ascii="Arial" w:eastAsia="Calibri" w:hAnsi="Arial" w:cs="Times New Roman"/>
          <w:kern w:val="2"/>
          <w:sz w:val="20"/>
          <w14:ligatures w14:val="standardContextual"/>
        </w:rPr>
        <w:t>Fadupin</w:t>
      </w:r>
      <w:proofErr w:type="spellEnd"/>
      <w:r w:rsidRPr="00093EDF">
        <w:rPr>
          <w:rFonts w:ascii="Arial" w:eastAsia="Calibri" w:hAnsi="Arial" w:cs="Times New Roman"/>
          <w:kern w:val="2"/>
          <w:sz w:val="20"/>
          <w14:ligatures w14:val="standardContextual"/>
        </w:rPr>
        <w:t xml:space="preserve">. (2020). Effect of fermentation, germination and combined germination-fermentation processing methods on the nutrient and anti-nutrient contents of quality protein maize (QPM) seeds. </w:t>
      </w:r>
      <w:r w:rsidRPr="00093EDF">
        <w:rPr>
          <w:rFonts w:ascii="Arial" w:eastAsia="Calibri" w:hAnsi="Arial" w:cs="Times New Roman"/>
          <w:i/>
          <w:iCs/>
          <w:kern w:val="2"/>
          <w:sz w:val="20"/>
          <w14:ligatures w14:val="standardContextual"/>
        </w:rPr>
        <w:t>Journal of Applied Sciences and Environmental Management, 24</w:t>
      </w:r>
      <w:r w:rsidRPr="00093EDF">
        <w:rPr>
          <w:rFonts w:ascii="Arial" w:eastAsia="Calibri" w:hAnsi="Arial" w:cs="Times New Roman"/>
          <w:kern w:val="2"/>
          <w:sz w:val="20"/>
          <w14:ligatures w14:val="standardContextual"/>
        </w:rPr>
        <w:t xml:space="preserve">(9), 1625–1630. </w:t>
      </w:r>
      <w:hyperlink r:id="rId18" w:tgtFrame="_new" w:history="1">
        <w:r w:rsidRPr="00093EDF">
          <w:rPr>
            <w:rFonts w:ascii="Arial" w:eastAsia="Calibri" w:hAnsi="Arial" w:cs="Times New Roman"/>
            <w:color w:val="0563C1"/>
            <w:kern w:val="2"/>
            <w:sz w:val="20"/>
            <w:u w:val="single"/>
            <w14:ligatures w14:val="standardContextual"/>
          </w:rPr>
          <w:t>https://www.ajol.info/index.php/jasem/article/download/200634/189201</w:t>
        </w:r>
      </w:hyperlink>
    </w:p>
    <w:p w14:paraId="418F070C"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Arya, A. M., Singh, B. R., Samsher Suresh Chandra, N. C., &amp; Singh, V. and S. (2020). Functional properties of jackfruit seed flour. </w:t>
      </w:r>
      <w:r w:rsidRPr="00093EDF">
        <w:rPr>
          <w:rFonts w:ascii="Arial" w:eastAsia="Calibri" w:hAnsi="Arial" w:cs="Times New Roman"/>
          <w:i/>
          <w:iCs/>
          <w:kern w:val="2"/>
          <w:sz w:val="20"/>
          <w14:ligatures w14:val="standardContextual"/>
        </w:rPr>
        <w:t>Food Science Research Journal, 11</w:t>
      </w:r>
      <w:r w:rsidRPr="00093EDF">
        <w:rPr>
          <w:rFonts w:ascii="Arial" w:eastAsia="Calibri" w:hAnsi="Arial" w:cs="Times New Roman"/>
          <w:kern w:val="2"/>
          <w:sz w:val="20"/>
          <w14:ligatures w14:val="standardContextual"/>
        </w:rPr>
        <w:t xml:space="preserve">(Issue 2), 115–119. </w:t>
      </w:r>
      <w:hyperlink r:id="rId19" w:tgtFrame="_new" w:history="1">
        <w:r w:rsidRPr="00093EDF">
          <w:rPr>
            <w:rFonts w:ascii="Arial" w:eastAsia="Calibri" w:hAnsi="Arial" w:cs="Times New Roman"/>
            <w:color w:val="0563C1"/>
            <w:kern w:val="2"/>
            <w:sz w:val="20"/>
            <w:u w:val="single"/>
            <w14:ligatures w14:val="standardContextual"/>
          </w:rPr>
          <w:t>https://doi.org/10.15740/HAS/FSRJ/11.2/115-119</w:t>
        </w:r>
      </w:hyperlink>
    </w:p>
    <w:p w14:paraId="270E353F"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Edima-Nyah, A. P., Ekanem, K. E., </w:t>
      </w:r>
      <w:proofErr w:type="spellStart"/>
      <w:r w:rsidRPr="00093EDF">
        <w:rPr>
          <w:rFonts w:ascii="Arial" w:eastAsia="Calibri" w:hAnsi="Arial" w:cs="Times New Roman"/>
          <w:kern w:val="2"/>
          <w:sz w:val="20"/>
          <w14:ligatures w14:val="standardContextual"/>
        </w:rPr>
        <w:t>Ntukidem</w:t>
      </w:r>
      <w:proofErr w:type="spellEnd"/>
      <w:r w:rsidRPr="00093EDF">
        <w:rPr>
          <w:rFonts w:ascii="Arial" w:eastAsia="Calibri" w:hAnsi="Arial" w:cs="Times New Roman"/>
          <w:kern w:val="2"/>
          <w:sz w:val="20"/>
          <w14:ligatures w14:val="standardContextual"/>
        </w:rPr>
        <w:t xml:space="preserve">, V. E., &amp; Ogbonna, C. V. (2024). Chemical, microbial, and sensory properties of breakfast cereals made from yellow maize and soybean flour blends with firmly ripe banana flavoring. </w:t>
      </w:r>
      <w:r w:rsidRPr="00093EDF">
        <w:rPr>
          <w:rFonts w:ascii="Arial" w:eastAsia="Calibri" w:hAnsi="Arial" w:cs="Times New Roman"/>
          <w:i/>
          <w:iCs/>
          <w:kern w:val="2"/>
          <w:sz w:val="20"/>
          <w14:ligatures w14:val="standardContextual"/>
        </w:rPr>
        <w:t>3</w:t>
      </w:r>
      <w:r w:rsidRPr="00093EDF">
        <w:rPr>
          <w:rFonts w:ascii="Arial" w:eastAsia="Calibri" w:hAnsi="Arial" w:cs="Times New Roman"/>
          <w:kern w:val="2"/>
          <w:sz w:val="20"/>
          <w14:ligatures w14:val="standardContextual"/>
        </w:rPr>
        <w:t xml:space="preserve">(3), 227–233. </w:t>
      </w:r>
      <w:hyperlink r:id="rId20" w:tgtFrame="_new" w:history="1">
        <w:r w:rsidRPr="00093EDF">
          <w:rPr>
            <w:rFonts w:ascii="Arial" w:eastAsia="Calibri" w:hAnsi="Arial" w:cs="Times New Roman"/>
            <w:color w:val="0563C1"/>
            <w:kern w:val="2"/>
            <w:sz w:val="20"/>
            <w:u w:val="single"/>
            <w14:ligatures w14:val="standardContextual"/>
          </w:rPr>
          <w:t>https://journals.ipsintelligentsia.com/food-science/index.php/ijnfs/article/view/55</w:t>
        </w:r>
      </w:hyperlink>
    </w:p>
    <w:p w14:paraId="671D7C3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Edima-Nyah, A., &amp; </w:t>
      </w:r>
      <w:proofErr w:type="spellStart"/>
      <w:r w:rsidRPr="00093EDF">
        <w:rPr>
          <w:rFonts w:ascii="Arial" w:eastAsia="Calibri" w:hAnsi="Arial" w:cs="Times New Roman"/>
          <w:kern w:val="2"/>
          <w:sz w:val="20"/>
          <w14:ligatures w14:val="standardContextual"/>
        </w:rPr>
        <w:t>Ntukidem</w:t>
      </w:r>
      <w:proofErr w:type="spellEnd"/>
      <w:r w:rsidRPr="00093EDF">
        <w:rPr>
          <w:rFonts w:ascii="Arial" w:eastAsia="Calibri" w:hAnsi="Arial" w:cs="Times New Roman"/>
          <w:kern w:val="2"/>
          <w:sz w:val="20"/>
          <w14:ligatures w14:val="standardContextual"/>
        </w:rPr>
        <w:t>, V. (2019). Development and quality evaluation of breakfast cereals from blends of local rice (</w:t>
      </w:r>
      <w:r w:rsidRPr="00093EDF">
        <w:rPr>
          <w:rFonts w:ascii="Arial" w:eastAsia="Calibri" w:hAnsi="Arial" w:cs="Times New Roman"/>
          <w:i/>
          <w:iCs/>
          <w:kern w:val="2"/>
          <w:sz w:val="20"/>
          <w14:ligatures w14:val="standardContextual"/>
        </w:rPr>
        <w:t>Oryza sativa</w:t>
      </w:r>
      <w:r w:rsidRPr="00093EDF">
        <w:rPr>
          <w:rFonts w:ascii="Arial" w:eastAsia="Calibri" w:hAnsi="Arial" w:cs="Times New Roman"/>
          <w:kern w:val="2"/>
          <w:sz w:val="20"/>
          <w14:ligatures w14:val="standardContextual"/>
        </w:rPr>
        <w:t>), African yam beans (</w:t>
      </w:r>
      <w:proofErr w:type="spellStart"/>
      <w:r w:rsidRPr="00093EDF">
        <w:rPr>
          <w:rFonts w:ascii="Arial" w:eastAsia="Calibri" w:hAnsi="Arial" w:cs="Times New Roman"/>
          <w:i/>
          <w:iCs/>
          <w:kern w:val="2"/>
          <w:sz w:val="20"/>
          <w14:ligatures w14:val="standardContextual"/>
        </w:rPr>
        <w:t>Sphenostylis</w:t>
      </w:r>
      <w:proofErr w:type="spellEnd"/>
      <w:r w:rsidRPr="00093EDF">
        <w:rPr>
          <w:rFonts w:ascii="Arial" w:eastAsia="Calibri" w:hAnsi="Arial" w:cs="Times New Roman"/>
          <w:i/>
          <w:iCs/>
          <w:kern w:val="2"/>
          <w:sz w:val="20"/>
          <w14:ligatures w14:val="standardContextual"/>
        </w:rPr>
        <w:t xml:space="preserve"> </w:t>
      </w:r>
      <w:proofErr w:type="spellStart"/>
      <w:r w:rsidRPr="00093EDF">
        <w:rPr>
          <w:rFonts w:ascii="Arial" w:eastAsia="Calibri" w:hAnsi="Arial" w:cs="Times New Roman"/>
          <w:i/>
          <w:iCs/>
          <w:kern w:val="2"/>
          <w:sz w:val="20"/>
          <w14:ligatures w14:val="standardContextual"/>
        </w:rPr>
        <w:t>stenocarpa</w:t>
      </w:r>
      <w:proofErr w:type="spellEnd"/>
      <w:r w:rsidRPr="00093EDF">
        <w:rPr>
          <w:rFonts w:ascii="Arial" w:eastAsia="Calibri" w:hAnsi="Arial" w:cs="Times New Roman"/>
          <w:kern w:val="2"/>
          <w:sz w:val="20"/>
          <w14:ligatures w14:val="standardContextual"/>
        </w:rPr>
        <w:t>), and coconut (</w:t>
      </w:r>
      <w:r w:rsidRPr="00093EDF">
        <w:rPr>
          <w:rFonts w:ascii="Arial" w:eastAsia="Calibri" w:hAnsi="Arial" w:cs="Times New Roman"/>
          <w:i/>
          <w:iCs/>
          <w:kern w:val="2"/>
          <w:sz w:val="20"/>
          <w14:ligatures w14:val="standardContextual"/>
        </w:rPr>
        <w:t>Cocos nucifera</w:t>
      </w:r>
      <w:r w:rsidRPr="00093EDF">
        <w:rPr>
          <w:rFonts w:ascii="Arial" w:eastAsia="Calibri" w:hAnsi="Arial" w:cs="Times New Roman"/>
          <w:kern w:val="2"/>
          <w:sz w:val="20"/>
          <w14:ligatures w14:val="standardContextual"/>
        </w:rPr>
        <w:t xml:space="preserve">) flour. </w:t>
      </w:r>
      <w:r w:rsidRPr="00093EDF">
        <w:rPr>
          <w:rFonts w:ascii="Arial" w:eastAsia="Calibri" w:hAnsi="Arial" w:cs="Times New Roman"/>
          <w:i/>
          <w:iCs/>
          <w:kern w:val="2"/>
          <w:sz w:val="20"/>
          <w14:ligatures w14:val="standardContextual"/>
        </w:rPr>
        <w:t>International Journal of Food Nutrition and Safety, 10</w:t>
      </w:r>
      <w:r w:rsidRPr="00093EDF">
        <w:rPr>
          <w:rFonts w:ascii="Arial" w:eastAsia="Calibri" w:hAnsi="Arial" w:cs="Times New Roman"/>
          <w:kern w:val="2"/>
          <w:sz w:val="20"/>
          <w14:ligatures w14:val="standardContextual"/>
        </w:rPr>
        <w:t>(1), 42–58. September.</w:t>
      </w:r>
    </w:p>
    <w:p w14:paraId="71332B03"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Eli, Z. W., </w:t>
      </w:r>
      <w:proofErr w:type="spellStart"/>
      <w:r w:rsidRPr="00093EDF">
        <w:rPr>
          <w:rFonts w:ascii="Arial" w:eastAsia="Calibri" w:hAnsi="Arial" w:cs="Times New Roman"/>
          <w:kern w:val="2"/>
          <w:sz w:val="20"/>
          <w14:ligatures w14:val="standardContextual"/>
        </w:rPr>
        <w:t>Obochi</w:t>
      </w:r>
      <w:proofErr w:type="spellEnd"/>
      <w:r w:rsidRPr="00093EDF">
        <w:rPr>
          <w:rFonts w:ascii="Arial" w:eastAsia="Calibri" w:hAnsi="Arial" w:cs="Times New Roman"/>
          <w:kern w:val="2"/>
          <w:sz w:val="20"/>
          <w14:ligatures w14:val="standardContextual"/>
        </w:rPr>
        <w:t xml:space="preserve">, G. O., &amp; A. D. (2022). Pasting, functional, microbial and sensory evaluation of complementary food blends produced from malted and fermented </w:t>
      </w:r>
      <w:proofErr w:type="spellStart"/>
      <w:r w:rsidRPr="00093EDF">
        <w:rPr>
          <w:rFonts w:ascii="Arial" w:eastAsia="Calibri" w:hAnsi="Arial" w:cs="Times New Roman"/>
          <w:kern w:val="2"/>
          <w:sz w:val="20"/>
          <w14:ligatures w14:val="standardContextual"/>
        </w:rPr>
        <w:t>acha</w:t>
      </w:r>
      <w:proofErr w:type="spellEnd"/>
      <w:r w:rsidRPr="00093EDF">
        <w:rPr>
          <w:rFonts w:ascii="Arial" w:eastAsia="Calibri" w:hAnsi="Arial" w:cs="Times New Roman"/>
          <w:kern w:val="2"/>
          <w:sz w:val="20"/>
          <w14:ligatures w14:val="standardContextual"/>
        </w:rPr>
        <w:t xml:space="preserve"> (</w:t>
      </w:r>
      <w:proofErr w:type="spellStart"/>
      <w:r w:rsidRPr="00093EDF">
        <w:rPr>
          <w:rFonts w:ascii="Arial" w:eastAsia="Calibri" w:hAnsi="Arial" w:cs="Times New Roman"/>
          <w:i/>
          <w:iCs/>
          <w:kern w:val="2"/>
          <w:sz w:val="20"/>
          <w14:ligatures w14:val="standardContextual"/>
        </w:rPr>
        <w:t>Digitaria</w:t>
      </w:r>
      <w:proofErr w:type="spellEnd"/>
      <w:r w:rsidRPr="00093EDF">
        <w:rPr>
          <w:rFonts w:ascii="Arial" w:eastAsia="Calibri" w:hAnsi="Arial" w:cs="Times New Roman"/>
          <w:i/>
          <w:iCs/>
          <w:kern w:val="2"/>
          <w:sz w:val="20"/>
          <w14:ligatures w14:val="standardContextual"/>
        </w:rPr>
        <w:t xml:space="preserve"> exilis</w:t>
      </w:r>
      <w:r w:rsidRPr="00093EDF">
        <w:rPr>
          <w:rFonts w:ascii="Arial" w:eastAsia="Calibri" w:hAnsi="Arial" w:cs="Times New Roman"/>
          <w:kern w:val="2"/>
          <w:sz w:val="20"/>
          <w14:ligatures w14:val="standardContextual"/>
        </w:rPr>
        <w:t>) flour supplemented with soybean flour (</w:t>
      </w:r>
      <w:r w:rsidRPr="00093EDF">
        <w:rPr>
          <w:rFonts w:ascii="Arial" w:eastAsia="Calibri" w:hAnsi="Arial" w:cs="Times New Roman"/>
          <w:i/>
          <w:iCs/>
          <w:kern w:val="2"/>
          <w:sz w:val="20"/>
          <w14:ligatures w14:val="standardContextual"/>
        </w:rPr>
        <w:t>Glycine max</w:t>
      </w:r>
      <w:r w:rsidRPr="00093EDF">
        <w:rPr>
          <w:rFonts w:ascii="Arial" w:eastAsia="Calibri" w:hAnsi="Arial" w:cs="Times New Roman"/>
          <w:kern w:val="2"/>
          <w:sz w:val="20"/>
          <w14:ligatures w14:val="standardContextual"/>
        </w:rPr>
        <w:t xml:space="preserve">). </w:t>
      </w:r>
      <w:r w:rsidRPr="00093EDF">
        <w:rPr>
          <w:rFonts w:ascii="Arial" w:eastAsia="Calibri" w:hAnsi="Arial" w:cs="Times New Roman"/>
          <w:i/>
          <w:iCs/>
          <w:kern w:val="2"/>
          <w:sz w:val="20"/>
          <w14:ligatures w14:val="standardContextual"/>
        </w:rPr>
        <w:t>International Journal of Food Science and Nutrition, 7</w:t>
      </w:r>
      <w:r w:rsidRPr="00093EDF">
        <w:rPr>
          <w:rFonts w:ascii="Arial" w:eastAsia="Calibri" w:hAnsi="Arial" w:cs="Times New Roman"/>
          <w:kern w:val="2"/>
          <w:sz w:val="20"/>
          <w14:ligatures w14:val="standardContextual"/>
        </w:rPr>
        <w:t>(4), 4–10.</w:t>
      </w:r>
    </w:p>
    <w:p w14:paraId="5305F48B"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Elkhalifa</w:t>
      </w:r>
      <w:proofErr w:type="spellEnd"/>
      <w:r w:rsidRPr="00093EDF">
        <w:rPr>
          <w:rFonts w:ascii="Arial" w:eastAsia="Calibri" w:hAnsi="Arial" w:cs="Times New Roman"/>
          <w:kern w:val="2"/>
          <w:sz w:val="20"/>
          <w14:ligatures w14:val="standardContextual"/>
        </w:rPr>
        <w:t xml:space="preserve">, A. E. O., &amp; Bernhardt, R. (2018). Combination effect of germination and fermentation on functional properties of sorghum flour. </w:t>
      </w:r>
      <w:r w:rsidRPr="00093EDF">
        <w:rPr>
          <w:rFonts w:ascii="Arial" w:eastAsia="Calibri" w:hAnsi="Arial" w:cs="Times New Roman"/>
          <w:i/>
          <w:iCs/>
          <w:kern w:val="2"/>
          <w:sz w:val="20"/>
          <w14:ligatures w14:val="standardContextual"/>
        </w:rPr>
        <w:t>30</w:t>
      </w:r>
      <w:r w:rsidRPr="00093EDF">
        <w:rPr>
          <w:rFonts w:ascii="Arial" w:eastAsia="Calibri" w:hAnsi="Arial" w:cs="Times New Roman"/>
          <w:kern w:val="2"/>
          <w:sz w:val="20"/>
          <w14:ligatures w14:val="standardContextual"/>
        </w:rPr>
        <w:t xml:space="preserve">(1), 1–12. </w:t>
      </w:r>
      <w:hyperlink r:id="rId21" w:tgtFrame="_new" w:history="1">
        <w:r w:rsidRPr="00093EDF">
          <w:rPr>
            <w:rFonts w:ascii="Arial" w:eastAsia="Calibri" w:hAnsi="Arial" w:cs="Times New Roman"/>
            <w:color w:val="0563C1"/>
            <w:kern w:val="2"/>
            <w:sz w:val="20"/>
            <w:u w:val="single"/>
            <w14:ligatures w14:val="standardContextual"/>
          </w:rPr>
          <w:t>https://doi.org/10.9734/CJAST/2018/44491</w:t>
        </w:r>
      </w:hyperlink>
    </w:p>
    <w:p w14:paraId="26836C6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Feyera, M. (2020). Proximate, anti-nutrients and sensorial acceptability of some cereal and legume based composite biscuits: Review. </w:t>
      </w:r>
      <w:r w:rsidRPr="00093EDF">
        <w:rPr>
          <w:rFonts w:ascii="Arial" w:eastAsia="Calibri" w:hAnsi="Arial" w:cs="Times New Roman"/>
          <w:i/>
          <w:iCs/>
          <w:kern w:val="2"/>
          <w:sz w:val="20"/>
          <w14:ligatures w14:val="standardContextual"/>
        </w:rPr>
        <w:t>Food Science and Quality Management, 98</w:t>
      </w:r>
      <w:r w:rsidRPr="00093EDF">
        <w:rPr>
          <w:rFonts w:ascii="Arial" w:eastAsia="Calibri" w:hAnsi="Arial" w:cs="Times New Roman"/>
          <w:kern w:val="2"/>
          <w:sz w:val="20"/>
          <w14:ligatures w14:val="standardContextual"/>
        </w:rPr>
        <w:t xml:space="preserve">, 18–28. </w:t>
      </w:r>
      <w:hyperlink r:id="rId22" w:tgtFrame="_new" w:history="1">
        <w:r w:rsidRPr="00093EDF">
          <w:rPr>
            <w:rFonts w:ascii="Arial" w:eastAsia="Calibri" w:hAnsi="Arial" w:cs="Times New Roman"/>
            <w:color w:val="0563C1"/>
            <w:kern w:val="2"/>
            <w:sz w:val="20"/>
            <w:u w:val="single"/>
            <w14:ligatures w14:val="standardContextual"/>
          </w:rPr>
          <w:t>https://doi.org/10.7176/fsqm/98-03</w:t>
        </w:r>
      </w:hyperlink>
    </w:p>
    <w:p w14:paraId="4922886C" w14:textId="10E6BD24" w:rsidR="00B51C35" w:rsidRDefault="00B51C35" w:rsidP="00093EDF">
      <w:pPr>
        <w:spacing w:after="0" w:line="240" w:lineRule="auto"/>
        <w:rPr>
          <w:rFonts w:ascii="Arial" w:eastAsia="Calibri" w:hAnsi="Arial" w:cs="Times New Roman"/>
          <w:color w:val="EE0000"/>
          <w:kern w:val="2"/>
          <w:sz w:val="20"/>
          <w14:ligatures w14:val="standardContextual"/>
        </w:rPr>
      </w:pPr>
      <w:r>
        <w:rPr>
          <w:rFonts w:ascii="Arial" w:hAnsi="Arial" w:cs="Arial"/>
          <w:color w:val="222222"/>
          <w:sz w:val="20"/>
          <w:szCs w:val="20"/>
          <w:shd w:val="clear" w:color="auto" w:fill="FFFFFF"/>
        </w:rPr>
        <w:t xml:space="preserve">Friday, O. A., Julius, A., </w:t>
      </w:r>
      <w:proofErr w:type="spellStart"/>
      <w:r>
        <w:rPr>
          <w:rFonts w:ascii="Arial" w:hAnsi="Arial" w:cs="Arial"/>
          <w:color w:val="222222"/>
          <w:sz w:val="20"/>
          <w:szCs w:val="20"/>
          <w:shd w:val="clear" w:color="auto" w:fill="FFFFFF"/>
        </w:rPr>
        <w:t>Nsa</w:t>
      </w:r>
      <w:proofErr w:type="spellEnd"/>
      <w:r>
        <w:rPr>
          <w:rFonts w:ascii="Arial" w:hAnsi="Arial" w:cs="Arial"/>
          <w:color w:val="222222"/>
          <w:sz w:val="20"/>
          <w:szCs w:val="20"/>
          <w:shd w:val="clear" w:color="auto" w:fill="FFFFFF"/>
        </w:rPr>
        <w:t xml:space="preserve">, E. S., </w:t>
      </w:r>
      <w:proofErr w:type="spellStart"/>
      <w:r>
        <w:rPr>
          <w:rFonts w:ascii="Arial" w:hAnsi="Arial" w:cs="Arial"/>
          <w:color w:val="222222"/>
          <w:sz w:val="20"/>
          <w:szCs w:val="20"/>
          <w:shd w:val="clear" w:color="auto" w:fill="FFFFFF"/>
        </w:rPr>
        <w:t>Rebezov</w:t>
      </w:r>
      <w:proofErr w:type="spellEnd"/>
      <w:r>
        <w:rPr>
          <w:rFonts w:ascii="Arial" w:hAnsi="Arial" w:cs="Arial"/>
          <w:color w:val="222222"/>
          <w:sz w:val="20"/>
          <w:szCs w:val="20"/>
          <w:shd w:val="clear" w:color="auto" w:fill="FFFFFF"/>
        </w:rPr>
        <w:t xml:space="preserve">, M., Maksimiuk, N., </w:t>
      </w:r>
      <w:proofErr w:type="spellStart"/>
      <w:r>
        <w:rPr>
          <w:rFonts w:ascii="Arial" w:hAnsi="Arial" w:cs="Arial"/>
          <w:color w:val="222222"/>
          <w:sz w:val="20"/>
          <w:szCs w:val="20"/>
          <w:shd w:val="clear" w:color="auto" w:fill="FFFFFF"/>
        </w:rPr>
        <w:t>Kenijz</w:t>
      </w:r>
      <w:proofErr w:type="spellEnd"/>
      <w:r>
        <w:rPr>
          <w:rFonts w:ascii="Arial" w:hAnsi="Arial" w:cs="Arial"/>
          <w:color w:val="222222"/>
          <w:sz w:val="20"/>
          <w:szCs w:val="20"/>
          <w:shd w:val="clear" w:color="auto" w:fill="FFFFFF"/>
        </w:rPr>
        <w:t xml:space="preserve">, N., ... &amp; Shariati, M. A. (2021). Influence of pro-vitamin-a-cassava flour and cashew nut flour supplementations on </w:t>
      </w:r>
      <w:proofErr w:type="spellStart"/>
      <w:r>
        <w:rPr>
          <w:rFonts w:ascii="Arial" w:hAnsi="Arial" w:cs="Arial"/>
          <w:color w:val="222222"/>
          <w:sz w:val="20"/>
          <w:szCs w:val="20"/>
          <w:shd w:val="clear" w:color="auto" w:fill="FFFFFF"/>
        </w:rPr>
        <w:t>physico</w:t>
      </w:r>
      <w:proofErr w:type="spellEnd"/>
      <w:r>
        <w:rPr>
          <w:rFonts w:ascii="Arial" w:hAnsi="Arial" w:cs="Arial"/>
          <w:color w:val="222222"/>
          <w:sz w:val="20"/>
          <w:szCs w:val="20"/>
          <w:shd w:val="clear" w:color="auto" w:fill="FFFFFF"/>
        </w:rPr>
        <w:t xml:space="preserve">-chemical properties of </w:t>
      </w:r>
      <w:proofErr w:type="gramStart"/>
      <w:r>
        <w:rPr>
          <w:rFonts w:ascii="Arial" w:hAnsi="Arial" w:cs="Arial"/>
          <w:color w:val="222222"/>
          <w:sz w:val="20"/>
          <w:szCs w:val="20"/>
          <w:shd w:val="clear" w:color="auto" w:fill="FFFFFF"/>
        </w:rPr>
        <w:t>wheat based</w:t>
      </w:r>
      <w:proofErr w:type="gramEnd"/>
      <w:r>
        <w:rPr>
          <w:rFonts w:ascii="Arial" w:hAnsi="Arial" w:cs="Arial"/>
          <w:color w:val="222222"/>
          <w:sz w:val="20"/>
          <w:szCs w:val="20"/>
          <w:shd w:val="clear" w:color="auto" w:fill="FFFFFF"/>
        </w:rPr>
        <w:t xml:space="preserve"> bread. </w:t>
      </w:r>
      <w:r>
        <w:rPr>
          <w:rFonts w:ascii="Arial" w:hAnsi="Arial" w:cs="Arial"/>
          <w:i/>
          <w:iCs/>
          <w:color w:val="222222"/>
          <w:sz w:val="20"/>
          <w:szCs w:val="20"/>
          <w:shd w:val="clear" w:color="auto" w:fill="FFFFFF"/>
        </w:rPr>
        <w:t>Journal of microbiology, biotechnology and food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(1), e4843-e4843.</w:t>
      </w:r>
    </w:p>
    <w:p w14:paraId="0A9BA25A" w14:textId="5028D28F"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Gibney, M. J., Barr, S. I., Bellisle, F., Drewnowski, A., Fagt, S., Livingstone, B., Masset, G., </w:t>
      </w:r>
      <w:proofErr w:type="spellStart"/>
      <w:r w:rsidRPr="00093EDF">
        <w:rPr>
          <w:rFonts w:ascii="Arial" w:eastAsia="Calibri" w:hAnsi="Arial" w:cs="Times New Roman"/>
          <w:kern w:val="2"/>
          <w:sz w:val="20"/>
          <w14:ligatures w14:val="standardContextual"/>
        </w:rPr>
        <w:t>Moreiras</w:t>
      </w:r>
      <w:proofErr w:type="spellEnd"/>
      <w:r w:rsidRPr="00093EDF">
        <w:rPr>
          <w:rFonts w:ascii="Arial" w:eastAsia="Calibri" w:hAnsi="Arial" w:cs="Times New Roman"/>
          <w:kern w:val="2"/>
          <w:sz w:val="20"/>
          <w14:ligatures w14:val="standardContextual"/>
        </w:rPr>
        <w:t xml:space="preserve">, G. V., Moreno, L. A., Smith, J., Vieux, F., Thielecke, F., &amp; Hopkins, S. (2018). Breakfast in human nutrition: The International Breakfast Research Initiative. </w:t>
      </w:r>
      <w:r w:rsidRPr="00093EDF">
        <w:rPr>
          <w:rFonts w:ascii="Arial" w:eastAsia="Calibri" w:hAnsi="Arial" w:cs="Times New Roman"/>
          <w:i/>
          <w:iCs/>
          <w:kern w:val="2"/>
          <w:sz w:val="20"/>
          <w14:ligatures w14:val="standardContextual"/>
        </w:rPr>
        <w:t>Nutrients, 10</w:t>
      </w:r>
      <w:r w:rsidRPr="00093EDF">
        <w:rPr>
          <w:rFonts w:ascii="Arial" w:eastAsia="Calibri" w:hAnsi="Arial" w:cs="Times New Roman"/>
          <w:kern w:val="2"/>
          <w:sz w:val="20"/>
          <w14:ligatures w14:val="standardContextual"/>
        </w:rPr>
        <w:t xml:space="preserve">(5), 559. </w:t>
      </w:r>
      <w:hyperlink r:id="rId23" w:tgtFrame="_new" w:history="1">
        <w:r w:rsidRPr="00093EDF">
          <w:rPr>
            <w:rFonts w:ascii="Arial" w:eastAsia="Calibri" w:hAnsi="Arial" w:cs="Times New Roman"/>
            <w:color w:val="0563C1"/>
            <w:kern w:val="2"/>
            <w:sz w:val="20"/>
            <w:u w:val="single"/>
            <w:lang w:val="nb-NO"/>
            <w14:ligatures w14:val="standardContextual"/>
          </w:rPr>
          <w:t>https://doi.org/10.3390/nu10050559</w:t>
        </w:r>
      </w:hyperlink>
    </w:p>
    <w:p w14:paraId="0FB00DD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lastRenderedPageBreak/>
        <w:t xml:space="preserve">Godswill, C., Somtochukwu, V., &amp; Kate, C. (2019). </w:t>
      </w:r>
      <w:r w:rsidRPr="00093EDF">
        <w:rPr>
          <w:rFonts w:ascii="Arial" w:eastAsia="Calibri" w:hAnsi="Arial" w:cs="Times New Roman"/>
          <w:kern w:val="2"/>
          <w:sz w:val="20"/>
          <w14:ligatures w14:val="standardContextual"/>
        </w:rPr>
        <w:t xml:space="preserve">The functional properties of foods and flours. </w:t>
      </w:r>
      <w:r w:rsidRPr="00093EDF">
        <w:rPr>
          <w:rFonts w:ascii="Arial" w:eastAsia="Calibri" w:hAnsi="Arial" w:cs="Times New Roman"/>
          <w:i/>
          <w:iCs/>
          <w:kern w:val="2"/>
          <w:sz w:val="20"/>
          <w14:ligatures w14:val="standardContextual"/>
        </w:rPr>
        <w:t>International Journal of Advanced Academic Research, 5</w:t>
      </w:r>
      <w:r w:rsidRPr="00093EDF">
        <w:rPr>
          <w:rFonts w:ascii="Arial" w:eastAsia="Calibri" w:hAnsi="Arial" w:cs="Times New Roman"/>
          <w:kern w:val="2"/>
          <w:sz w:val="20"/>
          <w14:ligatures w14:val="standardContextual"/>
        </w:rPr>
        <w:t>(11), 139–160.</w:t>
      </w:r>
    </w:p>
    <w:p w14:paraId="700FE551"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Heuvey</w:t>
      </w:r>
      <w:proofErr w:type="spellEnd"/>
      <w:r w:rsidRPr="00093EDF">
        <w:rPr>
          <w:rFonts w:ascii="Arial" w:eastAsia="Calibri" w:hAnsi="Arial" w:cs="Times New Roman"/>
          <w:kern w:val="2"/>
          <w:sz w:val="20"/>
          <w14:ligatures w14:val="standardContextual"/>
        </w:rPr>
        <w:t xml:space="preserve">, V., &amp; </w:t>
      </w:r>
      <w:proofErr w:type="spellStart"/>
      <w:r w:rsidRPr="00093EDF">
        <w:rPr>
          <w:rFonts w:ascii="Arial" w:eastAsia="Calibri" w:hAnsi="Arial" w:cs="Times New Roman"/>
          <w:kern w:val="2"/>
          <w:sz w:val="20"/>
          <w14:ligatures w14:val="standardContextual"/>
        </w:rPr>
        <w:t>Ahure</w:t>
      </w:r>
      <w:proofErr w:type="spellEnd"/>
      <w:r w:rsidRPr="00093EDF">
        <w:rPr>
          <w:rFonts w:ascii="Arial" w:eastAsia="Calibri" w:hAnsi="Arial" w:cs="Times New Roman"/>
          <w:kern w:val="2"/>
          <w:sz w:val="20"/>
          <w14:ligatures w14:val="standardContextual"/>
        </w:rPr>
        <w:t xml:space="preserve">, D. (2024). Development of cocoyam, red kidney bean, and mango-based complementary foods: Impact of fermentation and malting on and sensory characteristics. </w:t>
      </w:r>
      <w:r w:rsidRPr="00093EDF">
        <w:rPr>
          <w:rFonts w:ascii="Arial" w:eastAsia="Calibri" w:hAnsi="Arial" w:cs="Times New Roman"/>
          <w:i/>
          <w:iCs/>
          <w:kern w:val="2"/>
          <w:sz w:val="20"/>
          <w14:ligatures w14:val="standardContextual"/>
        </w:rPr>
        <w:t>Asian Journal of Food Research and Nutrition, 3</w:t>
      </w:r>
      <w:r w:rsidRPr="00093EDF">
        <w:rPr>
          <w:rFonts w:ascii="Arial" w:eastAsia="Calibri" w:hAnsi="Arial" w:cs="Times New Roman"/>
          <w:kern w:val="2"/>
          <w:sz w:val="20"/>
          <w14:ligatures w14:val="standardContextual"/>
        </w:rPr>
        <w:t>(3), 485–498.</w:t>
      </w:r>
    </w:p>
    <w:p w14:paraId="2CDD4A11"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Heuvey</w:t>
      </w:r>
      <w:proofErr w:type="spellEnd"/>
      <w:r w:rsidRPr="00093EDF">
        <w:rPr>
          <w:rFonts w:ascii="Arial" w:eastAsia="Calibri" w:hAnsi="Arial" w:cs="Times New Roman"/>
          <w:kern w:val="2"/>
          <w:sz w:val="20"/>
          <w14:ligatures w14:val="standardContextual"/>
        </w:rPr>
        <w:t xml:space="preserve">, V., </w:t>
      </w:r>
      <w:proofErr w:type="spellStart"/>
      <w:r w:rsidRPr="00093EDF">
        <w:rPr>
          <w:rFonts w:ascii="Arial" w:eastAsia="Calibri" w:hAnsi="Arial" w:cs="Times New Roman"/>
          <w:kern w:val="2"/>
          <w:sz w:val="20"/>
          <w14:ligatures w14:val="standardContextual"/>
        </w:rPr>
        <w:t>Amove</w:t>
      </w:r>
      <w:proofErr w:type="spellEnd"/>
      <w:r w:rsidRPr="00093EDF">
        <w:rPr>
          <w:rFonts w:ascii="Arial" w:eastAsia="Calibri" w:hAnsi="Arial" w:cs="Times New Roman"/>
          <w:kern w:val="2"/>
          <w:sz w:val="20"/>
          <w14:ligatures w14:val="standardContextual"/>
        </w:rPr>
        <w:t xml:space="preserve">, J., &amp; Yusufu, M. I. (2023). Characteristics of whole wheat, red kidney bean and defatted coconut flour blends and its application in bread production. </w:t>
      </w:r>
      <w:r w:rsidRPr="00093EDF">
        <w:rPr>
          <w:rFonts w:ascii="Arial" w:eastAsia="Calibri" w:hAnsi="Arial" w:cs="Times New Roman"/>
          <w:i/>
          <w:iCs/>
          <w:kern w:val="2"/>
          <w:sz w:val="20"/>
          <w14:ligatures w14:val="standardContextual"/>
        </w:rPr>
        <w:t>Asian Food Science Journal, 22</w:t>
      </w:r>
      <w:r w:rsidRPr="00093EDF">
        <w:rPr>
          <w:rFonts w:ascii="Arial" w:eastAsia="Calibri" w:hAnsi="Arial" w:cs="Times New Roman"/>
          <w:kern w:val="2"/>
          <w:sz w:val="20"/>
          <w14:ligatures w14:val="standardContextual"/>
        </w:rPr>
        <w:t xml:space="preserve">(9), 23–39. </w:t>
      </w:r>
      <w:hyperlink r:id="rId24" w:tgtFrame="_new" w:history="1">
        <w:r w:rsidRPr="00093EDF">
          <w:rPr>
            <w:rFonts w:ascii="Arial" w:eastAsia="Calibri" w:hAnsi="Arial" w:cs="Times New Roman"/>
            <w:color w:val="0563C1"/>
            <w:kern w:val="2"/>
            <w:sz w:val="20"/>
            <w:u w:val="single"/>
            <w14:ligatures w14:val="standardContextual"/>
          </w:rPr>
          <w:t>https://doi.org/10.9734/AFSJ/2023/v22i9655</w:t>
        </w:r>
      </w:hyperlink>
    </w:p>
    <w:p w14:paraId="406F288C" w14:textId="77777777" w:rsidR="00093EDF" w:rsidRPr="00093EDF" w:rsidRDefault="00093EDF" w:rsidP="00093EDF">
      <w:pPr>
        <w:spacing w:after="0" w:line="240" w:lineRule="auto"/>
        <w:rPr>
          <w:rFonts w:ascii="Arial" w:eastAsia="Calibri" w:hAnsi="Arial" w:cs="Times New Roman"/>
          <w:kern w:val="2"/>
          <w:sz w:val="20"/>
          <w:lang w:val="pt-BR"/>
          <w14:ligatures w14:val="standardContextual"/>
        </w:rPr>
      </w:pPr>
      <w:r w:rsidRPr="00093EDF">
        <w:rPr>
          <w:rFonts w:ascii="Arial" w:eastAsia="Calibri" w:hAnsi="Arial" w:cs="Times New Roman"/>
          <w:kern w:val="2"/>
          <w:sz w:val="20"/>
          <w14:ligatures w14:val="standardContextual"/>
        </w:rPr>
        <w:t>Ikechukwu, J. (2023). Chemical composition, functional and pasting properties of sprouted maize (</w:t>
      </w:r>
      <w:r w:rsidRPr="00093EDF">
        <w:rPr>
          <w:rFonts w:ascii="Arial" w:eastAsia="Calibri" w:hAnsi="Arial" w:cs="Times New Roman"/>
          <w:i/>
          <w:iCs/>
          <w:kern w:val="2"/>
          <w:sz w:val="20"/>
          <w14:ligatures w14:val="standardContextual"/>
        </w:rPr>
        <w:t>Zea mays</w:t>
      </w:r>
      <w:r w:rsidRPr="00093EDF">
        <w:rPr>
          <w:rFonts w:ascii="Arial" w:eastAsia="Calibri" w:hAnsi="Arial" w:cs="Times New Roman"/>
          <w:kern w:val="2"/>
          <w:sz w:val="20"/>
          <w14:ligatures w14:val="standardContextual"/>
        </w:rPr>
        <w:t>)–</w:t>
      </w:r>
      <w:proofErr w:type="spellStart"/>
      <w:r w:rsidRPr="00093EDF">
        <w:rPr>
          <w:rFonts w:ascii="Arial" w:eastAsia="Calibri" w:hAnsi="Arial" w:cs="Times New Roman"/>
          <w:i/>
          <w:iCs/>
          <w:kern w:val="2"/>
          <w:sz w:val="20"/>
          <w14:ligatures w14:val="standardContextual"/>
        </w:rPr>
        <w:t>Hildegardia</w:t>
      </w:r>
      <w:proofErr w:type="spellEnd"/>
      <w:r w:rsidRPr="00093EDF">
        <w:rPr>
          <w:rFonts w:ascii="Arial" w:eastAsia="Calibri" w:hAnsi="Arial" w:cs="Times New Roman"/>
          <w:i/>
          <w:iCs/>
          <w:kern w:val="2"/>
          <w:sz w:val="20"/>
          <w14:ligatures w14:val="standardContextual"/>
        </w:rPr>
        <w:t xml:space="preserve"> </w:t>
      </w:r>
      <w:proofErr w:type="spellStart"/>
      <w:r w:rsidRPr="00093EDF">
        <w:rPr>
          <w:rFonts w:ascii="Arial" w:eastAsia="Calibri" w:hAnsi="Arial" w:cs="Times New Roman"/>
          <w:i/>
          <w:iCs/>
          <w:kern w:val="2"/>
          <w:sz w:val="20"/>
          <w14:ligatures w14:val="standardContextual"/>
        </w:rPr>
        <w:t>barteri</w:t>
      </w:r>
      <w:proofErr w:type="spellEnd"/>
      <w:r w:rsidRPr="00093EDF">
        <w:rPr>
          <w:rFonts w:ascii="Arial" w:eastAsia="Calibri" w:hAnsi="Arial" w:cs="Times New Roman"/>
          <w:kern w:val="2"/>
          <w:sz w:val="20"/>
          <w14:ligatures w14:val="standardContextual"/>
        </w:rPr>
        <w:t xml:space="preserve"> (</w:t>
      </w:r>
      <w:proofErr w:type="spellStart"/>
      <w:r w:rsidRPr="00093EDF">
        <w:rPr>
          <w:rFonts w:ascii="Arial" w:eastAsia="Calibri" w:hAnsi="Arial" w:cs="Times New Roman"/>
          <w:kern w:val="2"/>
          <w:sz w:val="20"/>
          <w14:ligatures w14:val="standardContextual"/>
        </w:rPr>
        <w:t>Kpaakpa</w:t>
      </w:r>
      <w:proofErr w:type="spellEnd"/>
      <w:r w:rsidRPr="00093EDF">
        <w:rPr>
          <w:rFonts w:ascii="Arial" w:eastAsia="Calibri" w:hAnsi="Arial" w:cs="Times New Roman"/>
          <w:kern w:val="2"/>
          <w:sz w:val="20"/>
          <w14:ligatures w14:val="standardContextual"/>
        </w:rPr>
        <w:t>)–blanched plantain (</w:t>
      </w:r>
      <w:r w:rsidRPr="00093EDF">
        <w:rPr>
          <w:rFonts w:ascii="Arial" w:eastAsia="Calibri" w:hAnsi="Arial" w:cs="Times New Roman"/>
          <w:i/>
          <w:iCs/>
          <w:kern w:val="2"/>
          <w:sz w:val="20"/>
          <w14:ligatures w14:val="standardContextual"/>
        </w:rPr>
        <w:t>Musa paradisiaca</w:t>
      </w:r>
      <w:r w:rsidRPr="00093EDF">
        <w:rPr>
          <w:rFonts w:ascii="Arial" w:eastAsia="Calibri" w:hAnsi="Arial" w:cs="Times New Roman"/>
          <w:kern w:val="2"/>
          <w:sz w:val="20"/>
          <w14:ligatures w14:val="standardContextual"/>
        </w:rPr>
        <w:t xml:space="preserve">) composite flour. </w:t>
      </w:r>
      <w:r w:rsidRPr="00093EDF">
        <w:rPr>
          <w:rFonts w:ascii="Arial" w:eastAsia="Calibri" w:hAnsi="Arial" w:cs="Times New Roman"/>
          <w:i/>
          <w:iCs/>
          <w:kern w:val="2"/>
          <w:sz w:val="20"/>
          <w:lang w:val="pt-BR"/>
          <w14:ligatures w14:val="standardContextual"/>
        </w:rPr>
        <w:t>2</w:t>
      </w:r>
      <w:r w:rsidRPr="00093EDF">
        <w:rPr>
          <w:rFonts w:ascii="Arial" w:eastAsia="Calibri" w:hAnsi="Arial" w:cs="Times New Roman"/>
          <w:kern w:val="2"/>
          <w:sz w:val="20"/>
          <w:lang w:val="pt-BR"/>
          <w14:ligatures w14:val="standardContextual"/>
        </w:rPr>
        <w:t>(4), 340–350.</w:t>
      </w:r>
    </w:p>
    <w:p w14:paraId="03734972"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Jacinto, B.-P., Cecilia, G.-R. C., Ricardo, C.-J., &amp; Octavio, A. L. L. (2018). </w:t>
      </w:r>
      <w:r w:rsidRPr="00093EDF">
        <w:rPr>
          <w:rFonts w:ascii="Arial" w:eastAsia="Calibri" w:hAnsi="Arial" w:cs="Times New Roman"/>
          <w:kern w:val="2"/>
          <w:sz w:val="20"/>
          <w14:ligatures w14:val="standardContextual"/>
        </w:rPr>
        <w:t xml:space="preserve">The maize contribution in human health. In </w:t>
      </w:r>
      <w:r w:rsidRPr="00093EDF">
        <w:rPr>
          <w:rFonts w:ascii="Arial" w:eastAsia="Calibri" w:hAnsi="Arial" w:cs="Times New Roman"/>
          <w:i/>
          <w:iCs/>
          <w:kern w:val="2"/>
          <w:sz w:val="20"/>
          <w14:ligatures w14:val="standardContextual"/>
        </w:rPr>
        <w:t>Corn—Production and Human Health in Changing Climate</w:t>
      </w:r>
      <w:r w:rsidRPr="00093EDF">
        <w:rPr>
          <w:rFonts w:ascii="Arial" w:eastAsia="Calibri" w:hAnsi="Arial" w:cs="Times New Roman"/>
          <w:kern w:val="2"/>
          <w:sz w:val="20"/>
          <w14:ligatures w14:val="standardContextual"/>
        </w:rPr>
        <w:t xml:space="preserve">. </w:t>
      </w:r>
      <w:hyperlink r:id="rId25" w:tgtFrame="_new" w:history="1">
        <w:r w:rsidRPr="00093EDF">
          <w:rPr>
            <w:rFonts w:ascii="Arial" w:eastAsia="Calibri" w:hAnsi="Arial" w:cs="Times New Roman"/>
            <w:color w:val="0563C1"/>
            <w:kern w:val="2"/>
            <w:sz w:val="20"/>
            <w:u w:val="single"/>
            <w14:ligatures w14:val="standardContextual"/>
          </w:rPr>
          <w:t>https://doi.org/10.5772/intechopen.78700</w:t>
        </w:r>
      </w:hyperlink>
    </w:p>
    <w:p w14:paraId="78D551EF"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Kimothi</w:t>
      </w:r>
      <w:proofErr w:type="spellEnd"/>
      <w:r w:rsidRPr="00093EDF">
        <w:rPr>
          <w:rFonts w:ascii="Arial" w:eastAsia="Calibri" w:hAnsi="Arial" w:cs="Times New Roman"/>
          <w:kern w:val="2"/>
          <w:sz w:val="20"/>
          <w14:ligatures w14:val="standardContextual"/>
        </w:rPr>
        <w:t>, S., &amp; Dhaliwal, Y. S. (2020). Nutritional and health promoting attribute of kidney beans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L.): A review. </w:t>
      </w:r>
      <w:r w:rsidRPr="00093EDF">
        <w:rPr>
          <w:rFonts w:ascii="Arial" w:eastAsia="Calibri" w:hAnsi="Arial" w:cs="Times New Roman"/>
          <w:i/>
          <w:iCs/>
          <w:kern w:val="2"/>
          <w:sz w:val="20"/>
          <w14:ligatures w14:val="standardContextual"/>
        </w:rPr>
        <w:t>International Journal of Current Microbiology and Applied Sciences, 9</w:t>
      </w:r>
      <w:r w:rsidRPr="00093EDF">
        <w:rPr>
          <w:rFonts w:ascii="Arial" w:eastAsia="Calibri" w:hAnsi="Arial" w:cs="Times New Roman"/>
          <w:kern w:val="2"/>
          <w:sz w:val="20"/>
          <w14:ligatures w14:val="standardContextual"/>
        </w:rPr>
        <w:t xml:space="preserve">(5), 1201–1209. </w:t>
      </w:r>
      <w:hyperlink r:id="rId26" w:tgtFrame="_new" w:history="1">
        <w:r w:rsidRPr="00093EDF">
          <w:rPr>
            <w:rFonts w:ascii="Arial" w:eastAsia="Calibri" w:hAnsi="Arial" w:cs="Times New Roman"/>
            <w:color w:val="0563C1"/>
            <w:kern w:val="2"/>
            <w:sz w:val="20"/>
            <w:u w:val="single"/>
            <w14:ligatures w14:val="standardContextual"/>
          </w:rPr>
          <w:t>https://www.academia.edu/download/76535391/S._20Kimothi_20and_20Y._20S._20Dhaliwal.pdf</w:t>
        </w:r>
      </w:hyperlink>
    </w:p>
    <w:p w14:paraId="2AB52E85"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Mostafa, A., Haleem, E. M. A., &amp; Gabal, S. (2017). </w:t>
      </w:r>
      <w:r w:rsidRPr="00093EDF">
        <w:rPr>
          <w:rFonts w:ascii="Arial" w:eastAsia="Calibri" w:hAnsi="Arial" w:cs="Times New Roman"/>
          <w:kern w:val="2"/>
          <w:sz w:val="20"/>
          <w14:ligatures w14:val="standardContextual"/>
        </w:rPr>
        <w:t xml:space="preserve">Formulation and evaluation of some novel breakfast blends made from cereals and legumes. </w:t>
      </w:r>
      <w:r w:rsidRPr="00093EDF">
        <w:rPr>
          <w:rFonts w:ascii="Arial" w:eastAsia="Calibri" w:hAnsi="Arial" w:cs="Times New Roman"/>
          <w:i/>
          <w:iCs/>
          <w:kern w:val="2"/>
          <w:sz w:val="20"/>
          <w14:ligatures w14:val="standardContextual"/>
        </w:rPr>
        <w:t>Alex Journal of Food Science and Technology, 14</w:t>
      </w:r>
      <w:r w:rsidRPr="00093EDF">
        <w:rPr>
          <w:rFonts w:ascii="Arial" w:eastAsia="Calibri" w:hAnsi="Arial" w:cs="Times New Roman"/>
          <w:kern w:val="2"/>
          <w:sz w:val="20"/>
          <w14:ligatures w14:val="standardContextual"/>
        </w:rPr>
        <w:t xml:space="preserve">(2), 25–34. </w:t>
      </w:r>
      <w:hyperlink r:id="rId27" w:tgtFrame="_new" w:history="1">
        <w:r w:rsidRPr="00093EDF">
          <w:rPr>
            <w:rFonts w:ascii="Arial" w:eastAsia="Calibri" w:hAnsi="Arial" w:cs="Times New Roman"/>
            <w:color w:val="0563C1"/>
            <w:kern w:val="2"/>
            <w:sz w:val="20"/>
            <w:u w:val="single"/>
            <w14:ligatures w14:val="standardContextual"/>
          </w:rPr>
          <w:t>https://ajfs.journals.ekb.eg/article_16283.html</w:t>
        </w:r>
      </w:hyperlink>
    </w:p>
    <w:p w14:paraId="03C65EFD"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Mucheru-Muna, M., </w:t>
      </w:r>
      <w:proofErr w:type="spellStart"/>
      <w:r w:rsidRPr="00093EDF">
        <w:rPr>
          <w:rFonts w:ascii="Arial" w:eastAsia="Calibri" w:hAnsi="Arial" w:cs="Times New Roman"/>
          <w:kern w:val="2"/>
          <w:sz w:val="20"/>
          <w14:ligatures w14:val="standardContextual"/>
        </w:rPr>
        <w:t>Pypers</w:t>
      </w:r>
      <w:proofErr w:type="spellEnd"/>
      <w:r w:rsidRPr="00093EDF">
        <w:rPr>
          <w:rFonts w:ascii="Arial" w:eastAsia="Calibri" w:hAnsi="Arial" w:cs="Times New Roman"/>
          <w:kern w:val="2"/>
          <w:sz w:val="20"/>
          <w14:ligatures w14:val="standardContextual"/>
        </w:rPr>
        <w:t xml:space="preserve">, P., Mugendi, D., Kung, J., </w:t>
      </w:r>
      <w:proofErr w:type="spellStart"/>
      <w:r w:rsidRPr="00093EDF">
        <w:rPr>
          <w:rFonts w:ascii="Arial" w:eastAsia="Calibri" w:hAnsi="Arial" w:cs="Times New Roman"/>
          <w:kern w:val="2"/>
          <w:sz w:val="20"/>
          <w14:ligatures w14:val="standardContextual"/>
        </w:rPr>
        <w:t>Mugwe</w:t>
      </w:r>
      <w:proofErr w:type="spellEnd"/>
      <w:r w:rsidRPr="00093EDF">
        <w:rPr>
          <w:rFonts w:ascii="Arial" w:eastAsia="Calibri" w:hAnsi="Arial" w:cs="Times New Roman"/>
          <w:kern w:val="2"/>
          <w:sz w:val="20"/>
          <w14:ligatures w14:val="standardContextual"/>
        </w:rPr>
        <w:t xml:space="preserve">, J., Merckx, R., &amp; </w:t>
      </w:r>
      <w:proofErr w:type="spellStart"/>
      <w:r w:rsidRPr="00093EDF">
        <w:rPr>
          <w:rFonts w:ascii="Arial" w:eastAsia="Calibri" w:hAnsi="Arial" w:cs="Times New Roman"/>
          <w:kern w:val="2"/>
          <w:sz w:val="20"/>
          <w14:ligatures w14:val="standardContextual"/>
        </w:rPr>
        <w:t>Vanlauwe</w:t>
      </w:r>
      <w:proofErr w:type="spellEnd"/>
      <w:r w:rsidRPr="00093EDF">
        <w:rPr>
          <w:rFonts w:ascii="Arial" w:eastAsia="Calibri" w:hAnsi="Arial" w:cs="Times New Roman"/>
          <w:kern w:val="2"/>
          <w:sz w:val="20"/>
          <w14:ligatures w14:val="standardContextual"/>
        </w:rPr>
        <w:t xml:space="preserve">, B. (2010). A staggered maize–legume intercrop arrangement robustly increases crop yields and economic returns in the highlands of Central Kenya. </w:t>
      </w:r>
      <w:r w:rsidRPr="00093EDF">
        <w:rPr>
          <w:rFonts w:ascii="Arial" w:eastAsia="Calibri" w:hAnsi="Arial" w:cs="Times New Roman"/>
          <w:i/>
          <w:iCs/>
          <w:kern w:val="2"/>
          <w:sz w:val="20"/>
          <w14:ligatures w14:val="standardContextual"/>
        </w:rPr>
        <w:t>Field Crops Research, 115</w:t>
      </w:r>
      <w:r w:rsidRPr="00093EDF">
        <w:rPr>
          <w:rFonts w:ascii="Arial" w:eastAsia="Calibri" w:hAnsi="Arial" w:cs="Times New Roman"/>
          <w:kern w:val="2"/>
          <w:sz w:val="20"/>
          <w14:ligatures w14:val="standardContextual"/>
        </w:rPr>
        <w:t xml:space="preserve">, 132–139. </w:t>
      </w:r>
      <w:hyperlink r:id="rId28" w:tgtFrame="_new" w:history="1">
        <w:r w:rsidRPr="00093EDF">
          <w:rPr>
            <w:rFonts w:ascii="Arial" w:eastAsia="Calibri" w:hAnsi="Arial" w:cs="Times New Roman"/>
            <w:color w:val="0563C1"/>
            <w:kern w:val="2"/>
            <w:sz w:val="20"/>
            <w:u w:val="single"/>
            <w14:ligatures w14:val="standardContextual"/>
          </w:rPr>
          <w:t>https://doi.org/10.1016/j.fcr.2009.10.013</w:t>
        </w:r>
      </w:hyperlink>
    </w:p>
    <w:p w14:paraId="6C36CC0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Nkhata, S. G., </w:t>
      </w:r>
      <w:proofErr w:type="spellStart"/>
      <w:r w:rsidRPr="00093EDF">
        <w:rPr>
          <w:rFonts w:ascii="Arial" w:eastAsia="Calibri" w:hAnsi="Arial" w:cs="Times New Roman"/>
          <w:kern w:val="2"/>
          <w:sz w:val="20"/>
          <w14:ligatures w14:val="standardContextual"/>
        </w:rPr>
        <w:t>Ayua</w:t>
      </w:r>
      <w:proofErr w:type="spellEnd"/>
      <w:r w:rsidRPr="00093EDF">
        <w:rPr>
          <w:rFonts w:ascii="Arial" w:eastAsia="Calibri" w:hAnsi="Arial" w:cs="Times New Roman"/>
          <w:kern w:val="2"/>
          <w:sz w:val="20"/>
          <w14:ligatures w14:val="standardContextual"/>
        </w:rPr>
        <w:t xml:space="preserve">, E., &amp; Kamau, E. H. (2018). Fermentation and germination improve nutritional value of cereals and legumes through activation of endogenous enzymes. </w:t>
      </w:r>
      <w:r w:rsidRPr="00093EDF">
        <w:rPr>
          <w:rFonts w:ascii="Arial" w:eastAsia="Calibri" w:hAnsi="Arial" w:cs="Times New Roman"/>
          <w:i/>
          <w:iCs/>
          <w:kern w:val="2"/>
          <w:sz w:val="20"/>
          <w14:ligatures w14:val="standardContextual"/>
        </w:rPr>
        <w:t>Food Science &amp; Nutrition, 6</w:t>
      </w:r>
      <w:r w:rsidRPr="00093EDF">
        <w:rPr>
          <w:rFonts w:ascii="Arial" w:eastAsia="Calibri" w:hAnsi="Arial" w:cs="Times New Roman"/>
          <w:kern w:val="2"/>
          <w:sz w:val="20"/>
          <w14:ligatures w14:val="standardContextual"/>
        </w:rPr>
        <w:t xml:space="preserve">(7), 2446–2458. </w:t>
      </w:r>
      <w:hyperlink r:id="rId29" w:tgtFrame="_new" w:history="1">
        <w:r w:rsidRPr="00093EDF">
          <w:rPr>
            <w:rFonts w:ascii="Arial" w:eastAsia="Calibri" w:hAnsi="Arial" w:cs="Times New Roman"/>
            <w:color w:val="0563C1"/>
            <w:kern w:val="2"/>
            <w:sz w:val="20"/>
            <w:u w:val="single"/>
            <w14:ligatures w14:val="standardContextual"/>
          </w:rPr>
          <w:t>https://doi.org/10.1002/fsn3.846</w:t>
        </w:r>
      </w:hyperlink>
    </w:p>
    <w:p w14:paraId="0D3D0FC5"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Ocheme</w:t>
      </w:r>
      <w:proofErr w:type="spellEnd"/>
      <w:r w:rsidRPr="00093EDF">
        <w:rPr>
          <w:rFonts w:ascii="Arial" w:eastAsia="Calibri" w:hAnsi="Arial" w:cs="Times New Roman"/>
          <w:kern w:val="2"/>
          <w:sz w:val="20"/>
          <w14:ligatures w14:val="standardContextual"/>
        </w:rPr>
        <w:t xml:space="preserve">, O. B., Adedeji, O. E., Enyinnaya, C., Caleb, C., Yakubu, M., &amp; Happiness, U. (2018). Proximate composition, functional, and pasting properties of wheat and groundnut protein concentrate flour blends. </w:t>
      </w:r>
      <w:r w:rsidRPr="00093EDF">
        <w:rPr>
          <w:rFonts w:ascii="Arial" w:eastAsia="Calibri" w:hAnsi="Arial" w:cs="Times New Roman"/>
          <w:i/>
          <w:iCs/>
          <w:kern w:val="2"/>
          <w:sz w:val="20"/>
          <w14:ligatures w14:val="standardContextual"/>
        </w:rPr>
        <w:t>Food Science &amp; Nutrition, 6</w:t>
      </w:r>
      <w:r w:rsidRPr="00093EDF">
        <w:rPr>
          <w:rFonts w:ascii="Arial" w:eastAsia="Calibri" w:hAnsi="Arial" w:cs="Times New Roman"/>
          <w:kern w:val="2"/>
          <w:sz w:val="20"/>
          <w14:ligatures w14:val="standardContextual"/>
        </w:rPr>
        <w:t xml:space="preserve">(1), 1173–1178. </w:t>
      </w:r>
      <w:hyperlink r:id="rId30" w:tgtFrame="_new" w:history="1">
        <w:r w:rsidRPr="00093EDF">
          <w:rPr>
            <w:rFonts w:ascii="Arial" w:eastAsia="Calibri" w:hAnsi="Arial" w:cs="Times New Roman"/>
            <w:color w:val="0563C1"/>
            <w:kern w:val="2"/>
            <w:sz w:val="20"/>
            <w:u w:val="single"/>
            <w14:ligatures w14:val="standardContextual"/>
          </w:rPr>
          <w:t>https://doi.org/10.1002/fsn3.670</w:t>
        </w:r>
      </w:hyperlink>
    </w:p>
    <w:p w14:paraId="7A929E1A"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Oghbaei</w:t>
      </w:r>
      <w:proofErr w:type="spellEnd"/>
      <w:r w:rsidRPr="00093EDF">
        <w:rPr>
          <w:rFonts w:ascii="Arial" w:eastAsia="Calibri" w:hAnsi="Arial" w:cs="Times New Roman"/>
          <w:kern w:val="2"/>
          <w:sz w:val="20"/>
          <w14:ligatures w14:val="standardContextual"/>
        </w:rPr>
        <w:t xml:space="preserve">, M., &amp; Prakash, J. (2016). Effect of primary processing of cereals and legumes on its nutritional quality: A comprehensive review. </w:t>
      </w:r>
      <w:r w:rsidRPr="00093EDF">
        <w:rPr>
          <w:rFonts w:ascii="Arial" w:eastAsia="Calibri" w:hAnsi="Arial" w:cs="Times New Roman"/>
          <w:i/>
          <w:iCs/>
          <w:kern w:val="2"/>
          <w:sz w:val="20"/>
          <w14:ligatures w14:val="standardContextual"/>
        </w:rPr>
        <w:t>Cogent Food &amp; Agriculture, 2</w:t>
      </w:r>
      <w:r w:rsidRPr="00093EDF">
        <w:rPr>
          <w:rFonts w:ascii="Arial" w:eastAsia="Calibri" w:hAnsi="Arial" w:cs="Times New Roman"/>
          <w:kern w:val="2"/>
          <w:sz w:val="20"/>
          <w14:ligatures w14:val="standardContextual"/>
        </w:rPr>
        <w:t xml:space="preserve">(1), 1136015. </w:t>
      </w:r>
      <w:hyperlink r:id="rId31" w:tgtFrame="_new" w:history="1">
        <w:r w:rsidRPr="00093EDF">
          <w:rPr>
            <w:rFonts w:ascii="Arial" w:eastAsia="Calibri" w:hAnsi="Arial" w:cs="Times New Roman"/>
            <w:color w:val="0563C1"/>
            <w:kern w:val="2"/>
            <w:sz w:val="20"/>
            <w:u w:val="single"/>
            <w14:ligatures w14:val="standardContextual"/>
          </w:rPr>
          <w:t>https://doi.org/10.1080/23311932.2015.1136015</w:t>
        </w:r>
      </w:hyperlink>
    </w:p>
    <w:p w14:paraId="65C84BB8" w14:textId="77777777"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Ojokoh, A. O., Alade, R. A., </w:t>
      </w:r>
      <w:proofErr w:type="spellStart"/>
      <w:r w:rsidRPr="00093EDF">
        <w:rPr>
          <w:rFonts w:ascii="Arial" w:eastAsia="Calibri" w:hAnsi="Arial" w:cs="Times New Roman"/>
          <w:kern w:val="2"/>
          <w:sz w:val="20"/>
          <w14:ligatures w14:val="standardContextual"/>
        </w:rPr>
        <w:t>Ozabor</w:t>
      </w:r>
      <w:proofErr w:type="spellEnd"/>
      <w:r w:rsidRPr="00093EDF">
        <w:rPr>
          <w:rFonts w:ascii="Arial" w:eastAsia="Calibri" w:hAnsi="Arial" w:cs="Times New Roman"/>
          <w:kern w:val="2"/>
          <w:sz w:val="20"/>
          <w14:ligatures w14:val="standardContextual"/>
        </w:rPr>
        <w:t xml:space="preserve">, P. T., &amp; Fadahunsi, I. F. (2020). Effect of fermentation on sorghum and cowpea flour blends. </w:t>
      </w:r>
      <w:r w:rsidRPr="00093EDF">
        <w:rPr>
          <w:rFonts w:ascii="Arial" w:eastAsia="Calibri" w:hAnsi="Arial" w:cs="Times New Roman"/>
          <w:i/>
          <w:iCs/>
          <w:kern w:val="2"/>
          <w:sz w:val="20"/>
          <w14:ligatures w14:val="standardContextual"/>
        </w:rPr>
        <w:t>Journal of Agricultural Biotechnology and Sustainable Development, 12</w:t>
      </w:r>
      <w:r w:rsidRPr="00093EDF">
        <w:rPr>
          <w:rFonts w:ascii="Arial" w:eastAsia="Calibri" w:hAnsi="Arial" w:cs="Times New Roman"/>
          <w:kern w:val="2"/>
          <w:sz w:val="20"/>
          <w14:ligatures w14:val="standardContextual"/>
        </w:rPr>
        <w:t xml:space="preserve">(2), 39–49. </w:t>
      </w:r>
      <w:hyperlink r:id="rId32" w:tgtFrame="_new" w:history="1">
        <w:r w:rsidRPr="00093EDF">
          <w:rPr>
            <w:rFonts w:ascii="Arial" w:eastAsia="Calibri" w:hAnsi="Arial" w:cs="Times New Roman"/>
            <w:color w:val="0563C1"/>
            <w:kern w:val="2"/>
            <w:sz w:val="20"/>
            <w:u w:val="single"/>
            <w:lang w:val="nb-NO"/>
            <w14:ligatures w14:val="standardContextual"/>
          </w:rPr>
          <w:t>https://doi.org/10.5897/JABSD2019.0365</w:t>
        </w:r>
      </w:hyperlink>
    </w:p>
    <w:p w14:paraId="500DD0D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Okoye, J. I., Egbujie, A. E., &amp; Ene, G. I. (2021). </w:t>
      </w:r>
      <w:r w:rsidRPr="00093EDF">
        <w:rPr>
          <w:rFonts w:ascii="Arial" w:eastAsia="Calibri" w:hAnsi="Arial" w:cs="Times New Roman"/>
          <w:kern w:val="2"/>
          <w:sz w:val="20"/>
          <w14:ligatures w14:val="standardContextual"/>
        </w:rPr>
        <w:t xml:space="preserve">Evaluation of complementary foods produced from sorghum, soybean and Irish potato composite flours. </w:t>
      </w:r>
      <w:r w:rsidRPr="00093EDF">
        <w:rPr>
          <w:rFonts w:ascii="Arial" w:eastAsia="Calibri" w:hAnsi="Arial" w:cs="Times New Roman"/>
          <w:i/>
          <w:iCs/>
          <w:kern w:val="2"/>
          <w:sz w:val="20"/>
          <w14:ligatures w14:val="standardContextual"/>
        </w:rPr>
        <w:t>16</w:t>
      </w:r>
      <w:r w:rsidRPr="00093EDF">
        <w:rPr>
          <w:rFonts w:ascii="Arial" w:eastAsia="Calibri" w:hAnsi="Arial" w:cs="Times New Roman"/>
          <w:kern w:val="2"/>
          <w:sz w:val="20"/>
          <w14:ligatures w14:val="standardContextual"/>
        </w:rPr>
        <w:t xml:space="preserve">(3), 206–211. </w:t>
      </w:r>
      <w:hyperlink r:id="rId33" w:tgtFrame="_new" w:history="1">
        <w:r w:rsidRPr="00093EDF">
          <w:rPr>
            <w:rFonts w:ascii="Arial" w:eastAsia="Calibri" w:hAnsi="Arial" w:cs="Times New Roman"/>
            <w:color w:val="0563C1"/>
            <w:kern w:val="2"/>
            <w:sz w:val="20"/>
            <w:u w:val="single"/>
            <w14:ligatures w14:val="standardContextual"/>
          </w:rPr>
          <w:t>https://scienceworldjournal.org/article/view/22070</w:t>
        </w:r>
      </w:hyperlink>
    </w:p>
    <w:p w14:paraId="3D11EA1A"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Rani, R., </w:t>
      </w:r>
      <w:proofErr w:type="spellStart"/>
      <w:r w:rsidRPr="00093EDF">
        <w:rPr>
          <w:rFonts w:ascii="Arial" w:eastAsia="Calibri" w:hAnsi="Arial" w:cs="Times New Roman"/>
          <w:kern w:val="2"/>
          <w:sz w:val="20"/>
          <w14:ligatures w14:val="standardContextual"/>
        </w:rPr>
        <w:t>Dharaiya</w:t>
      </w:r>
      <w:proofErr w:type="spellEnd"/>
      <w:r w:rsidRPr="00093EDF">
        <w:rPr>
          <w:rFonts w:ascii="Arial" w:eastAsia="Calibri" w:hAnsi="Arial" w:cs="Times New Roman"/>
          <w:kern w:val="2"/>
          <w:sz w:val="20"/>
          <w14:ligatures w14:val="standardContextual"/>
        </w:rPr>
        <w:t xml:space="preserve">, C. N., &amp; Singh, B. (2021). Importance of not skipping breakfast: A review. </w:t>
      </w:r>
      <w:r w:rsidRPr="00093EDF">
        <w:rPr>
          <w:rFonts w:ascii="Arial" w:eastAsia="Calibri" w:hAnsi="Arial" w:cs="Times New Roman"/>
          <w:i/>
          <w:iCs/>
          <w:kern w:val="2"/>
          <w:sz w:val="20"/>
          <w14:ligatures w14:val="standardContextual"/>
        </w:rPr>
        <w:t>International Journal of Food Science and Technology, 56</w:t>
      </w:r>
      <w:r w:rsidRPr="00093EDF">
        <w:rPr>
          <w:rFonts w:ascii="Arial" w:eastAsia="Calibri" w:hAnsi="Arial" w:cs="Times New Roman"/>
          <w:kern w:val="2"/>
          <w:sz w:val="20"/>
          <w14:ligatures w14:val="standardContextual"/>
        </w:rPr>
        <w:t xml:space="preserve">(2018), 28–38. </w:t>
      </w:r>
      <w:hyperlink r:id="rId34" w:tgtFrame="_new" w:history="1">
        <w:r w:rsidRPr="00093EDF">
          <w:rPr>
            <w:rFonts w:ascii="Arial" w:eastAsia="Calibri" w:hAnsi="Arial" w:cs="Times New Roman"/>
            <w:color w:val="0563C1"/>
            <w:kern w:val="2"/>
            <w:sz w:val="20"/>
            <w:u w:val="single"/>
            <w14:ligatures w14:val="standardContextual"/>
          </w:rPr>
          <w:t>https://doi.org/10.1111/ijfs.14742</w:t>
        </w:r>
      </w:hyperlink>
    </w:p>
    <w:p w14:paraId="1C369A27" w14:textId="77777777" w:rsidR="00A30099" w:rsidRDefault="00A30099" w:rsidP="00093EDF">
      <w:pPr>
        <w:spacing w:after="0" w:line="240" w:lineRule="auto"/>
        <w:rPr>
          <w:rFonts w:ascii="Arial" w:eastAsia="Calibri" w:hAnsi="Arial" w:cs="Times New Roman"/>
          <w:kern w:val="2"/>
          <w:sz w:val="20"/>
          <w14:ligatures w14:val="standardContextual"/>
        </w:rPr>
      </w:pPr>
    </w:p>
    <w:p w14:paraId="7028514A" w14:textId="2019E36D" w:rsidR="000A7DFB" w:rsidRDefault="000A7DFB" w:rsidP="00093EDF">
      <w:pPr>
        <w:spacing w:after="0" w:line="240" w:lineRule="auto"/>
        <w:rPr>
          <w:rFonts w:ascii="Arial" w:eastAsia="Calibri" w:hAnsi="Arial" w:cs="Times New Roman"/>
          <w:kern w:val="2"/>
          <w:sz w:val="20"/>
          <w:lang w:val="pt-BR"/>
          <w14:ligatures w14:val="standardContextual"/>
        </w:rPr>
      </w:pPr>
      <w:r w:rsidRPr="00A30099">
        <w:rPr>
          <w:rFonts w:ascii="Arial" w:eastAsia="Calibri" w:hAnsi="Arial" w:cs="Times New Roman"/>
          <w:kern w:val="2"/>
          <w:sz w:val="20"/>
          <w:lang w:val="pt-BR"/>
          <w14:ligatures w14:val="standardContextual"/>
        </w:rPr>
        <w:t>Hamzah, D. F., Handayani, F., &amp; Sirajuddin, I. N. F. (2025). PENGARUH EDUKASI KESEHATAN TERHADAP PENINGKATAN PENGETAHUAN TENTANG PENTINGNYA SARAPAN PADA SISWA SEKOLAH DASAR DI KECAMATAN MEDAN SUNGGAL KOTA MEDAN. Jurnal Kajian Kesehatan Masyarakat, 6(1), 22-29.</w:t>
      </w:r>
      <w:r>
        <w:rPr>
          <w:rFonts w:ascii="Arial" w:eastAsia="Calibri" w:hAnsi="Arial" w:cs="Times New Roman"/>
          <w:kern w:val="2"/>
          <w:sz w:val="20"/>
          <w:lang w:val="pt-BR"/>
          <w14:ligatures w14:val="standardContextual"/>
        </w:rPr>
        <w:t xml:space="preserve"> </w:t>
      </w:r>
    </w:p>
    <w:p w14:paraId="7B2E9311" w14:textId="77777777" w:rsidR="000A7DFB" w:rsidRPr="00093EDF" w:rsidRDefault="000A7DFB" w:rsidP="00093EDF">
      <w:pPr>
        <w:spacing w:after="0" w:line="240" w:lineRule="auto"/>
        <w:rPr>
          <w:rFonts w:ascii="Arial" w:eastAsia="Calibri" w:hAnsi="Arial" w:cs="Times New Roman"/>
          <w:kern w:val="2"/>
          <w:sz w:val="20"/>
          <w:lang w:val="pt-BR"/>
          <w14:ligatures w14:val="standardContextual"/>
        </w:rPr>
      </w:pPr>
    </w:p>
    <w:p w14:paraId="2DAAB29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Shimelis, E. A., &amp; Rakshit, S. K. (2007). </w:t>
      </w:r>
      <w:r w:rsidRPr="00093EDF">
        <w:rPr>
          <w:rFonts w:ascii="Arial" w:eastAsia="Calibri" w:hAnsi="Arial" w:cs="Times New Roman"/>
          <w:kern w:val="2"/>
          <w:sz w:val="20"/>
          <w14:ligatures w14:val="standardContextual"/>
        </w:rPr>
        <w:t>Effect of processing on antinutrients and in vitro digestibility of kidney bean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L.) varieties grown in East Africa. </w:t>
      </w:r>
      <w:r w:rsidRPr="00093EDF">
        <w:rPr>
          <w:rFonts w:ascii="Arial" w:eastAsia="Calibri" w:hAnsi="Arial" w:cs="Times New Roman"/>
          <w:i/>
          <w:iCs/>
          <w:kern w:val="2"/>
          <w:sz w:val="20"/>
          <w14:ligatures w14:val="standardContextual"/>
        </w:rPr>
        <w:t>Food Chemistry, 103</w:t>
      </w:r>
      <w:r w:rsidRPr="00093EDF">
        <w:rPr>
          <w:rFonts w:ascii="Arial" w:eastAsia="Calibri" w:hAnsi="Arial" w:cs="Times New Roman"/>
          <w:kern w:val="2"/>
          <w:sz w:val="20"/>
          <w14:ligatures w14:val="standardContextual"/>
        </w:rPr>
        <w:t xml:space="preserve">(1), 161–172. </w:t>
      </w:r>
      <w:hyperlink r:id="rId35" w:tgtFrame="_new" w:history="1">
        <w:r w:rsidRPr="00093EDF">
          <w:rPr>
            <w:rFonts w:ascii="Arial" w:eastAsia="Calibri" w:hAnsi="Arial" w:cs="Times New Roman"/>
            <w:color w:val="0563C1"/>
            <w:kern w:val="2"/>
            <w:sz w:val="20"/>
            <w:u w:val="single"/>
            <w14:ligatures w14:val="standardContextual"/>
          </w:rPr>
          <w:t>https://doi.org/10.1016/j.foodchem.2006.08.005</w:t>
        </w:r>
      </w:hyperlink>
    </w:p>
    <w:p w14:paraId="08922898"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t>Sibian</w:t>
      </w:r>
      <w:proofErr w:type="spellEnd"/>
      <w:r w:rsidRPr="00093EDF">
        <w:rPr>
          <w:rFonts w:ascii="Arial" w:eastAsia="Calibri" w:hAnsi="Arial" w:cs="Times New Roman"/>
          <w:kern w:val="2"/>
          <w:sz w:val="20"/>
          <w14:ligatures w14:val="standardContextual"/>
        </w:rPr>
        <w:t>, M. S., &amp; Riar, C. S. (2023). Effect of germination on chemical composition, anti-nutritional factors, functional properties and nutritional value of kidney bean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w:t>
      </w:r>
      <w:r w:rsidRPr="00093EDF">
        <w:rPr>
          <w:rFonts w:ascii="Arial" w:eastAsia="Calibri" w:hAnsi="Arial" w:cs="Times New Roman"/>
          <w:i/>
          <w:iCs/>
          <w:kern w:val="2"/>
          <w:sz w:val="20"/>
          <w14:ligatures w14:val="standardContextual"/>
        </w:rPr>
        <w:t>Carpathian Journal of Food Science and Technology, 15</w:t>
      </w:r>
      <w:r w:rsidRPr="00093EDF">
        <w:rPr>
          <w:rFonts w:ascii="Arial" w:eastAsia="Calibri" w:hAnsi="Arial" w:cs="Times New Roman"/>
          <w:kern w:val="2"/>
          <w:sz w:val="20"/>
          <w14:ligatures w14:val="standardContextual"/>
        </w:rPr>
        <w:t xml:space="preserve">(1), 208–219. </w:t>
      </w:r>
      <w:hyperlink r:id="rId36" w:tgtFrame="_new" w:history="1">
        <w:r w:rsidRPr="00093EDF">
          <w:rPr>
            <w:rFonts w:ascii="Arial" w:eastAsia="Calibri" w:hAnsi="Arial" w:cs="Times New Roman"/>
            <w:color w:val="0563C1"/>
            <w:kern w:val="2"/>
            <w:sz w:val="20"/>
            <w:u w:val="single"/>
            <w14:ligatures w14:val="standardContextual"/>
          </w:rPr>
          <w:t>https://search.ebscohost.com/login.aspx?direct=true&amp;profile=ehost&amp;scope=site&amp;authtype=crawler&amp;jrnl=20666845&amp;AN=162986617&amp;h=MXx8%2B0MmhCW3%2F2gE%2FkYNfxv66wXKPJml%2FzvCWOAUZfx4aEhyZTidAvFadMgZRE419lQ9IThwJ%2Fe5uoHu4j90tQ%3D%3D&amp;crl=c</w:t>
        </w:r>
      </w:hyperlink>
    </w:p>
    <w:p w14:paraId="6A2C0B9C" w14:textId="77777777" w:rsidR="00093EDF" w:rsidRPr="00093EDF" w:rsidRDefault="00093EDF" w:rsidP="00093EDF">
      <w:pPr>
        <w:spacing w:after="0" w:line="240" w:lineRule="auto"/>
        <w:rPr>
          <w:rFonts w:ascii="Arial" w:eastAsia="Calibri" w:hAnsi="Arial" w:cs="Times New Roman"/>
          <w:kern w:val="2"/>
          <w:sz w:val="20"/>
          <w14:ligatures w14:val="standardContextual"/>
        </w:rPr>
      </w:pPr>
      <w:proofErr w:type="spellStart"/>
      <w:r w:rsidRPr="00093EDF">
        <w:rPr>
          <w:rFonts w:ascii="Arial" w:eastAsia="Calibri" w:hAnsi="Arial" w:cs="Times New Roman"/>
          <w:kern w:val="2"/>
          <w:sz w:val="20"/>
          <w14:ligatures w14:val="standardContextual"/>
        </w:rPr>
        <w:lastRenderedPageBreak/>
        <w:t>Sobowale</w:t>
      </w:r>
      <w:proofErr w:type="spellEnd"/>
      <w:r w:rsidRPr="00093EDF">
        <w:rPr>
          <w:rFonts w:ascii="Arial" w:eastAsia="Calibri" w:hAnsi="Arial" w:cs="Times New Roman"/>
          <w:kern w:val="2"/>
          <w:sz w:val="20"/>
          <w14:ligatures w14:val="standardContextual"/>
        </w:rPr>
        <w:t>, S. S. (2025). Effect of germination and subsequent fermentation period on the functional, color, and antinutrients of pigeon pea (</w:t>
      </w:r>
      <w:r w:rsidRPr="00093EDF">
        <w:rPr>
          <w:rFonts w:ascii="Arial" w:eastAsia="Calibri" w:hAnsi="Arial" w:cs="Times New Roman"/>
          <w:i/>
          <w:iCs/>
          <w:kern w:val="2"/>
          <w:sz w:val="20"/>
          <w14:ligatures w14:val="standardContextual"/>
        </w:rPr>
        <w:t xml:space="preserve">Cajanus </w:t>
      </w:r>
      <w:proofErr w:type="spellStart"/>
      <w:r w:rsidRPr="00093EDF">
        <w:rPr>
          <w:rFonts w:ascii="Arial" w:eastAsia="Calibri" w:hAnsi="Arial" w:cs="Times New Roman"/>
          <w:i/>
          <w:iCs/>
          <w:kern w:val="2"/>
          <w:sz w:val="20"/>
          <w14:ligatures w14:val="standardContextual"/>
        </w:rPr>
        <w:t>cajan</w:t>
      </w:r>
      <w:proofErr w:type="spellEnd"/>
      <w:r w:rsidRPr="00093EDF">
        <w:rPr>
          <w:rFonts w:ascii="Arial" w:eastAsia="Calibri" w:hAnsi="Arial" w:cs="Times New Roman"/>
          <w:kern w:val="2"/>
          <w:sz w:val="20"/>
          <w14:ligatures w14:val="standardContextual"/>
        </w:rPr>
        <w:t xml:space="preserve">) flour and its structural parts. </w:t>
      </w:r>
      <w:r w:rsidRPr="00093EDF">
        <w:rPr>
          <w:rFonts w:ascii="Arial" w:eastAsia="Calibri" w:hAnsi="Arial" w:cs="Times New Roman"/>
          <w:i/>
          <w:iCs/>
          <w:kern w:val="2"/>
          <w:sz w:val="20"/>
          <w14:ligatures w14:val="standardContextual"/>
        </w:rPr>
        <w:t>Food Science &amp; Nutrition, 2025, 13</w:t>
      </w:r>
      <w:r w:rsidRPr="00093EDF">
        <w:rPr>
          <w:rFonts w:ascii="Arial" w:eastAsia="Calibri" w:hAnsi="Arial" w:cs="Times New Roman"/>
          <w:kern w:val="2"/>
          <w:sz w:val="20"/>
          <w14:ligatures w14:val="standardContextual"/>
        </w:rPr>
        <w:t xml:space="preserve">, no. 8: e70750. </w:t>
      </w:r>
      <w:hyperlink r:id="rId37" w:tgtFrame="_new" w:history="1">
        <w:r w:rsidRPr="00093EDF">
          <w:rPr>
            <w:rFonts w:ascii="Arial" w:eastAsia="Calibri" w:hAnsi="Arial" w:cs="Times New Roman"/>
            <w:color w:val="0563C1"/>
            <w:kern w:val="2"/>
            <w:sz w:val="20"/>
            <w:u w:val="single"/>
            <w14:ligatures w14:val="standardContextual"/>
          </w:rPr>
          <w:t>https://doi.org/10.1002/fsn3.70750</w:t>
        </w:r>
      </w:hyperlink>
    </w:p>
    <w:p w14:paraId="36C648F2" w14:textId="77777777" w:rsidR="00093EDF" w:rsidRPr="00093EDF" w:rsidRDefault="00093EDF" w:rsidP="00093EDF">
      <w:pPr>
        <w:spacing w:after="0" w:line="240" w:lineRule="auto"/>
        <w:rPr>
          <w:rFonts w:ascii="Arial" w:eastAsia="Calibri" w:hAnsi="Arial" w:cs="Times New Roman"/>
          <w:kern w:val="2"/>
          <w:sz w:val="20"/>
          <w:lang w:val="pt-BR"/>
          <w14:ligatures w14:val="standardContextual"/>
        </w:rPr>
      </w:pPr>
      <w:r w:rsidRPr="00093EDF">
        <w:rPr>
          <w:rFonts w:ascii="Arial" w:eastAsia="Calibri" w:hAnsi="Arial" w:cs="Times New Roman"/>
          <w:kern w:val="2"/>
          <w:sz w:val="20"/>
          <w14:ligatures w14:val="standardContextual"/>
        </w:rPr>
        <w:t xml:space="preserve">Srenuja, D., Hema, V., Anand, M. T., &amp; Mohan, R. J. (2023). Kidney bean: Protein’s treasure trove and creates avenues for a healthy lifestyle. </w:t>
      </w:r>
      <w:r w:rsidRPr="00093EDF">
        <w:rPr>
          <w:rFonts w:ascii="Arial" w:eastAsia="Calibri" w:hAnsi="Arial" w:cs="Times New Roman"/>
          <w:kern w:val="2"/>
          <w:sz w:val="20"/>
          <w:lang w:val="pt-BR"/>
          <w14:ligatures w14:val="standardContextual"/>
        </w:rPr>
        <w:t xml:space="preserve">1–19. </w:t>
      </w:r>
      <w:r>
        <w:fldChar w:fldCharType="begin"/>
      </w:r>
      <w:r>
        <w:instrText>HYPERLINK "https://doi.org/10.1002/leg3.193" \t "_new"</w:instrText>
      </w:r>
      <w:r>
        <w:fldChar w:fldCharType="separate"/>
      </w:r>
      <w:r w:rsidRPr="00093EDF">
        <w:rPr>
          <w:rFonts w:ascii="Arial" w:eastAsia="Calibri" w:hAnsi="Arial" w:cs="Times New Roman"/>
          <w:color w:val="0563C1"/>
          <w:kern w:val="2"/>
          <w:sz w:val="20"/>
          <w:u w:val="single"/>
          <w:lang w:val="pt-BR"/>
          <w14:ligatures w14:val="standardContextual"/>
        </w:rPr>
        <w:t>https://doi.org/10.1002/leg3.193</w:t>
      </w:r>
      <w:r>
        <w:fldChar w:fldCharType="end"/>
      </w:r>
    </w:p>
    <w:p w14:paraId="6FE94D9E" w14:textId="7E018059" w:rsidR="00093EDF" w:rsidRPr="00093EDF" w:rsidRDefault="00093EDF" w:rsidP="00093EDF">
      <w:pPr>
        <w:spacing w:after="0" w:line="240" w:lineRule="auto"/>
        <w:rPr>
          <w:rFonts w:ascii="Arial" w:eastAsia="Calibri" w:hAnsi="Arial" w:cs="Times New Roman"/>
          <w:kern w:val="2"/>
          <w:sz w:val="20"/>
          <w14:ligatures w14:val="standardContextual"/>
        </w:rPr>
      </w:pPr>
      <w:r w:rsidRPr="001E655F">
        <w:rPr>
          <w:rFonts w:ascii="Arial" w:eastAsia="Calibri" w:hAnsi="Arial" w:cs="Times New Roman"/>
          <w:kern w:val="2"/>
          <w:sz w:val="20"/>
          <w:lang w:val="pt-BR"/>
          <w14:ligatures w14:val="standardContextual"/>
        </w:rPr>
        <w:t xml:space="preserve">Tesfay Araro, Feyera Gemechu, Aselefech Wotango, &amp; T. E. (2020). </w:t>
      </w:r>
      <w:r w:rsidRPr="001E655F">
        <w:rPr>
          <w:rFonts w:ascii="Arial" w:eastAsia="Calibri" w:hAnsi="Arial" w:cs="Times New Roman"/>
          <w:kern w:val="2"/>
          <w:sz w:val="20"/>
          <w14:ligatures w14:val="standardContextual"/>
        </w:rPr>
        <w:t xml:space="preserve">Chemical formulation and characterization of complementary foods from blend of orange-fleshed sweet potato, brown teff, and dark red kidney beans. </w:t>
      </w:r>
      <w:r w:rsidRPr="001E655F">
        <w:rPr>
          <w:rFonts w:ascii="Arial" w:eastAsia="Calibri" w:hAnsi="Arial" w:cs="Times New Roman"/>
          <w:i/>
          <w:iCs/>
          <w:kern w:val="2"/>
          <w:sz w:val="20"/>
          <w14:ligatures w14:val="standardContextual"/>
        </w:rPr>
        <w:t>Internation</w:t>
      </w:r>
      <w:r w:rsidR="006B1C28" w:rsidRPr="001E655F">
        <w:rPr>
          <w:rFonts w:ascii="Arial" w:eastAsia="Calibri" w:hAnsi="Arial" w:cs="Times New Roman"/>
          <w:i/>
          <w:iCs/>
          <w:kern w:val="2"/>
          <w:sz w:val="20"/>
          <w14:ligatures w14:val="standardContextual"/>
        </w:rPr>
        <w:t>al Journal of Food Science,</w:t>
      </w:r>
      <w:r w:rsidR="006B1C28" w:rsidRPr="001E655F">
        <w:rPr>
          <w:rFonts w:ascii="Segoe UI" w:hAnsi="Segoe UI" w:cs="Segoe UI"/>
          <w:shd w:val="clear" w:color="auto" w:fill="FFFFFF"/>
        </w:rPr>
        <w:t xml:space="preserve">14:4803839 </w:t>
      </w:r>
      <w:hyperlink r:id="rId38" w:tgtFrame="_new" w:history="1">
        <w:r w:rsidRPr="00093EDF">
          <w:rPr>
            <w:rFonts w:ascii="Arial" w:eastAsia="Calibri" w:hAnsi="Arial" w:cs="Times New Roman"/>
            <w:color w:val="0563C1"/>
            <w:kern w:val="2"/>
            <w:sz w:val="20"/>
            <w:u w:val="single"/>
            <w14:ligatures w14:val="standardContextual"/>
          </w:rPr>
          <w:t>https://onlinelibrary.wiley.com/doi/abs/10.1155/2020/4803839</w:t>
        </w:r>
      </w:hyperlink>
    </w:p>
    <w:p w14:paraId="6453A134"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Ukeyima, M. T., Dendegh, T. A., &amp; Isusu, S. E. (2019). </w:t>
      </w:r>
      <w:r w:rsidRPr="00093EDF">
        <w:rPr>
          <w:rFonts w:ascii="Arial" w:eastAsia="Calibri" w:hAnsi="Arial" w:cs="Times New Roman"/>
          <w:kern w:val="2"/>
          <w:sz w:val="20"/>
          <w14:ligatures w14:val="standardContextual"/>
        </w:rPr>
        <w:t xml:space="preserve">Quality characteristics of bread produced from wheat and white kidney bean composite flour. </w:t>
      </w:r>
      <w:r w:rsidRPr="00093EDF">
        <w:rPr>
          <w:rFonts w:ascii="Arial" w:eastAsia="Calibri" w:hAnsi="Arial" w:cs="Times New Roman"/>
          <w:i/>
          <w:iCs/>
          <w:kern w:val="2"/>
          <w:sz w:val="20"/>
          <w14:ligatures w14:val="standardContextual"/>
        </w:rPr>
        <w:t>European Journal of Nutrition &amp; Food Safety, 10</w:t>
      </w:r>
      <w:r w:rsidRPr="00093EDF">
        <w:rPr>
          <w:rFonts w:ascii="Arial" w:eastAsia="Calibri" w:hAnsi="Arial" w:cs="Times New Roman"/>
          <w:kern w:val="2"/>
          <w:sz w:val="20"/>
          <w14:ligatures w14:val="standardContextual"/>
        </w:rPr>
        <w:t xml:space="preserve">(4), 263–272. </w:t>
      </w:r>
      <w:hyperlink r:id="rId39" w:tgtFrame="_new" w:history="1">
        <w:r w:rsidRPr="00093EDF">
          <w:rPr>
            <w:rFonts w:ascii="Arial" w:eastAsia="Calibri" w:hAnsi="Arial" w:cs="Times New Roman"/>
            <w:color w:val="0563C1"/>
            <w:kern w:val="2"/>
            <w:sz w:val="20"/>
            <w:u w:val="single"/>
            <w14:ligatures w14:val="standardContextual"/>
          </w:rPr>
          <w:t>https://doi.org/10.9734/EJNFS/2019/v10i430120</w:t>
        </w:r>
      </w:hyperlink>
    </w:p>
    <w:p w14:paraId="775C3D0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Xinrui Wangi, Fan, Yang Li, Chengxin Fei, Yangyang Xiong, Lin Li, </w:t>
      </w:r>
      <w:proofErr w:type="spellStart"/>
      <w:r w:rsidRPr="00093EDF">
        <w:rPr>
          <w:rFonts w:ascii="Arial" w:eastAsia="Calibri" w:hAnsi="Arial" w:cs="Times New Roman"/>
          <w:kern w:val="2"/>
          <w:sz w:val="20"/>
          <w14:ligatures w14:val="standardContextual"/>
        </w:rPr>
        <w:t>Yanfang</w:t>
      </w:r>
      <w:proofErr w:type="spellEnd"/>
      <w:r w:rsidRPr="00093EDF">
        <w:rPr>
          <w:rFonts w:ascii="Arial" w:eastAsia="Calibri" w:hAnsi="Arial" w:cs="Times New Roman"/>
          <w:kern w:val="2"/>
          <w:sz w:val="20"/>
          <w14:ligatures w14:val="standardContextual"/>
        </w:rPr>
        <w:t xml:space="preserve"> Liu, </w:t>
      </w:r>
      <w:proofErr w:type="spellStart"/>
      <w:r w:rsidRPr="00093EDF">
        <w:rPr>
          <w:rFonts w:ascii="Arial" w:eastAsia="Calibri" w:hAnsi="Arial" w:cs="Times New Roman"/>
          <w:kern w:val="2"/>
          <w:sz w:val="20"/>
          <w14:ligatures w14:val="standardContextual"/>
        </w:rPr>
        <w:t>Litao</w:t>
      </w:r>
      <w:proofErr w:type="spellEnd"/>
      <w:r w:rsidRPr="00093EDF">
        <w:rPr>
          <w:rFonts w:ascii="Arial" w:eastAsia="Calibri" w:hAnsi="Arial" w:cs="Times New Roman"/>
          <w:kern w:val="2"/>
          <w:sz w:val="20"/>
          <w14:ligatures w14:val="standardContextual"/>
        </w:rPr>
        <w:t xml:space="preserve"> Tong, &amp; Y. H. (2024). Effect of germination on the digestion of legume proteins. </w:t>
      </w:r>
      <w:r w:rsidRPr="00093EDF">
        <w:rPr>
          <w:rFonts w:ascii="Arial" w:eastAsia="Calibri" w:hAnsi="Arial" w:cs="Times New Roman"/>
          <w:i/>
          <w:iCs/>
          <w:kern w:val="2"/>
          <w:sz w:val="20"/>
          <w14:ligatures w14:val="standardContextual"/>
        </w:rPr>
        <w:t>Foods, 13</w:t>
      </w:r>
      <w:r w:rsidRPr="00093EDF">
        <w:rPr>
          <w:rFonts w:ascii="Arial" w:eastAsia="Calibri" w:hAnsi="Arial" w:cs="Times New Roman"/>
          <w:kern w:val="2"/>
          <w:sz w:val="20"/>
          <w14:ligatures w14:val="standardContextual"/>
        </w:rPr>
        <w:t xml:space="preserve">(17), 2655. </w:t>
      </w:r>
      <w:hyperlink r:id="rId40" w:tgtFrame="_new" w:history="1">
        <w:r w:rsidRPr="00093EDF">
          <w:rPr>
            <w:rFonts w:ascii="Arial" w:eastAsia="Calibri" w:hAnsi="Arial" w:cs="Times New Roman"/>
            <w:color w:val="0563C1"/>
            <w:kern w:val="2"/>
            <w:sz w:val="20"/>
            <w:u w:val="single"/>
            <w14:ligatures w14:val="standardContextual"/>
          </w:rPr>
          <w:t>https://www.mdpi.com/2304-8158/13/17/2655</w:t>
        </w:r>
      </w:hyperlink>
    </w:p>
    <w:p w14:paraId="255BF350"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712939C5"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16BC811D"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3BE60E08"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453C9F7"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6F0A40DE"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6EAED30" w14:textId="77777777" w:rsidR="00557096" w:rsidRPr="00560D34" w:rsidRDefault="00557096" w:rsidP="005545C4">
      <w:pPr>
        <w:spacing w:after="0" w:line="240" w:lineRule="auto"/>
        <w:ind w:left="540" w:hanging="540"/>
        <w:jc w:val="both"/>
        <w:rPr>
          <w:rFonts w:ascii="Times New Roman" w:eastAsia="Times New Roman" w:hAnsi="Times New Roman" w:cs="Times New Roman"/>
          <w:sz w:val="20"/>
          <w:szCs w:val="20"/>
        </w:rPr>
      </w:pPr>
    </w:p>
    <w:p w14:paraId="60086315"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00CB4EA3" w14:textId="77777777" w:rsidR="0085334C" w:rsidRPr="00DD7A30" w:rsidRDefault="0085334C">
      <w:pPr>
        <w:rPr>
          <w:rFonts w:ascii="Times New Roman" w:hAnsi="Times New Roman" w:cs="Times New Roman"/>
        </w:rPr>
      </w:pPr>
    </w:p>
    <w:sectPr w:rsidR="0085334C" w:rsidRPr="00DD7A30" w:rsidSect="00A60598">
      <w:headerReference w:type="default" r:id="rId41"/>
      <w:footerReference w:type="default" r:id="rId42"/>
      <w:footerReference w:type="first" r:id="rId43"/>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DE91" w14:textId="77777777" w:rsidR="009C7521" w:rsidRDefault="009C7521" w:rsidP="004336DD">
      <w:pPr>
        <w:spacing w:after="0" w:line="240" w:lineRule="auto"/>
      </w:pPr>
      <w:r>
        <w:separator/>
      </w:r>
    </w:p>
  </w:endnote>
  <w:endnote w:type="continuationSeparator" w:id="0">
    <w:p w14:paraId="317641DF" w14:textId="77777777" w:rsidR="009C7521" w:rsidRDefault="009C7521"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568D" w14:textId="77777777" w:rsidR="0077328A" w:rsidRPr="00DD7A30" w:rsidRDefault="0077328A">
    <w:pPr>
      <w:pStyle w:val="Footer"/>
      <w:jc w:val="center"/>
      <w:rPr>
        <w:rFonts w:ascii="Times New Roman" w:hAnsi="Times New Roman" w:cs="Times New Roman"/>
        <w:sz w:val="28"/>
      </w:rPr>
    </w:pPr>
  </w:p>
  <w:p w14:paraId="1D5E32C5" w14:textId="3AE71D74" w:rsidR="0077328A" w:rsidRPr="00DD7A30" w:rsidRDefault="00000000">
    <w:pPr>
      <w:pStyle w:val="Footer"/>
      <w:jc w:val="center"/>
      <w:rPr>
        <w:rFonts w:ascii="Times New Roman" w:hAnsi="Times New Roman" w:cs="Times New Roman"/>
        <w:sz w:val="20"/>
      </w:rPr>
    </w:pPr>
    <w:sdt>
      <w:sdtPr>
        <w:rPr>
          <w:rFonts w:ascii="Times New Roman" w:hAnsi="Times New Roman" w:cs="Times New Roman"/>
          <w:sz w:val="20"/>
        </w:rPr>
        <w:id w:val="2976702"/>
        <w:docPartObj>
          <w:docPartGallery w:val="Page Numbers (Bottom of Page)"/>
          <w:docPartUnique/>
        </w:docPartObj>
      </w:sdtPr>
      <w:sdtContent>
        <w:r w:rsidR="0077328A" w:rsidRPr="00DD7A30">
          <w:rPr>
            <w:rFonts w:ascii="Times New Roman" w:hAnsi="Times New Roman" w:cs="Times New Roman"/>
            <w:sz w:val="20"/>
          </w:rPr>
          <w:fldChar w:fldCharType="begin"/>
        </w:r>
        <w:r w:rsidR="0077328A" w:rsidRPr="00DD7A30">
          <w:rPr>
            <w:rFonts w:ascii="Times New Roman" w:hAnsi="Times New Roman" w:cs="Times New Roman"/>
            <w:sz w:val="20"/>
          </w:rPr>
          <w:instrText xml:space="preserve"> PAGE   \* MERGEFORMAT </w:instrText>
        </w:r>
        <w:r w:rsidR="0077328A" w:rsidRPr="00DD7A30">
          <w:rPr>
            <w:rFonts w:ascii="Times New Roman" w:hAnsi="Times New Roman" w:cs="Times New Roman"/>
            <w:sz w:val="20"/>
          </w:rPr>
          <w:fldChar w:fldCharType="separate"/>
        </w:r>
        <w:r w:rsidR="006B1C28">
          <w:rPr>
            <w:rFonts w:ascii="Times New Roman" w:hAnsi="Times New Roman" w:cs="Times New Roman"/>
            <w:noProof/>
            <w:sz w:val="20"/>
          </w:rPr>
          <w:t>14</w:t>
        </w:r>
        <w:r w:rsidR="0077328A" w:rsidRPr="00DD7A30">
          <w:rPr>
            <w:rFonts w:ascii="Times New Roman" w:hAnsi="Times New Roman" w:cs="Times New Roman"/>
            <w:sz w:val="20"/>
          </w:rPr>
          <w:fldChar w:fldCharType="end"/>
        </w:r>
      </w:sdtContent>
    </w:sdt>
  </w:p>
  <w:p w14:paraId="41CE7759" w14:textId="77777777" w:rsidR="0077328A" w:rsidRPr="00DD7A30" w:rsidRDefault="0077328A">
    <w:pPr>
      <w:pStyle w:val="Footer"/>
      <w:jc w:val="center"/>
      <w:rPr>
        <w:rFonts w:ascii="Times New Roman" w:hAnsi="Times New Roman" w:cs="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87E2" w14:textId="508DE09C" w:rsidR="0077328A" w:rsidRPr="00DD7A30" w:rsidRDefault="0077328A" w:rsidP="00B552F7">
    <w:pPr>
      <w:tabs>
        <w:tab w:val="center" w:pos="4320"/>
        <w:tab w:val="right" w:pos="8640"/>
      </w:tabs>
      <w:spacing w:after="0" w:line="240" w:lineRule="auto"/>
      <w:rPr>
        <w:rFonts w:ascii="Times New Roman" w:eastAsia="Times New Roman" w:hAnsi="Times New Roman" w:cs="Times New Roman"/>
        <w:sz w:val="16"/>
        <w:szCs w:val="20"/>
      </w:rPr>
    </w:pPr>
    <w:r w:rsidRPr="00DD7A30">
      <w:rPr>
        <w:rFonts w:ascii="Times New Roman" w:eastAsia="Times New Roman" w:hAnsi="Times New Roman" w:cs="Times New Roman"/>
        <w:sz w:val="16"/>
        <w:szCs w:val="20"/>
      </w:rPr>
      <w:t>_____________________________________________________________________________________________________</w:t>
    </w:r>
    <w:r>
      <w:rPr>
        <w:rFonts w:ascii="Times New Roman" w:eastAsia="Times New Roman" w:hAnsi="Times New Roman" w:cs="Times New Roman"/>
        <w:sz w:val="16"/>
        <w:szCs w:val="20"/>
      </w:rPr>
      <w:t>___________</w:t>
    </w:r>
  </w:p>
  <w:p w14:paraId="006FA9C5" w14:textId="77777777" w:rsidR="0077328A" w:rsidRPr="00DD7A30" w:rsidRDefault="0077328A" w:rsidP="00B552F7">
    <w:pPr>
      <w:tabs>
        <w:tab w:val="center" w:pos="4320"/>
        <w:tab w:val="right" w:pos="8640"/>
      </w:tabs>
      <w:spacing w:after="0" w:line="240" w:lineRule="auto"/>
      <w:rPr>
        <w:rFonts w:ascii="Times New Roman" w:eastAsia="Times New Roman" w:hAnsi="Times New Roman" w:cs="Times New Roman"/>
        <w:i/>
        <w:sz w:val="16"/>
        <w:szCs w:val="20"/>
      </w:rPr>
    </w:pPr>
  </w:p>
  <w:p w14:paraId="27DD8420"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78228E85"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16B6CD5E"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303E8CAF"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p w14:paraId="6AA7E2D3"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5D0D" w14:textId="77777777" w:rsidR="009C7521" w:rsidRDefault="009C7521" w:rsidP="004336DD">
      <w:pPr>
        <w:spacing w:after="0" w:line="240" w:lineRule="auto"/>
      </w:pPr>
      <w:r>
        <w:separator/>
      </w:r>
    </w:p>
  </w:footnote>
  <w:footnote w:type="continuationSeparator" w:id="0">
    <w:p w14:paraId="524763CF" w14:textId="77777777" w:rsidR="009C7521" w:rsidRDefault="009C7521"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0A90" w14:textId="77777777" w:rsidR="0077328A" w:rsidRPr="00DD7A30" w:rsidRDefault="0077328A" w:rsidP="006C56FD">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5804811">
    <w:abstractNumId w:val="2"/>
  </w:num>
  <w:num w:numId="2" w16cid:durableId="695693348">
    <w:abstractNumId w:val="0"/>
  </w:num>
  <w:num w:numId="3" w16cid:durableId="24865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AF"/>
    <w:rsid w:val="00000C22"/>
    <w:rsid w:val="00000C57"/>
    <w:rsid w:val="00021DF1"/>
    <w:rsid w:val="0005231F"/>
    <w:rsid w:val="00074755"/>
    <w:rsid w:val="00075E96"/>
    <w:rsid w:val="00085A18"/>
    <w:rsid w:val="00093EDF"/>
    <w:rsid w:val="000A7DFB"/>
    <w:rsid w:val="000C347A"/>
    <w:rsid w:val="000C3A94"/>
    <w:rsid w:val="000C49A9"/>
    <w:rsid w:val="000D7A83"/>
    <w:rsid w:val="000E3C27"/>
    <w:rsid w:val="000F7DDF"/>
    <w:rsid w:val="00107C60"/>
    <w:rsid w:val="00113FE3"/>
    <w:rsid w:val="001162B0"/>
    <w:rsid w:val="001221FA"/>
    <w:rsid w:val="00122265"/>
    <w:rsid w:val="0015099C"/>
    <w:rsid w:val="001617F8"/>
    <w:rsid w:val="001808B9"/>
    <w:rsid w:val="001A0C23"/>
    <w:rsid w:val="001A5090"/>
    <w:rsid w:val="001B366B"/>
    <w:rsid w:val="001C3908"/>
    <w:rsid w:val="001C4E42"/>
    <w:rsid w:val="001E655F"/>
    <w:rsid w:val="001F49B1"/>
    <w:rsid w:val="001F69DF"/>
    <w:rsid w:val="002049DC"/>
    <w:rsid w:val="0020723B"/>
    <w:rsid w:val="00211F6A"/>
    <w:rsid w:val="00222C4C"/>
    <w:rsid w:val="002261C1"/>
    <w:rsid w:val="00244466"/>
    <w:rsid w:val="00246A63"/>
    <w:rsid w:val="0025125E"/>
    <w:rsid w:val="00256AF8"/>
    <w:rsid w:val="00260707"/>
    <w:rsid w:val="00273F76"/>
    <w:rsid w:val="00280B27"/>
    <w:rsid w:val="002B342B"/>
    <w:rsid w:val="002C4566"/>
    <w:rsid w:val="002D3D39"/>
    <w:rsid w:val="002E2A26"/>
    <w:rsid w:val="003020FB"/>
    <w:rsid w:val="00310972"/>
    <w:rsid w:val="00320227"/>
    <w:rsid w:val="003433F2"/>
    <w:rsid w:val="00367484"/>
    <w:rsid w:val="00370C40"/>
    <w:rsid w:val="00372348"/>
    <w:rsid w:val="0039454D"/>
    <w:rsid w:val="003A734B"/>
    <w:rsid w:val="003B0699"/>
    <w:rsid w:val="003B134C"/>
    <w:rsid w:val="003C329E"/>
    <w:rsid w:val="003C6BF8"/>
    <w:rsid w:val="003C7BB2"/>
    <w:rsid w:val="003F3E51"/>
    <w:rsid w:val="003F3F89"/>
    <w:rsid w:val="004018D1"/>
    <w:rsid w:val="00402523"/>
    <w:rsid w:val="00414FEF"/>
    <w:rsid w:val="00422BCA"/>
    <w:rsid w:val="00423C15"/>
    <w:rsid w:val="004313FB"/>
    <w:rsid w:val="004336DD"/>
    <w:rsid w:val="00440011"/>
    <w:rsid w:val="00441F7D"/>
    <w:rsid w:val="00444654"/>
    <w:rsid w:val="00451BC8"/>
    <w:rsid w:val="00452F72"/>
    <w:rsid w:val="00480705"/>
    <w:rsid w:val="00485B30"/>
    <w:rsid w:val="0048676E"/>
    <w:rsid w:val="00487AC7"/>
    <w:rsid w:val="0049170D"/>
    <w:rsid w:val="004B7B8F"/>
    <w:rsid w:val="004D29CA"/>
    <w:rsid w:val="004D5B9F"/>
    <w:rsid w:val="004E690A"/>
    <w:rsid w:val="004F407B"/>
    <w:rsid w:val="004F62DC"/>
    <w:rsid w:val="005011A5"/>
    <w:rsid w:val="0051720C"/>
    <w:rsid w:val="00532B18"/>
    <w:rsid w:val="005334D6"/>
    <w:rsid w:val="005545C4"/>
    <w:rsid w:val="00557096"/>
    <w:rsid w:val="00560975"/>
    <w:rsid w:val="00560D34"/>
    <w:rsid w:val="00565F6A"/>
    <w:rsid w:val="00586E63"/>
    <w:rsid w:val="005E09FF"/>
    <w:rsid w:val="005F5E03"/>
    <w:rsid w:val="00602332"/>
    <w:rsid w:val="006408CA"/>
    <w:rsid w:val="00644569"/>
    <w:rsid w:val="00652FDA"/>
    <w:rsid w:val="006667F1"/>
    <w:rsid w:val="006707CA"/>
    <w:rsid w:val="006A6D7D"/>
    <w:rsid w:val="006B1C28"/>
    <w:rsid w:val="006B59C9"/>
    <w:rsid w:val="006B62F9"/>
    <w:rsid w:val="006C56FD"/>
    <w:rsid w:val="006C6D05"/>
    <w:rsid w:val="006E1FAF"/>
    <w:rsid w:val="006E779A"/>
    <w:rsid w:val="006F69E6"/>
    <w:rsid w:val="00704817"/>
    <w:rsid w:val="00713CB9"/>
    <w:rsid w:val="00715397"/>
    <w:rsid w:val="00716BBE"/>
    <w:rsid w:val="00724F4F"/>
    <w:rsid w:val="007310C2"/>
    <w:rsid w:val="00742DE0"/>
    <w:rsid w:val="00766FE6"/>
    <w:rsid w:val="0077328A"/>
    <w:rsid w:val="0077451F"/>
    <w:rsid w:val="00777E96"/>
    <w:rsid w:val="007811EA"/>
    <w:rsid w:val="00781D6E"/>
    <w:rsid w:val="00785F0F"/>
    <w:rsid w:val="007920F2"/>
    <w:rsid w:val="00792CE0"/>
    <w:rsid w:val="007A682C"/>
    <w:rsid w:val="007A6B80"/>
    <w:rsid w:val="007A6DDC"/>
    <w:rsid w:val="007B0467"/>
    <w:rsid w:val="007B7C61"/>
    <w:rsid w:val="007C3DF6"/>
    <w:rsid w:val="007C533F"/>
    <w:rsid w:val="007D3E4C"/>
    <w:rsid w:val="007E15A2"/>
    <w:rsid w:val="007E1ABC"/>
    <w:rsid w:val="007E4CFE"/>
    <w:rsid w:val="00800E70"/>
    <w:rsid w:val="00810579"/>
    <w:rsid w:val="00817E1D"/>
    <w:rsid w:val="00820886"/>
    <w:rsid w:val="00832082"/>
    <w:rsid w:val="0084348A"/>
    <w:rsid w:val="0085334C"/>
    <w:rsid w:val="00856FDE"/>
    <w:rsid w:val="00862791"/>
    <w:rsid w:val="00885B68"/>
    <w:rsid w:val="008A699A"/>
    <w:rsid w:val="008C1E01"/>
    <w:rsid w:val="008D4062"/>
    <w:rsid w:val="00900C86"/>
    <w:rsid w:val="009164FE"/>
    <w:rsid w:val="00952C78"/>
    <w:rsid w:val="00970BAE"/>
    <w:rsid w:val="00977C8F"/>
    <w:rsid w:val="00987EC7"/>
    <w:rsid w:val="0099159F"/>
    <w:rsid w:val="009B19D3"/>
    <w:rsid w:val="009B4108"/>
    <w:rsid w:val="009C733A"/>
    <w:rsid w:val="009C7521"/>
    <w:rsid w:val="009D08C1"/>
    <w:rsid w:val="009D4555"/>
    <w:rsid w:val="009D6E5A"/>
    <w:rsid w:val="009E4A06"/>
    <w:rsid w:val="009F2D19"/>
    <w:rsid w:val="009F49F8"/>
    <w:rsid w:val="00A17AE7"/>
    <w:rsid w:val="00A222FD"/>
    <w:rsid w:val="00A26C26"/>
    <w:rsid w:val="00A30099"/>
    <w:rsid w:val="00A342B6"/>
    <w:rsid w:val="00A40016"/>
    <w:rsid w:val="00A60598"/>
    <w:rsid w:val="00A60CB6"/>
    <w:rsid w:val="00A831D9"/>
    <w:rsid w:val="00A85094"/>
    <w:rsid w:val="00A94927"/>
    <w:rsid w:val="00AA38C6"/>
    <w:rsid w:val="00AF6C64"/>
    <w:rsid w:val="00B03434"/>
    <w:rsid w:val="00B168F5"/>
    <w:rsid w:val="00B34003"/>
    <w:rsid w:val="00B36D57"/>
    <w:rsid w:val="00B51C35"/>
    <w:rsid w:val="00B552F7"/>
    <w:rsid w:val="00B61B1B"/>
    <w:rsid w:val="00B65653"/>
    <w:rsid w:val="00B661B1"/>
    <w:rsid w:val="00B75112"/>
    <w:rsid w:val="00B835A2"/>
    <w:rsid w:val="00B83725"/>
    <w:rsid w:val="00B85C59"/>
    <w:rsid w:val="00B86BB6"/>
    <w:rsid w:val="00BA37F6"/>
    <w:rsid w:val="00BC5F5D"/>
    <w:rsid w:val="00BE129D"/>
    <w:rsid w:val="00BF4F38"/>
    <w:rsid w:val="00C114B2"/>
    <w:rsid w:val="00C232EC"/>
    <w:rsid w:val="00C33824"/>
    <w:rsid w:val="00C46B24"/>
    <w:rsid w:val="00C55AE1"/>
    <w:rsid w:val="00C57C70"/>
    <w:rsid w:val="00C63F9F"/>
    <w:rsid w:val="00C73FED"/>
    <w:rsid w:val="00C914F8"/>
    <w:rsid w:val="00C9653A"/>
    <w:rsid w:val="00CA18C8"/>
    <w:rsid w:val="00CA77DD"/>
    <w:rsid w:val="00D02B9B"/>
    <w:rsid w:val="00D366B3"/>
    <w:rsid w:val="00D44206"/>
    <w:rsid w:val="00D50CE6"/>
    <w:rsid w:val="00D55885"/>
    <w:rsid w:val="00D622D2"/>
    <w:rsid w:val="00D7379A"/>
    <w:rsid w:val="00D84589"/>
    <w:rsid w:val="00D93BE4"/>
    <w:rsid w:val="00D953A9"/>
    <w:rsid w:val="00DA5EB7"/>
    <w:rsid w:val="00DC5E73"/>
    <w:rsid w:val="00DC715F"/>
    <w:rsid w:val="00DD7A30"/>
    <w:rsid w:val="00E1678A"/>
    <w:rsid w:val="00E34943"/>
    <w:rsid w:val="00E36CD7"/>
    <w:rsid w:val="00E46ABD"/>
    <w:rsid w:val="00E52825"/>
    <w:rsid w:val="00E5683E"/>
    <w:rsid w:val="00E66182"/>
    <w:rsid w:val="00E70488"/>
    <w:rsid w:val="00E75755"/>
    <w:rsid w:val="00E770C6"/>
    <w:rsid w:val="00E87ABA"/>
    <w:rsid w:val="00E93A66"/>
    <w:rsid w:val="00E96E71"/>
    <w:rsid w:val="00EB36CB"/>
    <w:rsid w:val="00EB4EFF"/>
    <w:rsid w:val="00EB63D6"/>
    <w:rsid w:val="00EC686F"/>
    <w:rsid w:val="00EC6F31"/>
    <w:rsid w:val="00ED4643"/>
    <w:rsid w:val="00EE0445"/>
    <w:rsid w:val="00EE3544"/>
    <w:rsid w:val="00EE559B"/>
    <w:rsid w:val="00EF3E1B"/>
    <w:rsid w:val="00EF6C37"/>
    <w:rsid w:val="00F10EA2"/>
    <w:rsid w:val="00F12485"/>
    <w:rsid w:val="00F16063"/>
    <w:rsid w:val="00F240C4"/>
    <w:rsid w:val="00F2605E"/>
    <w:rsid w:val="00F31FC0"/>
    <w:rsid w:val="00F36570"/>
    <w:rsid w:val="00F406A5"/>
    <w:rsid w:val="00F45F9B"/>
    <w:rsid w:val="00F95923"/>
    <w:rsid w:val="00FA0DDE"/>
    <w:rsid w:val="00FB09DC"/>
    <w:rsid w:val="00FB0B4C"/>
    <w:rsid w:val="00FB24A4"/>
    <w:rsid w:val="00FB4367"/>
    <w:rsid w:val="00FC6156"/>
    <w:rsid w:val="00FD562F"/>
    <w:rsid w:val="00FF1639"/>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CBD6"/>
  <w15:docId w15:val="{DCDF4851-CBAC-4836-9B9A-DF568BD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016"/>
  </w:style>
  <w:style w:type="paragraph" w:styleId="Heading1">
    <w:name w:val="heading 1"/>
    <w:basedOn w:val="Normal"/>
    <w:next w:val="Normal"/>
    <w:link w:val="Heading1Char"/>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B65653"/>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B134C"/>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B134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644569"/>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D84589"/>
    <w:rPr>
      <w:rFonts w:ascii="Arial" w:eastAsiaTheme="majorEastAsia" w:hAnsi="Arial" w:cstheme="majorBidi"/>
      <w:b/>
      <w:bCs/>
      <w:i/>
      <w:iCs/>
      <w:sz w:val="20"/>
    </w:rPr>
  </w:style>
  <w:style w:type="numbering" w:customStyle="1" w:styleId="NoList1">
    <w:name w:val="No List1"/>
    <w:next w:val="NoList"/>
    <w:uiPriority w:val="99"/>
    <w:semiHidden/>
    <w:unhideWhenUsed/>
    <w:rsid w:val="0077328A"/>
  </w:style>
  <w:style w:type="table" w:customStyle="1" w:styleId="LightShading11">
    <w:name w:val="Light Shading11"/>
    <w:basedOn w:val="TableNormal"/>
    <w:uiPriority w:val="60"/>
    <w:rsid w:val="0077328A"/>
    <w:pPr>
      <w:spacing w:after="0" w:line="240" w:lineRule="auto"/>
    </w:pPr>
    <w:rPr>
      <w:color w:val="000000"/>
      <w:sz w:val="20"/>
      <w:szCs w:val="20"/>
      <w:lang w:val="en-GB"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next w:val="LightShading"/>
    <w:uiPriority w:val="60"/>
    <w:rsid w:val="0077328A"/>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77328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328A"/>
    <w:rPr>
      <w:sz w:val="16"/>
      <w:szCs w:val="16"/>
    </w:rPr>
  </w:style>
  <w:style w:type="paragraph" w:customStyle="1" w:styleId="CommentText1">
    <w:name w:val="Comment Text1"/>
    <w:basedOn w:val="Normal"/>
    <w:next w:val="CommentText"/>
    <w:link w:val="CommentTextChar"/>
    <w:uiPriority w:val="99"/>
    <w:semiHidden/>
    <w:unhideWhenUsed/>
    <w:rsid w:val="0077328A"/>
    <w:pPr>
      <w:spacing w:line="240" w:lineRule="auto"/>
    </w:pPr>
    <w:rPr>
      <w:sz w:val="20"/>
      <w:szCs w:val="20"/>
    </w:rPr>
  </w:style>
  <w:style w:type="character" w:customStyle="1" w:styleId="CommentTextChar">
    <w:name w:val="Comment Text Char"/>
    <w:basedOn w:val="DefaultParagraphFont"/>
    <w:link w:val="CommentText1"/>
    <w:uiPriority w:val="99"/>
    <w:semiHidden/>
    <w:rsid w:val="0077328A"/>
    <w:rPr>
      <w:sz w:val="20"/>
      <w:szCs w:val="20"/>
    </w:rPr>
  </w:style>
  <w:style w:type="paragraph" w:customStyle="1" w:styleId="CommentSubject1">
    <w:name w:val="Comment Subject1"/>
    <w:basedOn w:val="CommentText"/>
    <w:next w:val="CommentText"/>
    <w:uiPriority w:val="99"/>
    <w:semiHidden/>
    <w:unhideWhenUsed/>
    <w:rsid w:val="0077328A"/>
    <w:rPr>
      <w:rFonts w:eastAsia="Calibri"/>
      <w:b/>
      <w:bCs/>
    </w:rPr>
  </w:style>
  <w:style w:type="character" w:customStyle="1" w:styleId="CommentSubjectChar">
    <w:name w:val="Comment Subject Char"/>
    <w:basedOn w:val="CommentTextChar"/>
    <w:link w:val="CommentSubject"/>
    <w:uiPriority w:val="99"/>
    <w:semiHidden/>
    <w:rsid w:val="0077328A"/>
    <w:rPr>
      <w:b/>
      <w:bCs/>
      <w:sz w:val="20"/>
      <w:szCs w:val="20"/>
    </w:rPr>
  </w:style>
  <w:style w:type="paragraph" w:customStyle="1" w:styleId="NoSpacing1">
    <w:name w:val="No Spacing1"/>
    <w:next w:val="NoSpacing"/>
    <w:uiPriority w:val="1"/>
    <w:qFormat/>
    <w:rsid w:val="0077328A"/>
    <w:pPr>
      <w:spacing w:after="0" w:line="240" w:lineRule="auto"/>
    </w:pPr>
    <w:rPr>
      <w:rFonts w:eastAsia="Calibri"/>
    </w:rPr>
  </w:style>
  <w:style w:type="table" w:styleId="LightShading">
    <w:name w:val="Light Shading"/>
    <w:basedOn w:val="TableNormal"/>
    <w:uiPriority w:val="60"/>
    <w:semiHidden/>
    <w:unhideWhenUsed/>
    <w:rsid w:val="007732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1"/>
    <w:uiPriority w:val="99"/>
    <w:semiHidden/>
    <w:unhideWhenUsed/>
    <w:rsid w:val="0077328A"/>
    <w:pPr>
      <w:spacing w:line="240" w:lineRule="auto"/>
    </w:pPr>
    <w:rPr>
      <w:sz w:val="20"/>
      <w:szCs w:val="20"/>
    </w:rPr>
  </w:style>
  <w:style w:type="character" w:customStyle="1" w:styleId="CommentTextChar1">
    <w:name w:val="Comment Text Char1"/>
    <w:basedOn w:val="DefaultParagraphFont"/>
    <w:link w:val="CommentText"/>
    <w:uiPriority w:val="99"/>
    <w:semiHidden/>
    <w:rsid w:val="0077328A"/>
    <w:rPr>
      <w:sz w:val="20"/>
      <w:szCs w:val="20"/>
    </w:rPr>
  </w:style>
  <w:style w:type="paragraph" w:styleId="CommentSubject">
    <w:name w:val="annotation subject"/>
    <w:basedOn w:val="CommentText"/>
    <w:next w:val="CommentText"/>
    <w:link w:val="CommentSubjectChar"/>
    <w:uiPriority w:val="99"/>
    <w:semiHidden/>
    <w:unhideWhenUsed/>
    <w:rsid w:val="0077328A"/>
    <w:rPr>
      <w:b/>
      <w:bCs/>
    </w:rPr>
  </w:style>
  <w:style w:type="character" w:customStyle="1" w:styleId="CommentSubjectChar1">
    <w:name w:val="Comment Subject Char1"/>
    <w:basedOn w:val="CommentTextChar1"/>
    <w:uiPriority w:val="99"/>
    <w:semiHidden/>
    <w:rsid w:val="0077328A"/>
    <w:rPr>
      <w:b/>
      <w:bCs/>
      <w:sz w:val="20"/>
      <w:szCs w:val="20"/>
    </w:rPr>
  </w:style>
  <w:style w:type="paragraph" w:styleId="NoSpacing">
    <w:name w:val="No Spacing"/>
    <w:uiPriority w:val="1"/>
    <w:qFormat/>
    <w:rsid w:val="0077328A"/>
    <w:pPr>
      <w:spacing w:after="0" w:line="240" w:lineRule="auto"/>
    </w:pPr>
  </w:style>
  <w:style w:type="table" w:styleId="TableGridLight">
    <w:name w:val="Grid Table Light"/>
    <w:basedOn w:val="TableNormal"/>
    <w:uiPriority w:val="40"/>
    <w:rsid w:val="006C6D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9D08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08C1"/>
    <w:rPr>
      <w:b/>
      <w:bCs/>
    </w:rPr>
  </w:style>
  <w:style w:type="character" w:customStyle="1" w:styleId="UnresolvedMention1">
    <w:name w:val="Unresolved Mention1"/>
    <w:basedOn w:val="DefaultParagraphFont"/>
    <w:uiPriority w:val="99"/>
    <w:semiHidden/>
    <w:unhideWhenUsed/>
    <w:rsid w:val="00557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2286">
      <w:bodyDiv w:val="1"/>
      <w:marLeft w:val="0"/>
      <w:marRight w:val="0"/>
      <w:marTop w:val="0"/>
      <w:marBottom w:val="0"/>
      <w:divBdr>
        <w:top w:val="none" w:sz="0" w:space="0" w:color="auto"/>
        <w:left w:val="none" w:sz="0" w:space="0" w:color="auto"/>
        <w:bottom w:val="none" w:sz="0" w:space="0" w:color="auto"/>
        <w:right w:val="none" w:sz="0" w:space="0" w:color="auto"/>
      </w:divBdr>
    </w:div>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218395316">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829178189">
      <w:bodyDiv w:val="1"/>
      <w:marLeft w:val="0"/>
      <w:marRight w:val="0"/>
      <w:marTop w:val="0"/>
      <w:marBottom w:val="0"/>
      <w:divBdr>
        <w:top w:val="none" w:sz="0" w:space="0" w:color="auto"/>
        <w:left w:val="none" w:sz="0" w:space="0" w:color="auto"/>
        <w:bottom w:val="none" w:sz="0" w:space="0" w:color="auto"/>
        <w:right w:val="none" w:sz="0" w:space="0" w:color="auto"/>
      </w:divBdr>
    </w:div>
    <w:div w:id="940604812">
      <w:bodyDiv w:val="1"/>
      <w:marLeft w:val="0"/>
      <w:marRight w:val="0"/>
      <w:marTop w:val="0"/>
      <w:marBottom w:val="0"/>
      <w:divBdr>
        <w:top w:val="none" w:sz="0" w:space="0" w:color="auto"/>
        <w:left w:val="none" w:sz="0" w:space="0" w:color="auto"/>
        <w:bottom w:val="none" w:sz="0" w:space="0" w:color="auto"/>
        <w:right w:val="none" w:sz="0" w:space="0" w:color="auto"/>
      </w:divBdr>
    </w:div>
    <w:div w:id="1389916753">
      <w:bodyDiv w:val="1"/>
      <w:marLeft w:val="0"/>
      <w:marRight w:val="0"/>
      <w:marTop w:val="0"/>
      <w:marBottom w:val="0"/>
      <w:divBdr>
        <w:top w:val="none" w:sz="0" w:space="0" w:color="auto"/>
        <w:left w:val="none" w:sz="0" w:space="0" w:color="auto"/>
        <w:bottom w:val="none" w:sz="0" w:space="0" w:color="auto"/>
        <w:right w:val="none" w:sz="0" w:space="0" w:color="auto"/>
      </w:divBdr>
    </w:div>
    <w:div w:id="2117600932">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fsn3.70450" TargetMode="External"/><Relationship Id="rId18" Type="http://schemas.openxmlformats.org/officeDocument/2006/relationships/hyperlink" Target="https://www.ajol.info/index.php/jasem/article/download/200634/189201" TargetMode="External"/><Relationship Id="rId26" Type="http://schemas.openxmlformats.org/officeDocument/2006/relationships/hyperlink" Target="https://www.academia.edu/download/76535391/S._20Kimothi_20and_20Y._20S._20Dhaliwal.pdf" TargetMode="External"/><Relationship Id="rId39" Type="http://schemas.openxmlformats.org/officeDocument/2006/relationships/hyperlink" Target="https://doi.org/10.9734/EJNFS/2019/v10i430120" TargetMode="External"/><Relationship Id="rId21" Type="http://schemas.openxmlformats.org/officeDocument/2006/relationships/hyperlink" Target="https://doi.org/10.9734/CJAST/2018/44491" TargetMode="External"/><Relationship Id="rId34" Type="http://schemas.openxmlformats.org/officeDocument/2006/relationships/hyperlink" Target="https://doi.org/10.1111/ijfs.14742"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7508/cjfst.2018.10.2.13" TargetMode="External"/><Relationship Id="rId29" Type="http://schemas.openxmlformats.org/officeDocument/2006/relationships/hyperlink" Target="https://doi.org/10.1002/fsn3.8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do.com/2/v2/download/article/10.2478/aucft-2025-0002.pdf" TargetMode="External"/><Relationship Id="rId24" Type="http://schemas.openxmlformats.org/officeDocument/2006/relationships/hyperlink" Target="https://doi.org/10.9734/AFSJ/2023/v22i9655" TargetMode="External"/><Relationship Id="rId32" Type="http://schemas.openxmlformats.org/officeDocument/2006/relationships/hyperlink" Target="https://doi.org/10.5897/JABSD2019.0365" TargetMode="External"/><Relationship Id="rId37" Type="http://schemas.openxmlformats.org/officeDocument/2006/relationships/hyperlink" Target="https://doi.org/10.1002/fsn3.70750" TargetMode="External"/><Relationship Id="rId40" Type="http://schemas.openxmlformats.org/officeDocument/2006/relationships/hyperlink" Target="https://www.mdpi.com/2304-8158/13/17/265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93/ijfood/vvae021" TargetMode="External"/><Relationship Id="rId23" Type="http://schemas.openxmlformats.org/officeDocument/2006/relationships/hyperlink" Target="https://doi.org/10.3390/nu10050559" TargetMode="External"/><Relationship Id="rId28" Type="http://schemas.openxmlformats.org/officeDocument/2006/relationships/hyperlink" Target="https://doi.org/10.1016/j.fcr.2009.10.013" TargetMode="External"/><Relationship Id="rId36" Type="http://schemas.openxmlformats.org/officeDocument/2006/relationships/hyperlink" Target="https://search.ebscohost.com/login.aspx?direct=true&amp;profile=ehost&amp;scope=site&amp;authtype=crawler&amp;jrnl=20666845&amp;AN=162986617&amp;h=MXx8%2B0MmhCW3%2F2gE%2FkYNfxv66wXKPJml%2FzvCWOAUZfx4aEhyZTidAvFadMgZRE419lQ9IThwJ%2Fe5uoHu4j90tQ%3D%3D&amp;crl=c" TargetMode="External"/><Relationship Id="rId10" Type="http://schemas.openxmlformats.org/officeDocument/2006/relationships/hyperlink" Target="https://doi.org/10.1155/2023/6762027" TargetMode="External"/><Relationship Id="rId19" Type="http://schemas.openxmlformats.org/officeDocument/2006/relationships/hyperlink" Target="https://doi.org/10.15740/HAS/FSRJ/11.2/115-119" TargetMode="External"/><Relationship Id="rId31" Type="http://schemas.openxmlformats.org/officeDocument/2006/relationships/hyperlink" Target="https://doi.org/10.1080/23311932.2015.113601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002/fsn3.2013" TargetMode="External"/><Relationship Id="rId22" Type="http://schemas.openxmlformats.org/officeDocument/2006/relationships/hyperlink" Target="https://doi.org/10.7176/fsqm/98-03" TargetMode="External"/><Relationship Id="rId27" Type="http://schemas.openxmlformats.org/officeDocument/2006/relationships/hyperlink" Target="https://ajfs.journals.ekb.eg/article_16283.html" TargetMode="External"/><Relationship Id="rId30" Type="http://schemas.openxmlformats.org/officeDocument/2006/relationships/hyperlink" Target="https://doi.org/10.1002/fsn3.670" TargetMode="External"/><Relationship Id="rId35" Type="http://schemas.openxmlformats.org/officeDocument/2006/relationships/hyperlink" Target="https://doi.org/10.1016/j.foodchem.2006.08.005"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5923/j.fph.20211102.02" TargetMode="External"/><Relationship Id="rId17" Type="http://schemas.openxmlformats.org/officeDocument/2006/relationships/hyperlink" Target="https://doi.org/10.4236/fns.2020.116034" TargetMode="External"/><Relationship Id="rId25" Type="http://schemas.openxmlformats.org/officeDocument/2006/relationships/hyperlink" Target="https://doi.org/10.5772/intechopen.78700" TargetMode="External"/><Relationship Id="rId33" Type="http://schemas.openxmlformats.org/officeDocument/2006/relationships/hyperlink" Target="https://scienceworldjournal.org/article/view/22070" TargetMode="External"/><Relationship Id="rId38" Type="http://schemas.openxmlformats.org/officeDocument/2006/relationships/hyperlink" Target="https://onlinelibrary.wiley.com/doi/abs/10.1155/2020/4803839" TargetMode="External"/><Relationship Id="rId20" Type="http://schemas.openxmlformats.org/officeDocument/2006/relationships/hyperlink" Target="https://journals.ipsintelligentsia.com/food-science/index.php/ijnfs/article/view/55" TargetMode="External"/><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754-4339-9E63-5ACED7433367}"/>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754-4339-9E63-5ACED7433367}"/>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754-4339-9E63-5ACED7433367}"/>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754-4339-9E63-5ACED7433367}"/>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754-4339-9E63-5ACED7433367}"/>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754-4339-9E63-5ACED7433367}"/>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754-4339-9E63-5ACED7433367}"/>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title>
          <c:tx>
            <c:rich>
              <a:bodyPr/>
              <a:lstStyle/>
              <a:p>
                <a:pPr>
                  <a:defRPr/>
                </a:pPr>
                <a:r>
                  <a:rPr lang="en-US" sz="1000" b="1" i="0" u="none" strike="noStrike" baseline="0">
                    <a:effectLst/>
                  </a:rPr>
                  <a:t>Pasting Properties </a:t>
                </a:r>
                <a:endParaRPr lang="en-US"/>
              </a:p>
            </c:rich>
          </c:tx>
          <c:overlay val="0"/>
        </c:title>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title>
          <c:tx>
            <c:rich>
              <a:bodyPr/>
              <a:lstStyle/>
              <a:p>
                <a:pPr>
                  <a:defRPr/>
                </a:pPr>
                <a:r>
                  <a:rPr lang="en-US" sz="1000" b="1" i="0" u="none" strike="noStrike" baseline="0">
                    <a:effectLst/>
                  </a:rPr>
                  <a:t>Viscocity (cP)</a:t>
                </a:r>
                <a:endParaRPr lang="en-US"/>
              </a:p>
            </c:rich>
          </c:tx>
          <c:overlay val="0"/>
        </c:title>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B9910-E9FF-40D7-9662-437EFAE1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8356</Words>
  <Characters>47631</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JAFSAT_15068_v2</vt:lpstr>
      <vt:lpstr/>
    </vt:vector>
  </TitlesOfParts>
  <Company/>
  <LinksUpToDate>false</LinksUpToDate>
  <CharactersWithSpaces>55876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JAFSAT_15068_v2</dc:title>
  <dc:subject/>
  <dc:creator>007</dc:creator>
  <cp:keywords/>
  <dc:description/>
  <cp:lastModifiedBy>SDI CPU 1117</cp:lastModifiedBy>
  <cp:revision>3</cp:revision>
  <dcterms:created xsi:type="dcterms:W3CDTF">2026-06-20T17:59:00Z</dcterms:created>
  <dcterms:modified xsi:type="dcterms:W3CDTF">2026-06-22T12:51:00Z</dcterms:modified>
</cp:coreProperties>
</file>