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AB638" w14:textId="77777777" w:rsidR="00BA7814" w:rsidRDefault="00000000">
      <w:pPr>
        <w:spacing w:after="480"/>
        <w:jc w:val="center"/>
      </w:pPr>
      <w:r>
        <w:rPr>
          <w:b/>
          <w:bCs/>
          <w:sz w:val="28"/>
          <w:szCs w:val="28"/>
        </w:rPr>
        <w:t xml:space="preserve">Comparative </w:t>
      </w:r>
      <w:r>
        <w:rPr>
          <w:b/>
          <w:bCs/>
          <w:i/>
          <w:iCs/>
          <w:sz w:val="28"/>
          <w:szCs w:val="28"/>
        </w:rPr>
        <w:t>In Vitro</w:t>
      </w:r>
      <w:r>
        <w:rPr>
          <w:b/>
          <w:bCs/>
          <w:sz w:val="28"/>
          <w:szCs w:val="28"/>
        </w:rPr>
        <w:t xml:space="preserve"> Evaluation of Botanical Extracts and Chemical Fungicides Against </w:t>
      </w:r>
      <w:r>
        <w:rPr>
          <w:b/>
          <w:bCs/>
          <w:i/>
          <w:iCs/>
          <w:sz w:val="28"/>
          <w:szCs w:val="28"/>
        </w:rPr>
        <w:t>Alternaria brassicae</w:t>
      </w:r>
      <w:r>
        <w:rPr>
          <w:b/>
          <w:bCs/>
          <w:sz w:val="28"/>
          <w:szCs w:val="28"/>
        </w:rPr>
        <w:t>: Concentration-Dependent Efficacy Assessment for Sustainable Disease Management</w:t>
      </w:r>
    </w:p>
    <w:p w14:paraId="27E59597" w14:textId="77777777" w:rsidR="00BA7814" w:rsidRDefault="00000000">
      <w:pPr>
        <w:pStyle w:val="Heading2"/>
      </w:pPr>
      <w:r>
        <w:t>Abstract</w:t>
      </w:r>
    </w:p>
    <w:p w14:paraId="75E2D6ED" w14:textId="7DDE7846" w:rsidR="00BA7814" w:rsidRDefault="0027039F" w:rsidP="0027039F">
      <w:pPr>
        <w:spacing w:after="120" w:line="360" w:lineRule="auto"/>
        <w:jc w:val="both"/>
      </w:pPr>
      <w:r>
        <w:rPr>
          <w:i/>
          <w:iCs/>
        </w:rPr>
        <w:t>Alternaria brassicae</w:t>
      </w:r>
      <w:r>
        <w:t xml:space="preserve"> causes devastating blight in Brassica crops, leading to yield losses of up to 71% across major growing regions. Traditional chemical fungicide management raises concerns about environmental persistence, resistance development, and residue accumulation. Botanical extracts offer sustainable alternatives through bioactive antifungal compounds. This study evaluated and compared the </w:t>
      </w:r>
      <w:r>
        <w:rPr>
          <w:i/>
          <w:iCs/>
        </w:rPr>
        <w:t>in vitro</w:t>
      </w:r>
      <w:r>
        <w:t xml:space="preserve"> antifungal efficacy of botanical extracts and chemical fungicides against </w:t>
      </w:r>
      <w:r>
        <w:rPr>
          <w:i/>
          <w:iCs/>
        </w:rPr>
        <w:t>A. brassicae</w:t>
      </w:r>
      <w:r>
        <w:t xml:space="preserve"> through concentration-dependent assessment to determine effective concentrations, characterise inhibition patterns, and identify sustainable alternatives for disease management in mustard cultivation systems. It was hypothesised that botanical extracts would demonstrate significant, concentration-dependent antifungal activity against </w:t>
      </w:r>
      <w:r w:rsidRPr="00BC5A01">
        <w:rPr>
          <w:i/>
          <w:iCs/>
        </w:rPr>
        <w:t>A. brassicae</w:t>
      </w:r>
      <w:r>
        <w:t xml:space="preserve">, though chemical fungicides would achieve superior pathogen suppression. These findings confirm the study hypothesis. A key limitation of this study is that all experiments were conducted under controlled </w:t>
      </w:r>
      <w:r w:rsidRPr="00BC5A01">
        <w:rPr>
          <w:i/>
          <w:iCs/>
        </w:rPr>
        <w:t>in vitro</w:t>
      </w:r>
      <w:r>
        <w:t xml:space="preserve"> conditions; field validation is required before these findings can be applied to commercial disease management. Five botanical extracts (garlic, ginger, turmeric, </w:t>
      </w:r>
      <w:proofErr w:type="spellStart"/>
      <w:r>
        <w:t>tulsi</w:t>
      </w:r>
      <w:proofErr w:type="spellEnd"/>
      <w:r>
        <w:t>, lantana) at 2.5%, 5%, and 10% concentrations, and five fungicides (</w:t>
      </w:r>
      <w:proofErr w:type="spellStart"/>
      <w:r>
        <w:t>Carbendazim+Mancozeb</w:t>
      </w:r>
      <w:proofErr w:type="spellEnd"/>
      <w:r>
        <w:t xml:space="preserve">, Difenoconazole, Fluxapyroxad, </w:t>
      </w:r>
      <w:proofErr w:type="spellStart"/>
      <w:r>
        <w:t>Penflufen</w:t>
      </w:r>
      <w:proofErr w:type="spellEnd"/>
      <w:r>
        <w:t xml:space="preserve">, </w:t>
      </w:r>
      <w:proofErr w:type="spellStart"/>
      <w:r>
        <w:t>Trifloxystrobin</w:t>
      </w:r>
      <w:proofErr w:type="spellEnd"/>
      <w:r>
        <w:t xml:space="preserve">) at 0.025%, 0.05%, and 0.1% concentrations were evaluated using the poisoned food technique on PDA medium. Radial growth inhibition was calculated using Vincent’s formula, with appropriate statistical analysis. Botanical extracts showed concentration-dependent inhibition, with garlic achieving the highest efficacy (66.44% at 10%), followed by turmeric (66.00%), </w:t>
      </w:r>
      <w:proofErr w:type="spellStart"/>
      <w:r>
        <w:t>tulsi</w:t>
      </w:r>
      <w:proofErr w:type="spellEnd"/>
      <w:r>
        <w:t xml:space="preserve"> (64.00%), ginger (63.44%), and lantana (60.78%). Fungicides demonstrated superior inhibition, with four achieving complete suppression (100%) at 0.1%: Carbendazim + Mancozeb (98.13% at 0.025%), </w:t>
      </w:r>
      <w:proofErr w:type="spellStart"/>
      <w:r>
        <w:t>Trifloxystrobin</w:t>
      </w:r>
      <w:proofErr w:type="spellEnd"/>
      <w:r>
        <w:t xml:space="preserve"> (97.18%), Difenoconazole (96.83%), and Fluxapyroxad (96.56%). </w:t>
      </w:r>
      <w:proofErr w:type="spellStart"/>
      <w:r>
        <w:t>Penflufen</w:t>
      </w:r>
      <w:proofErr w:type="spellEnd"/>
      <w:r>
        <w:t xml:space="preserve"> showed incomplete inhibition (97.78% at 0.1%). All treatments exhibited significant dose-dependent responses. Chemical fungicides provide superior pathogen suppression, but botanical extracts, particularly garlic and turmeric, offer promising, sustainable alternatives with substantial antifungal activity. Concentration-dependent efficacy patterns support optimized dosing strategies. Integrating botanical extracts with reduced fungicide applications represents a viable, eco-friendly approach to sustainable management of Alternaria blight in mustard production systems.</w:t>
      </w:r>
    </w:p>
    <w:p w14:paraId="1A5C3783" w14:textId="5273CC1E" w:rsidR="00BA7814" w:rsidRDefault="00000000" w:rsidP="0027039F">
      <w:pPr>
        <w:spacing w:after="480" w:line="276" w:lineRule="auto"/>
        <w:jc w:val="both"/>
      </w:pPr>
      <w:r>
        <w:rPr>
          <w:b/>
          <w:bCs/>
        </w:rPr>
        <w:lastRenderedPageBreak/>
        <w:t xml:space="preserve">Keywords: </w:t>
      </w:r>
      <w:r>
        <w:rPr>
          <w:i/>
          <w:iCs/>
        </w:rPr>
        <w:t>Alternaria brassicae</w:t>
      </w:r>
      <w:r>
        <w:t>, Botanical extracts, Fungicides, Concentration-dependent inhibition, Sustainable disease management, Antifungal efficacy</w:t>
      </w:r>
    </w:p>
    <w:p w14:paraId="5ECA6857" w14:textId="77777777" w:rsidR="00BA7814" w:rsidRDefault="00000000">
      <w:pPr>
        <w:pStyle w:val="Heading1"/>
      </w:pPr>
      <w:r>
        <w:t>1. Introduction</w:t>
      </w:r>
    </w:p>
    <w:p w14:paraId="1611C3F3" w14:textId="41A10B55" w:rsidR="00BA7814" w:rsidRDefault="0027039F" w:rsidP="0027039F">
      <w:pPr>
        <w:spacing w:after="240" w:line="360" w:lineRule="auto"/>
        <w:jc w:val="both"/>
      </w:pPr>
      <w:r>
        <w:rPr>
          <w:i/>
          <w:iCs/>
        </w:rPr>
        <w:t>Brassica juncea</w:t>
      </w:r>
      <w:r>
        <w:t xml:space="preserve"> L. (Indian mustard) is a critical oilseed crop cultivated across 14.23 million hectares in India, contributing significantly to national food security and farmers' livelihoods. However, this economically important crop faces substantial productivity challenges due to numerous fungal pathogens, with </w:t>
      </w:r>
      <w:r>
        <w:rPr>
          <w:i/>
          <w:iCs/>
        </w:rPr>
        <w:t>Alternaria brassicae</w:t>
      </w:r>
      <w:r>
        <w:t xml:space="preserve"> (Berk.) </w:t>
      </w:r>
      <w:proofErr w:type="spellStart"/>
      <w:r>
        <w:t>Sacc</w:t>
      </w:r>
      <w:proofErr w:type="spellEnd"/>
      <w:r>
        <w:t>. being the most destructive causal agent of Alternaria blight, which affects all aerial plant parts throughout the growing season</w:t>
      </w:r>
      <w:r w:rsidR="00704BC9">
        <w:t xml:space="preserve"> (</w:t>
      </w:r>
      <w:r w:rsidR="00704BC9" w:rsidRPr="00704BC9">
        <w:t>Pun</w:t>
      </w:r>
      <w:r w:rsidR="00704BC9">
        <w:t xml:space="preserve"> et al., 2020</w:t>
      </w:r>
      <w:r w:rsidR="006E1B0F">
        <w:t xml:space="preserve">; </w:t>
      </w:r>
      <w:r w:rsidR="006E1B0F" w:rsidRPr="006E1B0F">
        <w:t>Ahammad</w:t>
      </w:r>
      <w:r w:rsidR="006E1B0F">
        <w:t xml:space="preserve"> et al., 2024</w:t>
      </w:r>
      <w:r w:rsidR="00704BC9">
        <w:t>)</w:t>
      </w:r>
      <w:r>
        <w:t>.</w:t>
      </w:r>
    </w:p>
    <w:p w14:paraId="4296FBCC" w14:textId="4168CAEE" w:rsidR="00BA7814" w:rsidRDefault="0027039F" w:rsidP="0027039F">
      <w:pPr>
        <w:spacing w:after="240" w:line="360" w:lineRule="auto"/>
        <w:jc w:val="both"/>
      </w:pPr>
      <w:r>
        <w:t xml:space="preserve">Alternaria blight causes devastating yield losses, with productivity losses ranging from 15 to 71% and oil content reductions of 14 to 36%, across major mustard-growing regions of Punjab, Uttar Pradesh, Rajasthan, and Haryana. The necrotrophic pathogen produces host-specific toxins and cell wall-degrading enzymes that trigger programmed cell death, resulting in characteristic concentric necrotic lesions that significantly impair photosynthetic capacity and overall plant vigour (Pandey </w:t>
      </w:r>
      <w:r>
        <w:rPr>
          <w:i/>
          <w:iCs/>
        </w:rPr>
        <w:t>et al.,</w:t>
      </w:r>
      <w:r>
        <w:t xml:space="preserve"> 2024</w:t>
      </w:r>
      <w:r w:rsidR="00DF208D">
        <w:t xml:space="preserve">; </w:t>
      </w:r>
      <w:r w:rsidR="00DF208D" w:rsidRPr="00DF208D">
        <w:t>Mishra</w:t>
      </w:r>
      <w:r w:rsidR="00DF208D">
        <w:t xml:space="preserve"> et al., 2024</w:t>
      </w:r>
      <w:r w:rsidR="00F25C75">
        <w:t xml:space="preserve">; </w:t>
      </w:r>
      <w:r w:rsidR="00F25C75" w:rsidRPr="00F25C75">
        <w:t>Ahmed</w:t>
      </w:r>
      <w:r w:rsidR="00F25C75">
        <w:t xml:space="preserve"> et al., 2024</w:t>
      </w:r>
      <w:r>
        <w:t>).</w:t>
      </w:r>
    </w:p>
    <w:p w14:paraId="354695A1" w14:textId="08870A9C" w:rsidR="00BA7814" w:rsidRDefault="0027039F" w:rsidP="0027039F">
      <w:pPr>
        <w:spacing w:after="240" w:line="360" w:lineRule="auto"/>
        <w:jc w:val="both"/>
      </w:pPr>
      <w:r>
        <w:t>Traditional disease management relies heavily on chemical fungicides, which provide effective pathogen control but raise serious concerns about environmental persistence, the development of fungicide resistance, residue accumulation in food chains, and adverse effects on beneficial organisms. The growing global emphasis on sustainable agriculture and environmental protection has intensified research into eco-friendly alternatives, including biological control agents and plant-derived antimicrobial compounds.</w:t>
      </w:r>
    </w:p>
    <w:p w14:paraId="6FE71721" w14:textId="6E174F3B" w:rsidR="00BA7814" w:rsidRDefault="0027039F" w:rsidP="0027039F">
      <w:pPr>
        <w:spacing w:after="240" w:line="360" w:lineRule="auto"/>
        <w:jc w:val="both"/>
      </w:pPr>
      <w:r>
        <w:t>Botanical extracts from medicinal and aromatic plants contain diverse bioactive compounds, including alkaloids, phenolics, terpenoids, and essential oils, which exhibit broad-spectrum antimicrobial activity against plant pathogens. Plants such as garlic (</w:t>
      </w:r>
      <w:r w:rsidRPr="00BC5A01">
        <w:rPr>
          <w:i/>
          <w:iCs/>
        </w:rPr>
        <w:t>Allium sativum</w:t>
      </w:r>
      <w:r>
        <w:t>), turmeric (</w:t>
      </w:r>
      <w:r w:rsidRPr="00BC5A01">
        <w:rPr>
          <w:i/>
          <w:iCs/>
        </w:rPr>
        <w:t>Curcuma longa</w:t>
      </w:r>
      <w:r>
        <w:t>), ginger (</w:t>
      </w:r>
      <w:r w:rsidRPr="00BC5A01">
        <w:rPr>
          <w:i/>
          <w:iCs/>
        </w:rPr>
        <w:t>Zingiber officinale</w:t>
      </w:r>
      <w:r>
        <w:t xml:space="preserve">), and </w:t>
      </w:r>
      <w:proofErr w:type="spellStart"/>
      <w:r>
        <w:t>tulsi</w:t>
      </w:r>
      <w:proofErr w:type="spellEnd"/>
      <w:r>
        <w:t xml:space="preserve"> (</w:t>
      </w:r>
      <w:r w:rsidRPr="00BC5A01">
        <w:rPr>
          <w:i/>
          <w:iCs/>
        </w:rPr>
        <w:t xml:space="preserve">Ocimum </w:t>
      </w:r>
      <w:proofErr w:type="spellStart"/>
      <w:r w:rsidRPr="00BC5A01">
        <w:rPr>
          <w:i/>
          <w:iCs/>
        </w:rPr>
        <w:t>tenuiflorum</w:t>
      </w:r>
      <w:proofErr w:type="spellEnd"/>
      <w:r>
        <w:t>) possess well-documented antifungal properties, attributed to compounds such as allicin, curcumin, gingerols, and eugenol, respectively (</w:t>
      </w:r>
      <w:proofErr w:type="spellStart"/>
      <w:r>
        <w:t>Guleria</w:t>
      </w:r>
      <w:proofErr w:type="spellEnd"/>
      <w:r>
        <w:t xml:space="preserve"> and Kumar 2009</w:t>
      </w:r>
      <w:r w:rsidR="004F6752">
        <w:t xml:space="preserve">; </w:t>
      </w:r>
      <w:proofErr w:type="spellStart"/>
      <w:r w:rsidR="004F6752">
        <w:t>Guleria</w:t>
      </w:r>
      <w:proofErr w:type="spellEnd"/>
      <w:r w:rsidR="004F6752">
        <w:t xml:space="preserve"> </w:t>
      </w:r>
      <w:r w:rsidR="004F6752" w:rsidRPr="00B61106">
        <w:rPr>
          <w:i/>
          <w:iCs/>
        </w:rPr>
        <w:t>et al.,</w:t>
      </w:r>
      <w:r w:rsidR="004F6752">
        <w:t xml:space="preserve"> 2021</w:t>
      </w:r>
      <w:r>
        <w:t xml:space="preserve">). Recent studies have demonstrated the efficacy of essential oils from various plant sources, with </w:t>
      </w:r>
      <w:r w:rsidRPr="00BC5A01">
        <w:rPr>
          <w:i/>
          <w:iCs/>
        </w:rPr>
        <w:t>Citrus sinensis</w:t>
      </w:r>
      <w:r>
        <w:t xml:space="preserve"> essential oil showing significant antifungal and </w:t>
      </w:r>
      <w:proofErr w:type="spellStart"/>
      <w:r>
        <w:t>antivirulence</w:t>
      </w:r>
      <w:proofErr w:type="spellEnd"/>
      <w:r>
        <w:t xml:space="preserve"> effects against Alternaria pathogens (</w:t>
      </w:r>
      <w:proofErr w:type="spellStart"/>
      <w:r>
        <w:t>Samandari-Najafabadi</w:t>
      </w:r>
      <w:proofErr w:type="spellEnd"/>
      <w:r>
        <w:t xml:space="preserve"> </w:t>
      </w:r>
      <w:r w:rsidRPr="00B61106">
        <w:rPr>
          <w:i/>
          <w:iCs/>
        </w:rPr>
        <w:t>et al.,</w:t>
      </w:r>
      <w:r>
        <w:t xml:space="preserve"> 2024).</w:t>
      </w:r>
    </w:p>
    <w:p w14:paraId="0F6F3E6F" w14:textId="1F98612C" w:rsidR="00BA7814" w:rsidRDefault="0027039F" w:rsidP="0027039F">
      <w:pPr>
        <w:spacing w:after="480" w:line="360" w:lineRule="auto"/>
        <w:jc w:val="both"/>
      </w:pPr>
      <w:r>
        <w:lastRenderedPageBreak/>
        <w:t xml:space="preserve">Understanding the comparative efficacy of botanical extracts and chemical fungicides across concentrations is essential for developing integrated disease management strategies that optimise pathogen control while maintaining environmental sustainability. This study aims to systematically evaluate and compare the </w:t>
      </w:r>
      <w:r w:rsidRPr="00BC5A01">
        <w:rPr>
          <w:i/>
          <w:iCs/>
        </w:rPr>
        <w:t>in vitro</w:t>
      </w:r>
      <w:r>
        <w:t xml:space="preserve"> antifungal efficacy of selected botanical extracts and chemical fungicides against </w:t>
      </w:r>
      <w:r>
        <w:rPr>
          <w:i/>
          <w:iCs/>
        </w:rPr>
        <w:t>A. brassicae</w:t>
      </w:r>
      <w:r>
        <w:t xml:space="preserve"> through concentration-dependent assessment under controlled laboratory conditions. The present study was therefore conducted with the hypothesis that botanical extracts would demonstrate significant, concentration-dependent antifungal activity against </w:t>
      </w:r>
      <w:r w:rsidRPr="00BC5A01">
        <w:rPr>
          <w:i/>
          <w:iCs/>
        </w:rPr>
        <w:t>A. brassicae</w:t>
      </w:r>
      <w:r>
        <w:t>, though chemical fungicides would achieve superior overall pathogen suppression.</w:t>
      </w:r>
    </w:p>
    <w:p w14:paraId="39BADC1A" w14:textId="77777777" w:rsidR="00BA7814" w:rsidRDefault="00000000" w:rsidP="002A6CF3">
      <w:pPr>
        <w:pStyle w:val="Heading1"/>
        <w:spacing w:line="360" w:lineRule="auto"/>
        <w:jc w:val="both"/>
      </w:pPr>
      <w:r>
        <w:t>2. Materials and Methods</w:t>
      </w:r>
    </w:p>
    <w:p w14:paraId="509A98A0" w14:textId="77777777" w:rsidR="00BA7814" w:rsidRDefault="00000000" w:rsidP="002A6CF3">
      <w:pPr>
        <w:pStyle w:val="Heading2"/>
        <w:spacing w:line="360" w:lineRule="auto"/>
        <w:jc w:val="both"/>
      </w:pPr>
      <w:r>
        <w:t>2.1 Pathogen Isolation and Culture Maintenance</w:t>
      </w:r>
    </w:p>
    <w:p w14:paraId="55DE2164" w14:textId="4D9D2752" w:rsidR="00BA7814" w:rsidRDefault="002A6CF3" w:rsidP="002A6CF3">
      <w:pPr>
        <w:spacing w:after="240" w:line="360" w:lineRule="auto"/>
        <w:jc w:val="both"/>
      </w:pPr>
      <w:r>
        <w:rPr>
          <w:i/>
          <w:iCs/>
        </w:rPr>
        <w:t>Alternaria brassicae</w:t>
      </w:r>
      <w:r>
        <w:t xml:space="preserve"> isolates were obtained from naturally infected mustard plants exhibiting characteristic blight symptoms, collected from the experimental fields of Chandra Shekhar Azad University of Agriculture and Technology, Kanpur. Infected leaf tissues with concentric ring lesions were surface-sterilised with 0.1% mercuric chloride for 45 seconds, followed by three successive washes with sterile distilled water to remove residual sterilant. Tissue segments (2-3 mm) were excised from lesion margins with a sterile scalpel and plated on potato dextrose agar (PDA).</w:t>
      </w:r>
    </w:p>
    <w:p w14:paraId="45B3EF6A" w14:textId="54005FF8" w:rsidR="00BA7814" w:rsidRDefault="002A6CF3" w:rsidP="002A6CF3">
      <w:pPr>
        <w:spacing w:after="240" w:line="360" w:lineRule="auto"/>
        <w:jc w:val="both"/>
      </w:pPr>
      <w:r>
        <w:t xml:space="preserve">Pure cultures were established using the single-spore isolation technique, which involved serial-dilution plating of conidial suspensions on fresh PDA medium. Individual colonies were examined microscopically for characteristic </w:t>
      </w:r>
      <w:r>
        <w:rPr>
          <w:i/>
          <w:iCs/>
        </w:rPr>
        <w:t>A. brassicae</w:t>
      </w:r>
      <w:r>
        <w:t xml:space="preserve"> morphology, including dark greenish-black colonies with concentric growth patterns, </w:t>
      </w:r>
      <w:proofErr w:type="spellStart"/>
      <w:r>
        <w:t>muriform</w:t>
      </w:r>
      <w:proofErr w:type="spellEnd"/>
      <w:r>
        <w:t xml:space="preserve"> conidia with distinctive beaks, and characteristic septation patterns. Confirmed isolates were purified through successive transfers and maintained on PDA slants at 4°C under sterile mineral oil.</w:t>
      </w:r>
    </w:p>
    <w:p w14:paraId="22F4998A" w14:textId="2EE6E73A" w:rsidR="00BA7814" w:rsidRDefault="002A6CF3" w:rsidP="002A6CF3">
      <w:pPr>
        <w:spacing w:after="240" w:line="360" w:lineRule="auto"/>
        <w:jc w:val="both"/>
      </w:pPr>
      <w:r>
        <w:t xml:space="preserve">Working cultures were prepared by transferring isolates from stock cultures to fresh PDA plates and incubating at 27±1°C for 7-10 days to obtain actively growing cultures with abundant sporulation. Culture viability and purity were verified through periodic microscopic examination and morphological assessments to ensure consistent experimental conditions. Mycelial discs for inoculation were prepared using a sterile 5 mm </w:t>
      </w:r>
      <w:proofErr w:type="spellStart"/>
      <w:r>
        <w:t>cork</w:t>
      </w:r>
      <w:proofErr w:type="spellEnd"/>
      <w:r>
        <w:t xml:space="preserve"> borer from the margins of actively growing colonies.</w:t>
      </w:r>
    </w:p>
    <w:p w14:paraId="1CB3096B" w14:textId="77777777" w:rsidR="00BA7814" w:rsidRDefault="00000000" w:rsidP="002A6CF3">
      <w:pPr>
        <w:pStyle w:val="Heading2"/>
        <w:spacing w:line="360" w:lineRule="auto"/>
        <w:jc w:val="both"/>
      </w:pPr>
      <w:r>
        <w:lastRenderedPageBreak/>
        <w:t>2.2 Botanical Extract Preparation</w:t>
      </w:r>
    </w:p>
    <w:p w14:paraId="1B7D0FE3" w14:textId="5D514C87" w:rsidR="00BA7814" w:rsidRDefault="002A6CF3" w:rsidP="002A6CF3">
      <w:pPr>
        <w:spacing w:after="240" w:line="360" w:lineRule="auto"/>
        <w:jc w:val="both"/>
      </w:pPr>
      <w:r>
        <w:t>Fresh plant materials from five locally available botanicals were collected and processed under aseptic conditions. Garlic (</w:t>
      </w:r>
      <w:r>
        <w:rPr>
          <w:i/>
          <w:iCs/>
        </w:rPr>
        <w:t>Allium sativum</w:t>
      </w:r>
      <w:r>
        <w:t>) bulbs, ginger (</w:t>
      </w:r>
      <w:r>
        <w:rPr>
          <w:i/>
          <w:iCs/>
        </w:rPr>
        <w:t>Zingiber officinale</w:t>
      </w:r>
      <w:r>
        <w:t>) rhizomes, turmeric (</w:t>
      </w:r>
      <w:r>
        <w:rPr>
          <w:i/>
          <w:iCs/>
        </w:rPr>
        <w:t>Curcuma longa</w:t>
      </w:r>
      <w:r>
        <w:t xml:space="preserve">) rhizomes, </w:t>
      </w:r>
      <w:proofErr w:type="spellStart"/>
      <w:r>
        <w:t>tulsi</w:t>
      </w:r>
      <w:proofErr w:type="spellEnd"/>
      <w:r>
        <w:t xml:space="preserve"> (</w:t>
      </w:r>
      <w:r>
        <w:rPr>
          <w:i/>
          <w:iCs/>
        </w:rPr>
        <w:t xml:space="preserve">Ocimum </w:t>
      </w:r>
      <w:proofErr w:type="spellStart"/>
      <w:r>
        <w:rPr>
          <w:i/>
          <w:iCs/>
        </w:rPr>
        <w:t>tenuiflorum</w:t>
      </w:r>
      <w:proofErr w:type="spellEnd"/>
      <w:r>
        <w:t>) leaves, and lantana (</w:t>
      </w:r>
      <w:r>
        <w:rPr>
          <w:i/>
          <w:iCs/>
        </w:rPr>
        <w:t>Lantana camara</w:t>
      </w:r>
      <w:r>
        <w:t>) leaves were thoroughly washed in running water to remove surface contaminants, then surface-sterilised with 70% ethanol for 30 seconds, followed by three washes with sterile distilled water.</w:t>
      </w:r>
    </w:p>
    <w:p w14:paraId="27D72BEB" w14:textId="15C8AB58" w:rsidR="00BA7814" w:rsidRDefault="002A6CF3" w:rsidP="002A6CF3">
      <w:pPr>
        <w:spacing w:after="240" w:line="360" w:lineRule="auto"/>
        <w:jc w:val="both"/>
      </w:pPr>
      <w:r>
        <w:t>Plant materials were separately crushed using a sterilised mortar and pestle with sterile distilled water at a 1:1 (w/v) ratio to extract water-soluble bioactive compounds. The crude extracts were filtered through double-layered muslin cloth to remove coarse particles, then through Whatman No. 1 filter paper for fine filtration. The filtered extracts were centrifuged at 1500 rpm for 15 minutes at 4°C, and the clear supernatants were collected and used as the 100% stock.</w:t>
      </w:r>
    </w:p>
    <w:p w14:paraId="04BC8F8C" w14:textId="0A93528D" w:rsidR="00BA7814" w:rsidRDefault="002A6CF3" w:rsidP="002A6CF3">
      <w:pPr>
        <w:spacing w:after="240" w:line="360" w:lineRule="auto"/>
        <w:jc w:val="both"/>
      </w:pPr>
      <w:r>
        <w:t>Working concentrations of 2.5%, 5%, and 10% were prepared by diluting appropriate volumes of the stock extract with sterile distilled water immediately before use. Extract quality was assessed through preliminary phytochemical screening to confirm the presence of bioactive compounds. All botanical extracts were freshly prepared for each experiment to prevent degradation of active compounds and to maintain consistent bioactivity.</w:t>
      </w:r>
    </w:p>
    <w:p w14:paraId="50DB91AD" w14:textId="77777777" w:rsidR="00BA7814" w:rsidRDefault="00000000" w:rsidP="002A6CF3">
      <w:pPr>
        <w:pStyle w:val="Heading2"/>
        <w:spacing w:line="360" w:lineRule="auto"/>
        <w:jc w:val="both"/>
      </w:pPr>
      <w:r>
        <w:t>2.3 Fungicide Preparation and Treatment Setup</w:t>
      </w:r>
    </w:p>
    <w:p w14:paraId="12706CF2" w14:textId="36A0896E" w:rsidR="00BA7814" w:rsidRDefault="002A6CF3" w:rsidP="002A6CF3">
      <w:pPr>
        <w:spacing w:after="240" w:line="360" w:lineRule="auto"/>
        <w:jc w:val="both"/>
      </w:pPr>
      <w:r>
        <w:t xml:space="preserve">Five commercial fungicides representing different chemical groups and modes of action were selected for evaluation: Carbendazim 12% + Mancozeb 63% WP (benzimidazole + </w:t>
      </w:r>
      <w:proofErr w:type="spellStart"/>
      <w:r>
        <w:t>dithiocarbamate</w:t>
      </w:r>
      <w:proofErr w:type="spellEnd"/>
      <w:r>
        <w:t xml:space="preserve">), Difenoconazole 25% EC (triazole), Fluxapyroxad 33.3% G/L (pyrazole carboxamide), </w:t>
      </w:r>
      <w:proofErr w:type="spellStart"/>
      <w:r>
        <w:t>Penflufen</w:t>
      </w:r>
      <w:proofErr w:type="spellEnd"/>
      <w:r>
        <w:t xml:space="preserve"> 240 FS (pyrazole carboxamide), and </w:t>
      </w:r>
      <w:proofErr w:type="spellStart"/>
      <w:r>
        <w:t>Trifloxystrobin</w:t>
      </w:r>
      <w:proofErr w:type="spellEnd"/>
      <w:r>
        <w:t xml:space="preserve"> 50% WDG (strobilurin). Stock solutions were prepared by accurately weighing the required quantities on an analytical balance and dissolving in sterile distilled water.</w:t>
      </w:r>
    </w:p>
    <w:p w14:paraId="7E10443F" w14:textId="3BA6FC98" w:rsidR="00BA7814" w:rsidRDefault="002A6CF3" w:rsidP="002A6CF3">
      <w:pPr>
        <w:spacing w:after="240" w:line="360" w:lineRule="auto"/>
        <w:jc w:val="both"/>
      </w:pPr>
      <w:r>
        <w:t xml:space="preserve">Working concentrations of 0.025%, 0.05%, and 0.1% were prepared based on the active ingredient content and added to molten PDA medium at approximately 50°C to prevent thermal degradation of the fungicide molecules. The amended medium was thoroughly mixed on a magnetic stirrer </w:t>
      </w:r>
      <w:r w:rsidR="00B61106">
        <w:t>to ensure uniform distribution before being poured</w:t>
      </w:r>
      <w:r>
        <w:t xml:space="preserve"> into sterile Petri plates (20 mL per plate). Control plates contained PDA medium without any amendments.</w:t>
      </w:r>
    </w:p>
    <w:p w14:paraId="511717E7" w14:textId="6CA6BD2A" w:rsidR="00BA7814" w:rsidRDefault="002A6CF3" w:rsidP="002A6CF3">
      <w:pPr>
        <w:spacing w:after="240" w:line="360" w:lineRule="auto"/>
        <w:jc w:val="both"/>
      </w:pPr>
      <w:r>
        <w:lastRenderedPageBreak/>
        <w:t>For botanical extract evaluation, required volumes of extract at the specified concentrations were incorporated into molten PDA medium and mixed thoroughly before plating. All treatments were prepared under laminar airflow conditions to maintain sterility. The pH of the amended medium was monitored and maintained at 5.5-6.0 to ensure optimal growth conditions and prevent pH-induced effects on pathogen growth.</w:t>
      </w:r>
    </w:p>
    <w:p w14:paraId="7DFCCBDC" w14:textId="77777777" w:rsidR="00BA7814" w:rsidRDefault="00000000" w:rsidP="002A6CF3">
      <w:pPr>
        <w:pStyle w:val="Heading2"/>
        <w:spacing w:line="360" w:lineRule="auto"/>
        <w:jc w:val="both"/>
      </w:pPr>
      <w:r>
        <w:t xml:space="preserve">2.4 </w:t>
      </w:r>
      <w:r>
        <w:rPr>
          <w:i/>
          <w:iCs/>
        </w:rPr>
        <w:t>In Vitro</w:t>
      </w:r>
      <w:r>
        <w:t xml:space="preserve"> Antifungal Assay and Data Collection</w:t>
      </w:r>
    </w:p>
    <w:p w14:paraId="6625BA0B" w14:textId="016CF02C" w:rsidR="00BA7814" w:rsidRDefault="002A6CF3" w:rsidP="002A6CF3">
      <w:pPr>
        <w:spacing w:after="240" w:line="360" w:lineRule="auto"/>
        <w:jc w:val="both"/>
      </w:pPr>
      <w:r>
        <w:t xml:space="preserve">The poisoned food technique was used to evaluate antifungal efficacy in accordance with established protocols. Each treatment plate was inoculated at the centre with a 5-mm-diameter mycelial disc obtained from 7-day-old actively growing cultures using a sterile </w:t>
      </w:r>
      <w:proofErr w:type="spellStart"/>
      <w:r>
        <w:t>cork</w:t>
      </w:r>
      <w:proofErr w:type="spellEnd"/>
      <w:r>
        <w:t xml:space="preserve"> borer. The mycelial discs were placed with the growing side down and gently pressed to ensure proper contact with the medium surface. Inoculated plates were sealed with Parafilm to prevent moisture loss.</w:t>
      </w:r>
    </w:p>
    <w:p w14:paraId="505F3367" w14:textId="78369DB5" w:rsidR="00BA7814" w:rsidRDefault="002A6CF3" w:rsidP="002A6CF3">
      <w:pPr>
        <w:spacing w:after="240" w:line="360" w:lineRule="auto"/>
        <w:jc w:val="both"/>
      </w:pPr>
      <w:r>
        <w:t>All treatments were arranged in a completely randomised design (CRD) with three replicates per treatment to ensure statistical validity. Plates were incubated at 27±1°C in a temperature-controlled incubator until control plates achieved complete growth (typically 7-10 days). Radial growth measurements were recorded daily using digital callipers along two perpendicular axes, and mean values were calculated for each experimental unit.</w:t>
      </w:r>
    </w:p>
    <w:p w14:paraId="6F43D679" w14:textId="0A672766" w:rsidR="00BA7814" w:rsidRDefault="002A6CF3" w:rsidP="002A6CF3">
      <w:pPr>
        <w:spacing w:after="480" w:line="360" w:lineRule="auto"/>
        <w:jc w:val="both"/>
      </w:pPr>
      <w:r>
        <w:t>Colony morphology, including colour, texture, pigmentation, margin characteristics, and sporulation patterns, was systematically documented using digital photography and microscopic examination. Percentage inhibition was calculated using Vincent's (1947) formula: Per cent inhibition = [(C-T)/C] × 100, where C = radial growth in control and T = radial growth in treatment. Data were subjected to analysis of variance (ANOVA) using statistical software, and treatment means were compared using Duncan's Multiple Range Test at the 5% significance level.</w:t>
      </w:r>
    </w:p>
    <w:p w14:paraId="1887DAEB" w14:textId="77777777" w:rsidR="00BA7814" w:rsidRDefault="00000000" w:rsidP="002A6CF3">
      <w:pPr>
        <w:pStyle w:val="Heading1"/>
        <w:spacing w:line="360" w:lineRule="auto"/>
        <w:jc w:val="both"/>
      </w:pPr>
      <w:r>
        <w:t>3. Results</w:t>
      </w:r>
    </w:p>
    <w:p w14:paraId="2EE61FB2" w14:textId="77777777" w:rsidR="00BA7814" w:rsidRPr="002A6CF3" w:rsidRDefault="00000000" w:rsidP="002A6CF3">
      <w:pPr>
        <w:pStyle w:val="Heading2"/>
        <w:spacing w:line="360" w:lineRule="auto"/>
        <w:jc w:val="both"/>
        <w:rPr>
          <w:i/>
          <w:iCs/>
        </w:rPr>
      </w:pPr>
      <w:r>
        <w:t xml:space="preserve">3.1 Botanical Extract Efficacy Against </w:t>
      </w:r>
      <w:r>
        <w:rPr>
          <w:i/>
          <w:iCs/>
        </w:rPr>
        <w:t>A. brassicae</w:t>
      </w:r>
    </w:p>
    <w:p w14:paraId="4D5ABD97" w14:textId="74FD341F" w:rsidR="00BA7814" w:rsidRDefault="002A6CF3" w:rsidP="002A6CF3">
      <w:pPr>
        <w:spacing w:after="240" w:line="360" w:lineRule="auto"/>
        <w:jc w:val="both"/>
      </w:pPr>
      <w:r>
        <w:t xml:space="preserve">The antifungal efficacy of five botanical extracts, evaluated at three concentrations (2.5%, 5%, and 10%), </w:t>
      </w:r>
      <w:r w:rsidR="00BC5A01">
        <w:t xml:space="preserve">exhibited significant, concentration-dependent inhibition of </w:t>
      </w:r>
      <w:r w:rsidR="00BC5A01" w:rsidRPr="00BC5A01">
        <w:rPr>
          <w:i/>
          <w:iCs/>
        </w:rPr>
        <w:t>A. brassicae</w:t>
      </w:r>
      <w:r w:rsidR="00BC5A01">
        <w:t xml:space="preserve"> mycelial growth relative to</w:t>
      </w:r>
      <w:r>
        <w:t xml:space="preserve"> the untreated control (Table 1). The control treatment exhibited unrestricted </w:t>
      </w:r>
      <w:r>
        <w:lastRenderedPageBreak/>
        <w:t>radial growth of 9.00 cm, with complete Petri plate colonization by the end of the incubation period. All botanical extracts significantly suppressed pathogen growth, with higher concentrations showing progressively greater inhibition.</w:t>
      </w:r>
    </w:p>
    <w:p w14:paraId="2D282019" w14:textId="42B1DBDD" w:rsidR="00BA7814" w:rsidRDefault="002A6CF3" w:rsidP="002A6CF3">
      <w:pPr>
        <w:spacing w:after="240" w:line="360" w:lineRule="auto"/>
        <w:jc w:val="both"/>
      </w:pPr>
      <w:r>
        <w:t>Garlic (</w:t>
      </w:r>
      <w:r>
        <w:rPr>
          <w:i/>
          <w:iCs/>
        </w:rPr>
        <w:t>Allium sativum</w:t>
      </w:r>
      <w:r>
        <w:t>) extract demonstrated superior antifungal activity among the tested botanicals, achieving 49.33%, 60.67%, and 66.44% inhibition at concentrations of 2.5%, 5%, and 10%, respectively. Colony morphology showed progressive deterioration, from dark, transparent black colonies with moderate mycelium at 2.5% to small, transparent black, loose mycelial colonies at 10%. Turmeric (</w:t>
      </w:r>
      <w:r>
        <w:rPr>
          <w:i/>
          <w:iCs/>
        </w:rPr>
        <w:t>Curcuma longa</w:t>
      </w:r>
      <w:r>
        <w:t>) showed comparable efficacy, with inhibition of 46.56%, 52.11%, and 66.00% at increasing concentrations.</w:t>
      </w:r>
    </w:p>
    <w:p w14:paraId="77643B8A" w14:textId="5816AC25" w:rsidR="00BA7814" w:rsidRDefault="002A6CF3" w:rsidP="002A6CF3">
      <w:pPr>
        <w:spacing w:after="240" w:line="360" w:lineRule="auto"/>
        <w:jc w:val="both"/>
      </w:pPr>
      <w:r>
        <w:t>Tulsi (</w:t>
      </w:r>
      <w:r>
        <w:rPr>
          <w:i/>
          <w:iCs/>
        </w:rPr>
        <w:t xml:space="preserve">Ocimum </w:t>
      </w:r>
      <w:proofErr w:type="spellStart"/>
      <w:r>
        <w:rPr>
          <w:i/>
          <w:iCs/>
        </w:rPr>
        <w:t>tenuiflorum</w:t>
      </w:r>
      <w:proofErr w:type="spellEnd"/>
      <w:r>
        <w:t xml:space="preserve">) showed consistent improvement with increasing concentration, </w:t>
      </w:r>
      <w:r w:rsidR="00BC5A01">
        <w:t xml:space="preserve">with inhibition of 38.67%, 49.56%, and 64.00% </w:t>
      </w:r>
      <w:r>
        <w:t>at 2.5%, 5%, and 10%, respectively. Ginger (</w:t>
      </w:r>
      <w:r>
        <w:rPr>
          <w:i/>
          <w:iCs/>
        </w:rPr>
        <w:t>Zingiber officinale</w:t>
      </w:r>
      <w:r>
        <w:t>) demonstrated moderate efficacy, with 39.44%, 47.89%, and 63.44% inhibition, while lantana (</w:t>
      </w:r>
      <w:r>
        <w:rPr>
          <w:i/>
          <w:iCs/>
        </w:rPr>
        <w:t>Lantana camara</w:t>
      </w:r>
      <w:r>
        <w:t>) showed the lowest initial performance (29.44% at 2.5%) but improved substantially to 60.78% at the maximum concentration. Microscopic examination revealed concentration-dependent reductions in colony density, aerial mycelium formation, and overall vigour across all botanical treatments.</w:t>
      </w:r>
    </w:p>
    <w:p w14:paraId="5B4D22E1" w14:textId="779D0942" w:rsidR="00BA7814" w:rsidRDefault="002A6CF3" w:rsidP="002A6CF3">
      <w:pPr>
        <w:spacing w:after="240" w:line="360" w:lineRule="auto"/>
        <w:jc w:val="both"/>
      </w:pPr>
      <w:r>
        <w:t>Statistical analysis revealed significant differences among treatments and concentrations, with a standard error of the mean (</w:t>
      </w:r>
      <w:proofErr w:type="spellStart"/>
      <w:r>
        <w:t>SEm</w:t>
      </w:r>
      <w:proofErr w:type="spellEnd"/>
      <w:r>
        <w:t>±) of 0.07 cm and a critical difference (CD) of 0.22 cm at the 5% significance level. A clear concentration-dependent response pattern was observed across all botanical extracts, indicating dose-responsive antifungal activity, with bioactive compounds exerting inhibitory effects proportional to the applied concentrations.</w:t>
      </w:r>
    </w:p>
    <w:p w14:paraId="0660AB7F" w14:textId="77777777" w:rsidR="002A6CF3" w:rsidRDefault="002A6CF3" w:rsidP="002A6CF3">
      <w:pPr>
        <w:pStyle w:val="Heading2"/>
        <w:spacing w:line="360" w:lineRule="auto"/>
        <w:jc w:val="both"/>
      </w:pPr>
    </w:p>
    <w:p w14:paraId="53568F7F" w14:textId="77777777" w:rsidR="002D2BF3" w:rsidRDefault="002D2BF3" w:rsidP="002A6CF3">
      <w:pPr>
        <w:pStyle w:val="Heading2"/>
        <w:spacing w:line="360" w:lineRule="auto"/>
        <w:jc w:val="both"/>
        <w:sectPr w:rsidR="002D2BF3" w:rsidSect="002D2BF3">
          <w:pgSz w:w="11906" w:h="16838" w:code="9"/>
          <w:pgMar w:top="1440" w:right="1440" w:bottom="1440" w:left="1440" w:header="708" w:footer="708" w:gutter="0"/>
          <w:cols w:space="720"/>
          <w:docGrid w:linePitch="360"/>
        </w:sectPr>
      </w:pPr>
    </w:p>
    <w:p w14:paraId="3ACBE490" w14:textId="00EAF4C5" w:rsidR="002D2BF3" w:rsidRDefault="002D2BF3" w:rsidP="002D2BF3">
      <w:pPr>
        <w:rPr>
          <w:b/>
          <w:bCs/>
          <w:sz w:val="28"/>
          <w:szCs w:val="28"/>
        </w:rPr>
      </w:pPr>
      <w:r>
        <w:rPr>
          <w:b/>
          <w:bCs/>
          <w:sz w:val="28"/>
          <w:szCs w:val="28"/>
        </w:rPr>
        <w:lastRenderedPageBreak/>
        <w:t xml:space="preserve">Table 1: Effect of different botanicals on the mycelial growth of </w:t>
      </w:r>
      <w:r>
        <w:rPr>
          <w:b/>
          <w:bCs/>
          <w:i/>
          <w:iCs/>
          <w:sz w:val="28"/>
          <w:szCs w:val="28"/>
        </w:rPr>
        <w:t>Alternaria brassicae</w:t>
      </w:r>
      <w:r>
        <w:rPr>
          <w:b/>
          <w:bCs/>
          <w:sz w:val="28"/>
          <w:szCs w:val="28"/>
        </w:rPr>
        <w:t xml:space="preserve"> </w:t>
      </w:r>
      <w:r>
        <w:rPr>
          <w:b/>
          <w:bCs/>
          <w:i/>
          <w:iCs/>
          <w:sz w:val="28"/>
          <w:szCs w:val="28"/>
        </w:rPr>
        <w:t>in vitro</w:t>
      </w:r>
      <w:r>
        <w:rPr>
          <w:b/>
          <w:bCs/>
          <w:sz w:val="28"/>
          <w:szCs w:val="28"/>
        </w:rPr>
        <w:t xml:space="preserve"> conditions</w:t>
      </w:r>
    </w:p>
    <w:tbl>
      <w:tblPr>
        <w:tblStyle w:val="TableGrid"/>
        <w:tblpPr w:leftFromText="180" w:rightFromText="180" w:vertAnchor="page" w:horzAnchor="margin" w:tblpY="2065"/>
        <w:tblW w:w="13874" w:type="dxa"/>
        <w:tblLayout w:type="fixed"/>
        <w:tblLook w:val="04A0" w:firstRow="1" w:lastRow="0" w:firstColumn="1" w:lastColumn="0" w:noHBand="0" w:noVBand="1"/>
      </w:tblPr>
      <w:tblGrid>
        <w:gridCol w:w="1413"/>
        <w:gridCol w:w="1949"/>
        <w:gridCol w:w="1189"/>
        <w:gridCol w:w="1544"/>
        <w:gridCol w:w="1555"/>
        <w:gridCol w:w="6224"/>
      </w:tblGrid>
      <w:tr w:rsidR="002D2BF3" w:rsidRPr="002D2BF3" w14:paraId="7ACCFE20" w14:textId="77777777" w:rsidTr="00E21FCF">
        <w:trPr>
          <w:trHeight w:val="923"/>
        </w:trPr>
        <w:tc>
          <w:tcPr>
            <w:tcW w:w="1413" w:type="dxa"/>
            <w:vAlign w:val="center"/>
          </w:tcPr>
          <w:p w14:paraId="283F98F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Treatment</w:t>
            </w:r>
          </w:p>
        </w:tc>
        <w:tc>
          <w:tcPr>
            <w:tcW w:w="1949" w:type="dxa"/>
            <w:vAlign w:val="center"/>
          </w:tcPr>
          <w:p w14:paraId="2ADCD50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Botanical</w:t>
            </w:r>
          </w:p>
        </w:tc>
        <w:tc>
          <w:tcPr>
            <w:tcW w:w="1189" w:type="dxa"/>
            <w:vAlign w:val="center"/>
          </w:tcPr>
          <w:p w14:paraId="74E4A94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Conc. (%)</w:t>
            </w:r>
          </w:p>
        </w:tc>
        <w:tc>
          <w:tcPr>
            <w:tcW w:w="1544" w:type="dxa"/>
            <w:vAlign w:val="center"/>
          </w:tcPr>
          <w:p w14:paraId="033F1D2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Radial growth (cm)</w:t>
            </w:r>
          </w:p>
        </w:tc>
        <w:tc>
          <w:tcPr>
            <w:tcW w:w="1555" w:type="dxa"/>
            <w:vAlign w:val="center"/>
          </w:tcPr>
          <w:p w14:paraId="274E2D8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Inhibition (%)</w:t>
            </w:r>
          </w:p>
        </w:tc>
        <w:tc>
          <w:tcPr>
            <w:tcW w:w="6224" w:type="dxa"/>
            <w:vAlign w:val="center"/>
          </w:tcPr>
          <w:p w14:paraId="7D3524A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Colony appearance</w:t>
            </w:r>
          </w:p>
        </w:tc>
      </w:tr>
      <w:tr w:rsidR="002D2BF3" w:rsidRPr="002D2BF3" w14:paraId="6BBA1667" w14:textId="77777777" w:rsidTr="00E21FCF">
        <w:trPr>
          <w:trHeight w:val="194"/>
        </w:trPr>
        <w:tc>
          <w:tcPr>
            <w:tcW w:w="1413" w:type="dxa"/>
            <w:vMerge w:val="restart"/>
            <w:vAlign w:val="center"/>
          </w:tcPr>
          <w:p w14:paraId="253E0671"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1</w:t>
            </w:r>
          </w:p>
          <w:p w14:paraId="5789D76B"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5E1A10D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Garlic (</w:t>
            </w:r>
            <w:r>
              <w:rPr>
                <w:rFonts w:ascii="Times New Roman" w:hAnsi="Times New Roman" w:cs="Times New Roman"/>
                <w:i/>
                <w:iCs/>
                <w:sz w:val="24"/>
                <w:szCs w:val="24"/>
              </w:rPr>
              <w:t>Allium sativum</w:t>
            </w:r>
            <w:r>
              <w:rPr>
                <w:rFonts w:ascii="Times New Roman" w:hAnsi="Times New Roman" w:cs="Times New Roman"/>
                <w:sz w:val="24"/>
                <w:szCs w:val="24"/>
              </w:rPr>
              <w:t>)</w:t>
            </w:r>
          </w:p>
          <w:p w14:paraId="2903FFD0" w14:textId="77777777" w:rsidR="002D2BF3" w:rsidRPr="002D2BF3" w:rsidRDefault="002D2BF3" w:rsidP="00E21FCF">
            <w:pPr>
              <w:rPr>
                <w:rFonts w:ascii="Times New Roman" w:hAnsi="Times New Roman" w:cs="Times New Roman"/>
                <w:sz w:val="24"/>
                <w:szCs w:val="24"/>
              </w:rPr>
            </w:pPr>
          </w:p>
        </w:tc>
        <w:tc>
          <w:tcPr>
            <w:tcW w:w="1189" w:type="dxa"/>
            <w:vAlign w:val="center"/>
          </w:tcPr>
          <w:p w14:paraId="197998E5"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68EB43D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4.56</w:t>
            </w:r>
          </w:p>
        </w:tc>
        <w:tc>
          <w:tcPr>
            <w:tcW w:w="1555" w:type="dxa"/>
            <w:vAlign w:val="center"/>
          </w:tcPr>
          <w:p w14:paraId="2497316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49.33</w:t>
            </w:r>
          </w:p>
        </w:tc>
        <w:tc>
          <w:tcPr>
            <w:tcW w:w="6224" w:type="dxa"/>
            <w:vAlign w:val="center"/>
          </w:tcPr>
          <w:p w14:paraId="574E23A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Dark transparent black colony with moderate mycelium</w:t>
            </w:r>
          </w:p>
        </w:tc>
      </w:tr>
      <w:tr w:rsidR="002D2BF3" w:rsidRPr="002D2BF3" w14:paraId="5C2B8B5C" w14:textId="77777777" w:rsidTr="00E21FCF">
        <w:trPr>
          <w:trHeight w:val="159"/>
        </w:trPr>
        <w:tc>
          <w:tcPr>
            <w:tcW w:w="1413" w:type="dxa"/>
            <w:vMerge/>
            <w:vAlign w:val="center"/>
          </w:tcPr>
          <w:p w14:paraId="5CFA66BA"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0D43CA69" w14:textId="77777777" w:rsidR="002D2BF3" w:rsidRPr="002D2BF3" w:rsidRDefault="002D2BF3" w:rsidP="00E21FCF">
            <w:pPr>
              <w:rPr>
                <w:rFonts w:ascii="Times New Roman" w:hAnsi="Times New Roman" w:cs="Times New Roman"/>
                <w:sz w:val="24"/>
                <w:szCs w:val="24"/>
              </w:rPr>
            </w:pPr>
          </w:p>
        </w:tc>
        <w:tc>
          <w:tcPr>
            <w:tcW w:w="1189" w:type="dxa"/>
            <w:vAlign w:val="center"/>
          </w:tcPr>
          <w:p w14:paraId="7CB8D3A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599C2EF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3.54</w:t>
            </w:r>
          </w:p>
        </w:tc>
        <w:tc>
          <w:tcPr>
            <w:tcW w:w="1555" w:type="dxa"/>
            <w:vAlign w:val="center"/>
          </w:tcPr>
          <w:p w14:paraId="57C1B0D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60.67</w:t>
            </w:r>
          </w:p>
        </w:tc>
        <w:tc>
          <w:tcPr>
            <w:tcW w:w="6224" w:type="dxa"/>
            <w:vAlign w:val="center"/>
          </w:tcPr>
          <w:p w14:paraId="3CA9E10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 xml:space="preserve">Dark transparent black with dense compact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w:t>
            </w:r>
          </w:p>
        </w:tc>
      </w:tr>
      <w:tr w:rsidR="002D2BF3" w:rsidRPr="002D2BF3" w14:paraId="3A73DC1D" w14:textId="77777777" w:rsidTr="00E21FCF">
        <w:trPr>
          <w:trHeight w:val="159"/>
        </w:trPr>
        <w:tc>
          <w:tcPr>
            <w:tcW w:w="1413" w:type="dxa"/>
            <w:vMerge/>
            <w:vAlign w:val="center"/>
          </w:tcPr>
          <w:p w14:paraId="0D8E27E2"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219CCC50" w14:textId="77777777" w:rsidR="002D2BF3" w:rsidRPr="002D2BF3" w:rsidRDefault="002D2BF3" w:rsidP="00E21FCF">
            <w:pPr>
              <w:rPr>
                <w:rFonts w:ascii="Times New Roman" w:hAnsi="Times New Roman" w:cs="Times New Roman"/>
                <w:sz w:val="24"/>
                <w:szCs w:val="24"/>
              </w:rPr>
            </w:pPr>
          </w:p>
        </w:tc>
        <w:tc>
          <w:tcPr>
            <w:tcW w:w="1189" w:type="dxa"/>
            <w:vAlign w:val="center"/>
          </w:tcPr>
          <w:p w14:paraId="1756F04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7D4CBE1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3.02</w:t>
            </w:r>
          </w:p>
        </w:tc>
        <w:tc>
          <w:tcPr>
            <w:tcW w:w="1555" w:type="dxa"/>
            <w:vAlign w:val="center"/>
          </w:tcPr>
          <w:p w14:paraId="0426551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66.44</w:t>
            </w:r>
          </w:p>
        </w:tc>
        <w:tc>
          <w:tcPr>
            <w:tcW w:w="6224" w:type="dxa"/>
            <w:vAlign w:val="center"/>
          </w:tcPr>
          <w:p w14:paraId="4D9A7B2A"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Small transparent black loose mycelial colony</w:t>
            </w:r>
          </w:p>
        </w:tc>
      </w:tr>
      <w:tr w:rsidR="002D2BF3" w:rsidRPr="002D2BF3" w14:paraId="3C4D33C1" w14:textId="77777777" w:rsidTr="00E21FCF">
        <w:trPr>
          <w:trHeight w:val="614"/>
        </w:trPr>
        <w:tc>
          <w:tcPr>
            <w:tcW w:w="1413" w:type="dxa"/>
            <w:vMerge w:val="restart"/>
            <w:vAlign w:val="center"/>
          </w:tcPr>
          <w:p w14:paraId="09D026EB"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2</w:t>
            </w:r>
          </w:p>
          <w:p w14:paraId="1171CBCF"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55A46DC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Ginger (</w:t>
            </w:r>
            <w:r>
              <w:rPr>
                <w:rFonts w:ascii="Times New Roman" w:hAnsi="Times New Roman" w:cs="Times New Roman"/>
                <w:i/>
                <w:iCs/>
                <w:sz w:val="24"/>
                <w:szCs w:val="24"/>
              </w:rPr>
              <w:t>Zingiber officinale</w:t>
            </w:r>
            <w:r>
              <w:rPr>
                <w:rFonts w:ascii="Times New Roman" w:hAnsi="Times New Roman" w:cs="Times New Roman"/>
                <w:sz w:val="24"/>
                <w:szCs w:val="24"/>
              </w:rPr>
              <w:t>)</w:t>
            </w:r>
          </w:p>
          <w:p w14:paraId="20148A98" w14:textId="77777777" w:rsidR="002D2BF3" w:rsidRPr="002D2BF3" w:rsidRDefault="002D2BF3" w:rsidP="00E21FCF">
            <w:pPr>
              <w:rPr>
                <w:rFonts w:ascii="Times New Roman" w:hAnsi="Times New Roman" w:cs="Times New Roman"/>
                <w:sz w:val="24"/>
                <w:szCs w:val="24"/>
              </w:rPr>
            </w:pPr>
          </w:p>
        </w:tc>
        <w:tc>
          <w:tcPr>
            <w:tcW w:w="1189" w:type="dxa"/>
            <w:vAlign w:val="center"/>
          </w:tcPr>
          <w:p w14:paraId="4F15A32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0C205F3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5.45</w:t>
            </w:r>
          </w:p>
        </w:tc>
        <w:tc>
          <w:tcPr>
            <w:tcW w:w="1555" w:type="dxa"/>
            <w:vAlign w:val="center"/>
          </w:tcPr>
          <w:p w14:paraId="50F1913A"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39.44</w:t>
            </w:r>
          </w:p>
        </w:tc>
        <w:tc>
          <w:tcPr>
            <w:tcW w:w="6224" w:type="dxa"/>
            <w:vAlign w:val="center"/>
          </w:tcPr>
          <w:p w14:paraId="5E5D4C8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Dark olive colony with velvety texture with concentric rings and lighter peripheral margin</w:t>
            </w:r>
          </w:p>
        </w:tc>
      </w:tr>
      <w:tr w:rsidR="002D2BF3" w:rsidRPr="002D2BF3" w14:paraId="474437BB" w14:textId="77777777" w:rsidTr="00E21FCF">
        <w:trPr>
          <w:trHeight w:val="159"/>
        </w:trPr>
        <w:tc>
          <w:tcPr>
            <w:tcW w:w="1413" w:type="dxa"/>
            <w:vMerge/>
            <w:vAlign w:val="center"/>
          </w:tcPr>
          <w:p w14:paraId="78C737BF"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0DB282EA" w14:textId="77777777" w:rsidR="002D2BF3" w:rsidRPr="002D2BF3" w:rsidRDefault="002D2BF3" w:rsidP="00E21FCF">
            <w:pPr>
              <w:rPr>
                <w:rFonts w:ascii="Times New Roman" w:hAnsi="Times New Roman" w:cs="Times New Roman"/>
                <w:sz w:val="24"/>
                <w:szCs w:val="24"/>
              </w:rPr>
            </w:pPr>
          </w:p>
        </w:tc>
        <w:tc>
          <w:tcPr>
            <w:tcW w:w="1189" w:type="dxa"/>
            <w:vAlign w:val="center"/>
          </w:tcPr>
          <w:p w14:paraId="14550D7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1DF292DB"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4.69</w:t>
            </w:r>
          </w:p>
        </w:tc>
        <w:tc>
          <w:tcPr>
            <w:tcW w:w="1555" w:type="dxa"/>
            <w:vAlign w:val="center"/>
          </w:tcPr>
          <w:p w14:paraId="7DF8A25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47.89</w:t>
            </w:r>
          </w:p>
        </w:tc>
        <w:tc>
          <w:tcPr>
            <w:tcW w:w="6224" w:type="dxa"/>
            <w:vAlign w:val="center"/>
          </w:tcPr>
          <w:p w14:paraId="4679BC9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Dark olive-black colony with moderately dense mycelium and lighter peripheral margin</w:t>
            </w:r>
          </w:p>
        </w:tc>
      </w:tr>
      <w:tr w:rsidR="002D2BF3" w:rsidRPr="002D2BF3" w14:paraId="4459E090" w14:textId="77777777" w:rsidTr="00E21FCF">
        <w:trPr>
          <w:trHeight w:val="159"/>
        </w:trPr>
        <w:tc>
          <w:tcPr>
            <w:tcW w:w="1413" w:type="dxa"/>
            <w:vMerge/>
            <w:vAlign w:val="center"/>
          </w:tcPr>
          <w:p w14:paraId="1F1AE318"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586C13F" w14:textId="77777777" w:rsidR="002D2BF3" w:rsidRPr="002D2BF3" w:rsidRDefault="002D2BF3" w:rsidP="00E21FCF">
            <w:pPr>
              <w:rPr>
                <w:rFonts w:ascii="Times New Roman" w:hAnsi="Times New Roman" w:cs="Times New Roman"/>
                <w:sz w:val="24"/>
                <w:szCs w:val="24"/>
              </w:rPr>
            </w:pPr>
          </w:p>
        </w:tc>
        <w:tc>
          <w:tcPr>
            <w:tcW w:w="1189" w:type="dxa"/>
            <w:vAlign w:val="center"/>
          </w:tcPr>
          <w:p w14:paraId="7DB06A3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73E6F7F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3.29</w:t>
            </w:r>
          </w:p>
        </w:tc>
        <w:tc>
          <w:tcPr>
            <w:tcW w:w="1555" w:type="dxa"/>
            <w:vAlign w:val="center"/>
          </w:tcPr>
          <w:p w14:paraId="7EC3F660"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63.44</w:t>
            </w:r>
          </w:p>
        </w:tc>
        <w:tc>
          <w:tcPr>
            <w:tcW w:w="6224" w:type="dxa"/>
            <w:vAlign w:val="center"/>
          </w:tcPr>
          <w:p w14:paraId="3ECFC8DF"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Compact dark colony with reduced margin</w:t>
            </w:r>
          </w:p>
        </w:tc>
      </w:tr>
      <w:tr w:rsidR="002D2BF3" w:rsidRPr="002D2BF3" w14:paraId="54B76D3A" w14:textId="77777777" w:rsidTr="00E21FCF">
        <w:trPr>
          <w:trHeight w:val="351"/>
        </w:trPr>
        <w:tc>
          <w:tcPr>
            <w:tcW w:w="1413" w:type="dxa"/>
            <w:vMerge w:val="restart"/>
            <w:vAlign w:val="center"/>
          </w:tcPr>
          <w:p w14:paraId="4708CE14"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3</w:t>
            </w:r>
          </w:p>
          <w:p w14:paraId="37D69FF8"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3FC3CA9B"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Turmeric (</w:t>
            </w:r>
            <w:r>
              <w:rPr>
                <w:rFonts w:ascii="Times New Roman" w:hAnsi="Times New Roman" w:cs="Times New Roman"/>
                <w:i/>
                <w:iCs/>
                <w:sz w:val="24"/>
                <w:szCs w:val="24"/>
              </w:rPr>
              <w:t>Curcuma longa</w:t>
            </w:r>
            <w:r>
              <w:rPr>
                <w:rFonts w:ascii="Times New Roman" w:hAnsi="Times New Roman" w:cs="Times New Roman"/>
                <w:sz w:val="24"/>
                <w:szCs w:val="24"/>
              </w:rPr>
              <w:t>)</w:t>
            </w:r>
          </w:p>
          <w:p w14:paraId="55406A28" w14:textId="77777777" w:rsidR="002D2BF3" w:rsidRPr="002D2BF3" w:rsidRDefault="002D2BF3" w:rsidP="00E21FCF">
            <w:pPr>
              <w:rPr>
                <w:rFonts w:ascii="Times New Roman" w:hAnsi="Times New Roman" w:cs="Times New Roman"/>
                <w:sz w:val="24"/>
                <w:szCs w:val="24"/>
              </w:rPr>
            </w:pPr>
          </w:p>
        </w:tc>
        <w:tc>
          <w:tcPr>
            <w:tcW w:w="1189" w:type="dxa"/>
            <w:vAlign w:val="center"/>
          </w:tcPr>
          <w:p w14:paraId="2335762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5503303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4.81</w:t>
            </w:r>
          </w:p>
        </w:tc>
        <w:tc>
          <w:tcPr>
            <w:tcW w:w="1555" w:type="dxa"/>
            <w:vAlign w:val="center"/>
          </w:tcPr>
          <w:p w14:paraId="765D19E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46.56</w:t>
            </w:r>
          </w:p>
        </w:tc>
        <w:tc>
          <w:tcPr>
            <w:tcW w:w="6224" w:type="dxa"/>
            <w:vAlign w:val="center"/>
          </w:tcPr>
          <w:p w14:paraId="6CB772A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Greyish-black fluffy colony</w:t>
            </w:r>
          </w:p>
        </w:tc>
      </w:tr>
      <w:tr w:rsidR="002D2BF3" w:rsidRPr="002D2BF3" w14:paraId="418C05DE" w14:textId="77777777" w:rsidTr="00E21FCF">
        <w:trPr>
          <w:trHeight w:val="159"/>
        </w:trPr>
        <w:tc>
          <w:tcPr>
            <w:tcW w:w="1413" w:type="dxa"/>
            <w:vMerge/>
            <w:vAlign w:val="center"/>
          </w:tcPr>
          <w:p w14:paraId="1BE63931"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A2CCE96" w14:textId="77777777" w:rsidR="002D2BF3" w:rsidRPr="002D2BF3" w:rsidRDefault="002D2BF3" w:rsidP="00E21FCF">
            <w:pPr>
              <w:rPr>
                <w:rFonts w:ascii="Times New Roman" w:hAnsi="Times New Roman" w:cs="Times New Roman"/>
                <w:sz w:val="24"/>
                <w:szCs w:val="24"/>
              </w:rPr>
            </w:pPr>
          </w:p>
        </w:tc>
        <w:tc>
          <w:tcPr>
            <w:tcW w:w="1189" w:type="dxa"/>
            <w:vAlign w:val="center"/>
          </w:tcPr>
          <w:p w14:paraId="53FE3CC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5B6DF0B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4.31</w:t>
            </w:r>
          </w:p>
        </w:tc>
        <w:tc>
          <w:tcPr>
            <w:tcW w:w="1555" w:type="dxa"/>
            <w:vAlign w:val="center"/>
          </w:tcPr>
          <w:p w14:paraId="23B94BB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52.11</w:t>
            </w:r>
          </w:p>
        </w:tc>
        <w:tc>
          <w:tcPr>
            <w:tcW w:w="6224" w:type="dxa"/>
            <w:vAlign w:val="center"/>
          </w:tcPr>
          <w:p w14:paraId="169A8925"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Dense grey-black colony</w:t>
            </w:r>
          </w:p>
        </w:tc>
      </w:tr>
      <w:tr w:rsidR="002D2BF3" w:rsidRPr="002D2BF3" w14:paraId="27B994B0" w14:textId="77777777" w:rsidTr="00E21FCF">
        <w:trPr>
          <w:trHeight w:val="159"/>
        </w:trPr>
        <w:tc>
          <w:tcPr>
            <w:tcW w:w="1413" w:type="dxa"/>
            <w:vMerge/>
            <w:vAlign w:val="center"/>
          </w:tcPr>
          <w:p w14:paraId="33C9DCAE"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223E08B" w14:textId="77777777" w:rsidR="002D2BF3" w:rsidRPr="002D2BF3" w:rsidRDefault="002D2BF3" w:rsidP="00E21FCF">
            <w:pPr>
              <w:rPr>
                <w:rFonts w:ascii="Times New Roman" w:hAnsi="Times New Roman" w:cs="Times New Roman"/>
                <w:sz w:val="24"/>
                <w:szCs w:val="24"/>
              </w:rPr>
            </w:pPr>
          </w:p>
        </w:tc>
        <w:tc>
          <w:tcPr>
            <w:tcW w:w="1189" w:type="dxa"/>
            <w:vAlign w:val="center"/>
          </w:tcPr>
          <w:p w14:paraId="156A0C77"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206CEE2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3.06</w:t>
            </w:r>
          </w:p>
        </w:tc>
        <w:tc>
          <w:tcPr>
            <w:tcW w:w="1555" w:type="dxa"/>
            <w:vAlign w:val="center"/>
          </w:tcPr>
          <w:p w14:paraId="0DF8F52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66.00</w:t>
            </w:r>
          </w:p>
        </w:tc>
        <w:tc>
          <w:tcPr>
            <w:tcW w:w="6224" w:type="dxa"/>
            <w:vAlign w:val="center"/>
          </w:tcPr>
          <w:p w14:paraId="22E0DE3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Small compact grey-black colony</w:t>
            </w:r>
          </w:p>
        </w:tc>
      </w:tr>
      <w:tr w:rsidR="002D2BF3" w:rsidRPr="002D2BF3" w14:paraId="4AF1C1D3" w14:textId="77777777" w:rsidTr="00E21FCF">
        <w:trPr>
          <w:trHeight w:val="293"/>
        </w:trPr>
        <w:tc>
          <w:tcPr>
            <w:tcW w:w="1413" w:type="dxa"/>
            <w:vMerge w:val="restart"/>
            <w:vAlign w:val="center"/>
          </w:tcPr>
          <w:p w14:paraId="1589D9F7"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4</w:t>
            </w:r>
          </w:p>
          <w:p w14:paraId="647B8AC8"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7288016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Tulsi (</w:t>
            </w:r>
            <w:r>
              <w:rPr>
                <w:rFonts w:ascii="Times New Roman" w:hAnsi="Times New Roman" w:cs="Times New Roman"/>
                <w:i/>
                <w:iCs/>
                <w:sz w:val="24"/>
                <w:szCs w:val="24"/>
              </w:rPr>
              <w:t xml:space="preserve">Ocimum </w:t>
            </w:r>
            <w:proofErr w:type="spellStart"/>
            <w:r>
              <w:rPr>
                <w:rFonts w:ascii="Times New Roman" w:hAnsi="Times New Roman" w:cs="Times New Roman"/>
                <w:i/>
                <w:iCs/>
                <w:sz w:val="24"/>
                <w:szCs w:val="24"/>
              </w:rPr>
              <w:t>tenuiflorum</w:t>
            </w:r>
            <w:proofErr w:type="spellEnd"/>
            <w:r>
              <w:rPr>
                <w:rFonts w:ascii="Times New Roman" w:hAnsi="Times New Roman" w:cs="Times New Roman"/>
                <w:sz w:val="24"/>
                <w:szCs w:val="24"/>
              </w:rPr>
              <w:t>)</w:t>
            </w:r>
          </w:p>
          <w:p w14:paraId="66A9E790" w14:textId="77777777" w:rsidR="002D2BF3" w:rsidRPr="002D2BF3" w:rsidRDefault="002D2BF3" w:rsidP="00E21FCF">
            <w:pPr>
              <w:rPr>
                <w:rFonts w:ascii="Times New Roman" w:hAnsi="Times New Roman" w:cs="Times New Roman"/>
                <w:sz w:val="24"/>
                <w:szCs w:val="24"/>
              </w:rPr>
            </w:pPr>
          </w:p>
        </w:tc>
        <w:tc>
          <w:tcPr>
            <w:tcW w:w="1189" w:type="dxa"/>
            <w:vAlign w:val="center"/>
          </w:tcPr>
          <w:p w14:paraId="1F256CEF"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79D0DCB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5.52</w:t>
            </w:r>
          </w:p>
        </w:tc>
        <w:tc>
          <w:tcPr>
            <w:tcW w:w="1555" w:type="dxa"/>
            <w:vAlign w:val="center"/>
          </w:tcPr>
          <w:p w14:paraId="5CAF8AA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38.67</w:t>
            </w:r>
          </w:p>
        </w:tc>
        <w:tc>
          <w:tcPr>
            <w:tcW w:w="6224" w:type="dxa"/>
            <w:vAlign w:val="center"/>
          </w:tcPr>
          <w:p w14:paraId="556626F7"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Grey to dark fluffy colony</w:t>
            </w:r>
          </w:p>
        </w:tc>
      </w:tr>
      <w:tr w:rsidR="002D2BF3" w:rsidRPr="002D2BF3" w14:paraId="53E4EC8B" w14:textId="77777777" w:rsidTr="00E21FCF">
        <w:trPr>
          <w:trHeight w:val="159"/>
        </w:trPr>
        <w:tc>
          <w:tcPr>
            <w:tcW w:w="1413" w:type="dxa"/>
            <w:vMerge/>
            <w:vAlign w:val="center"/>
          </w:tcPr>
          <w:p w14:paraId="37A58B4D"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4DDE608" w14:textId="77777777" w:rsidR="002D2BF3" w:rsidRPr="002D2BF3" w:rsidRDefault="002D2BF3" w:rsidP="00E21FCF">
            <w:pPr>
              <w:rPr>
                <w:rFonts w:ascii="Times New Roman" w:hAnsi="Times New Roman" w:cs="Times New Roman"/>
                <w:sz w:val="24"/>
                <w:szCs w:val="24"/>
              </w:rPr>
            </w:pPr>
          </w:p>
        </w:tc>
        <w:tc>
          <w:tcPr>
            <w:tcW w:w="1189" w:type="dxa"/>
            <w:vAlign w:val="center"/>
          </w:tcPr>
          <w:p w14:paraId="2FCEB1A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2782FB7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4.54</w:t>
            </w:r>
          </w:p>
        </w:tc>
        <w:tc>
          <w:tcPr>
            <w:tcW w:w="1555" w:type="dxa"/>
            <w:vAlign w:val="center"/>
          </w:tcPr>
          <w:p w14:paraId="66F6A26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49.56</w:t>
            </w:r>
          </w:p>
        </w:tc>
        <w:tc>
          <w:tcPr>
            <w:tcW w:w="6224" w:type="dxa"/>
            <w:vAlign w:val="center"/>
          </w:tcPr>
          <w:p w14:paraId="1EC0576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 xml:space="preserve">Dense greyish-black colony with compact </w:t>
            </w:r>
            <w:proofErr w:type="spellStart"/>
            <w:r>
              <w:rPr>
                <w:rFonts w:ascii="Times New Roman" w:hAnsi="Times New Roman" w:cs="Times New Roman"/>
                <w:sz w:val="24"/>
                <w:szCs w:val="24"/>
              </w:rPr>
              <w:t>center</w:t>
            </w:r>
            <w:proofErr w:type="spellEnd"/>
          </w:p>
        </w:tc>
      </w:tr>
      <w:tr w:rsidR="002D2BF3" w:rsidRPr="002D2BF3" w14:paraId="0E65C173" w14:textId="77777777" w:rsidTr="00E21FCF">
        <w:trPr>
          <w:trHeight w:val="159"/>
        </w:trPr>
        <w:tc>
          <w:tcPr>
            <w:tcW w:w="1413" w:type="dxa"/>
            <w:vMerge/>
            <w:vAlign w:val="center"/>
          </w:tcPr>
          <w:p w14:paraId="10537534"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CC40429" w14:textId="77777777" w:rsidR="002D2BF3" w:rsidRPr="002D2BF3" w:rsidRDefault="002D2BF3" w:rsidP="00E21FCF">
            <w:pPr>
              <w:rPr>
                <w:rFonts w:ascii="Times New Roman" w:hAnsi="Times New Roman" w:cs="Times New Roman"/>
                <w:sz w:val="24"/>
                <w:szCs w:val="24"/>
              </w:rPr>
            </w:pPr>
          </w:p>
        </w:tc>
        <w:tc>
          <w:tcPr>
            <w:tcW w:w="1189" w:type="dxa"/>
            <w:vAlign w:val="center"/>
          </w:tcPr>
          <w:p w14:paraId="36E0828B"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5DFCECD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3.24</w:t>
            </w:r>
          </w:p>
        </w:tc>
        <w:tc>
          <w:tcPr>
            <w:tcW w:w="1555" w:type="dxa"/>
            <w:vAlign w:val="center"/>
          </w:tcPr>
          <w:p w14:paraId="4B167527"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64.00</w:t>
            </w:r>
          </w:p>
        </w:tc>
        <w:tc>
          <w:tcPr>
            <w:tcW w:w="6224" w:type="dxa"/>
            <w:vAlign w:val="center"/>
          </w:tcPr>
          <w:p w14:paraId="379947D7"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Small compact grey-black colony</w:t>
            </w:r>
          </w:p>
        </w:tc>
      </w:tr>
      <w:tr w:rsidR="002D2BF3" w:rsidRPr="002D2BF3" w14:paraId="6241F369" w14:textId="77777777" w:rsidTr="00E21FCF">
        <w:trPr>
          <w:trHeight w:val="306"/>
        </w:trPr>
        <w:tc>
          <w:tcPr>
            <w:tcW w:w="1413" w:type="dxa"/>
            <w:vMerge w:val="restart"/>
            <w:vAlign w:val="center"/>
          </w:tcPr>
          <w:p w14:paraId="70BB110C"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5</w:t>
            </w:r>
          </w:p>
          <w:p w14:paraId="5389E302"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6BD6A20F"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Lantana (</w:t>
            </w:r>
            <w:r>
              <w:rPr>
                <w:rFonts w:ascii="Times New Roman" w:hAnsi="Times New Roman" w:cs="Times New Roman"/>
                <w:i/>
                <w:iCs/>
                <w:sz w:val="24"/>
                <w:szCs w:val="24"/>
              </w:rPr>
              <w:t>Lantana camara</w:t>
            </w:r>
            <w:r>
              <w:rPr>
                <w:rFonts w:ascii="Times New Roman" w:hAnsi="Times New Roman" w:cs="Times New Roman"/>
                <w:sz w:val="24"/>
                <w:szCs w:val="24"/>
              </w:rPr>
              <w:t>)</w:t>
            </w:r>
          </w:p>
          <w:p w14:paraId="24140D97" w14:textId="77777777" w:rsidR="002D2BF3" w:rsidRPr="002D2BF3" w:rsidRDefault="002D2BF3" w:rsidP="00E21FCF">
            <w:pPr>
              <w:rPr>
                <w:rFonts w:ascii="Times New Roman" w:hAnsi="Times New Roman" w:cs="Times New Roman"/>
                <w:sz w:val="24"/>
                <w:szCs w:val="24"/>
              </w:rPr>
            </w:pPr>
          </w:p>
        </w:tc>
        <w:tc>
          <w:tcPr>
            <w:tcW w:w="1189" w:type="dxa"/>
            <w:vAlign w:val="center"/>
          </w:tcPr>
          <w:p w14:paraId="305A2250"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0CE3235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6.35</w:t>
            </w:r>
          </w:p>
        </w:tc>
        <w:tc>
          <w:tcPr>
            <w:tcW w:w="1555" w:type="dxa"/>
            <w:vAlign w:val="center"/>
          </w:tcPr>
          <w:p w14:paraId="00CF970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29.44</w:t>
            </w:r>
          </w:p>
        </w:tc>
        <w:tc>
          <w:tcPr>
            <w:tcW w:w="6224" w:type="dxa"/>
            <w:vAlign w:val="center"/>
          </w:tcPr>
          <w:p w14:paraId="36E09F0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Large dark olive black colony covering plate</w:t>
            </w:r>
          </w:p>
        </w:tc>
      </w:tr>
      <w:tr w:rsidR="002D2BF3" w:rsidRPr="002D2BF3" w14:paraId="4F7E8841" w14:textId="77777777" w:rsidTr="00E21FCF">
        <w:trPr>
          <w:trHeight w:val="159"/>
        </w:trPr>
        <w:tc>
          <w:tcPr>
            <w:tcW w:w="1413" w:type="dxa"/>
            <w:vMerge/>
            <w:vAlign w:val="center"/>
          </w:tcPr>
          <w:p w14:paraId="1723F1F7"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59065D02" w14:textId="77777777" w:rsidR="002D2BF3" w:rsidRPr="002D2BF3" w:rsidRDefault="002D2BF3" w:rsidP="00E21FCF">
            <w:pPr>
              <w:rPr>
                <w:rFonts w:ascii="Times New Roman" w:hAnsi="Times New Roman" w:cs="Times New Roman"/>
                <w:sz w:val="24"/>
                <w:szCs w:val="24"/>
              </w:rPr>
            </w:pPr>
          </w:p>
        </w:tc>
        <w:tc>
          <w:tcPr>
            <w:tcW w:w="1189" w:type="dxa"/>
            <w:vAlign w:val="center"/>
          </w:tcPr>
          <w:p w14:paraId="642AEC1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5DB1254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5.45</w:t>
            </w:r>
          </w:p>
        </w:tc>
        <w:tc>
          <w:tcPr>
            <w:tcW w:w="1555" w:type="dxa"/>
            <w:vAlign w:val="center"/>
          </w:tcPr>
          <w:p w14:paraId="6FF0ABC0"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39.44</w:t>
            </w:r>
          </w:p>
        </w:tc>
        <w:tc>
          <w:tcPr>
            <w:tcW w:w="6224" w:type="dxa"/>
            <w:vAlign w:val="center"/>
          </w:tcPr>
          <w:p w14:paraId="7EF9C81A"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Dark olive black dense colony with wide spread</w:t>
            </w:r>
          </w:p>
        </w:tc>
      </w:tr>
      <w:tr w:rsidR="002D2BF3" w:rsidRPr="002D2BF3" w14:paraId="34B423DD" w14:textId="77777777" w:rsidTr="00E21FCF">
        <w:trPr>
          <w:trHeight w:val="159"/>
        </w:trPr>
        <w:tc>
          <w:tcPr>
            <w:tcW w:w="1413" w:type="dxa"/>
            <w:vMerge/>
            <w:vAlign w:val="center"/>
          </w:tcPr>
          <w:p w14:paraId="443DF45D"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17D469F5" w14:textId="77777777" w:rsidR="002D2BF3" w:rsidRPr="002D2BF3" w:rsidRDefault="002D2BF3" w:rsidP="00E21FCF">
            <w:pPr>
              <w:rPr>
                <w:rFonts w:ascii="Times New Roman" w:hAnsi="Times New Roman" w:cs="Times New Roman"/>
                <w:sz w:val="24"/>
                <w:szCs w:val="24"/>
              </w:rPr>
            </w:pPr>
          </w:p>
        </w:tc>
        <w:tc>
          <w:tcPr>
            <w:tcW w:w="1189" w:type="dxa"/>
            <w:vAlign w:val="center"/>
          </w:tcPr>
          <w:p w14:paraId="4AF18B2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2F737AD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3.53</w:t>
            </w:r>
          </w:p>
        </w:tc>
        <w:tc>
          <w:tcPr>
            <w:tcW w:w="1555" w:type="dxa"/>
            <w:vAlign w:val="center"/>
          </w:tcPr>
          <w:p w14:paraId="7C3D05C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60.78</w:t>
            </w:r>
          </w:p>
        </w:tc>
        <w:tc>
          <w:tcPr>
            <w:tcW w:w="6224" w:type="dxa"/>
            <w:vAlign w:val="center"/>
          </w:tcPr>
          <w:p w14:paraId="4C13F53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Compact dark olive black colony with reduced diameter</w:t>
            </w:r>
          </w:p>
        </w:tc>
      </w:tr>
      <w:tr w:rsidR="002D2BF3" w:rsidRPr="002D2BF3" w14:paraId="02DF820F" w14:textId="77777777" w:rsidTr="00E21FCF">
        <w:trPr>
          <w:trHeight w:val="293"/>
        </w:trPr>
        <w:tc>
          <w:tcPr>
            <w:tcW w:w="1413" w:type="dxa"/>
            <w:vAlign w:val="center"/>
          </w:tcPr>
          <w:p w14:paraId="7DD0B50A"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6</w:t>
            </w:r>
          </w:p>
        </w:tc>
        <w:tc>
          <w:tcPr>
            <w:tcW w:w="1949" w:type="dxa"/>
            <w:vAlign w:val="center"/>
          </w:tcPr>
          <w:p w14:paraId="4ABE461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Control</w:t>
            </w:r>
          </w:p>
        </w:tc>
        <w:tc>
          <w:tcPr>
            <w:tcW w:w="1189" w:type="dxa"/>
            <w:vAlign w:val="center"/>
          </w:tcPr>
          <w:p w14:paraId="00935A7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1544" w:type="dxa"/>
            <w:vAlign w:val="center"/>
          </w:tcPr>
          <w:p w14:paraId="3001471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9.00</w:t>
            </w:r>
          </w:p>
        </w:tc>
        <w:tc>
          <w:tcPr>
            <w:tcW w:w="1555" w:type="dxa"/>
            <w:vAlign w:val="center"/>
          </w:tcPr>
          <w:p w14:paraId="3C1207D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0</w:t>
            </w:r>
          </w:p>
        </w:tc>
        <w:tc>
          <w:tcPr>
            <w:tcW w:w="6224" w:type="dxa"/>
            <w:vAlign w:val="center"/>
          </w:tcPr>
          <w:p w14:paraId="1AC496F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Large black colony</w:t>
            </w:r>
          </w:p>
        </w:tc>
      </w:tr>
      <w:tr w:rsidR="002D2BF3" w:rsidRPr="002D2BF3" w14:paraId="41BA2FE6" w14:textId="77777777" w:rsidTr="00E21FCF">
        <w:trPr>
          <w:trHeight w:val="293"/>
        </w:trPr>
        <w:tc>
          <w:tcPr>
            <w:tcW w:w="1413" w:type="dxa"/>
            <w:vAlign w:val="center"/>
          </w:tcPr>
          <w:p w14:paraId="538D1925" w14:textId="77777777" w:rsidR="002D2BF3" w:rsidRPr="002D2BF3" w:rsidRDefault="002D2BF3" w:rsidP="00E21FCF">
            <w:pPr>
              <w:rPr>
                <w:rFonts w:ascii="Times New Roman" w:hAnsi="Times New Roman" w:cs="Times New Roman"/>
                <w:sz w:val="24"/>
                <w:szCs w:val="24"/>
              </w:rPr>
            </w:pPr>
          </w:p>
        </w:tc>
        <w:tc>
          <w:tcPr>
            <w:tcW w:w="1949" w:type="dxa"/>
            <w:vAlign w:val="center"/>
          </w:tcPr>
          <w:p w14:paraId="670A73E9" w14:textId="77777777" w:rsidR="002D2BF3" w:rsidRPr="002D2BF3" w:rsidRDefault="002D2BF3" w:rsidP="00E21FCF">
            <w:pPr>
              <w:rPr>
                <w:rFonts w:ascii="Times New Roman" w:hAnsi="Times New Roman" w:cs="Times New Roman"/>
                <w:sz w:val="24"/>
                <w:szCs w:val="24"/>
              </w:rPr>
            </w:pPr>
            <w:proofErr w:type="spellStart"/>
            <w:r>
              <w:rPr>
                <w:rFonts w:ascii="Times New Roman" w:hAnsi="Times New Roman" w:cs="Times New Roman"/>
                <w:sz w:val="24"/>
                <w:szCs w:val="24"/>
              </w:rPr>
              <w:t>SEm</w:t>
            </w:r>
            <w:proofErr w:type="spellEnd"/>
            <w:r>
              <w:rPr>
                <w:rFonts w:ascii="Times New Roman" w:hAnsi="Times New Roman" w:cs="Times New Roman"/>
                <w:sz w:val="24"/>
                <w:szCs w:val="24"/>
              </w:rPr>
              <w:t xml:space="preserve"> (±)</w:t>
            </w:r>
          </w:p>
        </w:tc>
        <w:tc>
          <w:tcPr>
            <w:tcW w:w="1189" w:type="dxa"/>
          </w:tcPr>
          <w:p w14:paraId="170DAFD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1544" w:type="dxa"/>
            <w:vAlign w:val="center"/>
          </w:tcPr>
          <w:p w14:paraId="031F0700"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0.07</w:t>
            </w:r>
          </w:p>
        </w:tc>
        <w:tc>
          <w:tcPr>
            <w:tcW w:w="1555" w:type="dxa"/>
          </w:tcPr>
          <w:p w14:paraId="585C3A3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6224" w:type="dxa"/>
          </w:tcPr>
          <w:p w14:paraId="6531C75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r>
      <w:tr w:rsidR="002D2BF3" w:rsidRPr="002D2BF3" w14:paraId="54E0DE5B" w14:textId="77777777" w:rsidTr="00E21FCF">
        <w:trPr>
          <w:trHeight w:val="293"/>
        </w:trPr>
        <w:tc>
          <w:tcPr>
            <w:tcW w:w="1413" w:type="dxa"/>
            <w:vAlign w:val="center"/>
          </w:tcPr>
          <w:p w14:paraId="1ECC60B9" w14:textId="77777777" w:rsidR="002D2BF3" w:rsidRPr="002D2BF3" w:rsidRDefault="002D2BF3" w:rsidP="00E21FCF">
            <w:pPr>
              <w:rPr>
                <w:rFonts w:ascii="Times New Roman" w:hAnsi="Times New Roman" w:cs="Times New Roman"/>
                <w:sz w:val="24"/>
                <w:szCs w:val="24"/>
              </w:rPr>
            </w:pPr>
          </w:p>
        </w:tc>
        <w:tc>
          <w:tcPr>
            <w:tcW w:w="1949" w:type="dxa"/>
            <w:vAlign w:val="center"/>
          </w:tcPr>
          <w:p w14:paraId="21A76EB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CD (5%)</w:t>
            </w:r>
          </w:p>
        </w:tc>
        <w:tc>
          <w:tcPr>
            <w:tcW w:w="1189" w:type="dxa"/>
          </w:tcPr>
          <w:p w14:paraId="2F4EAC8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1544" w:type="dxa"/>
            <w:vAlign w:val="center"/>
          </w:tcPr>
          <w:p w14:paraId="783DBFA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0.22</w:t>
            </w:r>
          </w:p>
        </w:tc>
        <w:tc>
          <w:tcPr>
            <w:tcW w:w="1555" w:type="dxa"/>
          </w:tcPr>
          <w:p w14:paraId="73EDAF1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6224" w:type="dxa"/>
          </w:tcPr>
          <w:p w14:paraId="0062443F"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r>
    </w:tbl>
    <w:p w14:paraId="22C8D13B" w14:textId="77777777" w:rsidR="002A6CF3" w:rsidRDefault="002A6CF3" w:rsidP="002A6CF3">
      <w:pPr>
        <w:pStyle w:val="Heading2"/>
        <w:spacing w:line="360" w:lineRule="auto"/>
        <w:jc w:val="both"/>
      </w:pPr>
    </w:p>
    <w:p w14:paraId="2A37E09D" w14:textId="77777777" w:rsidR="002A6CF3" w:rsidRDefault="002A6CF3" w:rsidP="002A6CF3">
      <w:pPr>
        <w:pStyle w:val="Heading2"/>
        <w:spacing w:line="360" w:lineRule="auto"/>
        <w:jc w:val="both"/>
      </w:pPr>
    </w:p>
    <w:p w14:paraId="283D59E8" w14:textId="77777777" w:rsidR="002D2BF3" w:rsidRDefault="002D2BF3" w:rsidP="002A6CF3">
      <w:pPr>
        <w:pStyle w:val="Heading2"/>
        <w:spacing w:line="360" w:lineRule="auto"/>
        <w:jc w:val="both"/>
        <w:sectPr w:rsidR="002D2BF3" w:rsidSect="002D2BF3">
          <w:pgSz w:w="16838" w:h="11906" w:orient="landscape" w:code="9"/>
          <w:pgMar w:top="1440" w:right="1440" w:bottom="1440" w:left="1440" w:header="708" w:footer="708" w:gutter="0"/>
          <w:cols w:space="720"/>
          <w:docGrid w:linePitch="360"/>
        </w:sectPr>
      </w:pPr>
    </w:p>
    <w:p w14:paraId="4610AE5F" w14:textId="77777777" w:rsidR="002D2BF3" w:rsidRDefault="002D2BF3" w:rsidP="002D2BF3">
      <w:pPr>
        <w:spacing w:before="240" w:line="360" w:lineRule="auto"/>
        <w:jc w:val="both"/>
      </w:pPr>
      <w:r>
        <w:rPr>
          <w:noProof/>
        </w:rPr>
        <w:lastRenderedPageBreak/>
        <w:drawing>
          <wp:inline distT="0" distB="0" distL="0" distR="0" wp14:anchorId="0B2C96CD" wp14:editId="48A1F4AA">
            <wp:extent cx="5722620" cy="3390900"/>
            <wp:effectExtent l="0" t="0" r="11430" b="0"/>
            <wp:docPr id="13235229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08FE56EB" w14:textId="77777777" w:rsidR="002D2BF3" w:rsidRDefault="002D2BF3" w:rsidP="002D2BF3">
      <w:pPr>
        <w:spacing w:before="240" w:line="360" w:lineRule="auto"/>
        <w:jc w:val="both"/>
      </w:pPr>
      <w:r>
        <w:rPr>
          <w:noProof/>
        </w:rPr>
        <w:drawing>
          <wp:anchor distT="0" distB="0" distL="114300" distR="114300" simplePos="0" relativeHeight="251675648" behindDoc="0" locked="0" layoutInCell="1" allowOverlap="1" wp14:anchorId="0833EE76" wp14:editId="4B4FCA08">
            <wp:simplePos x="0" y="0"/>
            <wp:positionH relativeFrom="margin">
              <wp:align>left</wp:align>
            </wp:positionH>
            <wp:positionV relativeFrom="paragraph">
              <wp:posOffset>361950</wp:posOffset>
            </wp:positionV>
            <wp:extent cx="5707380" cy="3436620"/>
            <wp:effectExtent l="0" t="0" r="7620" b="11430"/>
            <wp:wrapSquare wrapText="bothSides"/>
            <wp:docPr id="153779129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V relativeFrom="margin">
              <wp14:pctHeight>0</wp14:pctHeight>
            </wp14:sizeRelV>
          </wp:anchor>
        </w:drawing>
      </w:r>
    </w:p>
    <w:p w14:paraId="20593822" w14:textId="77777777" w:rsidR="002D2BF3" w:rsidRDefault="002D2BF3" w:rsidP="002D2BF3">
      <w:pPr>
        <w:spacing w:before="100" w:after="200"/>
        <w:rPr>
          <w:b/>
          <w:bCs/>
          <w:i/>
          <w:iCs/>
          <w:sz w:val="20"/>
          <w:szCs w:val="20"/>
        </w:rPr>
      </w:pPr>
    </w:p>
    <w:p w14:paraId="19CB4420" w14:textId="6DA34FE6" w:rsidR="002D2BF3" w:rsidRPr="00D23BE7" w:rsidRDefault="002D2BF3" w:rsidP="002D2BF3">
      <w:pPr>
        <w:spacing w:before="100" w:after="200"/>
        <w:jc w:val="center"/>
        <w:rPr>
          <w:sz w:val="25"/>
          <w:szCs w:val="25"/>
        </w:rPr>
      </w:pPr>
      <w:r>
        <w:rPr>
          <w:b/>
          <w:bCs/>
          <w:sz w:val="25"/>
          <w:szCs w:val="25"/>
        </w:rPr>
        <w:t xml:space="preserve">Fig. 1: </w:t>
      </w:r>
      <w:r w:rsidR="002C36A3">
        <w:rPr>
          <w:b/>
          <w:bCs/>
          <w:sz w:val="25"/>
          <w:szCs w:val="25"/>
        </w:rPr>
        <w:t xml:space="preserve">Graph showing </w:t>
      </w:r>
      <w:r>
        <w:rPr>
          <w:b/>
          <w:bCs/>
          <w:sz w:val="25"/>
          <w:szCs w:val="25"/>
        </w:rPr>
        <w:t>Effect of different botanicals on mycelial growth of</w:t>
      </w:r>
      <w:r>
        <w:rPr>
          <w:b/>
          <w:bCs/>
          <w:i/>
          <w:iCs/>
          <w:sz w:val="25"/>
          <w:szCs w:val="25"/>
        </w:rPr>
        <w:t xml:space="preserve"> Alternaria brassicae </w:t>
      </w:r>
    </w:p>
    <w:p w14:paraId="260135F3" w14:textId="77777777" w:rsidR="002D2BF3" w:rsidRDefault="002D2BF3" w:rsidP="002D2BF3">
      <w:pPr>
        <w:spacing w:before="240" w:line="360" w:lineRule="auto"/>
        <w:jc w:val="both"/>
      </w:pPr>
      <w:r>
        <w:t xml:space="preserve"> </w:t>
      </w:r>
    </w:p>
    <w:p w14:paraId="177F7935" w14:textId="77777777" w:rsidR="002D2BF3" w:rsidRPr="00EB11CC" w:rsidRDefault="002D2BF3" w:rsidP="002D2BF3">
      <w:pPr>
        <w:spacing w:before="240" w:line="360" w:lineRule="auto"/>
        <w:jc w:val="both"/>
      </w:pPr>
    </w:p>
    <w:p w14:paraId="10599623" w14:textId="77777777" w:rsidR="002D2BF3" w:rsidRDefault="002D2BF3" w:rsidP="002D2BF3">
      <w:pPr>
        <w:spacing w:before="240" w:line="360" w:lineRule="auto"/>
        <w:jc w:val="both"/>
        <w:sectPr w:rsidR="002D2BF3" w:rsidSect="002D2BF3">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right" w:tblpY="338"/>
        <w:tblW w:w="6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268"/>
        <w:gridCol w:w="2126"/>
      </w:tblGrid>
      <w:tr w:rsidR="002D2BF3" w14:paraId="650CABA7" w14:textId="77777777" w:rsidTr="00E21FCF">
        <w:trPr>
          <w:trHeight w:val="2117"/>
        </w:trPr>
        <w:tc>
          <w:tcPr>
            <w:tcW w:w="2126" w:type="dxa"/>
          </w:tcPr>
          <w:p w14:paraId="57E172D0" w14:textId="77777777" w:rsidR="002D2BF3" w:rsidRDefault="002D2BF3" w:rsidP="00E21FCF">
            <w:r>
              <w:rPr>
                <w:noProof/>
              </w:rPr>
              <w:lastRenderedPageBreak/>
              <w:drawing>
                <wp:anchor distT="0" distB="0" distL="114300" distR="114300" simplePos="0" relativeHeight="251672576" behindDoc="0" locked="0" layoutInCell="1" allowOverlap="1" wp14:anchorId="4F067257" wp14:editId="4C9C2D66">
                  <wp:simplePos x="0" y="0"/>
                  <wp:positionH relativeFrom="column">
                    <wp:posOffset>-64136</wp:posOffset>
                  </wp:positionH>
                  <wp:positionV relativeFrom="page">
                    <wp:posOffset>-1</wp:posOffset>
                  </wp:positionV>
                  <wp:extent cx="1367901" cy="1327785"/>
                  <wp:effectExtent l="0" t="0" r="3810" b="5715"/>
                  <wp:wrapNone/>
                  <wp:docPr id="973029748" name="Picture 19">
                    <a:extLst xmlns:a="http://schemas.openxmlformats.org/drawingml/2006/main">
                      <a:ext uri="{FF2B5EF4-FFF2-40B4-BE49-F238E27FC236}">
                        <a16:creationId xmlns:a16="http://schemas.microsoft.com/office/drawing/2014/main" id="{8B0AC1AC-A624-BF10-3C43-96FCC7F43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B0AC1AC-A624-BF10-3C43-96FCC7F43B7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377883" cy="1337474"/>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7EFE74F1" w14:textId="77777777" w:rsidR="002D2BF3" w:rsidRDefault="002D2BF3" w:rsidP="00E21FCF">
            <w:r>
              <w:rPr>
                <w:noProof/>
              </w:rPr>
              <w:drawing>
                <wp:anchor distT="0" distB="0" distL="114300" distR="114300" simplePos="0" relativeHeight="251659264" behindDoc="0" locked="0" layoutInCell="1" allowOverlap="1" wp14:anchorId="2A595E98" wp14:editId="6CDBF03C">
                  <wp:simplePos x="0" y="0"/>
                  <wp:positionH relativeFrom="column">
                    <wp:posOffset>-42545</wp:posOffset>
                  </wp:positionH>
                  <wp:positionV relativeFrom="paragraph">
                    <wp:posOffset>0</wp:posOffset>
                  </wp:positionV>
                  <wp:extent cx="1397000" cy="1343025"/>
                  <wp:effectExtent l="0" t="0" r="0" b="9525"/>
                  <wp:wrapNone/>
                  <wp:docPr id="47142330" name="Picture 20">
                    <a:extLst xmlns:a="http://schemas.openxmlformats.org/drawingml/2006/main">
                      <a:ext uri="{FF2B5EF4-FFF2-40B4-BE49-F238E27FC236}">
                        <a16:creationId xmlns:a16="http://schemas.microsoft.com/office/drawing/2014/main" id="{E49935BF-D263-717A-1033-F34094CB3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49935BF-D263-717A-1033-F34094CB3B0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7000" cy="134302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2D94A86" w14:textId="77777777" w:rsidR="002D2BF3" w:rsidRDefault="002D2BF3" w:rsidP="00E21FCF">
            <w:r>
              <w:rPr>
                <w:noProof/>
              </w:rPr>
              <w:drawing>
                <wp:anchor distT="0" distB="0" distL="114300" distR="114300" simplePos="0" relativeHeight="251671552" behindDoc="0" locked="0" layoutInCell="1" allowOverlap="1" wp14:anchorId="18ABF359" wp14:editId="32B88BE7">
                  <wp:simplePos x="0" y="0"/>
                  <wp:positionH relativeFrom="page">
                    <wp:posOffset>-38100</wp:posOffset>
                  </wp:positionH>
                  <wp:positionV relativeFrom="paragraph">
                    <wp:posOffset>-7620</wp:posOffset>
                  </wp:positionV>
                  <wp:extent cx="1370425" cy="1325880"/>
                  <wp:effectExtent l="0" t="0" r="1270" b="7620"/>
                  <wp:wrapNone/>
                  <wp:docPr id="930744982" name="Picture 28">
                    <a:extLst xmlns:a="http://schemas.openxmlformats.org/drawingml/2006/main">
                      <a:ext uri="{FF2B5EF4-FFF2-40B4-BE49-F238E27FC236}">
                        <a16:creationId xmlns:a16="http://schemas.microsoft.com/office/drawing/2014/main" id="{F4A12A8D-2338-8F14-1E65-2BE926FF5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4A12A8D-2338-8F14-1E65-2BE926FF51A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5067" cy="1330371"/>
                          </a:xfrm>
                          <a:prstGeom prst="rect">
                            <a:avLst/>
                          </a:prstGeom>
                        </pic:spPr>
                      </pic:pic>
                    </a:graphicData>
                  </a:graphic>
                  <wp14:sizeRelH relativeFrom="margin">
                    <wp14:pctWidth>0</wp14:pctWidth>
                  </wp14:sizeRelH>
                  <wp14:sizeRelV relativeFrom="margin">
                    <wp14:pctHeight>0</wp14:pctHeight>
                  </wp14:sizeRelV>
                </wp:anchor>
              </w:drawing>
            </w:r>
          </w:p>
        </w:tc>
      </w:tr>
      <w:tr w:rsidR="002D2BF3" w14:paraId="1423212C" w14:textId="77777777" w:rsidTr="00E21FCF">
        <w:trPr>
          <w:trHeight w:val="275"/>
        </w:trPr>
        <w:tc>
          <w:tcPr>
            <w:tcW w:w="2126" w:type="dxa"/>
          </w:tcPr>
          <w:p w14:paraId="32220F9F"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Garlic 2.5%</w:t>
            </w:r>
          </w:p>
        </w:tc>
        <w:tc>
          <w:tcPr>
            <w:tcW w:w="2268" w:type="dxa"/>
          </w:tcPr>
          <w:p w14:paraId="5FBE0B18"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Garlic 5%</w:t>
            </w:r>
          </w:p>
        </w:tc>
        <w:tc>
          <w:tcPr>
            <w:tcW w:w="2126" w:type="dxa"/>
          </w:tcPr>
          <w:p w14:paraId="18BC8ABD"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Garlic 10%</w:t>
            </w:r>
          </w:p>
        </w:tc>
      </w:tr>
      <w:tr w:rsidR="002D2BF3" w14:paraId="2B9FEAF5" w14:textId="77777777" w:rsidTr="00E21FCF">
        <w:trPr>
          <w:trHeight w:val="2107"/>
        </w:trPr>
        <w:tc>
          <w:tcPr>
            <w:tcW w:w="2126" w:type="dxa"/>
          </w:tcPr>
          <w:p w14:paraId="22BC446B" w14:textId="77777777" w:rsidR="002D2BF3" w:rsidRDefault="002D2BF3" w:rsidP="00E21FCF">
            <w:r>
              <w:rPr>
                <w:noProof/>
              </w:rPr>
              <w:drawing>
                <wp:anchor distT="0" distB="0" distL="114300" distR="114300" simplePos="0" relativeHeight="251662336" behindDoc="0" locked="0" layoutInCell="1" allowOverlap="1" wp14:anchorId="6E8E104F" wp14:editId="15B3EDDA">
                  <wp:simplePos x="0" y="0"/>
                  <wp:positionH relativeFrom="column">
                    <wp:posOffset>-57785</wp:posOffset>
                  </wp:positionH>
                  <wp:positionV relativeFrom="paragraph">
                    <wp:posOffset>11430</wp:posOffset>
                  </wp:positionV>
                  <wp:extent cx="1362075" cy="1333500"/>
                  <wp:effectExtent l="0" t="0" r="9525" b="0"/>
                  <wp:wrapNone/>
                  <wp:docPr id="365100993" name="Picture 36">
                    <a:extLst xmlns:a="http://schemas.openxmlformats.org/drawingml/2006/main">
                      <a:ext uri="{FF2B5EF4-FFF2-40B4-BE49-F238E27FC236}">
                        <a16:creationId xmlns:a16="http://schemas.microsoft.com/office/drawing/2014/main" id="{803EB3D5-4100-44BB-7835-4749F07D53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803EB3D5-4100-44BB-7835-4749F07D532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465" cy="1333882"/>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2B996F86" w14:textId="77777777" w:rsidR="002D2BF3" w:rsidRDefault="002D2BF3" w:rsidP="00E21FCF">
            <w:r>
              <w:rPr>
                <w:noProof/>
              </w:rPr>
              <w:drawing>
                <wp:anchor distT="0" distB="0" distL="114300" distR="114300" simplePos="0" relativeHeight="251661312" behindDoc="0" locked="0" layoutInCell="1" allowOverlap="1" wp14:anchorId="4159A8D7" wp14:editId="690591B6">
                  <wp:simplePos x="0" y="0"/>
                  <wp:positionH relativeFrom="column">
                    <wp:posOffset>-43815</wp:posOffset>
                  </wp:positionH>
                  <wp:positionV relativeFrom="paragraph">
                    <wp:posOffset>11430</wp:posOffset>
                  </wp:positionV>
                  <wp:extent cx="1402080" cy="1333500"/>
                  <wp:effectExtent l="0" t="0" r="7620" b="0"/>
                  <wp:wrapNone/>
                  <wp:docPr id="739970797" name="Picture 34">
                    <a:extLst xmlns:a="http://schemas.openxmlformats.org/drawingml/2006/main">
                      <a:ext uri="{FF2B5EF4-FFF2-40B4-BE49-F238E27FC236}">
                        <a16:creationId xmlns:a16="http://schemas.microsoft.com/office/drawing/2014/main" id="{9A0D6661-64B8-9DC0-75F5-044F24C82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A0D6661-64B8-9DC0-75F5-044F24C828D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2080" cy="1333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56EB47A" wp14:editId="038A3AFC">
                  <wp:simplePos x="0" y="0"/>
                  <wp:positionH relativeFrom="column">
                    <wp:posOffset>1358900</wp:posOffset>
                  </wp:positionH>
                  <wp:positionV relativeFrom="paragraph">
                    <wp:posOffset>8890</wp:posOffset>
                  </wp:positionV>
                  <wp:extent cx="1361440" cy="1341120"/>
                  <wp:effectExtent l="0" t="0" r="0" b="0"/>
                  <wp:wrapNone/>
                  <wp:docPr id="565939349" name="Picture 5">
                    <a:extLst xmlns:a="http://schemas.openxmlformats.org/drawingml/2006/main">
                      <a:ext uri="{FF2B5EF4-FFF2-40B4-BE49-F238E27FC236}">
                        <a16:creationId xmlns:a16="http://schemas.microsoft.com/office/drawing/2014/main" id="{55D01E3A-A4E3-61BD-9A42-DC2A2B3F1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5D01E3A-A4E3-61BD-9A42-DC2A2B3F132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134112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3858396D" w14:textId="77777777" w:rsidR="002D2BF3" w:rsidRDefault="002D2BF3" w:rsidP="00E21FCF"/>
        </w:tc>
      </w:tr>
      <w:tr w:rsidR="002D2BF3" w14:paraId="19700F3E" w14:textId="77777777" w:rsidTr="00E21FCF">
        <w:trPr>
          <w:trHeight w:val="73"/>
        </w:trPr>
        <w:tc>
          <w:tcPr>
            <w:tcW w:w="2126" w:type="dxa"/>
          </w:tcPr>
          <w:p w14:paraId="3105831C"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Ginger 2.5%</w:t>
            </w:r>
          </w:p>
        </w:tc>
        <w:tc>
          <w:tcPr>
            <w:tcW w:w="2268" w:type="dxa"/>
          </w:tcPr>
          <w:p w14:paraId="3B83954D"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Ginger 5%</w:t>
            </w:r>
          </w:p>
        </w:tc>
        <w:tc>
          <w:tcPr>
            <w:tcW w:w="2126" w:type="dxa"/>
          </w:tcPr>
          <w:p w14:paraId="4203736E"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Ginger 10%</w:t>
            </w:r>
          </w:p>
        </w:tc>
      </w:tr>
      <w:tr w:rsidR="002D2BF3" w14:paraId="08DA0747" w14:textId="77777777" w:rsidTr="00E21FCF">
        <w:trPr>
          <w:trHeight w:val="1985"/>
        </w:trPr>
        <w:tc>
          <w:tcPr>
            <w:tcW w:w="2126" w:type="dxa"/>
          </w:tcPr>
          <w:p w14:paraId="7B056D8D" w14:textId="77777777" w:rsidR="002D2BF3" w:rsidRDefault="002D2BF3" w:rsidP="00E21FCF">
            <w:r>
              <w:rPr>
                <w:noProof/>
              </w:rPr>
              <w:drawing>
                <wp:anchor distT="0" distB="0" distL="114300" distR="114300" simplePos="0" relativeHeight="251673600" behindDoc="0" locked="0" layoutInCell="1" allowOverlap="1" wp14:anchorId="574D6000" wp14:editId="6B06EBA0">
                  <wp:simplePos x="0" y="0"/>
                  <wp:positionH relativeFrom="column">
                    <wp:posOffset>-71755</wp:posOffset>
                  </wp:positionH>
                  <wp:positionV relativeFrom="page">
                    <wp:posOffset>5080</wp:posOffset>
                  </wp:positionV>
                  <wp:extent cx="1371600" cy="1264920"/>
                  <wp:effectExtent l="0" t="0" r="0" b="0"/>
                  <wp:wrapNone/>
                  <wp:docPr id="113480847" name="Picture 13">
                    <a:extLst xmlns:a="http://schemas.openxmlformats.org/drawingml/2006/main">
                      <a:ext uri="{FF2B5EF4-FFF2-40B4-BE49-F238E27FC236}">
                        <a16:creationId xmlns:a16="http://schemas.microsoft.com/office/drawing/2014/main" id="{4F122F9B-97C0-3503-81BF-C12152F64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F122F9B-97C0-3503-81BF-C12152F6404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1A48A4A0" w14:textId="77777777" w:rsidR="002D2BF3" w:rsidRDefault="002D2BF3" w:rsidP="00E21FCF">
            <w:r>
              <w:rPr>
                <w:noProof/>
              </w:rPr>
              <w:drawing>
                <wp:anchor distT="0" distB="0" distL="114300" distR="114300" simplePos="0" relativeHeight="251664384" behindDoc="0" locked="0" layoutInCell="1" allowOverlap="1" wp14:anchorId="224F7A0D" wp14:editId="63B9D400">
                  <wp:simplePos x="0" y="0"/>
                  <wp:positionH relativeFrom="column">
                    <wp:posOffset>-51435</wp:posOffset>
                  </wp:positionH>
                  <wp:positionV relativeFrom="paragraph">
                    <wp:posOffset>6985</wp:posOffset>
                  </wp:positionV>
                  <wp:extent cx="1397000" cy="1264920"/>
                  <wp:effectExtent l="0" t="0" r="0" b="0"/>
                  <wp:wrapNone/>
                  <wp:docPr id="912454326" name="Picture 15">
                    <a:extLst xmlns:a="http://schemas.openxmlformats.org/drawingml/2006/main">
                      <a:ext uri="{FF2B5EF4-FFF2-40B4-BE49-F238E27FC236}">
                        <a16:creationId xmlns:a16="http://schemas.microsoft.com/office/drawing/2014/main" id="{7EEA70C9-4717-58C0-056E-8ADD13CE8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EEA70C9-4717-58C0-056E-8ADD13CE8C1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7000" cy="1264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1387A8B" wp14:editId="498A8FC2">
                  <wp:simplePos x="0" y="0"/>
                  <wp:positionH relativeFrom="column">
                    <wp:posOffset>1350645</wp:posOffset>
                  </wp:positionH>
                  <wp:positionV relativeFrom="paragraph">
                    <wp:posOffset>14605</wp:posOffset>
                  </wp:positionV>
                  <wp:extent cx="1358265" cy="1249680"/>
                  <wp:effectExtent l="0" t="0" r="0" b="7620"/>
                  <wp:wrapNone/>
                  <wp:docPr id="1469049054" name="Picture 11">
                    <a:extLst xmlns:a="http://schemas.openxmlformats.org/drawingml/2006/main">
                      <a:ext uri="{FF2B5EF4-FFF2-40B4-BE49-F238E27FC236}">
                        <a16:creationId xmlns:a16="http://schemas.microsoft.com/office/drawing/2014/main" id="{8C0666FE-A278-865E-960F-D5D46F4A1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C0666FE-A278-865E-960F-D5D46F4A1F9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8265" cy="124968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6FE03EE7" w14:textId="77777777" w:rsidR="002D2BF3" w:rsidRDefault="002D2BF3" w:rsidP="00E21FCF"/>
        </w:tc>
      </w:tr>
      <w:tr w:rsidR="002D2BF3" w14:paraId="2909005A" w14:textId="77777777" w:rsidTr="00E21FCF">
        <w:trPr>
          <w:trHeight w:val="124"/>
        </w:trPr>
        <w:tc>
          <w:tcPr>
            <w:tcW w:w="2126" w:type="dxa"/>
          </w:tcPr>
          <w:p w14:paraId="2F55DCE0"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Turmeric 2.5%</w:t>
            </w:r>
          </w:p>
        </w:tc>
        <w:tc>
          <w:tcPr>
            <w:tcW w:w="2268" w:type="dxa"/>
          </w:tcPr>
          <w:p w14:paraId="0C074C0E"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Turmeric 5%</w:t>
            </w:r>
          </w:p>
        </w:tc>
        <w:tc>
          <w:tcPr>
            <w:tcW w:w="2126" w:type="dxa"/>
          </w:tcPr>
          <w:p w14:paraId="0EFD5DED"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Turmeric 10%</w:t>
            </w:r>
          </w:p>
        </w:tc>
      </w:tr>
      <w:tr w:rsidR="002D2BF3" w14:paraId="0C34778F" w14:textId="77777777" w:rsidTr="00E21FCF">
        <w:trPr>
          <w:trHeight w:val="1975"/>
        </w:trPr>
        <w:tc>
          <w:tcPr>
            <w:tcW w:w="2126" w:type="dxa"/>
          </w:tcPr>
          <w:p w14:paraId="595F3976" w14:textId="77777777" w:rsidR="002D2BF3" w:rsidRDefault="002D2BF3" w:rsidP="00E21FCF">
            <w:r>
              <w:rPr>
                <w:noProof/>
              </w:rPr>
              <w:drawing>
                <wp:anchor distT="0" distB="0" distL="114300" distR="114300" simplePos="0" relativeHeight="251667456" behindDoc="0" locked="0" layoutInCell="1" allowOverlap="1" wp14:anchorId="619F8B6A" wp14:editId="540471B2">
                  <wp:simplePos x="0" y="0"/>
                  <wp:positionH relativeFrom="column">
                    <wp:posOffset>-65405</wp:posOffset>
                  </wp:positionH>
                  <wp:positionV relativeFrom="paragraph">
                    <wp:posOffset>11430</wp:posOffset>
                  </wp:positionV>
                  <wp:extent cx="1379220" cy="1249680"/>
                  <wp:effectExtent l="0" t="0" r="0" b="7620"/>
                  <wp:wrapNone/>
                  <wp:docPr id="1675350748" name="Picture 10">
                    <a:extLst xmlns:a="http://schemas.openxmlformats.org/drawingml/2006/main">
                      <a:ext uri="{FF2B5EF4-FFF2-40B4-BE49-F238E27FC236}">
                        <a16:creationId xmlns:a16="http://schemas.microsoft.com/office/drawing/2014/main" id="{4C7579AC-8771-C09F-1D90-2FF59DC78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C7579AC-8771-C09F-1D90-2FF59DC782DB}"/>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4445" t="2931" r="1285" b="5031"/>
                          <a:stretch>
                            <a:fillRect/>
                          </a:stretch>
                        </pic:blipFill>
                        <pic:spPr bwMode="auto">
                          <a:xfrm>
                            <a:off x="0" y="0"/>
                            <a:ext cx="1379220" cy="124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13DE9FF" wp14:editId="5631EAAA">
                  <wp:simplePos x="0" y="0"/>
                  <wp:positionH relativeFrom="column">
                    <wp:posOffset>1283335</wp:posOffset>
                  </wp:positionH>
                  <wp:positionV relativeFrom="paragraph">
                    <wp:posOffset>11430</wp:posOffset>
                  </wp:positionV>
                  <wp:extent cx="1460500" cy="1242060"/>
                  <wp:effectExtent l="0" t="0" r="0" b="0"/>
                  <wp:wrapNone/>
                  <wp:docPr id="2108599640" name="Picture 9">
                    <a:extLst xmlns:a="http://schemas.openxmlformats.org/drawingml/2006/main">
                      <a:ext uri="{FF2B5EF4-FFF2-40B4-BE49-F238E27FC236}">
                        <a16:creationId xmlns:a16="http://schemas.microsoft.com/office/drawing/2014/main" id="{6D6A438B-46CB-2077-695B-41A77A005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D6A438B-46CB-2077-695B-41A77A00539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905" t="2719" r="-3831" b="3761"/>
                          <a:stretch>
                            <a:fillRect/>
                          </a:stretch>
                        </pic:blipFill>
                        <pic:spPr bwMode="auto">
                          <a:xfrm>
                            <a:off x="0" y="0"/>
                            <a:ext cx="1460500"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C499F" w14:textId="77777777" w:rsidR="002D2BF3" w:rsidRDefault="002D2BF3" w:rsidP="00E21FCF"/>
        </w:tc>
        <w:tc>
          <w:tcPr>
            <w:tcW w:w="2268" w:type="dxa"/>
          </w:tcPr>
          <w:p w14:paraId="7F1125DC" w14:textId="77777777" w:rsidR="002D2BF3" w:rsidRDefault="002D2BF3" w:rsidP="00E21FCF">
            <w:r>
              <w:rPr>
                <w:noProof/>
              </w:rPr>
              <w:drawing>
                <wp:anchor distT="0" distB="0" distL="114300" distR="114300" simplePos="0" relativeHeight="251665408" behindDoc="0" locked="0" layoutInCell="1" allowOverlap="1" wp14:anchorId="7A27F2E6" wp14:editId="47BDC4C1">
                  <wp:simplePos x="0" y="0"/>
                  <wp:positionH relativeFrom="column">
                    <wp:posOffset>1282064</wp:posOffset>
                  </wp:positionH>
                  <wp:positionV relativeFrom="paragraph">
                    <wp:posOffset>19050</wp:posOffset>
                  </wp:positionV>
                  <wp:extent cx="1411605" cy="1242060"/>
                  <wp:effectExtent l="0" t="0" r="0" b="0"/>
                  <wp:wrapNone/>
                  <wp:docPr id="9" name="Picture 8">
                    <a:extLst xmlns:a="http://schemas.openxmlformats.org/drawingml/2006/main">
                      <a:ext uri="{FF2B5EF4-FFF2-40B4-BE49-F238E27FC236}">
                        <a16:creationId xmlns:a16="http://schemas.microsoft.com/office/drawing/2014/main" id="{45EA03E3-4FDF-61D3-86D5-9081B889D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5EA03E3-4FDF-61D3-86D5-9081B889D212}"/>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4603"/>
                          <a:stretch>
                            <a:fillRect/>
                          </a:stretch>
                        </pic:blipFill>
                        <pic:spPr bwMode="auto">
                          <a:xfrm>
                            <a:off x="0" y="0"/>
                            <a:ext cx="1411605"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6659A" w14:textId="77777777" w:rsidR="002D2BF3" w:rsidRDefault="002D2BF3" w:rsidP="00E21FCF"/>
          <w:p w14:paraId="54D4A860" w14:textId="77777777" w:rsidR="002D2BF3" w:rsidRDefault="002D2BF3" w:rsidP="00E21FCF"/>
          <w:p w14:paraId="7D4C4622" w14:textId="77777777" w:rsidR="002D2BF3" w:rsidRDefault="002D2BF3" w:rsidP="00E21FCF"/>
        </w:tc>
        <w:tc>
          <w:tcPr>
            <w:tcW w:w="2126" w:type="dxa"/>
          </w:tcPr>
          <w:p w14:paraId="722B8FB1" w14:textId="77777777" w:rsidR="002D2BF3" w:rsidRDefault="002D2BF3" w:rsidP="00E21FCF"/>
        </w:tc>
      </w:tr>
      <w:tr w:rsidR="002D2BF3" w14:paraId="13A4D8A0" w14:textId="77777777" w:rsidTr="00E21FCF">
        <w:trPr>
          <w:trHeight w:val="186"/>
        </w:trPr>
        <w:tc>
          <w:tcPr>
            <w:tcW w:w="2126" w:type="dxa"/>
          </w:tcPr>
          <w:p w14:paraId="53DB5EF9" w14:textId="7A0035CB" w:rsidR="002D2BF3" w:rsidRPr="002D2BF3" w:rsidRDefault="002D2BF3" w:rsidP="00E21FCF">
            <w:pPr>
              <w:jc w:val="center"/>
              <w:rPr>
                <w:rFonts w:ascii="Times New Roman" w:hAnsi="Times New Roman" w:cs="Times New Roman"/>
                <w:b/>
                <w:bCs/>
              </w:rPr>
            </w:pPr>
            <w:r>
              <w:rPr>
                <w:noProof/>
              </w:rPr>
              <w:drawing>
                <wp:anchor distT="0" distB="0" distL="114300" distR="114300" simplePos="0" relativeHeight="251670528" behindDoc="0" locked="0" layoutInCell="1" allowOverlap="1" wp14:anchorId="2C1EFDFD" wp14:editId="49366B43">
                  <wp:simplePos x="0" y="0"/>
                  <wp:positionH relativeFrom="column">
                    <wp:posOffset>-60960</wp:posOffset>
                  </wp:positionH>
                  <wp:positionV relativeFrom="paragraph">
                    <wp:posOffset>161290</wp:posOffset>
                  </wp:positionV>
                  <wp:extent cx="1356360" cy="1362075"/>
                  <wp:effectExtent l="0" t="2858" r="0" b="0"/>
                  <wp:wrapNone/>
                  <wp:docPr id="85487831" name="Picture 26">
                    <a:extLst xmlns:a="http://schemas.openxmlformats.org/drawingml/2006/main">
                      <a:ext uri="{FF2B5EF4-FFF2-40B4-BE49-F238E27FC236}">
                        <a16:creationId xmlns:a16="http://schemas.microsoft.com/office/drawing/2014/main" id="{21BAACE6-42CE-9F12-77B8-A7B0D3FF16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21BAACE6-42CE-9F12-77B8-A7B0D3FF161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356360" cy="13620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rPr>
              <w:t>Tulsi 2.5%</w:t>
            </w:r>
          </w:p>
        </w:tc>
        <w:tc>
          <w:tcPr>
            <w:tcW w:w="2268" w:type="dxa"/>
          </w:tcPr>
          <w:p w14:paraId="21D74EE0" w14:textId="31263E7D" w:rsidR="002D2BF3" w:rsidRPr="002D2BF3" w:rsidRDefault="002D2BF3" w:rsidP="00E21FCF">
            <w:pPr>
              <w:rPr>
                <w:rFonts w:ascii="Times New Roman" w:hAnsi="Times New Roman" w:cs="Times New Roman"/>
                <w:b/>
                <w:bCs/>
              </w:rPr>
            </w:pPr>
            <w:r>
              <w:rPr>
                <w:rFonts w:ascii="Times New Roman" w:hAnsi="Times New Roman" w:cs="Times New Roman"/>
                <w:b/>
                <w:bCs/>
              </w:rPr>
              <w:t>Tulsi 5%</w:t>
            </w:r>
          </w:p>
        </w:tc>
        <w:tc>
          <w:tcPr>
            <w:tcW w:w="2126" w:type="dxa"/>
          </w:tcPr>
          <w:p w14:paraId="5BF9A7BD"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Tulsi 10%</w:t>
            </w:r>
          </w:p>
        </w:tc>
      </w:tr>
      <w:tr w:rsidR="002D2BF3" w14:paraId="5237621A" w14:textId="77777777" w:rsidTr="00E21FCF">
        <w:trPr>
          <w:trHeight w:val="2114"/>
        </w:trPr>
        <w:tc>
          <w:tcPr>
            <w:tcW w:w="2126" w:type="dxa"/>
          </w:tcPr>
          <w:p w14:paraId="3617393C" w14:textId="78CA0A75" w:rsidR="002D2BF3" w:rsidRDefault="002D2BF3" w:rsidP="00E21FCF"/>
        </w:tc>
        <w:tc>
          <w:tcPr>
            <w:tcW w:w="2268" w:type="dxa"/>
          </w:tcPr>
          <w:p w14:paraId="33FB74BC" w14:textId="23380A9E" w:rsidR="002D2BF3" w:rsidRDefault="002D2BF3" w:rsidP="00E21FCF">
            <w:r>
              <w:rPr>
                <w:noProof/>
              </w:rPr>
              <w:drawing>
                <wp:anchor distT="0" distB="0" distL="114300" distR="114300" simplePos="0" relativeHeight="251669504" behindDoc="0" locked="0" layoutInCell="1" allowOverlap="1" wp14:anchorId="7A4D35EA" wp14:editId="3F8AC1B7">
                  <wp:simplePos x="0" y="0"/>
                  <wp:positionH relativeFrom="column">
                    <wp:posOffset>-50800</wp:posOffset>
                  </wp:positionH>
                  <wp:positionV relativeFrom="paragraph">
                    <wp:posOffset>1905</wp:posOffset>
                  </wp:positionV>
                  <wp:extent cx="1417320" cy="1356360"/>
                  <wp:effectExtent l="0" t="0" r="0" b="0"/>
                  <wp:wrapNone/>
                  <wp:docPr id="1237084339" name="Picture 33">
                    <a:extLst xmlns:a="http://schemas.openxmlformats.org/drawingml/2006/main">
                      <a:ext uri="{FF2B5EF4-FFF2-40B4-BE49-F238E27FC236}">
                        <a16:creationId xmlns:a16="http://schemas.microsoft.com/office/drawing/2014/main" id="{4F525174-F4EC-A2E9-0BAE-D14C82DE9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4F525174-F4EC-A2E9-0BAE-D14C82DE9F3B}"/>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161" t="3150" r="1040" b="3411"/>
                          <a:stretch>
                            <a:fillRect/>
                          </a:stretch>
                        </pic:blipFill>
                        <pic:spPr bwMode="auto">
                          <a:xfrm>
                            <a:off x="0" y="0"/>
                            <a:ext cx="141732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BE9A799" wp14:editId="2E24FE0F">
                  <wp:simplePos x="0" y="0"/>
                  <wp:positionH relativeFrom="margin">
                    <wp:posOffset>1328420</wp:posOffset>
                  </wp:positionH>
                  <wp:positionV relativeFrom="paragraph">
                    <wp:posOffset>3810</wp:posOffset>
                  </wp:positionV>
                  <wp:extent cx="1370965" cy="1355090"/>
                  <wp:effectExtent l="0" t="0" r="635" b="0"/>
                  <wp:wrapNone/>
                  <wp:docPr id="203552341" name="Picture 22">
                    <a:extLst xmlns:a="http://schemas.openxmlformats.org/drawingml/2006/main">
                      <a:ext uri="{FF2B5EF4-FFF2-40B4-BE49-F238E27FC236}">
                        <a16:creationId xmlns:a16="http://schemas.microsoft.com/office/drawing/2014/main" id="{0741D940-3192-E8ED-0E0D-829EE435B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741D940-3192-E8ED-0E0D-829EE435B4FD}"/>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858" r="-1"/>
                          <a:stretch>
                            <a:fillRect/>
                          </a:stretch>
                        </pic:blipFill>
                        <pic:spPr bwMode="auto">
                          <a:xfrm>
                            <a:off x="0" y="0"/>
                            <a:ext cx="1370965" cy="135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A2424" w14:textId="77777777" w:rsidR="002D2BF3" w:rsidRDefault="002D2BF3" w:rsidP="00E21FCF"/>
        </w:tc>
        <w:tc>
          <w:tcPr>
            <w:tcW w:w="2126" w:type="dxa"/>
          </w:tcPr>
          <w:p w14:paraId="10095CBC" w14:textId="77777777" w:rsidR="002D2BF3" w:rsidRDefault="002D2BF3" w:rsidP="00E21FCF"/>
        </w:tc>
      </w:tr>
      <w:tr w:rsidR="002D2BF3" w14:paraId="21F08975" w14:textId="77777777" w:rsidTr="00E21FCF">
        <w:trPr>
          <w:trHeight w:val="113"/>
        </w:trPr>
        <w:tc>
          <w:tcPr>
            <w:tcW w:w="2126" w:type="dxa"/>
          </w:tcPr>
          <w:p w14:paraId="31BB5610"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Lantana 2.5%</w:t>
            </w:r>
          </w:p>
        </w:tc>
        <w:tc>
          <w:tcPr>
            <w:tcW w:w="2268" w:type="dxa"/>
          </w:tcPr>
          <w:p w14:paraId="7AE17CC0"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Lantana 5%</w:t>
            </w:r>
          </w:p>
        </w:tc>
        <w:tc>
          <w:tcPr>
            <w:tcW w:w="2126" w:type="dxa"/>
          </w:tcPr>
          <w:p w14:paraId="377BC2E5"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Lantana 10%</w:t>
            </w:r>
          </w:p>
        </w:tc>
      </w:tr>
    </w:tbl>
    <w:p w14:paraId="23D6252C" w14:textId="77777777" w:rsidR="002D2BF3" w:rsidRDefault="002D2BF3" w:rsidP="002D2BF3">
      <w:pPr>
        <w:spacing w:before="240" w:line="360" w:lineRule="auto"/>
        <w:jc w:val="both"/>
      </w:pPr>
      <w:r>
        <w:rPr>
          <w:noProof/>
        </w:rPr>
        <w:drawing>
          <wp:anchor distT="0" distB="0" distL="114300" distR="114300" simplePos="0" relativeHeight="251674624" behindDoc="0" locked="0" layoutInCell="1" allowOverlap="1" wp14:anchorId="78EFBBB7" wp14:editId="4C2A672A">
            <wp:simplePos x="0" y="0"/>
            <wp:positionH relativeFrom="margin">
              <wp:posOffset>160020</wp:posOffset>
            </wp:positionH>
            <wp:positionV relativeFrom="paragraph">
              <wp:posOffset>3283585</wp:posOffset>
            </wp:positionV>
            <wp:extent cx="1226820" cy="1232692"/>
            <wp:effectExtent l="0" t="0" r="0" b="5715"/>
            <wp:wrapNone/>
            <wp:docPr id="39303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3701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6820" cy="1232692"/>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95CD064" w14:textId="77777777" w:rsidR="002D2BF3" w:rsidRDefault="002D2BF3" w:rsidP="002D2BF3">
      <w:pPr>
        <w:spacing w:before="240" w:line="360" w:lineRule="auto"/>
        <w:jc w:val="both"/>
      </w:pPr>
    </w:p>
    <w:p w14:paraId="28B36A24" w14:textId="77777777" w:rsidR="002D2BF3" w:rsidRDefault="002D2BF3" w:rsidP="002D2BF3">
      <w:pPr>
        <w:spacing w:before="240" w:line="360" w:lineRule="auto"/>
        <w:jc w:val="both"/>
      </w:pPr>
    </w:p>
    <w:p w14:paraId="05FBAA71" w14:textId="77777777" w:rsidR="002D2BF3" w:rsidRDefault="002D2BF3" w:rsidP="002D2BF3">
      <w:pPr>
        <w:spacing w:before="240" w:line="360" w:lineRule="auto"/>
        <w:jc w:val="both"/>
      </w:pPr>
    </w:p>
    <w:p w14:paraId="22C66FD8" w14:textId="77777777" w:rsidR="002D2BF3" w:rsidRDefault="002D2BF3" w:rsidP="002D2BF3">
      <w:pPr>
        <w:spacing w:before="240" w:line="360" w:lineRule="auto"/>
        <w:jc w:val="both"/>
      </w:pPr>
    </w:p>
    <w:p w14:paraId="31BD6D30" w14:textId="77777777" w:rsidR="002D2BF3" w:rsidRDefault="002D2BF3" w:rsidP="002D2BF3">
      <w:pPr>
        <w:spacing w:before="240" w:line="360" w:lineRule="auto"/>
        <w:jc w:val="both"/>
      </w:pPr>
    </w:p>
    <w:p w14:paraId="4B129B5C" w14:textId="77777777" w:rsidR="002D2BF3" w:rsidRDefault="002D2BF3" w:rsidP="002D2BF3">
      <w:pPr>
        <w:spacing w:before="240" w:line="360" w:lineRule="auto"/>
        <w:jc w:val="both"/>
      </w:pPr>
    </w:p>
    <w:p w14:paraId="23DEF8DB" w14:textId="77777777" w:rsidR="002D2BF3" w:rsidRPr="004442AE" w:rsidRDefault="002D2BF3" w:rsidP="002D2BF3">
      <w:pPr>
        <w:spacing w:before="240" w:line="360" w:lineRule="auto"/>
        <w:jc w:val="both"/>
        <w:rPr>
          <w:sz w:val="32"/>
          <w:szCs w:val="32"/>
        </w:rPr>
      </w:pPr>
      <w:r>
        <w:rPr>
          <w:sz w:val="32"/>
          <w:szCs w:val="32"/>
        </w:rPr>
        <w:t xml:space="preserve"> </w:t>
      </w:r>
    </w:p>
    <w:p w14:paraId="3BFDBAA2" w14:textId="77777777" w:rsidR="002D2BF3" w:rsidRDefault="002D2BF3" w:rsidP="002D2BF3">
      <w:pPr>
        <w:spacing w:before="240" w:line="360" w:lineRule="auto"/>
        <w:jc w:val="both"/>
      </w:pPr>
    </w:p>
    <w:p w14:paraId="0FEDA0DC" w14:textId="77777777" w:rsidR="002D2BF3" w:rsidRDefault="002D2BF3" w:rsidP="002D2BF3">
      <w:pPr>
        <w:spacing w:before="240" w:line="360" w:lineRule="auto"/>
        <w:jc w:val="both"/>
      </w:pPr>
    </w:p>
    <w:p w14:paraId="2A40E0C1" w14:textId="77777777" w:rsidR="002D2BF3" w:rsidRDefault="002D2BF3" w:rsidP="002D2BF3">
      <w:pPr>
        <w:spacing w:before="240" w:line="360" w:lineRule="auto"/>
        <w:jc w:val="both"/>
      </w:pPr>
    </w:p>
    <w:p w14:paraId="15FB14DF" w14:textId="77777777" w:rsidR="002D2BF3" w:rsidRPr="00F67DB4" w:rsidRDefault="002D2BF3" w:rsidP="002D2BF3">
      <w:pPr>
        <w:jc w:val="both"/>
        <w:rPr>
          <w:b/>
          <w:bCs/>
        </w:rPr>
      </w:pPr>
      <w:r>
        <w:t xml:space="preserve">             </w:t>
      </w:r>
      <w:r>
        <w:rPr>
          <w:b/>
          <w:bCs/>
        </w:rPr>
        <w:t>Control</w:t>
      </w:r>
    </w:p>
    <w:p w14:paraId="5C5C70CC" w14:textId="77777777" w:rsidR="002D2BF3" w:rsidRDefault="002D2BF3" w:rsidP="002D2BF3">
      <w:pPr>
        <w:spacing w:before="240" w:line="360" w:lineRule="auto"/>
        <w:jc w:val="both"/>
      </w:pPr>
    </w:p>
    <w:p w14:paraId="61602E61" w14:textId="77777777" w:rsidR="002D2BF3" w:rsidRDefault="002D2BF3" w:rsidP="002D2BF3">
      <w:pPr>
        <w:spacing w:before="240" w:line="360" w:lineRule="auto"/>
        <w:jc w:val="both"/>
      </w:pPr>
    </w:p>
    <w:p w14:paraId="41E02B23" w14:textId="77777777" w:rsidR="002D2BF3" w:rsidRDefault="002D2BF3" w:rsidP="002D2BF3">
      <w:pPr>
        <w:spacing w:before="240" w:line="360" w:lineRule="auto"/>
        <w:jc w:val="both"/>
      </w:pPr>
    </w:p>
    <w:p w14:paraId="4FE3A6C5" w14:textId="77777777" w:rsidR="002D2BF3" w:rsidRDefault="002D2BF3" w:rsidP="002D2BF3">
      <w:pPr>
        <w:spacing w:before="240" w:line="360" w:lineRule="auto"/>
        <w:jc w:val="both"/>
      </w:pPr>
    </w:p>
    <w:p w14:paraId="6B81B139" w14:textId="77777777" w:rsidR="002D2BF3" w:rsidRDefault="002D2BF3" w:rsidP="002D2BF3">
      <w:pPr>
        <w:spacing w:before="240" w:line="360" w:lineRule="auto"/>
        <w:jc w:val="both"/>
      </w:pPr>
    </w:p>
    <w:p w14:paraId="6978D9DB" w14:textId="77777777" w:rsidR="002D2BF3" w:rsidRDefault="002D2BF3" w:rsidP="002D2BF3">
      <w:pPr>
        <w:spacing w:before="240" w:line="360" w:lineRule="auto"/>
        <w:jc w:val="both"/>
      </w:pPr>
    </w:p>
    <w:p w14:paraId="5C4A9407" w14:textId="77777777" w:rsidR="002D2BF3" w:rsidRDefault="002D2BF3" w:rsidP="002D2BF3">
      <w:pPr>
        <w:spacing w:before="240" w:line="360" w:lineRule="auto"/>
        <w:jc w:val="both"/>
      </w:pPr>
    </w:p>
    <w:p w14:paraId="341DB8D8" w14:textId="77777777" w:rsidR="002D2BF3" w:rsidRDefault="002D2BF3" w:rsidP="002D2BF3">
      <w:pPr>
        <w:spacing w:before="240" w:line="360" w:lineRule="auto"/>
        <w:jc w:val="both"/>
      </w:pPr>
    </w:p>
    <w:p w14:paraId="73490A50" w14:textId="3E38AA30" w:rsidR="002D2BF3" w:rsidRDefault="002D2BF3" w:rsidP="002D2BF3">
      <w:pPr>
        <w:jc w:val="both"/>
        <w:rPr>
          <w:b/>
          <w:bCs/>
          <w:sz w:val="28"/>
          <w:szCs w:val="28"/>
        </w:rPr>
      </w:pPr>
      <w:r>
        <w:rPr>
          <w:b/>
          <w:bCs/>
          <w:sz w:val="28"/>
          <w:szCs w:val="28"/>
        </w:rPr>
        <w:t xml:space="preserve">Plate 1: Effect of different botanicals on the mycelial growth of </w:t>
      </w:r>
      <w:r>
        <w:rPr>
          <w:b/>
          <w:bCs/>
          <w:i/>
          <w:iCs/>
          <w:sz w:val="28"/>
          <w:szCs w:val="28"/>
        </w:rPr>
        <w:t>Alternaria brassicae</w:t>
      </w:r>
      <w:r>
        <w:rPr>
          <w:b/>
          <w:bCs/>
          <w:sz w:val="28"/>
          <w:szCs w:val="28"/>
        </w:rPr>
        <w:t xml:space="preserve"> </w:t>
      </w:r>
      <w:r>
        <w:rPr>
          <w:b/>
          <w:bCs/>
          <w:i/>
          <w:iCs/>
          <w:sz w:val="28"/>
          <w:szCs w:val="28"/>
        </w:rPr>
        <w:t>in vitro</w:t>
      </w:r>
      <w:r>
        <w:rPr>
          <w:b/>
          <w:bCs/>
          <w:sz w:val="28"/>
          <w:szCs w:val="28"/>
        </w:rPr>
        <w:t xml:space="preserve"> conditions</w:t>
      </w:r>
    </w:p>
    <w:p w14:paraId="541D82B7" w14:textId="77777777" w:rsidR="002D2BF3" w:rsidRDefault="002D2BF3" w:rsidP="002D2BF3">
      <w:pPr>
        <w:spacing w:before="240" w:line="360" w:lineRule="auto"/>
        <w:jc w:val="both"/>
      </w:pPr>
    </w:p>
    <w:p w14:paraId="09600C54" w14:textId="5F2DA712" w:rsidR="00BA7814" w:rsidRDefault="00000000" w:rsidP="002A6CF3">
      <w:pPr>
        <w:pStyle w:val="Heading2"/>
        <w:spacing w:line="360" w:lineRule="auto"/>
        <w:jc w:val="both"/>
      </w:pPr>
      <w:r>
        <w:lastRenderedPageBreak/>
        <w:t xml:space="preserve">3.2 Fungicidal Efficacy Against </w:t>
      </w:r>
      <w:r>
        <w:rPr>
          <w:i/>
          <w:iCs/>
        </w:rPr>
        <w:t>A. brassicae</w:t>
      </w:r>
    </w:p>
    <w:p w14:paraId="44C59ECC" w14:textId="345AE252" w:rsidR="00BA7814" w:rsidRDefault="002D2BF3" w:rsidP="002A6CF3">
      <w:pPr>
        <w:spacing w:after="240" w:line="360" w:lineRule="auto"/>
        <w:jc w:val="both"/>
      </w:pPr>
      <w:r>
        <w:t xml:space="preserve">The </w:t>
      </w:r>
      <w:r>
        <w:rPr>
          <w:i/>
          <w:iCs/>
        </w:rPr>
        <w:t>in vitro</w:t>
      </w:r>
      <w:r>
        <w:t xml:space="preserve"> evaluation of five fungicides at three concentrations (0.025%, 0.05%, and 0.1%) demonstrated superior antifungal efficacy compared with botanical extracts, with all fungicides showing significant, concentration-dependent pathogen suppression (Table 2). The untreated control exhibited complete radial growth of 9.00 cm, with unrestricted colony development and abundant sporulation across the Petri plate surface.</w:t>
      </w:r>
    </w:p>
    <w:p w14:paraId="6C69DF5C" w14:textId="484BDC77" w:rsidR="00BA7814" w:rsidRDefault="002D2BF3" w:rsidP="002A6CF3">
      <w:pPr>
        <w:spacing w:after="240" w:line="360" w:lineRule="auto"/>
        <w:jc w:val="both"/>
      </w:pPr>
      <w:r>
        <w:t xml:space="preserve">Carbendazim 12% + Mancozeb 63% WP demonstrated exceptional antifungal performance, achieving 98.13%, 98.89%, and 100.00% inhibition at 0.025%, 0.05%, and 0.1% concentrations, respectively. Complete pathogen suppression at the highest concentration indicates a potent dual-mode-of-action combining benzimidazole and </w:t>
      </w:r>
      <w:proofErr w:type="spellStart"/>
      <w:r>
        <w:t>dithiocarbamate</w:t>
      </w:r>
      <w:proofErr w:type="spellEnd"/>
      <w:r>
        <w:t xml:space="preserve"> chemistries. </w:t>
      </w:r>
      <w:proofErr w:type="spellStart"/>
      <w:r>
        <w:t>Trifloxystrobin</w:t>
      </w:r>
      <w:proofErr w:type="spellEnd"/>
      <w:r>
        <w:t xml:space="preserve"> 50% WDG showed comparable efficacy, with 97.18%, 97.93%, and 100.00% inhibition across increasing concentrations.</w:t>
      </w:r>
    </w:p>
    <w:p w14:paraId="34AAB1CD" w14:textId="08B2A96B" w:rsidR="00BA7814" w:rsidRDefault="002D2BF3" w:rsidP="002A6CF3">
      <w:pPr>
        <w:spacing w:after="240" w:line="360" w:lineRule="auto"/>
        <w:jc w:val="both"/>
      </w:pPr>
      <w:r>
        <w:t xml:space="preserve">Difenoconazole 25% EC and Fluxapyroxad 33.3% G/L both achieved complete suppression (100%) at 0.1%, with initial inhibition rates of 96.83% and 96.56% at 0.025%, respectively. </w:t>
      </w:r>
      <w:proofErr w:type="spellStart"/>
      <w:r>
        <w:t>Penflufen</w:t>
      </w:r>
      <w:proofErr w:type="spellEnd"/>
      <w:r>
        <w:t xml:space="preserve"> 240 FS showed comparatively lower efficacy among the tested fungicides, recording only 97.78% inhibition at the maximum concentration, with 2.00 cm residual radial growth, indicating incomplete pathogen suppression and potential differential sensitivity.</w:t>
      </w:r>
    </w:p>
    <w:p w14:paraId="1373D62C" w14:textId="44420F0F" w:rsidR="00BA7814" w:rsidRDefault="002D2BF3" w:rsidP="002A6CF3">
      <w:pPr>
        <w:spacing w:after="480" w:line="360" w:lineRule="auto"/>
        <w:jc w:val="both"/>
      </w:pPr>
      <w:r>
        <w:t xml:space="preserve">All fungicides, except </w:t>
      </w:r>
      <w:proofErr w:type="spellStart"/>
      <w:r>
        <w:t>Penflufen</w:t>
      </w:r>
      <w:proofErr w:type="spellEnd"/>
      <w:r>
        <w:t xml:space="preserve">, achieved complete suppression of mycelial growth at 0.1%, demonstrating superior antifungal potency compared to botanical extracts. Statistical analysis revealed highly significant treatment effects, with an </w:t>
      </w:r>
      <w:proofErr w:type="spellStart"/>
      <w:r>
        <w:t>SEm</w:t>
      </w:r>
      <w:proofErr w:type="spellEnd"/>
      <w:r>
        <w:t>± of 0.04 cm and a CD of 0.13 cm at the 5% significance level, confirming genuine differences in antifungal efficacy among the tested fungicide formulations and concentration levels.</w:t>
      </w:r>
    </w:p>
    <w:p w14:paraId="3988B815" w14:textId="77777777" w:rsidR="002D2BF3" w:rsidRDefault="002D2BF3" w:rsidP="002A6CF3">
      <w:pPr>
        <w:spacing w:after="480" w:line="360" w:lineRule="auto"/>
        <w:jc w:val="both"/>
      </w:pPr>
    </w:p>
    <w:p w14:paraId="352C7A6E" w14:textId="77777777" w:rsidR="002D2BF3" w:rsidRDefault="002D2BF3" w:rsidP="002A6CF3">
      <w:pPr>
        <w:spacing w:after="480" w:line="360" w:lineRule="auto"/>
        <w:jc w:val="both"/>
      </w:pPr>
    </w:p>
    <w:p w14:paraId="6886B6A3" w14:textId="77777777" w:rsidR="002D2BF3" w:rsidRDefault="002D2BF3" w:rsidP="002A6CF3">
      <w:pPr>
        <w:spacing w:after="480" w:line="360" w:lineRule="auto"/>
        <w:jc w:val="both"/>
      </w:pPr>
    </w:p>
    <w:p w14:paraId="54EF8616" w14:textId="77777777" w:rsidR="002D2BF3" w:rsidRDefault="002D2BF3" w:rsidP="002A6CF3">
      <w:pPr>
        <w:spacing w:after="480" w:line="360" w:lineRule="auto"/>
        <w:jc w:val="both"/>
      </w:pPr>
    </w:p>
    <w:p w14:paraId="21251252" w14:textId="552B0707" w:rsidR="002D2BF3" w:rsidRPr="007375D7" w:rsidRDefault="002D2BF3" w:rsidP="002D2BF3">
      <w:pPr>
        <w:spacing w:before="240" w:after="240" w:line="360" w:lineRule="auto"/>
        <w:rPr>
          <w:b/>
          <w:bCs/>
        </w:rPr>
      </w:pPr>
      <w:r>
        <w:rPr>
          <w:b/>
          <w:bCs/>
        </w:rPr>
        <w:lastRenderedPageBreak/>
        <w:t xml:space="preserve">Table 2: Effect of different fungicides on mycelial growth of </w:t>
      </w:r>
      <w:r>
        <w:rPr>
          <w:b/>
          <w:bCs/>
          <w:i/>
          <w:iCs/>
        </w:rPr>
        <w:t>Alternaria brassicae</w:t>
      </w:r>
      <w:r>
        <w:rPr>
          <w:b/>
          <w:bCs/>
        </w:rPr>
        <w:t xml:space="preserve"> under </w:t>
      </w:r>
      <w:r>
        <w:rPr>
          <w:b/>
          <w:bCs/>
          <w:i/>
          <w:iCs/>
        </w:rPr>
        <w:t>in vitro</w:t>
      </w:r>
      <w:r>
        <w:rPr>
          <w:b/>
          <w:bCs/>
        </w:rPr>
        <w:t xml:space="preserve"> conditions</w:t>
      </w:r>
    </w:p>
    <w:tbl>
      <w:tblPr>
        <w:tblStyle w:val="TableGrid"/>
        <w:tblW w:w="0" w:type="auto"/>
        <w:tblLook w:val="04A0" w:firstRow="1" w:lastRow="0" w:firstColumn="1" w:lastColumn="0" w:noHBand="0" w:noVBand="1"/>
      </w:tblPr>
      <w:tblGrid>
        <w:gridCol w:w="1309"/>
        <w:gridCol w:w="2305"/>
        <w:gridCol w:w="1802"/>
        <w:gridCol w:w="1799"/>
        <w:gridCol w:w="1801"/>
      </w:tblGrid>
      <w:tr w:rsidR="002D2BF3" w:rsidRPr="002D2BF3" w14:paraId="6ED9D5A7" w14:textId="77777777" w:rsidTr="00E21FCF">
        <w:tc>
          <w:tcPr>
            <w:tcW w:w="1309" w:type="dxa"/>
            <w:vAlign w:val="center"/>
          </w:tcPr>
          <w:p w14:paraId="263CAA1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Treatment</w:t>
            </w:r>
          </w:p>
        </w:tc>
        <w:tc>
          <w:tcPr>
            <w:tcW w:w="2305" w:type="dxa"/>
            <w:vAlign w:val="center"/>
          </w:tcPr>
          <w:p w14:paraId="0056B13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Fungicide</w:t>
            </w:r>
          </w:p>
        </w:tc>
        <w:tc>
          <w:tcPr>
            <w:tcW w:w="1802" w:type="dxa"/>
            <w:vAlign w:val="center"/>
          </w:tcPr>
          <w:p w14:paraId="18DA4C6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Concentration (%)</w:t>
            </w:r>
          </w:p>
        </w:tc>
        <w:tc>
          <w:tcPr>
            <w:tcW w:w="1799" w:type="dxa"/>
            <w:vAlign w:val="center"/>
          </w:tcPr>
          <w:p w14:paraId="09B2AE3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Radial growth (cm)</w:t>
            </w:r>
          </w:p>
        </w:tc>
        <w:tc>
          <w:tcPr>
            <w:tcW w:w="1801" w:type="dxa"/>
            <w:vAlign w:val="center"/>
          </w:tcPr>
          <w:p w14:paraId="26D25A2A"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Per cent inhibition (%)</w:t>
            </w:r>
          </w:p>
        </w:tc>
      </w:tr>
      <w:tr w:rsidR="002D2BF3" w:rsidRPr="002D2BF3" w14:paraId="3AA47771" w14:textId="77777777" w:rsidTr="00E21FCF">
        <w:tc>
          <w:tcPr>
            <w:tcW w:w="1309" w:type="dxa"/>
            <w:vMerge w:val="restart"/>
            <w:vAlign w:val="center"/>
          </w:tcPr>
          <w:p w14:paraId="35E65643"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T₁</w:t>
            </w:r>
          </w:p>
        </w:tc>
        <w:tc>
          <w:tcPr>
            <w:tcW w:w="2305" w:type="dxa"/>
            <w:vMerge w:val="restart"/>
            <w:vAlign w:val="center"/>
          </w:tcPr>
          <w:p w14:paraId="6088261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Carbendazim 12% + Mancozeb 63% WP</w:t>
            </w:r>
          </w:p>
        </w:tc>
        <w:tc>
          <w:tcPr>
            <w:tcW w:w="1802" w:type="dxa"/>
            <w:vAlign w:val="center"/>
          </w:tcPr>
          <w:p w14:paraId="622989A8"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6E92DB4E"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1.68</w:t>
            </w:r>
          </w:p>
        </w:tc>
        <w:tc>
          <w:tcPr>
            <w:tcW w:w="1801" w:type="dxa"/>
            <w:vAlign w:val="center"/>
          </w:tcPr>
          <w:p w14:paraId="12F4210C"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98.13</w:t>
            </w:r>
          </w:p>
        </w:tc>
      </w:tr>
      <w:tr w:rsidR="002D2BF3" w:rsidRPr="002D2BF3" w14:paraId="50ABEDE5" w14:textId="77777777" w:rsidTr="00E21FCF">
        <w:tc>
          <w:tcPr>
            <w:tcW w:w="1309" w:type="dxa"/>
            <w:vMerge/>
            <w:vAlign w:val="center"/>
          </w:tcPr>
          <w:p w14:paraId="5286F8BA"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1F00C6C6" w14:textId="77777777" w:rsidR="002D2BF3" w:rsidRPr="002D2BF3" w:rsidRDefault="002D2BF3" w:rsidP="00E21FCF">
            <w:pPr>
              <w:rPr>
                <w:rFonts w:ascii="Times New Roman" w:hAnsi="Times New Roman" w:cs="Times New Roman"/>
                <w:sz w:val="24"/>
                <w:szCs w:val="24"/>
              </w:rPr>
            </w:pPr>
          </w:p>
        </w:tc>
        <w:tc>
          <w:tcPr>
            <w:tcW w:w="1802" w:type="dxa"/>
            <w:vAlign w:val="center"/>
          </w:tcPr>
          <w:p w14:paraId="7BD64D2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675BC0D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1.00</w:t>
            </w:r>
          </w:p>
        </w:tc>
        <w:tc>
          <w:tcPr>
            <w:tcW w:w="1801" w:type="dxa"/>
            <w:vAlign w:val="center"/>
          </w:tcPr>
          <w:p w14:paraId="4601DDEF"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98.89</w:t>
            </w:r>
          </w:p>
        </w:tc>
      </w:tr>
      <w:tr w:rsidR="002D2BF3" w:rsidRPr="002D2BF3" w14:paraId="4CAC27F4" w14:textId="77777777" w:rsidTr="00E21FCF">
        <w:tc>
          <w:tcPr>
            <w:tcW w:w="1309" w:type="dxa"/>
            <w:vMerge/>
            <w:vAlign w:val="center"/>
          </w:tcPr>
          <w:p w14:paraId="6ED23C63"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126385C6" w14:textId="77777777" w:rsidR="002D2BF3" w:rsidRPr="002D2BF3" w:rsidRDefault="002D2BF3" w:rsidP="00E21FCF">
            <w:pPr>
              <w:rPr>
                <w:rFonts w:ascii="Times New Roman" w:hAnsi="Times New Roman" w:cs="Times New Roman"/>
                <w:sz w:val="24"/>
                <w:szCs w:val="24"/>
              </w:rPr>
            </w:pPr>
          </w:p>
        </w:tc>
        <w:tc>
          <w:tcPr>
            <w:tcW w:w="1802" w:type="dxa"/>
            <w:vAlign w:val="center"/>
          </w:tcPr>
          <w:p w14:paraId="0F0FAE50"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679EDB12"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0.00</w:t>
            </w:r>
          </w:p>
        </w:tc>
        <w:tc>
          <w:tcPr>
            <w:tcW w:w="1801" w:type="dxa"/>
            <w:vAlign w:val="center"/>
          </w:tcPr>
          <w:p w14:paraId="5447419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100.00</w:t>
            </w:r>
          </w:p>
        </w:tc>
      </w:tr>
      <w:tr w:rsidR="002D2BF3" w:rsidRPr="002D2BF3" w14:paraId="77F2DA24" w14:textId="77777777" w:rsidTr="00E21FCF">
        <w:tc>
          <w:tcPr>
            <w:tcW w:w="1309" w:type="dxa"/>
            <w:vMerge w:val="restart"/>
            <w:vAlign w:val="center"/>
          </w:tcPr>
          <w:p w14:paraId="03859D47"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T₂</w:t>
            </w:r>
          </w:p>
        </w:tc>
        <w:tc>
          <w:tcPr>
            <w:tcW w:w="2305" w:type="dxa"/>
            <w:vMerge w:val="restart"/>
            <w:vAlign w:val="center"/>
          </w:tcPr>
          <w:p w14:paraId="37EF53E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Difenoconazole 25% EC</w:t>
            </w:r>
          </w:p>
        </w:tc>
        <w:tc>
          <w:tcPr>
            <w:tcW w:w="1802" w:type="dxa"/>
            <w:vAlign w:val="center"/>
          </w:tcPr>
          <w:p w14:paraId="7372BE1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13F2D418"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2.85</w:t>
            </w:r>
          </w:p>
        </w:tc>
        <w:tc>
          <w:tcPr>
            <w:tcW w:w="1801" w:type="dxa"/>
            <w:vAlign w:val="center"/>
          </w:tcPr>
          <w:p w14:paraId="65BF537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96.83</w:t>
            </w:r>
          </w:p>
        </w:tc>
      </w:tr>
      <w:tr w:rsidR="002D2BF3" w:rsidRPr="002D2BF3" w14:paraId="44B3BF7E" w14:textId="77777777" w:rsidTr="00E21FCF">
        <w:tc>
          <w:tcPr>
            <w:tcW w:w="1309" w:type="dxa"/>
            <w:vMerge/>
            <w:vAlign w:val="center"/>
          </w:tcPr>
          <w:p w14:paraId="3AA7A152"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4BE4A593" w14:textId="77777777" w:rsidR="002D2BF3" w:rsidRPr="002D2BF3" w:rsidRDefault="002D2BF3" w:rsidP="00E21FCF">
            <w:pPr>
              <w:rPr>
                <w:rFonts w:ascii="Times New Roman" w:hAnsi="Times New Roman" w:cs="Times New Roman"/>
                <w:sz w:val="24"/>
                <w:szCs w:val="24"/>
              </w:rPr>
            </w:pPr>
          </w:p>
        </w:tc>
        <w:tc>
          <w:tcPr>
            <w:tcW w:w="1802" w:type="dxa"/>
            <w:vAlign w:val="center"/>
          </w:tcPr>
          <w:p w14:paraId="1DB0C9A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2233D512"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1.98</w:t>
            </w:r>
          </w:p>
        </w:tc>
        <w:tc>
          <w:tcPr>
            <w:tcW w:w="1801" w:type="dxa"/>
            <w:vAlign w:val="center"/>
          </w:tcPr>
          <w:p w14:paraId="3981D42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97.80</w:t>
            </w:r>
          </w:p>
        </w:tc>
      </w:tr>
      <w:tr w:rsidR="002D2BF3" w:rsidRPr="002D2BF3" w14:paraId="13B6F248" w14:textId="77777777" w:rsidTr="00E21FCF">
        <w:tc>
          <w:tcPr>
            <w:tcW w:w="1309" w:type="dxa"/>
            <w:vMerge/>
            <w:vAlign w:val="center"/>
          </w:tcPr>
          <w:p w14:paraId="3EC625E2"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52A81229" w14:textId="77777777" w:rsidR="002D2BF3" w:rsidRPr="002D2BF3" w:rsidRDefault="002D2BF3" w:rsidP="00E21FCF">
            <w:pPr>
              <w:rPr>
                <w:rFonts w:ascii="Times New Roman" w:hAnsi="Times New Roman" w:cs="Times New Roman"/>
                <w:sz w:val="24"/>
                <w:szCs w:val="24"/>
              </w:rPr>
            </w:pPr>
          </w:p>
        </w:tc>
        <w:tc>
          <w:tcPr>
            <w:tcW w:w="1802" w:type="dxa"/>
            <w:vAlign w:val="center"/>
          </w:tcPr>
          <w:p w14:paraId="14CD9E8A"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2F47E056"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0.00</w:t>
            </w:r>
          </w:p>
        </w:tc>
        <w:tc>
          <w:tcPr>
            <w:tcW w:w="1801" w:type="dxa"/>
            <w:vAlign w:val="center"/>
          </w:tcPr>
          <w:p w14:paraId="737612AA"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100.00</w:t>
            </w:r>
          </w:p>
        </w:tc>
      </w:tr>
      <w:tr w:rsidR="002D2BF3" w:rsidRPr="002D2BF3" w14:paraId="3A960A21" w14:textId="77777777" w:rsidTr="00E21FCF">
        <w:tc>
          <w:tcPr>
            <w:tcW w:w="1309" w:type="dxa"/>
            <w:vMerge w:val="restart"/>
            <w:vAlign w:val="center"/>
          </w:tcPr>
          <w:p w14:paraId="6C7964A2"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T₃</w:t>
            </w:r>
          </w:p>
        </w:tc>
        <w:tc>
          <w:tcPr>
            <w:tcW w:w="2305" w:type="dxa"/>
            <w:vMerge w:val="restart"/>
            <w:vAlign w:val="center"/>
          </w:tcPr>
          <w:p w14:paraId="081688B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Fluxapyroxad 33.3% G/L</w:t>
            </w:r>
          </w:p>
        </w:tc>
        <w:tc>
          <w:tcPr>
            <w:tcW w:w="1802" w:type="dxa"/>
            <w:vAlign w:val="center"/>
          </w:tcPr>
          <w:p w14:paraId="6386F99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4C220965"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3.10</w:t>
            </w:r>
          </w:p>
        </w:tc>
        <w:tc>
          <w:tcPr>
            <w:tcW w:w="1801" w:type="dxa"/>
            <w:vAlign w:val="center"/>
          </w:tcPr>
          <w:p w14:paraId="50CF44FA"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96.56</w:t>
            </w:r>
          </w:p>
        </w:tc>
      </w:tr>
      <w:tr w:rsidR="002D2BF3" w:rsidRPr="002D2BF3" w14:paraId="78FA9819" w14:textId="77777777" w:rsidTr="00E21FCF">
        <w:tc>
          <w:tcPr>
            <w:tcW w:w="1309" w:type="dxa"/>
            <w:vMerge/>
            <w:vAlign w:val="center"/>
          </w:tcPr>
          <w:p w14:paraId="290F6FA1"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503A2C95" w14:textId="77777777" w:rsidR="002D2BF3" w:rsidRPr="002D2BF3" w:rsidRDefault="002D2BF3" w:rsidP="00E21FCF">
            <w:pPr>
              <w:rPr>
                <w:rFonts w:ascii="Times New Roman" w:hAnsi="Times New Roman" w:cs="Times New Roman"/>
                <w:sz w:val="24"/>
                <w:szCs w:val="24"/>
              </w:rPr>
            </w:pPr>
          </w:p>
        </w:tc>
        <w:tc>
          <w:tcPr>
            <w:tcW w:w="1802" w:type="dxa"/>
            <w:vAlign w:val="center"/>
          </w:tcPr>
          <w:p w14:paraId="62CD39B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762B859B"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2.45</w:t>
            </w:r>
          </w:p>
        </w:tc>
        <w:tc>
          <w:tcPr>
            <w:tcW w:w="1801" w:type="dxa"/>
            <w:vAlign w:val="center"/>
          </w:tcPr>
          <w:p w14:paraId="7EB175A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97.28</w:t>
            </w:r>
          </w:p>
        </w:tc>
      </w:tr>
      <w:tr w:rsidR="002D2BF3" w:rsidRPr="002D2BF3" w14:paraId="7148A908" w14:textId="77777777" w:rsidTr="00E21FCF">
        <w:tc>
          <w:tcPr>
            <w:tcW w:w="1309" w:type="dxa"/>
            <w:vMerge/>
            <w:vAlign w:val="center"/>
          </w:tcPr>
          <w:p w14:paraId="40A9E59A"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50DA1BC9" w14:textId="77777777" w:rsidR="002D2BF3" w:rsidRPr="002D2BF3" w:rsidRDefault="002D2BF3" w:rsidP="00E21FCF">
            <w:pPr>
              <w:rPr>
                <w:rFonts w:ascii="Times New Roman" w:hAnsi="Times New Roman" w:cs="Times New Roman"/>
                <w:sz w:val="24"/>
                <w:szCs w:val="24"/>
              </w:rPr>
            </w:pPr>
          </w:p>
        </w:tc>
        <w:tc>
          <w:tcPr>
            <w:tcW w:w="1802" w:type="dxa"/>
            <w:vAlign w:val="center"/>
          </w:tcPr>
          <w:p w14:paraId="5A68DBD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03C7921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0.00</w:t>
            </w:r>
          </w:p>
        </w:tc>
        <w:tc>
          <w:tcPr>
            <w:tcW w:w="1801" w:type="dxa"/>
            <w:vAlign w:val="center"/>
          </w:tcPr>
          <w:p w14:paraId="1A3B556B"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100.00</w:t>
            </w:r>
          </w:p>
        </w:tc>
      </w:tr>
      <w:tr w:rsidR="002D2BF3" w:rsidRPr="002D2BF3" w14:paraId="74E67CC4" w14:textId="77777777" w:rsidTr="00E21FCF">
        <w:tc>
          <w:tcPr>
            <w:tcW w:w="1309" w:type="dxa"/>
            <w:vMerge w:val="restart"/>
            <w:vAlign w:val="center"/>
          </w:tcPr>
          <w:p w14:paraId="0B899CD5"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T₄</w:t>
            </w:r>
          </w:p>
        </w:tc>
        <w:tc>
          <w:tcPr>
            <w:tcW w:w="2305" w:type="dxa"/>
            <w:vMerge w:val="restart"/>
            <w:vAlign w:val="center"/>
          </w:tcPr>
          <w:p w14:paraId="395253D9" w14:textId="77777777" w:rsidR="002D2BF3" w:rsidRPr="002D2BF3" w:rsidRDefault="002D2BF3" w:rsidP="00E21FCF">
            <w:pPr>
              <w:rPr>
                <w:rFonts w:ascii="Times New Roman" w:hAnsi="Times New Roman" w:cs="Times New Roman"/>
                <w:sz w:val="24"/>
                <w:szCs w:val="24"/>
              </w:rPr>
            </w:pPr>
            <w:proofErr w:type="spellStart"/>
            <w:r>
              <w:rPr>
                <w:rFonts w:ascii="Times New Roman" w:hAnsi="Times New Roman" w:cs="Times New Roman"/>
                <w:sz w:val="24"/>
                <w:szCs w:val="24"/>
              </w:rPr>
              <w:t>Penflufen</w:t>
            </w:r>
            <w:proofErr w:type="spellEnd"/>
            <w:r>
              <w:rPr>
                <w:rFonts w:ascii="Times New Roman" w:hAnsi="Times New Roman" w:cs="Times New Roman"/>
                <w:sz w:val="24"/>
                <w:szCs w:val="24"/>
              </w:rPr>
              <w:t xml:space="preserve"> 240 FS</w:t>
            </w:r>
          </w:p>
        </w:tc>
        <w:tc>
          <w:tcPr>
            <w:tcW w:w="1802" w:type="dxa"/>
            <w:vAlign w:val="center"/>
          </w:tcPr>
          <w:p w14:paraId="266775B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6A1BA4B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3.46</w:t>
            </w:r>
          </w:p>
        </w:tc>
        <w:tc>
          <w:tcPr>
            <w:tcW w:w="1801" w:type="dxa"/>
            <w:vAlign w:val="center"/>
          </w:tcPr>
          <w:p w14:paraId="418A6236"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96.16</w:t>
            </w:r>
          </w:p>
        </w:tc>
      </w:tr>
      <w:tr w:rsidR="002D2BF3" w:rsidRPr="002D2BF3" w14:paraId="68CD4722" w14:textId="77777777" w:rsidTr="00E21FCF">
        <w:tc>
          <w:tcPr>
            <w:tcW w:w="1309" w:type="dxa"/>
            <w:vMerge/>
            <w:vAlign w:val="center"/>
          </w:tcPr>
          <w:p w14:paraId="494D7286"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3B2F5A51" w14:textId="77777777" w:rsidR="002D2BF3" w:rsidRPr="002D2BF3" w:rsidRDefault="002D2BF3" w:rsidP="00E21FCF">
            <w:pPr>
              <w:rPr>
                <w:rFonts w:ascii="Times New Roman" w:hAnsi="Times New Roman" w:cs="Times New Roman"/>
                <w:sz w:val="24"/>
                <w:szCs w:val="24"/>
              </w:rPr>
            </w:pPr>
          </w:p>
        </w:tc>
        <w:tc>
          <w:tcPr>
            <w:tcW w:w="1802" w:type="dxa"/>
            <w:vAlign w:val="center"/>
          </w:tcPr>
          <w:p w14:paraId="22A8B4E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3D302BA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2.36</w:t>
            </w:r>
          </w:p>
        </w:tc>
        <w:tc>
          <w:tcPr>
            <w:tcW w:w="1801" w:type="dxa"/>
            <w:vAlign w:val="center"/>
          </w:tcPr>
          <w:p w14:paraId="7C086310"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97.38</w:t>
            </w:r>
          </w:p>
        </w:tc>
      </w:tr>
      <w:tr w:rsidR="002D2BF3" w:rsidRPr="002D2BF3" w14:paraId="1989DD56" w14:textId="77777777" w:rsidTr="00E21FCF">
        <w:tc>
          <w:tcPr>
            <w:tcW w:w="1309" w:type="dxa"/>
            <w:vMerge/>
            <w:vAlign w:val="center"/>
          </w:tcPr>
          <w:p w14:paraId="262ED9F7"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6E6CA0CF" w14:textId="77777777" w:rsidR="002D2BF3" w:rsidRPr="002D2BF3" w:rsidRDefault="002D2BF3" w:rsidP="00E21FCF">
            <w:pPr>
              <w:rPr>
                <w:rFonts w:ascii="Times New Roman" w:hAnsi="Times New Roman" w:cs="Times New Roman"/>
                <w:sz w:val="24"/>
                <w:szCs w:val="24"/>
              </w:rPr>
            </w:pPr>
          </w:p>
        </w:tc>
        <w:tc>
          <w:tcPr>
            <w:tcW w:w="1802" w:type="dxa"/>
            <w:vAlign w:val="center"/>
          </w:tcPr>
          <w:p w14:paraId="58621B5C"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46C0837F"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2.00</w:t>
            </w:r>
          </w:p>
        </w:tc>
        <w:tc>
          <w:tcPr>
            <w:tcW w:w="1801" w:type="dxa"/>
            <w:vAlign w:val="center"/>
          </w:tcPr>
          <w:p w14:paraId="62816844"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97.78</w:t>
            </w:r>
          </w:p>
        </w:tc>
      </w:tr>
      <w:tr w:rsidR="002D2BF3" w:rsidRPr="002D2BF3" w14:paraId="073C9E11" w14:textId="77777777" w:rsidTr="00E21FCF">
        <w:tc>
          <w:tcPr>
            <w:tcW w:w="1309" w:type="dxa"/>
            <w:vMerge w:val="restart"/>
            <w:vAlign w:val="center"/>
          </w:tcPr>
          <w:p w14:paraId="58FCDD8B"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T₅</w:t>
            </w:r>
          </w:p>
        </w:tc>
        <w:tc>
          <w:tcPr>
            <w:tcW w:w="2305" w:type="dxa"/>
            <w:vMerge w:val="restart"/>
            <w:vAlign w:val="center"/>
          </w:tcPr>
          <w:p w14:paraId="77CC0B43" w14:textId="77777777" w:rsidR="002D2BF3" w:rsidRPr="002D2BF3" w:rsidRDefault="002D2BF3" w:rsidP="00E21FCF">
            <w:pPr>
              <w:rPr>
                <w:rFonts w:ascii="Times New Roman" w:hAnsi="Times New Roman" w:cs="Times New Roman"/>
                <w:sz w:val="24"/>
                <w:szCs w:val="24"/>
              </w:rPr>
            </w:pPr>
            <w:proofErr w:type="spellStart"/>
            <w:r>
              <w:rPr>
                <w:rFonts w:ascii="Times New Roman" w:hAnsi="Times New Roman" w:cs="Times New Roman"/>
                <w:sz w:val="24"/>
                <w:szCs w:val="24"/>
              </w:rPr>
              <w:t>Trifloxystrobin</w:t>
            </w:r>
            <w:proofErr w:type="spellEnd"/>
            <w:r>
              <w:rPr>
                <w:rFonts w:ascii="Times New Roman" w:hAnsi="Times New Roman" w:cs="Times New Roman"/>
                <w:sz w:val="24"/>
                <w:szCs w:val="24"/>
              </w:rPr>
              <w:t xml:space="preserve"> 50% WDG</w:t>
            </w:r>
          </w:p>
        </w:tc>
        <w:tc>
          <w:tcPr>
            <w:tcW w:w="1802" w:type="dxa"/>
            <w:vAlign w:val="center"/>
          </w:tcPr>
          <w:p w14:paraId="69D90D8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46E84450"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2.54</w:t>
            </w:r>
          </w:p>
        </w:tc>
        <w:tc>
          <w:tcPr>
            <w:tcW w:w="1801" w:type="dxa"/>
            <w:vAlign w:val="center"/>
          </w:tcPr>
          <w:p w14:paraId="5791963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97.18</w:t>
            </w:r>
          </w:p>
        </w:tc>
      </w:tr>
      <w:tr w:rsidR="002D2BF3" w:rsidRPr="002D2BF3" w14:paraId="2EEF530B" w14:textId="77777777" w:rsidTr="00E21FCF">
        <w:tc>
          <w:tcPr>
            <w:tcW w:w="1309" w:type="dxa"/>
            <w:vMerge/>
            <w:vAlign w:val="center"/>
          </w:tcPr>
          <w:p w14:paraId="3B889CBC"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02F1B8BC" w14:textId="77777777" w:rsidR="002D2BF3" w:rsidRPr="002D2BF3" w:rsidRDefault="002D2BF3" w:rsidP="00E21FCF">
            <w:pPr>
              <w:rPr>
                <w:rFonts w:ascii="Times New Roman" w:hAnsi="Times New Roman" w:cs="Times New Roman"/>
                <w:sz w:val="24"/>
                <w:szCs w:val="24"/>
              </w:rPr>
            </w:pPr>
          </w:p>
        </w:tc>
        <w:tc>
          <w:tcPr>
            <w:tcW w:w="1802" w:type="dxa"/>
            <w:vAlign w:val="center"/>
          </w:tcPr>
          <w:p w14:paraId="0E48AF02"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156EA7B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1.86</w:t>
            </w:r>
          </w:p>
        </w:tc>
        <w:tc>
          <w:tcPr>
            <w:tcW w:w="1801" w:type="dxa"/>
            <w:vAlign w:val="center"/>
          </w:tcPr>
          <w:p w14:paraId="5125B72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97.93</w:t>
            </w:r>
          </w:p>
        </w:tc>
      </w:tr>
      <w:tr w:rsidR="002D2BF3" w:rsidRPr="002D2BF3" w14:paraId="45178C20" w14:textId="77777777" w:rsidTr="00E21FCF">
        <w:tc>
          <w:tcPr>
            <w:tcW w:w="1309" w:type="dxa"/>
            <w:vMerge/>
            <w:vAlign w:val="center"/>
          </w:tcPr>
          <w:p w14:paraId="2E518F9C"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09FF1982" w14:textId="77777777" w:rsidR="002D2BF3" w:rsidRPr="002D2BF3" w:rsidRDefault="002D2BF3" w:rsidP="00E21FCF">
            <w:pPr>
              <w:rPr>
                <w:rFonts w:ascii="Times New Roman" w:hAnsi="Times New Roman" w:cs="Times New Roman"/>
                <w:sz w:val="24"/>
                <w:szCs w:val="24"/>
              </w:rPr>
            </w:pPr>
          </w:p>
        </w:tc>
        <w:tc>
          <w:tcPr>
            <w:tcW w:w="1802" w:type="dxa"/>
            <w:vAlign w:val="center"/>
          </w:tcPr>
          <w:p w14:paraId="1A824ECB"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14158EE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0.00</w:t>
            </w:r>
          </w:p>
        </w:tc>
        <w:tc>
          <w:tcPr>
            <w:tcW w:w="1801" w:type="dxa"/>
            <w:vAlign w:val="center"/>
          </w:tcPr>
          <w:p w14:paraId="1A18D106"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100.00</w:t>
            </w:r>
          </w:p>
        </w:tc>
      </w:tr>
      <w:tr w:rsidR="002D2BF3" w:rsidRPr="002D2BF3" w14:paraId="76BA79ED" w14:textId="77777777" w:rsidTr="00E21FCF">
        <w:tc>
          <w:tcPr>
            <w:tcW w:w="1309" w:type="dxa"/>
            <w:vAlign w:val="center"/>
          </w:tcPr>
          <w:p w14:paraId="33678343"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T₆</w:t>
            </w:r>
          </w:p>
        </w:tc>
        <w:tc>
          <w:tcPr>
            <w:tcW w:w="2305" w:type="dxa"/>
            <w:vAlign w:val="center"/>
          </w:tcPr>
          <w:p w14:paraId="252380C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Control</w:t>
            </w:r>
          </w:p>
        </w:tc>
        <w:tc>
          <w:tcPr>
            <w:tcW w:w="1802" w:type="dxa"/>
            <w:vAlign w:val="center"/>
          </w:tcPr>
          <w:p w14:paraId="5E10FBAF"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w:t>
            </w:r>
          </w:p>
        </w:tc>
        <w:tc>
          <w:tcPr>
            <w:tcW w:w="1799" w:type="dxa"/>
            <w:vAlign w:val="center"/>
          </w:tcPr>
          <w:p w14:paraId="4C943FCA"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9.00</w:t>
            </w:r>
          </w:p>
        </w:tc>
        <w:tc>
          <w:tcPr>
            <w:tcW w:w="1801" w:type="dxa"/>
            <w:vAlign w:val="center"/>
          </w:tcPr>
          <w:p w14:paraId="6E6012B4"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w:t>
            </w:r>
          </w:p>
        </w:tc>
      </w:tr>
      <w:tr w:rsidR="002D2BF3" w:rsidRPr="002D2BF3" w14:paraId="62323B8C" w14:textId="77777777" w:rsidTr="00E21FCF">
        <w:tc>
          <w:tcPr>
            <w:tcW w:w="1309" w:type="dxa"/>
            <w:vAlign w:val="center"/>
          </w:tcPr>
          <w:p w14:paraId="6AE460B9" w14:textId="77777777" w:rsidR="002D2BF3" w:rsidRPr="002D2BF3" w:rsidRDefault="002D2BF3" w:rsidP="00E21FCF">
            <w:pPr>
              <w:rPr>
                <w:rFonts w:ascii="Times New Roman" w:hAnsi="Times New Roman" w:cs="Times New Roman"/>
                <w:sz w:val="24"/>
                <w:szCs w:val="24"/>
              </w:rPr>
            </w:pPr>
          </w:p>
        </w:tc>
        <w:tc>
          <w:tcPr>
            <w:tcW w:w="2305" w:type="dxa"/>
            <w:vAlign w:val="center"/>
          </w:tcPr>
          <w:p w14:paraId="565F7B23" w14:textId="77777777" w:rsidR="002D2BF3" w:rsidRPr="002D2BF3" w:rsidRDefault="002D2BF3" w:rsidP="00E21FCF">
            <w:pPr>
              <w:rPr>
                <w:rFonts w:ascii="Times New Roman" w:hAnsi="Times New Roman" w:cs="Times New Roman"/>
                <w:sz w:val="24"/>
                <w:szCs w:val="24"/>
              </w:rPr>
            </w:pPr>
            <w:proofErr w:type="spellStart"/>
            <w:r>
              <w:rPr>
                <w:rFonts w:ascii="Times New Roman" w:hAnsi="Times New Roman" w:cs="Times New Roman"/>
                <w:sz w:val="24"/>
                <w:szCs w:val="24"/>
              </w:rPr>
              <w:t>SEm</w:t>
            </w:r>
            <w:proofErr w:type="spellEnd"/>
            <w:r>
              <w:rPr>
                <w:rFonts w:ascii="Times New Roman" w:hAnsi="Times New Roman" w:cs="Times New Roman"/>
                <w:sz w:val="24"/>
                <w:szCs w:val="24"/>
              </w:rPr>
              <w:t xml:space="preserve"> (±)</w:t>
            </w:r>
          </w:p>
        </w:tc>
        <w:tc>
          <w:tcPr>
            <w:tcW w:w="1802" w:type="dxa"/>
          </w:tcPr>
          <w:p w14:paraId="2803D724"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w:t>
            </w:r>
          </w:p>
        </w:tc>
        <w:tc>
          <w:tcPr>
            <w:tcW w:w="1799" w:type="dxa"/>
            <w:vAlign w:val="center"/>
          </w:tcPr>
          <w:p w14:paraId="3661495C"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0.04</w:t>
            </w:r>
          </w:p>
        </w:tc>
        <w:tc>
          <w:tcPr>
            <w:tcW w:w="1801" w:type="dxa"/>
            <w:vAlign w:val="center"/>
          </w:tcPr>
          <w:p w14:paraId="4D481AA0" w14:textId="77777777" w:rsidR="002D2BF3" w:rsidRPr="002D2BF3" w:rsidRDefault="002D2BF3" w:rsidP="00E21FCF">
            <w:pPr>
              <w:jc w:val="center"/>
              <w:rPr>
                <w:rFonts w:ascii="Times New Roman" w:hAnsi="Times New Roman" w:cs="Times New Roman"/>
                <w:sz w:val="24"/>
                <w:szCs w:val="24"/>
              </w:rPr>
            </w:pPr>
          </w:p>
        </w:tc>
      </w:tr>
      <w:tr w:rsidR="002D2BF3" w:rsidRPr="002D2BF3" w14:paraId="74A337E5" w14:textId="77777777" w:rsidTr="00E21FCF">
        <w:tc>
          <w:tcPr>
            <w:tcW w:w="1309" w:type="dxa"/>
            <w:vAlign w:val="center"/>
          </w:tcPr>
          <w:p w14:paraId="3C235861" w14:textId="77777777" w:rsidR="002D2BF3" w:rsidRPr="002D2BF3" w:rsidRDefault="002D2BF3" w:rsidP="00E21FCF">
            <w:pPr>
              <w:rPr>
                <w:rFonts w:ascii="Times New Roman" w:hAnsi="Times New Roman" w:cs="Times New Roman"/>
                <w:sz w:val="24"/>
                <w:szCs w:val="24"/>
              </w:rPr>
            </w:pPr>
          </w:p>
        </w:tc>
        <w:tc>
          <w:tcPr>
            <w:tcW w:w="2305" w:type="dxa"/>
            <w:vAlign w:val="center"/>
          </w:tcPr>
          <w:p w14:paraId="3302580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CD (5%)</w:t>
            </w:r>
          </w:p>
        </w:tc>
        <w:tc>
          <w:tcPr>
            <w:tcW w:w="1802" w:type="dxa"/>
          </w:tcPr>
          <w:p w14:paraId="7BF7053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w:t>
            </w:r>
          </w:p>
        </w:tc>
        <w:tc>
          <w:tcPr>
            <w:tcW w:w="1799" w:type="dxa"/>
            <w:vAlign w:val="center"/>
          </w:tcPr>
          <w:p w14:paraId="4E90DE0F"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0.13</w:t>
            </w:r>
          </w:p>
        </w:tc>
        <w:tc>
          <w:tcPr>
            <w:tcW w:w="1801" w:type="dxa"/>
            <w:vAlign w:val="center"/>
          </w:tcPr>
          <w:p w14:paraId="26A3CAAE" w14:textId="77777777" w:rsidR="002D2BF3" w:rsidRPr="002D2BF3" w:rsidRDefault="002D2BF3" w:rsidP="00E21FCF">
            <w:pPr>
              <w:jc w:val="center"/>
              <w:rPr>
                <w:rFonts w:ascii="Times New Roman" w:hAnsi="Times New Roman" w:cs="Times New Roman"/>
                <w:sz w:val="24"/>
                <w:szCs w:val="24"/>
              </w:rPr>
            </w:pPr>
          </w:p>
        </w:tc>
      </w:tr>
    </w:tbl>
    <w:p w14:paraId="34A43F5B" w14:textId="77777777" w:rsidR="002D2BF3" w:rsidRDefault="002D2BF3" w:rsidP="002D2BF3">
      <w:pPr>
        <w:spacing w:before="240" w:line="360" w:lineRule="auto"/>
        <w:ind w:firstLine="720"/>
        <w:jc w:val="both"/>
        <w:sectPr w:rsidR="002D2BF3" w:rsidSect="002D2BF3">
          <w:pgSz w:w="11906" w:h="16838"/>
          <w:pgMar w:top="1440" w:right="1440" w:bottom="1440" w:left="1440" w:header="708" w:footer="708" w:gutter="0"/>
          <w:cols w:space="708"/>
          <w:docGrid w:linePitch="360"/>
        </w:sectPr>
      </w:pPr>
    </w:p>
    <w:p w14:paraId="65501B3B" w14:textId="77777777" w:rsidR="003F4E4C" w:rsidRPr="00660309" w:rsidRDefault="003F4E4C" w:rsidP="003F4E4C">
      <w:pPr>
        <w:spacing w:before="240" w:line="360" w:lineRule="auto"/>
        <w:ind w:firstLine="720"/>
        <w:jc w:val="both"/>
      </w:pPr>
      <w:r>
        <w:rPr>
          <w:noProof/>
        </w:rPr>
        <w:lastRenderedPageBreak/>
        <w:drawing>
          <wp:anchor distT="0" distB="0" distL="114300" distR="114300" simplePos="0" relativeHeight="251694080" behindDoc="0" locked="0" layoutInCell="1" allowOverlap="1" wp14:anchorId="068300E9" wp14:editId="6AC69128">
            <wp:simplePos x="0" y="0"/>
            <wp:positionH relativeFrom="margin">
              <wp:align>right</wp:align>
            </wp:positionH>
            <wp:positionV relativeFrom="paragraph">
              <wp:posOffset>0</wp:posOffset>
            </wp:positionV>
            <wp:extent cx="5730240" cy="3017520"/>
            <wp:effectExtent l="0" t="0" r="3810" b="11430"/>
            <wp:wrapNone/>
            <wp:docPr id="6357694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t xml:space="preserve"> </w:t>
      </w:r>
    </w:p>
    <w:p w14:paraId="4D319F5E" w14:textId="77777777" w:rsidR="003F4E4C" w:rsidRDefault="003F4E4C" w:rsidP="003F4E4C">
      <w:pPr>
        <w:spacing w:before="240" w:line="360" w:lineRule="auto"/>
        <w:ind w:firstLine="720"/>
        <w:jc w:val="both"/>
      </w:pPr>
    </w:p>
    <w:p w14:paraId="03BBC4E6" w14:textId="77777777" w:rsidR="003F4E4C" w:rsidRDefault="003F4E4C" w:rsidP="003F4E4C">
      <w:pPr>
        <w:spacing w:before="240" w:line="360" w:lineRule="auto"/>
        <w:ind w:firstLine="720"/>
        <w:jc w:val="both"/>
      </w:pPr>
    </w:p>
    <w:p w14:paraId="557D66AC" w14:textId="77777777" w:rsidR="003F4E4C" w:rsidRDefault="003F4E4C" w:rsidP="003F4E4C">
      <w:pPr>
        <w:spacing w:before="240" w:line="360" w:lineRule="auto"/>
        <w:ind w:firstLine="720"/>
        <w:jc w:val="both"/>
      </w:pPr>
    </w:p>
    <w:p w14:paraId="46D8BA63" w14:textId="77777777" w:rsidR="003F4E4C" w:rsidRDefault="003F4E4C" w:rsidP="003F4E4C">
      <w:pPr>
        <w:spacing w:before="240" w:line="360" w:lineRule="auto"/>
        <w:ind w:firstLine="720"/>
        <w:jc w:val="both"/>
      </w:pPr>
    </w:p>
    <w:p w14:paraId="03734302" w14:textId="77777777" w:rsidR="003F4E4C" w:rsidRDefault="003F4E4C" w:rsidP="003F4E4C">
      <w:pPr>
        <w:spacing w:before="240" w:line="360" w:lineRule="auto"/>
        <w:ind w:firstLine="720"/>
        <w:jc w:val="both"/>
      </w:pPr>
    </w:p>
    <w:p w14:paraId="77DE4B6F" w14:textId="77777777" w:rsidR="003F4E4C" w:rsidRDefault="003F4E4C" w:rsidP="003F4E4C">
      <w:pPr>
        <w:spacing w:before="240" w:line="360" w:lineRule="auto"/>
        <w:ind w:firstLine="720"/>
        <w:jc w:val="both"/>
      </w:pPr>
    </w:p>
    <w:p w14:paraId="2600EBDE" w14:textId="77777777" w:rsidR="003F4E4C" w:rsidRDefault="003F4E4C" w:rsidP="003F4E4C">
      <w:pPr>
        <w:pStyle w:val="ListParagraph"/>
        <w:numPr>
          <w:ilvl w:val="0"/>
          <w:numId w:val="2"/>
        </w:numPr>
        <w:spacing w:before="240" w:line="360" w:lineRule="auto"/>
        <w:contextualSpacing/>
        <w:jc w:val="both"/>
      </w:pPr>
      <w:r>
        <w:t xml:space="preserve"> </w:t>
      </w:r>
    </w:p>
    <w:p w14:paraId="0C6577F2" w14:textId="77777777" w:rsidR="003F4E4C" w:rsidRDefault="003F4E4C" w:rsidP="003F4E4C">
      <w:pPr>
        <w:spacing w:before="240" w:line="360" w:lineRule="auto"/>
        <w:ind w:firstLine="720"/>
        <w:jc w:val="both"/>
      </w:pPr>
      <w:r>
        <w:rPr>
          <w:noProof/>
        </w:rPr>
        <w:drawing>
          <wp:anchor distT="0" distB="0" distL="114300" distR="114300" simplePos="0" relativeHeight="251695104" behindDoc="0" locked="0" layoutInCell="1" allowOverlap="1" wp14:anchorId="5EBB934E" wp14:editId="5D0F0734">
            <wp:simplePos x="0" y="0"/>
            <wp:positionH relativeFrom="margin">
              <wp:align>right</wp:align>
            </wp:positionH>
            <wp:positionV relativeFrom="paragraph">
              <wp:posOffset>160020</wp:posOffset>
            </wp:positionV>
            <wp:extent cx="5737860" cy="3253740"/>
            <wp:effectExtent l="0" t="0" r="15240" b="3810"/>
            <wp:wrapNone/>
            <wp:docPr id="8993474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2BB73FA7" w14:textId="77777777" w:rsidR="003F4E4C" w:rsidRDefault="003F4E4C" w:rsidP="003F4E4C">
      <w:pPr>
        <w:spacing w:before="240" w:line="360" w:lineRule="auto"/>
        <w:ind w:firstLine="720"/>
        <w:jc w:val="both"/>
      </w:pPr>
    </w:p>
    <w:p w14:paraId="3011C11C" w14:textId="77777777" w:rsidR="003F4E4C" w:rsidRDefault="003F4E4C" w:rsidP="003F4E4C">
      <w:pPr>
        <w:spacing w:before="240" w:line="360" w:lineRule="auto"/>
        <w:ind w:firstLine="720"/>
        <w:jc w:val="both"/>
      </w:pPr>
    </w:p>
    <w:p w14:paraId="342A280A" w14:textId="77777777" w:rsidR="003F4E4C" w:rsidRDefault="003F4E4C" w:rsidP="003F4E4C">
      <w:pPr>
        <w:spacing w:before="240" w:line="360" w:lineRule="auto"/>
        <w:ind w:firstLine="720"/>
        <w:jc w:val="both"/>
      </w:pPr>
    </w:p>
    <w:p w14:paraId="504ECB71" w14:textId="77777777" w:rsidR="003F4E4C" w:rsidRDefault="003F4E4C" w:rsidP="003F4E4C">
      <w:pPr>
        <w:spacing w:before="240" w:line="360" w:lineRule="auto"/>
        <w:ind w:firstLine="720"/>
        <w:jc w:val="both"/>
      </w:pPr>
    </w:p>
    <w:p w14:paraId="79DF96A6" w14:textId="77777777" w:rsidR="003F4E4C" w:rsidRDefault="003F4E4C" w:rsidP="003F4E4C">
      <w:pPr>
        <w:spacing w:before="240" w:line="360" w:lineRule="auto"/>
        <w:ind w:firstLine="720"/>
        <w:jc w:val="both"/>
      </w:pPr>
    </w:p>
    <w:p w14:paraId="11A34E07" w14:textId="77777777" w:rsidR="003F4E4C" w:rsidRDefault="003F4E4C" w:rsidP="003F4E4C">
      <w:pPr>
        <w:spacing w:before="240" w:line="360" w:lineRule="auto"/>
        <w:ind w:firstLine="720"/>
        <w:jc w:val="both"/>
      </w:pPr>
    </w:p>
    <w:p w14:paraId="40F50F6D" w14:textId="77777777" w:rsidR="003F4E4C" w:rsidRDefault="003F4E4C" w:rsidP="003F4E4C">
      <w:pPr>
        <w:spacing w:before="240" w:line="360" w:lineRule="auto"/>
        <w:ind w:firstLine="720"/>
        <w:jc w:val="both"/>
      </w:pPr>
    </w:p>
    <w:p w14:paraId="145D9ADF" w14:textId="77777777" w:rsidR="003F4E4C" w:rsidRDefault="003F4E4C" w:rsidP="003F4E4C">
      <w:pPr>
        <w:spacing w:before="240" w:line="360" w:lineRule="auto"/>
        <w:ind w:firstLine="720"/>
        <w:jc w:val="both"/>
      </w:pPr>
    </w:p>
    <w:p w14:paraId="660B216B" w14:textId="6294E5EC" w:rsidR="003F4E4C" w:rsidRDefault="003F4E4C" w:rsidP="003F4E4C">
      <w:pPr>
        <w:rPr>
          <w:b/>
          <w:bCs/>
          <w:sz w:val="25"/>
          <w:szCs w:val="25"/>
        </w:rPr>
        <w:sectPr w:rsidR="003F4E4C" w:rsidSect="003F4E4C">
          <w:pgSz w:w="11906" w:h="16838"/>
          <w:pgMar w:top="1440" w:right="1440" w:bottom="1440" w:left="1440" w:header="708" w:footer="708" w:gutter="0"/>
          <w:cols w:space="708"/>
          <w:docGrid w:linePitch="360"/>
        </w:sectPr>
      </w:pPr>
      <w:r>
        <w:rPr>
          <w:b/>
          <w:bCs/>
          <w:sz w:val="25"/>
          <w:szCs w:val="25"/>
        </w:rPr>
        <w:t xml:space="preserve">   Fig. 2: </w:t>
      </w:r>
      <w:r w:rsidR="004F1638">
        <w:rPr>
          <w:b/>
          <w:bCs/>
          <w:sz w:val="25"/>
          <w:szCs w:val="25"/>
        </w:rPr>
        <w:t xml:space="preserve">Graph showing </w:t>
      </w:r>
      <w:r>
        <w:rPr>
          <w:b/>
          <w:bCs/>
          <w:sz w:val="25"/>
          <w:szCs w:val="25"/>
        </w:rPr>
        <w:t xml:space="preserve">Effect of different fungicides on mycelial growth of </w:t>
      </w:r>
      <w:r>
        <w:rPr>
          <w:b/>
          <w:bCs/>
          <w:i/>
          <w:iCs/>
          <w:sz w:val="25"/>
          <w:szCs w:val="25"/>
        </w:rPr>
        <w:t>Alternaria brassicae</w:t>
      </w:r>
      <w:r>
        <w:rPr>
          <w:b/>
          <w:bCs/>
          <w:sz w:val="25"/>
          <w:szCs w:val="25"/>
        </w:rPr>
        <w:t xml:space="preserve"> under </w:t>
      </w:r>
      <w:r>
        <w:rPr>
          <w:b/>
          <w:bCs/>
          <w:i/>
          <w:iCs/>
          <w:sz w:val="25"/>
          <w:szCs w:val="25"/>
        </w:rPr>
        <w:t>in vitro</w:t>
      </w:r>
      <w:r>
        <w:rPr>
          <w:b/>
          <w:bCs/>
          <w:sz w:val="25"/>
          <w:szCs w:val="25"/>
        </w:rPr>
        <w:t xml:space="preserve"> conditions</w:t>
      </w:r>
    </w:p>
    <w:tbl>
      <w:tblPr>
        <w:tblStyle w:val="TableGrid"/>
        <w:tblpPr w:leftFromText="180" w:rightFromText="180" w:vertAnchor="page" w:horzAnchor="margin" w:tblpXSpec="right" w:tblpY="1429"/>
        <w:tblW w:w="6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268"/>
        <w:gridCol w:w="2126"/>
      </w:tblGrid>
      <w:tr w:rsidR="003F4E4C" w14:paraId="431D3124" w14:textId="77777777" w:rsidTr="00E21FCF">
        <w:trPr>
          <w:trHeight w:val="2117"/>
        </w:trPr>
        <w:tc>
          <w:tcPr>
            <w:tcW w:w="2126" w:type="dxa"/>
          </w:tcPr>
          <w:p w14:paraId="540DFFDA" w14:textId="77777777" w:rsidR="003F4E4C" w:rsidRDefault="003F4E4C" w:rsidP="00E21FCF">
            <w:r>
              <w:rPr>
                <w:noProof/>
              </w:rPr>
              <w:lastRenderedPageBreak/>
              <w:drawing>
                <wp:anchor distT="0" distB="0" distL="114300" distR="114300" simplePos="0" relativeHeight="251677696" behindDoc="0" locked="0" layoutInCell="1" allowOverlap="1" wp14:anchorId="24943700" wp14:editId="703F6C4B">
                  <wp:simplePos x="0" y="0"/>
                  <wp:positionH relativeFrom="column">
                    <wp:posOffset>-57150</wp:posOffset>
                  </wp:positionH>
                  <wp:positionV relativeFrom="page">
                    <wp:posOffset>-5080</wp:posOffset>
                  </wp:positionV>
                  <wp:extent cx="1402715" cy="1356360"/>
                  <wp:effectExtent l="0" t="0" r="6985" b="0"/>
                  <wp:wrapNone/>
                  <wp:docPr id="1754229567" name="Picture 6">
                    <a:extLst xmlns:a="http://schemas.openxmlformats.org/drawingml/2006/main">
                      <a:ext uri="{FF2B5EF4-FFF2-40B4-BE49-F238E27FC236}">
                        <a16:creationId xmlns:a16="http://schemas.microsoft.com/office/drawing/2014/main" id="{E4443053-5814-265F-E914-46247658B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4443053-5814-265F-E914-46247658B5D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2715" cy="1356360"/>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381D434F" w14:textId="77777777" w:rsidR="003F4E4C" w:rsidRDefault="003F4E4C" w:rsidP="00E21FCF">
            <w:r>
              <w:rPr>
                <w:noProof/>
              </w:rPr>
              <w:drawing>
                <wp:anchor distT="0" distB="0" distL="114300" distR="114300" simplePos="0" relativeHeight="251678720" behindDoc="0" locked="0" layoutInCell="1" allowOverlap="1" wp14:anchorId="019E3519" wp14:editId="4E8C1CF3">
                  <wp:simplePos x="0" y="0"/>
                  <wp:positionH relativeFrom="column">
                    <wp:posOffset>-43180</wp:posOffset>
                  </wp:positionH>
                  <wp:positionV relativeFrom="paragraph">
                    <wp:posOffset>1270</wp:posOffset>
                  </wp:positionV>
                  <wp:extent cx="1397243" cy="1356360"/>
                  <wp:effectExtent l="0" t="0" r="0" b="0"/>
                  <wp:wrapNone/>
                  <wp:docPr id="1550813989" name="Picture 5">
                    <a:extLst xmlns:a="http://schemas.openxmlformats.org/drawingml/2006/main">
                      <a:ext uri="{FF2B5EF4-FFF2-40B4-BE49-F238E27FC236}">
                        <a16:creationId xmlns:a16="http://schemas.microsoft.com/office/drawing/2014/main" id="{AFDB9E98-11B4-3D90-A81C-785EBE356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FDB9E98-11B4-3D90-A81C-785EBE356FC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7243" cy="135636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55AC03DE" w14:textId="77777777" w:rsidR="003F4E4C" w:rsidRDefault="003F4E4C" w:rsidP="00E21FCF">
            <w:r>
              <w:rPr>
                <w:noProof/>
              </w:rPr>
              <w:drawing>
                <wp:anchor distT="0" distB="0" distL="114300" distR="114300" simplePos="0" relativeHeight="251679744" behindDoc="0" locked="0" layoutInCell="1" allowOverlap="1" wp14:anchorId="7C551E28" wp14:editId="2CD6FBF1">
                  <wp:simplePos x="0" y="0"/>
                  <wp:positionH relativeFrom="column">
                    <wp:posOffset>-88901</wp:posOffset>
                  </wp:positionH>
                  <wp:positionV relativeFrom="paragraph">
                    <wp:posOffset>-6350</wp:posOffset>
                  </wp:positionV>
                  <wp:extent cx="1393735" cy="1363980"/>
                  <wp:effectExtent l="0" t="0" r="0" b="7620"/>
                  <wp:wrapNone/>
                  <wp:docPr id="995756025" name="Picture 8">
                    <a:extLst xmlns:a="http://schemas.openxmlformats.org/drawingml/2006/main">
                      <a:ext uri="{FF2B5EF4-FFF2-40B4-BE49-F238E27FC236}">
                        <a16:creationId xmlns:a16="http://schemas.microsoft.com/office/drawing/2014/main" id="{09F0E29E-A2EC-1545-E13B-9662D06C3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F0E29E-A2EC-1545-E13B-9662D06C33B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2579" cy="1372636"/>
                          </a:xfrm>
                          <a:prstGeom prst="rect">
                            <a:avLst/>
                          </a:prstGeom>
                        </pic:spPr>
                      </pic:pic>
                    </a:graphicData>
                  </a:graphic>
                  <wp14:sizeRelH relativeFrom="margin">
                    <wp14:pctWidth>0</wp14:pctWidth>
                  </wp14:sizeRelH>
                  <wp14:sizeRelV relativeFrom="margin">
                    <wp14:pctHeight>0</wp14:pctHeight>
                  </wp14:sizeRelV>
                </wp:anchor>
              </w:drawing>
            </w:r>
          </w:p>
        </w:tc>
      </w:tr>
      <w:tr w:rsidR="003F4E4C" w14:paraId="237EDCE6" w14:textId="77777777" w:rsidTr="00E21FCF">
        <w:trPr>
          <w:trHeight w:val="275"/>
        </w:trPr>
        <w:tc>
          <w:tcPr>
            <w:tcW w:w="2126" w:type="dxa"/>
          </w:tcPr>
          <w:p w14:paraId="51F31595" w14:textId="77777777" w:rsidR="003F4E4C" w:rsidRPr="003F4E4C" w:rsidRDefault="003F4E4C" w:rsidP="00E21FCF">
            <w:pPr>
              <w:jc w:val="center"/>
              <w:rPr>
                <w:rFonts w:ascii="Times New Roman" w:hAnsi="Times New Roman" w:cs="Times New Roman"/>
                <w:b/>
                <w:bCs/>
                <w:sz w:val="18"/>
                <w:szCs w:val="18"/>
              </w:rPr>
            </w:pPr>
            <w:r>
              <w:rPr>
                <w:rFonts w:ascii="Times New Roman" w:hAnsi="Times New Roman" w:cs="Times New Roman"/>
                <w:b/>
                <w:bCs/>
                <w:sz w:val="18"/>
                <w:szCs w:val="18"/>
              </w:rPr>
              <w:t>Carbendazim 12% + Mancozeb 63% WP -</w:t>
            </w:r>
            <w:r>
              <w:rPr>
                <w:rFonts w:ascii="Times New Roman" w:hAnsi="Times New Roman" w:cs="Times New Roman"/>
                <w:b/>
                <w:bCs/>
              </w:rPr>
              <w:t>(0.025%)</w:t>
            </w:r>
          </w:p>
        </w:tc>
        <w:tc>
          <w:tcPr>
            <w:tcW w:w="2268" w:type="dxa"/>
          </w:tcPr>
          <w:p w14:paraId="758FD75B" w14:textId="77777777" w:rsidR="003F4E4C" w:rsidRPr="003F4E4C" w:rsidRDefault="003F4E4C" w:rsidP="00E21FCF">
            <w:pPr>
              <w:jc w:val="center"/>
              <w:rPr>
                <w:rFonts w:ascii="Times New Roman" w:hAnsi="Times New Roman" w:cs="Times New Roman"/>
                <w:b/>
                <w:bCs/>
                <w:sz w:val="18"/>
                <w:szCs w:val="18"/>
              </w:rPr>
            </w:pPr>
            <w:r>
              <w:rPr>
                <w:rFonts w:ascii="Times New Roman" w:hAnsi="Times New Roman" w:cs="Times New Roman"/>
                <w:b/>
                <w:bCs/>
                <w:sz w:val="18"/>
                <w:szCs w:val="18"/>
              </w:rPr>
              <w:t>Carbendazim 12% + Mancozeb 63% WP -</w:t>
            </w:r>
          </w:p>
          <w:p w14:paraId="2A45C348" w14:textId="77777777" w:rsidR="003F4E4C" w:rsidRPr="003F4E4C" w:rsidRDefault="003F4E4C" w:rsidP="00E21FCF">
            <w:pPr>
              <w:jc w:val="center"/>
              <w:rPr>
                <w:rFonts w:ascii="Times New Roman" w:hAnsi="Times New Roman" w:cs="Times New Roman"/>
                <w:b/>
                <w:bCs/>
                <w:sz w:val="18"/>
                <w:szCs w:val="18"/>
              </w:rPr>
            </w:pPr>
            <w:r>
              <w:rPr>
                <w:rFonts w:ascii="Times New Roman" w:hAnsi="Times New Roman" w:cs="Times New Roman"/>
                <w:b/>
                <w:bCs/>
              </w:rPr>
              <w:t>(0.05%)</w:t>
            </w:r>
          </w:p>
        </w:tc>
        <w:tc>
          <w:tcPr>
            <w:tcW w:w="2126" w:type="dxa"/>
          </w:tcPr>
          <w:p w14:paraId="5161797F" w14:textId="77777777" w:rsidR="003F4E4C" w:rsidRPr="003F4E4C" w:rsidRDefault="003F4E4C" w:rsidP="00E21FCF">
            <w:pPr>
              <w:jc w:val="center"/>
              <w:rPr>
                <w:rFonts w:ascii="Times New Roman" w:hAnsi="Times New Roman" w:cs="Times New Roman"/>
                <w:b/>
                <w:bCs/>
                <w:sz w:val="18"/>
                <w:szCs w:val="18"/>
              </w:rPr>
            </w:pPr>
            <w:r>
              <w:rPr>
                <w:rFonts w:ascii="Times New Roman" w:hAnsi="Times New Roman" w:cs="Times New Roman"/>
                <w:b/>
                <w:bCs/>
                <w:sz w:val="18"/>
                <w:szCs w:val="18"/>
              </w:rPr>
              <w:t>Carbendazim 12% + Mancozeb 63% WP -</w:t>
            </w:r>
            <w:r>
              <w:rPr>
                <w:rFonts w:ascii="Times New Roman" w:hAnsi="Times New Roman" w:cs="Times New Roman"/>
                <w:b/>
                <w:bCs/>
              </w:rPr>
              <w:t>(0.1%)</w:t>
            </w:r>
          </w:p>
        </w:tc>
      </w:tr>
      <w:tr w:rsidR="003F4E4C" w14:paraId="7B42DCF2" w14:textId="77777777" w:rsidTr="00E21FCF">
        <w:trPr>
          <w:trHeight w:val="2107"/>
        </w:trPr>
        <w:tc>
          <w:tcPr>
            <w:tcW w:w="2126" w:type="dxa"/>
          </w:tcPr>
          <w:p w14:paraId="54ED1C46" w14:textId="77777777" w:rsidR="003F4E4C" w:rsidRPr="006965FF" w:rsidRDefault="003F4E4C" w:rsidP="00E21FCF">
            <w:pPr>
              <w:rPr>
                <w:b/>
                <w:bCs/>
              </w:rPr>
            </w:pPr>
            <w:r>
              <w:rPr>
                <w:b/>
                <w:bCs/>
                <w:noProof/>
              </w:rPr>
              <w:drawing>
                <wp:anchor distT="0" distB="0" distL="114300" distR="114300" simplePos="0" relativeHeight="251680768" behindDoc="0" locked="0" layoutInCell="1" allowOverlap="1" wp14:anchorId="19D0ACC1" wp14:editId="16F41504">
                  <wp:simplePos x="0" y="0"/>
                  <wp:positionH relativeFrom="column">
                    <wp:posOffset>-57150</wp:posOffset>
                  </wp:positionH>
                  <wp:positionV relativeFrom="paragraph">
                    <wp:posOffset>4445</wp:posOffset>
                  </wp:positionV>
                  <wp:extent cx="1386840" cy="1340485"/>
                  <wp:effectExtent l="0" t="0" r="3810" b="0"/>
                  <wp:wrapNone/>
                  <wp:docPr id="2030046835" name="Picture 29">
                    <a:extLst xmlns:a="http://schemas.openxmlformats.org/drawingml/2006/main">
                      <a:ext uri="{FF2B5EF4-FFF2-40B4-BE49-F238E27FC236}">
                        <a16:creationId xmlns:a16="http://schemas.microsoft.com/office/drawing/2014/main" id="{A5259CB5-AEBD-7BED-94B9-86EF711DA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A5259CB5-AEBD-7BED-94B9-86EF711DA3B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1127" cy="1344629"/>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27629687" w14:textId="77777777" w:rsidR="003F4E4C" w:rsidRPr="006965FF" w:rsidRDefault="003F4E4C" w:rsidP="00E21FCF">
            <w:pPr>
              <w:rPr>
                <w:b/>
                <w:bCs/>
              </w:rPr>
            </w:pPr>
            <w:r>
              <w:rPr>
                <w:b/>
                <w:bCs/>
                <w:noProof/>
              </w:rPr>
              <w:drawing>
                <wp:anchor distT="0" distB="0" distL="114300" distR="114300" simplePos="0" relativeHeight="251682816" behindDoc="0" locked="0" layoutInCell="1" allowOverlap="1" wp14:anchorId="4F645961" wp14:editId="208B316E">
                  <wp:simplePos x="0" y="0"/>
                  <wp:positionH relativeFrom="column">
                    <wp:posOffset>1320800</wp:posOffset>
                  </wp:positionH>
                  <wp:positionV relativeFrom="paragraph">
                    <wp:posOffset>12065</wp:posOffset>
                  </wp:positionV>
                  <wp:extent cx="1386840" cy="1337310"/>
                  <wp:effectExtent l="0" t="0" r="3810" b="0"/>
                  <wp:wrapNone/>
                  <wp:docPr id="1150635980" name="Picture 20">
                    <a:extLst xmlns:a="http://schemas.openxmlformats.org/drawingml/2006/main">
                      <a:ext uri="{FF2B5EF4-FFF2-40B4-BE49-F238E27FC236}">
                        <a16:creationId xmlns:a16="http://schemas.microsoft.com/office/drawing/2014/main" id="{57FEC7D7-1265-1518-A531-0C554D072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57FEC7D7-1265-1518-A531-0C554D072F35}"/>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6840" cy="13373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1792" behindDoc="0" locked="0" layoutInCell="1" allowOverlap="1" wp14:anchorId="587B5A31" wp14:editId="76F4987F">
                  <wp:simplePos x="0" y="0"/>
                  <wp:positionH relativeFrom="column">
                    <wp:posOffset>-27940</wp:posOffset>
                  </wp:positionH>
                  <wp:positionV relativeFrom="paragraph">
                    <wp:posOffset>12065</wp:posOffset>
                  </wp:positionV>
                  <wp:extent cx="1348740" cy="1334135"/>
                  <wp:effectExtent l="0" t="0" r="3810" b="0"/>
                  <wp:wrapNone/>
                  <wp:docPr id="1254698341" name="Picture 9">
                    <a:extLst xmlns:a="http://schemas.openxmlformats.org/drawingml/2006/main">
                      <a:ext uri="{FF2B5EF4-FFF2-40B4-BE49-F238E27FC236}">
                        <a16:creationId xmlns:a16="http://schemas.microsoft.com/office/drawing/2014/main" id="{241A2D5D-B222-497A-E2EE-AF5D0BEAB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41A2D5D-B222-497A-E2EE-AF5D0BEAB06F}"/>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8740" cy="133413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C357E81" w14:textId="77777777" w:rsidR="003F4E4C" w:rsidRPr="006965FF" w:rsidRDefault="003F4E4C" w:rsidP="00E21FCF">
            <w:pPr>
              <w:rPr>
                <w:b/>
                <w:bCs/>
              </w:rPr>
            </w:pPr>
          </w:p>
        </w:tc>
      </w:tr>
      <w:tr w:rsidR="003F4E4C" w14:paraId="3C0E3B92" w14:textId="77777777" w:rsidTr="00E21FCF">
        <w:trPr>
          <w:trHeight w:val="73"/>
        </w:trPr>
        <w:tc>
          <w:tcPr>
            <w:tcW w:w="2126" w:type="dxa"/>
          </w:tcPr>
          <w:p w14:paraId="4F23380F" w14:textId="77777777" w:rsidR="003F4E4C" w:rsidRPr="003F4E4C" w:rsidRDefault="003F4E4C" w:rsidP="00E21FCF">
            <w:pPr>
              <w:jc w:val="center"/>
              <w:rPr>
                <w:rFonts w:ascii="Times New Roman" w:hAnsi="Times New Roman" w:cs="Times New Roman"/>
                <w:b/>
                <w:bCs/>
                <w:sz w:val="20"/>
                <w:szCs w:val="20"/>
              </w:rPr>
            </w:pPr>
            <w:r>
              <w:rPr>
                <w:rFonts w:ascii="Times New Roman" w:hAnsi="Times New Roman" w:cs="Times New Roman"/>
                <w:b/>
                <w:bCs/>
                <w:sz w:val="20"/>
                <w:szCs w:val="20"/>
              </w:rPr>
              <w:t xml:space="preserve">Difenoconazole 25% EC - </w:t>
            </w:r>
            <w:r>
              <w:rPr>
                <w:rFonts w:ascii="Times New Roman" w:hAnsi="Times New Roman" w:cs="Times New Roman"/>
                <w:b/>
                <w:bCs/>
              </w:rPr>
              <w:t>(0.025%)</w:t>
            </w:r>
          </w:p>
        </w:tc>
        <w:tc>
          <w:tcPr>
            <w:tcW w:w="2268" w:type="dxa"/>
          </w:tcPr>
          <w:p w14:paraId="152A72F1" w14:textId="77777777" w:rsidR="003F4E4C" w:rsidRPr="003F4E4C" w:rsidRDefault="003F4E4C" w:rsidP="00E21FCF">
            <w:pPr>
              <w:jc w:val="center"/>
              <w:rPr>
                <w:rFonts w:ascii="Times New Roman" w:hAnsi="Times New Roman" w:cs="Times New Roman"/>
                <w:b/>
                <w:bCs/>
                <w:sz w:val="20"/>
                <w:szCs w:val="20"/>
              </w:rPr>
            </w:pPr>
            <w:r>
              <w:rPr>
                <w:b/>
                <w:bCs/>
                <w:noProof/>
              </w:rPr>
              <w:drawing>
                <wp:anchor distT="0" distB="0" distL="114300" distR="114300" simplePos="0" relativeHeight="251689984" behindDoc="0" locked="0" layoutInCell="1" allowOverlap="1" wp14:anchorId="25512B1C" wp14:editId="052BA8BA">
                  <wp:simplePos x="0" y="0"/>
                  <wp:positionH relativeFrom="column">
                    <wp:posOffset>-35560</wp:posOffset>
                  </wp:positionH>
                  <wp:positionV relativeFrom="paragraph">
                    <wp:posOffset>322580</wp:posOffset>
                  </wp:positionV>
                  <wp:extent cx="1333500" cy="1294130"/>
                  <wp:effectExtent l="0" t="0" r="0" b="1270"/>
                  <wp:wrapNone/>
                  <wp:docPr id="330951092" name="Picture 19">
                    <a:extLst xmlns:a="http://schemas.openxmlformats.org/drawingml/2006/main">
                      <a:ext uri="{FF2B5EF4-FFF2-40B4-BE49-F238E27FC236}">
                        <a16:creationId xmlns:a16="http://schemas.microsoft.com/office/drawing/2014/main" id="{855E60A7-7303-0FBC-7274-83393F541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55E60A7-7303-0FBC-7274-83393F541AF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3500" cy="12941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0"/>
                <w:szCs w:val="20"/>
              </w:rPr>
              <w:t xml:space="preserve">Difenoconazole 25% EC - </w:t>
            </w:r>
            <w:r>
              <w:rPr>
                <w:rFonts w:ascii="Times New Roman" w:hAnsi="Times New Roman" w:cs="Times New Roman"/>
                <w:b/>
                <w:bCs/>
              </w:rPr>
              <w:t>(0.05%)</w:t>
            </w:r>
          </w:p>
        </w:tc>
        <w:tc>
          <w:tcPr>
            <w:tcW w:w="2126" w:type="dxa"/>
          </w:tcPr>
          <w:p w14:paraId="188832B6" w14:textId="77777777" w:rsidR="003F4E4C" w:rsidRPr="003F4E4C" w:rsidRDefault="003F4E4C" w:rsidP="00E21FCF">
            <w:pPr>
              <w:rPr>
                <w:rFonts w:ascii="Times New Roman" w:hAnsi="Times New Roman" w:cs="Times New Roman"/>
                <w:b/>
                <w:bCs/>
                <w:sz w:val="20"/>
                <w:szCs w:val="20"/>
              </w:rPr>
            </w:pPr>
            <w:r>
              <w:rPr>
                <w:rFonts w:ascii="Times New Roman" w:hAnsi="Times New Roman" w:cs="Times New Roman"/>
                <w:b/>
                <w:bCs/>
                <w:sz w:val="20"/>
                <w:szCs w:val="20"/>
              </w:rPr>
              <w:t xml:space="preserve">Difenoconazole 25% EC - </w:t>
            </w:r>
            <w:r>
              <w:rPr>
                <w:rFonts w:ascii="Times New Roman" w:hAnsi="Times New Roman" w:cs="Times New Roman"/>
                <w:b/>
                <w:bCs/>
              </w:rPr>
              <w:t>(0.1%)</w:t>
            </w:r>
          </w:p>
        </w:tc>
      </w:tr>
      <w:tr w:rsidR="003F4E4C" w14:paraId="203EBBDF" w14:textId="77777777" w:rsidTr="00E21FCF">
        <w:trPr>
          <w:trHeight w:val="2038"/>
        </w:trPr>
        <w:tc>
          <w:tcPr>
            <w:tcW w:w="2126" w:type="dxa"/>
          </w:tcPr>
          <w:p w14:paraId="09102683" w14:textId="77777777" w:rsidR="003F4E4C" w:rsidRPr="006965FF" w:rsidRDefault="003F4E4C" w:rsidP="00E21FCF">
            <w:pPr>
              <w:rPr>
                <w:b/>
                <w:bCs/>
              </w:rPr>
            </w:pPr>
            <w:r>
              <w:rPr>
                <w:b/>
                <w:bCs/>
                <w:noProof/>
              </w:rPr>
              <w:drawing>
                <wp:anchor distT="0" distB="0" distL="114300" distR="114300" simplePos="0" relativeHeight="251691008" behindDoc="0" locked="0" layoutInCell="1" allowOverlap="1" wp14:anchorId="41B7DADB" wp14:editId="6CD6BD5E">
                  <wp:simplePos x="0" y="0"/>
                  <wp:positionH relativeFrom="column">
                    <wp:posOffset>-57785</wp:posOffset>
                  </wp:positionH>
                  <wp:positionV relativeFrom="paragraph">
                    <wp:posOffset>2540</wp:posOffset>
                  </wp:positionV>
                  <wp:extent cx="1371600" cy="1299845"/>
                  <wp:effectExtent l="0" t="0" r="0" b="0"/>
                  <wp:wrapNone/>
                  <wp:docPr id="533045203" name="Picture 27">
                    <a:extLst xmlns:a="http://schemas.openxmlformats.org/drawingml/2006/main">
                      <a:ext uri="{FF2B5EF4-FFF2-40B4-BE49-F238E27FC236}">
                        <a16:creationId xmlns:a16="http://schemas.microsoft.com/office/drawing/2014/main" id="{D3367949-BA50-1F48-45B8-6CE193709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3367949-BA50-1F48-45B8-6CE193709AE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5914" cy="1303933"/>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4BA2143B" w14:textId="77777777" w:rsidR="003F4E4C" w:rsidRPr="006965FF" w:rsidRDefault="003F4E4C" w:rsidP="00E21FCF">
            <w:pPr>
              <w:rPr>
                <w:b/>
                <w:bCs/>
              </w:rPr>
            </w:pPr>
            <w:r>
              <w:rPr>
                <w:b/>
                <w:bCs/>
                <w:noProof/>
              </w:rPr>
              <w:drawing>
                <wp:anchor distT="0" distB="0" distL="114300" distR="114300" simplePos="0" relativeHeight="251685888" behindDoc="0" locked="0" layoutInCell="1" allowOverlap="1" wp14:anchorId="3BF17448" wp14:editId="1F8C84FE">
                  <wp:simplePos x="0" y="0"/>
                  <wp:positionH relativeFrom="column">
                    <wp:posOffset>1297940</wp:posOffset>
                  </wp:positionH>
                  <wp:positionV relativeFrom="paragraph">
                    <wp:posOffset>8890</wp:posOffset>
                  </wp:positionV>
                  <wp:extent cx="1386840" cy="1287780"/>
                  <wp:effectExtent l="0" t="0" r="3810" b="7620"/>
                  <wp:wrapNone/>
                  <wp:docPr id="1770540788" name="Picture 14">
                    <a:extLst xmlns:a="http://schemas.openxmlformats.org/drawingml/2006/main">
                      <a:ext uri="{FF2B5EF4-FFF2-40B4-BE49-F238E27FC236}">
                        <a16:creationId xmlns:a16="http://schemas.microsoft.com/office/drawing/2014/main" id="{A15D4FC0-DA9B-AD09-7F14-14EDFE869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15D4FC0-DA9B-AD09-7F14-14EDFE869C04}"/>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6840" cy="128778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23EEEE75" w14:textId="77777777" w:rsidR="003F4E4C" w:rsidRPr="006965FF" w:rsidRDefault="003F4E4C" w:rsidP="00E21FCF">
            <w:pPr>
              <w:rPr>
                <w:b/>
                <w:bCs/>
              </w:rPr>
            </w:pPr>
          </w:p>
        </w:tc>
      </w:tr>
      <w:tr w:rsidR="003F4E4C" w14:paraId="4A6F8E07" w14:textId="77777777" w:rsidTr="00E21FCF">
        <w:trPr>
          <w:trHeight w:val="124"/>
        </w:trPr>
        <w:tc>
          <w:tcPr>
            <w:tcW w:w="2126" w:type="dxa"/>
          </w:tcPr>
          <w:p w14:paraId="21BA2AC9" w14:textId="77777777" w:rsidR="003F4E4C" w:rsidRPr="003F4E4C" w:rsidRDefault="003F4E4C" w:rsidP="00E21FCF">
            <w:pPr>
              <w:rPr>
                <w:rFonts w:ascii="Times New Roman" w:hAnsi="Times New Roman" w:cs="Times New Roman"/>
                <w:b/>
                <w:bCs/>
                <w:sz w:val="20"/>
                <w:szCs w:val="20"/>
              </w:rPr>
            </w:pPr>
            <w:r>
              <w:rPr>
                <w:rFonts w:ascii="Times New Roman" w:hAnsi="Times New Roman" w:cs="Times New Roman"/>
                <w:b/>
                <w:bCs/>
                <w:sz w:val="20"/>
                <w:szCs w:val="20"/>
              </w:rPr>
              <w:t xml:space="preserve">Fluxapyroxad 33.3%   </w:t>
            </w:r>
          </w:p>
          <w:p w14:paraId="7E083383" w14:textId="77777777" w:rsidR="003F4E4C" w:rsidRPr="003F4E4C" w:rsidRDefault="003F4E4C" w:rsidP="00E21FCF">
            <w:pPr>
              <w:rPr>
                <w:rFonts w:ascii="Times New Roman" w:hAnsi="Times New Roman" w:cs="Times New Roman"/>
                <w:b/>
                <w:bCs/>
                <w:sz w:val="20"/>
                <w:szCs w:val="20"/>
              </w:rPr>
            </w:pPr>
            <w:r>
              <w:rPr>
                <w:rFonts w:ascii="Times New Roman" w:hAnsi="Times New Roman" w:cs="Times New Roman"/>
                <w:b/>
                <w:bCs/>
                <w:sz w:val="20"/>
                <w:szCs w:val="20"/>
              </w:rPr>
              <w:t xml:space="preserve">     G/L - </w:t>
            </w:r>
            <w:r>
              <w:rPr>
                <w:rFonts w:ascii="Times New Roman" w:hAnsi="Times New Roman" w:cs="Times New Roman"/>
                <w:b/>
                <w:bCs/>
              </w:rPr>
              <w:t>(0.025</w:t>
            </w:r>
            <w:proofErr w:type="gramStart"/>
            <w:r>
              <w:rPr>
                <w:rFonts w:ascii="Times New Roman" w:hAnsi="Times New Roman" w:cs="Times New Roman"/>
                <w:b/>
                <w:bCs/>
              </w:rPr>
              <w:t>%)</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268" w:type="dxa"/>
          </w:tcPr>
          <w:p w14:paraId="1BAD2845" w14:textId="77777777" w:rsidR="003F4E4C" w:rsidRPr="003F4E4C" w:rsidRDefault="003F4E4C" w:rsidP="00E21FCF">
            <w:pPr>
              <w:jc w:val="center"/>
              <w:rPr>
                <w:rFonts w:ascii="Times New Roman" w:hAnsi="Times New Roman" w:cs="Times New Roman"/>
                <w:b/>
                <w:bCs/>
                <w:sz w:val="20"/>
                <w:szCs w:val="20"/>
              </w:rPr>
            </w:pPr>
            <w:r>
              <w:rPr>
                <w:rFonts w:ascii="Times New Roman" w:hAnsi="Times New Roman" w:cs="Times New Roman"/>
                <w:b/>
                <w:bCs/>
                <w:sz w:val="20"/>
                <w:szCs w:val="20"/>
              </w:rPr>
              <w:t xml:space="preserve">Fluxapyroxad 33.3% G/L - </w:t>
            </w:r>
            <w:r>
              <w:rPr>
                <w:rFonts w:ascii="Times New Roman" w:hAnsi="Times New Roman" w:cs="Times New Roman"/>
                <w:b/>
                <w:bCs/>
              </w:rPr>
              <w:t>(0.05%)</w:t>
            </w:r>
          </w:p>
        </w:tc>
        <w:tc>
          <w:tcPr>
            <w:tcW w:w="2126" w:type="dxa"/>
          </w:tcPr>
          <w:p w14:paraId="5CEEA652" w14:textId="77777777" w:rsidR="003F4E4C" w:rsidRPr="003F4E4C" w:rsidRDefault="003F4E4C" w:rsidP="00E21FCF">
            <w:pPr>
              <w:jc w:val="center"/>
              <w:rPr>
                <w:rFonts w:ascii="Times New Roman" w:hAnsi="Times New Roman" w:cs="Times New Roman"/>
                <w:b/>
                <w:bCs/>
                <w:sz w:val="20"/>
                <w:szCs w:val="20"/>
              </w:rPr>
            </w:pPr>
            <w:r>
              <w:rPr>
                <w:rFonts w:ascii="Times New Roman" w:hAnsi="Times New Roman" w:cs="Times New Roman"/>
                <w:b/>
                <w:bCs/>
                <w:sz w:val="20"/>
                <w:szCs w:val="20"/>
              </w:rPr>
              <w:t xml:space="preserve">Fluxapyroxad 33.3% G/L - </w:t>
            </w:r>
            <w:r>
              <w:rPr>
                <w:rFonts w:ascii="Times New Roman" w:hAnsi="Times New Roman" w:cs="Times New Roman"/>
                <w:b/>
                <w:bCs/>
              </w:rPr>
              <w:t>(0.1%)</w:t>
            </w:r>
          </w:p>
        </w:tc>
      </w:tr>
      <w:tr w:rsidR="003F4E4C" w14:paraId="5E1AE876" w14:textId="77777777" w:rsidTr="00E21FCF">
        <w:trPr>
          <w:trHeight w:val="2032"/>
        </w:trPr>
        <w:tc>
          <w:tcPr>
            <w:tcW w:w="2126" w:type="dxa"/>
          </w:tcPr>
          <w:p w14:paraId="34A86E26" w14:textId="77777777" w:rsidR="003F4E4C" w:rsidRPr="006965FF" w:rsidRDefault="003F4E4C" w:rsidP="00E21FCF">
            <w:pPr>
              <w:rPr>
                <w:b/>
                <w:bCs/>
              </w:rPr>
            </w:pPr>
            <w:r>
              <w:rPr>
                <w:b/>
                <w:bCs/>
                <w:noProof/>
              </w:rPr>
              <w:drawing>
                <wp:anchor distT="0" distB="0" distL="114300" distR="114300" simplePos="0" relativeHeight="251692032" behindDoc="0" locked="0" layoutInCell="1" allowOverlap="1" wp14:anchorId="52B224A3" wp14:editId="48DF008D">
                  <wp:simplePos x="0" y="0"/>
                  <wp:positionH relativeFrom="column">
                    <wp:posOffset>-50165</wp:posOffset>
                  </wp:positionH>
                  <wp:positionV relativeFrom="paragraph">
                    <wp:posOffset>17780</wp:posOffset>
                  </wp:positionV>
                  <wp:extent cx="1379220" cy="1280795"/>
                  <wp:effectExtent l="0" t="0" r="0" b="0"/>
                  <wp:wrapNone/>
                  <wp:docPr id="697627884" name="Picture 36">
                    <a:extLst xmlns:a="http://schemas.openxmlformats.org/drawingml/2006/main">
                      <a:ext uri="{FF2B5EF4-FFF2-40B4-BE49-F238E27FC236}">
                        <a16:creationId xmlns:a16="http://schemas.microsoft.com/office/drawing/2014/main" id="{F9F1161D-38DF-68B7-9DB5-D4CFC8052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F9F1161D-38DF-68B7-9DB5-D4CFC8052D97}"/>
                              </a:ext>
                            </a:extLst>
                          </pic:cNvPr>
                          <pic:cNvPicPr>
                            <a:picLocks noChangeAspect="1"/>
                          </pic:cNvPicPr>
                        </pic:nvPicPr>
                        <pic:blipFill>
                          <a:blip r:embed="rId34" cstate="print">
                            <a:extLst>
                              <a:ext uri="{28A0092B-C50C-407E-A947-70E740481C1C}">
                                <a14:useLocalDpi xmlns:a14="http://schemas.microsoft.com/office/drawing/2010/main" val="0"/>
                              </a:ext>
                            </a:extLst>
                          </a:blip>
                          <a:srcRect l="5623" t="5451" r="3788" b="2178"/>
                          <a:stretch>
                            <a:fillRect/>
                          </a:stretch>
                        </pic:blipFill>
                        <pic:spPr>
                          <a:xfrm>
                            <a:off x="0" y="0"/>
                            <a:ext cx="1391173" cy="1291895"/>
                          </a:xfrm>
                          <a:prstGeom prst="rect">
                            <a:avLst/>
                          </a:prstGeom>
                        </pic:spPr>
                      </pic:pic>
                    </a:graphicData>
                  </a:graphic>
                  <wp14:sizeRelH relativeFrom="margin">
                    <wp14:pctWidth>0</wp14:pctWidth>
                  </wp14:sizeRelH>
                  <wp14:sizeRelV relativeFrom="margin">
                    <wp14:pctHeight>0</wp14:pctHeight>
                  </wp14:sizeRelV>
                </wp:anchor>
              </w:drawing>
            </w:r>
          </w:p>
          <w:p w14:paraId="3C9665D9" w14:textId="77777777" w:rsidR="003F4E4C" w:rsidRPr="006965FF" w:rsidRDefault="003F4E4C" w:rsidP="00E21FCF">
            <w:pPr>
              <w:rPr>
                <w:b/>
                <w:bCs/>
              </w:rPr>
            </w:pPr>
          </w:p>
        </w:tc>
        <w:tc>
          <w:tcPr>
            <w:tcW w:w="2268" w:type="dxa"/>
          </w:tcPr>
          <w:p w14:paraId="70CDF897" w14:textId="77777777" w:rsidR="003F4E4C" w:rsidRPr="006965FF" w:rsidRDefault="003F4E4C" w:rsidP="00E21FCF">
            <w:pPr>
              <w:rPr>
                <w:b/>
                <w:bCs/>
              </w:rPr>
            </w:pPr>
            <w:r>
              <w:rPr>
                <w:b/>
                <w:bCs/>
                <w:noProof/>
              </w:rPr>
              <w:drawing>
                <wp:anchor distT="0" distB="0" distL="114300" distR="114300" simplePos="0" relativeHeight="251683840" behindDoc="0" locked="0" layoutInCell="1" allowOverlap="1" wp14:anchorId="50C96069" wp14:editId="181219F0">
                  <wp:simplePos x="0" y="0"/>
                  <wp:positionH relativeFrom="column">
                    <wp:posOffset>-20955</wp:posOffset>
                  </wp:positionH>
                  <wp:positionV relativeFrom="paragraph">
                    <wp:posOffset>10160</wp:posOffset>
                  </wp:positionV>
                  <wp:extent cx="1371600" cy="1286510"/>
                  <wp:effectExtent l="0" t="0" r="0" b="8890"/>
                  <wp:wrapNone/>
                  <wp:docPr id="279823995" name="Picture 15">
                    <a:extLst xmlns:a="http://schemas.openxmlformats.org/drawingml/2006/main">
                      <a:ext uri="{FF2B5EF4-FFF2-40B4-BE49-F238E27FC236}">
                        <a16:creationId xmlns:a16="http://schemas.microsoft.com/office/drawing/2014/main" id="{052337B0-DD81-B838-AA37-3C1AB2C8E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52337B0-DD81-B838-AA37-3C1AB2C8EF5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1600" cy="12865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4864" behindDoc="0" locked="0" layoutInCell="1" allowOverlap="1" wp14:anchorId="6C4D5A9D" wp14:editId="4B4458DE">
                  <wp:simplePos x="0" y="0"/>
                  <wp:positionH relativeFrom="column">
                    <wp:posOffset>1328420</wp:posOffset>
                  </wp:positionH>
                  <wp:positionV relativeFrom="paragraph">
                    <wp:posOffset>11430</wp:posOffset>
                  </wp:positionV>
                  <wp:extent cx="1365885" cy="1287145"/>
                  <wp:effectExtent l="0" t="0" r="5715" b="8255"/>
                  <wp:wrapNone/>
                  <wp:docPr id="803330891" name="Picture 16">
                    <a:extLst xmlns:a="http://schemas.openxmlformats.org/drawingml/2006/main">
                      <a:ext uri="{FF2B5EF4-FFF2-40B4-BE49-F238E27FC236}">
                        <a16:creationId xmlns:a16="http://schemas.microsoft.com/office/drawing/2014/main" id="{6B95C5A3-CDA2-8BD5-2256-044ED1C67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B95C5A3-CDA2-8BD5-2256-044ED1C67055}"/>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5885" cy="1287145"/>
                          </a:xfrm>
                          <a:prstGeom prst="rect">
                            <a:avLst/>
                          </a:prstGeom>
                        </pic:spPr>
                      </pic:pic>
                    </a:graphicData>
                  </a:graphic>
                  <wp14:sizeRelH relativeFrom="margin">
                    <wp14:pctWidth>0</wp14:pctWidth>
                  </wp14:sizeRelH>
                  <wp14:sizeRelV relativeFrom="margin">
                    <wp14:pctHeight>0</wp14:pctHeight>
                  </wp14:sizeRelV>
                </wp:anchor>
              </w:drawing>
            </w:r>
          </w:p>
          <w:p w14:paraId="28C6B2FE" w14:textId="77777777" w:rsidR="003F4E4C" w:rsidRPr="006965FF" w:rsidRDefault="003F4E4C" w:rsidP="00E21FCF">
            <w:pPr>
              <w:rPr>
                <w:b/>
                <w:bCs/>
              </w:rPr>
            </w:pPr>
          </w:p>
          <w:p w14:paraId="69CD70BE" w14:textId="77777777" w:rsidR="003F4E4C" w:rsidRPr="006965FF" w:rsidRDefault="003F4E4C" w:rsidP="00E21FCF">
            <w:pPr>
              <w:rPr>
                <w:b/>
                <w:bCs/>
              </w:rPr>
            </w:pPr>
          </w:p>
          <w:p w14:paraId="096B2B41" w14:textId="77777777" w:rsidR="003F4E4C" w:rsidRPr="006965FF" w:rsidRDefault="003F4E4C" w:rsidP="00E21FCF">
            <w:pPr>
              <w:rPr>
                <w:b/>
                <w:bCs/>
              </w:rPr>
            </w:pPr>
          </w:p>
        </w:tc>
        <w:tc>
          <w:tcPr>
            <w:tcW w:w="2126" w:type="dxa"/>
          </w:tcPr>
          <w:p w14:paraId="6F67043F" w14:textId="77777777" w:rsidR="003F4E4C" w:rsidRPr="006965FF" w:rsidRDefault="003F4E4C" w:rsidP="00E21FCF">
            <w:pPr>
              <w:rPr>
                <w:b/>
                <w:bCs/>
              </w:rPr>
            </w:pPr>
          </w:p>
        </w:tc>
      </w:tr>
      <w:tr w:rsidR="003F4E4C" w14:paraId="031AB217" w14:textId="77777777" w:rsidTr="00E21FCF">
        <w:trPr>
          <w:trHeight w:val="186"/>
        </w:trPr>
        <w:tc>
          <w:tcPr>
            <w:tcW w:w="2126" w:type="dxa"/>
          </w:tcPr>
          <w:p w14:paraId="4954CF35" w14:textId="77777777" w:rsidR="003F4E4C" w:rsidRPr="003F4E4C" w:rsidRDefault="003F4E4C" w:rsidP="00E21FCF">
            <w:pPr>
              <w:jc w:val="center"/>
              <w:rPr>
                <w:rFonts w:ascii="Times New Roman" w:hAnsi="Times New Roman" w:cs="Times New Roman"/>
                <w:b/>
                <w:bCs/>
                <w:sz w:val="20"/>
                <w:szCs w:val="20"/>
              </w:rPr>
            </w:pPr>
            <w:r>
              <w:rPr>
                <w:b/>
                <w:bCs/>
                <w:noProof/>
              </w:rPr>
              <w:drawing>
                <wp:anchor distT="0" distB="0" distL="114300" distR="114300" simplePos="0" relativeHeight="251687936" behindDoc="0" locked="0" layoutInCell="1" allowOverlap="1" wp14:anchorId="2B81C2B4" wp14:editId="42517D65">
                  <wp:simplePos x="0" y="0"/>
                  <wp:positionH relativeFrom="column">
                    <wp:posOffset>1268095</wp:posOffset>
                  </wp:positionH>
                  <wp:positionV relativeFrom="paragraph">
                    <wp:posOffset>297180</wp:posOffset>
                  </wp:positionV>
                  <wp:extent cx="1363980" cy="1346200"/>
                  <wp:effectExtent l="0" t="0" r="7620" b="6350"/>
                  <wp:wrapNone/>
                  <wp:docPr id="1197456347" name="Picture 10">
                    <a:extLst xmlns:a="http://schemas.openxmlformats.org/drawingml/2006/main">
                      <a:ext uri="{FF2B5EF4-FFF2-40B4-BE49-F238E27FC236}">
                        <a16:creationId xmlns:a16="http://schemas.microsoft.com/office/drawing/2014/main" id="{FD665451-80CF-87CC-D6B3-654CE8589F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D665451-80CF-87CC-D6B3-654CE8589FF6}"/>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63980" cy="13462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b/>
                <w:bCs/>
                <w:sz w:val="20"/>
                <w:szCs w:val="20"/>
              </w:rPr>
              <w:t>Penflufen</w:t>
            </w:r>
            <w:proofErr w:type="spellEnd"/>
            <w:r>
              <w:rPr>
                <w:rFonts w:ascii="Times New Roman" w:hAnsi="Times New Roman" w:cs="Times New Roman"/>
                <w:b/>
                <w:bCs/>
                <w:sz w:val="20"/>
                <w:szCs w:val="20"/>
              </w:rPr>
              <w:t xml:space="preserve"> 240 FS - (0.025</w:t>
            </w:r>
            <w:proofErr w:type="gramStart"/>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268" w:type="dxa"/>
          </w:tcPr>
          <w:p w14:paraId="559E0403" w14:textId="77777777" w:rsidR="003F4E4C" w:rsidRPr="003F4E4C" w:rsidRDefault="003F4E4C" w:rsidP="00E21FCF">
            <w:pPr>
              <w:rPr>
                <w:rFonts w:ascii="Times New Roman" w:hAnsi="Times New Roman" w:cs="Times New Roman"/>
                <w:b/>
                <w:bCs/>
                <w:sz w:val="20"/>
                <w:szCs w:val="20"/>
              </w:rPr>
            </w:pPr>
            <w:proofErr w:type="spellStart"/>
            <w:r>
              <w:rPr>
                <w:rFonts w:ascii="Times New Roman" w:hAnsi="Times New Roman" w:cs="Times New Roman"/>
                <w:b/>
                <w:bCs/>
                <w:sz w:val="20"/>
                <w:szCs w:val="20"/>
              </w:rPr>
              <w:t>Penflufen</w:t>
            </w:r>
            <w:proofErr w:type="spellEnd"/>
            <w:r>
              <w:rPr>
                <w:rFonts w:ascii="Times New Roman" w:hAnsi="Times New Roman" w:cs="Times New Roman"/>
                <w:b/>
                <w:bCs/>
                <w:sz w:val="20"/>
                <w:szCs w:val="20"/>
              </w:rPr>
              <w:t xml:space="preserve"> 240 FS -  </w:t>
            </w:r>
          </w:p>
          <w:p w14:paraId="2A0CC62D" w14:textId="77777777" w:rsidR="003F4E4C" w:rsidRPr="003F4E4C" w:rsidRDefault="003F4E4C" w:rsidP="00E21FCF">
            <w:pPr>
              <w:rPr>
                <w:rFonts w:ascii="Times New Roman" w:hAnsi="Times New Roman" w:cs="Times New Roman"/>
                <w:b/>
                <w:bCs/>
                <w:sz w:val="20"/>
                <w:szCs w:val="20"/>
              </w:rPr>
            </w:pPr>
            <w:r>
              <w:rPr>
                <w:rFonts w:ascii="Times New Roman" w:hAnsi="Times New Roman" w:cs="Times New Roman"/>
                <w:b/>
                <w:bCs/>
                <w:sz w:val="20"/>
                <w:szCs w:val="20"/>
              </w:rPr>
              <w:t xml:space="preserve">         (0.05</w:t>
            </w:r>
            <w:proofErr w:type="gramStart"/>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126" w:type="dxa"/>
          </w:tcPr>
          <w:p w14:paraId="471B7314" w14:textId="77777777" w:rsidR="003F4E4C" w:rsidRPr="003F4E4C" w:rsidRDefault="003F4E4C" w:rsidP="00E21FCF">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Penflufen</w:t>
            </w:r>
            <w:proofErr w:type="spellEnd"/>
            <w:r>
              <w:rPr>
                <w:rFonts w:ascii="Times New Roman" w:hAnsi="Times New Roman" w:cs="Times New Roman"/>
                <w:b/>
                <w:bCs/>
                <w:sz w:val="20"/>
                <w:szCs w:val="20"/>
              </w:rPr>
              <w:t xml:space="preserve"> 240 FS -(0.1</w:t>
            </w:r>
            <w:proofErr w:type="gramStart"/>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r>
      <w:tr w:rsidR="003F4E4C" w14:paraId="163FB7FC" w14:textId="77777777" w:rsidTr="00E21FCF">
        <w:trPr>
          <w:trHeight w:val="2114"/>
        </w:trPr>
        <w:tc>
          <w:tcPr>
            <w:tcW w:w="2126" w:type="dxa"/>
          </w:tcPr>
          <w:p w14:paraId="322EDE72" w14:textId="77777777" w:rsidR="003F4E4C" w:rsidRPr="006965FF" w:rsidRDefault="003F4E4C" w:rsidP="00E21FCF">
            <w:pPr>
              <w:rPr>
                <w:b/>
                <w:bCs/>
              </w:rPr>
            </w:pPr>
            <w:r>
              <w:rPr>
                <w:b/>
                <w:bCs/>
                <w:noProof/>
              </w:rPr>
              <w:drawing>
                <wp:anchor distT="0" distB="0" distL="114300" distR="114300" simplePos="0" relativeHeight="251686912" behindDoc="0" locked="0" layoutInCell="1" allowOverlap="1" wp14:anchorId="149EA63F" wp14:editId="61DBA4E3">
                  <wp:simplePos x="0" y="0"/>
                  <wp:positionH relativeFrom="column">
                    <wp:posOffset>-88266</wp:posOffset>
                  </wp:positionH>
                  <wp:positionV relativeFrom="paragraph">
                    <wp:posOffset>5080</wp:posOffset>
                  </wp:positionV>
                  <wp:extent cx="1355753" cy="1334770"/>
                  <wp:effectExtent l="0" t="0" r="0" b="0"/>
                  <wp:wrapNone/>
                  <wp:docPr id="1658872194" name="Picture 21">
                    <a:extLst xmlns:a="http://schemas.openxmlformats.org/drawingml/2006/main">
                      <a:ext uri="{FF2B5EF4-FFF2-40B4-BE49-F238E27FC236}">
                        <a16:creationId xmlns:a16="http://schemas.microsoft.com/office/drawing/2014/main" id="{EA63B5D5-7B19-79BD-00FD-68DF6CDA1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EA63B5D5-7B19-79BD-00FD-68DF6CDA1296}"/>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358085" cy="1337066"/>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4B1876D6" w14:textId="77777777" w:rsidR="003F4E4C" w:rsidRPr="006965FF" w:rsidRDefault="003F4E4C" w:rsidP="00E21FCF">
            <w:pPr>
              <w:rPr>
                <w:b/>
                <w:bCs/>
              </w:rPr>
            </w:pPr>
            <w:r>
              <w:rPr>
                <w:b/>
                <w:bCs/>
                <w:noProof/>
              </w:rPr>
              <w:drawing>
                <wp:anchor distT="0" distB="0" distL="114300" distR="114300" simplePos="0" relativeHeight="251688960" behindDoc="0" locked="0" layoutInCell="1" allowOverlap="1" wp14:anchorId="690ECF43" wp14:editId="6FD88E65">
                  <wp:simplePos x="0" y="0"/>
                  <wp:positionH relativeFrom="column">
                    <wp:posOffset>1282700</wp:posOffset>
                  </wp:positionH>
                  <wp:positionV relativeFrom="paragraph">
                    <wp:posOffset>6985</wp:posOffset>
                  </wp:positionV>
                  <wp:extent cx="1408430" cy="1338580"/>
                  <wp:effectExtent l="0" t="0" r="1270" b="0"/>
                  <wp:wrapNone/>
                  <wp:docPr id="1879341250" name="Picture 18">
                    <a:extLst xmlns:a="http://schemas.openxmlformats.org/drawingml/2006/main">
                      <a:ext uri="{FF2B5EF4-FFF2-40B4-BE49-F238E27FC236}">
                        <a16:creationId xmlns:a16="http://schemas.microsoft.com/office/drawing/2014/main" id="{00165CBF-592F-6383-7ACB-06375B2B8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165CBF-592F-6383-7ACB-06375B2B8A5A}"/>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8430" cy="1338580"/>
                          </a:xfrm>
                          <a:prstGeom prst="rect">
                            <a:avLst/>
                          </a:prstGeom>
                        </pic:spPr>
                      </pic:pic>
                    </a:graphicData>
                  </a:graphic>
                  <wp14:sizeRelH relativeFrom="margin">
                    <wp14:pctWidth>0</wp14:pctWidth>
                  </wp14:sizeRelH>
                  <wp14:sizeRelV relativeFrom="margin">
                    <wp14:pctHeight>0</wp14:pctHeight>
                  </wp14:sizeRelV>
                </wp:anchor>
              </w:drawing>
            </w:r>
          </w:p>
          <w:p w14:paraId="0493BBCC" w14:textId="77777777" w:rsidR="003F4E4C" w:rsidRPr="006965FF" w:rsidRDefault="003F4E4C" w:rsidP="00E21FCF">
            <w:pPr>
              <w:rPr>
                <w:b/>
                <w:bCs/>
              </w:rPr>
            </w:pPr>
          </w:p>
        </w:tc>
        <w:tc>
          <w:tcPr>
            <w:tcW w:w="2126" w:type="dxa"/>
          </w:tcPr>
          <w:p w14:paraId="32984299" w14:textId="77777777" w:rsidR="003F4E4C" w:rsidRPr="006965FF" w:rsidRDefault="003F4E4C" w:rsidP="00E21FCF">
            <w:pPr>
              <w:rPr>
                <w:b/>
                <w:bCs/>
              </w:rPr>
            </w:pPr>
          </w:p>
        </w:tc>
      </w:tr>
      <w:tr w:rsidR="003F4E4C" w14:paraId="3189AB61" w14:textId="77777777" w:rsidTr="00E21FCF">
        <w:trPr>
          <w:trHeight w:val="113"/>
        </w:trPr>
        <w:tc>
          <w:tcPr>
            <w:tcW w:w="2126" w:type="dxa"/>
          </w:tcPr>
          <w:p w14:paraId="2581EE34" w14:textId="77777777" w:rsidR="003F4E4C" w:rsidRPr="003F4E4C" w:rsidRDefault="003F4E4C" w:rsidP="00E21FCF">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Trifloxystrobin</w:t>
            </w:r>
            <w:proofErr w:type="spellEnd"/>
            <w:r>
              <w:rPr>
                <w:rFonts w:ascii="Times New Roman" w:hAnsi="Times New Roman" w:cs="Times New Roman"/>
                <w:b/>
                <w:bCs/>
                <w:sz w:val="20"/>
                <w:szCs w:val="20"/>
              </w:rPr>
              <w:t xml:space="preserve"> 50% WDG - </w:t>
            </w:r>
            <w:r>
              <w:rPr>
                <w:rFonts w:ascii="Times New Roman" w:hAnsi="Times New Roman" w:cs="Times New Roman"/>
                <w:b/>
                <w:bCs/>
              </w:rPr>
              <w:t>(0.025</w:t>
            </w:r>
            <w:proofErr w:type="gramStart"/>
            <w:r>
              <w:rPr>
                <w:rFonts w:ascii="Times New Roman" w:hAnsi="Times New Roman" w:cs="Times New Roman"/>
                <w:b/>
                <w:bCs/>
              </w:rPr>
              <w:t>%)</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268" w:type="dxa"/>
          </w:tcPr>
          <w:p w14:paraId="049C0873" w14:textId="77777777" w:rsidR="003F4E4C" w:rsidRPr="003F4E4C" w:rsidRDefault="003F4E4C" w:rsidP="00E21FCF">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Trifloxystrobin</w:t>
            </w:r>
            <w:proofErr w:type="spellEnd"/>
            <w:r>
              <w:rPr>
                <w:rFonts w:ascii="Times New Roman" w:hAnsi="Times New Roman" w:cs="Times New Roman"/>
                <w:b/>
                <w:bCs/>
                <w:sz w:val="20"/>
                <w:szCs w:val="20"/>
              </w:rPr>
              <w:t xml:space="preserve"> 50% WDG - </w:t>
            </w:r>
            <w:r>
              <w:rPr>
                <w:rFonts w:ascii="Times New Roman" w:hAnsi="Times New Roman" w:cs="Times New Roman"/>
                <w:b/>
                <w:bCs/>
              </w:rPr>
              <w:t>(0.05</w:t>
            </w:r>
            <w:proofErr w:type="gramStart"/>
            <w:r>
              <w:rPr>
                <w:rFonts w:ascii="Times New Roman" w:hAnsi="Times New Roman" w:cs="Times New Roman"/>
                <w:b/>
                <w:bCs/>
              </w:rPr>
              <w:t>%)</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126" w:type="dxa"/>
          </w:tcPr>
          <w:p w14:paraId="70FCE929" w14:textId="77777777" w:rsidR="003F4E4C" w:rsidRPr="003F4E4C" w:rsidRDefault="003F4E4C" w:rsidP="00E21FCF">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Trifloxystrobin</w:t>
            </w:r>
            <w:proofErr w:type="spellEnd"/>
            <w:r>
              <w:rPr>
                <w:rFonts w:ascii="Times New Roman" w:hAnsi="Times New Roman" w:cs="Times New Roman"/>
                <w:b/>
                <w:bCs/>
                <w:sz w:val="20"/>
                <w:szCs w:val="20"/>
              </w:rPr>
              <w:t xml:space="preserve"> 50% WDG </w:t>
            </w:r>
            <w:r>
              <w:rPr>
                <w:rFonts w:ascii="Times New Roman" w:hAnsi="Times New Roman" w:cs="Times New Roman"/>
                <w:b/>
                <w:bCs/>
              </w:rPr>
              <w:t>- (0.1</w:t>
            </w:r>
            <w:proofErr w:type="gramStart"/>
            <w:r>
              <w:rPr>
                <w:rFonts w:ascii="Times New Roman" w:hAnsi="Times New Roman" w:cs="Times New Roman"/>
                <w:b/>
                <w:bCs/>
              </w:rPr>
              <w:t>%)</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r>
    </w:tbl>
    <w:p w14:paraId="098067DB" w14:textId="77777777" w:rsidR="003F4E4C" w:rsidRDefault="003F4E4C" w:rsidP="003F4E4C">
      <w:pPr>
        <w:spacing w:before="240" w:line="360" w:lineRule="auto"/>
        <w:ind w:firstLine="720"/>
        <w:jc w:val="both"/>
      </w:pPr>
      <w:r>
        <w:rPr>
          <w:noProof/>
        </w:rPr>
        <w:drawing>
          <wp:anchor distT="0" distB="0" distL="114300" distR="114300" simplePos="0" relativeHeight="251693056" behindDoc="0" locked="0" layoutInCell="1" allowOverlap="1" wp14:anchorId="37F76B9F" wp14:editId="5C9F8C5C">
            <wp:simplePos x="0" y="0"/>
            <wp:positionH relativeFrom="column">
              <wp:posOffset>198120</wp:posOffset>
            </wp:positionH>
            <wp:positionV relativeFrom="paragraph">
              <wp:posOffset>3443605</wp:posOffset>
            </wp:positionV>
            <wp:extent cx="1287780" cy="1299193"/>
            <wp:effectExtent l="0" t="0" r="7620" b="0"/>
            <wp:wrapNone/>
            <wp:docPr id="1625145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4520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7780" cy="1299193"/>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E1CF834" w14:textId="77777777" w:rsidR="003F4E4C" w:rsidRDefault="003F4E4C" w:rsidP="003F4E4C">
      <w:pPr>
        <w:spacing w:before="240" w:line="360" w:lineRule="auto"/>
        <w:ind w:firstLine="720"/>
        <w:jc w:val="both"/>
      </w:pPr>
    </w:p>
    <w:p w14:paraId="586AACD8" w14:textId="77777777" w:rsidR="003F4E4C" w:rsidRDefault="003F4E4C" w:rsidP="003F4E4C">
      <w:pPr>
        <w:spacing w:before="240" w:line="360" w:lineRule="auto"/>
        <w:ind w:firstLine="720"/>
        <w:jc w:val="both"/>
      </w:pPr>
    </w:p>
    <w:p w14:paraId="0F75BF07" w14:textId="77777777" w:rsidR="003F4E4C" w:rsidRDefault="003F4E4C" w:rsidP="003F4E4C">
      <w:pPr>
        <w:spacing w:before="240" w:line="360" w:lineRule="auto"/>
        <w:ind w:firstLine="720"/>
        <w:jc w:val="both"/>
      </w:pPr>
    </w:p>
    <w:p w14:paraId="332E19E1" w14:textId="77777777" w:rsidR="003F4E4C" w:rsidRDefault="003F4E4C" w:rsidP="003F4E4C">
      <w:pPr>
        <w:spacing w:before="240" w:line="360" w:lineRule="auto"/>
        <w:ind w:firstLine="720"/>
        <w:jc w:val="both"/>
      </w:pPr>
    </w:p>
    <w:p w14:paraId="0AA39845" w14:textId="77777777" w:rsidR="003F4E4C" w:rsidRDefault="003F4E4C" w:rsidP="003F4E4C">
      <w:pPr>
        <w:spacing w:before="240" w:line="360" w:lineRule="auto"/>
        <w:ind w:firstLine="720"/>
        <w:jc w:val="both"/>
      </w:pPr>
    </w:p>
    <w:p w14:paraId="41154624" w14:textId="77777777" w:rsidR="003F4E4C" w:rsidRDefault="003F4E4C" w:rsidP="003F4E4C">
      <w:pPr>
        <w:spacing w:before="240" w:line="360" w:lineRule="auto"/>
        <w:ind w:firstLine="720"/>
        <w:jc w:val="both"/>
      </w:pPr>
    </w:p>
    <w:p w14:paraId="683099F5" w14:textId="77777777" w:rsidR="003F4E4C" w:rsidRPr="00660309" w:rsidRDefault="003F4E4C" w:rsidP="003F4E4C">
      <w:pPr>
        <w:spacing w:before="240" w:line="360" w:lineRule="auto"/>
        <w:ind w:firstLine="720"/>
        <w:jc w:val="both"/>
        <w:rPr>
          <w:sz w:val="12"/>
          <w:szCs w:val="12"/>
        </w:rPr>
      </w:pPr>
    </w:p>
    <w:p w14:paraId="2B8F45C4" w14:textId="77777777" w:rsidR="003F4E4C" w:rsidRDefault="003F4E4C" w:rsidP="003F4E4C">
      <w:pPr>
        <w:spacing w:before="240" w:line="360" w:lineRule="auto"/>
        <w:ind w:firstLine="720"/>
        <w:jc w:val="both"/>
      </w:pPr>
    </w:p>
    <w:p w14:paraId="32742A0D" w14:textId="77777777" w:rsidR="003F4E4C" w:rsidRDefault="003F4E4C" w:rsidP="003F4E4C">
      <w:pPr>
        <w:spacing w:before="240" w:line="360" w:lineRule="auto"/>
        <w:ind w:firstLine="720"/>
        <w:jc w:val="both"/>
      </w:pPr>
    </w:p>
    <w:p w14:paraId="2D7DF0E4" w14:textId="77777777" w:rsidR="003F4E4C" w:rsidRDefault="003F4E4C" w:rsidP="003F4E4C">
      <w:pPr>
        <w:spacing w:before="240" w:line="360" w:lineRule="auto"/>
        <w:ind w:firstLine="720"/>
        <w:jc w:val="both"/>
      </w:pPr>
    </w:p>
    <w:p w14:paraId="538F2F32" w14:textId="77777777" w:rsidR="003F4E4C" w:rsidRDefault="003F4E4C" w:rsidP="003F4E4C">
      <w:pPr>
        <w:spacing w:before="240" w:line="360" w:lineRule="auto"/>
        <w:ind w:firstLine="720"/>
        <w:jc w:val="both"/>
      </w:pPr>
    </w:p>
    <w:tbl>
      <w:tblPr>
        <w:tblStyle w:val="TableGrid"/>
        <w:tblpPr w:leftFromText="180" w:rightFromText="180" w:vertAnchor="text" w:horzAnchor="margin" w:tblpX="279" w:tblpY="148"/>
        <w:tblW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tblGrid>
      <w:tr w:rsidR="003F4E4C" w14:paraId="5BA7F41E" w14:textId="77777777" w:rsidTr="00E21FCF">
        <w:tc>
          <w:tcPr>
            <w:tcW w:w="1980" w:type="dxa"/>
          </w:tcPr>
          <w:p w14:paraId="37127F3C" w14:textId="77777777" w:rsidR="003F4E4C" w:rsidRPr="003F4E4C" w:rsidRDefault="003F4E4C" w:rsidP="00E21FCF">
            <w:pPr>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Control</w:t>
            </w:r>
          </w:p>
        </w:tc>
      </w:tr>
    </w:tbl>
    <w:p w14:paraId="554CFC23" w14:textId="77777777" w:rsidR="003F4E4C" w:rsidRDefault="003F4E4C" w:rsidP="003F4E4C">
      <w:pPr>
        <w:spacing w:before="240" w:line="360" w:lineRule="auto"/>
        <w:ind w:firstLine="720"/>
        <w:jc w:val="both"/>
        <w:rPr>
          <w:b/>
          <w:bCs/>
          <w:sz w:val="26"/>
          <w:szCs w:val="26"/>
        </w:rPr>
      </w:pPr>
    </w:p>
    <w:p w14:paraId="0571B15F" w14:textId="77777777" w:rsidR="003F4E4C" w:rsidRDefault="003F4E4C" w:rsidP="003F4E4C">
      <w:pPr>
        <w:spacing w:before="240" w:line="360" w:lineRule="auto"/>
        <w:ind w:firstLine="720"/>
        <w:jc w:val="both"/>
        <w:rPr>
          <w:b/>
          <w:bCs/>
          <w:sz w:val="26"/>
          <w:szCs w:val="26"/>
        </w:rPr>
      </w:pPr>
    </w:p>
    <w:p w14:paraId="75AE3724" w14:textId="77777777" w:rsidR="003F4E4C" w:rsidRDefault="003F4E4C" w:rsidP="003F4E4C">
      <w:pPr>
        <w:spacing w:before="240" w:line="360" w:lineRule="auto"/>
        <w:ind w:firstLine="720"/>
        <w:jc w:val="both"/>
        <w:rPr>
          <w:b/>
          <w:bCs/>
          <w:sz w:val="26"/>
          <w:szCs w:val="26"/>
        </w:rPr>
      </w:pPr>
    </w:p>
    <w:p w14:paraId="378651AC" w14:textId="77777777" w:rsidR="003F4E4C" w:rsidRDefault="003F4E4C" w:rsidP="003F4E4C">
      <w:pPr>
        <w:spacing w:before="240" w:line="360" w:lineRule="auto"/>
        <w:ind w:firstLine="720"/>
        <w:jc w:val="both"/>
        <w:rPr>
          <w:b/>
          <w:bCs/>
          <w:sz w:val="26"/>
          <w:szCs w:val="26"/>
        </w:rPr>
      </w:pPr>
    </w:p>
    <w:p w14:paraId="36F7F50C" w14:textId="77777777" w:rsidR="003F4E4C" w:rsidRDefault="003F4E4C" w:rsidP="003F4E4C">
      <w:pPr>
        <w:spacing w:before="240" w:line="360" w:lineRule="auto"/>
        <w:ind w:firstLine="720"/>
        <w:jc w:val="both"/>
        <w:rPr>
          <w:b/>
          <w:bCs/>
          <w:sz w:val="26"/>
          <w:szCs w:val="26"/>
        </w:rPr>
      </w:pPr>
    </w:p>
    <w:p w14:paraId="6180A4B9" w14:textId="77777777" w:rsidR="003F4E4C" w:rsidRDefault="003F4E4C" w:rsidP="003F4E4C">
      <w:pPr>
        <w:spacing w:before="240" w:line="360" w:lineRule="auto"/>
        <w:ind w:firstLine="720"/>
        <w:jc w:val="both"/>
        <w:rPr>
          <w:b/>
          <w:bCs/>
          <w:sz w:val="26"/>
          <w:szCs w:val="26"/>
        </w:rPr>
      </w:pPr>
    </w:p>
    <w:p w14:paraId="1F3C4578" w14:textId="77777777" w:rsidR="003F4E4C" w:rsidRDefault="003F4E4C" w:rsidP="003F4E4C">
      <w:pPr>
        <w:spacing w:before="240" w:after="240" w:line="324" w:lineRule="auto"/>
        <w:jc w:val="both"/>
        <w:rPr>
          <w:b/>
          <w:bCs/>
          <w:sz w:val="26"/>
          <w:szCs w:val="26"/>
        </w:rPr>
      </w:pPr>
    </w:p>
    <w:p w14:paraId="6641D486" w14:textId="7C934D3F" w:rsidR="003F4E4C" w:rsidRPr="00D23BE7" w:rsidRDefault="003F4E4C" w:rsidP="003F4E4C">
      <w:pPr>
        <w:spacing w:before="240" w:after="240" w:line="324" w:lineRule="auto"/>
        <w:jc w:val="both"/>
        <w:rPr>
          <w:b/>
          <w:bCs/>
          <w:sz w:val="26"/>
          <w:szCs w:val="26"/>
        </w:rPr>
      </w:pPr>
      <w:r>
        <w:rPr>
          <w:b/>
          <w:bCs/>
          <w:sz w:val="26"/>
          <w:szCs w:val="26"/>
        </w:rPr>
        <w:t xml:space="preserve">                               </w:t>
      </w:r>
      <w:r>
        <w:rPr>
          <w:b/>
          <w:bCs/>
          <w:sz w:val="25"/>
          <w:szCs w:val="25"/>
        </w:rPr>
        <w:t xml:space="preserve">Plate 2: Effect of different fungicides on mycelial growth of </w:t>
      </w:r>
      <w:r>
        <w:rPr>
          <w:b/>
          <w:bCs/>
          <w:i/>
          <w:iCs/>
          <w:sz w:val="25"/>
          <w:szCs w:val="25"/>
        </w:rPr>
        <w:t>Alternaria brassicae</w:t>
      </w:r>
      <w:r>
        <w:rPr>
          <w:b/>
          <w:bCs/>
          <w:sz w:val="25"/>
          <w:szCs w:val="25"/>
        </w:rPr>
        <w:t xml:space="preserve"> under </w:t>
      </w:r>
      <w:r>
        <w:rPr>
          <w:b/>
          <w:bCs/>
          <w:i/>
          <w:iCs/>
          <w:sz w:val="25"/>
          <w:szCs w:val="25"/>
        </w:rPr>
        <w:t>in vitro</w:t>
      </w:r>
      <w:r>
        <w:rPr>
          <w:b/>
          <w:bCs/>
          <w:sz w:val="25"/>
          <w:szCs w:val="25"/>
        </w:rPr>
        <w:t xml:space="preserve"> conditions</w:t>
      </w:r>
    </w:p>
    <w:p w14:paraId="5DEC2183" w14:textId="77777777" w:rsidR="00BA7814" w:rsidRDefault="00000000" w:rsidP="002A6CF3">
      <w:pPr>
        <w:pStyle w:val="Heading1"/>
        <w:spacing w:line="360" w:lineRule="auto"/>
        <w:jc w:val="both"/>
      </w:pPr>
      <w:r>
        <w:lastRenderedPageBreak/>
        <w:t>4. Discussion</w:t>
      </w:r>
    </w:p>
    <w:p w14:paraId="46CE7C06" w14:textId="05D4AC90" w:rsidR="00BA7814" w:rsidRDefault="003F4E4C" w:rsidP="002A6CF3">
      <w:pPr>
        <w:spacing w:after="240" w:line="360" w:lineRule="auto"/>
        <w:jc w:val="both"/>
      </w:pPr>
      <w:r>
        <w:t xml:space="preserve">The superior antifungal efficacy of garlic and turmeric extracts can be attributed to their rich content of bioactive compounds with proven antimicrobial properties. Garlic's primary bioactive compound, allicin (diallyl </w:t>
      </w:r>
      <w:proofErr w:type="spellStart"/>
      <w:r>
        <w:t>thiosulphinate</w:t>
      </w:r>
      <w:proofErr w:type="spellEnd"/>
      <w:r>
        <w:t>), inhibits fungal growth by covalently binding to thiol-containing enzymes, including acetyl-CoA synthetase, alcohol dehydrogenase, and thioredoxin reductase, thereby disrupting essential metabolic pathways in the pathogen, including carbon metabolism, redox balance, and ergosterol biosynthesis.</w:t>
      </w:r>
    </w:p>
    <w:p w14:paraId="7A78DF6C" w14:textId="19E12141" w:rsidR="00BA7814" w:rsidRDefault="003F4E4C" w:rsidP="002A6CF3">
      <w:pPr>
        <w:spacing w:after="240" w:line="360" w:lineRule="auto"/>
        <w:jc w:val="both"/>
      </w:pPr>
      <w:r>
        <w:t>Curcumin, the active principle in turmeric, exerts antifungal activity through multiple mechanisms, including disruption of fungal membrane integrity by inserting into lipid bilayers, increasing membrane permeability, and chelating divalent metal ions essential for enzyme cofactor function. The concentration-dependent efficacy observed across all botanical extracts indicates threshold-responsive inhibition, likely reflecting the minimum effective concentrations required for bioactive compounds to exert significant antifungal effects (</w:t>
      </w:r>
      <w:proofErr w:type="spellStart"/>
      <w:r w:rsidR="004F6752">
        <w:t>Guleriaet</w:t>
      </w:r>
      <w:proofErr w:type="spellEnd"/>
      <w:r w:rsidR="004F6752">
        <w:t xml:space="preserve"> </w:t>
      </w:r>
      <w:r w:rsidR="004F6752" w:rsidRPr="00B61106">
        <w:rPr>
          <w:i/>
          <w:iCs/>
        </w:rPr>
        <w:t>al.,</w:t>
      </w:r>
      <w:r w:rsidR="00B61106">
        <w:t xml:space="preserve"> </w:t>
      </w:r>
      <w:r w:rsidR="004F6752">
        <w:t>2021</w:t>
      </w:r>
      <w:r>
        <w:t xml:space="preserve">; </w:t>
      </w:r>
      <w:proofErr w:type="spellStart"/>
      <w:r>
        <w:t>Behiry</w:t>
      </w:r>
      <w:proofErr w:type="spellEnd"/>
      <w:r>
        <w:t xml:space="preserve"> </w:t>
      </w:r>
      <w:r w:rsidRPr="00B61106">
        <w:rPr>
          <w:i/>
          <w:iCs/>
        </w:rPr>
        <w:t>et al.,</w:t>
      </w:r>
      <w:r>
        <w:t xml:space="preserve"> 2022). Recent studies have also shown that plant extracts containing alkaloids, phenolics, and terpenoids cause significant morphological disruption in Alternaria species, leading to hyphal lysis and cell death at effective concentrations (Shaikh </w:t>
      </w:r>
      <w:r w:rsidRPr="00B61106">
        <w:rPr>
          <w:i/>
          <w:iCs/>
        </w:rPr>
        <w:t xml:space="preserve">et al., </w:t>
      </w:r>
      <w:r>
        <w:t>2024).</w:t>
      </w:r>
    </w:p>
    <w:p w14:paraId="0A202BFF" w14:textId="690DF219" w:rsidR="00BA7814" w:rsidRDefault="003F4E4C" w:rsidP="002A6CF3">
      <w:pPr>
        <w:spacing w:after="240" w:line="360" w:lineRule="auto"/>
        <w:jc w:val="both"/>
      </w:pPr>
      <w:r>
        <w:t>The exceptional performance of the Carbendazim + Mancozeb combination reflects its dual mode of action, targeting multiple cellular processes simultaneously. Carbendazim disrupts microtubule assembly by binding to β-tubulin, thereby preventing nuclear division during mitosis, while Mancozeb inactivates multiple sulfhydryl-containing enzymes essential for cellular respiration and metabolism. This complementary mechanism reduces the likelihood of resistance development and provides robust pathogen control (</w:t>
      </w:r>
      <w:proofErr w:type="spellStart"/>
      <w:r w:rsidR="004F6752">
        <w:t>Ishieze</w:t>
      </w:r>
      <w:proofErr w:type="spellEnd"/>
      <w:r>
        <w:t xml:space="preserve"> </w:t>
      </w:r>
      <w:r w:rsidRPr="00B61106">
        <w:rPr>
          <w:i/>
          <w:iCs/>
        </w:rPr>
        <w:t>et al.,</w:t>
      </w:r>
      <w:r>
        <w:t xml:space="preserve"> 202</w:t>
      </w:r>
      <w:r w:rsidR="004F6752">
        <w:t>3</w:t>
      </w:r>
      <w:r>
        <w:t xml:space="preserve">; Shaikh </w:t>
      </w:r>
      <w:r w:rsidRPr="00B61106">
        <w:rPr>
          <w:i/>
          <w:iCs/>
        </w:rPr>
        <w:t>et al.,</w:t>
      </w:r>
      <w:r>
        <w:t xml:space="preserve"> 2024). These findings are consistent with recent reports of superior efficacy of combination fungicides over single-mode-of-action products against Alternaria species (Shaikh </w:t>
      </w:r>
      <w:r w:rsidRPr="00B61106">
        <w:rPr>
          <w:i/>
          <w:iCs/>
        </w:rPr>
        <w:t>et al.,</w:t>
      </w:r>
      <w:r>
        <w:t xml:space="preserve"> 2024).</w:t>
      </w:r>
    </w:p>
    <w:p w14:paraId="0F448F8F" w14:textId="4BF38C81" w:rsidR="00BA7814" w:rsidRDefault="003F4E4C" w:rsidP="002A6CF3">
      <w:pPr>
        <w:spacing w:after="480" w:line="360" w:lineRule="auto"/>
        <w:jc w:val="both"/>
      </w:pPr>
      <w:r>
        <w:t xml:space="preserve">The incomplete inhibition observed with </w:t>
      </w:r>
      <w:proofErr w:type="spellStart"/>
      <w:r>
        <w:t>Penflufen</w:t>
      </w:r>
      <w:proofErr w:type="spellEnd"/>
      <w:r>
        <w:t xml:space="preserve">, despite high concentrations, suggests potential intrinsic resistance or reduced sensitivity of the tested </w:t>
      </w:r>
      <w:r>
        <w:rPr>
          <w:i/>
          <w:iCs/>
        </w:rPr>
        <w:t>A. brassicae</w:t>
      </w:r>
      <w:r>
        <w:t xml:space="preserve"> population to succinate dehydrogenase inhibitor (SDHI) chemistry. This finding underscores the importance of baseline sensitivity monitoring and resistance management strategies in fungicide stewardship programs. Integrating botanical extracts with reduced fungicide applications offers </w:t>
      </w:r>
      <w:r>
        <w:lastRenderedPageBreak/>
        <w:t>a promising approach to sustainable disease management while minimising selection pressure for resistance development.</w:t>
      </w:r>
    </w:p>
    <w:p w14:paraId="16CDA9D9" w14:textId="201083E6" w:rsidR="00BA7814" w:rsidRDefault="003F4E4C" w:rsidP="002A6CF3">
      <w:pPr>
        <w:spacing w:after="480" w:line="360" w:lineRule="auto"/>
        <w:jc w:val="both"/>
      </w:pPr>
      <w:r>
        <w:t>A notable limitation of this study is that all experiments were conducted exclusively under controlled in vitro laboratory conditions</w:t>
      </w:r>
      <w:r w:rsidR="00BC5A01">
        <w:t>, using the poisoned-food</w:t>
      </w:r>
      <w:r>
        <w:t xml:space="preserve"> technique. Results obtained under in vitro conditions may not directly translate to field performance, where environmental variability, soil microbiome interactions, plant physiological factors, and agronomic practices substantially influence treatment efficacy. Field validation studies under diverse agroclimatic conditions and economic analysis of the proposed integrated approaches are</w:t>
      </w:r>
      <w:r w:rsidR="00BC5A01">
        <w:t>, therefore,</w:t>
      </w:r>
      <w:r>
        <w:t xml:space="preserve"> essential before these findings can be recommended for large-scale commercial adoption.</w:t>
      </w:r>
    </w:p>
    <w:p w14:paraId="54442416" w14:textId="77777777" w:rsidR="00BA7814" w:rsidRDefault="00000000" w:rsidP="002A6CF3">
      <w:pPr>
        <w:pStyle w:val="Heading1"/>
        <w:spacing w:line="360" w:lineRule="auto"/>
        <w:jc w:val="both"/>
      </w:pPr>
      <w:r>
        <w:t>5. Conclusion</w:t>
      </w:r>
    </w:p>
    <w:p w14:paraId="5529303D" w14:textId="6D177A49" w:rsidR="00BA7814" w:rsidRDefault="003F4E4C" w:rsidP="002A6CF3">
      <w:pPr>
        <w:spacing w:after="480" w:line="360" w:lineRule="auto"/>
        <w:jc w:val="both"/>
      </w:pPr>
      <w:r>
        <w:t xml:space="preserve">Chemical fungicides provide superior pathogen suppression, with four achieving complete inhibition at 0.1%. However, botanical extracts, particularly garlic (66.44%) and turmeric (66.00%), demonstrate substantial antifungal activity, offering promising eco-friendly alternatives for sustainable disease management. The clear concentration-dependent efficacy patterns observed support optimized dosing strategies for both chemical and biological interventions. Integrating botanical extracts with reduced fungicide </w:t>
      </w:r>
      <w:r w:rsidR="00B61106">
        <w:t>use represents a viable approach to the</w:t>
      </w:r>
      <w:r>
        <w:t xml:space="preserve"> environmentally sustainable management of Alternaria blight in mustard production systems, balancing effective pathogen control with environmental stewardship and resistance management objectives. Future research should focus on field validation studies and economic analysis to fully realise the potential of these sustainable approaches in commercial agriculture.</w:t>
      </w:r>
    </w:p>
    <w:p w14:paraId="79E7231A" w14:textId="74D0B9D7" w:rsidR="0047581A" w:rsidRPr="001D7887" w:rsidRDefault="0047581A" w:rsidP="0047581A">
      <w:pPr>
        <w:rPr>
          <w:rFonts w:ascii="Arial" w:hAnsi="Arial" w:cs="Arial"/>
          <w:sz w:val="20"/>
          <w:szCs w:val="20"/>
        </w:rPr>
      </w:pPr>
      <w:bookmarkStart w:id="0" w:name="_Hlk229233765"/>
      <w:r w:rsidRPr="00E8485B">
        <w:t xml:space="preserve">COMPETING </w:t>
      </w:r>
      <w:r w:rsidRPr="001D7887">
        <w:t>INTERESTS</w:t>
      </w:r>
      <w:r w:rsidRPr="001D7887">
        <w:rPr>
          <w:rFonts w:ascii="Arial" w:hAnsi="Arial" w:cs="Arial"/>
          <w:sz w:val="20"/>
          <w:szCs w:val="20"/>
        </w:rPr>
        <w:t>:</w:t>
      </w:r>
    </w:p>
    <w:p w14:paraId="333A886B" w14:textId="77777777" w:rsidR="0047581A" w:rsidRPr="00E8485B" w:rsidRDefault="0047581A" w:rsidP="0047581A"/>
    <w:p w14:paraId="679040F8" w14:textId="77777777" w:rsidR="0047581A" w:rsidRPr="00E8485B" w:rsidRDefault="0047581A" w:rsidP="0047581A">
      <w:r w:rsidRPr="00E8485B">
        <w:t>Authors have declared that they have no known competing financial interests OR non-financial interests OR personal relationships that could have appeared to influence the work reported in this paper.</w:t>
      </w:r>
    </w:p>
    <w:bookmarkEnd w:id="0"/>
    <w:p w14:paraId="64DFD2E2" w14:textId="77777777" w:rsidR="00855B80" w:rsidRDefault="00855B80" w:rsidP="00855B80">
      <w:pPr>
        <w:spacing w:before="120" w:after="120" w:line="324" w:lineRule="auto"/>
        <w:jc w:val="both"/>
      </w:pPr>
      <w:r>
        <w:rPr>
          <w:b/>
        </w:rPr>
        <w:t xml:space="preserve">Authors’ contributions: </w:t>
      </w:r>
      <w:r>
        <w:t>HR conceived and designed the study, conducted the experiments, analysed the data, and drafted the manuscript. MS supervised the research and critically revised the manuscript. SS assisted with data collection and statistical analysis. All authors read and approved the final manuscript.</w:t>
      </w:r>
    </w:p>
    <w:p w14:paraId="79AA2634" w14:textId="77777777" w:rsidR="00855B80" w:rsidRDefault="00855B80" w:rsidP="00855B80">
      <w:pPr>
        <w:spacing w:before="120" w:after="120" w:line="324" w:lineRule="auto"/>
        <w:jc w:val="both"/>
      </w:pPr>
      <w:r>
        <w:rPr>
          <w:b/>
        </w:rPr>
        <w:lastRenderedPageBreak/>
        <w:t xml:space="preserve">Acknowledgements: </w:t>
      </w:r>
      <w:r>
        <w:t>The authors are grateful to the Department of Plant Pathology, Chandra Shekhar Azad University of Agriculture and Technology, Kanpur, for providing laboratory and greenhouse facilities for this research.</w:t>
      </w:r>
    </w:p>
    <w:p w14:paraId="04827B78" w14:textId="77777777" w:rsidR="00855B80" w:rsidRDefault="00855B80" w:rsidP="002A6CF3">
      <w:pPr>
        <w:spacing w:after="480" w:line="360" w:lineRule="auto"/>
        <w:jc w:val="both"/>
      </w:pPr>
    </w:p>
    <w:p w14:paraId="2E69B9BE" w14:textId="77777777" w:rsidR="003143A3" w:rsidRPr="003143A3" w:rsidRDefault="003143A3" w:rsidP="003143A3">
      <w:pPr>
        <w:spacing w:after="200" w:line="276" w:lineRule="auto"/>
        <w:rPr>
          <w:rFonts w:ascii="Calibri" w:eastAsia="Calibri" w:hAnsi="Calibri"/>
          <w:kern w:val="2"/>
          <w:sz w:val="22"/>
          <w:szCs w:val="22"/>
          <w:highlight w:val="yellow"/>
          <w:lang w:val="en-US" w:eastAsia="en-US"/>
          <w14:ligatures w14:val="standardContextual"/>
        </w:rPr>
      </w:pPr>
      <w:r w:rsidRPr="003143A3">
        <w:rPr>
          <w:rFonts w:ascii="Calibri" w:eastAsia="Calibri" w:hAnsi="Calibri"/>
          <w:kern w:val="2"/>
          <w:sz w:val="22"/>
          <w:szCs w:val="22"/>
          <w:highlight w:val="yellow"/>
          <w:lang w:val="en-US" w:eastAsia="en-US"/>
          <w14:ligatures w14:val="standardContextual"/>
        </w:rPr>
        <w:t>Disclaimer (Artificial intelligence)</w:t>
      </w:r>
    </w:p>
    <w:p w14:paraId="290785EB" w14:textId="77777777" w:rsidR="003143A3" w:rsidRPr="003143A3" w:rsidRDefault="003143A3" w:rsidP="003143A3">
      <w:pPr>
        <w:spacing w:after="200" w:line="276" w:lineRule="auto"/>
        <w:rPr>
          <w:rFonts w:ascii="Calibri" w:eastAsia="Calibri" w:hAnsi="Calibri"/>
          <w:kern w:val="2"/>
          <w:sz w:val="22"/>
          <w:szCs w:val="22"/>
          <w:highlight w:val="yellow"/>
          <w:lang w:val="en-US" w:eastAsia="en-US"/>
          <w14:ligatures w14:val="standardContextual"/>
        </w:rPr>
      </w:pPr>
      <w:r w:rsidRPr="003143A3">
        <w:rPr>
          <w:rFonts w:ascii="Calibri" w:eastAsia="Calibri" w:hAnsi="Calibri"/>
          <w:kern w:val="2"/>
          <w:sz w:val="22"/>
          <w:szCs w:val="22"/>
          <w:highlight w:val="yellow"/>
          <w:lang w:val="en-US" w:eastAsia="en-US"/>
          <w14:ligatures w14:val="standardContextual"/>
        </w:rPr>
        <w:t xml:space="preserve">Author(s) hereby </w:t>
      </w:r>
      <w:proofErr w:type="gramStart"/>
      <w:r w:rsidRPr="003143A3">
        <w:rPr>
          <w:rFonts w:ascii="Calibri" w:eastAsia="Calibri" w:hAnsi="Calibri"/>
          <w:kern w:val="2"/>
          <w:sz w:val="22"/>
          <w:szCs w:val="22"/>
          <w:highlight w:val="yellow"/>
          <w:lang w:val="en-US" w:eastAsia="en-US"/>
          <w14:ligatures w14:val="standardContextual"/>
        </w:rPr>
        <w:t>declare</w:t>
      </w:r>
      <w:proofErr w:type="gramEnd"/>
      <w:r w:rsidRPr="003143A3">
        <w:rPr>
          <w:rFonts w:ascii="Calibri" w:eastAsia="Calibri" w:hAnsi="Calibri"/>
          <w:kern w:val="2"/>
          <w:sz w:val="22"/>
          <w:szCs w:val="22"/>
          <w:highlight w:val="yellow"/>
          <w:lang w:val="en-US" w:eastAsia="en-US"/>
          <w14:ligatures w14:val="standardContextual"/>
        </w:rPr>
        <w:t xml:space="preserve"> that NO generative AI technologies such as Large Language Models (ChatGPT, COPILOT, etc.) and text-to-image generators have been used during the writing or editing of this manuscript. </w:t>
      </w:r>
    </w:p>
    <w:p w14:paraId="20A93E52" w14:textId="77777777" w:rsidR="003143A3" w:rsidRPr="003143A3" w:rsidRDefault="003143A3" w:rsidP="003143A3">
      <w:pPr>
        <w:spacing w:after="200" w:line="276" w:lineRule="auto"/>
        <w:rPr>
          <w:rFonts w:ascii="Calibri" w:eastAsia="Calibri" w:hAnsi="Calibri"/>
          <w:kern w:val="2"/>
          <w:sz w:val="22"/>
          <w:szCs w:val="22"/>
          <w:lang w:val="en-US" w:eastAsia="en-US"/>
          <w14:ligatures w14:val="standardContextual"/>
        </w:rPr>
      </w:pPr>
    </w:p>
    <w:p w14:paraId="1A9827B8" w14:textId="77777777" w:rsidR="003143A3" w:rsidRDefault="003143A3" w:rsidP="002A6CF3">
      <w:pPr>
        <w:spacing w:after="480" w:line="360" w:lineRule="auto"/>
        <w:jc w:val="both"/>
      </w:pPr>
    </w:p>
    <w:p w14:paraId="282C829B" w14:textId="77777777" w:rsidR="00BA7814" w:rsidRDefault="00000000">
      <w:pPr>
        <w:pStyle w:val="Heading1"/>
      </w:pPr>
      <w:r>
        <w:t>6. References</w:t>
      </w:r>
    </w:p>
    <w:p w14:paraId="0996F2EE" w14:textId="77777777" w:rsidR="004F6752" w:rsidRPr="002F75CE" w:rsidRDefault="004F6752" w:rsidP="002F75CE">
      <w:pPr>
        <w:pStyle w:val="ListParagraph"/>
        <w:numPr>
          <w:ilvl w:val="0"/>
          <w:numId w:val="3"/>
        </w:numPr>
        <w:spacing w:before="100" w:beforeAutospacing="1" w:after="100" w:afterAutospacing="1" w:line="276" w:lineRule="auto"/>
        <w:rPr>
          <w:sz w:val="22"/>
          <w:szCs w:val="22"/>
        </w:rPr>
      </w:pPr>
      <w:proofErr w:type="spellStart"/>
      <w:r w:rsidRPr="002F75CE">
        <w:rPr>
          <w:sz w:val="22"/>
          <w:szCs w:val="22"/>
        </w:rPr>
        <w:t>Behiry</w:t>
      </w:r>
      <w:proofErr w:type="spellEnd"/>
      <w:r w:rsidRPr="002F75CE">
        <w:rPr>
          <w:sz w:val="22"/>
          <w:szCs w:val="22"/>
        </w:rPr>
        <w:t xml:space="preserve">, S. I., Philip, B., Salem, M. Z. M., Amer, M. A., El-Samra, I. A., Abdelkhalek, A. and </w:t>
      </w:r>
      <w:proofErr w:type="spellStart"/>
      <w:r w:rsidRPr="002F75CE">
        <w:rPr>
          <w:sz w:val="22"/>
          <w:szCs w:val="22"/>
        </w:rPr>
        <w:t>Heflish</w:t>
      </w:r>
      <w:proofErr w:type="spellEnd"/>
      <w:r w:rsidRPr="002F75CE">
        <w:rPr>
          <w:sz w:val="22"/>
          <w:szCs w:val="22"/>
        </w:rPr>
        <w:t xml:space="preserve">, A. (2022). </w:t>
      </w:r>
      <w:r w:rsidRPr="002F75CE">
        <w:rPr>
          <w:i/>
          <w:iCs/>
          <w:sz w:val="22"/>
          <w:szCs w:val="22"/>
        </w:rPr>
        <w:t>Urtica dioica</w:t>
      </w:r>
      <w:r w:rsidRPr="002F75CE">
        <w:rPr>
          <w:sz w:val="22"/>
          <w:szCs w:val="22"/>
        </w:rPr>
        <w:t xml:space="preserve"> and </w:t>
      </w:r>
      <w:proofErr w:type="spellStart"/>
      <w:r w:rsidRPr="002F75CE">
        <w:rPr>
          <w:i/>
          <w:iCs/>
          <w:sz w:val="22"/>
          <w:szCs w:val="22"/>
        </w:rPr>
        <w:t>Dodonaea</w:t>
      </w:r>
      <w:proofErr w:type="spellEnd"/>
      <w:r w:rsidRPr="002F75CE">
        <w:rPr>
          <w:i/>
          <w:iCs/>
          <w:sz w:val="22"/>
          <w:szCs w:val="22"/>
        </w:rPr>
        <w:t xml:space="preserve"> </w:t>
      </w:r>
      <w:proofErr w:type="spellStart"/>
      <w:r w:rsidRPr="002F75CE">
        <w:rPr>
          <w:i/>
          <w:iCs/>
          <w:sz w:val="22"/>
          <w:szCs w:val="22"/>
        </w:rPr>
        <w:t>viscosa</w:t>
      </w:r>
      <w:proofErr w:type="spellEnd"/>
      <w:r w:rsidRPr="002F75CE">
        <w:rPr>
          <w:sz w:val="22"/>
          <w:szCs w:val="22"/>
        </w:rPr>
        <w:t xml:space="preserve"> leaf extracts as eco-friendly bioagents against </w:t>
      </w:r>
      <w:r w:rsidRPr="002F75CE">
        <w:rPr>
          <w:i/>
          <w:iCs/>
          <w:sz w:val="22"/>
          <w:szCs w:val="22"/>
        </w:rPr>
        <w:t xml:space="preserve">Alternaria </w:t>
      </w:r>
      <w:proofErr w:type="spellStart"/>
      <w:r w:rsidRPr="002F75CE">
        <w:rPr>
          <w:i/>
          <w:iCs/>
          <w:sz w:val="22"/>
          <w:szCs w:val="22"/>
        </w:rPr>
        <w:t>alternata</w:t>
      </w:r>
      <w:proofErr w:type="spellEnd"/>
      <w:r w:rsidRPr="002F75CE">
        <w:rPr>
          <w:sz w:val="22"/>
          <w:szCs w:val="22"/>
        </w:rPr>
        <w:t xml:space="preserve">. </w:t>
      </w:r>
      <w:r w:rsidRPr="002F75CE">
        <w:rPr>
          <w:i/>
          <w:iCs/>
          <w:sz w:val="22"/>
          <w:szCs w:val="22"/>
        </w:rPr>
        <w:t>Scientific Reports</w:t>
      </w:r>
      <w:r w:rsidRPr="002F75CE">
        <w:rPr>
          <w:sz w:val="22"/>
          <w:szCs w:val="22"/>
        </w:rPr>
        <w:t xml:space="preserve">, </w:t>
      </w:r>
      <w:r w:rsidRPr="002F75CE">
        <w:rPr>
          <w:b/>
          <w:bCs/>
          <w:sz w:val="22"/>
          <w:szCs w:val="22"/>
        </w:rPr>
        <w:t>12</w:t>
      </w:r>
      <w:r w:rsidRPr="002F75CE">
        <w:rPr>
          <w:sz w:val="22"/>
          <w:szCs w:val="22"/>
        </w:rPr>
        <w:t xml:space="preserve">, 16468. </w:t>
      </w:r>
      <w:hyperlink r:id="rId41" w:history="1">
        <w:r w:rsidRPr="002F75CE">
          <w:rPr>
            <w:rStyle w:val="Hyperlink"/>
            <w:sz w:val="22"/>
            <w:szCs w:val="22"/>
          </w:rPr>
          <w:t>https://doi.org/10.1038/s41598-022-20708-4</w:t>
        </w:r>
      </w:hyperlink>
    </w:p>
    <w:p w14:paraId="7EF25A24" w14:textId="77777777" w:rsidR="004F6752" w:rsidRDefault="004F6752" w:rsidP="002F75CE">
      <w:pPr>
        <w:pStyle w:val="ListParagraph"/>
        <w:numPr>
          <w:ilvl w:val="0"/>
          <w:numId w:val="3"/>
        </w:numPr>
        <w:spacing w:before="100" w:beforeAutospacing="1" w:after="100" w:afterAutospacing="1" w:line="276" w:lineRule="auto"/>
        <w:jc w:val="both"/>
      </w:pPr>
      <w:proofErr w:type="spellStart"/>
      <w:r w:rsidRPr="002F75CE">
        <w:rPr>
          <w:sz w:val="22"/>
          <w:szCs w:val="22"/>
        </w:rPr>
        <w:t>Guleria</w:t>
      </w:r>
      <w:proofErr w:type="spellEnd"/>
      <w:r w:rsidRPr="002F75CE">
        <w:rPr>
          <w:sz w:val="22"/>
          <w:szCs w:val="22"/>
        </w:rPr>
        <w:t xml:space="preserve">, S. and Kumar, A. (2009). Antifungal activity of </w:t>
      </w:r>
      <w:r w:rsidRPr="002F75CE">
        <w:rPr>
          <w:i/>
          <w:iCs/>
          <w:sz w:val="22"/>
          <w:szCs w:val="22"/>
        </w:rPr>
        <w:t>Agave americana</w:t>
      </w:r>
      <w:r w:rsidRPr="002F75CE">
        <w:rPr>
          <w:sz w:val="22"/>
          <w:szCs w:val="22"/>
        </w:rPr>
        <w:t xml:space="preserve"> leaf extract against </w:t>
      </w:r>
      <w:r w:rsidRPr="002F75CE">
        <w:rPr>
          <w:i/>
          <w:iCs/>
          <w:sz w:val="22"/>
          <w:szCs w:val="22"/>
        </w:rPr>
        <w:t>Alternaria brassicae</w:t>
      </w:r>
      <w:r w:rsidRPr="002F75CE">
        <w:rPr>
          <w:sz w:val="22"/>
          <w:szCs w:val="22"/>
        </w:rPr>
        <w:t xml:space="preserve">. </w:t>
      </w:r>
      <w:r w:rsidRPr="002F75CE">
        <w:rPr>
          <w:i/>
          <w:iCs/>
          <w:sz w:val="22"/>
          <w:szCs w:val="22"/>
        </w:rPr>
        <w:t>Archives of Phytopathology and Plant Protection</w:t>
      </w:r>
      <w:r w:rsidRPr="002F75CE">
        <w:rPr>
          <w:sz w:val="22"/>
          <w:szCs w:val="22"/>
        </w:rPr>
        <w:t xml:space="preserve">, </w:t>
      </w:r>
      <w:r w:rsidRPr="002F75CE">
        <w:rPr>
          <w:b/>
          <w:bCs/>
          <w:sz w:val="22"/>
          <w:szCs w:val="22"/>
        </w:rPr>
        <w:t>42</w:t>
      </w:r>
      <w:r w:rsidRPr="002F75CE">
        <w:rPr>
          <w:sz w:val="22"/>
          <w:szCs w:val="22"/>
        </w:rPr>
        <w:t xml:space="preserve">, 370–375. </w:t>
      </w:r>
      <w:hyperlink r:id="rId42" w:history="1">
        <w:r w:rsidRPr="002F75CE">
          <w:rPr>
            <w:rStyle w:val="Hyperlink"/>
            <w:sz w:val="22"/>
            <w:szCs w:val="22"/>
          </w:rPr>
          <w:t>https://doi.org/10.1080/03235400601121380</w:t>
        </w:r>
      </w:hyperlink>
    </w:p>
    <w:p w14:paraId="3B5C372C" w14:textId="43BEF593" w:rsidR="004F6752" w:rsidRPr="004F6752" w:rsidRDefault="004F6752" w:rsidP="002F75CE">
      <w:pPr>
        <w:tabs>
          <w:tab w:val="left" w:pos="6408"/>
        </w:tabs>
        <w:ind w:firstLine="6405"/>
        <w:rPr>
          <w:sz w:val="22"/>
          <w:szCs w:val="22"/>
        </w:rPr>
      </w:pPr>
    </w:p>
    <w:p w14:paraId="3279146F" w14:textId="77777777" w:rsidR="004F6752" w:rsidRDefault="004F6752" w:rsidP="002F75CE">
      <w:pPr>
        <w:pStyle w:val="ListParagraph"/>
        <w:numPr>
          <w:ilvl w:val="0"/>
          <w:numId w:val="3"/>
        </w:numPr>
        <w:spacing w:before="100" w:beforeAutospacing="1" w:after="100" w:afterAutospacing="1" w:line="276" w:lineRule="auto"/>
        <w:jc w:val="both"/>
      </w:pPr>
      <w:proofErr w:type="spellStart"/>
      <w:r>
        <w:t>Guleria</w:t>
      </w:r>
      <w:proofErr w:type="spellEnd"/>
      <w:r>
        <w:t xml:space="preserve">, S., Kumari, S. and </w:t>
      </w:r>
      <w:proofErr w:type="spellStart"/>
      <w:r>
        <w:t>Guleria</w:t>
      </w:r>
      <w:proofErr w:type="spellEnd"/>
      <w:r>
        <w:t xml:space="preserve">, P. (2021). Management of spot disease of Indian mustard caused by Alternaria brassicae using botanical fungicide. Indian Phytopathology, </w:t>
      </w:r>
      <w:r w:rsidRPr="002F75CE">
        <w:rPr>
          <w:b/>
          <w:bCs/>
        </w:rPr>
        <w:t>74</w:t>
      </w:r>
      <w:r>
        <w:t xml:space="preserve">, 783–790. </w:t>
      </w:r>
      <w:hyperlink r:id="rId43" w:history="1">
        <w:r w:rsidRPr="00F334C6">
          <w:rPr>
            <w:rStyle w:val="Hyperlink"/>
          </w:rPr>
          <w:t>https://doi.org/10.1007/s42360-021-00388-w</w:t>
        </w:r>
      </w:hyperlink>
    </w:p>
    <w:p w14:paraId="6A11BBD1" w14:textId="77777777" w:rsidR="004F6752" w:rsidRDefault="004F6752" w:rsidP="002F75CE">
      <w:pPr>
        <w:pStyle w:val="ListParagraph"/>
        <w:numPr>
          <w:ilvl w:val="0"/>
          <w:numId w:val="3"/>
        </w:numPr>
        <w:spacing w:before="100" w:beforeAutospacing="1" w:after="100" w:afterAutospacing="1" w:line="276" w:lineRule="auto"/>
      </w:pPr>
      <w:proofErr w:type="spellStart"/>
      <w:r>
        <w:t>Ishieze</w:t>
      </w:r>
      <w:proofErr w:type="spellEnd"/>
      <w:r>
        <w:t xml:space="preserve">, P. U., </w:t>
      </w:r>
      <w:proofErr w:type="spellStart"/>
      <w:r>
        <w:t>Amuji</w:t>
      </w:r>
      <w:proofErr w:type="spellEnd"/>
      <w:r>
        <w:t xml:space="preserve">, C. F., Ugwuoke, K. I., </w:t>
      </w:r>
      <w:proofErr w:type="spellStart"/>
      <w:r>
        <w:t>Baiyeri</w:t>
      </w:r>
      <w:proofErr w:type="spellEnd"/>
      <w:r>
        <w:t xml:space="preserve">, P. K. and Eze, M. O. (2023). Comparative efficacy of systemic and combination fungicides for the control of Alternaria leaf spot of cabbage. Applied Microbiology, </w:t>
      </w:r>
      <w:r w:rsidRPr="002F75CE">
        <w:rPr>
          <w:b/>
          <w:bCs/>
        </w:rPr>
        <w:t>3</w:t>
      </w:r>
      <w:r>
        <w:t xml:space="preserve">(3), 906–914. </w:t>
      </w:r>
      <w:hyperlink r:id="rId44" w:history="1">
        <w:r w:rsidRPr="00F334C6">
          <w:rPr>
            <w:rStyle w:val="Hyperlink"/>
          </w:rPr>
          <w:t>https://doi.org/10.3390/applmicrobiol3030062</w:t>
        </w:r>
      </w:hyperlink>
    </w:p>
    <w:p w14:paraId="455F246E" w14:textId="77777777" w:rsidR="004F6752" w:rsidRPr="002F75CE" w:rsidRDefault="004F6752" w:rsidP="002F75CE">
      <w:pPr>
        <w:pStyle w:val="ListParagraph"/>
        <w:numPr>
          <w:ilvl w:val="0"/>
          <w:numId w:val="3"/>
        </w:numPr>
        <w:spacing w:before="100" w:beforeAutospacing="1" w:after="100" w:afterAutospacing="1" w:line="276" w:lineRule="auto"/>
        <w:rPr>
          <w:sz w:val="22"/>
          <w:szCs w:val="22"/>
        </w:rPr>
      </w:pPr>
      <w:r w:rsidRPr="002F75CE">
        <w:rPr>
          <w:sz w:val="22"/>
          <w:szCs w:val="22"/>
        </w:rPr>
        <w:t xml:space="preserve">Pandey, M. K., Ahmad, M. M., Siddiqui, S., Kumar, A., Singh, S. K. and Rai, D. (2024). Survey on the disease incidence of Alternaria Blight of Mustard in Eastern and Central Parts of Uttar Pradesh. </w:t>
      </w:r>
      <w:r w:rsidRPr="002F75CE">
        <w:rPr>
          <w:i/>
          <w:iCs/>
          <w:sz w:val="22"/>
          <w:szCs w:val="22"/>
        </w:rPr>
        <w:t>International Journal of Plant and Environment</w:t>
      </w:r>
      <w:r w:rsidRPr="002F75CE">
        <w:rPr>
          <w:sz w:val="22"/>
          <w:szCs w:val="22"/>
        </w:rPr>
        <w:t xml:space="preserve">, </w:t>
      </w:r>
      <w:r w:rsidRPr="002F75CE">
        <w:rPr>
          <w:b/>
          <w:bCs/>
          <w:sz w:val="22"/>
          <w:szCs w:val="22"/>
        </w:rPr>
        <w:t>10</w:t>
      </w:r>
      <w:r w:rsidRPr="002F75CE">
        <w:rPr>
          <w:sz w:val="22"/>
          <w:szCs w:val="22"/>
        </w:rPr>
        <w:t xml:space="preserve">, 69–75. </w:t>
      </w:r>
      <w:hyperlink r:id="rId45" w:history="1">
        <w:r w:rsidRPr="002F75CE">
          <w:rPr>
            <w:rStyle w:val="Hyperlink"/>
            <w:sz w:val="22"/>
            <w:szCs w:val="22"/>
          </w:rPr>
          <w:t>https://doi.org/10.18811/ijpen.v10i01.09</w:t>
        </w:r>
      </w:hyperlink>
    </w:p>
    <w:p w14:paraId="6E057230" w14:textId="77777777" w:rsidR="004F6752" w:rsidRPr="002F75CE" w:rsidRDefault="004F6752" w:rsidP="002F75CE">
      <w:pPr>
        <w:pStyle w:val="ListParagraph"/>
        <w:numPr>
          <w:ilvl w:val="0"/>
          <w:numId w:val="3"/>
        </w:numPr>
        <w:spacing w:before="100" w:beforeAutospacing="1" w:after="100" w:afterAutospacing="1" w:line="276" w:lineRule="auto"/>
        <w:jc w:val="both"/>
        <w:rPr>
          <w:sz w:val="22"/>
          <w:szCs w:val="22"/>
        </w:rPr>
      </w:pPr>
      <w:proofErr w:type="spellStart"/>
      <w:r w:rsidRPr="002F75CE">
        <w:rPr>
          <w:sz w:val="22"/>
          <w:szCs w:val="22"/>
        </w:rPr>
        <w:t>Samandari-Najafabadi</w:t>
      </w:r>
      <w:proofErr w:type="spellEnd"/>
      <w:r w:rsidRPr="002F75CE">
        <w:rPr>
          <w:sz w:val="22"/>
          <w:szCs w:val="22"/>
        </w:rPr>
        <w:t xml:space="preserve">, N., Taheri, P. and </w:t>
      </w:r>
      <w:proofErr w:type="spellStart"/>
      <w:r w:rsidRPr="002F75CE">
        <w:rPr>
          <w:sz w:val="22"/>
          <w:szCs w:val="22"/>
        </w:rPr>
        <w:t>Tarighi</w:t>
      </w:r>
      <w:proofErr w:type="spellEnd"/>
      <w:r w:rsidRPr="002F75CE">
        <w:rPr>
          <w:sz w:val="22"/>
          <w:szCs w:val="22"/>
        </w:rPr>
        <w:t xml:space="preserve">, S. (2024). Antifungal and </w:t>
      </w:r>
      <w:proofErr w:type="spellStart"/>
      <w:r w:rsidRPr="002F75CE">
        <w:rPr>
          <w:sz w:val="22"/>
          <w:szCs w:val="22"/>
        </w:rPr>
        <w:t>antivirulence</w:t>
      </w:r>
      <w:proofErr w:type="spellEnd"/>
      <w:r w:rsidRPr="002F75CE">
        <w:rPr>
          <w:sz w:val="22"/>
          <w:szCs w:val="22"/>
        </w:rPr>
        <w:t xml:space="preserve"> effects of </w:t>
      </w:r>
      <w:r w:rsidRPr="002F75CE">
        <w:rPr>
          <w:i/>
          <w:iCs/>
          <w:sz w:val="22"/>
          <w:szCs w:val="22"/>
        </w:rPr>
        <w:t>Citrus sinensis</w:t>
      </w:r>
      <w:r w:rsidRPr="002F75CE">
        <w:rPr>
          <w:sz w:val="22"/>
          <w:szCs w:val="22"/>
        </w:rPr>
        <w:t xml:space="preserve"> essential oil on </w:t>
      </w:r>
      <w:r w:rsidRPr="002F75CE">
        <w:rPr>
          <w:i/>
          <w:iCs/>
          <w:sz w:val="22"/>
          <w:szCs w:val="22"/>
        </w:rPr>
        <w:t>Alternaria</w:t>
      </w:r>
      <w:r w:rsidRPr="002F75CE">
        <w:rPr>
          <w:sz w:val="22"/>
          <w:szCs w:val="22"/>
        </w:rPr>
        <w:t xml:space="preserve"> pathogens. </w:t>
      </w:r>
      <w:r w:rsidRPr="002F75CE">
        <w:rPr>
          <w:i/>
          <w:iCs/>
          <w:sz w:val="22"/>
          <w:szCs w:val="22"/>
        </w:rPr>
        <w:t>Journal of Plant Pathology</w:t>
      </w:r>
      <w:r w:rsidRPr="002F75CE">
        <w:rPr>
          <w:sz w:val="22"/>
          <w:szCs w:val="22"/>
        </w:rPr>
        <w:t xml:space="preserve">, </w:t>
      </w:r>
      <w:r w:rsidRPr="002F75CE">
        <w:rPr>
          <w:b/>
          <w:bCs/>
          <w:sz w:val="22"/>
          <w:szCs w:val="22"/>
        </w:rPr>
        <w:t>106</w:t>
      </w:r>
      <w:r w:rsidRPr="002F75CE">
        <w:rPr>
          <w:sz w:val="22"/>
          <w:szCs w:val="22"/>
        </w:rPr>
        <w:t xml:space="preserve">, 1153–1171. </w:t>
      </w:r>
      <w:hyperlink r:id="rId46" w:history="1">
        <w:r w:rsidRPr="002F75CE">
          <w:rPr>
            <w:rStyle w:val="Hyperlink"/>
            <w:sz w:val="22"/>
            <w:szCs w:val="22"/>
          </w:rPr>
          <w:t>https://doi.org/10.1007/s42161-024-01638-8</w:t>
        </w:r>
      </w:hyperlink>
    </w:p>
    <w:p w14:paraId="61FAA0A9" w14:textId="77777777" w:rsidR="004F6752" w:rsidRPr="002F75CE" w:rsidRDefault="004F6752" w:rsidP="002F75CE">
      <w:pPr>
        <w:pStyle w:val="ListParagraph"/>
        <w:numPr>
          <w:ilvl w:val="0"/>
          <w:numId w:val="3"/>
        </w:numPr>
        <w:spacing w:before="100" w:beforeAutospacing="1" w:after="100" w:afterAutospacing="1" w:line="276" w:lineRule="auto"/>
        <w:jc w:val="both"/>
        <w:rPr>
          <w:sz w:val="22"/>
          <w:szCs w:val="22"/>
        </w:rPr>
      </w:pPr>
      <w:r w:rsidRPr="002F75CE">
        <w:rPr>
          <w:sz w:val="22"/>
          <w:szCs w:val="22"/>
        </w:rPr>
        <w:t xml:space="preserve">Shaikh, S., </w:t>
      </w:r>
      <w:proofErr w:type="spellStart"/>
      <w:r w:rsidRPr="002F75CE">
        <w:rPr>
          <w:sz w:val="22"/>
          <w:szCs w:val="22"/>
        </w:rPr>
        <w:t>Ghone</w:t>
      </w:r>
      <w:proofErr w:type="spellEnd"/>
      <w:r w:rsidRPr="002F75CE">
        <w:rPr>
          <w:sz w:val="22"/>
          <w:szCs w:val="22"/>
        </w:rPr>
        <w:t xml:space="preserve">, R., </w:t>
      </w:r>
      <w:proofErr w:type="spellStart"/>
      <w:r w:rsidRPr="002F75CE">
        <w:rPr>
          <w:sz w:val="22"/>
          <w:szCs w:val="22"/>
        </w:rPr>
        <w:t>Urdukhe</w:t>
      </w:r>
      <w:proofErr w:type="spellEnd"/>
      <w:r w:rsidRPr="002F75CE">
        <w:rPr>
          <w:sz w:val="22"/>
          <w:szCs w:val="22"/>
        </w:rPr>
        <w:t xml:space="preserve">, Y. R. and Mogle, U. (2024). Efficacy of botanical extracts, biocontrol agents and fungicides against </w:t>
      </w:r>
      <w:r w:rsidRPr="002F75CE">
        <w:rPr>
          <w:i/>
          <w:iCs/>
          <w:sz w:val="22"/>
          <w:szCs w:val="22"/>
        </w:rPr>
        <w:t xml:space="preserve">Alternaria </w:t>
      </w:r>
      <w:proofErr w:type="spellStart"/>
      <w:r w:rsidRPr="002F75CE">
        <w:rPr>
          <w:i/>
          <w:iCs/>
          <w:sz w:val="22"/>
          <w:szCs w:val="22"/>
        </w:rPr>
        <w:t>brassicicola</w:t>
      </w:r>
      <w:proofErr w:type="spellEnd"/>
      <w:r w:rsidRPr="002F75CE">
        <w:rPr>
          <w:sz w:val="22"/>
          <w:szCs w:val="22"/>
        </w:rPr>
        <w:t xml:space="preserve">. </w:t>
      </w:r>
      <w:r w:rsidRPr="002F75CE">
        <w:rPr>
          <w:i/>
          <w:iCs/>
          <w:sz w:val="22"/>
          <w:szCs w:val="22"/>
        </w:rPr>
        <w:t xml:space="preserve">International Journal of </w:t>
      </w:r>
      <w:r w:rsidRPr="002F75CE">
        <w:rPr>
          <w:i/>
          <w:iCs/>
          <w:sz w:val="22"/>
          <w:szCs w:val="22"/>
        </w:rPr>
        <w:lastRenderedPageBreak/>
        <w:t>Current Microbiology and Applied Sciences</w:t>
      </w:r>
      <w:r w:rsidRPr="002F75CE">
        <w:rPr>
          <w:sz w:val="22"/>
          <w:szCs w:val="22"/>
        </w:rPr>
        <w:t xml:space="preserve">, </w:t>
      </w:r>
      <w:r w:rsidRPr="002F75CE">
        <w:rPr>
          <w:b/>
          <w:bCs/>
          <w:sz w:val="22"/>
          <w:szCs w:val="22"/>
        </w:rPr>
        <w:t>13</w:t>
      </w:r>
      <w:r w:rsidRPr="002F75CE">
        <w:rPr>
          <w:sz w:val="22"/>
          <w:szCs w:val="22"/>
        </w:rPr>
        <w:t xml:space="preserve">, 88–96. </w:t>
      </w:r>
      <w:hyperlink r:id="rId47" w:history="1">
        <w:r w:rsidRPr="002F75CE">
          <w:rPr>
            <w:rStyle w:val="Hyperlink"/>
            <w:sz w:val="22"/>
            <w:szCs w:val="22"/>
          </w:rPr>
          <w:t>https://doi.org/10.20546/ijcmas.2024.1304.010</w:t>
        </w:r>
      </w:hyperlink>
    </w:p>
    <w:p w14:paraId="66F24BBC" w14:textId="77777777" w:rsidR="004F6752" w:rsidRDefault="004F6752" w:rsidP="002F75CE">
      <w:pPr>
        <w:pStyle w:val="ListParagraph"/>
        <w:numPr>
          <w:ilvl w:val="0"/>
          <w:numId w:val="3"/>
        </w:numPr>
        <w:spacing w:before="100" w:beforeAutospacing="1" w:after="100" w:afterAutospacing="1" w:line="276" w:lineRule="auto"/>
        <w:jc w:val="both"/>
        <w:rPr>
          <w:sz w:val="22"/>
          <w:szCs w:val="22"/>
        </w:rPr>
      </w:pPr>
      <w:r w:rsidRPr="002F75CE">
        <w:rPr>
          <w:sz w:val="22"/>
          <w:szCs w:val="22"/>
        </w:rPr>
        <w:t xml:space="preserve">Vincent, J. M. (1947). Distortion of fungal hyphae in the presence of certain inhibitors. </w:t>
      </w:r>
      <w:r w:rsidRPr="002F75CE">
        <w:rPr>
          <w:i/>
          <w:iCs/>
          <w:sz w:val="22"/>
          <w:szCs w:val="22"/>
        </w:rPr>
        <w:t>Nature</w:t>
      </w:r>
      <w:r w:rsidRPr="002F75CE">
        <w:rPr>
          <w:sz w:val="22"/>
          <w:szCs w:val="22"/>
        </w:rPr>
        <w:t xml:space="preserve">, 159, 850. </w:t>
      </w:r>
      <w:hyperlink r:id="rId48" w:history="1">
        <w:r w:rsidRPr="002F75CE">
          <w:rPr>
            <w:rStyle w:val="Hyperlink"/>
            <w:sz w:val="22"/>
            <w:szCs w:val="22"/>
          </w:rPr>
          <w:t>https://doi.org/10.1038/159850b0</w:t>
        </w:r>
      </w:hyperlink>
      <w:r w:rsidRPr="002F75CE">
        <w:rPr>
          <w:sz w:val="22"/>
          <w:szCs w:val="22"/>
        </w:rPr>
        <w:t>.</w:t>
      </w:r>
    </w:p>
    <w:p w14:paraId="716B5AFD" w14:textId="7C7C8BCA" w:rsidR="00666288" w:rsidRDefault="00666288" w:rsidP="002F75CE">
      <w:pPr>
        <w:pStyle w:val="ListParagraph"/>
        <w:numPr>
          <w:ilvl w:val="0"/>
          <w:numId w:val="3"/>
        </w:numPr>
        <w:spacing w:before="100" w:beforeAutospacing="1" w:after="100" w:afterAutospacing="1" w:line="276" w:lineRule="auto"/>
        <w:jc w:val="both"/>
        <w:rPr>
          <w:sz w:val="22"/>
          <w:szCs w:val="22"/>
        </w:rPr>
      </w:pPr>
      <w:r w:rsidRPr="00666288">
        <w:rPr>
          <w:sz w:val="22"/>
          <w:szCs w:val="22"/>
        </w:rPr>
        <w:t xml:space="preserve">Ahammad, F., </w:t>
      </w:r>
      <w:proofErr w:type="spellStart"/>
      <w:r w:rsidRPr="00666288">
        <w:rPr>
          <w:sz w:val="22"/>
          <w:szCs w:val="22"/>
        </w:rPr>
        <w:t>Mapari</w:t>
      </w:r>
      <w:proofErr w:type="spellEnd"/>
      <w:r w:rsidRPr="00666288">
        <w:rPr>
          <w:sz w:val="22"/>
          <w:szCs w:val="22"/>
        </w:rPr>
        <w:t xml:space="preserve">, P. N., Kumar, R., Datre, S., Thakur, J., Patil, P., &amp; Zacharia, S. (2024). In vitro Evaluation of Fungicides and Plant Derived Extracts on Mycelial Growth of Alternaria brassicae. Journal of Scientific Research and Reports, 30(7), 246–251. </w:t>
      </w:r>
      <w:hyperlink r:id="rId49" w:history="1">
        <w:r w:rsidRPr="00B95424">
          <w:rPr>
            <w:rStyle w:val="Hyperlink"/>
            <w:sz w:val="22"/>
            <w:szCs w:val="22"/>
          </w:rPr>
          <w:t>https://doi.org/10.9734/jsrr/2024/v30i72141</w:t>
        </w:r>
      </w:hyperlink>
      <w:r>
        <w:rPr>
          <w:sz w:val="22"/>
          <w:szCs w:val="22"/>
        </w:rPr>
        <w:t xml:space="preserve"> </w:t>
      </w:r>
    </w:p>
    <w:p w14:paraId="1EC1B7FD" w14:textId="69100745" w:rsidR="00666288" w:rsidRDefault="00666288" w:rsidP="002F75CE">
      <w:pPr>
        <w:pStyle w:val="ListParagraph"/>
        <w:numPr>
          <w:ilvl w:val="0"/>
          <w:numId w:val="3"/>
        </w:numPr>
        <w:spacing w:before="100" w:beforeAutospacing="1" w:after="100" w:afterAutospacing="1" w:line="276" w:lineRule="auto"/>
        <w:jc w:val="both"/>
        <w:rPr>
          <w:sz w:val="22"/>
          <w:szCs w:val="22"/>
        </w:rPr>
      </w:pPr>
      <w:r w:rsidRPr="00666288">
        <w:rPr>
          <w:sz w:val="22"/>
          <w:szCs w:val="22"/>
        </w:rPr>
        <w:t xml:space="preserve">Pun, L. B., Chhetri, K., Pandey, A., &amp; Poudel, R. (2020). In vitro evaluation of botanical extracts, chemical fungicides and Trichoderma </w:t>
      </w:r>
      <w:proofErr w:type="spellStart"/>
      <w:r w:rsidRPr="00666288">
        <w:rPr>
          <w:sz w:val="22"/>
          <w:szCs w:val="22"/>
        </w:rPr>
        <w:t>harzianum</w:t>
      </w:r>
      <w:proofErr w:type="spellEnd"/>
      <w:r w:rsidRPr="00666288">
        <w:rPr>
          <w:sz w:val="22"/>
          <w:szCs w:val="22"/>
        </w:rPr>
        <w:t xml:space="preserve"> against Alternaria </w:t>
      </w:r>
      <w:proofErr w:type="spellStart"/>
      <w:r w:rsidRPr="00666288">
        <w:rPr>
          <w:sz w:val="22"/>
          <w:szCs w:val="22"/>
        </w:rPr>
        <w:t>brassicicola</w:t>
      </w:r>
      <w:proofErr w:type="spellEnd"/>
      <w:r w:rsidRPr="00666288">
        <w:rPr>
          <w:sz w:val="22"/>
          <w:szCs w:val="22"/>
        </w:rPr>
        <w:t xml:space="preserve"> causing leafspot of cabbage. Nepalese Horticulture, 14(1), 68-76.</w:t>
      </w:r>
    </w:p>
    <w:p w14:paraId="4AECB09B" w14:textId="13AAA36D" w:rsidR="00DF208D" w:rsidRDefault="00DF208D" w:rsidP="002F75CE">
      <w:pPr>
        <w:pStyle w:val="ListParagraph"/>
        <w:numPr>
          <w:ilvl w:val="0"/>
          <w:numId w:val="3"/>
        </w:numPr>
        <w:spacing w:before="100" w:beforeAutospacing="1" w:after="100" w:afterAutospacing="1" w:line="276" w:lineRule="auto"/>
        <w:jc w:val="both"/>
        <w:rPr>
          <w:sz w:val="22"/>
          <w:szCs w:val="22"/>
        </w:rPr>
      </w:pPr>
      <w:r w:rsidRPr="00DF208D">
        <w:rPr>
          <w:sz w:val="22"/>
          <w:szCs w:val="22"/>
        </w:rPr>
        <w:t xml:space="preserve">Mishra, A., Khan, N. A., Jha, R. K., Murugesh, T., &amp; Singh, A. (2024). Study of resistance mechanism of Alternaria blight (Alternaria </w:t>
      </w:r>
      <w:proofErr w:type="spellStart"/>
      <w:r w:rsidRPr="00DF208D">
        <w:rPr>
          <w:sz w:val="22"/>
          <w:szCs w:val="22"/>
        </w:rPr>
        <w:t>brassicicola</w:t>
      </w:r>
      <w:proofErr w:type="spellEnd"/>
      <w:r w:rsidRPr="00DF208D">
        <w:rPr>
          <w:sz w:val="22"/>
          <w:szCs w:val="22"/>
        </w:rPr>
        <w:t xml:space="preserve">) by biochemical markers in Indian Mustard (Brassica juncea L. </w:t>
      </w:r>
      <w:proofErr w:type="spellStart"/>
      <w:r w:rsidRPr="00DF208D">
        <w:rPr>
          <w:sz w:val="22"/>
          <w:szCs w:val="22"/>
        </w:rPr>
        <w:t>Czern</w:t>
      </w:r>
      <w:proofErr w:type="spellEnd"/>
      <w:r w:rsidRPr="00DF208D">
        <w:rPr>
          <w:sz w:val="22"/>
          <w:szCs w:val="22"/>
        </w:rPr>
        <w:t>. &amp;Coss.). Frontiers in Plant Science, 15, 1420197.</w:t>
      </w:r>
    </w:p>
    <w:p w14:paraId="4B8AF2DA" w14:textId="6983C189" w:rsidR="00DF208D" w:rsidRPr="002F75CE" w:rsidRDefault="00DF208D" w:rsidP="002F75CE">
      <w:pPr>
        <w:pStyle w:val="ListParagraph"/>
        <w:numPr>
          <w:ilvl w:val="0"/>
          <w:numId w:val="3"/>
        </w:numPr>
        <w:spacing w:before="100" w:beforeAutospacing="1" w:after="100" w:afterAutospacing="1" w:line="276" w:lineRule="auto"/>
        <w:jc w:val="both"/>
        <w:rPr>
          <w:sz w:val="22"/>
          <w:szCs w:val="22"/>
        </w:rPr>
      </w:pPr>
      <w:r w:rsidRPr="00DF208D">
        <w:rPr>
          <w:sz w:val="22"/>
          <w:szCs w:val="22"/>
        </w:rPr>
        <w:t xml:space="preserve">Ahmed, R., Saikia, P., </w:t>
      </w:r>
      <w:proofErr w:type="spellStart"/>
      <w:r w:rsidRPr="00DF208D">
        <w:rPr>
          <w:sz w:val="22"/>
          <w:szCs w:val="22"/>
        </w:rPr>
        <w:t>Aryasree</w:t>
      </w:r>
      <w:proofErr w:type="spellEnd"/>
      <w:r w:rsidRPr="00DF208D">
        <w:rPr>
          <w:sz w:val="22"/>
          <w:szCs w:val="22"/>
        </w:rPr>
        <w:t xml:space="preserve">, R., &amp; </w:t>
      </w:r>
      <w:proofErr w:type="spellStart"/>
      <w:r w:rsidRPr="00DF208D">
        <w:rPr>
          <w:sz w:val="22"/>
          <w:szCs w:val="22"/>
        </w:rPr>
        <w:t>Bhorali</w:t>
      </w:r>
      <w:proofErr w:type="spellEnd"/>
      <w:r w:rsidRPr="00DF208D">
        <w:rPr>
          <w:sz w:val="22"/>
          <w:szCs w:val="22"/>
        </w:rPr>
        <w:t xml:space="preserve">, P. (2024). Isolation and characterization of Alternaria </w:t>
      </w:r>
      <w:proofErr w:type="spellStart"/>
      <w:r w:rsidRPr="00DF208D">
        <w:rPr>
          <w:sz w:val="22"/>
          <w:szCs w:val="22"/>
        </w:rPr>
        <w:t>brassicicola</w:t>
      </w:r>
      <w:proofErr w:type="spellEnd"/>
      <w:r w:rsidRPr="00DF208D">
        <w:rPr>
          <w:sz w:val="22"/>
          <w:szCs w:val="22"/>
        </w:rPr>
        <w:t xml:space="preserve"> from Assam (India) and screening for resistance in </w:t>
      </w:r>
      <w:proofErr w:type="gramStart"/>
      <w:r w:rsidRPr="00DF208D">
        <w:rPr>
          <w:sz w:val="22"/>
          <w:szCs w:val="22"/>
        </w:rPr>
        <w:t>Sinapis</w:t>
      </w:r>
      <w:proofErr w:type="gramEnd"/>
      <w:r w:rsidRPr="00DF208D">
        <w:rPr>
          <w:sz w:val="22"/>
          <w:szCs w:val="22"/>
        </w:rPr>
        <w:t xml:space="preserve"> alba. Tropical Plant Pathology, 49(6), 850-863.</w:t>
      </w:r>
    </w:p>
    <w:sectPr w:rsidR="00DF208D" w:rsidRPr="002F75CE" w:rsidSect="002D2BF3">
      <w:pgSz w:w="11906" w:h="16838" w:code="9"/>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47AF5"/>
    <w:multiLevelType w:val="hybridMultilevel"/>
    <w:tmpl w:val="CDD63FAC"/>
    <w:lvl w:ilvl="0" w:tplc="A850AC1A">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FA53D50"/>
    <w:multiLevelType w:val="hybridMultilevel"/>
    <w:tmpl w:val="355204AE"/>
    <w:lvl w:ilvl="0" w:tplc="F27E54BC">
      <w:start w:val="1"/>
      <w:numFmt w:val="bullet"/>
      <w:lvlText w:val="●"/>
      <w:lvlJc w:val="left"/>
      <w:pPr>
        <w:ind w:left="720" w:hanging="360"/>
      </w:pPr>
    </w:lvl>
    <w:lvl w:ilvl="1" w:tplc="3E8605A8">
      <w:start w:val="1"/>
      <w:numFmt w:val="bullet"/>
      <w:lvlText w:val="○"/>
      <w:lvlJc w:val="left"/>
      <w:pPr>
        <w:ind w:left="1440" w:hanging="360"/>
      </w:pPr>
    </w:lvl>
    <w:lvl w:ilvl="2" w:tplc="698A55F4">
      <w:start w:val="1"/>
      <w:numFmt w:val="bullet"/>
      <w:lvlText w:val="■"/>
      <w:lvlJc w:val="left"/>
      <w:pPr>
        <w:ind w:left="2160" w:hanging="360"/>
      </w:pPr>
    </w:lvl>
    <w:lvl w:ilvl="3" w:tplc="065654D4">
      <w:start w:val="1"/>
      <w:numFmt w:val="bullet"/>
      <w:lvlText w:val="●"/>
      <w:lvlJc w:val="left"/>
      <w:pPr>
        <w:ind w:left="2880" w:hanging="360"/>
      </w:pPr>
    </w:lvl>
    <w:lvl w:ilvl="4" w:tplc="ABDA6326">
      <w:start w:val="1"/>
      <w:numFmt w:val="bullet"/>
      <w:lvlText w:val="○"/>
      <w:lvlJc w:val="left"/>
      <w:pPr>
        <w:ind w:left="3600" w:hanging="360"/>
      </w:pPr>
    </w:lvl>
    <w:lvl w:ilvl="5" w:tplc="1CA65BBC">
      <w:start w:val="1"/>
      <w:numFmt w:val="bullet"/>
      <w:lvlText w:val="■"/>
      <w:lvlJc w:val="left"/>
      <w:pPr>
        <w:ind w:left="4320" w:hanging="360"/>
      </w:pPr>
    </w:lvl>
    <w:lvl w:ilvl="6" w:tplc="AB161530">
      <w:start w:val="1"/>
      <w:numFmt w:val="bullet"/>
      <w:lvlText w:val="●"/>
      <w:lvlJc w:val="left"/>
      <w:pPr>
        <w:ind w:left="5040" w:hanging="360"/>
      </w:pPr>
    </w:lvl>
    <w:lvl w:ilvl="7" w:tplc="1BDC245C">
      <w:start w:val="1"/>
      <w:numFmt w:val="bullet"/>
      <w:lvlText w:val="●"/>
      <w:lvlJc w:val="left"/>
      <w:pPr>
        <w:ind w:left="5760" w:hanging="360"/>
      </w:pPr>
    </w:lvl>
    <w:lvl w:ilvl="8" w:tplc="6742BC22">
      <w:start w:val="1"/>
      <w:numFmt w:val="bullet"/>
      <w:lvlText w:val="●"/>
      <w:lvlJc w:val="left"/>
      <w:pPr>
        <w:ind w:left="6480" w:hanging="360"/>
      </w:pPr>
    </w:lvl>
  </w:abstractNum>
  <w:abstractNum w:abstractNumId="2" w15:restartNumberingAfterBreak="0">
    <w:nsid w:val="5E6D4DD8"/>
    <w:multiLevelType w:val="hybridMultilevel"/>
    <w:tmpl w:val="2A10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4190936">
    <w:abstractNumId w:val="1"/>
    <w:lvlOverride w:ilvl="0">
      <w:startOverride w:val="1"/>
    </w:lvlOverride>
  </w:num>
  <w:num w:numId="2" w16cid:durableId="106704917">
    <w:abstractNumId w:val="0"/>
  </w:num>
  <w:num w:numId="3" w16cid:durableId="736323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E0tzSwsDQ2MjQ1NbNU0lEKTi0uzszPAykwrAUAj0jGZywAAAA="/>
  </w:docVars>
  <w:rsids>
    <w:rsidRoot w:val="00BA7814"/>
    <w:rsid w:val="00144FBC"/>
    <w:rsid w:val="0027039F"/>
    <w:rsid w:val="002A6CF3"/>
    <w:rsid w:val="002C36A3"/>
    <w:rsid w:val="002D2BF3"/>
    <w:rsid w:val="002D690C"/>
    <w:rsid w:val="002F75CE"/>
    <w:rsid w:val="003143A3"/>
    <w:rsid w:val="003A61A6"/>
    <w:rsid w:val="003F4E4C"/>
    <w:rsid w:val="0047581A"/>
    <w:rsid w:val="004F1638"/>
    <w:rsid w:val="004F6752"/>
    <w:rsid w:val="0058105A"/>
    <w:rsid w:val="00666288"/>
    <w:rsid w:val="006E1B0F"/>
    <w:rsid w:val="00702C05"/>
    <w:rsid w:val="00704BC9"/>
    <w:rsid w:val="00727525"/>
    <w:rsid w:val="00833139"/>
    <w:rsid w:val="00855B80"/>
    <w:rsid w:val="008F31B9"/>
    <w:rsid w:val="009C2A3A"/>
    <w:rsid w:val="00B47054"/>
    <w:rsid w:val="00B61106"/>
    <w:rsid w:val="00BA7814"/>
    <w:rsid w:val="00BC5A01"/>
    <w:rsid w:val="00BE0326"/>
    <w:rsid w:val="00C8041C"/>
    <w:rsid w:val="00DF208D"/>
    <w:rsid w:val="00E80F7D"/>
    <w:rsid w:val="00F25C75"/>
    <w:rsid w:val="00FA79F1"/>
    <w:rsid w:val="00FC6E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155A0"/>
  <w15:docId w15:val="{5E1AAC7E-025F-4D5B-8053-12A5ADD4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sz w:val="28"/>
      <w:szCs w:val="28"/>
    </w:rPr>
  </w:style>
  <w:style w:type="paragraph" w:styleId="Heading2">
    <w:name w:val="heading 2"/>
    <w:uiPriority w:val="9"/>
    <w:unhideWhenUsed/>
    <w:qFormat/>
    <w:pPr>
      <w:spacing w:before="180" w:after="100"/>
      <w:outlineLvl w:val="1"/>
    </w:pPr>
    <w:rPr>
      <w:b/>
      <w:bCs/>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uiPriority w:val="34"/>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table" w:styleId="TableGrid">
    <w:name w:val="Table Grid"/>
    <w:basedOn w:val="TableNormal"/>
    <w:uiPriority w:val="39"/>
    <w:qFormat/>
    <w:rsid w:val="002D2B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5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hyperlink" Target="https://doi.org/10.1080/03235400601121380" TargetMode="External"/><Relationship Id="rId47" Type="http://schemas.openxmlformats.org/officeDocument/2006/relationships/hyperlink" Target="https://doi.org/10.20546/ijcmas.2024.1304.010"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chart" Target="charts/chart4.xm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doi.org/10.18811/ijpen.v10i01.09" TargetMode="External"/><Relationship Id="rId5" Type="http://schemas.openxmlformats.org/officeDocument/2006/relationships/chart" Target="charts/chart1.xml"/><Relationship Id="rId15" Type="http://schemas.openxmlformats.org/officeDocument/2006/relationships/image" Target="media/image9.jpeg"/><Relationship Id="rId23" Type="http://schemas.openxmlformats.org/officeDocument/2006/relationships/chart" Target="charts/chart3.xm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doi.org/10.9734/jsrr/2024/v30i72141"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hyperlink" Target="https://doi.org/10.3390/applmicrobiol303006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doi.org/10.1007/s42360-021-00388-w" TargetMode="External"/><Relationship Id="rId48" Type="http://schemas.openxmlformats.org/officeDocument/2006/relationships/hyperlink" Target="https://doi.org/10.1038/159850b0" TargetMode="Externa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doi.org/10.1007/s42161-024-01638-8" TargetMode="External"/><Relationship Id="rId20" Type="http://schemas.openxmlformats.org/officeDocument/2006/relationships/image" Target="media/image14.jpeg"/><Relationship Id="rId41" Type="http://schemas.openxmlformats.org/officeDocument/2006/relationships/hyperlink" Target="https://doi.org/10.1038/s41598-022-20708-4" TargetMode="External"/><Relationship Id="rId1" Type="http://schemas.openxmlformats.org/officeDocument/2006/relationships/numbering" Target="numbering.xml"/><Relationship Id="rId6"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sz="1300" b="1" baseline="0">
                <a:solidFill>
                  <a:schemeClr val="tx1"/>
                </a:solidFill>
              </a:rPr>
              <a:t>a. Disease inhibition (%) at different concentration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IN"/>
        </a:p>
      </c:txPr>
    </c:title>
    <c:autoTitleDeleted val="0"/>
    <c:plotArea>
      <c:layout>
        <c:manualLayout>
          <c:layoutTarget val="inner"/>
          <c:xMode val="edge"/>
          <c:yMode val="edge"/>
          <c:x val="0.10456984543598717"/>
          <c:y val="0.19789682539682535"/>
          <c:w val="0.86831200787401575"/>
          <c:h val="0.71004655668041494"/>
        </c:manualLayout>
      </c:layout>
      <c:barChart>
        <c:barDir val="col"/>
        <c:grouping val="clustered"/>
        <c:varyColors val="0"/>
        <c:ser>
          <c:idx val="0"/>
          <c:order val="0"/>
          <c:tx>
            <c:strRef>
              <c:f>Sheet1!$B$1</c:f>
              <c:strCache>
                <c:ptCount val="1"/>
                <c:pt idx="0">
                  <c:v>Inhibition (%)</c:v>
                </c:pt>
              </c:strCache>
            </c:strRef>
          </c:tx>
          <c:spPr>
            <a:solidFill>
              <a:schemeClr val="accent1"/>
            </a:solidFill>
            <a:ln>
              <a:noFill/>
            </a:ln>
            <a:effectLst/>
          </c:spPr>
          <c:invertIfNegative val="0"/>
          <c:dPt>
            <c:idx val="0"/>
            <c:invertIfNegative val="0"/>
            <c:bubble3D val="0"/>
            <c:spPr>
              <a:pattFill prst="wdUpDiag">
                <a:fgClr>
                  <a:schemeClr val="bg2">
                    <a:lumMod val="10000"/>
                  </a:schemeClr>
                </a:fgClr>
                <a:bgClr>
                  <a:srgbClr val="00B0F0"/>
                </a:bgClr>
              </a:pattFill>
              <a:ln>
                <a:noFill/>
              </a:ln>
              <a:effectLst/>
            </c:spPr>
            <c:extLst>
              <c:ext xmlns:c16="http://schemas.microsoft.com/office/drawing/2014/chart" uri="{C3380CC4-5D6E-409C-BE32-E72D297353CC}">
                <c16:uniqueId val="{00000001-67AD-4D15-B00B-8DB6B8A73687}"/>
              </c:ext>
            </c:extLst>
          </c:dPt>
          <c:dPt>
            <c:idx val="1"/>
            <c:invertIfNegative val="0"/>
            <c:bubble3D val="0"/>
            <c:spPr>
              <a:pattFill prst="trellis">
                <a:fgClr>
                  <a:schemeClr val="bg2">
                    <a:lumMod val="10000"/>
                  </a:schemeClr>
                </a:fgClr>
                <a:bgClr>
                  <a:srgbClr val="00B0F0"/>
                </a:bgClr>
              </a:pattFill>
              <a:ln>
                <a:noFill/>
              </a:ln>
              <a:effectLst/>
            </c:spPr>
            <c:extLst>
              <c:ext xmlns:c16="http://schemas.microsoft.com/office/drawing/2014/chart" uri="{C3380CC4-5D6E-409C-BE32-E72D297353CC}">
                <c16:uniqueId val="{00000003-67AD-4D15-B00B-8DB6B8A73687}"/>
              </c:ext>
            </c:extLst>
          </c:dPt>
          <c:dPt>
            <c:idx val="2"/>
            <c:invertIfNegative val="0"/>
            <c:bubble3D val="0"/>
            <c:spPr>
              <a:solidFill>
                <a:srgbClr val="00B0F0"/>
              </a:solidFill>
              <a:ln>
                <a:noFill/>
              </a:ln>
              <a:effectLst/>
            </c:spPr>
            <c:extLst>
              <c:ext xmlns:c16="http://schemas.microsoft.com/office/drawing/2014/chart" uri="{C3380CC4-5D6E-409C-BE32-E72D297353CC}">
                <c16:uniqueId val="{00000005-67AD-4D15-B00B-8DB6B8A73687}"/>
              </c:ext>
            </c:extLst>
          </c:dPt>
          <c:dPt>
            <c:idx val="3"/>
            <c:invertIfNegative val="0"/>
            <c:bubble3D val="0"/>
            <c:spPr>
              <a:pattFill prst="wdUpDiag">
                <a:fgClr>
                  <a:srgbClr val="7030A0"/>
                </a:fgClr>
                <a:bgClr>
                  <a:srgbClr val="CC66FF"/>
                </a:bgClr>
              </a:pattFill>
              <a:ln>
                <a:noFill/>
              </a:ln>
              <a:effectLst/>
            </c:spPr>
            <c:extLst>
              <c:ext xmlns:c16="http://schemas.microsoft.com/office/drawing/2014/chart" uri="{C3380CC4-5D6E-409C-BE32-E72D297353CC}">
                <c16:uniqueId val="{00000007-67AD-4D15-B00B-8DB6B8A73687}"/>
              </c:ext>
            </c:extLst>
          </c:dPt>
          <c:dPt>
            <c:idx val="4"/>
            <c:invertIfNegative val="0"/>
            <c:bubble3D val="0"/>
            <c:spPr>
              <a:pattFill prst="trellis">
                <a:fgClr>
                  <a:srgbClr val="7030A0"/>
                </a:fgClr>
                <a:bgClr>
                  <a:srgbClr val="CC66FF"/>
                </a:bgClr>
              </a:pattFill>
              <a:ln>
                <a:noFill/>
              </a:ln>
              <a:effectLst/>
            </c:spPr>
            <c:extLst>
              <c:ext xmlns:c16="http://schemas.microsoft.com/office/drawing/2014/chart" uri="{C3380CC4-5D6E-409C-BE32-E72D297353CC}">
                <c16:uniqueId val="{00000009-67AD-4D15-B00B-8DB6B8A73687}"/>
              </c:ext>
            </c:extLst>
          </c:dPt>
          <c:dPt>
            <c:idx val="5"/>
            <c:invertIfNegative val="0"/>
            <c:bubble3D val="0"/>
            <c:spPr>
              <a:solidFill>
                <a:srgbClr val="7030A0"/>
              </a:solidFill>
              <a:ln>
                <a:noFill/>
              </a:ln>
              <a:effectLst/>
            </c:spPr>
            <c:extLst>
              <c:ext xmlns:c16="http://schemas.microsoft.com/office/drawing/2014/chart" uri="{C3380CC4-5D6E-409C-BE32-E72D297353CC}">
                <c16:uniqueId val="{0000000B-67AD-4D15-B00B-8DB6B8A73687}"/>
              </c:ext>
            </c:extLst>
          </c:dPt>
          <c:dPt>
            <c:idx val="6"/>
            <c:invertIfNegative val="0"/>
            <c:bubble3D val="0"/>
            <c:spPr>
              <a:pattFill prst="wdUpDiag">
                <a:fgClr>
                  <a:schemeClr val="tx1">
                    <a:lumMod val="95000"/>
                    <a:lumOff val="5000"/>
                  </a:schemeClr>
                </a:fgClr>
                <a:bgClr>
                  <a:srgbClr val="00B050"/>
                </a:bgClr>
              </a:pattFill>
              <a:ln>
                <a:noFill/>
              </a:ln>
              <a:effectLst/>
            </c:spPr>
            <c:extLst>
              <c:ext xmlns:c16="http://schemas.microsoft.com/office/drawing/2014/chart" uri="{C3380CC4-5D6E-409C-BE32-E72D297353CC}">
                <c16:uniqueId val="{0000000D-67AD-4D15-B00B-8DB6B8A73687}"/>
              </c:ext>
            </c:extLst>
          </c:dPt>
          <c:dPt>
            <c:idx val="7"/>
            <c:invertIfNegative val="0"/>
            <c:bubble3D val="0"/>
            <c:spPr>
              <a:pattFill prst="trellis">
                <a:fgClr>
                  <a:schemeClr val="tx1">
                    <a:lumMod val="95000"/>
                    <a:lumOff val="5000"/>
                  </a:schemeClr>
                </a:fgClr>
                <a:bgClr>
                  <a:srgbClr val="00B050"/>
                </a:bgClr>
              </a:pattFill>
              <a:ln>
                <a:noFill/>
              </a:ln>
              <a:effectLst/>
            </c:spPr>
            <c:extLst>
              <c:ext xmlns:c16="http://schemas.microsoft.com/office/drawing/2014/chart" uri="{C3380CC4-5D6E-409C-BE32-E72D297353CC}">
                <c16:uniqueId val="{0000000F-67AD-4D15-B00B-8DB6B8A73687}"/>
              </c:ext>
            </c:extLst>
          </c:dPt>
          <c:dPt>
            <c:idx val="8"/>
            <c:invertIfNegative val="0"/>
            <c:bubble3D val="0"/>
            <c:spPr>
              <a:solidFill>
                <a:srgbClr val="00B050"/>
              </a:solidFill>
              <a:ln>
                <a:noFill/>
              </a:ln>
              <a:effectLst/>
            </c:spPr>
            <c:extLst>
              <c:ext xmlns:c16="http://schemas.microsoft.com/office/drawing/2014/chart" uri="{C3380CC4-5D6E-409C-BE32-E72D297353CC}">
                <c16:uniqueId val="{00000011-67AD-4D15-B00B-8DB6B8A73687}"/>
              </c:ext>
            </c:extLst>
          </c:dPt>
          <c:dPt>
            <c:idx val="9"/>
            <c:invertIfNegative val="0"/>
            <c:bubble3D val="0"/>
            <c:spPr>
              <a:pattFill prst="wdUpDiag">
                <a:fgClr>
                  <a:schemeClr val="tx1">
                    <a:lumMod val="95000"/>
                    <a:lumOff val="5000"/>
                  </a:schemeClr>
                </a:fgClr>
                <a:bgClr>
                  <a:srgbClr val="FF3300"/>
                </a:bgClr>
              </a:pattFill>
              <a:ln>
                <a:noFill/>
              </a:ln>
              <a:effectLst/>
            </c:spPr>
            <c:extLst>
              <c:ext xmlns:c16="http://schemas.microsoft.com/office/drawing/2014/chart" uri="{C3380CC4-5D6E-409C-BE32-E72D297353CC}">
                <c16:uniqueId val="{00000013-67AD-4D15-B00B-8DB6B8A73687}"/>
              </c:ext>
            </c:extLst>
          </c:dPt>
          <c:dPt>
            <c:idx val="10"/>
            <c:invertIfNegative val="0"/>
            <c:bubble3D val="0"/>
            <c:spPr>
              <a:pattFill prst="trellis">
                <a:fgClr>
                  <a:schemeClr val="tx1">
                    <a:lumMod val="95000"/>
                    <a:lumOff val="5000"/>
                  </a:schemeClr>
                </a:fgClr>
                <a:bgClr>
                  <a:srgbClr val="FF3300"/>
                </a:bgClr>
              </a:pattFill>
              <a:ln>
                <a:noFill/>
              </a:ln>
              <a:effectLst/>
            </c:spPr>
            <c:extLst>
              <c:ext xmlns:c16="http://schemas.microsoft.com/office/drawing/2014/chart" uri="{C3380CC4-5D6E-409C-BE32-E72D297353CC}">
                <c16:uniqueId val="{00000015-67AD-4D15-B00B-8DB6B8A73687}"/>
              </c:ext>
            </c:extLst>
          </c:dPt>
          <c:dPt>
            <c:idx val="11"/>
            <c:invertIfNegative val="0"/>
            <c:bubble3D val="0"/>
            <c:spPr>
              <a:solidFill>
                <a:srgbClr val="FF3300"/>
              </a:solidFill>
              <a:ln>
                <a:noFill/>
              </a:ln>
              <a:effectLst/>
            </c:spPr>
            <c:extLst>
              <c:ext xmlns:c16="http://schemas.microsoft.com/office/drawing/2014/chart" uri="{C3380CC4-5D6E-409C-BE32-E72D297353CC}">
                <c16:uniqueId val="{00000017-67AD-4D15-B00B-8DB6B8A73687}"/>
              </c:ext>
            </c:extLst>
          </c:dPt>
          <c:dPt>
            <c:idx val="12"/>
            <c:invertIfNegative val="0"/>
            <c:bubble3D val="0"/>
            <c:spPr>
              <a:pattFill prst="wdUpDiag">
                <a:fgClr>
                  <a:schemeClr val="tx1">
                    <a:lumMod val="95000"/>
                    <a:lumOff val="5000"/>
                  </a:schemeClr>
                </a:fgClr>
                <a:bgClr>
                  <a:srgbClr val="008000"/>
                </a:bgClr>
              </a:pattFill>
              <a:ln>
                <a:noFill/>
              </a:ln>
              <a:effectLst/>
            </c:spPr>
            <c:extLst>
              <c:ext xmlns:c16="http://schemas.microsoft.com/office/drawing/2014/chart" uri="{C3380CC4-5D6E-409C-BE32-E72D297353CC}">
                <c16:uniqueId val="{00000019-67AD-4D15-B00B-8DB6B8A73687}"/>
              </c:ext>
            </c:extLst>
          </c:dPt>
          <c:dPt>
            <c:idx val="13"/>
            <c:invertIfNegative val="0"/>
            <c:bubble3D val="0"/>
            <c:spPr>
              <a:pattFill prst="trellis">
                <a:fgClr>
                  <a:schemeClr val="bg2">
                    <a:lumMod val="10000"/>
                  </a:schemeClr>
                </a:fgClr>
                <a:bgClr>
                  <a:srgbClr val="008000"/>
                </a:bgClr>
              </a:pattFill>
              <a:ln>
                <a:noFill/>
              </a:ln>
              <a:effectLst/>
            </c:spPr>
            <c:extLst>
              <c:ext xmlns:c16="http://schemas.microsoft.com/office/drawing/2014/chart" uri="{C3380CC4-5D6E-409C-BE32-E72D297353CC}">
                <c16:uniqueId val="{0000001B-67AD-4D15-B00B-8DB6B8A73687}"/>
              </c:ext>
            </c:extLst>
          </c:dPt>
          <c:dPt>
            <c:idx val="14"/>
            <c:invertIfNegative val="0"/>
            <c:bubble3D val="0"/>
            <c:spPr>
              <a:solidFill>
                <a:srgbClr val="008000"/>
              </a:solidFill>
              <a:ln>
                <a:noFill/>
              </a:ln>
              <a:effectLst/>
            </c:spPr>
            <c:extLst>
              <c:ext xmlns:c16="http://schemas.microsoft.com/office/drawing/2014/chart" uri="{C3380CC4-5D6E-409C-BE32-E72D297353CC}">
                <c16:uniqueId val="{0000001D-67AD-4D15-B00B-8DB6B8A73687}"/>
              </c:ext>
            </c:extLst>
          </c:dPt>
          <c:cat>
            <c:strRef>
              <c:f>Sheet1!$A$2:$A$17</c:f>
              <c:strCache>
                <c:ptCount val="16"/>
                <c:pt idx="1">
                  <c:v>Garlic </c:v>
                </c:pt>
                <c:pt idx="4">
                  <c:v>Ginger</c:v>
                </c:pt>
                <c:pt idx="7">
                  <c:v>Turmeric </c:v>
                </c:pt>
                <c:pt idx="10">
                  <c:v>Tulsi </c:v>
                </c:pt>
                <c:pt idx="13">
                  <c:v>Lantana </c:v>
                </c:pt>
                <c:pt idx="15">
                  <c:v>Control</c:v>
                </c:pt>
              </c:strCache>
            </c:strRef>
          </c:cat>
          <c:val>
            <c:numRef>
              <c:f>Sheet1!$B$2:$B$17</c:f>
              <c:numCache>
                <c:formatCode>General</c:formatCode>
                <c:ptCount val="16"/>
                <c:pt idx="0">
                  <c:v>49.33</c:v>
                </c:pt>
                <c:pt idx="1">
                  <c:v>60.67</c:v>
                </c:pt>
                <c:pt idx="2">
                  <c:v>66.44</c:v>
                </c:pt>
                <c:pt idx="3">
                  <c:v>39.44</c:v>
                </c:pt>
                <c:pt idx="4">
                  <c:v>47.89</c:v>
                </c:pt>
                <c:pt idx="5">
                  <c:v>63.44</c:v>
                </c:pt>
                <c:pt idx="6">
                  <c:v>46.56</c:v>
                </c:pt>
                <c:pt idx="7">
                  <c:v>52.11</c:v>
                </c:pt>
                <c:pt idx="8">
                  <c:v>66</c:v>
                </c:pt>
                <c:pt idx="9">
                  <c:v>38.67</c:v>
                </c:pt>
                <c:pt idx="10">
                  <c:v>49.56</c:v>
                </c:pt>
                <c:pt idx="11">
                  <c:v>64</c:v>
                </c:pt>
                <c:pt idx="12">
                  <c:v>29.44</c:v>
                </c:pt>
                <c:pt idx="13">
                  <c:v>39.44</c:v>
                </c:pt>
                <c:pt idx="14">
                  <c:v>60.78</c:v>
                </c:pt>
                <c:pt idx="15">
                  <c:v>0</c:v>
                </c:pt>
              </c:numCache>
            </c:numRef>
          </c:val>
          <c:extLst>
            <c:ext xmlns:c16="http://schemas.microsoft.com/office/drawing/2014/chart" uri="{C3380CC4-5D6E-409C-BE32-E72D297353CC}">
              <c16:uniqueId val="{0000001E-67AD-4D15-B00B-8DB6B8A73687}"/>
            </c:ext>
          </c:extLst>
        </c:ser>
        <c:ser>
          <c:idx val="2"/>
          <c:order val="2"/>
          <c:tx>
            <c:strRef>
              <c:f>Sheet1!$D$1</c:f>
              <c:strCache>
                <c:ptCount val="1"/>
                <c:pt idx="0">
                  <c:v>2.50%</c:v>
                </c:pt>
              </c:strCache>
            </c:strRef>
          </c:tx>
          <c:spPr>
            <a:pattFill prst="wdUpDiag">
              <a:fgClr>
                <a:sysClr val="windowText" lastClr="000000"/>
              </a:fgClr>
              <a:bgClr>
                <a:schemeClr val="bg1"/>
              </a:bgClr>
            </a:pattFill>
            <a:ln>
              <a:noFill/>
            </a:ln>
            <a:effectLst/>
          </c:spPr>
          <c:invertIfNegative val="0"/>
          <c:cat>
            <c:strRef>
              <c:f>Sheet1!$A$2:$A$17</c:f>
              <c:strCache>
                <c:ptCount val="16"/>
                <c:pt idx="1">
                  <c:v>Garlic </c:v>
                </c:pt>
                <c:pt idx="4">
                  <c:v>Ginger</c:v>
                </c:pt>
                <c:pt idx="7">
                  <c:v>Turmeric </c:v>
                </c:pt>
                <c:pt idx="10">
                  <c:v>Tulsi </c:v>
                </c:pt>
                <c:pt idx="13">
                  <c:v>Lantana </c:v>
                </c:pt>
                <c:pt idx="15">
                  <c:v>Control</c:v>
                </c:pt>
              </c:strCache>
            </c:strRef>
          </c:cat>
          <c:val>
            <c:numRef>
              <c:f>Sheet1!$D$2:$D$17</c:f>
              <c:numCache>
                <c:formatCode>General</c:formatCode>
                <c:ptCount val="16"/>
              </c:numCache>
            </c:numRef>
          </c:val>
          <c:extLst>
            <c:ext xmlns:c16="http://schemas.microsoft.com/office/drawing/2014/chart" uri="{C3380CC4-5D6E-409C-BE32-E72D297353CC}">
              <c16:uniqueId val="{0000001F-67AD-4D15-B00B-8DB6B8A73687}"/>
            </c:ext>
          </c:extLst>
        </c:ser>
        <c:dLbls>
          <c:showLegendKey val="0"/>
          <c:showVal val="0"/>
          <c:showCatName val="0"/>
          <c:showSerName val="0"/>
          <c:showPercent val="0"/>
          <c:showBubbleSize val="0"/>
        </c:dLbls>
        <c:gapWidth val="59"/>
        <c:overlap val="100"/>
        <c:axId val="1770516672"/>
        <c:axId val="1770517632"/>
      </c:barChart>
      <c:lineChart>
        <c:grouping val="standard"/>
        <c:varyColors val="0"/>
        <c:ser>
          <c:idx val="1"/>
          <c:order val="1"/>
          <c:tx>
            <c:strRef>
              <c:f>Sheet1!$C$1</c:f>
              <c:strCache>
                <c:ptCount val="1"/>
                <c:pt idx="0">
                  <c:v>60% Threshold</c:v>
                </c:pt>
              </c:strCache>
            </c:strRef>
          </c:tx>
          <c:spPr>
            <a:ln w="22225" cap="rnd">
              <a:solidFill>
                <a:schemeClr val="accent2"/>
              </a:solidFill>
              <a:prstDash val="sysDash"/>
              <a:round/>
            </a:ln>
            <a:effectLst/>
          </c:spPr>
          <c:marker>
            <c:symbol val="none"/>
          </c:marker>
          <c:cat>
            <c:strRef>
              <c:f>Sheet1!$A$2:$A$17</c:f>
              <c:strCache>
                <c:ptCount val="16"/>
                <c:pt idx="1">
                  <c:v>Garlic </c:v>
                </c:pt>
                <c:pt idx="4">
                  <c:v>Ginger</c:v>
                </c:pt>
                <c:pt idx="7">
                  <c:v>Turmeric </c:v>
                </c:pt>
                <c:pt idx="10">
                  <c:v>Tulsi </c:v>
                </c:pt>
                <c:pt idx="13">
                  <c:v>Lantana </c:v>
                </c:pt>
                <c:pt idx="15">
                  <c:v>Control</c:v>
                </c:pt>
              </c:strCache>
            </c:strRef>
          </c:cat>
          <c:val>
            <c:numRef>
              <c:f>Sheet1!$C$2:$C$17</c:f>
              <c:numCache>
                <c:formatCode>General</c:formatCode>
                <c:ptCount val="16"/>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numCache>
            </c:numRef>
          </c:val>
          <c:smooth val="0"/>
          <c:extLst>
            <c:ext xmlns:c16="http://schemas.microsoft.com/office/drawing/2014/chart" uri="{C3380CC4-5D6E-409C-BE32-E72D297353CC}">
              <c16:uniqueId val="{00000020-67AD-4D15-B00B-8DB6B8A73687}"/>
            </c:ext>
          </c:extLst>
        </c:ser>
        <c:ser>
          <c:idx val="3"/>
          <c:order val="3"/>
          <c:tx>
            <c:strRef>
              <c:f>Sheet1!$E$1</c:f>
              <c:strCache>
                <c:ptCount val="1"/>
                <c:pt idx="0">
                  <c:v>5%</c:v>
                </c:pt>
              </c:strCache>
            </c:strRef>
          </c:tx>
          <c:spPr>
            <a:ln w="28575" cap="sq" cmpd="sng">
              <a:solidFill>
                <a:schemeClr val="bg2">
                  <a:lumMod val="10000"/>
                </a:schemeClr>
              </a:solidFill>
              <a:prstDash val="sysDot"/>
              <a:round/>
            </a:ln>
            <a:effectLst/>
          </c:spPr>
          <c:marker>
            <c:symbol val="none"/>
          </c:marker>
          <c:cat>
            <c:strRef>
              <c:f>Sheet1!$A$2:$A$17</c:f>
              <c:strCache>
                <c:ptCount val="16"/>
                <c:pt idx="1">
                  <c:v>Garlic </c:v>
                </c:pt>
                <c:pt idx="4">
                  <c:v>Ginger</c:v>
                </c:pt>
                <c:pt idx="7">
                  <c:v>Turmeric </c:v>
                </c:pt>
                <c:pt idx="10">
                  <c:v>Tulsi </c:v>
                </c:pt>
                <c:pt idx="13">
                  <c:v>Lantana </c:v>
                </c:pt>
                <c:pt idx="15">
                  <c:v>Control</c:v>
                </c:pt>
              </c:strCache>
            </c:strRef>
          </c:cat>
          <c:val>
            <c:numRef>
              <c:f>Sheet1!$E$2:$E$17</c:f>
              <c:numCache>
                <c:formatCode>General</c:formatCode>
                <c:ptCount val="16"/>
              </c:numCache>
            </c:numRef>
          </c:val>
          <c:smooth val="0"/>
          <c:extLst>
            <c:ext xmlns:c16="http://schemas.microsoft.com/office/drawing/2014/chart" uri="{C3380CC4-5D6E-409C-BE32-E72D297353CC}">
              <c16:uniqueId val="{00000021-67AD-4D15-B00B-8DB6B8A73687}"/>
            </c:ext>
          </c:extLst>
        </c:ser>
        <c:ser>
          <c:idx val="4"/>
          <c:order val="4"/>
          <c:tx>
            <c:strRef>
              <c:f>Sheet1!$F$1</c:f>
              <c:strCache>
                <c:ptCount val="1"/>
                <c:pt idx="0">
                  <c:v>10%</c:v>
                </c:pt>
              </c:strCache>
            </c:strRef>
          </c:tx>
          <c:spPr>
            <a:ln w="28575" cap="rnd">
              <a:solidFill>
                <a:schemeClr val="accent5"/>
              </a:solidFill>
              <a:round/>
            </a:ln>
            <a:effectLst/>
          </c:spPr>
          <c:marker>
            <c:symbol val="none"/>
          </c:marker>
          <c:cat>
            <c:strRef>
              <c:f>Sheet1!$A$2:$A$17</c:f>
              <c:strCache>
                <c:ptCount val="16"/>
                <c:pt idx="1">
                  <c:v>Garlic </c:v>
                </c:pt>
                <c:pt idx="4">
                  <c:v>Ginger</c:v>
                </c:pt>
                <c:pt idx="7">
                  <c:v>Turmeric </c:v>
                </c:pt>
                <c:pt idx="10">
                  <c:v>Tulsi </c:v>
                </c:pt>
                <c:pt idx="13">
                  <c:v>Lantana </c:v>
                </c:pt>
                <c:pt idx="15">
                  <c:v>Control</c:v>
                </c:pt>
              </c:strCache>
            </c:strRef>
          </c:cat>
          <c:val>
            <c:numRef>
              <c:f>Sheet1!$F$2:$F$17</c:f>
              <c:numCache>
                <c:formatCode>General</c:formatCode>
                <c:ptCount val="16"/>
              </c:numCache>
            </c:numRef>
          </c:val>
          <c:smooth val="0"/>
          <c:extLst>
            <c:ext xmlns:c16="http://schemas.microsoft.com/office/drawing/2014/chart" uri="{C3380CC4-5D6E-409C-BE32-E72D297353CC}">
              <c16:uniqueId val="{00000022-67AD-4D15-B00B-8DB6B8A73687}"/>
            </c:ext>
          </c:extLst>
        </c:ser>
        <c:dLbls>
          <c:showLegendKey val="0"/>
          <c:showVal val="0"/>
          <c:showCatName val="0"/>
          <c:showSerName val="0"/>
          <c:showPercent val="0"/>
          <c:showBubbleSize val="0"/>
        </c:dLbls>
        <c:marker val="1"/>
        <c:smooth val="0"/>
        <c:axId val="1770516672"/>
        <c:axId val="1770517632"/>
      </c:lineChart>
      <c:catAx>
        <c:axId val="177051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70517632"/>
        <c:crosses val="autoZero"/>
        <c:auto val="1"/>
        <c:lblAlgn val="ctr"/>
        <c:lblOffset val="100"/>
        <c:noMultiLvlLbl val="0"/>
      </c:catAx>
      <c:valAx>
        <c:axId val="1770517632"/>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baseline="0">
                    <a:solidFill>
                      <a:schemeClr val="tx1"/>
                    </a:solidFill>
                  </a:rPr>
                  <a:t>Percent inhibition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70516672"/>
        <c:crosses val="autoZero"/>
        <c:crossBetween val="between"/>
      </c:valAx>
      <c:spPr>
        <a:noFill/>
        <a:ln>
          <a:noFill/>
        </a:ln>
        <a:effectLst/>
      </c:spPr>
    </c:plotArea>
    <c:legend>
      <c:legendPos val="tr"/>
      <c:legendEntry>
        <c:idx val="0"/>
        <c:delete val="1"/>
      </c:legendEntry>
      <c:layout>
        <c:manualLayout>
          <c:xMode val="edge"/>
          <c:yMode val="edge"/>
          <c:x val="0.80483723388743078"/>
          <c:y val="0.1225"/>
          <c:w val="0.18127387722368038"/>
          <c:h val="0.1699912510936132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mn-lt"/>
                <a:ea typeface="+mn-ea"/>
                <a:cs typeface="+mn-cs"/>
              </a:defRPr>
            </a:pPr>
            <a:r>
              <a:rPr lang="en-IN" sz="1400" b="1" i="0" u="none" strike="noStrike" kern="1200" spc="0" baseline="0">
                <a:solidFill>
                  <a:schemeClr val="tx1"/>
                </a:solidFill>
              </a:rPr>
              <a:t>b. Dose - response relationship</a:t>
            </a:r>
          </a:p>
          <a:p>
            <a:pPr marL="0" marR="0" lvl="0" indent="0" algn="ctr" defTabSz="914400" rtl="0" eaLnBrk="1" fontAlgn="auto" latinLnBrk="0" hangingPunct="1">
              <a:lnSpc>
                <a:spcPct val="100000"/>
              </a:lnSpc>
              <a:spcBef>
                <a:spcPts val="0"/>
              </a:spcBef>
              <a:spcAft>
                <a:spcPts val="0"/>
              </a:spcAft>
              <a:buClrTx/>
              <a:buSzTx/>
              <a:buFontTx/>
              <a:buNone/>
              <a:tabLst/>
              <a:defRPr>
                <a:solidFill>
                  <a:schemeClr val="tx1"/>
                </a:solidFill>
              </a:defRPr>
            </a:pPr>
            <a:endParaRPr lang="en-IN" baseline="0">
              <a:solidFill>
                <a:schemeClr val="tx1"/>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Garlic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Sheet1!$A$2:$A$4</c:f>
              <c:numCache>
                <c:formatCode>General</c:formatCode>
                <c:ptCount val="3"/>
                <c:pt idx="0">
                  <c:v>2.5</c:v>
                </c:pt>
                <c:pt idx="1">
                  <c:v>5</c:v>
                </c:pt>
                <c:pt idx="2">
                  <c:v>10</c:v>
                </c:pt>
              </c:numCache>
            </c:numRef>
          </c:cat>
          <c:val>
            <c:numRef>
              <c:f>Sheet1!$B$2:$B$4</c:f>
              <c:numCache>
                <c:formatCode>General</c:formatCode>
                <c:ptCount val="3"/>
                <c:pt idx="0">
                  <c:v>49.33</c:v>
                </c:pt>
                <c:pt idx="1">
                  <c:v>60.67</c:v>
                </c:pt>
                <c:pt idx="2">
                  <c:v>66.44</c:v>
                </c:pt>
              </c:numCache>
            </c:numRef>
          </c:val>
          <c:smooth val="0"/>
          <c:extLst>
            <c:ext xmlns:c16="http://schemas.microsoft.com/office/drawing/2014/chart" uri="{C3380CC4-5D6E-409C-BE32-E72D297353CC}">
              <c16:uniqueId val="{00000000-3D56-495E-9AD2-CAE4FA0F381C}"/>
            </c:ext>
          </c:extLst>
        </c:ser>
        <c:ser>
          <c:idx val="1"/>
          <c:order val="1"/>
          <c:tx>
            <c:strRef>
              <c:f>Sheet1!$C$1</c:f>
              <c:strCache>
                <c:ptCount val="1"/>
                <c:pt idx="0">
                  <c:v>Ginger</c:v>
                </c:pt>
              </c:strCache>
            </c:strRef>
          </c:tx>
          <c:spPr>
            <a:ln w="28575" cap="rnd">
              <a:solidFill>
                <a:srgbClr val="F84426"/>
              </a:solidFill>
              <a:round/>
            </a:ln>
            <a:effectLst/>
          </c:spPr>
          <c:marker>
            <c:symbol val="circle"/>
            <c:size val="5"/>
            <c:spPr>
              <a:solidFill>
                <a:schemeClr val="accent2"/>
              </a:solidFill>
              <a:ln w="9525">
                <a:solidFill>
                  <a:schemeClr val="accent2"/>
                </a:solidFill>
              </a:ln>
              <a:effectLst/>
            </c:spPr>
          </c:marker>
          <c:cat>
            <c:numRef>
              <c:f>Sheet1!$A$2:$A$4</c:f>
              <c:numCache>
                <c:formatCode>General</c:formatCode>
                <c:ptCount val="3"/>
                <c:pt idx="0">
                  <c:v>2.5</c:v>
                </c:pt>
                <c:pt idx="1">
                  <c:v>5</c:v>
                </c:pt>
                <c:pt idx="2">
                  <c:v>10</c:v>
                </c:pt>
              </c:numCache>
            </c:numRef>
          </c:cat>
          <c:val>
            <c:numRef>
              <c:f>Sheet1!$C$2:$C$4</c:f>
              <c:numCache>
                <c:formatCode>General</c:formatCode>
                <c:ptCount val="3"/>
                <c:pt idx="0">
                  <c:v>39.44</c:v>
                </c:pt>
                <c:pt idx="1">
                  <c:v>47.89</c:v>
                </c:pt>
                <c:pt idx="2">
                  <c:v>63.44</c:v>
                </c:pt>
              </c:numCache>
            </c:numRef>
          </c:val>
          <c:smooth val="0"/>
          <c:extLst>
            <c:ext xmlns:c16="http://schemas.microsoft.com/office/drawing/2014/chart" uri="{C3380CC4-5D6E-409C-BE32-E72D297353CC}">
              <c16:uniqueId val="{00000001-3D56-495E-9AD2-CAE4FA0F381C}"/>
            </c:ext>
          </c:extLst>
        </c:ser>
        <c:ser>
          <c:idx val="2"/>
          <c:order val="2"/>
          <c:tx>
            <c:strRef>
              <c:f>Sheet1!$D$1</c:f>
              <c:strCache>
                <c:ptCount val="1"/>
                <c:pt idx="0">
                  <c:v>Turmeric</c:v>
                </c:pt>
              </c:strCache>
            </c:strRef>
          </c:tx>
          <c:spPr>
            <a:ln w="28575" cap="rnd">
              <a:solidFill>
                <a:srgbClr val="00B050"/>
              </a:solidFill>
              <a:round/>
            </a:ln>
            <a:effectLst/>
          </c:spPr>
          <c:marker>
            <c:symbol val="circle"/>
            <c:size val="5"/>
            <c:spPr>
              <a:solidFill>
                <a:schemeClr val="accent3"/>
              </a:solidFill>
              <a:ln w="9525">
                <a:solidFill>
                  <a:schemeClr val="accent3"/>
                </a:solidFill>
              </a:ln>
              <a:effectLst/>
            </c:spPr>
          </c:marker>
          <c:cat>
            <c:numRef>
              <c:f>Sheet1!$A$2:$A$4</c:f>
              <c:numCache>
                <c:formatCode>General</c:formatCode>
                <c:ptCount val="3"/>
                <c:pt idx="0">
                  <c:v>2.5</c:v>
                </c:pt>
                <c:pt idx="1">
                  <c:v>5</c:v>
                </c:pt>
                <c:pt idx="2">
                  <c:v>10</c:v>
                </c:pt>
              </c:numCache>
            </c:numRef>
          </c:cat>
          <c:val>
            <c:numRef>
              <c:f>Sheet1!$D$2:$D$4</c:f>
              <c:numCache>
                <c:formatCode>General</c:formatCode>
                <c:ptCount val="3"/>
                <c:pt idx="0">
                  <c:v>46.56</c:v>
                </c:pt>
                <c:pt idx="1">
                  <c:v>52.11</c:v>
                </c:pt>
                <c:pt idx="2">
                  <c:v>66</c:v>
                </c:pt>
              </c:numCache>
            </c:numRef>
          </c:val>
          <c:smooth val="0"/>
          <c:extLst>
            <c:ext xmlns:c16="http://schemas.microsoft.com/office/drawing/2014/chart" uri="{C3380CC4-5D6E-409C-BE32-E72D297353CC}">
              <c16:uniqueId val="{00000002-3D56-495E-9AD2-CAE4FA0F381C}"/>
            </c:ext>
          </c:extLst>
        </c:ser>
        <c:ser>
          <c:idx val="3"/>
          <c:order val="3"/>
          <c:tx>
            <c:strRef>
              <c:f>Sheet1!$E$1</c:f>
              <c:strCache>
                <c:ptCount val="1"/>
                <c:pt idx="0">
                  <c:v>Tulsi</c:v>
                </c:pt>
              </c:strCache>
            </c:strRef>
          </c:tx>
          <c:spPr>
            <a:ln w="28575" cap="rnd">
              <a:solidFill>
                <a:srgbClr val="C00000"/>
              </a:solidFill>
              <a:round/>
            </a:ln>
            <a:effectLst/>
          </c:spPr>
          <c:marker>
            <c:symbol val="circle"/>
            <c:size val="5"/>
            <c:spPr>
              <a:solidFill>
                <a:schemeClr val="accent4"/>
              </a:solidFill>
              <a:ln w="9525">
                <a:solidFill>
                  <a:schemeClr val="accent4"/>
                </a:solidFill>
              </a:ln>
              <a:effectLst/>
            </c:spPr>
          </c:marker>
          <c:cat>
            <c:numRef>
              <c:f>Sheet1!$A$2:$A$4</c:f>
              <c:numCache>
                <c:formatCode>General</c:formatCode>
                <c:ptCount val="3"/>
                <c:pt idx="0">
                  <c:v>2.5</c:v>
                </c:pt>
                <c:pt idx="1">
                  <c:v>5</c:v>
                </c:pt>
                <c:pt idx="2">
                  <c:v>10</c:v>
                </c:pt>
              </c:numCache>
            </c:numRef>
          </c:cat>
          <c:val>
            <c:numRef>
              <c:f>Sheet1!$E$2:$E$4</c:f>
              <c:numCache>
                <c:formatCode>General</c:formatCode>
                <c:ptCount val="3"/>
                <c:pt idx="0">
                  <c:v>38.67</c:v>
                </c:pt>
                <c:pt idx="1">
                  <c:v>49.56</c:v>
                </c:pt>
                <c:pt idx="2">
                  <c:v>64</c:v>
                </c:pt>
              </c:numCache>
            </c:numRef>
          </c:val>
          <c:smooth val="0"/>
          <c:extLst>
            <c:ext xmlns:c16="http://schemas.microsoft.com/office/drawing/2014/chart" uri="{C3380CC4-5D6E-409C-BE32-E72D297353CC}">
              <c16:uniqueId val="{00000003-3D56-495E-9AD2-CAE4FA0F381C}"/>
            </c:ext>
          </c:extLst>
        </c:ser>
        <c:ser>
          <c:idx val="4"/>
          <c:order val="4"/>
          <c:tx>
            <c:strRef>
              <c:f>Sheet1!$F$1</c:f>
              <c:strCache>
                <c:ptCount val="1"/>
                <c:pt idx="0">
                  <c:v>Lantana</c:v>
                </c:pt>
              </c:strCache>
            </c:strRef>
          </c:tx>
          <c:spPr>
            <a:ln w="28575" cap="rnd">
              <a:solidFill>
                <a:srgbClr val="7030A0"/>
              </a:solidFill>
              <a:round/>
            </a:ln>
            <a:effectLst/>
          </c:spPr>
          <c:marker>
            <c:symbol val="circle"/>
            <c:size val="5"/>
            <c:spPr>
              <a:solidFill>
                <a:schemeClr val="accent5"/>
              </a:solidFill>
              <a:ln w="9525">
                <a:solidFill>
                  <a:schemeClr val="accent5"/>
                </a:solidFill>
              </a:ln>
              <a:effectLst/>
            </c:spPr>
          </c:marker>
          <c:cat>
            <c:numRef>
              <c:f>Sheet1!$A$2:$A$4</c:f>
              <c:numCache>
                <c:formatCode>General</c:formatCode>
                <c:ptCount val="3"/>
                <c:pt idx="0">
                  <c:v>2.5</c:v>
                </c:pt>
                <c:pt idx="1">
                  <c:v>5</c:v>
                </c:pt>
                <c:pt idx="2">
                  <c:v>10</c:v>
                </c:pt>
              </c:numCache>
            </c:numRef>
          </c:cat>
          <c:val>
            <c:numRef>
              <c:f>Sheet1!$F$2:$F$4</c:f>
              <c:numCache>
                <c:formatCode>General</c:formatCode>
                <c:ptCount val="3"/>
                <c:pt idx="0">
                  <c:v>29.44</c:v>
                </c:pt>
                <c:pt idx="1">
                  <c:v>39.44</c:v>
                </c:pt>
                <c:pt idx="2">
                  <c:v>60.78</c:v>
                </c:pt>
              </c:numCache>
            </c:numRef>
          </c:val>
          <c:smooth val="0"/>
          <c:extLst>
            <c:ext xmlns:c16="http://schemas.microsoft.com/office/drawing/2014/chart" uri="{C3380CC4-5D6E-409C-BE32-E72D297353CC}">
              <c16:uniqueId val="{00000004-3D56-495E-9AD2-CAE4FA0F381C}"/>
            </c:ext>
          </c:extLst>
        </c:ser>
        <c:dLbls>
          <c:showLegendKey val="0"/>
          <c:showVal val="0"/>
          <c:showCatName val="0"/>
          <c:showSerName val="0"/>
          <c:showPercent val="0"/>
          <c:showBubbleSize val="0"/>
        </c:dLbls>
        <c:marker val="1"/>
        <c:smooth val="0"/>
        <c:axId val="1537304128"/>
        <c:axId val="1537306048"/>
      </c:lineChart>
      <c:catAx>
        <c:axId val="1537304128"/>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baseline="0">
                    <a:solidFill>
                      <a:schemeClr val="tx1"/>
                    </a:solidFill>
                  </a:rPr>
                  <a:t>Concentration</a:t>
                </a:r>
                <a:r>
                  <a:rPr lang="en-IN" b="1" baseline="0">
                    <a:solidFill>
                      <a:schemeClr val="bg2">
                        <a:lumMod val="10000"/>
                      </a:schemeClr>
                    </a:solidFill>
                  </a:rPr>
                  <a:t> (%)</a:t>
                </a:r>
                <a:endParaRPr lang="en-IN" b="1">
                  <a:solidFill>
                    <a:schemeClr val="bg2">
                      <a:lumMod val="10000"/>
                    </a:schemeClr>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in"/>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37306048"/>
        <c:crosses val="autoZero"/>
        <c:auto val="1"/>
        <c:lblAlgn val="ctr"/>
        <c:lblOffset val="100"/>
        <c:noMultiLvlLbl val="0"/>
      </c:catAx>
      <c:valAx>
        <c:axId val="1537306048"/>
        <c:scaling>
          <c:orientation val="minMax"/>
          <c:max val="70"/>
          <c:min val="2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baseline="0">
                    <a:solidFill>
                      <a:schemeClr val="tx1"/>
                    </a:solidFill>
                  </a:rPr>
                  <a:t>Inhibition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37304128"/>
        <c:crosses val="autoZero"/>
        <c:crossBetween val="midCat"/>
        <c:majorUnit val="10"/>
      </c:valAx>
      <c:spPr>
        <a:noFill/>
        <a:ln>
          <a:noFill/>
        </a:ln>
        <a:effectLst/>
      </c:spPr>
    </c:plotArea>
    <c:legend>
      <c:legendPos val="tr"/>
      <c:layout>
        <c:manualLayout>
          <c:xMode val="edge"/>
          <c:yMode val="edge"/>
          <c:x val="0.8404279673374162"/>
          <c:y val="0.15115079365079365"/>
          <c:w val="0.14568314377369496"/>
          <c:h val="0.2276809148856393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b="1" baseline="0">
                <a:solidFill>
                  <a:schemeClr val="tx1"/>
                </a:solidFill>
              </a:rPr>
              <a:t>a. Fungicide efficacy at different concentration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IN"/>
        </a:p>
      </c:txPr>
    </c:title>
    <c:autoTitleDeleted val="0"/>
    <c:plotArea>
      <c:layout>
        <c:manualLayout>
          <c:layoutTarget val="inner"/>
          <c:xMode val="edge"/>
          <c:yMode val="edge"/>
          <c:x val="0.10197511025407538"/>
          <c:y val="0.19061207609594708"/>
          <c:w val="0.84318692306318854"/>
          <c:h val="0.7134480243319461"/>
        </c:manualLayout>
      </c:layout>
      <c:barChart>
        <c:barDir val="col"/>
        <c:grouping val="clustered"/>
        <c:varyColors val="0"/>
        <c:ser>
          <c:idx val="0"/>
          <c:order val="0"/>
          <c:tx>
            <c:strRef>
              <c:f>Sheet1!$B$1</c:f>
              <c:strCache>
                <c:ptCount val="1"/>
                <c:pt idx="0">
                  <c:v>Per cent inhibition (%)</c:v>
                </c:pt>
              </c:strCache>
            </c:strRef>
          </c:tx>
          <c:spPr>
            <a:solidFill>
              <a:schemeClr val="accent1"/>
            </a:solidFill>
            <a:ln>
              <a:noFill/>
            </a:ln>
            <a:effectLst/>
          </c:spPr>
          <c:invertIfNegative val="0"/>
          <c:dPt>
            <c:idx val="0"/>
            <c:invertIfNegative val="0"/>
            <c:bubble3D val="0"/>
            <c:spPr>
              <a:pattFill prst="wdUpDiag">
                <a:fgClr>
                  <a:schemeClr val="accent1">
                    <a:lumMod val="50000"/>
                  </a:schemeClr>
                </a:fgClr>
                <a:bgClr>
                  <a:schemeClr val="accent1">
                    <a:lumMod val="60000"/>
                    <a:lumOff val="40000"/>
                  </a:schemeClr>
                </a:bgClr>
              </a:pattFill>
              <a:ln>
                <a:noFill/>
              </a:ln>
              <a:effectLst/>
            </c:spPr>
            <c:extLst>
              <c:ext xmlns:c16="http://schemas.microsoft.com/office/drawing/2014/chart" uri="{C3380CC4-5D6E-409C-BE32-E72D297353CC}">
                <c16:uniqueId val="{00000001-9520-428B-96A5-5BE4E6636F1F}"/>
              </c:ext>
            </c:extLst>
          </c:dPt>
          <c:dPt>
            <c:idx val="1"/>
            <c:invertIfNegative val="0"/>
            <c:bubble3D val="0"/>
            <c:spPr>
              <a:pattFill prst="trellis">
                <a:fgClr>
                  <a:schemeClr val="accent1">
                    <a:lumMod val="50000"/>
                  </a:schemeClr>
                </a:fgClr>
                <a:bgClr>
                  <a:schemeClr val="accent1">
                    <a:lumMod val="60000"/>
                    <a:lumOff val="40000"/>
                  </a:schemeClr>
                </a:bgClr>
              </a:pattFill>
              <a:ln>
                <a:noFill/>
              </a:ln>
              <a:effectLst/>
            </c:spPr>
            <c:extLst>
              <c:ext xmlns:c16="http://schemas.microsoft.com/office/drawing/2014/chart" uri="{C3380CC4-5D6E-409C-BE32-E72D297353CC}">
                <c16:uniqueId val="{00000003-9520-428B-96A5-5BE4E6636F1F}"/>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9520-428B-96A5-5BE4E6636F1F}"/>
              </c:ext>
            </c:extLst>
          </c:dPt>
          <c:dPt>
            <c:idx val="3"/>
            <c:invertIfNegative val="0"/>
            <c:bubble3D val="0"/>
            <c:spPr>
              <a:pattFill prst="wdUpDiag">
                <a:fgClr>
                  <a:srgbClr val="00B050"/>
                </a:fgClr>
                <a:bgClr>
                  <a:srgbClr val="92D050"/>
                </a:bgClr>
              </a:pattFill>
              <a:ln>
                <a:noFill/>
              </a:ln>
              <a:effectLst/>
            </c:spPr>
            <c:extLst>
              <c:ext xmlns:c16="http://schemas.microsoft.com/office/drawing/2014/chart" uri="{C3380CC4-5D6E-409C-BE32-E72D297353CC}">
                <c16:uniqueId val="{00000007-9520-428B-96A5-5BE4E6636F1F}"/>
              </c:ext>
            </c:extLst>
          </c:dPt>
          <c:dPt>
            <c:idx val="4"/>
            <c:invertIfNegative val="0"/>
            <c:bubble3D val="0"/>
            <c:spPr>
              <a:pattFill prst="trellis">
                <a:fgClr>
                  <a:srgbClr val="00B050"/>
                </a:fgClr>
                <a:bgClr>
                  <a:schemeClr val="bg1"/>
                </a:bgClr>
              </a:pattFill>
              <a:ln>
                <a:noFill/>
              </a:ln>
              <a:effectLst/>
            </c:spPr>
            <c:extLst>
              <c:ext xmlns:c16="http://schemas.microsoft.com/office/drawing/2014/chart" uri="{C3380CC4-5D6E-409C-BE32-E72D297353CC}">
                <c16:uniqueId val="{00000009-9520-428B-96A5-5BE4E6636F1F}"/>
              </c:ext>
            </c:extLst>
          </c:dPt>
          <c:dPt>
            <c:idx val="5"/>
            <c:invertIfNegative val="0"/>
            <c:bubble3D val="0"/>
            <c:spPr>
              <a:solidFill>
                <a:srgbClr val="00B050"/>
              </a:solidFill>
              <a:ln>
                <a:noFill/>
              </a:ln>
              <a:effectLst/>
            </c:spPr>
            <c:extLst>
              <c:ext xmlns:c16="http://schemas.microsoft.com/office/drawing/2014/chart" uri="{C3380CC4-5D6E-409C-BE32-E72D297353CC}">
                <c16:uniqueId val="{0000000B-9520-428B-96A5-5BE4E6636F1F}"/>
              </c:ext>
            </c:extLst>
          </c:dPt>
          <c:dPt>
            <c:idx val="6"/>
            <c:invertIfNegative val="0"/>
            <c:bubble3D val="0"/>
            <c:spPr>
              <a:pattFill prst="wdUpDiag">
                <a:fgClr>
                  <a:srgbClr val="FF3300"/>
                </a:fgClr>
                <a:bgClr>
                  <a:srgbClr val="FF6600"/>
                </a:bgClr>
              </a:pattFill>
              <a:ln>
                <a:noFill/>
              </a:ln>
              <a:effectLst/>
            </c:spPr>
            <c:extLst>
              <c:ext xmlns:c16="http://schemas.microsoft.com/office/drawing/2014/chart" uri="{C3380CC4-5D6E-409C-BE32-E72D297353CC}">
                <c16:uniqueId val="{0000000D-9520-428B-96A5-5BE4E6636F1F}"/>
              </c:ext>
            </c:extLst>
          </c:dPt>
          <c:dPt>
            <c:idx val="7"/>
            <c:invertIfNegative val="0"/>
            <c:bubble3D val="0"/>
            <c:spPr>
              <a:pattFill prst="trellis">
                <a:fgClr>
                  <a:srgbClr val="FF3300"/>
                </a:fgClr>
                <a:bgClr>
                  <a:srgbClr val="FF9933"/>
                </a:bgClr>
              </a:pattFill>
              <a:ln>
                <a:noFill/>
              </a:ln>
              <a:effectLst/>
            </c:spPr>
            <c:extLst>
              <c:ext xmlns:c16="http://schemas.microsoft.com/office/drawing/2014/chart" uri="{C3380CC4-5D6E-409C-BE32-E72D297353CC}">
                <c16:uniqueId val="{0000000F-9520-428B-96A5-5BE4E6636F1F}"/>
              </c:ext>
            </c:extLst>
          </c:dPt>
          <c:dPt>
            <c:idx val="8"/>
            <c:invertIfNegative val="0"/>
            <c:bubble3D val="0"/>
            <c:spPr>
              <a:solidFill>
                <a:srgbClr val="FF3300"/>
              </a:solidFill>
              <a:ln>
                <a:noFill/>
              </a:ln>
              <a:effectLst/>
            </c:spPr>
            <c:extLst>
              <c:ext xmlns:c16="http://schemas.microsoft.com/office/drawing/2014/chart" uri="{C3380CC4-5D6E-409C-BE32-E72D297353CC}">
                <c16:uniqueId val="{00000011-9520-428B-96A5-5BE4E6636F1F}"/>
              </c:ext>
            </c:extLst>
          </c:dPt>
          <c:dPt>
            <c:idx val="9"/>
            <c:invertIfNegative val="0"/>
            <c:bubble3D val="0"/>
            <c:spPr>
              <a:pattFill prst="wdUpDiag">
                <a:fgClr>
                  <a:srgbClr val="7030A0"/>
                </a:fgClr>
                <a:bgClr>
                  <a:srgbClr val="CC66FF"/>
                </a:bgClr>
              </a:pattFill>
              <a:ln>
                <a:noFill/>
              </a:ln>
              <a:effectLst/>
            </c:spPr>
            <c:extLst>
              <c:ext xmlns:c16="http://schemas.microsoft.com/office/drawing/2014/chart" uri="{C3380CC4-5D6E-409C-BE32-E72D297353CC}">
                <c16:uniqueId val="{00000013-9520-428B-96A5-5BE4E6636F1F}"/>
              </c:ext>
            </c:extLst>
          </c:dPt>
          <c:dPt>
            <c:idx val="10"/>
            <c:invertIfNegative val="0"/>
            <c:bubble3D val="0"/>
            <c:spPr>
              <a:pattFill prst="trellis">
                <a:fgClr>
                  <a:srgbClr val="7030A0"/>
                </a:fgClr>
                <a:bgClr>
                  <a:srgbClr val="CC66FF"/>
                </a:bgClr>
              </a:pattFill>
              <a:ln>
                <a:noFill/>
              </a:ln>
              <a:effectLst/>
            </c:spPr>
            <c:extLst>
              <c:ext xmlns:c16="http://schemas.microsoft.com/office/drawing/2014/chart" uri="{C3380CC4-5D6E-409C-BE32-E72D297353CC}">
                <c16:uniqueId val="{00000015-9520-428B-96A5-5BE4E6636F1F}"/>
              </c:ext>
            </c:extLst>
          </c:dPt>
          <c:dPt>
            <c:idx val="11"/>
            <c:invertIfNegative val="0"/>
            <c:bubble3D val="0"/>
            <c:spPr>
              <a:solidFill>
                <a:srgbClr val="7030A0"/>
              </a:solidFill>
              <a:ln>
                <a:noFill/>
              </a:ln>
              <a:effectLst/>
            </c:spPr>
            <c:extLst>
              <c:ext xmlns:c16="http://schemas.microsoft.com/office/drawing/2014/chart" uri="{C3380CC4-5D6E-409C-BE32-E72D297353CC}">
                <c16:uniqueId val="{00000017-9520-428B-96A5-5BE4E6636F1F}"/>
              </c:ext>
            </c:extLst>
          </c:dPt>
          <c:dPt>
            <c:idx val="12"/>
            <c:invertIfNegative val="0"/>
            <c:bubble3D val="0"/>
            <c:spPr>
              <a:pattFill prst="wdUpDiag">
                <a:fgClr>
                  <a:srgbClr val="008000"/>
                </a:fgClr>
                <a:bgClr>
                  <a:srgbClr val="66FF66"/>
                </a:bgClr>
              </a:pattFill>
              <a:ln>
                <a:noFill/>
              </a:ln>
              <a:effectLst/>
            </c:spPr>
            <c:extLst>
              <c:ext xmlns:c16="http://schemas.microsoft.com/office/drawing/2014/chart" uri="{C3380CC4-5D6E-409C-BE32-E72D297353CC}">
                <c16:uniqueId val="{00000019-9520-428B-96A5-5BE4E6636F1F}"/>
              </c:ext>
            </c:extLst>
          </c:dPt>
          <c:dPt>
            <c:idx val="13"/>
            <c:invertIfNegative val="0"/>
            <c:bubble3D val="0"/>
            <c:spPr>
              <a:pattFill prst="trellis">
                <a:fgClr>
                  <a:srgbClr val="008000"/>
                </a:fgClr>
                <a:bgClr>
                  <a:srgbClr val="66FF66"/>
                </a:bgClr>
              </a:pattFill>
              <a:ln>
                <a:noFill/>
              </a:ln>
              <a:effectLst/>
            </c:spPr>
            <c:extLst>
              <c:ext xmlns:c16="http://schemas.microsoft.com/office/drawing/2014/chart" uri="{C3380CC4-5D6E-409C-BE32-E72D297353CC}">
                <c16:uniqueId val="{0000001B-9520-428B-96A5-5BE4E6636F1F}"/>
              </c:ext>
            </c:extLst>
          </c:dPt>
          <c:dPt>
            <c:idx val="14"/>
            <c:invertIfNegative val="0"/>
            <c:bubble3D val="0"/>
            <c:spPr>
              <a:solidFill>
                <a:srgbClr val="008000"/>
              </a:solidFill>
              <a:ln>
                <a:noFill/>
              </a:ln>
              <a:effectLst/>
            </c:spPr>
            <c:extLst>
              <c:ext xmlns:c16="http://schemas.microsoft.com/office/drawing/2014/chart" uri="{C3380CC4-5D6E-409C-BE32-E72D297353CC}">
                <c16:uniqueId val="{0000001D-9520-428B-96A5-5BE4E6636F1F}"/>
              </c:ext>
            </c:extLst>
          </c:dPt>
          <c:cat>
            <c:strRef>
              <c:f>Sheet1!$A$2:$A$17</c:f>
              <c:strCache>
                <c:ptCount val="16"/>
                <c:pt idx="1">
                  <c:v>Carbendazim  + Mancozeb</c:v>
                </c:pt>
                <c:pt idx="4">
                  <c:v>Difenoconazole </c:v>
                </c:pt>
                <c:pt idx="7">
                  <c:v>Fluxapyroxad </c:v>
                </c:pt>
                <c:pt idx="10">
                  <c:v>Penflufen</c:v>
                </c:pt>
                <c:pt idx="13">
                  <c:v>Trifloxystrobin </c:v>
                </c:pt>
                <c:pt idx="15">
                  <c:v>Control</c:v>
                </c:pt>
              </c:strCache>
            </c:strRef>
          </c:cat>
          <c:val>
            <c:numRef>
              <c:f>Sheet1!$B$2:$B$17</c:f>
              <c:numCache>
                <c:formatCode>General</c:formatCode>
                <c:ptCount val="16"/>
                <c:pt idx="0">
                  <c:v>98.13</c:v>
                </c:pt>
                <c:pt idx="1">
                  <c:v>98.89</c:v>
                </c:pt>
                <c:pt idx="2">
                  <c:v>100</c:v>
                </c:pt>
                <c:pt idx="3">
                  <c:v>96.83</c:v>
                </c:pt>
                <c:pt idx="4">
                  <c:v>97.8</c:v>
                </c:pt>
                <c:pt idx="5">
                  <c:v>100</c:v>
                </c:pt>
                <c:pt idx="6">
                  <c:v>96.56</c:v>
                </c:pt>
                <c:pt idx="7">
                  <c:v>97.28</c:v>
                </c:pt>
                <c:pt idx="8">
                  <c:v>100</c:v>
                </c:pt>
                <c:pt idx="9">
                  <c:v>96.16</c:v>
                </c:pt>
                <c:pt idx="10">
                  <c:v>97.38</c:v>
                </c:pt>
                <c:pt idx="11">
                  <c:v>97.78</c:v>
                </c:pt>
                <c:pt idx="12">
                  <c:v>97.18</c:v>
                </c:pt>
                <c:pt idx="13">
                  <c:v>97.93</c:v>
                </c:pt>
                <c:pt idx="14">
                  <c:v>100</c:v>
                </c:pt>
                <c:pt idx="15">
                  <c:v>0</c:v>
                </c:pt>
              </c:numCache>
            </c:numRef>
          </c:val>
          <c:extLst>
            <c:ext xmlns:c16="http://schemas.microsoft.com/office/drawing/2014/chart" uri="{C3380CC4-5D6E-409C-BE32-E72D297353CC}">
              <c16:uniqueId val="{0000001E-9520-428B-96A5-5BE4E6636F1F}"/>
            </c:ext>
          </c:extLst>
        </c:ser>
        <c:ser>
          <c:idx val="1"/>
          <c:order val="1"/>
          <c:tx>
            <c:strRef>
              <c:f>Sheet1!$C$1</c:f>
              <c:strCache>
                <c:ptCount val="1"/>
                <c:pt idx="0">
                  <c:v>0.02%</c:v>
                </c:pt>
              </c:strCache>
            </c:strRef>
          </c:tx>
          <c:spPr>
            <a:pattFill prst="wdUpDiag">
              <a:fgClr>
                <a:schemeClr val="tx1">
                  <a:lumMod val="95000"/>
                  <a:lumOff val="5000"/>
                </a:schemeClr>
              </a:fgClr>
              <a:bgClr>
                <a:schemeClr val="bg1"/>
              </a:bgClr>
            </a:pattFill>
            <a:ln>
              <a:noFill/>
            </a:ln>
            <a:effectLst/>
          </c:spPr>
          <c:invertIfNegative val="0"/>
          <c:cat>
            <c:strRef>
              <c:f>Sheet1!$A$2:$A$17</c:f>
              <c:strCache>
                <c:ptCount val="16"/>
                <c:pt idx="1">
                  <c:v>Carbendazim  + Mancozeb</c:v>
                </c:pt>
                <c:pt idx="4">
                  <c:v>Difenoconazole </c:v>
                </c:pt>
                <c:pt idx="7">
                  <c:v>Fluxapyroxad </c:v>
                </c:pt>
                <c:pt idx="10">
                  <c:v>Penflufen</c:v>
                </c:pt>
                <c:pt idx="13">
                  <c:v>Trifloxystrobin </c:v>
                </c:pt>
                <c:pt idx="15">
                  <c:v>Control</c:v>
                </c:pt>
              </c:strCache>
            </c:strRef>
          </c:cat>
          <c:val>
            <c:numRef>
              <c:f>Sheet1!$C$2:$C$17</c:f>
              <c:numCache>
                <c:formatCode>General</c:formatCode>
                <c:ptCount val="16"/>
              </c:numCache>
            </c:numRef>
          </c:val>
          <c:extLst>
            <c:ext xmlns:c16="http://schemas.microsoft.com/office/drawing/2014/chart" uri="{C3380CC4-5D6E-409C-BE32-E72D297353CC}">
              <c16:uniqueId val="{0000001F-9520-428B-96A5-5BE4E6636F1F}"/>
            </c:ext>
          </c:extLst>
        </c:ser>
        <c:ser>
          <c:idx val="2"/>
          <c:order val="2"/>
          <c:tx>
            <c:strRef>
              <c:f>Sheet1!$D$1</c:f>
              <c:strCache>
                <c:ptCount val="1"/>
                <c:pt idx="0">
                  <c:v>0.05%</c:v>
                </c:pt>
              </c:strCache>
            </c:strRef>
          </c:tx>
          <c:spPr>
            <a:pattFill prst="trellis">
              <a:fgClr>
                <a:schemeClr val="tx1">
                  <a:lumMod val="95000"/>
                  <a:lumOff val="5000"/>
                </a:schemeClr>
              </a:fgClr>
              <a:bgClr>
                <a:schemeClr val="bg1"/>
              </a:bgClr>
            </a:pattFill>
            <a:ln>
              <a:noFill/>
            </a:ln>
            <a:effectLst/>
          </c:spPr>
          <c:invertIfNegative val="0"/>
          <c:cat>
            <c:strRef>
              <c:f>Sheet1!$A$2:$A$17</c:f>
              <c:strCache>
                <c:ptCount val="16"/>
                <c:pt idx="1">
                  <c:v>Carbendazim  + Mancozeb</c:v>
                </c:pt>
                <c:pt idx="4">
                  <c:v>Difenoconazole </c:v>
                </c:pt>
                <c:pt idx="7">
                  <c:v>Fluxapyroxad </c:v>
                </c:pt>
                <c:pt idx="10">
                  <c:v>Penflufen</c:v>
                </c:pt>
                <c:pt idx="13">
                  <c:v>Trifloxystrobin </c:v>
                </c:pt>
                <c:pt idx="15">
                  <c:v>Control</c:v>
                </c:pt>
              </c:strCache>
            </c:strRef>
          </c:cat>
          <c:val>
            <c:numRef>
              <c:f>Sheet1!$D$2:$D$17</c:f>
              <c:numCache>
                <c:formatCode>General</c:formatCode>
                <c:ptCount val="16"/>
              </c:numCache>
            </c:numRef>
          </c:val>
          <c:extLst>
            <c:ext xmlns:c16="http://schemas.microsoft.com/office/drawing/2014/chart" uri="{C3380CC4-5D6E-409C-BE32-E72D297353CC}">
              <c16:uniqueId val="{00000020-9520-428B-96A5-5BE4E6636F1F}"/>
            </c:ext>
          </c:extLst>
        </c:ser>
        <c:ser>
          <c:idx val="3"/>
          <c:order val="3"/>
          <c:tx>
            <c:strRef>
              <c:f>Sheet1!$E$1</c:f>
              <c:strCache>
                <c:ptCount val="1"/>
                <c:pt idx="0">
                  <c:v>0.01%</c:v>
                </c:pt>
              </c:strCache>
            </c:strRef>
          </c:tx>
          <c:spPr>
            <a:solidFill>
              <a:schemeClr val="accent1">
                <a:lumMod val="50000"/>
              </a:schemeClr>
            </a:solidFill>
            <a:ln>
              <a:noFill/>
            </a:ln>
            <a:effectLst/>
          </c:spPr>
          <c:invertIfNegative val="0"/>
          <c:cat>
            <c:strRef>
              <c:f>Sheet1!$A$2:$A$17</c:f>
              <c:strCache>
                <c:ptCount val="16"/>
                <c:pt idx="1">
                  <c:v>Carbendazim  + Mancozeb</c:v>
                </c:pt>
                <c:pt idx="4">
                  <c:v>Difenoconazole </c:v>
                </c:pt>
                <c:pt idx="7">
                  <c:v>Fluxapyroxad </c:v>
                </c:pt>
                <c:pt idx="10">
                  <c:v>Penflufen</c:v>
                </c:pt>
                <c:pt idx="13">
                  <c:v>Trifloxystrobin </c:v>
                </c:pt>
                <c:pt idx="15">
                  <c:v>Control</c:v>
                </c:pt>
              </c:strCache>
            </c:strRef>
          </c:cat>
          <c:val>
            <c:numRef>
              <c:f>Sheet1!$E$2:$E$17</c:f>
              <c:numCache>
                <c:formatCode>General</c:formatCode>
                <c:ptCount val="16"/>
              </c:numCache>
            </c:numRef>
          </c:val>
          <c:extLst>
            <c:ext xmlns:c16="http://schemas.microsoft.com/office/drawing/2014/chart" uri="{C3380CC4-5D6E-409C-BE32-E72D297353CC}">
              <c16:uniqueId val="{00000021-9520-428B-96A5-5BE4E6636F1F}"/>
            </c:ext>
          </c:extLst>
        </c:ser>
        <c:dLbls>
          <c:showLegendKey val="0"/>
          <c:showVal val="0"/>
          <c:showCatName val="0"/>
          <c:showSerName val="0"/>
          <c:showPercent val="0"/>
          <c:showBubbleSize val="0"/>
        </c:dLbls>
        <c:gapWidth val="96"/>
        <c:overlap val="100"/>
        <c:axId val="1537260928"/>
        <c:axId val="1537261888"/>
      </c:barChart>
      <c:catAx>
        <c:axId val="153726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n-US"/>
          </a:p>
        </c:txPr>
        <c:crossAx val="1537261888"/>
        <c:crosses val="autoZero"/>
        <c:auto val="1"/>
        <c:lblAlgn val="ctr"/>
        <c:lblOffset val="100"/>
        <c:noMultiLvlLbl val="0"/>
      </c:catAx>
      <c:valAx>
        <c:axId val="1537261888"/>
        <c:scaling>
          <c:orientation val="minMax"/>
          <c:min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bg2">
                        <a:lumMod val="10000"/>
                      </a:schemeClr>
                    </a:solidFill>
                  </a:rPr>
                  <a:t>Percent</a:t>
                </a:r>
                <a:r>
                  <a:rPr lang="en-IN" b="1" baseline="0">
                    <a:solidFill>
                      <a:schemeClr val="bg2">
                        <a:lumMod val="10000"/>
                      </a:schemeClr>
                    </a:solidFill>
                  </a:rPr>
                  <a:t> </a:t>
                </a:r>
                <a:r>
                  <a:rPr lang="en-IN" b="1" baseline="0">
                    <a:solidFill>
                      <a:schemeClr val="tx1"/>
                    </a:solidFill>
                  </a:rPr>
                  <a:t>inhibition</a:t>
                </a:r>
                <a:r>
                  <a:rPr lang="en-IN" b="1" baseline="0">
                    <a:solidFill>
                      <a:schemeClr val="bg2">
                        <a:lumMod val="10000"/>
                      </a:schemeClr>
                    </a:solidFill>
                  </a:rPr>
                  <a:t> (%)</a:t>
                </a:r>
                <a:endParaRPr lang="en-IN" b="1">
                  <a:solidFill>
                    <a:schemeClr val="bg2">
                      <a:lumMod val="10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37260928"/>
        <c:crosses val="autoZero"/>
        <c:crossBetween val="between"/>
      </c:valAx>
      <c:spPr>
        <a:noFill/>
        <a:ln>
          <a:noFill/>
        </a:ln>
        <a:effectLst/>
      </c:spPr>
    </c:plotArea>
    <c:legend>
      <c:legendPos val="tr"/>
      <c:legendEntry>
        <c:idx val="0"/>
        <c:delete val="1"/>
      </c:legendEntry>
      <c:layout>
        <c:manualLayout>
          <c:xMode val="edge"/>
          <c:yMode val="edge"/>
          <c:x val="0.8905406467048762"/>
          <c:y val="4.1728701406120769E-2"/>
          <c:w val="0.10492420590283358"/>
          <c:h val="0.209368711045114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b="1" baseline="0">
                <a:solidFill>
                  <a:schemeClr val="tx1"/>
                </a:solidFill>
              </a:rPr>
              <a:t>b. Dose - response relationship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IN"/>
        </a:p>
      </c:txPr>
    </c:title>
    <c:autoTitleDeleted val="0"/>
    <c:plotArea>
      <c:layout/>
      <c:lineChart>
        <c:grouping val="standard"/>
        <c:varyColors val="0"/>
        <c:ser>
          <c:idx val="0"/>
          <c:order val="0"/>
          <c:tx>
            <c:strRef>
              <c:f>Sheet1!$B$1</c:f>
              <c:strCache>
                <c:ptCount val="1"/>
                <c:pt idx="0">
                  <c:v>Carbendazim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Sheet1!$A$2:$A$4</c:f>
              <c:numCache>
                <c:formatCode>General</c:formatCode>
                <c:ptCount val="3"/>
                <c:pt idx="0">
                  <c:v>2.5000000000000001E-2</c:v>
                </c:pt>
                <c:pt idx="1">
                  <c:v>0.05</c:v>
                </c:pt>
                <c:pt idx="2">
                  <c:v>0.1</c:v>
                </c:pt>
              </c:numCache>
            </c:numRef>
          </c:cat>
          <c:val>
            <c:numRef>
              <c:f>Sheet1!$B$2:$B$4</c:f>
              <c:numCache>
                <c:formatCode>General</c:formatCode>
                <c:ptCount val="3"/>
                <c:pt idx="0">
                  <c:v>98.13</c:v>
                </c:pt>
                <c:pt idx="1">
                  <c:v>98.89</c:v>
                </c:pt>
                <c:pt idx="2">
                  <c:v>100</c:v>
                </c:pt>
              </c:numCache>
            </c:numRef>
          </c:val>
          <c:smooth val="0"/>
          <c:extLst>
            <c:ext xmlns:c16="http://schemas.microsoft.com/office/drawing/2014/chart" uri="{C3380CC4-5D6E-409C-BE32-E72D297353CC}">
              <c16:uniqueId val="{00000000-DA04-4650-B41A-76A0E16C403A}"/>
            </c:ext>
          </c:extLst>
        </c:ser>
        <c:ser>
          <c:idx val="1"/>
          <c:order val="1"/>
          <c:tx>
            <c:strRef>
              <c:f>Sheet1!$C$1</c:f>
              <c:strCache>
                <c:ptCount val="1"/>
                <c:pt idx="0">
                  <c:v>Difenoconazole</c:v>
                </c:pt>
              </c:strCache>
            </c:strRef>
          </c:tx>
          <c:spPr>
            <a:ln w="28575" cap="rnd">
              <a:solidFill>
                <a:srgbClr val="00B050"/>
              </a:solidFill>
              <a:round/>
            </a:ln>
            <a:effectLst/>
          </c:spPr>
          <c:marker>
            <c:symbol val="circle"/>
            <c:size val="5"/>
            <c:spPr>
              <a:solidFill>
                <a:schemeClr val="accent2"/>
              </a:solidFill>
              <a:ln w="9525">
                <a:solidFill>
                  <a:schemeClr val="accent2"/>
                </a:solidFill>
              </a:ln>
              <a:effectLst/>
            </c:spPr>
          </c:marker>
          <c:cat>
            <c:numRef>
              <c:f>Sheet1!$A$2:$A$4</c:f>
              <c:numCache>
                <c:formatCode>General</c:formatCode>
                <c:ptCount val="3"/>
                <c:pt idx="0">
                  <c:v>2.5000000000000001E-2</c:v>
                </c:pt>
                <c:pt idx="1">
                  <c:v>0.05</c:v>
                </c:pt>
                <c:pt idx="2">
                  <c:v>0.1</c:v>
                </c:pt>
              </c:numCache>
            </c:numRef>
          </c:cat>
          <c:val>
            <c:numRef>
              <c:f>Sheet1!$C$2:$C$4</c:f>
              <c:numCache>
                <c:formatCode>General</c:formatCode>
                <c:ptCount val="3"/>
                <c:pt idx="0">
                  <c:v>96.83</c:v>
                </c:pt>
                <c:pt idx="1">
                  <c:v>97.8</c:v>
                </c:pt>
                <c:pt idx="2">
                  <c:v>100</c:v>
                </c:pt>
              </c:numCache>
            </c:numRef>
          </c:val>
          <c:smooth val="0"/>
          <c:extLst>
            <c:ext xmlns:c16="http://schemas.microsoft.com/office/drawing/2014/chart" uri="{C3380CC4-5D6E-409C-BE32-E72D297353CC}">
              <c16:uniqueId val="{00000001-DA04-4650-B41A-76A0E16C403A}"/>
            </c:ext>
          </c:extLst>
        </c:ser>
        <c:ser>
          <c:idx val="2"/>
          <c:order val="2"/>
          <c:tx>
            <c:strRef>
              <c:f>Sheet1!$D$1</c:f>
              <c:strCache>
                <c:ptCount val="1"/>
                <c:pt idx="0">
                  <c:v>Fluxapyroxad</c:v>
                </c:pt>
              </c:strCache>
            </c:strRef>
          </c:tx>
          <c:spPr>
            <a:ln w="28575" cap="rnd">
              <a:solidFill>
                <a:srgbClr val="FF3300"/>
              </a:solidFill>
              <a:round/>
            </a:ln>
            <a:effectLst/>
          </c:spPr>
          <c:marker>
            <c:symbol val="circle"/>
            <c:size val="5"/>
            <c:spPr>
              <a:solidFill>
                <a:schemeClr val="accent3"/>
              </a:solidFill>
              <a:ln w="9525">
                <a:solidFill>
                  <a:schemeClr val="accent3"/>
                </a:solidFill>
              </a:ln>
              <a:effectLst/>
            </c:spPr>
          </c:marker>
          <c:cat>
            <c:numRef>
              <c:f>Sheet1!$A$2:$A$4</c:f>
              <c:numCache>
                <c:formatCode>General</c:formatCode>
                <c:ptCount val="3"/>
                <c:pt idx="0">
                  <c:v>2.5000000000000001E-2</c:v>
                </c:pt>
                <c:pt idx="1">
                  <c:v>0.05</c:v>
                </c:pt>
                <c:pt idx="2">
                  <c:v>0.1</c:v>
                </c:pt>
              </c:numCache>
            </c:numRef>
          </c:cat>
          <c:val>
            <c:numRef>
              <c:f>Sheet1!$D$2:$D$4</c:f>
              <c:numCache>
                <c:formatCode>General</c:formatCode>
                <c:ptCount val="3"/>
                <c:pt idx="0">
                  <c:v>96.56</c:v>
                </c:pt>
                <c:pt idx="1">
                  <c:v>97.28</c:v>
                </c:pt>
                <c:pt idx="2">
                  <c:v>100</c:v>
                </c:pt>
              </c:numCache>
            </c:numRef>
          </c:val>
          <c:smooth val="0"/>
          <c:extLst>
            <c:ext xmlns:c16="http://schemas.microsoft.com/office/drawing/2014/chart" uri="{C3380CC4-5D6E-409C-BE32-E72D297353CC}">
              <c16:uniqueId val="{00000002-DA04-4650-B41A-76A0E16C403A}"/>
            </c:ext>
          </c:extLst>
        </c:ser>
        <c:ser>
          <c:idx val="3"/>
          <c:order val="3"/>
          <c:tx>
            <c:strRef>
              <c:f>Sheet1!$E$1</c:f>
              <c:strCache>
                <c:ptCount val="1"/>
                <c:pt idx="0">
                  <c:v>Penflufen</c:v>
                </c:pt>
              </c:strCache>
            </c:strRef>
          </c:tx>
          <c:spPr>
            <a:ln w="28575" cap="rnd">
              <a:solidFill>
                <a:srgbClr val="7030A0"/>
              </a:solidFill>
              <a:round/>
            </a:ln>
            <a:effectLst/>
          </c:spPr>
          <c:marker>
            <c:symbol val="circle"/>
            <c:size val="5"/>
            <c:spPr>
              <a:solidFill>
                <a:schemeClr val="accent4"/>
              </a:solidFill>
              <a:ln w="9525">
                <a:solidFill>
                  <a:schemeClr val="accent4"/>
                </a:solidFill>
              </a:ln>
              <a:effectLst/>
            </c:spPr>
          </c:marker>
          <c:cat>
            <c:numRef>
              <c:f>Sheet1!$A$2:$A$4</c:f>
              <c:numCache>
                <c:formatCode>General</c:formatCode>
                <c:ptCount val="3"/>
                <c:pt idx="0">
                  <c:v>2.5000000000000001E-2</c:v>
                </c:pt>
                <c:pt idx="1">
                  <c:v>0.05</c:v>
                </c:pt>
                <c:pt idx="2">
                  <c:v>0.1</c:v>
                </c:pt>
              </c:numCache>
            </c:numRef>
          </c:cat>
          <c:val>
            <c:numRef>
              <c:f>Sheet1!$E$2:$E$4</c:f>
              <c:numCache>
                <c:formatCode>General</c:formatCode>
                <c:ptCount val="3"/>
                <c:pt idx="0">
                  <c:v>96.16</c:v>
                </c:pt>
                <c:pt idx="1">
                  <c:v>97.38</c:v>
                </c:pt>
                <c:pt idx="2">
                  <c:v>97.78</c:v>
                </c:pt>
              </c:numCache>
            </c:numRef>
          </c:val>
          <c:smooth val="0"/>
          <c:extLst>
            <c:ext xmlns:c16="http://schemas.microsoft.com/office/drawing/2014/chart" uri="{C3380CC4-5D6E-409C-BE32-E72D297353CC}">
              <c16:uniqueId val="{00000003-DA04-4650-B41A-76A0E16C403A}"/>
            </c:ext>
          </c:extLst>
        </c:ser>
        <c:ser>
          <c:idx val="4"/>
          <c:order val="4"/>
          <c:tx>
            <c:strRef>
              <c:f>Sheet1!$F$1</c:f>
              <c:strCache>
                <c:ptCount val="1"/>
                <c:pt idx="0">
                  <c:v>Trifloxystrobin</c:v>
                </c:pt>
              </c:strCache>
            </c:strRef>
          </c:tx>
          <c:spPr>
            <a:ln w="28575" cap="rnd">
              <a:solidFill>
                <a:srgbClr val="008000"/>
              </a:solidFill>
              <a:round/>
            </a:ln>
            <a:effectLst/>
          </c:spPr>
          <c:marker>
            <c:symbol val="circle"/>
            <c:size val="5"/>
            <c:spPr>
              <a:solidFill>
                <a:schemeClr val="accent5"/>
              </a:solidFill>
              <a:ln w="9525">
                <a:solidFill>
                  <a:schemeClr val="accent5"/>
                </a:solidFill>
              </a:ln>
              <a:effectLst/>
            </c:spPr>
          </c:marker>
          <c:cat>
            <c:numRef>
              <c:f>Sheet1!$A$2:$A$4</c:f>
              <c:numCache>
                <c:formatCode>General</c:formatCode>
                <c:ptCount val="3"/>
                <c:pt idx="0">
                  <c:v>2.5000000000000001E-2</c:v>
                </c:pt>
                <c:pt idx="1">
                  <c:v>0.05</c:v>
                </c:pt>
                <c:pt idx="2">
                  <c:v>0.1</c:v>
                </c:pt>
              </c:numCache>
            </c:numRef>
          </c:cat>
          <c:val>
            <c:numRef>
              <c:f>Sheet1!$F$2:$F$4</c:f>
              <c:numCache>
                <c:formatCode>General</c:formatCode>
                <c:ptCount val="3"/>
                <c:pt idx="0">
                  <c:v>97.18</c:v>
                </c:pt>
                <c:pt idx="1">
                  <c:v>97.93</c:v>
                </c:pt>
                <c:pt idx="2">
                  <c:v>100</c:v>
                </c:pt>
              </c:numCache>
            </c:numRef>
          </c:val>
          <c:smooth val="0"/>
          <c:extLst>
            <c:ext xmlns:c16="http://schemas.microsoft.com/office/drawing/2014/chart" uri="{C3380CC4-5D6E-409C-BE32-E72D297353CC}">
              <c16:uniqueId val="{00000004-DA04-4650-B41A-76A0E16C403A}"/>
            </c:ext>
          </c:extLst>
        </c:ser>
        <c:ser>
          <c:idx val="5"/>
          <c:order val="5"/>
          <c:tx>
            <c:strRef>
              <c:f>Sheet1!$G$1</c:f>
              <c:strCache>
                <c:ptCount val="1"/>
                <c:pt idx="0">
                  <c:v>100% line</c:v>
                </c:pt>
              </c:strCache>
            </c:strRef>
          </c:tx>
          <c:spPr>
            <a:ln w="22225" cap="rnd">
              <a:solidFill>
                <a:srgbClr val="EE0000"/>
              </a:solidFill>
              <a:prstDash val="sysDash"/>
              <a:round/>
            </a:ln>
            <a:effectLst/>
          </c:spPr>
          <c:marker>
            <c:symbol val="circle"/>
            <c:size val="5"/>
            <c:spPr>
              <a:solidFill>
                <a:schemeClr val="accent6"/>
              </a:solidFill>
              <a:ln w="9525">
                <a:solidFill>
                  <a:schemeClr val="accent6"/>
                </a:solidFill>
              </a:ln>
              <a:effectLst/>
            </c:spPr>
          </c:marker>
          <c:cat>
            <c:numRef>
              <c:f>Sheet1!$A$2:$A$4</c:f>
              <c:numCache>
                <c:formatCode>General</c:formatCode>
                <c:ptCount val="3"/>
                <c:pt idx="0">
                  <c:v>2.5000000000000001E-2</c:v>
                </c:pt>
                <c:pt idx="1">
                  <c:v>0.05</c:v>
                </c:pt>
                <c:pt idx="2">
                  <c:v>0.1</c:v>
                </c:pt>
              </c:numCache>
            </c:numRef>
          </c:cat>
          <c:val>
            <c:numRef>
              <c:f>Sheet1!$G$2:$G$4</c:f>
              <c:numCache>
                <c:formatCode>General</c:formatCode>
                <c:ptCount val="3"/>
                <c:pt idx="0">
                  <c:v>100</c:v>
                </c:pt>
                <c:pt idx="1">
                  <c:v>100</c:v>
                </c:pt>
                <c:pt idx="2">
                  <c:v>100</c:v>
                </c:pt>
              </c:numCache>
            </c:numRef>
          </c:val>
          <c:smooth val="0"/>
          <c:extLst>
            <c:ext xmlns:c16="http://schemas.microsoft.com/office/drawing/2014/chart" uri="{C3380CC4-5D6E-409C-BE32-E72D297353CC}">
              <c16:uniqueId val="{00000005-DA04-4650-B41A-76A0E16C403A}"/>
            </c:ext>
          </c:extLst>
        </c:ser>
        <c:dLbls>
          <c:showLegendKey val="0"/>
          <c:showVal val="0"/>
          <c:showCatName val="0"/>
          <c:showSerName val="0"/>
          <c:showPercent val="0"/>
          <c:showBubbleSize val="0"/>
        </c:dLbls>
        <c:marker val="1"/>
        <c:smooth val="0"/>
        <c:axId val="1770417312"/>
        <c:axId val="1770419232"/>
      </c:lineChart>
      <c:catAx>
        <c:axId val="1770417312"/>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baseline="0">
                    <a:solidFill>
                      <a:schemeClr val="tx1"/>
                    </a:solidFill>
                  </a:rPr>
                  <a:t>Concentration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IN"/>
            </a:p>
          </c:txPr>
        </c:title>
        <c:numFmt formatCode="General" sourceLinked="1"/>
        <c:majorTickMark val="in"/>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70419232"/>
        <c:crosses val="autoZero"/>
        <c:auto val="0"/>
        <c:lblAlgn val="ctr"/>
        <c:lblOffset val="100"/>
        <c:tickMarkSkip val="2"/>
        <c:noMultiLvlLbl val="0"/>
      </c:catAx>
      <c:valAx>
        <c:axId val="1770419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baseline="0">
                    <a:solidFill>
                      <a:schemeClr val="tx1"/>
                    </a:solidFill>
                  </a:rPr>
                  <a:t>Percent inhibition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70417312"/>
        <c:crosses val="autoZero"/>
        <c:crossBetween val="midCat"/>
      </c:valAx>
      <c:spPr>
        <a:noFill/>
        <a:ln>
          <a:solidFill>
            <a:schemeClr val="accent1">
              <a:lumMod val="20000"/>
              <a:lumOff val="80000"/>
              <a:alpha val="49000"/>
            </a:schemeClr>
          </a:solidFill>
        </a:ln>
        <a:effectLst/>
      </c:spPr>
    </c:plotArea>
    <c:legend>
      <c:legendPos val="tr"/>
      <c:layout>
        <c:manualLayout>
          <c:xMode val="edge"/>
          <c:yMode val="edge"/>
          <c:x val="0.77424469745335889"/>
          <c:y val="3.15768930523029E-2"/>
          <c:w val="0.18601440022699864"/>
          <c:h val="0.3386287779601320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17</Pages>
  <Words>4228</Words>
  <Characters>24103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CPU 1117</cp:lastModifiedBy>
  <cp:revision>28</cp:revision>
  <dcterms:created xsi:type="dcterms:W3CDTF">2026-04-17T04:35:00Z</dcterms:created>
  <dcterms:modified xsi:type="dcterms:W3CDTF">2026-05-28T11:23:00Z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d9ee9ec8-8d1b-40ba-bb8f-24687958ef9f</vt:lpwstr>
  </property>
</Properties>
</file>