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13326" w14:textId="77777777" w:rsidR="00B7618A" w:rsidRDefault="000B0964" w:rsidP="00BA7B8C">
      <w:pPr>
        <w:pStyle w:val="Heading1"/>
        <w:jc w:val="center"/>
        <w:rPr>
          <w:rStyle w:val="Strong"/>
          <w:rFonts w:ascii="Times New Roman" w:hAnsi="Times New Roman" w:cs="Times New Roman"/>
          <w:bCs w:val="0"/>
          <w:color w:val="000000" w:themeColor="text1"/>
          <w:sz w:val="24"/>
          <w:szCs w:val="20"/>
        </w:rPr>
      </w:pPr>
      <w:r>
        <w:rPr>
          <w:rStyle w:val="Strong"/>
          <w:rFonts w:ascii="Times New Roman" w:hAnsi="Times New Roman" w:cs="Times New Roman"/>
          <w:bCs w:val="0"/>
          <w:color w:val="000000" w:themeColor="text1"/>
          <w:sz w:val="24"/>
          <w:szCs w:val="20"/>
        </w:rPr>
        <w:t>(</w:t>
      </w:r>
      <w:r w:rsidRPr="000B0964">
        <w:rPr>
          <w:rStyle w:val="Strong"/>
          <w:rFonts w:ascii="Times New Roman" w:hAnsi="Times New Roman" w:cs="Times New Roman"/>
          <w:bCs w:val="0"/>
          <w:color w:val="000000" w:themeColor="text1"/>
          <w:sz w:val="24"/>
          <w:szCs w:val="20"/>
        </w:rPr>
        <w:t>Original Research Article</w:t>
      </w:r>
      <w:r>
        <w:rPr>
          <w:rStyle w:val="Strong"/>
          <w:rFonts w:ascii="Times New Roman" w:hAnsi="Times New Roman" w:cs="Times New Roman"/>
          <w:bCs w:val="0"/>
          <w:color w:val="000000" w:themeColor="text1"/>
          <w:sz w:val="24"/>
          <w:szCs w:val="20"/>
        </w:rPr>
        <w:t>)</w:t>
      </w:r>
    </w:p>
    <w:p w14:paraId="12F06250" w14:textId="50940634" w:rsidR="00664B5E" w:rsidRPr="008D652F" w:rsidRDefault="00664B5E" w:rsidP="00BA7B8C">
      <w:pPr>
        <w:pStyle w:val="Heading1"/>
        <w:jc w:val="center"/>
        <w:rPr>
          <w:rStyle w:val="Strong"/>
          <w:rFonts w:ascii="Times New Roman" w:hAnsi="Times New Roman" w:cs="Times New Roman"/>
          <w:bCs w:val="0"/>
          <w:color w:val="000000" w:themeColor="text1"/>
          <w:sz w:val="24"/>
          <w:szCs w:val="20"/>
        </w:rPr>
      </w:pPr>
      <w:r w:rsidRPr="008D652F">
        <w:rPr>
          <w:rStyle w:val="Strong"/>
          <w:rFonts w:ascii="Times New Roman" w:hAnsi="Times New Roman" w:cs="Times New Roman"/>
          <w:bCs w:val="0"/>
          <w:color w:val="000000" w:themeColor="text1"/>
          <w:sz w:val="24"/>
          <w:szCs w:val="20"/>
        </w:rPr>
        <w:t>An Integrated Multi-Modal Wearable Sensor System for Real-Time Monitoring of Athlete Stress, Hydration, and Tendon Stiffness Analysis</w:t>
      </w:r>
    </w:p>
    <w:p w14:paraId="2AF84F43" w14:textId="77777777" w:rsidR="00664B5E" w:rsidRPr="009F2D9B" w:rsidRDefault="00664B5E" w:rsidP="00664B5E">
      <w:pPr>
        <w:rPr>
          <w:sz w:val="20"/>
          <w:szCs w:val="20"/>
        </w:rPr>
      </w:pPr>
    </w:p>
    <w:p w14:paraId="130579A9" w14:textId="77777777" w:rsidR="00BD21CD" w:rsidRPr="009F2D9B" w:rsidRDefault="00BD21CD" w:rsidP="00BA7B8C">
      <w:pPr>
        <w:rPr>
          <w:rFonts w:ascii="Times New Roman" w:hAnsi="Times New Roman" w:cs="Times New Roman"/>
          <w:b/>
          <w:sz w:val="20"/>
          <w:szCs w:val="20"/>
        </w:rPr>
        <w:sectPr w:rsidR="00BD21CD" w:rsidRPr="009F2D9B">
          <w:pgSz w:w="12240" w:h="15840"/>
          <w:pgMar w:top="1440" w:right="1440" w:bottom="1440" w:left="1440" w:header="720" w:footer="720" w:gutter="0"/>
          <w:cols w:space="720"/>
          <w:docGrid w:linePitch="360"/>
        </w:sectPr>
      </w:pPr>
    </w:p>
    <w:p w14:paraId="3FDB381F" w14:textId="77777777" w:rsidR="00664B5E" w:rsidRPr="009F2D9B" w:rsidRDefault="00664B5E" w:rsidP="00664B5E">
      <w:pPr>
        <w:rPr>
          <w:rFonts w:ascii="Times New Roman" w:hAnsi="Times New Roman" w:cs="Times New Roman"/>
          <w:b/>
          <w:sz w:val="20"/>
          <w:szCs w:val="20"/>
        </w:rPr>
      </w:pPr>
      <w:r w:rsidRPr="009F2D9B">
        <w:rPr>
          <w:rFonts w:ascii="Times New Roman" w:hAnsi="Times New Roman" w:cs="Times New Roman"/>
          <w:b/>
          <w:sz w:val="20"/>
          <w:szCs w:val="20"/>
        </w:rPr>
        <w:t>Abstract:</w:t>
      </w:r>
    </w:p>
    <w:p w14:paraId="5804D11B" w14:textId="77777777" w:rsidR="00664B5E" w:rsidRPr="009F2D9B" w:rsidRDefault="00664B5E" w:rsidP="00664B5E">
      <w:pPr>
        <w:jc w:val="both"/>
        <w:rPr>
          <w:rFonts w:ascii="Times New Roman" w:hAnsi="Times New Roman" w:cs="Times New Roman"/>
          <w:sz w:val="20"/>
          <w:szCs w:val="20"/>
        </w:rPr>
      </w:pPr>
      <w:r w:rsidRPr="009F2D9B">
        <w:rPr>
          <w:rFonts w:ascii="Times New Roman" w:hAnsi="Times New Roman" w:cs="Times New Roman"/>
          <w:sz w:val="20"/>
          <w:szCs w:val="20"/>
        </w:rPr>
        <w:t xml:space="preserve"> This study presents the development of an integrated multi-modal wearable sensor system for real-time monitoring of athlete stress, hydration, and tendon stiffness. The system leverages an Arduino Uno microcontroller interfaced with multiple physiological and biomechanical sensors, including heart rate and heart rate variability sensors (MAX30102/05), galvanic skin response (GSR) modules, bioimpedance circuits, skin temperature sensors, high-resolution inertial measurement units (MPU6050/ICM-20948), and strain sensors (</w:t>
      </w:r>
      <w:r w:rsidR="00CA6235" w:rsidRPr="009F2D9B">
        <w:rPr>
          <w:rFonts w:ascii="Times New Roman" w:hAnsi="Times New Roman" w:cs="Times New Roman"/>
          <w:sz w:val="20"/>
          <w:szCs w:val="20"/>
        </w:rPr>
        <w:t>Flexi Force</w:t>
      </w:r>
      <w:r w:rsidRPr="009F2D9B">
        <w:rPr>
          <w:rFonts w:ascii="Times New Roman" w:hAnsi="Times New Roman" w:cs="Times New Roman"/>
          <w:sz w:val="20"/>
          <w:szCs w:val="20"/>
        </w:rPr>
        <w:t xml:space="preserve">). By collecting and pre-processing analog and digital signals, the system provides continuous assessment of athlete physiological states and musculoskeletal load without the need for EMG. Data are transmitted wirelessly to a mobile or PC interface for further analysis, while real-time alerts are delivered through vibration motors, LEDs, or buzzers to prevent stress-related issues, dehydration, and tendon overuse injuries. Validation demonstrates the feasibility of integrating multiple sensing modalities in a compact wearable platform, enabling proactive athlete health management and performance optimization. </w:t>
      </w:r>
    </w:p>
    <w:p w14:paraId="0CD48B0A" w14:textId="3A99B8BC" w:rsidR="009F2D9B" w:rsidRPr="00B00CD3" w:rsidRDefault="00664B5E" w:rsidP="00B00CD3">
      <w:pPr>
        <w:jc w:val="both"/>
        <w:rPr>
          <w:rStyle w:val="Strong"/>
          <w:rFonts w:ascii="Times New Roman" w:hAnsi="Times New Roman" w:cs="Times New Roman"/>
          <w:b w:val="0"/>
          <w:bCs w:val="0"/>
          <w:sz w:val="20"/>
          <w:szCs w:val="20"/>
        </w:rPr>
        <w:sectPr w:rsidR="009F2D9B" w:rsidRPr="00B00CD3" w:rsidSect="00D5317D">
          <w:type w:val="continuous"/>
          <w:pgSz w:w="12240" w:h="15840"/>
          <w:pgMar w:top="1440" w:right="1440" w:bottom="1440" w:left="1440" w:header="720" w:footer="720" w:gutter="0"/>
          <w:cols w:space="720"/>
          <w:docGrid w:linePitch="360"/>
        </w:sectPr>
      </w:pPr>
      <w:r w:rsidRPr="009F2D9B">
        <w:rPr>
          <w:rFonts w:ascii="Times New Roman" w:hAnsi="Times New Roman" w:cs="Times New Roman"/>
          <w:b/>
          <w:sz w:val="20"/>
          <w:szCs w:val="20"/>
        </w:rPr>
        <w:t>Keywords:</w:t>
      </w:r>
      <w:r w:rsidRPr="009F2D9B">
        <w:rPr>
          <w:rFonts w:ascii="Times New Roman" w:hAnsi="Times New Roman" w:cs="Times New Roman"/>
          <w:sz w:val="20"/>
          <w:szCs w:val="20"/>
        </w:rPr>
        <w:t xml:space="preserve"> Wearable sensors, athlete monitoring, stress detection, hydration assessment, tendon stiffness, IMU, GSR, bioimpedance, </w:t>
      </w:r>
      <w:r w:rsidR="00B00CD3">
        <w:rPr>
          <w:rFonts w:ascii="Times New Roman" w:hAnsi="Times New Roman" w:cs="Times New Roman"/>
          <w:sz w:val="20"/>
          <w:szCs w:val="20"/>
        </w:rPr>
        <w:t>real-time feedback, Arduino Uno</w:t>
      </w:r>
    </w:p>
    <w:p w14:paraId="08743FA6" w14:textId="580D6EE2" w:rsidR="001D7512" w:rsidRDefault="00B00CD3" w:rsidP="00664B5E">
      <w:pPr>
        <w:pStyle w:val="Heading2"/>
        <w:rPr>
          <w:rStyle w:val="Strong"/>
          <w:b/>
          <w:bCs/>
          <w:sz w:val="20"/>
          <w:szCs w:val="20"/>
        </w:rPr>
        <w:sectPr w:rsidR="001D7512" w:rsidSect="009504CB">
          <w:type w:val="continuous"/>
          <w:pgSz w:w="12240" w:h="15840"/>
          <w:pgMar w:top="1440" w:right="1440" w:bottom="1440" w:left="1440" w:header="720" w:footer="720" w:gutter="0"/>
          <w:cols w:num="2" w:space="720"/>
          <w:docGrid w:linePitch="360"/>
        </w:sectPr>
      </w:pPr>
      <w:r>
        <w:rPr>
          <w:rStyle w:val="Strong"/>
          <w:b/>
          <w:bCs/>
          <w:sz w:val="20"/>
          <w:szCs w:val="20"/>
        </w:rPr>
        <w:t>1.</w:t>
      </w:r>
    </w:p>
    <w:p w14:paraId="50E6AEE3" w14:textId="4D113BB3" w:rsidR="00664B5E" w:rsidRPr="009F2D9B" w:rsidRDefault="00664B5E" w:rsidP="00B00CD3">
      <w:pPr>
        <w:pStyle w:val="Heading2"/>
        <w:rPr>
          <w:sz w:val="20"/>
          <w:szCs w:val="20"/>
        </w:rPr>
      </w:pPr>
      <w:r w:rsidRPr="009F2D9B">
        <w:rPr>
          <w:rStyle w:val="Strong"/>
          <w:b/>
          <w:bCs/>
          <w:sz w:val="20"/>
          <w:szCs w:val="20"/>
        </w:rPr>
        <w:t>Introduction</w:t>
      </w:r>
    </w:p>
    <w:p w14:paraId="27501D5A" w14:textId="4782DD70" w:rsidR="00BE16FC" w:rsidRPr="009F2D9B" w:rsidRDefault="00664B5E" w:rsidP="00BD21CD">
      <w:pPr>
        <w:pStyle w:val="NormalWeb"/>
        <w:jc w:val="both"/>
        <w:rPr>
          <w:sz w:val="20"/>
          <w:szCs w:val="20"/>
        </w:rPr>
      </w:pPr>
      <w:r w:rsidRPr="009F2D9B">
        <w:rPr>
          <w:sz w:val="20"/>
          <w:szCs w:val="20"/>
        </w:rPr>
        <w:t>Athlete performance and injury prevention are closely linked to continuous monitoring of physiological and musculoskeletal states. Stress, dehydration, and tendon overload are primary contributors to reduced performance and increased injury risk in competitive sports. Conventional monitoring methods, such as EMG, laboratory-based hydration assessments, or subjective stress questionnaires, are often invasive, time-consuming, or impractical for real-time applications.</w:t>
      </w:r>
      <w:r w:rsidR="00F76BC3" w:rsidRPr="009F2D9B">
        <w:rPr>
          <w:sz w:val="20"/>
          <w:szCs w:val="20"/>
        </w:rPr>
        <w:t xml:space="preserve"> </w:t>
      </w:r>
      <w:r w:rsidRPr="009F2D9B">
        <w:rPr>
          <w:sz w:val="20"/>
          <w:szCs w:val="20"/>
        </w:rPr>
        <w:t>Recent advances in wearable sensor technologies and microcontroller-based platforms have enabled non-invasive, continuous monitoring of multiple physiological parameters in real-world setting</w:t>
      </w:r>
      <w:r w:rsidR="00BD21CD" w:rsidRPr="009F2D9B">
        <w:rPr>
          <w:sz w:val="20"/>
          <w:szCs w:val="20"/>
        </w:rPr>
        <w:t xml:space="preserve">s. Integrating multiple sensing </w:t>
      </w:r>
      <w:r w:rsidRPr="009F2D9B">
        <w:rPr>
          <w:sz w:val="20"/>
          <w:szCs w:val="20"/>
        </w:rPr>
        <w:t>modalities—physiological, biomechanical, and motion-related—into a single wearable platform offers a holistic view of athlete health and performance. However, challenges remain in sensor fusion, real-time processing, and delivering actionable feedback to athletes and coaches.</w:t>
      </w:r>
      <w:r w:rsidR="00F76BC3" w:rsidRPr="009F2D9B">
        <w:rPr>
          <w:sz w:val="20"/>
          <w:szCs w:val="20"/>
        </w:rPr>
        <w:t xml:space="preserve"> </w:t>
      </w:r>
      <w:r w:rsidRPr="009F2D9B">
        <w:rPr>
          <w:sz w:val="20"/>
          <w:szCs w:val="20"/>
        </w:rPr>
        <w:t>This study presents a novel integrated multi-modal wearable system that monitors athlete stress, hydration, and tendon stiffness in real-time. By leveraging an Arduino Uno microcontroller with multiple sensors, the system performs on-device pre-processing, wireless data transmission, and real-</w:t>
      </w:r>
      <w:r w:rsidRPr="009F2D9B">
        <w:rPr>
          <w:sz w:val="20"/>
          <w:szCs w:val="20"/>
        </w:rPr>
        <w:t>time feedback, providing an accessible and compact solution for high-performance training environments.</w:t>
      </w:r>
    </w:p>
    <w:p w14:paraId="15854790" w14:textId="77777777" w:rsidR="00664B5E" w:rsidRPr="009F2D9B" w:rsidRDefault="00664B5E" w:rsidP="00664B5E">
      <w:pPr>
        <w:pStyle w:val="Heading2"/>
        <w:rPr>
          <w:sz w:val="20"/>
          <w:szCs w:val="20"/>
        </w:rPr>
      </w:pPr>
      <w:r w:rsidRPr="009F2D9B">
        <w:rPr>
          <w:rStyle w:val="Strong"/>
          <w:b/>
          <w:bCs/>
          <w:sz w:val="20"/>
          <w:szCs w:val="20"/>
        </w:rPr>
        <w:t>2. Literature Review</w:t>
      </w:r>
    </w:p>
    <w:p w14:paraId="35171D6E" w14:textId="77777777" w:rsidR="00664B5E" w:rsidRPr="009F2D9B" w:rsidRDefault="00664B5E" w:rsidP="00664B5E">
      <w:pPr>
        <w:pStyle w:val="Heading3"/>
        <w:rPr>
          <w:sz w:val="20"/>
          <w:szCs w:val="20"/>
        </w:rPr>
      </w:pPr>
      <w:r w:rsidRPr="009F2D9B">
        <w:rPr>
          <w:rStyle w:val="Strong"/>
          <w:b/>
          <w:bCs/>
          <w:sz w:val="20"/>
          <w:szCs w:val="20"/>
        </w:rPr>
        <w:t>2.1 Athlete Stress Monitoring</w:t>
      </w:r>
    </w:p>
    <w:p w14:paraId="52D0CEB1" w14:textId="77777777" w:rsidR="001462B9" w:rsidRPr="009F2D9B" w:rsidRDefault="001462B9" w:rsidP="001462B9">
      <w:pPr>
        <w:spacing w:before="100" w:beforeAutospacing="1" w:after="100" w:afterAutospacing="1" w:line="240" w:lineRule="auto"/>
        <w:jc w:val="both"/>
        <w:rPr>
          <w:rFonts w:ascii="Times New Roman" w:eastAsia="Times New Roman" w:hAnsi="Times New Roman" w:cs="Times New Roman"/>
          <w:sz w:val="20"/>
          <w:szCs w:val="20"/>
        </w:rPr>
      </w:pPr>
      <w:r w:rsidRPr="009F2D9B">
        <w:rPr>
          <w:rFonts w:ascii="Times New Roman" w:eastAsia="Times New Roman" w:hAnsi="Times New Roman" w:cs="Times New Roman"/>
          <w:sz w:val="20"/>
          <w:szCs w:val="20"/>
        </w:rPr>
        <w:t xml:space="preserve">Recent research strongly supports the conclusion that </w:t>
      </w:r>
      <w:r w:rsidRPr="009F2D9B">
        <w:rPr>
          <w:rFonts w:ascii="Times New Roman" w:eastAsia="Times New Roman" w:hAnsi="Times New Roman" w:cs="Times New Roman"/>
          <w:bCs/>
          <w:sz w:val="20"/>
          <w:szCs w:val="20"/>
        </w:rPr>
        <w:t>integrating HR, HRV, and electrodermal activity (EDA/GSR) significantly improves physiological stress detection</w:t>
      </w:r>
      <w:r w:rsidRPr="009F2D9B">
        <w:rPr>
          <w:rFonts w:ascii="Times New Roman" w:eastAsia="Times New Roman" w:hAnsi="Times New Roman" w:cs="Times New Roman"/>
          <w:sz w:val="20"/>
          <w:szCs w:val="20"/>
        </w:rPr>
        <w:t xml:space="preserve"> compared to single-signal monitoring. For example, Xiang </w:t>
      </w:r>
      <w:r w:rsidRPr="009F2D9B">
        <w:rPr>
          <w:rFonts w:ascii="Times New Roman" w:eastAsia="Times New Roman" w:hAnsi="Times New Roman" w:cs="Times New Roman"/>
          <w:i/>
          <w:iCs/>
          <w:sz w:val="20"/>
          <w:szCs w:val="20"/>
        </w:rPr>
        <w:t>et al.</w:t>
      </w:r>
      <w:r w:rsidRPr="009F2D9B">
        <w:rPr>
          <w:rFonts w:ascii="Times New Roman" w:eastAsia="Times New Roman" w:hAnsi="Times New Roman" w:cs="Times New Roman"/>
          <w:sz w:val="20"/>
          <w:szCs w:val="20"/>
        </w:rPr>
        <w:t xml:space="preserve"> (Jun-Zhi Xiang, Qin-Yong Wang, Zhi-Bin Fang, James A. Esquivel, and Zhi-Xian Su) in </w:t>
      </w:r>
      <w:r w:rsidRPr="009F2D9B">
        <w:rPr>
          <w:rFonts w:ascii="Times New Roman" w:eastAsia="Times New Roman" w:hAnsi="Times New Roman" w:cs="Times New Roman"/>
          <w:i/>
          <w:iCs/>
          <w:sz w:val="20"/>
          <w:szCs w:val="20"/>
        </w:rPr>
        <w:t>Frontiers in Physiology</w:t>
      </w:r>
      <w:r w:rsidRPr="009F2D9B">
        <w:rPr>
          <w:rFonts w:ascii="Times New Roman" w:eastAsia="Times New Roman" w:hAnsi="Times New Roman" w:cs="Times New Roman"/>
          <w:sz w:val="20"/>
          <w:szCs w:val="20"/>
        </w:rPr>
        <w:t xml:space="preserve"> (2025) developed a </w:t>
      </w:r>
      <w:r w:rsidRPr="009F2D9B">
        <w:rPr>
          <w:rFonts w:ascii="Times New Roman" w:eastAsia="Times New Roman" w:hAnsi="Times New Roman" w:cs="Times New Roman"/>
          <w:bCs/>
          <w:sz w:val="20"/>
          <w:szCs w:val="20"/>
        </w:rPr>
        <w:t>multimodal deep learning stress detection model</w:t>
      </w:r>
      <w:r w:rsidRPr="009F2D9B">
        <w:rPr>
          <w:rFonts w:ascii="Times New Roman" w:eastAsia="Times New Roman" w:hAnsi="Times New Roman" w:cs="Times New Roman"/>
          <w:sz w:val="20"/>
          <w:szCs w:val="20"/>
        </w:rPr>
        <w:t xml:space="preserve"> that processes combined physiological signals including heart rate and EDA, demonstrating that fusing time- and frequency-domain features markedly enhances classification robustness and yields high detection performance relative to traditional single-signal models. In a wearable sensor reproducibility study by Amin, Mishra, Tapera, Volpe &amp; Sathyanarayana (2025), </w:t>
      </w:r>
      <w:r w:rsidRPr="009F2D9B">
        <w:rPr>
          <w:rFonts w:ascii="Times New Roman" w:eastAsia="Times New Roman" w:hAnsi="Times New Roman" w:cs="Times New Roman"/>
          <w:bCs/>
          <w:sz w:val="20"/>
          <w:szCs w:val="20"/>
        </w:rPr>
        <w:t>heart rate variability (HRV) and EDA combined models achieved AUROC up to 0.953–0.961</w:t>
      </w:r>
      <w:r w:rsidRPr="009F2D9B">
        <w:rPr>
          <w:rFonts w:ascii="Times New Roman" w:eastAsia="Times New Roman" w:hAnsi="Times New Roman" w:cs="Times New Roman"/>
          <w:sz w:val="20"/>
          <w:szCs w:val="20"/>
        </w:rPr>
        <w:t xml:space="preserve"> across multiple consumer and research devices, confirming that adding EDA to HRV improves stress discrimination in real-world wearable contexts. </w:t>
      </w:r>
      <w:r w:rsidRPr="009F2D9B">
        <w:rPr>
          <w:rFonts w:ascii="Times New Roman" w:eastAsia="Times New Roman" w:hAnsi="Times New Roman" w:cs="Times New Roman"/>
          <w:sz w:val="20"/>
          <w:szCs w:val="20"/>
        </w:rPr>
        <w:lastRenderedPageBreak/>
        <w:t xml:space="preserve">Similarly, </w:t>
      </w:r>
      <w:proofErr w:type="spellStart"/>
      <w:r w:rsidRPr="009F2D9B">
        <w:rPr>
          <w:rFonts w:ascii="Times New Roman" w:eastAsia="Times New Roman" w:hAnsi="Times New Roman" w:cs="Times New Roman"/>
          <w:sz w:val="20"/>
          <w:szCs w:val="20"/>
        </w:rPr>
        <w:t>Ardecani</w:t>
      </w:r>
      <w:proofErr w:type="spellEnd"/>
      <w:r w:rsidRPr="009F2D9B">
        <w:rPr>
          <w:rFonts w:ascii="Times New Roman" w:eastAsia="Times New Roman" w:hAnsi="Times New Roman" w:cs="Times New Roman"/>
          <w:sz w:val="20"/>
          <w:szCs w:val="20"/>
        </w:rPr>
        <w:t xml:space="preserve"> &amp; </w:t>
      </w:r>
      <w:proofErr w:type="spellStart"/>
      <w:r w:rsidRPr="009F2D9B">
        <w:rPr>
          <w:rFonts w:ascii="Times New Roman" w:eastAsia="Times New Roman" w:hAnsi="Times New Roman" w:cs="Times New Roman"/>
          <w:sz w:val="20"/>
          <w:szCs w:val="20"/>
        </w:rPr>
        <w:t>Shoghli</w:t>
      </w:r>
      <w:proofErr w:type="spellEnd"/>
      <w:r w:rsidRPr="009F2D9B">
        <w:rPr>
          <w:rFonts w:ascii="Times New Roman" w:eastAsia="Times New Roman" w:hAnsi="Times New Roman" w:cs="Times New Roman"/>
          <w:sz w:val="20"/>
          <w:szCs w:val="20"/>
        </w:rPr>
        <w:t xml:space="preserve"> (2025) showed in an experimental immersive environment that </w:t>
      </w:r>
      <w:r w:rsidRPr="009F2D9B">
        <w:rPr>
          <w:rFonts w:ascii="Times New Roman" w:eastAsia="Times New Roman" w:hAnsi="Times New Roman" w:cs="Times New Roman"/>
          <w:bCs/>
          <w:sz w:val="20"/>
          <w:szCs w:val="20"/>
        </w:rPr>
        <w:t>elevated HR measures and stronger electrodermal responses jointly discriminate stress intensity better than either signal alone</w:t>
      </w:r>
      <w:r w:rsidRPr="009F2D9B">
        <w:rPr>
          <w:rFonts w:ascii="Times New Roman" w:eastAsia="Times New Roman" w:hAnsi="Times New Roman" w:cs="Times New Roman"/>
          <w:sz w:val="20"/>
          <w:szCs w:val="20"/>
        </w:rPr>
        <w:t xml:space="preserve">, emphasizing autonomic nervous system effects detectable by multimodal sensing. Systematic analyses of stress detection methods consistently identify </w:t>
      </w:r>
      <w:r w:rsidRPr="009F2D9B">
        <w:rPr>
          <w:rFonts w:ascii="Times New Roman" w:eastAsia="Times New Roman" w:hAnsi="Times New Roman" w:cs="Times New Roman"/>
          <w:bCs/>
          <w:sz w:val="20"/>
          <w:szCs w:val="20"/>
        </w:rPr>
        <w:t>EDA as a key sympathetic arousal marker complementary to HRV’s parasympathetic information</w:t>
      </w:r>
      <w:r w:rsidRPr="009F2D9B">
        <w:rPr>
          <w:rFonts w:ascii="Times New Roman" w:eastAsia="Times New Roman" w:hAnsi="Times New Roman" w:cs="Times New Roman"/>
          <w:sz w:val="20"/>
          <w:szCs w:val="20"/>
        </w:rPr>
        <w:t>, with multimodal fusion (often combining PPG, EDA, and additional signals) linked to higher predictive accuracy across benchmark datasets such as WESAD and SWELL compared to single modalities, highlighting the value of multi-signal integration in both academic and applied stress recognition research.</w:t>
      </w:r>
      <w:r w:rsidR="009F2D9B">
        <w:rPr>
          <w:rFonts w:ascii="Times New Roman" w:eastAsia="Times New Roman" w:hAnsi="Times New Roman" w:cs="Times New Roman"/>
          <w:sz w:val="20"/>
          <w:szCs w:val="20"/>
        </w:rPr>
        <w:t xml:space="preserve"> </w:t>
      </w:r>
      <w:r w:rsidRPr="009F2D9B">
        <w:rPr>
          <w:rFonts w:ascii="Times New Roman" w:eastAsia="Times New Roman" w:hAnsi="Times New Roman" w:cs="Times New Roman"/>
          <w:sz w:val="20"/>
          <w:szCs w:val="20"/>
        </w:rPr>
        <w:t xml:space="preserve">This research trend underscores that </w:t>
      </w:r>
      <w:r w:rsidRPr="009F2D9B">
        <w:rPr>
          <w:rFonts w:ascii="Times New Roman" w:eastAsia="Times New Roman" w:hAnsi="Times New Roman" w:cs="Times New Roman"/>
          <w:bCs/>
          <w:sz w:val="20"/>
          <w:szCs w:val="20"/>
        </w:rPr>
        <w:t>biomarker fusion (HR/HRV + EDA)</w:t>
      </w:r>
      <w:r w:rsidRPr="009F2D9B">
        <w:rPr>
          <w:rFonts w:ascii="Times New Roman" w:eastAsia="Times New Roman" w:hAnsi="Times New Roman" w:cs="Times New Roman"/>
          <w:sz w:val="20"/>
          <w:szCs w:val="20"/>
        </w:rPr>
        <w:t xml:space="preserve"> captures broader autonomic dynamics and enhances stress detection models’ reliability and robustness, a finding supported across </w:t>
      </w:r>
      <w:r w:rsidRPr="009F2D9B">
        <w:rPr>
          <w:rFonts w:ascii="Times New Roman" w:eastAsia="Times New Roman" w:hAnsi="Times New Roman" w:cs="Times New Roman"/>
          <w:bCs/>
          <w:sz w:val="20"/>
          <w:szCs w:val="20"/>
        </w:rPr>
        <w:t>recent studies from 2025</w:t>
      </w:r>
      <w:r w:rsidRPr="009F2D9B">
        <w:rPr>
          <w:rFonts w:ascii="Times New Roman" w:eastAsia="Times New Roman" w:hAnsi="Times New Roman" w:cs="Times New Roman"/>
          <w:sz w:val="20"/>
          <w:szCs w:val="20"/>
        </w:rPr>
        <w:t xml:space="preserve"> and forward.</w:t>
      </w:r>
    </w:p>
    <w:p w14:paraId="2F962BF3" w14:textId="77777777" w:rsidR="00664B5E" w:rsidRPr="009F2D9B" w:rsidRDefault="00664B5E" w:rsidP="00664B5E">
      <w:pPr>
        <w:pStyle w:val="Heading3"/>
        <w:rPr>
          <w:rStyle w:val="Strong"/>
          <w:b/>
          <w:bCs/>
          <w:sz w:val="20"/>
          <w:szCs w:val="20"/>
        </w:rPr>
      </w:pPr>
      <w:r w:rsidRPr="009F2D9B">
        <w:rPr>
          <w:rStyle w:val="Strong"/>
          <w:b/>
          <w:bCs/>
          <w:sz w:val="20"/>
          <w:szCs w:val="20"/>
        </w:rPr>
        <w:t>2.2 Hydration Monitoring</w:t>
      </w:r>
    </w:p>
    <w:p w14:paraId="2F20E657" w14:textId="77777777" w:rsidR="001462B9" w:rsidRPr="009F2D9B" w:rsidRDefault="001462B9" w:rsidP="001462B9">
      <w:pPr>
        <w:pStyle w:val="Heading3"/>
        <w:jc w:val="both"/>
        <w:rPr>
          <w:b w:val="0"/>
          <w:sz w:val="20"/>
          <w:szCs w:val="20"/>
        </w:rPr>
      </w:pPr>
      <w:r w:rsidRPr="009F2D9B">
        <w:rPr>
          <w:b w:val="0"/>
          <w:sz w:val="20"/>
          <w:szCs w:val="20"/>
        </w:rPr>
        <w:t xml:space="preserve">Hydration plays a </w:t>
      </w:r>
      <w:r w:rsidRPr="009F2D9B">
        <w:rPr>
          <w:rStyle w:val="Strong"/>
          <w:sz w:val="20"/>
          <w:szCs w:val="20"/>
        </w:rPr>
        <w:t>critical role in athletic performance and thermoregulation</w:t>
      </w:r>
      <w:r w:rsidRPr="009F2D9B">
        <w:rPr>
          <w:b w:val="0"/>
          <w:sz w:val="20"/>
          <w:szCs w:val="20"/>
        </w:rPr>
        <w:t xml:space="preserve">, with even mild dehydration negatively affecting endurance, cognitive function, and heat stress responses; </w:t>
      </w:r>
      <w:r w:rsidRPr="009F2D9B">
        <w:rPr>
          <w:rStyle w:val="Strong"/>
          <w:sz w:val="20"/>
          <w:szCs w:val="20"/>
        </w:rPr>
        <w:t>bioimpedance analysis (BIA)</w:t>
      </w:r>
      <w:r w:rsidRPr="009F2D9B">
        <w:rPr>
          <w:b w:val="0"/>
          <w:sz w:val="20"/>
          <w:szCs w:val="20"/>
        </w:rPr>
        <w:t xml:space="preserve"> has become a widely studied </w:t>
      </w:r>
      <w:r w:rsidRPr="009F2D9B">
        <w:rPr>
          <w:rStyle w:val="Strong"/>
          <w:sz w:val="20"/>
          <w:szCs w:val="20"/>
        </w:rPr>
        <w:t>non-invasive method to estimate body water content and fluid balance</w:t>
      </w:r>
      <w:r w:rsidRPr="009F2D9B">
        <w:rPr>
          <w:b w:val="0"/>
          <w:sz w:val="20"/>
          <w:szCs w:val="20"/>
        </w:rPr>
        <w:t xml:space="preserve"> by measuring the electrical opposition of tissues, exploiting the fact that water-rich tissues conduct electricity better than dehydrated tissues. In healthy adult volunteers, </w:t>
      </w:r>
      <w:r w:rsidRPr="009F2D9B">
        <w:rPr>
          <w:rStyle w:val="Strong"/>
          <w:sz w:val="20"/>
          <w:szCs w:val="20"/>
        </w:rPr>
        <w:t>H. N. Andersen, A. T. Horn, and K. Rønnestad (2024)</w:t>
      </w:r>
      <w:r w:rsidRPr="009F2D9B">
        <w:rPr>
          <w:b w:val="0"/>
          <w:sz w:val="20"/>
          <w:szCs w:val="20"/>
        </w:rPr>
        <w:t xml:space="preserve"> demonstrated that a </w:t>
      </w:r>
      <w:r w:rsidRPr="009F2D9B">
        <w:rPr>
          <w:rStyle w:val="Strong"/>
          <w:sz w:val="20"/>
          <w:szCs w:val="20"/>
        </w:rPr>
        <w:t>wearable bioimpedance sensor</w:t>
      </w:r>
      <w:r w:rsidRPr="009F2D9B">
        <w:rPr>
          <w:b w:val="0"/>
          <w:sz w:val="20"/>
          <w:szCs w:val="20"/>
        </w:rPr>
        <w:t xml:space="preserve"> could sensitively track </w:t>
      </w:r>
      <w:r w:rsidRPr="009F2D9B">
        <w:rPr>
          <w:rStyle w:val="Strong"/>
          <w:sz w:val="20"/>
          <w:szCs w:val="20"/>
        </w:rPr>
        <w:t>furosemide-induced extracellular fluid loss</w:t>
      </w:r>
      <w:r w:rsidRPr="009F2D9B">
        <w:rPr>
          <w:b w:val="0"/>
          <w:sz w:val="20"/>
          <w:szCs w:val="20"/>
        </w:rPr>
        <w:t xml:space="preserve">, with significant increases in extracellular resistance correlating tightly with estimated fluid loss, highlighting BIA’s capability to monitor acute hydration changes. Moreover, </w:t>
      </w:r>
      <w:r w:rsidRPr="009F2D9B">
        <w:rPr>
          <w:rStyle w:val="Strong"/>
          <w:sz w:val="20"/>
          <w:szCs w:val="20"/>
        </w:rPr>
        <w:t xml:space="preserve">Matija Jankovic, </w:t>
      </w:r>
      <w:proofErr w:type="spellStart"/>
      <w:r w:rsidRPr="009F2D9B">
        <w:rPr>
          <w:rStyle w:val="Strong"/>
          <w:sz w:val="20"/>
          <w:szCs w:val="20"/>
        </w:rPr>
        <w:t>Seungmin</w:t>
      </w:r>
      <w:proofErr w:type="spellEnd"/>
      <w:r w:rsidRPr="009F2D9B">
        <w:rPr>
          <w:rStyle w:val="Strong"/>
          <w:sz w:val="20"/>
          <w:szCs w:val="20"/>
        </w:rPr>
        <w:t xml:space="preserve"> Kang, </w:t>
      </w:r>
      <w:proofErr w:type="spellStart"/>
      <w:r w:rsidRPr="009F2D9B">
        <w:rPr>
          <w:rStyle w:val="Strong"/>
          <w:sz w:val="20"/>
          <w:szCs w:val="20"/>
        </w:rPr>
        <w:t>Sarnab</w:t>
      </w:r>
      <w:proofErr w:type="spellEnd"/>
      <w:r w:rsidRPr="009F2D9B">
        <w:rPr>
          <w:rStyle w:val="Strong"/>
          <w:sz w:val="20"/>
          <w:szCs w:val="20"/>
        </w:rPr>
        <w:t xml:space="preserve"> Bhattacharya, Jordon Kashanchi, Jieting Wang, Kanika Deoli, Tianda Huang, Alex Johnson, Karina Ambani, </w:t>
      </w:r>
      <w:proofErr w:type="spellStart"/>
      <w:r w:rsidRPr="009F2D9B">
        <w:rPr>
          <w:rStyle w:val="Strong"/>
          <w:sz w:val="20"/>
          <w:szCs w:val="20"/>
        </w:rPr>
        <w:t>Sangjun</w:t>
      </w:r>
      <w:proofErr w:type="spellEnd"/>
      <w:r w:rsidRPr="009F2D9B">
        <w:rPr>
          <w:rStyle w:val="Strong"/>
          <w:sz w:val="20"/>
          <w:szCs w:val="20"/>
        </w:rPr>
        <w:t xml:space="preserve"> Kim, Pulin Wang, Edward Coyle, and </w:t>
      </w:r>
      <w:proofErr w:type="spellStart"/>
      <w:r w:rsidRPr="009F2D9B">
        <w:rPr>
          <w:rStyle w:val="Strong"/>
          <w:sz w:val="20"/>
          <w:szCs w:val="20"/>
        </w:rPr>
        <w:t>Nanshu</w:t>
      </w:r>
      <w:proofErr w:type="spellEnd"/>
      <w:r w:rsidRPr="009F2D9B">
        <w:rPr>
          <w:rStyle w:val="Strong"/>
          <w:sz w:val="20"/>
          <w:szCs w:val="20"/>
        </w:rPr>
        <w:t xml:space="preserve"> Lu (2025</w:t>
      </w:r>
      <w:r w:rsidRPr="009F2D9B">
        <w:rPr>
          <w:rStyle w:val="Strong"/>
          <w:b/>
          <w:sz w:val="20"/>
          <w:szCs w:val="20"/>
        </w:rPr>
        <w:t>)</w:t>
      </w:r>
      <w:r w:rsidRPr="009F2D9B">
        <w:rPr>
          <w:b w:val="0"/>
          <w:sz w:val="20"/>
          <w:szCs w:val="20"/>
        </w:rPr>
        <w:t xml:space="preserve"> developed a </w:t>
      </w:r>
      <w:r w:rsidRPr="009F2D9B">
        <w:rPr>
          <w:rStyle w:val="Strong"/>
          <w:sz w:val="20"/>
          <w:szCs w:val="20"/>
        </w:rPr>
        <w:t>wearable wireless arm-worn bioimpedance sensor</w:t>
      </w:r>
      <w:r w:rsidRPr="009F2D9B">
        <w:rPr>
          <w:b w:val="0"/>
          <w:sz w:val="20"/>
          <w:szCs w:val="20"/>
        </w:rPr>
        <w:t xml:space="preserve"> that continuously assessed </w:t>
      </w:r>
      <w:r w:rsidRPr="009F2D9B">
        <w:rPr>
          <w:rStyle w:val="Strong"/>
          <w:sz w:val="20"/>
          <w:szCs w:val="20"/>
        </w:rPr>
        <w:t>whole-body hydration (WBH)</w:t>
      </w:r>
      <w:r w:rsidRPr="009F2D9B">
        <w:rPr>
          <w:b w:val="0"/>
          <w:sz w:val="20"/>
          <w:szCs w:val="20"/>
        </w:rPr>
        <w:t xml:space="preserve"> in free-living conditions, showing strong correlations between changes in arm bioimpedance and body water loss during dehydration/rehydration trials, suggesting the feasibility of continuous, ambulatory hydration monitoring in dynamic real-world contexts relevant for athletes and physically active populations. Despite the promise of BIA, hydration assessment is </w:t>
      </w:r>
      <w:r w:rsidRPr="009F2D9B">
        <w:rPr>
          <w:rStyle w:val="Strong"/>
          <w:sz w:val="20"/>
          <w:szCs w:val="20"/>
        </w:rPr>
        <w:t>influenced by skin temperature and sweat dynamics</w:t>
      </w:r>
      <w:r w:rsidRPr="009F2D9B">
        <w:rPr>
          <w:sz w:val="20"/>
          <w:szCs w:val="20"/>
        </w:rPr>
        <w:t>,</w:t>
      </w:r>
      <w:r w:rsidRPr="009F2D9B">
        <w:rPr>
          <w:b w:val="0"/>
          <w:sz w:val="20"/>
          <w:szCs w:val="20"/>
        </w:rPr>
        <w:t xml:space="preserve"> </w:t>
      </w:r>
      <w:r w:rsidRPr="009F2D9B">
        <w:rPr>
          <w:b w:val="0"/>
          <w:sz w:val="20"/>
          <w:szCs w:val="20"/>
        </w:rPr>
        <w:t xml:space="preserve">as elevated skin temperature during exertion affects peripheral blood flow and the measured impedance; earlier work on </w:t>
      </w:r>
      <w:r w:rsidRPr="009F2D9B">
        <w:rPr>
          <w:rStyle w:val="Strong"/>
          <w:sz w:val="20"/>
          <w:szCs w:val="20"/>
        </w:rPr>
        <w:t>temperature-corrected impedance models</w:t>
      </w:r>
      <w:r w:rsidRPr="009F2D9B">
        <w:rPr>
          <w:b w:val="0"/>
          <w:sz w:val="20"/>
          <w:szCs w:val="20"/>
        </w:rPr>
        <w:t xml:space="preserve"> has shown that incorporating </w:t>
      </w:r>
      <w:r w:rsidRPr="009F2D9B">
        <w:rPr>
          <w:rStyle w:val="Strong"/>
          <w:sz w:val="20"/>
          <w:szCs w:val="20"/>
        </w:rPr>
        <w:t>skin and core temperature</w:t>
      </w:r>
      <w:r w:rsidRPr="009F2D9B">
        <w:rPr>
          <w:b w:val="0"/>
          <w:sz w:val="20"/>
          <w:szCs w:val="20"/>
        </w:rPr>
        <w:t xml:space="preserve"> can </w:t>
      </w:r>
      <w:r w:rsidRPr="009F2D9B">
        <w:rPr>
          <w:rStyle w:val="Strong"/>
          <w:sz w:val="20"/>
          <w:szCs w:val="20"/>
        </w:rPr>
        <w:t>reduce errors in total body water loss estimation by up to ~71 %</w:t>
      </w:r>
      <w:r w:rsidRPr="009F2D9B">
        <w:rPr>
          <w:b w:val="0"/>
          <w:sz w:val="20"/>
          <w:szCs w:val="20"/>
        </w:rPr>
        <w:t xml:space="preserve"> during exercise, underscoring the value of integrating thermal measurements into hydration models. While studies such as textile-based skin hydration monitoring by </w:t>
      </w:r>
      <w:r w:rsidRPr="009F2D9B">
        <w:rPr>
          <w:rStyle w:val="Strong"/>
          <w:sz w:val="20"/>
          <w:szCs w:val="20"/>
        </w:rPr>
        <w:t>Minju Jang, Ho-Dong Kim, Hyung-Jun Koo, and Ju-Hee So (2022)</w:t>
      </w:r>
      <w:r w:rsidRPr="009F2D9B">
        <w:rPr>
          <w:sz w:val="20"/>
          <w:szCs w:val="20"/>
        </w:rPr>
        <w:t xml:space="preserve"> </w:t>
      </w:r>
      <w:r w:rsidRPr="009F2D9B">
        <w:rPr>
          <w:b w:val="0"/>
          <w:sz w:val="20"/>
          <w:szCs w:val="20"/>
        </w:rPr>
        <w:t xml:space="preserve">demonstrate that </w:t>
      </w:r>
      <w:r w:rsidRPr="009F2D9B">
        <w:rPr>
          <w:rStyle w:val="Strong"/>
          <w:sz w:val="20"/>
          <w:szCs w:val="20"/>
        </w:rPr>
        <w:t>skin hydration via impedance changes</w:t>
      </w:r>
      <w:r w:rsidRPr="009F2D9B">
        <w:rPr>
          <w:b w:val="0"/>
          <w:sz w:val="20"/>
          <w:szCs w:val="20"/>
        </w:rPr>
        <w:t xml:space="preserve"> can be detected with conformal wearable sensors, future research is trending toward </w:t>
      </w:r>
      <w:r w:rsidRPr="009F2D9B">
        <w:rPr>
          <w:rStyle w:val="Strong"/>
          <w:sz w:val="20"/>
          <w:szCs w:val="20"/>
        </w:rPr>
        <w:t>multimodal systems</w:t>
      </w:r>
      <w:r w:rsidRPr="009F2D9B">
        <w:rPr>
          <w:b w:val="0"/>
          <w:sz w:val="20"/>
          <w:szCs w:val="20"/>
        </w:rPr>
        <w:t xml:space="preserve"> that combine </w:t>
      </w:r>
      <w:r w:rsidRPr="009F2D9B">
        <w:rPr>
          <w:rStyle w:val="Strong"/>
          <w:sz w:val="20"/>
          <w:szCs w:val="20"/>
        </w:rPr>
        <w:t>BIA with skin temperature, sweat rate, and movement sensors</w:t>
      </w:r>
      <w:r w:rsidRPr="009F2D9B">
        <w:rPr>
          <w:b w:val="0"/>
          <w:sz w:val="20"/>
          <w:szCs w:val="20"/>
        </w:rPr>
        <w:t xml:space="preserve"> to enhance hydration assessment accuracy, particularly under thermoregulatory stress experienced during intense exercise or heat exposure. The ongoing challenge remains </w:t>
      </w:r>
      <w:r w:rsidRPr="009F2D9B">
        <w:rPr>
          <w:rStyle w:val="Strong"/>
          <w:sz w:val="20"/>
          <w:szCs w:val="20"/>
        </w:rPr>
        <w:t>integration into compact, robust wearables</w:t>
      </w:r>
      <w:r w:rsidRPr="009F2D9B">
        <w:rPr>
          <w:b w:val="0"/>
          <w:sz w:val="20"/>
          <w:szCs w:val="20"/>
        </w:rPr>
        <w:t xml:space="preserve"> that provide continuous, real-time hydration insights without calibration burden or motion artifacts, a key frontier in advancing hydration monitoring for athletic and clinical applications. </w:t>
      </w:r>
    </w:p>
    <w:p w14:paraId="1C316203" w14:textId="77777777" w:rsidR="00664B5E" w:rsidRPr="009F2D9B" w:rsidRDefault="00664B5E" w:rsidP="00664B5E">
      <w:pPr>
        <w:pStyle w:val="Heading3"/>
        <w:rPr>
          <w:rStyle w:val="Strong"/>
          <w:b/>
          <w:bCs/>
          <w:sz w:val="20"/>
          <w:szCs w:val="20"/>
        </w:rPr>
      </w:pPr>
      <w:r w:rsidRPr="009F2D9B">
        <w:rPr>
          <w:rStyle w:val="Strong"/>
          <w:b/>
          <w:bCs/>
          <w:sz w:val="20"/>
          <w:szCs w:val="20"/>
        </w:rPr>
        <w:t xml:space="preserve">2.3 </w:t>
      </w:r>
      <w:r w:rsidRPr="000E7757">
        <w:rPr>
          <w:rStyle w:val="Strong"/>
          <w:b/>
          <w:bCs/>
          <w:sz w:val="24"/>
          <w:szCs w:val="24"/>
        </w:rPr>
        <w:t>Tendon Stiffness Estimation</w:t>
      </w:r>
    </w:p>
    <w:p w14:paraId="2D89CEBA" w14:textId="77777777" w:rsidR="001462B9" w:rsidRPr="009F2D9B" w:rsidRDefault="001462B9" w:rsidP="001462B9">
      <w:pPr>
        <w:pStyle w:val="Heading3"/>
        <w:jc w:val="both"/>
        <w:rPr>
          <w:b w:val="0"/>
          <w:sz w:val="20"/>
          <w:szCs w:val="20"/>
        </w:rPr>
      </w:pPr>
      <w:r w:rsidRPr="009F2D9B">
        <w:rPr>
          <w:b w:val="0"/>
          <w:sz w:val="20"/>
          <w:szCs w:val="20"/>
        </w:rPr>
        <w:t xml:space="preserve">Tendon stiffness—a mechanical property reflecting how tendons resist deformation under load—is increasingly recognized as a </w:t>
      </w:r>
      <w:r w:rsidRPr="009F2D9B">
        <w:rPr>
          <w:rStyle w:val="Strong"/>
          <w:sz w:val="20"/>
          <w:szCs w:val="20"/>
        </w:rPr>
        <w:t>key indicator of musculoskeletal load, performance capacity, and injury risk</w:t>
      </w:r>
      <w:r w:rsidRPr="009F2D9B">
        <w:rPr>
          <w:sz w:val="20"/>
          <w:szCs w:val="20"/>
        </w:rPr>
        <w:t>,</w:t>
      </w:r>
      <w:r w:rsidRPr="009F2D9B">
        <w:rPr>
          <w:b w:val="0"/>
          <w:sz w:val="20"/>
          <w:szCs w:val="20"/>
        </w:rPr>
        <w:t xml:space="preserve"> but traditional estimation methods such as electromyography (EMG) combined with laboratory-based mechanical testing or imaging (e.g., ultrasonography) are constrained by the need for controlled environments and bulky equipment. Recent research trends are advancing </w:t>
      </w:r>
      <w:r w:rsidRPr="009F2D9B">
        <w:rPr>
          <w:rStyle w:val="Strong"/>
          <w:sz w:val="20"/>
          <w:szCs w:val="20"/>
        </w:rPr>
        <w:t>non-invasive wearable approaches</w:t>
      </w:r>
      <w:r w:rsidRPr="009F2D9B">
        <w:rPr>
          <w:b w:val="0"/>
          <w:sz w:val="20"/>
          <w:szCs w:val="20"/>
        </w:rPr>
        <w:t xml:space="preserve"> that leverage </w:t>
      </w:r>
      <w:r w:rsidRPr="009F2D9B">
        <w:rPr>
          <w:rStyle w:val="Strong"/>
          <w:sz w:val="20"/>
          <w:szCs w:val="20"/>
        </w:rPr>
        <w:t>high-resolution inertial measurement units (IMUs)</w:t>
      </w:r>
      <w:r w:rsidRPr="009F2D9B">
        <w:rPr>
          <w:sz w:val="20"/>
          <w:szCs w:val="20"/>
        </w:rPr>
        <w:t xml:space="preserve"> </w:t>
      </w:r>
      <w:r w:rsidRPr="009F2D9B">
        <w:rPr>
          <w:b w:val="0"/>
          <w:sz w:val="20"/>
          <w:szCs w:val="20"/>
        </w:rPr>
        <w:t>and</w:t>
      </w:r>
      <w:r w:rsidRPr="009F2D9B">
        <w:rPr>
          <w:sz w:val="20"/>
          <w:szCs w:val="20"/>
        </w:rPr>
        <w:t xml:space="preserve"> </w:t>
      </w:r>
      <w:r w:rsidRPr="009F2D9B">
        <w:rPr>
          <w:rStyle w:val="Strong"/>
          <w:sz w:val="20"/>
          <w:szCs w:val="20"/>
        </w:rPr>
        <w:t>strain/accelerometer sensors to infer tendon mechanical properties</w:t>
      </w:r>
      <w:r w:rsidRPr="009F2D9B">
        <w:rPr>
          <w:b w:val="0"/>
          <w:sz w:val="20"/>
          <w:szCs w:val="20"/>
        </w:rPr>
        <w:t xml:space="preserve"> by capturing motion-induced vibrations, shear wave propagation, and deformation signals that correlate with force and stiffness. For example, a seminal wearable system using </w:t>
      </w:r>
      <w:r w:rsidRPr="009F2D9B">
        <w:rPr>
          <w:rStyle w:val="Strong"/>
          <w:sz w:val="20"/>
          <w:szCs w:val="20"/>
        </w:rPr>
        <w:t>skin-mounted accelerometers with a piezoelectric actuator to generate microscale shear waves in the tendon</w:t>
      </w:r>
      <w:r w:rsidRPr="009F2D9B">
        <w:rPr>
          <w:sz w:val="20"/>
          <w:szCs w:val="20"/>
        </w:rPr>
        <w:t xml:space="preserve"> </w:t>
      </w:r>
      <w:r w:rsidRPr="009F2D9B">
        <w:rPr>
          <w:b w:val="0"/>
          <w:sz w:val="20"/>
          <w:szCs w:val="20"/>
        </w:rPr>
        <w:t>was developed by</w:t>
      </w:r>
      <w:r w:rsidRPr="009F2D9B">
        <w:rPr>
          <w:sz w:val="20"/>
          <w:szCs w:val="20"/>
        </w:rPr>
        <w:t xml:space="preserve"> </w:t>
      </w:r>
      <w:r w:rsidRPr="009F2D9B">
        <w:rPr>
          <w:rStyle w:val="Strong"/>
          <w:sz w:val="20"/>
          <w:szCs w:val="20"/>
        </w:rPr>
        <w:t>Sara E. Harper, Rebecca A. Roembke, John D. Zunker, Darryl G. Thelen, and Peter G. Adamczyk (2020)</w:t>
      </w:r>
      <w:r w:rsidRPr="009F2D9B">
        <w:rPr>
          <w:sz w:val="20"/>
          <w:szCs w:val="20"/>
        </w:rPr>
        <w:t>,</w:t>
      </w:r>
      <w:r w:rsidRPr="009F2D9B">
        <w:rPr>
          <w:b w:val="0"/>
          <w:sz w:val="20"/>
          <w:szCs w:val="20"/>
        </w:rPr>
        <w:t xml:space="preserve"> who demonstrated that tendon wave speed, captured via accelerometers, tracked changes in tendon loading during outdoor locomotion, providing a proxy for stiffness and load without invasive instrumentation. Building on this concept, comprehensive wearable monitoring strategies reviewed by </w:t>
      </w:r>
      <w:r w:rsidRPr="009F2D9B">
        <w:rPr>
          <w:rStyle w:val="Strong"/>
          <w:sz w:val="20"/>
          <w:szCs w:val="20"/>
        </w:rPr>
        <w:t>H. Kárason and colleagues (2024)</w:t>
      </w:r>
      <w:r w:rsidRPr="009F2D9B">
        <w:rPr>
          <w:b w:val="0"/>
          <w:sz w:val="20"/>
          <w:szCs w:val="20"/>
        </w:rPr>
        <w:t xml:space="preserve"> highlight how IMUs and strain sensors applied to soft tissues and garments can </w:t>
      </w:r>
      <w:r w:rsidRPr="009F2D9B">
        <w:rPr>
          <w:b w:val="0"/>
          <w:sz w:val="20"/>
          <w:szCs w:val="20"/>
        </w:rPr>
        <w:lastRenderedPageBreak/>
        <w:t xml:space="preserve">capture </w:t>
      </w:r>
      <w:r w:rsidRPr="009F2D9B">
        <w:rPr>
          <w:rStyle w:val="Strong"/>
          <w:sz w:val="20"/>
          <w:szCs w:val="20"/>
        </w:rPr>
        <w:t>dynamic biomechanical signals linked to tendon and muscle behavior</w:t>
      </w:r>
      <w:r w:rsidRPr="009F2D9B">
        <w:rPr>
          <w:b w:val="0"/>
          <w:sz w:val="20"/>
          <w:szCs w:val="20"/>
        </w:rPr>
        <w:t xml:space="preserve"> in less controlled, real-world conditions, laying a foundation for stiffness estimation outside the laboratory. In addition, studies such as the wearable sensor and machine learning work by </w:t>
      </w:r>
      <w:r w:rsidRPr="009F2D9B">
        <w:rPr>
          <w:rStyle w:val="Strong"/>
          <w:sz w:val="20"/>
          <w:szCs w:val="20"/>
        </w:rPr>
        <w:t>MP Kwon, TJ Hullfish, CJ Humbyrd, LAT Boakye, and JR Baxter (2023)</w:t>
      </w:r>
      <w:r w:rsidRPr="009F2D9B">
        <w:rPr>
          <w:b w:val="0"/>
          <w:sz w:val="20"/>
          <w:szCs w:val="20"/>
        </w:rPr>
        <w:t xml:space="preserve"> used </w:t>
      </w:r>
      <w:r w:rsidRPr="009F2D9B">
        <w:rPr>
          <w:rStyle w:val="Strong"/>
          <w:sz w:val="20"/>
          <w:szCs w:val="20"/>
        </w:rPr>
        <w:t>IMU data and regression models</w:t>
      </w:r>
      <w:r w:rsidRPr="009F2D9B">
        <w:rPr>
          <w:b w:val="0"/>
          <w:sz w:val="20"/>
          <w:szCs w:val="20"/>
        </w:rPr>
        <w:t xml:space="preserve"> to predict </w:t>
      </w:r>
      <w:r w:rsidRPr="009F2D9B">
        <w:rPr>
          <w:rStyle w:val="Strong"/>
          <w:sz w:val="20"/>
          <w:szCs w:val="20"/>
        </w:rPr>
        <w:t>Achilles tendon loading during gait</w:t>
      </w:r>
      <w:r w:rsidRPr="009F2D9B">
        <w:rPr>
          <w:sz w:val="20"/>
          <w:szCs w:val="20"/>
        </w:rPr>
        <w:t>,</w:t>
      </w:r>
      <w:r w:rsidRPr="009F2D9B">
        <w:rPr>
          <w:b w:val="0"/>
          <w:sz w:val="20"/>
          <w:szCs w:val="20"/>
        </w:rPr>
        <w:t xml:space="preserve"> illustrating how motion data from inertial sensors can be processed to infer tendon force trends that relate to stiffness characteristics. Beyond classic IMUs, emerging research (e.g., </w:t>
      </w:r>
      <w:r w:rsidRPr="009F2D9B">
        <w:rPr>
          <w:rStyle w:val="Strong"/>
          <w:sz w:val="20"/>
          <w:szCs w:val="20"/>
        </w:rPr>
        <w:t>C. Li and co-workers, 2025</w:t>
      </w:r>
      <w:r w:rsidRPr="009F2D9B">
        <w:rPr>
          <w:b w:val="0"/>
          <w:sz w:val="20"/>
          <w:szCs w:val="20"/>
        </w:rPr>
        <w:t xml:space="preserve">) suggests that </w:t>
      </w:r>
      <w:r w:rsidRPr="009F2D9B">
        <w:rPr>
          <w:rStyle w:val="Strong"/>
          <w:sz w:val="20"/>
          <w:szCs w:val="20"/>
        </w:rPr>
        <w:t>wearable shear wave elastography and mechano-acoustic methods</w:t>
      </w:r>
      <w:r w:rsidRPr="009F2D9B">
        <w:rPr>
          <w:b w:val="0"/>
          <w:sz w:val="20"/>
          <w:szCs w:val="20"/>
        </w:rPr>
        <w:t xml:space="preserve">—where IMUs measure shear wave propagation along tendons—can provide </w:t>
      </w:r>
      <w:r w:rsidRPr="009F2D9B">
        <w:rPr>
          <w:rStyle w:val="Strong"/>
          <w:sz w:val="20"/>
          <w:szCs w:val="20"/>
        </w:rPr>
        <w:t>direct estimates of stiffness variations</w:t>
      </w:r>
      <w:r w:rsidRPr="009F2D9B">
        <w:rPr>
          <w:b w:val="0"/>
          <w:sz w:val="20"/>
          <w:szCs w:val="20"/>
        </w:rPr>
        <w:t xml:space="preserve"> linked to tissue elasticity. Complementary work on </w:t>
      </w:r>
      <w:r w:rsidRPr="009F2D9B">
        <w:rPr>
          <w:rStyle w:val="Strong"/>
          <w:sz w:val="20"/>
          <w:szCs w:val="20"/>
        </w:rPr>
        <w:t>flexible strain sensors</w:t>
      </w:r>
      <w:r w:rsidRPr="009F2D9B">
        <w:rPr>
          <w:b w:val="0"/>
          <w:sz w:val="20"/>
          <w:szCs w:val="20"/>
        </w:rPr>
        <w:t xml:space="preserve"> (e.g., </w:t>
      </w:r>
      <w:r w:rsidRPr="009F2D9B">
        <w:rPr>
          <w:rStyle w:val="Strong"/>
          <w:sz w:val="20"/>
          <w:szCs w:val="20"/>
        </w:rPr>
        <w:t xml:space="preserve">Ashish Yadav, Neha Yadav, </w:t>
      </w:r>
      <w:proofErr w:type="spellStart"/>
      <w:r w:rsidRPr="009F2D9B">
        <w:rPr>
          <w:rStyle w:val="Strong"/>
          <w:sz w:val="20"/>
          <w:szCs w:val="20"/>
        </w:rPr>
        <w:t>Yongling</w:t>
      </w:r>
      <w:proofErr w:type="spellEnd"/>
      <w:r w:rsidRPr="009F2D9B">
        <w:rPr>
          <w:rStyle w:val="Strong"/>
          <w:sz w:val="20"/>
          <w:szCs w:val="20"/>
        </w:rPr>
        <w:t xml:space="preserve"> Wu, Seeram Ramakrishna, and Zheng Hongyu, 2023</w:t>
      </w:r>
      <w:r w:rsidRPr="009F2D9B">
        <w:rPr>
          <w:b w:val="0"/>
          <w:sz w:val="20"/>
          <w:szCs w:val="20"/>
        </w:rPr>
        <w:t xml:space="preserve">) outlines how </w:t>
      </w:r>
      <w:r w:rsidRPr="009F2D9B">
        <w:rPr>
          <w:rStyle w:val="Strong"/>
          <w:sz w:val="20"/>
          <w:szCs w:val="20"/>
        </w:rPr>
        <w:t>stretchable strain gauges</w:t>
      </w:r>
      <w:r w:rsidRPr="009F2D9B">
        <w:rPr>
          <w:b w:val="0"/>
          <w:sz w:val="20"/>
          <w:szCs w:val="20"/>
        </w:rPr>
        <w:t xml:space="preserve"> can accurately detect subtle deformations relevant to biomechanical load sensing, which is essential for interpreting tendon strain and, by extension, stiffness in wearable formats. While fully integrated wearable systems that reliably estimate tendon stiffness via IMU- and strain-based signatures are still emerging, these interdisciplinary efforts collectively show that </w:t>
      </w:r>
      <w:r w:rsidRPr="009F2D9B">
        <w:rPr>
          <w:rStyle w:val="Strong"/>
          <w:sz w:val="20"/>
          <w:szCs w:val="20"/>
        </w:rPr>
        <w:t>motion-induced vibrations, deformation patterns, and sensor fusion with advanced algorithms offer a feasible, non-invasive alternative to traditional methods</w:t>
      </w:r>
      <w:r w:rsidRPr="009F2D9B">
        <w:rPr>
          <w:b w:val="0"/>
          <w:sz w:val="20"/>
          <w:szCs w:val="20"/>
        </w:rPr>
        <w:t xml:space="preserve"> for monitoring tendon mechanics and assessing injury risk in athletic and clinical settings.</w:t>
      </w:r>
    </w:p>
    <w:p w14:paraId="1ACC93E8" w14:textId="77777777" w:rsidR="00664B5E" w:rsidRPr="000E7757" w:rsidRDefault="00664B5E" w:rsidP="00664B5E">
      <w:pPr>
        <w:pStyle w:val="Heading3"/>
        <w:rPr>
          <w:rStyle w:val="Strong"/>
          <w:b/>
          <w:bCs/>
          <w:sz w:val="24"/>
          <w:szCs w:val="24"/>
        </w:rPr>
      </w:pPr>
      <w:r w:rsidRPr="009F2D9B">
        <w:rPr>
          <w:rStyle w:val="Strong"/>
          <w:b/>
          <w:bCs/>
          <w:sz w:val="20"/>
          <w:szCs w:val="20"/>
        </w:rPr>
        <w:t>2.</w:t>
      </w:r>
      <w:r w:rsidRPr="000E7757">
        <w:rPr>
          <w:rStyle w:val="Strong"/>
          <w:b/>
          <w:bCs/>
          <w:sz w:val="24"/>
          <w:szCs w:val="24"/>
        </w:rPr>
        <w:t>4 Multi-Modal Wearable Systems</w:t>
      </w:r>
    </w:p>
    <w:p w14:paraId="3552F90F" w14:textId="77777777" w:rsidR="001462B9" w:rsidRPr="009F2D9B" w:rsidRDefault="001462B9" w:rsidP="001462B9">
      <w:pPr>
        <w:pStyle w:val="Heading3"/>
        <w:jc w:val="both"/>
        <w:rPr>
          <w:b w:val="0"/>
          <w:sz w:val="20"/>
          <w:szCs w:val="20"/>
        </w:rPr>
      </w:pPr>
      <w:r w:rsidRPr="009F2D9B">
        <w:rPr>
          <w:b w:val="0"/>
          <w:sz w:val="20"/>
          <w:szCs w:val="20"/>
        </w:rPr>
        <w:t xml:space="preserve">Several recent studies highlight that </w:t>
      </w:r>
      <w:r w:rsidRPr="009F2D9B">
        <w:rPr>
          <w:rStyle w:val="Strong"/>
          <w:sz w:val="20"/>
          <w:szCs w:val="20"/>
        </w:rPr>
        <w:t>multi-sensor wearables for sports monitoring</w:t>
      </w:r>
      <w:r w:rsidRPr="009F2D9B">
        <w:rPr>
          <w:b w:val="0"/>
          <w:sz w:val="20"/>
          <w:szCs w:val="20"/>
        </w:rPr>
        <w:t xml:space="preserve"> can capture a range of physiological and biomechanical signals, but most systems remain </w:t>
      </w:r>
      <w:r w:rsidRPr="009F2D9B">
        <w:rPr>
          <w:rStyle w:val="Strong"/>
          <w:sz w:val="20"/>
          <w:szCs w:val="20"/>
        </w:rPr>
        <w:t>limited to one or two modalities</w:t>
      </w:r>
      <w:r w:rsidRPr="009F2D9B">
        <w:rPr>
          <w:b w:val="0"/>
          <w:sz w:val="20"/>
          <w:szCs w:val="20"/>
        </w:rPr>
        <w:t xml:space="preserve"> or depend on bulky, laboratory-like setups. For instance, </w:t>
      </w:r>
      <w:r w:rsidRPr="009F2D9B">
        <w:rPr>
          <w:rStyle w:val="Emphasis"/>
          <w:b w:val="0"/>
          <w:sz w:val="20"/>
          <w:szCs w:val="20"/>
        </w:rPr>
        <w:t>Liu, J. Liu, C. Xu, M. Wang, H. Peng, T. Sun, and J. Xu (2025)</w:t>
      </w:r>
      <w:r w:rsidRPr="009F2D9B">
        <w:rPr>
          <w:b w:val="0"/>
          <w:sz w:val="20"/>
          <w:szCs w:val="20"/>
        </w:rPr>
        <w:t xml:space="preserve"> developed a </w:t>
      </w:r>
      <w:r w:rsidRPr="009F2D9B">
        <w:rPr>
          <w:rStyle w:val="Strong"/>
          <w:sz w:val="20"/>
          <w:szCs w:val="20"/>
        </w:rPr>
        <w:t>multimodal wearable framework</w:t>
      </w:r>
      <w:r w:rsidRPr="009F2D9B">
        <w:rPr>
          <w:b w:val="0"/>
          <w:sz w:val="20"/>
          <w:szCs w:val="20"/>
        </w:rPr>
        <w:t xml:space="preserve"> integrating motion (accelerometer) and physiological data (PPG) for archery action recognition and stress estimation, showing the value of combining motion and HRV signals yet still focusing on specific modalities rather than holistic athlete health monitoring. Large-scale hardware works such as </w:t>
      </w:r>
      <w:r w:rsidRPr="009F2D9B">
        <w:rPr>
          <w:rStyle w:val="Emphasis"/>
          <w:b w:val="0"/>
          <w:sz w:val="20"/>
          <w:szCs w:val="20"/>
        </w:rPr>
        <w:t>Kim, K. R. Kim, T. W. Kang, H. Kim, Y. J. Lee, S. H. Lee, H. Yi, H. S. Kim, H. Kim, J. Min, J. Ready, M. Millard-Stafford, and W.-H. Yeo (2024)</w:t>
      </w:r>
      <w:r w:rsidRPr="009F2D9B">
        <w:rPr>
          <w:b w:val="0"/>
          <w:sz w:val="20"/>
          <w:szCs w:val="20"/>
        </w:rPr>
        <w:t xml:space="preserve"> have introduced </w:t>
      </w:r>
      <w:r w:rsidRPr="009F2D9B">
        <w:rPr>
          <w:rStyle w:val="Strong"/>
          <w:sz w:val="20"/>
          <w:szCs w:val="20"/>
        </w:rPr>
        <w:t>all-in-one, multi-sensor integrated wearable systems</w:t>
      </w:r>
      <w:r w:rsidRPr="009F2D9B">
        <w:rPr>
          <w:b w:val="0"/>
          <w:sz w:val="20"/>
          <w:szCs w:val="20"/>
        </w:rPr>
        <w:t xml:space="preserve"> that track dehydration (via saliva osmolality and skin temperature) and physiological stress in real time, illustrating significant progress </w:t>
      </w:r>
      <w:r w:rsidRPr="009F2D9B">
        <w:rPr>
          <w:b w:val="0"/>
          <w:sz w:val="20"/>
          <w:szCs w:val="20"/>
        </w:rPr>
        <w:t xml:space="preserve">toward comprehensive monitoring but still relying on </w:t>
      </w:r>
      <w:r w:rsidRPr="009F2D9B">
        <w:rPr>
          <w:rStyle w:val="Strong"/>
          <w:sz w:val="20"/>
          <w:szCs w:val="20"/>
        </w:rPr>
        <w:t>multiple devices (patch and mouthguard)</w:t>
      </w:r>
      <w:r w:rsidRPr="009F2D9B">
        <w:rPr>
          <w:b w:val="0"/>
          <w:sz w:val="20"/>
          <w:szCs w:val="20"/>
        </w:rPr>
        <w:t xml:space="preserve"> rather than a truly compact wearable platform. Reviews on wearable physiology monitoring like </w:t>
      </w:r>
      <w:r w:rsidRPr="009F2D9B">
        <w:rPr>
          <w:rStyle w:val="Emphasis"/>
          <w:b w:val="0"/>
          <w:sz w:val="20"/>
          <w:szCs w:val="20"/>
        </w:rPr>
        <w:t>Zubair, M., Gad, V., Jaisighani, D., Ghosh, S., and Sen, S. (2024)</w:t>
      </w:r>
      <w:r w:rsidRPr="009F2D9B">
        <w:rPr>
          <w:b w:val="0"/>
          <w:sz w:val="20"/>
          <w:szCs w:val="20"/>
        </w:rPr>
        <w:t xml:space="preserve"> further underscore that while </w:t>
      </w:r>
      <w:r w:rsidRPr="009F2D9B">
        <w:rPr>
          <w:rStyle w:val="Strong"/>
          <w:sz w:val="20"/>
          <w:szCs w:val="20"/>
        </w:rPr>
        <w:t>stress detection capabilities</w:t>
      </w:r>
      <w:r w:rsidRPr="009F2D9B">
        <w:rPr>
          <w:b w:val="0"/>
          <w:sz w:val="20"/>
          <w:szCs w:val="20"/>
        </w:rPr>
        <w:t xml:space="preserve"> using photoplethysmography and galvanic skin response have been extensively investigated, most research treats these modalities in isolation or in dual combinations, leaving </w:t>
      </w:r>
      <w:r w:rsidRPr="009F2D9B">
        <w:rPr>
          <w:rStyle w:val="Strong"/>
          <w:sz w:val="20"/>
          <w:szCs w:val="20"/>
        </w:rPr>
        <w:t>integrated platforms for stress, hydration, and biomechanics largely unexplored</w:t>
      </w:r>
      <w:r w:rsidRPr="009F2D9B">
        <w:rPr>
          <w:sz w:val="20"/>
          <w:szCs w:val="20"/>
        </w:rPr>
        <w:t xml:space="preserve">. </w:t>
      </w:r>
      <w:r w:rsidRPr="009F2D9B">
        <w:rPr>
          <w:b w:val="0"/>
          <w:sz w:val="20"/>
          <w:szCs w:val="20"/>
        </w:rPr>
        <w:t xml:space="preserve">Despite these advances, </w:t>
      </w:r>
      <w:r w:rsidRPr="009F2D9B">
        <w:rPr>
          <w:rStyle w:val="Strong"/>
          <w:sz w:val="20"/>
          <w:szCs w:val="20"/>
        </w:rPr>
        <w:t>integration remains a persistent gap</w:t>
      </w:r>
      <w:r w:rsidRPr="009F2D9B">
        <w:rPr>
          <w:sz w:val="20"/>
          <w:szCs w:val="20"/>
        </w:rPr>
        <w:t xml:space="preserve">: </w:t>
      </w:r>
      <w:r w:rsidRPr="009F2D9B">
        <w:rPr>
          <w:b w:val="0"/>
          <w:sz w:val="20"/>
          <w:szCs w:val="20"/>
        </w:rPr>
        <w:t xml:space="preserve">current literature and systems rarely combine </w:t>
      </w:r>
      <w:r w:rsidRPr="009F2D9B">
        <w:rPr>
          <w:rStyle w:val="Strong"/>
          <w:sz w:val="20"/>
          <w:szCs w:val="20"/>
        </w:rPr>
        <w:t>stress (HR/HRV/EDA), hydration (fluid balance/skin temperature), and tendon or load-based biomechanics</w:t>
      </w:r>
      <w:r w:rsidRPr="009F2D9B">
        <w:rPr>
          <w:b w:val="0"/>
          <w:sz w:val="20"/>
          <w:szCs w:val="20"/>
        </w:rPr>
        <w:t xml:space="preserve"> into a single wearable with </w:t>
      </w:r>
      <w:r w:rsidRPr="009F2D9B">
        <w:rPr>
          <w:rStyle w:val="Strong"/>
          <w:sz w:val="20"/>
          <w:szCs w:val="20"/>
        </w:rPr>
        <w:t>real-time feedback</w:t>
      </w:r>
      <w:r w:rsidRPr="009F2D9B">
        <w:rPr>
          <w:sz w:val="20"/>
          <w:szCs w:val="20"/>
        </w:rPr>
        <w:t xml:space="preserve">. </w:t>
      </w:r>
      <w:r w:rsidRPr="009F2D9B">
        <w:rPr>
          <w:b w:val="0"/>
          <w:sz w:val="20"/>
          <w:szCs w:val="20"/>
        </w:rPr>
        <w:t>Addressing this need, the present study proposes a</w:t>
      </w:r>
      <w:r w:rsidRPr="009F2D9B">
        <w:rPr>
          <w:sz w:val="20"/>
          <w:szCs w:val="20"/>
        </w:rPr>
        <w:t xml:space="preserve"> </w:t>
      </w:r>
      <w:r w:rsidRPr="009F2D9B">
        <w:rPr>
          <w:rStyle w:val="Strong"/>
          <w:sz w:val="20"/>
          <w:szCs w:val="20"/>
        </w:rPr>
        <w:t>compact, Arduino-based wearable platform</w:t>
      </w:r>
      <w:r w:rsidRPr="009F2D9B">
        <w:rPr>
          <w:b w:val="0"/>
          <w:sz w:val="20"/>
          <w:szCs w:val="20"/>
        </w:rPr>
        <w:t xml:space="preserve"> that unifies multiple sensing modalities—capturing physiological stress, hydration status, and tendon stiffness surrogates—while leveraging </w:t>
      </w:r>
      <w:r w:rsidRPr="009F2D9B">
        <w:rPr>
          <w:rStyle w:val="Strong"/>
          <w:sz w:val="20"/>
          <w:szCs w:val="20"/>
        </w:rPr>
        <w:t>wireless connectivity and actionable feedback mechanisms</w:t>
      </w:r>
      <w:r w:rsidRPr="009F2D9B">
        <w:rPr>
          <w:b w:val="0"/>
          <w:sz w:val="20"/>
          <w:szCs w:val="20"/>
        </w:rPr>
        <w:t xml:space="preserve"> to support athletes’ performance and injury mitigation in real time, thereby advancing wearable sports technology beyond the limitations of existing </w:t>
      </w:r>
      <w:proofErr w:type="spellStart"/>
      <w:r w:rsidRPr="009F2D9B">
        <w:rPr>
          <w:b w:val="0"/>
          <w:sz w:val="20"/>
          <w:szCs w:val="20"/>
        </w:rPr>
        <w:t>uni</w:t>
      </w:r>
      <w:proofErr w:type="spellEnd"/>
      <w:r w:rsidRPr="009F2D9B">
        <w:rPr>
          <w:b w:val="0"/>
          <w:sz w:val="20"/>
          <w:szCs w:val="20"/>
        </w:rPr>
        <w:t>- or dual-modality systems.</w:t>
      </w:r>
    </w:p>
    <w:p w14:paraId="4B297CC1" w14:textId="77777777" w:rsidR="00664B5E" w:rsidRPr="000E7757" w:rsidRDefault="00664B5E" w:rsidP="00664B5E">
      <w:pPr>
        <w:pStyle w:val="Heading2"/>
        <w:rPr>
          <w:sz w:val="24"/>
          <w:szCs w:val="24"/>
        </w:rPr>
      </w:pPr>
      <w:r w:rsidRPr="009F2D9B">
        <w:rPr>
          <w:rStyle w:val="Strong"/>
          <w:b/>
          <w:bCs/>
          <w:sz w:val="20"/>
          <w:szCs w:val="20"/>
        </w:rPr>
        <w:t xml:space="preserve">3. </w:t>
      </w:r>
      <w:r w:rsidRPr="000E7757">
        <w:rPr>
          <w:rStyle w:val="Strong"/>
          <w:b/>
          <w:bCs/>
          <w:sz w:val="24"/>
          <w:szCs w:val="24"/>
        </w:rPr>
        <w:t>Methodology</w:t>
      </w:r>
    </w:p>
    <w:p w14:paraId="11A3DCD2" w14:textId="77777777" w:rsidR="00664B5E" w:rsidRPr="000E7757" w:rsidRDefault="00664B5E" w:rsidP="00664B5E">
      <w:pPr>
        <w:pStyle w:val="Heading3"/>
        <w:rPr>
          <w:sz w:val="24"/>
          <w:szCs w:val="24"/>
        </w:rPr>
      </w:pPr>
      <w:r w:rsidRPr="000E7757">
        <w:rPr>
          <w:rStyle w:val="Strong"/>
          <w:b/>
          <w:bCs/>
          <w:sz w:val="24"/>
          <w:szCs w:val="24"/>
        </w:rPr>
        <w:t>3.1 System Architecture</w:t>
      </w:r>
    </w:p>
    <w:p w14:paraId="565B1C8F" w14:textId="79C27770" w:rsidR="009F792F" w:rsidRDefault="009F792F" w:rsidP="009F792F">
      <w:pPr>
        <w:pStyle w:val="NormalWeb"/>
        <w:jc w:val="both"/>
        <w:rPr>
          <w:sz w:val="20"/>
          <w:szCs w:val="20"/>
        </w:rPr>
      </w:pPr>
      <w:r w:rsidRPr="009F2D9B">
        <w:rPr>
          <w:sz w:val="20"/>
          <w:szCs w:val="20"/>
        </w:rPr>
        <w:t xml:space="preserve">The proposed wearable system is built around an Arduino Uno microcontroller (ATmega328P operating at 16 MHz), which functions as the central processing and control unit for all sensing, computation, and communication tasks. The system integrates multiple categories of physiological and biomechanical sensors to enable comprehensive athlete monitoring. Stress-related parameters are captured using optical heart rate and heart rate variability sensors such as the MAX30102/05, along with a galvanic skin response (GSR) module for electrodermal activity (EDA) measurement, providing insight into autonomic nervous system responses. Hydration and thermal state assessment is achieved through an AD5933-based bioimpedance measurement module, complemented by precision temperature sensors such as the LM35 or MAX30205 for continuous skin temperature monitoring. Tendon stiffness and musculoskeletal loading are evaluated using a combination of high-resolution inertial measurement units (MPUs such as the MPU6050 or ICM-20948) and force-sensitive elements including </w:t>
      </w:r>
      <w:proofErr w:type="spellStart"/>
      <w:r w:rsidRPr="009F2D9B">
        <w:rPr>
          <w:sz w:val="20"/>
          <w:szCs w:val="20"/>
        </w:rPr>
        <w:t>FlexiForce</w:t>
      </w:r>
      <w:proofErr w:type="spellEnd"/>
      <w:r w:rsidRPr="009F2D9B">
        <w:rPr>
          <w:sz w:val="20"/>
          <w:szCs w:val="20"/>
        </w:rPr>
        <w:t xml:space="preserve"> or strain sensors, enabling the capture of subtle mechanical changes during movement. </w:t>
      </w:r>
      <w:r w:rsidRPr="009F2D9B">
        <w:rPr>
          <w:sz w:val="20"/>
          <w:szCs w:val="20"/>
        </w:rPr>
        <w:lastRenderedPageBreak/>
        <w:t xml:space="preserve">Additional IMU modules are incorporated specifically </w:t>
      </w:r>
      <w:r w:rsidR="009504CB">
        <w:rPr>
          <w:noProof/>
          <w:sz w:val="20"/>
          <w:szCs w:val="20"/>
        </w:rPr>
        <w:drawing>
          <wp:anchor distT="0" distB="0" distL="114300" distR="114300" simplePos="0" relativeHeight="251658240" behindDoc="0" locked="0" layoutInCell="1" allowOverlap="1" wp14:anchorId="32FF585D" wp14:editId="56CAFD0E">
            <wp:simplePos x="0" y="0"/>
            <wp:positionH relativeFrom="column">
              <wp:posOffset>3651250</wp:posOffset>
            </wp:positionH>
            <wp:positionV relativeFrom="paragraph">
              <wp:posOffset>2038350</wp:posOffset>
            </wp:positionV>
            <wp:extent cx="1981200" cy="2202815"/>
            <wp:effectExtent l="0" t="0" r="0" b="6985"/>
            <wp:wrapTopAndBottom/>
            <wp:docPr id="157119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9160" name="Picture 157119160"/>
                    <pic:cNvPicPr/>
                  </pic:nvPicPr>
                  <pic:blipFill>
                    <a:blip r:embed="rId5">
                      <a:extLst>
                        <a:ext uri="{28A0092B-C50C-407E-A947-70E740481C1C}">
                          <a14:useLocalDpi xmlns:a14="http://schemas.microsoft.com/office/drawing/2010/main" val="0"/>
                        </a:ext>
                      </a:extLst>
                    </a:blip>
                    <a:stretch>
                      <a:fillRect/>
                    </a:stretch>
                  </pic:blipFill>
                  <pic:spPr>
                    <a:xfrm>
                      <a:off x="0" y="0"/>
                      <a:ext cx="1981200" cy="2202815"/>
                    </a:xfrm>
                    <a:prstGeom prst="rect">
                      <a:avLst/>
                    </a:prstGeom>
                  </pic:spPr>
                </pic:pic>
              </a:graphicData>
            </a:graphic>
            <wp14:sizeRelH relativeFrom="margin">
              <wp14:pctWidth>0</wp14:pctWidth>
            </wp14:sizeRelH>
            <wp14:sizeRelV relativeFrom="margin">
              <wp14:pctHeight>0</wp14:pctHeight>
            </wp14:sizeRelV>
          </wp:anchor>
        </w:drawing>
      </w:r>
      <w:r w:rsidRPr="009F2D9B">
        <w:rPr>
          <w:sz w:val="20"/>
          <w:szCs w:val="20"/>
        </w:rPr>
        <w:t>for motion tracking and posture analysis, allowing accurate joint angle estimation and movement pattern recognition. To provide real-time user interaction and alerts, the system includes multiple feedback devices such as vibration motors, RGB LEDs, and buzzers, which can deliver haptic, visual, or auditory cues based on predefined thresholds or detected anomalies. On-board signal conditioning and lightweight feature extraction are performed directly on the Arduino to reduce data redundancy and communication load. This includes basic yet effective processing techniques such as root mean square (RMS) computation, peak frequency estimation, and simple moving average filtering to smooth signals and extract meaningful features. The processed and compressed data are then wirelessly transmitted to an external mobile device or PC using Bluetooth modules (HC-05/HC-06) or Wi-Fi connectivity via an ESP8266 module. Advanced data analytics, long-term trend analysis, and rich visualization are handled on the receiving application, ensuring an efficient division of computational load between the embedded hardware and higher-level processing platforms while maintaining real-time responsiveness and system reliability.</w:t>
      </w:r>
    </w:p>
    <w:p w14:paraId="0063839A" w14:textId="5230BA9D" w:rsidR="00664B5E" w:rsidRPr="009F2D9B" w:rsidRDefault="00664B5E" w:rsidP="009F792F">
      <w:pPr>
        <w:pStyle w:val="NormalWeb"/>
        <w:jc w:val="both"/>
        <w:rPr>
          <w:sz w:val="20"/>
          <w:szCs w:val="20"/>
        </w:rPr>
      </w:pPr>
      <w:r w:rsidRPr="009F2D9B">
        <w:rPr>
          <w:rStyle w:val="Strong"/>
          <w:sz w:val="20"/>
          <w:szCs w:val="20"/>
        </w:rPr>
        <w:t xml:space="preserve">3.2 </w:t>
      </w:r>
      <w:r w:rsidRPr="000E7757">
        <w:rPr>
          <w:rStyle w:val="Strong"/>
        </w:rPr>
        <w:t>Sensor Placement</w:t>
      </w:r>
    </w:p>
    <w:p w14:paraId="6BE8724E" w14:textId="77777777" w:rsidR="001D7512" w:rsidRDefault="009F792F" w:rsidP="0041201E">
      <w:pPr>
        <w:pStyle w:val="Heading3"/>
        <w:jc w:val="both"/>
        <w:rPr>
          <w:rStyle w:val="Strong"/>
          <w:bCs/>
          <w:sz w:val="20"/>
          <w:szCs w:val="20"/>
        </w:rPr>
      </w:pPr>
      <w:r w:rsidRPr="009F2D9B">
        <w:rPr>
          <w:rStyle w:val="Strong"/>
          <w:bCs/>
          <w:sz w:val="20"/>
          <w:szCs w:val="20"/>
        </w:rPr>
        <w:t xml:space="preserve">The placement of sensors in the wearable system is carefully designed to ensure accurate data acquisition while maintaining user comfort and practicality during athletic activities. Galvanic skin response (GSR) and heart rate (HR) sensors are positioned at the wrist, as this location provides reliable contact with the skin and is well suited for continuous monitoring of cardiovascular and stress-related parameters with minimal motion interference. Bioimpedance electrodes and skin temperature sensors are mounted on the forearm or integrated into a lightweight torso strap, enabling stable electrode placement and consistent skin contact for effective hydration assessment and thermal regulation monitoring. Strain and force-sensitive sensors are strategically placed directly over the target tendons, such as the Achilles, patellar, and hamstring tendons, to accurately capture localized tendon loading, stiffness variations, and mechanical stress during dynamic movements. Inertial measurement units (IMUs) are mounted adjacent to the tendon or joint of interest, allowing precise measurement of joint angles, angular velocity, and segment orientation. This proximity ensures that the captured kinematic data closely corresponds to the biomechanical behavior of the monitored joint or tendon, thereby improving the accuracy of motion </w:t>
      </w:r>
      <w:r w:rsidRPr="009F2D9B">
        <w:rPr>
          <w:rStyle w:val="Strong"/>
          <w:bCs/>
          <w:sz w:val="20"/>
          <w:szCs w:val="20"/>
        </w:rPr>
        <w:t>analysis, posture assessment, and injury risk estimation within the wearable system.</w:t>
      </w:r>
    </w:p>
    <w:p w14:paraId="35578B58" w14:textId="2B5C2FED" w:rsidR="009504CB" w:rsidRDefault="009504CB" w:rsidP="009504CB">
      <w:pPr>
        <w:pStyle w:val="NormalWeb"/>
        <w:rPr>
          <w:b/>
          <w:bCs/>
          <w:i/>
          <w:iCs/>
          <w:sz w:val="18"/>
          <w:szCs w:val="18"/>
        </w:rPr>
      </w:pPr>
    </w:p>
    <w:p w14:paraId="117BBDE8" w14:textId="3F5103A6" w:rsidR="001D7512" w:rsidRPr="009504CB" w:rsidRDefault="009504CB" w:rsidP="009504CB">
      <w:pPr>
        <w:pStyle w:val="NormalWeb"/>
        <w:jc w:val="center"/>
        <w:rPr>
          <w:rStyle w:val="Strong"/>
          <w:b w:val="0"/>
          <w:bCs w:val="0"/>
          <w:sz w:val="18"/>
          <w:szCs w:val="18"/>
        </w:rPr>
      </w:pPr>
      <w:r>
        <w:rPr>
          <w:b/>
          <w:noProof/>
          <w:sz w:val="20"/>
          <w:szCs w:val="20"/>
        </w:rPr>
        <w:drawing>
          <wp:anchor distT="0" distB="0" distL="114300" distR="114300" simplePos="0" relativeHeight="251663360" behindDoc="0" locked="0" layoutInCell="1" allowOverlap="1" wp14:anchorId="207D303C" wp14:editId="3D820044">
            <wp:simplePos x="0" y="0"/>
            <wp:positionH relativeFrom="margin">
              <wp:posOffset>3822700</wp:posOffset>
            </wp:positionH>
            <wp:positionV relativeFrom="paragraph">
              <wp:posOffset>414655</wp:posOffset>
            </wp:positionV>
            <wp:extent cx="1708150" cy="2260600"/>
            <wp:effectExtent l="0" t="0" r="6350" b="6350"/>
            <wp:wrapTopAndBottom/>
            <wp:docPr id="647885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85748" name="Picture 647885748"/>
                    <pic:cNvPicPr/>
                  </pic:nvPicPr>
                  <pic:blipFill rotWithShape="1">
                    <a:blip r:embed="rId6">
                      <a:extLst>
                        <a:ext uri="{28A0092B-C50C-407E-A947-70E740481C1C}">
                          <a14:useLocalDpi xmlns:a14="http://schemas.microsoft.com/office/drawing/2010/main" val="0"/>
                        </a:ext>
                      </a:extLst>
                    </a:blip>
                    <a:srcRect b="9810"/>
                    <a:stretch>
                      <a:fillRect/>
                    </a:stretch>
                  </pic:blipFill>
                  <pic:spPr bwMode="auto">
                    <a:xfrm>
                      <a:off x="0" y="0"/>
                      <a:ext cx="1708150" cy="226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3595">
        <w:rPr>
          <w:b/>
          <w:bCs/>
          <w:i/>
          <w:iCs/>
          <w:sz w:val="18"/>
          <w:szCs w:val="18"/>
        </w:rPr>
        <w:t>Fig 3.1 Workflow Diagram of the Proposed Wearable Athlete Monitoring System</w:t>
      </w:r>
    </w:p>
    <w:p w14:paraId="74D78C6D" w14:textId="209B1DD0" w:rsidR="0064319B" w:rsidRDefault="0064319B" w:rsidP="0064319B">
      <w:pPr>
        <w:pStyle w:val="Heading3"/>
        <w:jc w:val="center"/>
        <w:rPr>
          <w:bCs w:val="0"/>
          <w:i/>
          <w:iCs/>
          <w:sz w:val="20"/>
          <w:szCs w:val="20"/>
        </w:rPr>
      </w:pPr>
      <w:r w:rsidRPr="0064319B">
        <w:rPr>
          <w:rStyle w:val="Strong"/>
          <w:b/>
          <w:i/>
          <w:iCs/>
          <w:sz w:val="20"/>
          <w:szCs w:val="20"/>
        </w:rPr>
        <w:t>Fig 3.2</w:t>
      </w:r>
      <w:r w:rsidRPr="0064319B">
        <w:rPr>
          <w:rStyle w:val="Strong"/>
          <w:bCs/>
          <w:i/>
          <w:iCs/>
          <w:sz w:val="20"/>
          <w:szCs w:val="20"/>
        </w:rPr>
        <w:t xml:space="preserve"> </w:t>
      </w:r>
      <w:r w:rsidRPr="0064319B">
        <w:rPr>
          <w:bCs w:val="0"/>
          <w:i/>
          <w:iCs/>
          <w:sz w:val="20"/>
          <w:szCs w:val="20"/>
        </w:rPr>
        <w:t>Sensor Placement and Data Flow</w:t>
      </w:r>
    </w:p>
    <w:p w14:paraId="0859B058" w14:textId="77777777" w:rsidR="0041201E" w:rsidRPr="000E7757" w:rsidRDefault="0041201E" w:rsidP="0064319B">
      <w:pPr>
        <w:pStyle w:val="Heading3"/>
        <w:jc w:val="center"/>
        <w:rPr>
          <w:bCs w:val="0"/>
          <w:i/>
          <w:iCs/>
          <w:sz w:val="24"/>
          <w:szCs w:val="24"/>
        </w:rPr>
      </w:pPr>
    </w:p>
    <w:p w14:paraId="4A25DF68" w14:textId="77777777" w:rsidR="009F792F" w:rsidRPr="000E7757" w:rsidRDefault="00664B5E" w:rsidP="00664B5E">
      <w:pPr>
        <w:pStyle w:val="Heading3"/>
        <w:rPr>
          <w:sz w:val="24"/>
          <w:szCs w:val="24"/>
        </w:rPr>
      </w:pPr>
      <w:r w:rsidRPr="000E7757">
        <w:rPr>
          <w:rStyle w:val="Strong"/>
          <w:b/>
          <w:bCs/>
          <w:sz w:val="24"/>
          <w:szCs w:val="24"/>
        </w:rPr>
        <w:t>3.3 Signal Processing and Feature Extraction</w:t>
      </w:r>
    </w:p>
    <w:p w14:paraId="1037B661" w14:textId="66E8A00F" w:rsidR="0085117B" w:rsidRDefault="009504CB" w:rsidP="009F792F">
      <w:pPr>
        <w:pStyle w:val="Heading3"/>
        <w:jc w:val="both"/>
        <w:rPr>
          <w:b w:val="0"/>
          <w:sz w:val="20"/>
          <w:szCs w:val="20"/>
        </w:rPr>
      </w:pPr>
      <w:r>
        <w:rPr>
          <w:noProof/>
          <w:sz w:val="20"/>
          <w:szCs w:val="20"/>
        </w:rPr>
        <w:lastRenderedPageBreak/>
        <w:drawing>
          <wp:anchor distT="0" distB="0" distL="114300" distR="114300" simplePos="0" relativeHeight="251666432" behindDoc="0" locked="0" layoutInCell="1" allowOverlap="1" wp14:anchorId="7F1C6128" wp14:editId="3D05FEDA">
            <wp:simplePos x="0" y="0"/>
            <wp:positionH relativeFrom="column">
              <wp:posOffset>3460750</wp:posOffset>
            </wp:positionH>
            <wp:positionV relativeFrom="paragraph">
              <wp:posOffset>3202305</wp:posOffset>
            </wp:positionV>
            <wp:extent cx="2305050" cy="3877310"/>
            <wp:effectExtent l="0" t="0" r="0" b="8890"/>
            <wp:wrapTopAndBottom/>
            <wp:docPr id="495302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2342" name="Picture 495302342"/>
                    <pic:cNvPicPr/>
                  </pic:nvPicPr>
                  <pic:blipFill>
                    <a:blip r:embed="rId7">
                      <a:extLst>
                        <a:ext uri="{28A0092B-C50C-407E-A947-70E740481C1C}">
                          <a14:useLocalDpi xmlns:a14="http://schemas.microsoft.com/office/drawing/2010/main" val="0"/>
                        </a:ext>
                      </a:extLst>
                    </a:blip>
                    <a:stretch>
                      <a:fillRect/>
                    </a:stretch>
                  </pic:blipFill>
                  <pic:spPr>
                    <a:xfrm>
                      <a:off x="0" y="0"/>
                      <a:ext cx="2305050" cy="3877310"/>
                    </a:xfrm>
                    <a:prstGeom prst="rect">
                      <a:avLst/>
                    </a:prstGeom>
                  </pic:spPr>
                </pic:pic>
              </a:graphicData>
            </a:graphic>
            <wp14:sizeRelH relativeFrom="margin">
              <wp14:pctWidth>0</wp14:pctWidth>
            </wp14:sizeRelH>
            <wp14:sizeRelV relativeFrom="margin">
              <wp14:pctHeight>0</wp14:pctHeight>
            </wp14:sizeRelV>
          </wp:anchor>
        </w:drawing>
      </w:r>
      <w:r>
        <w:rPr>
          <w:b w:val="0"/>
          <w:noProof/>
          <w:sz w:val="20"/>
          <w:szCs w:val="20"/>
        </w:rPr>
        <w:drawing>
          <wp:anchor distT="0" distB="0" distL="114300" distR="114300" simplePos="0" relativeHeight="251664384" behindDoc="0" locked="0" layoutInCell="1" allowOverlap="1" wp14:anchorId="579E55A3" wp14:editId="0A3D0792">
            <wp:simplePos x="0" y="0"/>
            <wp:positionH relativeFrom="column">
              <wp:posOffset>-25400</wp:posOffset>
            </wp:positionH>
            <wp:positionV relativeFrom="paragraph">
              <wp:posOffset>4191000</wp:posOffset>
            </wp:positionV>
            <wp:extent cx="2743200" cy="1428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77).png"/>
                    <pic:cNvPicPr/>
                  </pic:nvPicPr>
                  <pic:blipFill rotWithShape="1">
                    <a:blip r:embed="rId8" cstate="print">
                      <a:extLst>
                        <a:ext uri="{28A0092B-C50C-407E-A947-70E740481C1C}">
                          <a14:useLocalDpi xmlns:a14="http://schemas.microsoft.com/office/drawing/2010/main" val="0"/>
                        </a:ext>
                      </a:extLst>
                    </a:blip>
                    <a:srcRect b="7407"/>
                    <a:stretch/>
                  </pic:blipFill>
                  <pic:spPr bwMode="auto">
                    <a:xfrm>
                      <a:off x="0" y="0"/>
                      <a:ext cx="2743200" cy="1428750"/>
                    </a:xfrm>
                    <a:prstGeom prst="rect">
                      <a:avLst/>
                    </a:prstGeom>
                    <a:ln>
                      <a:noFill/>
                    </a:ln>
                    <a:extLst>
                      <a:ext uri="{53640926-AAD7-44D8-BBD7-CCE9431645EC}">
                        <a14:shadowObscured xmlns:a14="http://schemas.microsoft.com/office/drawing/2010/main"/>
                      </a:ext>
                    </a:extLst>
                  </pic:spPr>
                </pic:pic>
              </a:graphicData>
            </a:graphic>
          </wp:anchor>
        </w:drawing>
      </w:r>
      <w:r w:rsidR="009F792F" w:rsidRPr="009F2D9B">
        <w:rPr>
          <w:b w:val="0"/>
          <w:sz w:val="20"/>
          <w:szCs w:val="20"/>
        </w:rPr>
        <w:t xml:space="preserve">The system extracts a comprehensive set of physiological and biomechanical features from the acquired sensor data to support meaningful assessment and higher-level analysis. Heart rate variability (HRV) is characterized using both time-domain and frequency-domain metrics, including standard measures such as the standard deviation of NN intervals (SDNN) and the root mean square of successive differences (RMSSD), which provide valuable insight into autonomic balance, recovery state, and stress levels. Galvanic skin response (GSR) signals are analyzed to derive the skin conductance level (SCL), representing tonic changes in sympathetic activity, as well as discrete phasic response peaks associated with acute stress or arousal events. Hydration status is estimated using bioimpedance measurements, where variations in tissue resistance are correlated with fluid balance and electrolyte distribution. Inertial measurement unit (IMU) data are processed to extract biomechanically relevant features such as peak linear acceleration, angular velocity, and root mean square (RMS) vibration signatures, which are indicative of tendon stiffness, impact loading, and movement intensity. Strain and force-sensitive sensor outputs are converted from analog signals to digital values using the microcontroller’s ADC, followed by peak load estimation to quantify tendon loading and mechanical stress. </w:t>
      </w:r>
    </w:p>
    <w:p w14:paraId="50D3C146" w14:textId="46857520" w:rsidR="0085117B" w:rsidRPr="0085117B" w:rsidRDefault="000110E2" w:rsidP="0085117B">
      <w:pPr>
        <w:pStyle w:val="Heading3"/>
        <w:jc w:val="center"/>
        <w:rPr>
          <w:bCs w:val="0"/>
          <w:i/>
          <w:iCs/>
          <w:sz w:val="20"/>
          <w:szCs w:val="20"/>
        </w:rPr>
      </w:pPr>
      <w:r>
        <w:rPr>
          <w:bCs w:val="0"/>
          <w:i/>
          <w:iCs/>
          <w:sz w:val="20"/>
          <w:szCs w:val="20"/>
        </w:rPr>
        <w:t>Fig 3.3</w:t>
      </w:r>
      <w:r w:rsidR="0085117B" w:rsidRPr="0085117B">
        <w:rPr>
          <w:bCs w:val="0"/>
          <w:i/>
          <w:iCs/>
          <w:sz w:val="20"/>
          <w:szCs w:val="20"/>
        </w:rPr>
        <w:t xml:space="preserve"> Combined visualization of physiological and biomechanical signals</w:t>
      </w:r>
    </w:p>
    <w:p w14:paraId="3178AB59" w14:textId="221D7D97" w:rsidR="009172D4" w:rsidRDefault="009F792F" w:rsidP="009F792F">
      <w:pPr>
        <w:pStyle w:val="Heading3"/>
        <w:jc w:val="both"/>
        <w:rPr>
          <w:b w:val="0"/>
          <w:sz w:val="20"/>
          <w:szCs w:val="20"/>
        </w:rPr>
      </w:pPr>
      <w:r w:rsidRPr="009F2D9B">
        <w:rPr>
          <w:b w:val="0"/>
          <w:sz w:val="20"/>
          <w:szCs w:val="20"/>
        </w:rPr>
        <w:t>Collectively, these features form a compact yet informative representation of the athlete’s physiological condition and musculoskeletal dynamics, enabling reliable monitoring, trend analysis, and injury risk assessment in the wearable system.</w:t>
      </w:r>
    </w:p>
    <w:p w14:paraId="4EFEA0B7" w14:textId="77777777" w:rsidR="009504CB" w:rsidRDefault="009504CB" w:rsidP="009F792F">
      <w:pPr>
        <w:pStyle w:val="Heading3"/>
        <w:jc w:val="both"/>
        <w:rPr>
          <w:b w:val="0"/>
          <w:sz w:val="20"/>
          <w:szCs w:val="20"/>
        </w:rPr>
      </w:pPr>
    </w:p>
    <w:p w14:paraId="196860B4" w14:textId="77777777" w:rsidR="009504CB" w:rsidRPr="009F2D9B" w:rsidRDefault="009504CB" w:rsidP="009F792F">
      <w:pPr>
        <w:pStyle w:val="Heading3"/>
        <w:jc w:val="both"/>
        <w:rPr>
          <w:b w:val="0"/>
          <w:sz w:val="20"/>
          <w:szCs w:val="20"/>
        </w:rPr>
      </w:pPr>
    </w:p>
    <w:p w14:paraId="3C14FCB2" w14:textId="77777777" w:rsidR="00664B5E" w:rsidRPr="009F2D9B" w:rsidRDefault="00664B5E" w:rsidP="00664B5E">
      <w:pPr>
        <w:pStyle w:val="Heading3"/>
        <w:rPr>
          <w:sz w:val="20"/>
          <w:szCs w:val="20"/>
        </w:rPr>
      </w:pPr>
      <w:r w:rsidRPr="009F2D9B">
        <w:rPr>
          <w:rStyle w:val="Strong"/>
          <w:b/>
          <w:bCs/>
          <w:sz w:val="20"/>
          <w:szCs w:val="20"/>
        </w:rPr>
        <w:t xml:space="preserve">3.4 </w:t>
      </w:r>
      <w:r w:rsidRPr="000E7757">
        <w:rPr>
          <w:rStyle w:val="Strong"/>
          <w:b/>
          <w:bCs/>
          <w:sz w:val="24"/>
          <w:szCs w:val="24"/>
        </w:rPr>
        <w:t>Real-Time Feedback</w:t>
      </w:r>
    </w:p>
    <w:p w14:paraId="6048DC6D" w14:textId="2A0EBA8D" w:rsidR="001D7512" w:rsidRDefault="009F792F" w:rsidP="00640030">
      <w:pPr>
        <w:pStyle w:val="NormalWeb"/>
        <w:jc w:val="both"/>
        <w:rPr>
          <w:sz w:val="20"/>
          <w:szCs w:val="20"/>
        </w:rPr>
      </w:pPr>
      <w:r w:rsidRPr="009F2D9B">
        <w:rPr>
          <w:sz w:val="20"/>
          <w:szCs w:val="20"/>
        </w:rPr>
        <w:t xml:space="preserve">The wearable system incorporates an intuitive, real-time alert mechanism to immediately notify the user when critical physiological or biomechanical thresholds are exceeded. A vibration motor is activated to provide haptic feedback in response to excessive stress levels or abnormal tendon loading, allowing the athlete to receive discreet and instantaneous warnings without interrupting activity. Visual feedback is delivered through an RGB LED, where color-coded indications are used to represent hydration status, enabling quick and easy recognition of warning states such as dehydration or abnormal thermal conditions. In situations where multiple parameters simultaneously reach critical levels—such as high stress combined with excessive tendon load or severe dehydration—a buzzer is triggered to generate an audible </w:t>
      </w:r>
      <w:proofErr w:type="spellStart"/>
      <w:r w:rsidRPr="009F2D9B">
        <w:rPr>
          <w:sz w:val="20"/>
          <w:szCs w:val="20"/>
        </w:rPr>
        <w:t>alert.This</w:t>
      </w:r>
      <w:proofErr w:type="spellEnd"/>
      <w:r w:rsidRPr="009F2D9B">
        <w:rPr>
          <w:sz w:val="20"/>
          <w:szCs w:val="20"/>
        </w:rPr>
        <w:t xml:space="preserve"> combined alert mechanism ensures that potentially dangerous conditions are clearly communicated, prompting immediate corrective action, rest, or medical attention, thereby enhancing user safety and supporting proactive injury prevention.</w:t>
      </w:r>
    </w:p>
    <w:p w14:paraId="704F1472" w14:textId="71363288" w:rsidR="0041201E" w:rsidRDefault="000110E2" w:rsidP="0041201E">
      <w:pPr>
        <w:pStyle w:val="NormalWeb"/>
        <w:jc w:val="center"/>
        <w:rPr>
          <w:rStyle w:val="Strong"/>
          <w:sz w:val="20"/>
          <w:szCs w:val="20"/>
        </w:rPr>
      </w:pPr>
      <w:r>
        <w:rPr>
          <w:b/>
          <w:bCs/>
          <w:sz w:val="20"/>
          <w:szCs w:val="20"/>
        </w:rPr>
        <w:t xml:space="preserve">Fig 3.4 </w:t>
      </w:r>
      <w:r w:rsidR="0041201E" w:rsidRPr="0041201E">
        <w:rPr>
          <w:b/>
          <w:bCs/>
          <w:sz w:val="20"/>
          <w:szCs w:val="20"/>
        </w:rPr>
        <w:t>Sensor data</w:t>
      </w:r>
      <w:r w:rsidR="0041201E">
        <w:rPr>
          <w:sz w:val="20"/>
          <w:szCs w:val="20"/>
        </w:rPr>
        <w:t xml:space="preserve"> </w:t>
      </w:r>
      <w:r w:rsidR="0041201E" w:rsidRPr="009F2D9B">
        <w:rPr>
          <w:rStyle w:val="Strong"/>
          <w:sz w:val="20"/>
          <w:szCs w:val="20"/>
        </w:rPr>
        <w:t>Real-Time Feedback</w:t>
      </w:r>
    </w:p>
    <w:p w14:paraId="7A06A59A" w14:textId="77777777" w:rsidR="001D7512" w:rsidRPr="009F2D9B" w:rsidRDefault="001D7512" w:rsidP="009504CB">
      <w:pPr>
        <w:pStyle w:val="NormalWeb"/>
        <w:rPr>
          <w:sz w:val="20"/>
          <w:szCs w:val="20"/>
        </w:rPr>
      </w:pPr>
    </w:p>
    <w:p w14:paraId="06867DC9" w14:textId="71A0ECA4" w:rsidR="00664B5E" w:rsidRPr="009F2D9B" w:rsidRDefault="00664B5E" w:rsidP="009F792F">
      <w:pPr>
        <w:pStyle w:val="NormalWeb"/>
        <w:rPr>
          <w:sz w:val="20"/>
          <w:szCs w:val="20"/>
        </w:rPr>
      </w:pPr>
      <w:r w:rsidRPr="009F2D9B">
        <w:rPr>
          <w:rStyle w:val="Strong"/>
          <w:sz w:val="20"/>
          <w:szCs w:val="20"/>
        </w:rPr>
        <w:lastRenderedPageBreak/>
        <w:t xml:space="preserve">4. </w:t>
      </w:r>
      <w:r w:rsidR="0023462B" w:rsidRPr="0023462B">
        <w:rPr>
          <w:rStyle w:val="Strong"/>
        </w:rPr>
        <w:t>Validation and</w:t>
      </w:r>
      <w:r w:rsidR="0023462B">
        <w:rPr>
          <w:rStyle w:val="Strong"/>
          <w:sz w:val="20"/>
          <w:szCs w:val="20"/>
        </w:rPr>
        <w:t xml:space="preserve"> </w:t>
      </w:r>
      <w:r w:rsidRPr="000E7757">
        <w:rPr>
          <w:rStyle w:val="Strong"/>
        </w:rPr>
        <w:t>Results</w:t>
      </w:r>
    </w:p>
    <w:p w14:paraId="6CA298C9" w14:textId="102ECC64" w:rsidR="00E76ED1" w:rsidRDefault="001D7512" w:rsidP="009F792F">
      <w:pPr>
        <w:pStyle w:val="Heading2"/>
        <w:jc w:val="both"/>
        <w:rPr>
          <w:rStyle w:val="Strong"/>
          <w:bCs/>
          <w:sz w:val="20"/>
          <w:szCs w:val="20"/>
        </w:rPr>
      </w:pPr>
      <w:r>
        <w:rPr>
          <w:b w:val="0"/>
          <w:noProof/>
          <w:sz w:val="20"/>
          <w:szCs w:val="20"/>
        </w:rPr>
        <w:drawing>
          <wp:anchor distT="0" distB="0" distL="114300" distR="114300" simplePos="0" relativeHeight="251661312" behindDoc="0" locked="0" layoutInCell="1" allowOverlap="1" wp14:anchorId="6E703702" wp14:editId="7272EBC8">
            <wp:simplePos x="0" y="0"/>
            <wp:positionH relativeFrom="column">
              <wp:posOffset>222250</wp:posOffset>
            </wp:positionH>
            <wp:positionV relativeFrom="paragraph">
              <wp:posOffset>1816100</wp:posOffset>
            </wp:positionV>
            <wp:extent cx="2743200" cy="13525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ONT VIEW.png"/>
                    <pic:cNvPicPr/>
                  </pic:nvPicPr>
                  <pic:blipFill rotWithShape="1">
                    <a:blip r:embed="rId9">
                      <a:extLst>
                        <a:ext uri="{28A0092B-C50C-407E-A947-70E740481C1C}">
                          <a14:useLocalDpi xmlns:a14="http://schemas.microsoft.com/office/drawing/2010/main" val="0"/>
                        </a:ext>
                      </a:extLst>
                    </a:blip>
                    <a:srcRect l="-231" t="22260" r="231" b="4795"/>
                    <a:stretch/>
                  </pic:blipFill>
                  <pic:spPr bwMode="auto">
                    <a:xfrm>
                      <a:off x="0" y="0"/>
                      <a:ext cx="2743200" cy="1352550"/>
                    </a:xfrm>
                    <a:prstGeom prst="rect">
                      <a:avLst/>
                    </a:prstGeom>
                    <a:ln>
                      <a:noFill/>
                    </a:ln>
                    <a:extLst>
                      <a:ext uri="{53640926-AAD7-44D8-BBD7-CCE9431645EC}">
                        <a14:shadowObscured xmlns:a14="http://schemas.microsoft.com/office/drawing/2010/main"/>
                      </a:ext>
                    </a:extLst>
                  </pic:spPr>
                </pic:pic>
              </a:graphicData>
            </a:graphic>
          </wp:anchor>
        </w:drawing>
      </w:r>
      <w:r w:rsidR="0023462B" w:rsidRPr="0023462B">
        <w:rPr>
          <w:rStyle w:val="Strong"/>
          <w:bCs/>
          <w:sz w:val="20"/>
          <w:szCs w:val="20"/>
        </w:rPr>
        <w:t>Validation trials were conducted with 20 collegiate and semi-professional athletes (age: 21.4 ± 2.8 years) during controlled treadmill running, agility drills, and resistance-based exercise sessions to evaluate the performance, responsiveness, and real-time capability of the proposed wearable monitoring system. Ethical approval for human participant testing was obtained from the institutional review committee, and informed consent was collected from all participants prior to experimentation.</w:t>
      </w:r>
      <w:r w:rsidR="0023462B">
        <w:rPr>
          <w:rStyle w:val="Strong"/>
          <w:bCs/>
          <w:sz w:val="20"/>
          <w:szCs w:val="20"/>
        </w:rPr>
        <w:t xml:space="preserve"> </w:t>
      </w:r>
      <w:r w:rsidR="0023462B" w:rsidRPr="0023462B">
        <w:rPr>
          <w:rStyle w:val="Strong"/>
          <w:bCs/>
          <w:sz w:val="20"/>
          <w:szCs w:val="20"/>
        </w:rPr>
        <w:t xml:space="preserve">The wearable platform continuously acquired physiological and biomechanical data, including heart rate (HR), heart rate variability (HRV), </w:t>
      </w:r>
    </w:p>
    <w:p w14:paraId="1B6C57CA" w14:textId="26B82A63" w:rsidR="00E76ED1" w:rsidRDefault="006206BC" w:rsidP="009F792F">
      <w:pPr>
        <w:pStyle w:val="Heading2"/>
        <w:jc w:val="both"/>
        <w:rPr>
          <w:rStyle w:val="Strong"/>
          <w:bCs/>
          <w:sz w:val="20"/>
          <w:szCs w:val="20"/>
        </w:rPr>
      </w:pPr>
      <w:r w:rsidRPr="00B44123">
        <w:rPr>
          <w:rStyle w:val="Strong"/>
          <w:b/>
          <w:bCs/>
          <w:noProof/>
        </w:rPr>
        <w:drawing>
          <wp:anchor distT="0" distB="0" distL="114300" distR="114300" simplePos="0" relativeHeight="251673600" behindDoc="0" locked="0" layoutInCell="1" allowOverlap="1" wp14:anchorId="7254D1E3" wp14:editId="55505536">
            <wp:simplePos x="0" y="0"/>
            <wp:positionH relativeFrom="column">
              <wp:posOffset>3124200</wp:posOffset>
            </wp:positionH>
            <wp:positionV relativeFrom="paragraph">
              <wp:posOffset>1717040</wp:posOffset>
            </wp:positionV>
            <wp:extent cx="2984500" cy="1466215"/>
            <wp:effectExtent l="0" t="0" r="635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4500" cy="1466215"/>
                    </a:xfrm>
                    <a:prstGeom prst="rect">
                      <a:avLst/>
                    </a:prstGeom>
                    <a:noFill/>
                    <a:ln>
                      <a:noFill/>
                    </a:ln>
                  </pic:spPr>
                </pic:pic>
              </a:graphicData>
            </a:graphic>
            <wp14:sizeRelH relativeFrom="margin">
              <wp14:pctWidth>0</wp14:pctWidth>
            </wp14:sizeRelH>
          </wp:anchor>
        </w:drawing>
      </w:r>
      <w:r w:rsidR="00CC587D" w:rsidRPr="00D01D97">
        <w:rPr>
          <w:b w:val="0"/>
          <w:noProof/>
          <w:sz w:val="20"/>
          <w:szCs w:val="20"/>
        </w:rPr>
        <w:drawing>
          <wp:anchor distT="0" distB="0" distL="114300" distR="114300" simplePos="0" relativeHeight="251667456" behindDoc="0" locked="0" layoutInCell="1" allowOverlap="1" wp14:anchorId="4A3A5527" wp14:editId="7C1CE7B7">
            <wp:simplePos x="0" y="0"/>
            <wp:positionH relativeFrom="column">
              <wp:posOffset>76200</wp:posOffset>
            </wp:positionH>
            <wp:positionV relativeFrom="paragraph">
              <wp:posOffset>1631950</wp:posOffset>
            </wp:positionV>
            <wp:extent cx="2743200" cy="16192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1619250"/>
                    </a:xfrm>
                    <a:prstGeom prst="rect">
                      <a:avLst/>
                    </a:prstGeom>
                  </pic:spPr>
                </pic:pic>
              </a:graphicData>
            </a:graphic>
          </wp:anchor>
        </w:drawing>
      </w:r>
      <w:r w:rsidR="00E76ED1">
        <w:rPr>
          <w:rStyle w:val="Strong"/>
          <w:bCs/>
          <w:sz w:val="20"/>
          <w:szCs w:val="20"/>
        </w:rPr>
        <w:t xml:space="preserve">Fig </w:t>
      </w:r>
      <w:r w:rsidR="00CC587D">
        <w:rPr>
          <w:rStyle w:val="Strong"/>
          <w:bCs/>
          <w:sz w:val="20"/>
          <w:szCs w:val="20"/>
        </w:rPr>
        <w:t xml:space="preserve">4.1 Front View of </w:t>
      </w:r>
      <w:r w:rsidR="00CC587D" w:rsidRPr="003B3595">
        <w:rPr>
          <w:i/>
          <w:iCs/>
          <w:sz w:val="18"/>
          <w:szCs w:val="18"/>
        </w:rPr>
        <w:t>Proposed Wearable Athlete Monitoring System</w:t>
      </w:r>
    </w:p>
    <w:p w14:paraId="0D02EB10" w14:textId="2D5502B0" w:rsidR="00CC587D" w:rsidRDefault="00CC587D" w:rsidP="009F792F">
      <w:pPr>
        <w:pStyle w:val="Heading2"/>
        <w:jc w:val="both"/>
        <w:rPr>
          <w:rStyle w:val="Strong"/>
          <w:bCs/>
          <w:sz w:val="20"/>
          <w:szCs w:val="20"/>
        </w:rPr>
      </w:pPr>
      <w:r>
        <w:rPr>
          <w:rStyle w:val="Strong"/>
          <w:bCs/>
          <w:sz w:val="20"/>
          <w:szCs w:val="20"/>
        </w:rPr>
        <w:t xml:space="preserve">Fig 4.2 Correlation between Sensors of </w:t>
      </w:r>
      <w:r w:rsidRPr="003B3595">
        <w:rPr>
          <w:i/>
          <w:iCs/>
          <w:sz w:val="18"/>
          <w:szCs w:val="18"/>
        </w:rPr>
        <w:t>Proposed Wearable Athlete Monitoring System</w:t>
      </w:r>
    </w:p>
    <w:p w14:paraId="436E7324" w14:textId="360E0448" w:rsidR="009504CB" w:rsidRPr="009F2D9B" w:rsidRDefault="0023462B" w:rsidP="009F792F">
      <w:pPr>
        <w:pStyle w:val="Heading2"/>
        <w:jc w:val="both"/>
        <w:rPr>
          <w:rStyle w:val="Strong"/>
          <w:bCs/>
          <w:sz w:val="20"/>
          <w:szCs w:val="20"/>
        </w:rPr>
      </w:pPr>
      <w:r w:rsidRPr="0023462B">
        <w:rPr>
          <w:rStyle w:val="Strong"/>
          <w:bCs/>
          <w:sz w:val="20"/>
          <w:szCs w:val="20"/>
        </w:rPr>
        <w:t>galvanic skin response (GSR), hydration-related skin conductivity variations, and lower-limb kinematic parameters associated with tendon loading behavior. Unlike direct elastography-based stiffness measurement systems, the proposed device estimates tendon loading surrogates using inertial and strain-related biomechanical indicators.</w:t>
      </w:r>
      <w:r>
        <w:rPr>
          <w:rStyle w:val="Strong"/>
          <w:bCs/>
          <w:sz w:val="20"/>
          <w:szCs w:val="20"/>
        </w:rPr>
        <w:t xml:space="preserve"> </w:t>
      </w:r>
      <w:r w:rsidRPr="0023462B">
        <w:rPr>
          <w:rStyle w:val="Strong"/>
          <w:bCs/>
          <w:sz w:val="20"/>
          <w:szCs w:val="20"/>
        </w:rPr>
        <w:t xml:space="preserve">To validate sensing performance, measurements obtained from the wearable system were compared against commercially available reference devices, including a Polar H10 heart-rate monitor, laboratory hydration assessment protocols, and motion-analysis–based biomechanical observations. The proposed system achieved an average heart-rate correlation coefficient of r = 0.94, hydration-status estimation accuracy of 91.2%, and </w:t>
      </w:r>
      <w:r w:rsidRPr="0023462B">
        <w:rPr>
          <w:rStyle w:val="Strong"/>
          <w:bCs/>
          <w:sz w:val="20"/>
          <w:szCs w:val="20"/>
        </w:rPr>
        <w:t>tendon-loading event detection sensitivity of 88.5%. The overall sensor-fusion framework demonstrated a mean RMSE of 3.8 bpm for heart-rate estimation during dynamic movement conditions.</w:t>
      </w:r>
      <w:r>
        <w:rPr>
          <w:rStyle w:val="Strong"/>
          <w:bCs/>
          <w:sz w:val="20"/>
          <w:szCs w:val="20"/>
        </w:rPr>
        <w:t xml:space="preserve"> </w:t>
      </w:r>
      <w:r w:rsidRPr="0023462B">
        <w:rPr>
          <w:rStyle w:val="Strong"/>
          <w:bCs/>
          <w:sz w:val="20"/>
          <w:szCs w:val="20"/>
        </w:rPr>
        <w:t>Sensor data were sampled at 50 Hz for physiological channels and 100 Hz for inertial biomechanical channels. Threshold-based alert mechanisms were implemented using experimentally determined limits, including:</w:t>
      </w:r>
      <w:r w:rsidR="00CC587D">
        <w:rPr>
          <w:rStyle w:val="Strong"/>
          <w:bCs/>
          <w:sz w:val="20"/>
          <w:szCs w:val="20"/>
        </w:rPr>
        <w:t xml:space="preserve"> </w:t>
      </w:r>
      <w:r w:rsidRPr="0023462B">
        <w:rPr>
          <w:rStyle w:val="Strong"/>
          <w:bCs/>
          <w:sz w:val="20"/>
          <w:szCs w:val="20"/>
        </w:rPr>
        <w:t>HR &gt; 85% of estimated maximum heart rate,</w:t>
      </w:r>
      <w:r>
        <w:rPr>
          <w:rStyle w:val="Strong"/>
          <w:bCs/>
          <w:sz w:val="20"/>
          <w:szCs w:val="20"/>
        </w:rPr>
        <w:t xml:space="preserve"> </w:t>
      </w:r>
      <w:r w:rsidRPr="0023462B">
        <w:rPr>
          <w:rStyle w:val="Strong"/>
          <w:bCs/>
          <w:sz w:val="20"/>
          <w:szCs w:val="20"/>
        </w:rPr>
        <w:t>GSR increase &gt; 20% above resting baseline,</w:t>
      </w:r>
      <w:r>
        <w:rPr>
          <w:rStyle w:val="Strong"/>
          <w:bCs/>
          <w:sz w:val="20"/>
          <w:szCs w:val="20"/>
        </w:rPr>
        <w:t xml:space="preserve"> </w:t>
      </w:r>
      <w:r w:rsidRPr="0023462B">
        <w:rPr>
          <w:rStyle w:val="Strong"/>
          <w:bCs/>
          <w:sz w:val="20"/>
          <w:szCs w:val="20"/>
        </w:rPr>
        <w:t>hydration conductivity reduction threshold corresponding to mild dehydration,</w:t>
      </w:r>
      <w:r>
        <w:rPr>
          <w:rStyle w:val="Strong"/>
          <w:bCs/>
          <w:sz w:val="20"/>
          <w:szCs w:val="20"/>
        </w:rPr>
        <w:t xml:space="preserve"> </w:t>
      </w:r>
      <w:r w:rsidRPr="0023462B">
        <w:rPr>
          <w:rStyle w:val="Strong"/>
          <w:bCs/>
          <w:sz w:val="20"/>
          <w:szCs w:val="20"/>
        </w:rPr>
        <w:t>repetitive high-impact tendon loading events exceeding predefined acceleration limits.</w:t>
      </w:r>
      <w:r>
        <w:rPr>
          <w:rStyle w:val="Strong"/>
          <w:bCs/>
          <w:sz w:val="20"/>
          <w:szCs w:val="20"/>
        </w:rPr>
        <w:t xml:space="preserve"> </w:t>
      </w:r>
      <w:r w:rsidRPr="0023462B">
        <w:rPr>
          <w:rStyle w:val="Strong"/>
          <w:bCs/>
          <w:sz w:val="20"/>
          <w:szCs w:val="20"/>
        </w:rPr>
        <w:t xml:space="preserve">The Arduino-based processing pipeline successfully performed real-time acquisition, preprocessing, threshold evaluation, and wireless data transmission without interrupting athlete movement. Wireless communication latency between the wearable node and the mobile application remained below 200 </w:t>
      </w:r>
      <w:proofErr w:type="spellStart"/>
      <w:r w:rsidRPr="0023462B">
        <w:rPr>
          <w:rStyle w:val="Strong"/>
          <w:bCs/>
          <w:sz w:val="20"/>
          <w:szCs w:val="20"/>
        </w:rPr>
        <w:t>ms</w:t>
      </w:r>
      <w:proofErr w:type="spellEnd"/>
      <w:r w:rsidRPr="0023462B">
        <w:rPr>
          <w:rStyle w:val="Strong"/>
          <w:bCs/>
          <w:sz w:val="20"/>
          <w:szCs w:val="20"/>
        </w:rPr>
        <w:t xml:space="preserve"> (173 ± 21 </w:t>
      </w:r>
      <w:proofErr w:type="spellStart"/>
      <w:r w:rsidRPr="0023462B">
        <w:rPr>
          <w:rStyle w:val="Strong"/>
          <w:bCs/>
          <w:sz w:val="20"/>
          <w:szCs w:val="20"/>
        </w:rPr>
        <w:t>ms</w:t>
      </w:r>
      <w:proofErr w:type="spellEnd"/>
      <w:r w:rsidRPr="0023462B">
        <w:rPr>
          <w:rStyle w:val="Strong"/>
          <w:bCs/>
          <w:sz w:val="20"/>
          <w:szCs w:val="20"/>
        </w:rPr>
        <w:t>) across all trials, supporting near real-time monitoring and visualization.</w:t>
      </w:r>
      <w:r>
        <w:rPr>
          <w:rStyle w:val="Strong"/>
          <w:bCs/>
          <w:sz w:val="20"/>
          <w:szCs w:val="20"/>
        </w:rPr>
        <w:t xml:space="preserve"> </w:t>
      </w:r>
      <w:r w:rsidRPr="0023462B">
        <w:rPr>
          <w:rStyle w:val="Strong"/>
          <w:bCs/>
          <w:sz w:val="20"/>
          <w:szCs w:val="20"/>
        </w:rPr>
        <w:t>The results indicate that the integrated wearable platform provides stable multi-sensor synchronization, reliable physiological monitoring, and effective real-time biomechanical event detection within a compact and wearable architecture suitable for sports-training environments.</w:t>
      </w:r>
    </w:p>
    <w:p w14:paraId="01D90716" w14:textId="4F590F98" w:rsidR="00B44123" w:rsidRPr="0049365B" w:rsidRDefault="00CC587D" w:rsidP="009504CB">
      <w:pPr>
        <w:pStyle w:val="Heading2"/>
        <w:jc w:val="center"/>
        <w:rPr>
          <w:rStyle w:val="Strong"/>
          <w:b/>
          <w:bCs/>
          <w:i/>
          <w:iCs/>
          <w:sz w:val="20"/>
          <w:szCs w:val="20"/>
        </w:rPr>
      </w:pPr>
      <w:r>
        <w:rPr>
          <w:i/>
          <w:iCs/>
          <w:sz w:val="20"/>
          <w:szCs w:val="20"/>
        </w:rPr>
        <w:t>Fig 4.3</w:t>
      </w:r>
      <w:r w:rsidR="0049365B" w:rsidRPr="0049365B">
        <w:rPr>
          <w:i/>
          <w:iCs/>
          <w:sz w:val="20"/>
          <w:szCs w:val="20"/>
        </w:rPr>
        <w:t xml:space="preserve"> Validation trial results showing synchronized physiological and biomechanical metrics</w:t>
      </w:r>
    </w:p>
    <w:p w14:paraId="0419CD86" w14:textId="683D51D9" w:rsidR="00664B5E" w:rsidRPr="009F2D9B" w:rsidRDefault="00664B5E" w:rsidP="00664B5E">
      <w:pPr>
        <w:pStyle w:val="Heading2"/>
        <w:rPr>
          <w:sz w:val="20"/>
          <w:szCs w:val="20"/>
        </w:rPr>
      </w:pPr>
      <w:r w:rsidRPr="009F2D9B">
        <w:rPr>
          <w:rStyle w:val="Strong"/>
          <w:b/>
          <w:bCs/>
          <w:sz w:val="20"/>
          <w:szCs w:val="20"/>
        </w:rPr>
        <w:t xml:space="preserve">5. </w:t>
      </w:r>
      <w:r w:rsidRPr="000E7757">
        <w:rPr>
          <w:rStyle w:val="Strong"/>
          <w:b/>
          <w:bCs/>
          <w:sz w:val="24"/>
          <w:szCs w:val="24"/>
        </w:rPr>
        <w:t>Discussion</w:t>
      </w:r>
    </w:p>
    <w:p w14:paraId="03374F10" w14:textId="40EE6F82" w:rsidR="001D7512" w:rsidRPr="009504CB" w:rsidRDefault="0023462B" w:rsidP="0023462B">
      <w:pPr>
        <w:pStyle w:val="Heading2"/>
        <w:jc w:val="both"/>
        <w:rPr>
          <w:b w:val="0"/>
          <w:sz w:val="20"/>
          <w:szCs w:val="20"/>
        </w:rPr>
      </w:pPr>
      <w:r w:rsidRPr="0023462B">
        <w:rPr>
          <w:b w:val="0"/>
          <w:sz w:val="20"/>
          <w:szCs w:val="20"/>
        </w:rPr>
        <w:t>The proposed wearable platform demonstrates the feasibility of integrating physiological and biomechanical sensing modalities into a unified real-time athlete-monitoring system without relying on discomfort-prone electromyography (EMG) instrumentation. By combining stress-related physiological indicators, hydration monitoring, and tendon-loading surrogate measurements, the system enables continuous observation of both internal physiological responses and external musculoskeletal demands during athletic activity.</w:t>
      </w:r>
      <w:r>
        <w:rPr>
          <w:b w:val="0"/>
          <w:sz w:val="20"/>
          <w:szCs w:val="20"/>
        </w:rPr>
        <w:t xml:space="preserve"> </w:t>
      </w:r>
      <w:r w:rsidRPr="0023462B">
        <w:rPr>
          <w:b w:val="0"/>
          <w:sz w:val="20"/>
          <w:szCs w:val="20"/>
        </w:rPr>
        <w:t xml:space="preserve">Compared with conventional single-parameter wearable systems, the </w:t>
      </w:r>
      <w:r w:rsidRPr="0023462B">
        <w:rPr>
          <w:b w:val="0"/>
          <w:sz w:val="20"/>
          <w:szCs w:val="20"/>
        </w:rPr>
        <w:lastRenderedPageBreak/>
        <w:t>proposed approach provides a more comprehensive assessment of athlete condition through multi-modal sensor fusion. The implemented threshold-based decision framework enables timely detection of elevated physiological stress, dehydration risk, and repetitive high-load movement patterns that may contribute to overtraining or tendon overuse injuries.</w:t>
      </w:r>
      <w:r>
        <w:rPr>
          <w:b w:val="0"/>
          <w:sz w:val="20"/>
          <w:szCs w:val="20"/>
        </w:rPr>
        <w:t xml:space="preserve"> </w:t>
      </w:r>
      <w:r w:rsidRPr="0023462B">
        <w:rPr>
          <w:b w:val="0"/>
          <w:sz w:val="20"/>
          <w:szCs w:val="20"/>
        </w:rPr>
        <w:t xml:space="preserve">Although the present system demonstrates promising monitoring capability, several limitations remain. First, tendon stiffness was not directly measured using gold-standard imaging modalities such as ultrasound elastography; instead, biomechanical surrogate indicators derived from motion and loading patterns were utilized. Second, the validation cohort size was moderate and limited to controlled training scenarios. Additional large-scale validation studies across </w:t>
      </w:r>
      <w:r w:rsidR="006206BC">
        <w:rPr>
          <w:b w:val="0"/>
          <w:noProof/>
          <w:sz w:val="20"/>
          <w:szCs w:val="20"/>
        </w:rPr>
        <w:drawing>
          <wp:anchor distT="0" distB="0" distL="114300" distR="114300" simplePos="0" relativeHeight="251669504" behindDoc="0" locked="0" layoutInCell="1" allowOverlap="1" wp14:anchorId="605E2647" wp14:editId="497C4B1E">
            <wp:simplePos x="0" y="0"/>
            <wp:positionH relativeFrom="margin">
              <wp:align>right</wp:align>
            </wp:positionH>
            <wp:positionV relativeFrom="paragraph">
              <wp:posOffset>2743200</wp:posOffset>
            </wp:positionV>
            <wp:extent cx="2743200" cy="137160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92).png"/>
                    <pic:cNvPicPr/>
                  </pic:nvPicPr>
                  <pic:blipFill rotWithShape="1">
                    <a:blip r:embed="rId12" cstate="print">
                      <a:extLst>
                        <a:ext uri="{28A0092B-C50C-407E-A947-70E740481C1C}">
                          <a14:useLocalDpi xmlns:a14="http://schemas.microsoft.com/office/drawing/2010/main" val="0"/>
                        </a:ext>
                      </a:extLst>
                    </a:blip>
                    <a:srcRect b="11111"/>
                    <a:stretch/>
                  </pic:blipFill>
                  <pic:spPr bwMode="auto">
                    <a:xfrm>
                      <a:off x="0" y="0"/>
                      <a:ext cx="27432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23462B">
        <w:rPr>
          <w:b w:val="0"/>
          <w:sz w:val="20"/>
          <w:szCs w:val="20"/>
        </w:rPr>
        <w:t>multiple sports and competitive levels are required to further establish robustness and generalizability.</w:t>
      </w:r>
      <w:r>
        <w:rPr>
          <w:b w:val="0"/>
          <w:sz w:val="20"/>
          <w:szCs w:val="20"/>
        </w:rPr>
        <w:t xml:space="preserve"> </w:t>
      </w:r>
      <w:r w:rsidRPr="0023462B">
        <w:rPr>
          <w:b w:val="0"/>
          <w:sz w:val="20"/>
          <w:szCs w:val="20"/>
        </w:rPr>
        <w:t>Computational benchmarking showed that the Arduino Uno platform was capable of handling real-time multi-sensor acquisition and threshold-based processing with stable performance under the selected sampling rates. However, future implementations may benefit from higher-performance embedded processors to support advanced machine-learning algorithms and edge-based predictive analytics.</w:t>
      </w:r>
      <w:r>
        <w:rPr>
          <w:b w:val="0"/>
          <w:sz w:val="20"/>
          <w:szCs w:val="20"/>
        </w:rPr>
        <w:t xml:space="preserve"> </w:t>
      </w:r>
      <w:r w:rsidRPr="0023462B">
        <w:rPr>
          <w:b w:val="0"/>
          <w:sz w:val="20"/>
          <w:szCs w:val="20"/>
        </w:rPr>
        <w:t>Future work will focus on:</w:t>
      </w:r>
      <w:r>
        <w:rPr>
          <w:b w:val="0"/>
          <w:sz w:val="20"/>
          <w:szCs w:val="20"/>
        </w:rPr>
        <w:t xml:space="preserve"> </w:t>
      </w:r>
      <w:r w:rsidRPr="0023462B">
        <w:rPr>
          <w:b w:val="0"/>
          <w:sz w:val="20"/>
          <w:szCs w:val="20"/>
        </w:rPr>
        <w:t>machine-learning–based injury-risk prediction,</w:t>
      </w:r>
      <w:r>
        <w:rPr>
          <w:b w:val="0"/>
          <w:sz w:val="20"/>
          <w:szCs w:val="20"/>
        </w:rPr>
        <w:t xml:space="preserve"> </w:t>
      </w:r>
      <w:r w:rsidRPr="0023462B">
        <w:rPr>
          <w:b w:val="0"/>
          <w:sz w:val="20"/>
          <w:szCs w:val="20"/>
        </w:rPr>
        <w:t>adaptive personalized threshold modeling,</w:t>
      </w:r>
      <w:r>
        <w:rPr>
          <w:b w:val="0"/>
          <w:sz w:val="20"/>
          <w:szCs w:val="20"/>
        </w:rPr>
        <w:t xml:space="preserve"> </w:t>
      </w:r>
      <w:r w:rsidRPr="0023462B">
        <w:rPr>
          <w:b w:val="0"/>
          <w:sz w:val="20"/>
          <w:szCs w:val="20"/>
        </w:rPr>
        <w:t>long-term athlete monitoring,</w:t>
      </w:r>
      <w:r>
        <w:rPr>
          <w:b w:val="0"/>
          <w:sz w:val="20"/>
          <w:szCs w:val="20"/>
        </w:rPr>
        <w:t xml:space="preserve"> </w:t>
      </w:r>
      <w:r w:rsidRPr="0023462B">
        <w:rPr>
          <w:b w:val="0"/>
          <w:sz w:val="20"/>
          <w:szCs w:val="20"/>
        </w:rPr>
        <w:t>cloud-integrated analytics platforms,</w:t>
      </w:r>
      <w:r>
        <w:rPr>
          <w:b w:val="0"/>
          <w:sz w:val="20"/>
          <w:szCs w:val="20"/>
        </w:rPr>
        <w:t xml:space="preserve"> </w:t>
      </w:r>
      <w:r w:rsidRPr="0023462B">
        <w:rPr>
          <w:b w:val="0"/>
          <w:sz w:val="20"/>
          <w:szCs w:val="20"/>
        </w:rPr>
        <w:t xml:space="preserve">and validation against </w:t>
      </w:r>
      <w:r w:rsidR="006206BC">
        <w:rPr>
          <w:bCs w:val="0"/>
          <w:i/>
          <w:iCs/>
          <w:noProof/>
          <w:sz w:val="20"/>
          <w:szCs w:val="20"/>
        </w:rPr>
        <w:drawing>
          <wp:anchor distT="0" distB="0" distL="114300" distR="114300" simplePos="0" relativeHeight="251670528" behindDoc="0" locked="0" layoutInCell="1" allowOverlap="1" wp14:anchorId="52A4F43B" wp14:editId="573E6903">
            <wp:simplePos x="0" y="0"/>
            <wp:positionH relativeFrom="column">
              <wp:align>right</wp:align>
            </wp:positionH>
            <wp:positionV relativeFrom="paragraph">
              <wp:posOffset>4973320</wp:posOffset>
            </wp:positionV>
            <wp:extent cx="2743200" cy="140970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96).png"/>
                    <pic:cNvPicPr/>
                  </pic:nvPicPr>
                  <pic:blipFill rotWithShape="1">
                    <a:blip r:embed="rId13" cstate="print">
                      <a:extLst>
                        <a:ext uri="{28A0092B-C50C-407E-A947-70E740481C1C}">
                          <a14:useLocalDpi xmlns:a14="http://schemas.microsoft.com/office/drawing/2010/main" val="0"/>
                        </a:ext>
                      </a:extLst>
                    </a:blip>
                    <a:srcRect b="8642"/>
                    <a:stretch/>
                  </pic:blipFill>
                  <pic:spPr bwMode="auto">
                    <a:xfrm>
                      <a:off x="0" y="0"/>
                      <a:ext cx="2743200" cy="1409700"/>
                    </a:xfrm>
                    <a:prstGeom prst="rect">
                      <a:avLst/>
                    </a:prstGeom>
                    <a:ln>
                      <a:noFill/>
                    </a:ln>
                    <a:extLst>
                      <a:ext uri="{53640926-AAD7-44D8-BBD7-CCE9431645EC}">
                        <a14:shadowObscured xmlns:a14="http://schemas.microsoft.com/office/drawing/2010/main"/>
                      </a:ext>
                    </a:extLst>
                  </pic:spPr>
                </pic:pic>
              </a:graphicData>
            </a:graphic>
          </wp:anchor>
        </w:drawing>
      </w:r>
      <w:r w:rsidRPr="0023462B">
        <w:rPr>
          <w:b w:val="0"/>
          <w:sz w:val="20"/>
          <w:szCs w:val="20"/>
        </w:rPr>
        <w:t>clinical-grade biomechanical assessment systems.</w:t>
      </w:r>
    </w:p>
    <w:p w14:paraId="6F9370B6" w14:textId="08B7F98B" w:rsidR="0049365B" w:rsidRPr="0049365B" w:rsidRDefault="0049365B" w:rsidP="001D7512">
      <w:pPr>
        <w:pStyle w:val="Heading2"/>
        <w:jc w:val="center"/>
        <w:rPr>
          <w:rStyle w:val="Strong"/>
          <w:b/>
          <w:bCs/>
          <w:i/>
          <w:iCs/>
          <w:sz w:val="20"/>
          <w:szCs w:val="20"/>
        </w:rPr>
      </w:pPr>
      <w:r w:rsidRPr="0049365B">
        <w:rPr>
          <w:i/>
          <w:iCs/>
          <w:sz w:val="20"/>
          <w:szCs w:val="20"/>
        </w:rPr>
        <w:t>Fig 5.1 Wireless data transmission latency observed during athlete validation trials</w:t>
      </w:r>
    </w:p>
    <w:p w14:paraId="0D2397BD" w14:textId="6BF29D35" w:rsidR="00664B5E" w:rsidRPr="009F2D9B" w:rsidRDefault="00664B5E" w:rsidP="00664B5E">
      <w:pPr>
        <w:pStyle w:val="Heading2"/>
        <w:rPr>
          <w:sz w:val="20"/>
          <w:szCs w:val="20"/>
        </w:rPr>
      </w:pPr>
      <w:r w:rsidRPr="009F2D9B">
        <w:rPr>
          <w:rStyle w:val="Strong"/>
          <w:b/>
          <w:bCs/>
          <w:sz w:val="20"/>
          <w:szCs w:val="20"/>
        </w:rPr>
        <w:t>6.</w:t>
      </w:r>
      <w:r w:rsidRPr="000E7757">
        <w:rPr>
          <w:rStyle w:val="Strong"/>
          <w:b/>
          <w:bCs/>
          <w:sz w:val="24"/>
          <w:szCs w:val="24"/>
        </w:rPr>
        <w:t xml:space="preserve"> Conclusion</w:t>
      </w:r>
    </w:p>
    <w:p w14:paraId="2AB8D010" w14:textId="076EE1C0" w:rsidR="00B44123" w:rsidRDefault="0023462B" w:rsidP="0023462B">
      <w:pPr>
        <w:pStyle w:val="Heading2"/>
        <w:jc w:val="both"/>
        <w:rPr>
          <w:rStyle w:val="Strong"/>
          <w:bCs/>
          <w:sz w:val="20"/>
          <w:szCs w:val="20"/>
        </w:rPr>
      </w:pPr>
      <w:r w:rsidRPr="0023462B">
        <w:rPr>
          <w:rStyle w:val="Strong"/>
          <w:bCs/>
          <w:sz w:val="20"/>
          <w:szCs w:val="20"/>
        </w:rPr>
        <w:t>This study presents an Arduino-based wearable athlete-monitoring platform capable of simultaneously tracking physiological stress indicators, hydration-related responses, and biomechanical tendon-loading surrogate metrics in real time. The proposed system integrates multiple sensing modalities with embedded processing, wireless communication, and real-time feedback mechanisms within a compact, non-invasive wearable architecture.</w:t>
      </w:r>
      <w:r>
        <w:rPr>
          <w:rStyle w:val="Strong"/>
          <w:bCs/>
          <w:sz w:val="20"/>
          <w:szCs w:val="20"/>
        </w:rPr>
        <w:t xml:space="preserve"> </w:t>
      </w:r>
      <w:r w:rsidRPr="0023462B">
        <w:rPr>
          <w:rStyle w:val="Strong"/>
          <w:bCs/>
          <w:sz w:val="20"/>
          <w:szCs w:val="20"/>
        </w:rPr>
        <w:t xml:space="preserve">Experimental validation involving 20 athletes demonstrated reliable physiological sensing performance, stable wireless communication with latency below 200 </w:t>
      </w:r>
      <w:proofErr w:type="spellStart"/>
      <w:r w:rsidRPr="0023462B">
        <w:rPr>
          <w:rStyle w:val="Strong"/>
          <w:bCs/>
          <w:sz w:val="20"/>
          <w:szCs w:val="20"/>
        </w:rPr>
        <w:t>ms</w:t>
      </w:r>
      <w:proofErr w:type="spellEnd"/>
      <w:r w:rsidRPr="0023462B">
        <w:rPr>
          <w:rStyle w:val="Strong"/>
          <w:bCs/>
          <w:sz w:val="20"/>
          <w:szCs w:val="20"/>
        </w:rPr>
        <w:t>, and effective detection of elevated physiological and biomechanical loading conditions during dynamic exercise tasks. Comparative evaluation against reference monitoring devices further supported the feasibility of the proposed framework for practical sports-monitoring applications.</w:t>
      </w:r>
      <w:r>
        <w:rPr>
          <w:rStyle w:val="Strong"/>
          <w:bCs/>
          <w:sz w:val="20"/>
          <w:szCs w:val="20"/>
        </w:rPr>
        <w:t xml:space="preserve"> </w:t>
      </w:r>
      <w:r w:rsidRPr="0023462B">
        <w:rPr>
          <w:rStyle w:val="Strong"/>
          <w:bCs/>
          <w:sz w:val="20"/>
          <w:szCs w:val="20"/>
        </w:rPr>
        <w:t>While additional large-scale validation and direct biomechanical benchmarking are still required, the proposed system establishes a promising foundation for intelligent athlete-monitoring platforms that support injury-risk reduction, training optimization, and personalized performance analysis through future integration of advanced predictive analytics and machine-learning methodologies.</w:t>
      </w:r>
    </w:p>
    <w:p w14:paraId="2D0C7567" w14:textId="47919715" w:rsidR="009504CB" w:rsidRDefault="006206BC" w:rsidP="009504CB">
      <w:pPr>
        <w:pStyle w:val="Heading2"/>
        <w:jc w:val="both"/>
        <w:rPr>
          <w:rStyle w:val="Strong"/>
          <w:bCs/>
          <w:sz w:val="20"/>
          <w:szCs w:val="20"/>
        </w:rPr>
      </w:pPr>
      <w:r>
        <w:rPr>
          <w:bCs w:val="0"/>
          <w:i/>
          <w:iCs/>
          <w:noProof/>
          <w:sz w:val="20"/>
          <w:szCs w:val="20"/>
        </w:rPr>
        <w:drawing>
          <wp:anchor distT="0" distB="0" distL="114300" distR="114300" simplePos="0" relativeHeight="251672576" behindDoc="0" locked="0" layoutInCell="1" allowOverlap="1" wp14:anchorId="65BC67BD" wp14:editId="280C8D61">
            <wp:simplePos x="0" y="0"/>
            <wp:positionH relativeFrom="margin">
              <wp:align>right</wp:align>
            </wp:positionH>
            <wp:positionV relativeFrom="paragraph">
              <wp:posOffset>190500</wp:posOffset>
            </wp:positionV>
            <wp:extent cx="2743200" cy="1447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94).png"/>
                    <pic:cNvPicPr/>
                  </pic:nvPicPr>
                  <pic:blipFill rotWithShape="1">
                    <a:blip r:embed="rId14" cstate="print">
                      <a:extLst>
                        <a:ext uri="{28A0092B-C50C-407E-A947-70E740481C1C}">
                          <a14:useLocalDpi xmlns:a14="http://schemas.microsoft.com/office/drawing/2010/main" val="0"/>
                        </a:ext>
                      </a:extLst>
                    </a:blip>
                    <a:srcRect b="6558"/>
                    <a:stretch/>
                  </pic:blipFill>
                  <pic:spPr bwMode="auto">
                    <a:xfrm>
                      <a:off x="0" y="0"/>
                      <a:ext cx="2743200" cy="14478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3462B">
        <w:rPr>
          <w:rStyle w:val="Strong"/>
          <w:bCs/>
          <w:sz w:val="20"/>
          <w:szCs w:val="20"/>
        </w:rPr>
        <w:t>(a)</w:t>
      </w:r>
    </w:p>
    <w:p w14:paraId="54553829" w14:textId="19846CCB" w:rsidR="0023462B" w:rsidRDefault="0023462B" w:rsidP="0023462B">
      <w:pPr>
        <w:pStyle w:val="Heading2"/>
        <w:rPr>
          <w:bCs w:val="0"/>
          <w:i/>
          <w:iCs/>
          <w:sz w:val="20"/>
          <w:szCs w:val="20"/>
        </w:rPr>
      </w:pPr>
      <w:r>
        <w:rPr>
          <w:bCs w:val="0"/>
          <w:i/>
          <w:iCs/>
          <w:noProof/>
          <w:sz w:val="20"/>
          <w:szCs w:val="20"/>
        </w:rPr>
        <w:drawing>
          <wp:anchor distT="0" distB="0" distL="114300" distR="114300" simplePos="0" relativeHeight="251671552" behindDoc="0" locked="0" layoutInCell="1" allowOverlap="1" wp14:anchorId="3223F0C0" wp14:editId="17F0DD32">
            <wp:simplePos x="0" y="0"/>
            <wp:positionH relativeFrom="margin">
              <wp:align>right</wp:align>
            </wp:positionH>
            <wp:positionV relativeFrom="paragraph">
              <wp:posOffset>1724025</wp:posOffset>
            </wp:positionV>
            <wp:extent cx="2743200" cy="1441450"/>
            <wp:effectExtent l="0" t="0" r="0" b="6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93).png"/>
                    <pic:cNvPicPr/>
                  </pic:nvPicPr>
                  <pic:blipFill rotWithShape="1">
                    <a:blip r:embed="rId15" cstate="print">
                      <a:extLst>
                        <a:ext uri="{28A0092B-C50C-407E-A947-70E740481C1C}">
                          <a14:useLocalDpi xmlns:a14="http://schemas.microsoft.com/office/drawing/2010/main" val="0"/>
                        </a:ext>
                      </a:extLst>
                    </a:blip>
                    <a:srcRect l="-463" t="-1646" r="463" b="8230"/>
                    <a:stretch/>
                  </pic:blipFill>
                  <pic:spPr bwMode="auto">
                    <a:xfrm>
                      <a:off x="0" y="0"/>
                      <a:ext cx="2743200" cy="1441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Cs w:val="0"/>
          <w:i/>
          <w:iCs/>
          <w:sz w:val="20"/>
          <w:szCs w:val="20"/>
        </w:rPr>
        <w:t>(b)</w:t>
      </w:r>
    </w:p>
    <w:p w14:paraId="7B4E03D0" w14:textId="50DF0218" w:rsidR="0023462B" w:rsidRDefault="0023462B" w:rsidP="0023462B">
      <w:pPr>
        <w:pStyle w:val="Heading2"/>
        <w:rPr>
          <w:bCs w:val="0"/>
          <w:i/>
          <w:iCs/>
          <w:sz w:val="20"/>
          <w:szCs w:val="20"/>
        </w:rPr>
      </w:pPr>
      <w:r>
        <w:rPr>
          <w:bCs w:val="0"/>
          <w:i/>
          <w:iCs/>
          <w:sz w:val="20"/>
          <w:szCs w:val="20"/>
        </w:rPr>
        <w:t>(c)</w:t>
      </w:r>
    </w:p>
    <w:p w14:paraId="61C49B89" w14:textId="4E8FC909" w:rsidR="0023462B" w:rsidRDefault="0023462B" w:rsidP="006206BC">
      <w:pPr>
        <w:pStyle w:val="Heading2"/>
        <w:rPr>
          <w:bCs w:val="0"/>
          <w:i/>
          <w:iCs/>
          <w:sz w:val="20"/>
          <w:szCs w:val="20"/>
        </w:rPr>
      </w:pPr>
      <w:r>
        <w:rPr>
          <w:b w:val="0"/>
          <w:noProof/>
          <w:sz w:val="20"/>
          <w:szCs w:val="20"/>
        </w:rPr>
        <w:drawing>
          <wp:anchor distT="0" distB="0" distL="114300" distR="114300" simplePos="0" relativeHeight="251675648" behindDoc="0" locked="0" layoutInCell="1" allowOverlap="1" wp14:anchorId="7D20382E" wp14:editId="58183BB7">
            <wp:simplePos x="0" y="0"/>
            <wp:positionH relativeFrom="margin">
              <wp:posOffset>0</wp:posOffset>
            </wp:positionH>
            <wp:positionV relativeFrom="paragraph">
              <wp:posOffset>323850</wp:posOffset>
            </wp:positionV>
            <wp:extent cx="2743200" cy="150495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ewplot (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43200" cy="1504950"/>
                    </a:xfrm>
                    <a:prstGeom prst="rect">
                      <a:avLst/>
                    </a:prstGeom>
                  </pic:spPr>
                </pic:pic>
              </a:graphicData>
            </a:graphic>
            <wp14:sizeRelV relativeFrom="margin">
              <wp14:pctHeight>0</wp14:pctHeight>
            </wp14:sizeRelV>
          </wp:anchor>
        </w:drawing>
      </w:r>
    </w:p>
    <w:p w14:paraId="645867F7" w14:textId="6A4055A2" w:rsidR="0023462B" w:rsidRDefault="0023462B" w:rsidP="0023462B">
      <w:pPr>
        <w:pStyle w:val="Heading2"/>
        <w:rPr>
          <w:bCs w:val="0"/>
          <w:i/>
          <w:iCs/>
          <w:sz w:val="20"/>
          <w:szCs w:val="20"/>
        </w:rPr>
      </w:pPr>
      <w:r>
        <w:rPr>
          <w:bCs w:val="0"/>
          <w:i/>
          <w:iCs/>
          <w:sz w:val="20"/>
          <w:szCs w:val="20"/>
        </w:rPr>
        <w:lastRenderedPageBreak/>
        <w:t>(d)</w:t>
      </w:r>
    </w:p>
    <w:p w14:paraId="7E88861F" w14:textId="30523D29" w:rsidR="009504CB" w:rsidRPr="00E96BF8" w:rsidRDefault="009504CB" w:rsidP="00E96BF8">
      <w:pPr>
        <w:pStyle w:val="Heading2"/>
        <w:jc w:val="center"/>
        <w:rPr>
          <w:rStyle w:val="Strong"/>
          <w:b/>
          <w:i/>
          <w:iCs/>
          <w:sz w:val="20"/>
          <w:szCs w:val="20"/>
        </w:rPr>
      </w:pPr>
      <w:r w:rsidRPr="005B63FC">
        <w:rPr>
          <w:bCs w:val="0"/>
          <w:i/>
          <w:iCs/>
          <w:sz w:val="20"/>
          <w:szCs w:val="20"/>
        </w:rPr>
        <w:t xml:space="preserve">Fig 6.1 </w:t>
      </w:r>
      <w:r w:rsidR="0023462B">
        <w:rPr>
          <w:bCs w:val="0"/>
          <w:i/>
          <w:iCs/>
          <w:sz w:val="20"/>
          <w:szCs w:val="20"/>
        </w:rPr>
        <w:t xml:space="preserve">(a, b, c, d) </w:t>
      </w:r>
      <w:r w:rsidRPr="005B63FC">
        <w:rPr>
          <w:bCs w:val="0"/>
          <w:i/>
          <w:iCs/>
          <w:sz w:val="20"/>
          <w:szCs w:val="20"/>
        </w:rPr>
        <w:t xml:space="preserve">System-level overview of real-time </w:t>
      </w:r>
      <w:r>
        <w:rPr>
          <w:bCs w:val="0"/>
          <w:i/>
          <w:iCs/>
          <w:sz w:val="20"/>
          <w:szCs w:val="20"/>
        </w:rPr>
        <w:t xml:space="preserve">dashboard and </w:t>
      </w:r>
      <w:r w:rsidRPr="005B63FC">
        <w:rPr>
          <w:bCs w:val="0"/>
          <w:i/>
          <w:iCs/>
          <w:sz w:val="20"/>
          <w:szCs w:val="20"/>
        </w:rPr>
        <w:t>monitoring outputs</w:t>
      </w:r>
    </w:p>
    <w:p w14:paraId="641B6362" w14:textId="32113391" w:rsidR="00DF113E" w:rsidRPr="00DF113E" w:rsidRDefault="00DF113E" w:rsidP="00DF113E">
      <w:pPr>
        <w:pStyle w:val="Heading2"/>
        <w:jc w:val="both"/>
        <w:rPr>
          <w:rStyle w:val="Strong"/>
          <w:b/>
          <w:bCs/>
          <w:sz w:val="24"/>
          <w:szCs w:val="24"/>
        </w:rPr>
      </w:pPr>
      <w:r w:rsidRPr="00DF113E">
        <w:rPr>
          <w:rStyle w:val="Strong"/>
          <w:b/>
          <w:bCs/>
          <w:sz w:val="24"/>
          <w:szCs w:val="24"/>
        </w:rPr>
        <w:t>Author’s statements</w:t>
      </w:r>
    </w:p>
    <w:p w14:paraId="3B8A6403" w14:textId="288F6F31" w:rsidR="00DF113E" w:rsidRPr="00DF113E" w:rsidRDefault="00DF113E" w:rsidP="00DF113E">
      <w:pPr>
        <w:pStyle w:val="Heading2"/>
        <w:jc w:val="both"/>
        <w:rPr>
          <w:rStyle w:val="Strong"/>
          <w:bCs/>
          <w:sz w:val="20"/>
          <w:szCs w:val="20"/>
        </w:rPr>
      </w:pPr>
      <w:r>
        <w:rPr>
          <w:rStyle w:val="Strong"/>
          <w:bCs/>
          <w:sz w:val="20"/>
          <w:szCs w:val="20"/>
        </w:rPr>
        <w:t>Author1 and Author2</w:t>
      </w:r>
      <w:r w:rsidRPr="00DF113E">
        <w:rPr>
          <w:rStyle w:val="Strong"/>
          <w:bCs/>
          <w:sz w:val="20"/>
          <w:szCs w:val="20"/>
        </w:rPr>
        <w:t xml:space="preserve"> jointly contributed to the development of this research work. Author1 and Author2 were primarily responsible for the conceptualization of the study, system design, and development of the multisensory feedback framework integrating vibrotactile and thermal stimuli. Author2 contributed to the implementation of the methodology and technical components of </w:t>
      </w:r>
      <w:r>
        <w:rPr>
          <w:rStyle w:val="Strong"/>
          <w:bCs/>
          <w:sz w:val="20"/>
          <w:szCs w:val="20"/>
        </w:rPr>
        <w:t xml:space="preserve">the system. Author1 </w:t>
      </w:r>
      <w:r w:rsidRPr="00DF113E">
        <w:rPr>
          <w:rStyle w:val="Strong"/>
          <w:bCs/>
          <w:sz w:val="20"/>
          <w:szCs w:val="20"/>
        </w:rPr>
        <w:t>carried out the data analysis and interpretation of the experimental results. The manuscript was drafted by Aut</w:t>
      </w:r>
      <w:r>
        <w:rPr>
          <w:rStyle w:val="Strong"/>
          <w:bCs/>
          <w:sz w:val="20"/>
          <w:szCs w:val="20"/>
        </w:rPr>
        <w:t xml:space="preserve">hor1 and Author2 </w:t>
      </w:r>
      <w:r w:rsidRPr="00DF113E">
        <w:rPr>
          <w:rStyle w:val="Strong"/>
          <w:bCs/>
          <w:sz w:val="20"/>
          <w:szCs w:val="20"/>
        </w:rPr>
        <w:t>reviewed and provided critical revisions to improve the clarity and academic quality of the paper. All authors read and approved the final version of the manuscript and agree to be accountable for the integrity and accuracy of the work.</w:t>
      </w:r>
    </w:p>
    <w:p w14:paraId="709892D2" w14:textId="49433B1F" w:rsidR="00DF113E" w:rsidRPr="00DF113E" w:rsidRDefault="00DF113E" w:rsidP="00DF113E">
      <w:pPr>
        <w:pStyle w:val="Heading2"/>
        <w:jc w:val="both"/>
        <w:rPr>
          <w:rStyle w:val="Strong"/>
          <w:bCs/>
          <w:sz w:val="20"/>
          <w:szCs w:val="20"/>
        </w:rPr>
      </w:pPr>
      <w:r w:rsidRPr="00DF113E">
        <w:rPr>
          <w:rStyle w:val="Strong"/>
          <w:b/>
          <w:bCs/>
          <w:sz w:val="24"/>
          <w:szCs w:val="24"/>
        </w:rPr>
        <w:t>Acknowledgements</w:t>
      </w:r>
      <w:r>
        <w:rPr>
          <w:rStyle w:val="Strong"/>
          <w:b/>
          <w:bCs/>
          <w:sz w:val="24"/>
          <w:szCs w:val="24"/>
        </w:rPr>
        <w:t xml:space="preserve"> </w:t>
      </w:r>
      <w:r w:rsidRPr="00DF113E">
        <w:rPr>
          <w:rStyle w:val="Strong"/>
          <w:bCs/>
          <w:sz w:val="20"/>
          <w:szCs w:val="20"/>
        </w:rPr>
        <w:t>-The authors would like to sincerely acknowledge all participants for their time, commitment, and enthusiastic involvement in the study. Their cooperation and valuable feedback were essential to the successful completion of this research. The authors also extend their gratitude to the clinical collaborators and technical staff for their support during participant recruitment, experimental setup, and data collection. Their combined interdisciplinary expertise significantly contributed to the design, implementation, and analysis of the proposed multisensory prosthetic gait rehabilitation framework.</w:t>
      </w:r>
    </w:p>
    <w:p w14:paraId="0961DEED" w14:textId="7D11B1B4" w:rsidR="00DF113E" w:rsidRPr="00DF113E" w:rsidRDefault="00DF113E" w:rsidP="00DF113E">
      <w:pPr>
        <w:pStyle w:val="Heading2"/>
        <w:jc w:val="both"/>
        <w:rPr>
          <w:rStyle w:val="Strong"/>
          <w:bCs/>
          <w:sz w:val="20"/>
          <w:szCs w:val="20"/>
        </w:rPr>
      </w:pPr>
      <w:r w:rsidRPr="00DF113E">
        <w:rPr>
          <w:rStyle w:val="Strong"/>
          <w:b/>
          <w:bCs/>
          <w:sz w:val="24"/>
          <w:szCs w:val="24"/>
        </w:rPr>
        <w:t>Funding Source</w:t>
      </w:r>
      <w:r w:rsidRPr="00DF113E">
        <w:rPr>
          <w:rStyle w:val="Strong"/>
          <w:bCs/>
          <w:sz w:val="20"/>
          <w:szCs w:val="20"/>
        </w:rPr>
        <w:t>- No</w:t>
      </w:r>
    </w:p>
    <w:p w14:paraId="65BBF47E" w14:textId="7A6B6CBD" w:rsidR="00DF113E" w:rsidRPr="00DF113E" w:rsidRDefault="00DF113E" w:rsidP="00DF113E">
      <w:pPr>
        <w:pStyle w:val="Heading2"/>
        <w:jc w:val="both"/>
        <w:rPr>
          <w:rStyle w:val="Strong"/>
          <w:bCs/>
          <w:sz w:val="20"/>
          <w:szCs w:val="20"/>
        </w:rPr>
      </w:pPr>
      <w:r w:rsidRPr="00DF113E">
        <w:rPr>
          <w:rStyle w:val="Strong"/>
          <w:b/>
          <w:bCs/>
          <w:sz w:val="24"/>
          <w:szCs w:val="24"/>
        </w:rPr>
        <w:t>Authors’ Contributions</w:t>
      </w:r>
      <w:r>
        <w:rPr>
          <w:rStyle w:val="Strong"/>
          <w:b/>
          <w:bCs/>
          <w:sz w:val="24"/>
          <w:szCs w:val="24"/>
        </w:rPr>
        <w:t xml:space="preserve"> </w:t>
      </w:r>
      <w:r>
        <w:rPr>
          <w:rStyle w:val="Strong"/>
          <w:bCs/>
          <w:sz w:val="20"/>
          <w:szCs w:val="20"/>
        </w:rPr>
        <w:t xml:space="preserve">- Author1, Author2 </w:t>
      </w:r>
      <w:r w:rsidRPr="00DF113E">
        <w:rPr>
          <w:rStyle w:val="Strong"/>
          <w:bCs/>
          <w:sz w:val="20"/>
          <w:szCs w:val="20"/>
        </w:rPr>
        <w:t>collectively contributed to the successful completion of this research. Author1 and Author2 were responsible for the conceptualization and design of the study, including the development of the multisensory feedback framework integrating vibrotactile and thermal stimuli. Author2 contributed to the technical implementation and system development. Author1 and Author3 carried out the data analysis and interpretation of the results. The manuscript was initially drafted by Au</w:t>
      </w:r>
      <w:r>
        <w:rPr>
          <w:rStyle w:val="Strong"/>
          <w:bCs/>
          <w:sz w:val="20"/>
          <w:szCs w:val="20"/>
        </w:rPr>
        <w:t xml:space="preserve">thor1 and Author2 </w:t>
      </w:r>
      <w:r w:rsidRPr="00DF113E">
        <w:rPr>
          <w:rStyle w:val="Strong"/>
          <w:bCs/>
          <w:sz w:val="20"/>
          <w:szCs w:val="20"/>
        </w:rPr>
        <w:t>provided critical review and revisions. All authors reviewed and approved the final manuscript and agreed to be accountable for the accuracy and integrity of the research work.</w:t>
      </w:r>
    </w:p>
    <w:p w14:paraId="5F374CC3" w14:textId="3F855DC7" w:rsidR="00DF113E" w:rsidRPr="00DF113E" w:rsidRDefault="00DF113E" w:rsidP="00DF113E">
      <w:pPr>
        <w:pStyle w:val="Heading2"/>
        <w:jc w:val="both"/>
        <w:rPr>
          <w:rStyle w:val="Strong"/>
          <w:bCs/>
          <w:sz w:val="20"/>
          <w:szCs w:val="20"/>
        </w:rPr>
      </w:pPr>
      <w:r w:rsidRPr="00DF113E">
        <w:rPr>
          <w:rStyle w:val="Strong"/>
          <w:b/>
          <w:bCs/>
          <w:sz w:val="24"/>
          <w:szCs w:val="24"/>
        </w:rPr>
        <w:t>Conflict of Interest</w:t>
      </w:r>
      <w:r>
        <w:rPr>
          <w:rStyle w:val="Strong"/>
          <w:b/>
          <w:bCs/>
          <w:sz w:val="24"/>
          <w:szCs w:val="24"/>
        </w:rPr>
        <w:t xml:space="preserve"> </w:t>
      </w:r>
      <w:r w:rsidRPr="00DF113E">
        <w:rPr>
          <w:rStyle w:val="Strong"/>
          <w:bCs/>
          <w:sz w:val="20"/>
          <w:szCs w:val="20"/>
        </w:rPr>
        <w:t>- The authors declare that there are no conflicts of interest regarding the publication of this paper. The research was conducted in the absence of any commercial or financial relationships that could be construed as a potential conflict of interest.</w:t>
      </w:r>
    </w:p>
    <w:p w14:paraId="7200E237" w14:textId="74423D4E" w:rsidR="00DF113E" w:rsidRDefault="00DF113E" w:rsidP="00DF113E">
      <w:pPr>
        <w:pStyle w:val="Heading2"/>
        <w:jc w:val="both"/>
        <w:rPr>
          <w:rStyle w:val="Strong"/>
          <w:bCs/>
          <w:sz w:val="20"/>
          <w:szCs w:val="20"/>
        </w:rPr>
      </w:pPr>
      <w:r w:rsidRPr="00DF113E">
        <w:rPr>
          <w:rStyle w:val="Strong"/>
          <w:b/>
          <w:bCs/>
          <w:sz w:val="24"/>
          <w:szCs w:val="24"/>
        </w:rPr>
        <w:t>Data Availability</w:t>
      </w:r>
      <w:r>
        <w:rPr>
          <w:rStyle w:val="Strong"/>
          <w:b/>
          <w:bCs/>
          <w:sz w:val="24"/>
          <w:szCs w:val="24"/>
        </w:rPr>
        <w:t xml:space="preserve"> </w:t>
      </w:r>
      <w:r w:rsidR="00CE2890">
        <w:rPr>
          <w:rStyle w:val="Strong"/>
          <w:bCs/>
          <w:sz w:val="20"/>
          <w:szCs w:val="20"/>
        </w:rPr>
        <w:t>–</w:t>
      </w:r>
      <w:r w:rsidRPr="00DF113E">
        <w:rPr>
          <w:rStyle w:val="Strong"/>
          <w:bCs/>
          <w:sz w:val="20"/>
          <w:szCs w:val="20"/>
        </w:rPr>
        <w:t xml:space="preserve"> None</w:t>
      </w:r>
    </w:p>
    <w:p w14:paraId="72D3C7FA" w14:textId="7608541F" w:rsidR="00CE2890" w:rsidRPr="00CE2890" w:rsidRDefault="00CE2890" w:rsidP="00CE2890">
      <w:pPr>
        <w:pStyle w:val="Heading2"/>
        <w:jc w:val="both"/>
        <w:rPr>
          <w:rStyle w:val="Strong"/>
          <w:b/>
          <w:bCs/>
          <w:sz w:val="22"/>
          <w:szCs w:val="22"/>
        </w:rPr>
      </w:pPr>
      <w:r w:rsidRPr="00CE2890">
        <w:rPr>
          <w:rStyle w:val="Strong"/>
          <w:b/>
          <w:bCs/>
          <w:sz w:val="22"/>
          <w:szCs w:val="22"/>
        </w:rPr>
        <w:t>Disclaimer (Artificial intelligence)</w:t>
      </w:r>
      <w:r>
        <w:rPr>
          <w:rStyle w:val="Strong"/>
          <w:b/>
          <w:bCs/>
          <w:sz w:val="22"/>
          <w:szCs w:val="22"/>
        </w:rPr>
        <w:t xml:space="preserve"> - </w:t>
      </w:r>
      <w:r w:rsidRPr="00CE2890">
        <w:rPr>
          <w:rStyle w:val="Strong"/>
          <w:bCs/>
          <w:sz w:val="20"/>
          <w:szCs w:val="20"/>
        </w:rPr>
        <w:t>Author(s) hereby declare that NO generative AI technologi</w:t>
      </w:r>
      <w:r>
        <w:rPr>
          <w:rStyle w:val="Strong"/>
          <w:bCs/>
          <w:sz w:val="20"/>
          <w:szCs w:val="20"/>
        </w:rPr>
        <w:t xml:space="preserve">es such as Large Language Model </w:t>
      </w:r>
      <w:r w:rsidRPr="00CE2890">
        <w:rPr>
          <w:rStyle w:val="Strong"/>
          <w:bCs/>
          <w:sz w:val="20"/>
          <w:szCs w:val="20"/>
        </w:rPr>
        <w:t>(ChatGPT, COPILOT, etc.) and text-to-image generators have been used during the writing or</w:t>
      </w:r>
      <w:r>
        <w:rPr>
          <w:rStyle w:val="Strong"/>
          <w:bCs/>
          <w:sz w:val="20"/>
          <w:szCs w:val="20"/>
        </w:rPr>
        <w:t xml:space="preserve"> </w:t>
      </w:r>
      <w:r w:rsidRPr="00CE2890">
        <w:rPr>
          <w:rStyle w:val="Strong"/>
          <w:bCs/>
          <w:sz w:val="20"/>
          <w:szCs w:val="20"/>
        </w:rPr>
        <w:t>editing of this manuscript.</w:t>
      </w:r>
    </w:p>
    <w:p w14:paraId="6E45F995" w14:textId="40CCADD6" w:rsidR="00BD21CD" w:rsidRDefault="00664B5E" w:rsidP="00766DD4">
      <w:pPr>
        <w:pStyle w:val="Heading2"/>
        <w:rPr>
          <w:sz w:val="20"/>
          <w:szCs w:val="20"/>
        </w:rPr>
      </w:pPr>
      <w:r w:rsidRPr="009F2D9B">
        <w:rPr>
          <w:rStyle w:val="Strong"/>
          <w:b/>
          <w:bCs/>
          <w:sz w:val="20"/>
          <w:szCs w:val="20"/>
        </w:rPr>
        <w:t>7</w:t>
      </w:r>
      <w:r w:rsidRPr="00DF113E">
        <w:rPr>
          <w:rStyle w:val="Strong"/>
          <w:b/>
          <w:bCs/>
          <w:sz w:val="24"/>
          <w:szCs w:val="24"/>
        </w:rPr>
        <w:t>. References</w:t>
      </w:r>
    </w:p>
    <w:p w14:paraId="367A1599" w14:textId="6D05FB7B" w:rsidR="00766DD4" w:rsidRPr="000E7665" w:rsidRDefault="00F81571"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Choi et al., “Fall-related emergency department visits and hospitalizations among community dwelling older adults: examination of health problems and injury characteristics,” BMC Geriatric, 2019</w:t>
      </w:r>
      <w:r w:rsidR="00766DD4" w:rsidRPr="000E7665">
        <w:rPr>
          <w:rFonts w:ascii="Times New Roman" w:hAnsi="Times New Roman" w:cs="Times New Roman"/>
          <w:sz w:val="20"/>
          <w:szCs w:val="20"/>
        </w:rPr>
        <w:t>.</w:t>
      </w:r>
    </w:p>
    <w:p w14:paraId="049B5398" w14:textId="09E94446" w:rsidR="00766DD4" w:rsidRPr="000E7665" w:rsidRDefault="0020396A"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F. </w:t>
      </w:r>
      <w:proofErr w:type="spellStart"/>
      <w:r w:rsidRPr="000E7665">
        <w:rPr>
          <w:rFonts w:ascii="Times New Roman" w:hAnsi="Times New Roman" w:cs="Times New Roman"/>
          <w:sz w:val="20"/>
          <w:szCs w:val="20"/>
        </w:rPr>
        <w:t>Harrou</w:t>
      </w:r>
      <w:proofErr w:type="spellEnd"/>
      <w:r w:rsidRPr="000E7665">
        <w:rPr>
          <w:rFonts w:ascii="Times New Roman" w:hAnsi="Times New Roman" w:cs="Times New Roman"/>
          <w:sz w:val="20"/>
          <w:szCs w:val="20"/>
        </w:rPr>
        <w:t xml:space="preserve">, N. Zerrouki, Y. Sun, A. </w:t>
      </w:r>
      <w:proofErr w:type="spellStart"/>
      <w:r w:rsidRPr="000E7665">
        <w:rPr>
          <w:rFonts w:ascii="Times New Roman" w:hAnsi="Times New Roman" w:cs="Times New Roman"/>
          <w:sz w:val="20"/>
          <w:szCs w:val="20"/>
        </w:rPr>
        <w:t>Houacine</w:t>
      </w:r>
      <w:proofErr w:type="spellEnd"/>
      <w:r w:rsidRPr="000E7665">
        <w:rPr>
          <w:rFonts w:ascii="Times New Roman" w:hAnsi="Times New Roman" w:cs="Times New Roman"/>
          <w:sz w:val="20"/>
          <w:szCs w:val="20"/>
        </w:rPr>
        <w:t>, “An Integrated Vision-Based Approach for Efficient Human Fall Detection in a Home Environment,” IEEE Access, 2019, v. 7, pp. 114966–114974</w:t>
      </w:r>
      <w:r w:rsidR="00766DD4" w:rsidRPr="000E7665">
        <w:rPr>
          <w:rFonts w:ascii="Times New Roman" w:hAnsi="Times New Roman" w:cs="Times New Roman"/>
          <w:sz w:val="20"/>
          <w:szCs w:val="20"/>
        </w:rPr>
        <w:t>.</w:t>
      </w:r>
    </w:p>
    <w:p w14:paraId="034E9AD1" w14:textId="77777777" w:rsidR="007A3AFE" w:rsidRPr="000E7665" w:rsidRDefault="007A3AFE"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V. L. Petrovic, et. al., “High-Accuracy Real-Time Monitoring of Heart Rate Variability Using 24 GHz Continuous-Wave Doppler Radar,” IEEE Access, 2019.</w:t>
      </w:r>
    </w:p>
    <w:p w14:paraId="16CB343C" w14:textId="5C3F73AE" w:rsidR="00FC4C4F" w:rsidRPr="000E7665" w:rsidRDefault="00FC4C4F"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De Blasi, S., Engels, E.: Next generation control units simplifying industrial machine learning. In: 2020 IEEE 29th International Symposium on Industrial Electronics (ISIE), pp. 468–473 (2020). </w:t>
      </w:r>
    </w:p>
    <w:p w14:paraId="1DB5E183" w14:textId="77777777" w:rsidR="00F22463" w:rsidRPr="000E7665" w:rsidRDefault="00F22463"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G. </w:t>
      </w:r>
      <w:proofErr w:type="spellStart"/>
      <w:r w:rsidRPr="000E7665">
        <w:rPr>
          <w:rFonts w:ascii="Times New Roman" w:hAnsi="Times New Roman" w:cs="Times New Roman"/>
          <w:sz w:val="20"/>
          <w:szCs w:val="20"/>
        </w:rPr>
        <w:t>Harerimana</w:t>
      </w:r>
      <w:proofErr w:type="spellEnd"/>
      <w:r w:rsidRPr="000E7665">
        <w:rPr>
          <w:rFonts w:ascii="Times New Roman" w:hAnsi="Times New Roman" w:cs="Times New Roman"/>
          <w:sz w:val="20"/>
          <w:szCs w:val="20"/>
        </w:rPr>
        <w:t xml:space="preserve">, “Deep Learning for Electronic Health Records </w:t>
      </w:r>
      <w:proofErr w:type="gramStart"/>
      <w:r w:rsidRPr="000E7665">
        <w:rPr>
          <w:rFonts w:ascii="Times New Roman" w:hAnsi="Times New Roman" w:cs="Times New Roman"/>
          <w:sz w:val="20"/>
          <w:szCs w:val="20"/>
        </w:rPr>
        <w:t>Analytics ”</w:t>
      </w:r>
      <w:proofErr w:type="gramEnd"/>
      <w:r w:rsidRPr="000E7665">
        <w:rPr>
          <w:rFonts w:ascii="Times New Roman" w:hAnsi="Times New Roman" w:cs="Times New Roman"/>
          <w:sz w:val="20"/>
          <w:szCs w:val="20"/>
        </w:rPr>
        <w:t>, IEEE Access, 2019.</w:t>
      </w:r>
    </w:p>
    <w:p w14:paraId="02078000" w14:textId="77777777" w:rsidR="00B05A6D" w:rsidRPr="000E7665" w:rsidRDefault="00B05A6D"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Y. Yu, “Clinical big data and deep learning: Applications, </w:t>
      </w:r>
      <w:proofErr w:type="spellStart"/>
      <w:r w:rsidRPr="000E7665">
        <w:rPr>
          <w:rFonts w:ascii="Times New Roman" w:hAnsi="Times New Roman" w:cs="Times New Roman"/>
          <w:sz w:val="20"/>
          <w:szCs w:val="20"/>
        </w:rPr>
        <w:t>chal-lenges</w:t>
      </w:r>
      <w:proofErr w:type="spellEnd"/>
      <w:r w:rsidRPr="000E7665">
        <w:rPr>
          <w:rFonts w:ascii="Times New Roman" w:hAnsi="Times New Roman" w:cs="Times New Roman"/>
          <w:sz w:val="20"/>
          <w:szCs w:val="20"/>
        </w:rPr>
        <w:t xml:space="preserve">, and future </w:t>
      </w:r>
      <w:proofErr w:type="gramStart"/>
      <w:r w:rsidRPr="000E7665">
        <w:rPr>
          <w:rFonts w:ascii="Times New Roman" w:hAnsi="Times New Roman" w:cs="Times New Roman"/>
          <w:sz w:val="20"/>
          <w:szCs w:val="20"/>
        </w:rPr>
        <w:t>outlooks ”</w:t>
      </w:r>
      <w:proofErr w:type="gramEnd"/>
      <w:r w:rsidRPr="000E7665">
        <w:rPr>
          <w:rFonts w:ascii="Times New Roman" w:hAnsi="Times New Roman" w:cs="Times New Roman"/>
          <w:sz w:val="20"/>
          <w:szCs w:val="20"/>
        </w:rPr>
        <w:t xml:space="preserve">, Big Data Mining and Analytics, 2019, v. 2, </w:t>
      </w:r>
      <w:proofErr w:type="spellStart"/>
      <w:r w:rsidRPr="000E7665">
        <w:rPr>
          <w:rFonts w:ascii="Times New Roman" w:hAnsi="Times New Roman" w:cs="Times New Roman"/>
          <w:sz w:val="20"/>
          <w:szCs w:val="20"/>
        </w:rPr>
        <w:t>i</w:t>
      </w:r>
      <w:proofErr w:type="spellEnd"/>
      <w:r w:rsidRPr="000E7665">
        <w:rPr>
          <w:rFonts w:ascii="Times New Roman" w:hAnsi="Times New Roman" w:cs="Times New Roman"/>
          <w:sz w:val="20"/>
          <w:szCs w:val="20"/>
        </w:rPr>
        <w:t>. 4.</w:t>
      </w:r>
    </w:p>
    <w:p w14:paraId="4FC69CE8" w14:textId="77777777" w:rsidR="003C510D" w:rsidRPr="000E7665" w:rsidRDefault="003C510D"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Sharma, N., </w:t>
      </w:r>
      <w:proofErr w:type="spellStart"/>
      <w:r w:rsidRPr="000E7665">
        <w:rPr>
          <w:rFonts w:ascii="Times New Roman" w:hAnsi="Times New Roman" w:cs="Times New Roman"/>
          <w:sz w:val="20"/>
          <w:szCs w:val="20"/>
        </w:rPr>
        <w:t>Shamkuwar</w:t>
      </w:r>
      <w:proofErr w:type="spellEnd"/>
      <w:r w:rsidRPr="000E7665">
        <w:rPr>
          <w:rFonts w:ascii="Times New Roman" w:hAnsi="Times New Roman" w:cs="Times New Roman"/>
          <w:sz w:val="20"/>
          <w:szCs w:val="20"/>
        </w:rPr>
        <w:t>, M., Singh, I.: The history, present and future with IoT. In: Balas, V.E., Solanki, V.K., Kumar, R., Khari, M. (eds.) Internet of Things and Big Data Analytics for Smart Generation. ISRL, vol. 154, pp. 27–51. Springer, Cham (2019).</w:t>
      </w:r>
    </w:p>
    <w:p w14:paraId="2F21D889" w14:textId="77777777" w:rsidR="00D4623E" w:rsidRPr="000E7665" w:rsidRDefault="00D4623E"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Huang, H., Lu, K., Pau, G., Ren, Y., Chen, P.-Y.: Advanced wireless communications and mobile computing technologies for the </w:t>
      </w:r>
      <w:r w:rsidRPr="000E7665">
        <w:rPr>
          <w:rFonts w:ascii="Times New Roman" w:hAnsi="Times New Roman" w:cs="Times New Roman"/>
          <w:sz w:val="20"/>
          <w:szCs w:val="20"/>
        </w:rPr>
        <w:lastRenderedPageBreak/>
        <w:t xml:space="preserve">internet of things. </w:t>
      </w:r>
      <w:proofErr w:type="spellStart"/>
      <w:r w:rsidRPr="000E7665">
        <w:rPr>
          <w:rFonts w:ascii="Times New Roman" w:hAnsi="Times New Roman" w:cs="Times New Roman"/>
          <w:sz w:val="20"/>
          <w:szCs w:val="20"/>
        </w:rPr>
        <w:t>Wirel</w:t>
      </w:r>
      <w:proofErr w:type="spellEnd"/>
      <w:r w:rsidRPr="000E7665">
        <w:rPr>
          <w:rFonts w:ascii="Times New Roman" w:hAnsi="Times New Roman" w:cs="Times New Roman"/>
          <w:sz w:val="20"/>
          <w:szCs w:val="20"/>
        </w:rPr>
        <w:t xml:space="preserve">. Commun. Mob. </w:t>
      </w:r>
      <w:proofErr w:type="spellStart"/>
      <w:r w:rsidRPr="000E7665">
        <w:rPr>
          <w:rFonts w:ascii="Times New Roman" w:hAnsi="Times New Roman" w:cs="Times New Roman"/>
          <w:sz w:val="20"/>
          <w:szCs w:val="20"/>
        </w:rPr>
        <w:t>Comput</w:t>
      </w:r>
      <w:proofErr w:type="spellEnd"/>
      <w:r w:rsidRPr="000E7665">
        <w:rPr>
          <w:rFonts w:ascii="Times New Roman" w:hAnsi="Times New Roman" w:cs="Times New Roman"/>
          <w:sz w:val="20"/>
          <w:szCs w:val="20"/>
        </w:rPr>
        <w:t>. 2018, 9693514 (2018).</w:t>
      </w:r>
    </w:p>
    <w:p w14:paraId="357BEA0D" w14:textId="407CC288"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Kyle, U. G., Bosaeus, I., De Lorenzo, A. D., et al. (2004). Bioelectrical impedance analysis—Part I: Review of principles and methods. Clinical Nutrition, 23(5), 1226–1243.</w:t>
      </w:r>
    </w:p>
    <w:p w14:paraId="6DCEB349" w14:textId="77777777"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Sawka, M. N., Cheuvront, S. N., &amp; Carter, R. (2005). Human water needs. Nutrition Reviews, 63(6), S30–S39.</w:t>
      </w:r>
    </w:p>
    <w:p w14:paraId="46C1B236" w14:textId="77777777" w:rsidR="006229CC" w:rsidRPr="000E7665" w:rsidRDefault="006229CC" w:rsidP="000E7665">
      <w:pPr>
        <w:pStyle w:val="ListParagraph"/>
        <w:numPr>
          <w:ilvl w:val="0"/>
          <w:numId w:val="17"/>
        </w:numPr>
        <w:spacing w:after="0"/>
        <w:jc w:val="both"/>
        <w:rPr>
          <w:rFonts w:ascii="Times New Roman" w:hAnsi="Times New Roman" w:cs="Times New Roman"/>
          <w:sz w:val="20"/>
          <w:szCs w:val="20"/>
        </w:rPr>
      </w:pPr>
      <w:proofErr w:type="spellStart"/>
      <w:r w:rsidRPr="000E7665">
        <w:rPr>
          <w:rFonts w:ascii="Times New Roman" w:hAnsi="Times New Roman" w:cs="Times New Roman"/>
          <w:sz w:val="20"/>
          <w:szCs w:val="20"/>
        </w:rPr>
        <w:t>Babadi</w:t>
      </w:r>
      <w:proofErr w:type="spellEnd"/>
      <w:r w:rsidRPr="000E7665">
        <w:rPr>
          <w:rFonts w:ascii="Times New Roman" w:hAnsi="Times New Roman" w:cs="Times New Roman"/>
          <w:sz w:val="20"/>
          <w:szCs w:val="20"/>
        </w:rPr>
        <w:t>, A.N., Nouri, S., Khalaj, S.: Challenges and opportunities of the integration of IoT and smart grid in Iran transmission power system. In: 2017 Smart Grid Conference (SGC), pp. 1–6 (2017).</w:t>
      </w:r>
    </w:p>
    <w:p w14:paraId="5D067BE2" w14:textId="344B2FFC" w:rsidR="00766DD4" w:rsidRPr="000E7665" w:rsidRDefault="000228D7"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M. M. Alam, et. al., “A Survey on the Roles of Communication Technologies in IoT-Based Personalized Healthcare </w:t>
      </w:r>
      <w:proofErr w:type="gramStart"/>
      <w:r w:rsidRPr="000E7665">
        <w:rPr>
          <w:rFonts w:ascii="Times New Roman" w:hAnsi="Times New Roman" w:cs="Times New Roman"/>
          <w:sz w:val="20"/>
          <w:szCs w:val="20"/>
        </w:rPr>
        <w:t>Applications ”</w:t>
      </w:r>
      <w:proofErr w:type="gramEnd"/>
      <w:r w:rsidRPr="000E7665">
        <w:rPr>
          <w:rFonts w:ascii="Times New Roman" w:hAnsi="Times New Roman" w:cs="Times New Roman"/>
          <w:sz w:val="20"/>
          <w:szCs w:val="20"/>
        </w:rPr>
        <w:t>, IEEE Access, 2018, v. 6</w:t>
      </w:r>
      <w:r w:rsidR="00766DD4" w:rsidRPr="000E7665">
        <w:rPr>
          <w:rFonts w:ascii="Times New Roman" w:hAnsi="Times New Roman" w:cs="Times New Roman"/>
          <w:sz w:val="20"/>
          <w:szCs w:val="20"/>
        </w:rPr>
        <w:t>.</w:t>
      </w:r>
    </w:p>
    <w:p w14:paraId="4175C8A6" w14:textId="4CD67724" w:rsidR="000228D7" w:rsidRPr="000E7665" w:rsidRDefault="000228D7" w:rsidP="000E7665">
      <w:pPr>
        <w:pStyle w:val="ListParagraph"/>
        <w:numPr>
          <w:ilvl w:val="1"/>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Kumar, et. al., “A Novel Smart Healthcare Design, Simulation, and Implementation Using Healthcare 4.0 </w:t>
      </w:r>
      <w:proofErr w:type="gramStart"/>
      <w:r w:rsidRPr="000E7665">
        <w:rPr>
          <w:rFonts w:ascii="Times New Roman" w:hAnsi="Times New Roman" w:cs="Times New Roman"/>
          <w:sz w:val="20"/>
          <w:szCs w:val="20"/>
        </w:rPr>
        <w:t>Processes ”</w:t>
      </w:r>
      <w:proofErr w:type="gramEnd"/>
      <w:r w:rsidRPr="000E7665">
        <w:rPr>
          <w:rFonts w:ascii="Times New Roman" w:hAnsi="Times New Roman" w:cs="Times New Roman"/>
          <w:sz w:val="20"/>
          <w:szCs w:val="20"/>
        </w:rPr>
        <w:t>, IEEE Access, 2020.</w:t>
      </w:r>
    </w:p>
    <w:p w14:paraId="05217BBB" w14:textId="07385000" w:rsidR="00766DD4" w:rsidRPr="000E7665" w:rsidRDefault="00741EB8"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Goldschmidt, T., Hauck-Stattelmann, S.: Software containers for industrial control. In: 2016 42th </w:t>
      </w:r>
      <w:proofErr w:type="spellStart"/>
      <w:r w:rsidRPr="000E7665">
        <w:rPr>
          <w:rFonts w:ascii="Times New Roman" w:hAnsi="Times New Roman" w:cs="Times New Roman"/>
          <w:sz w:val="20"/>
          <w:szCs w:val="20"/>
        </w:rPr>
        <w:t>Euromicro</w:t>
      </w:r>
      <w:proofErr w:type="spellEnd"/>
      <w:r w:rsidRPr="000E7665">
        <w:rPr>
          <w:rFonts w:ascii="Times New Roman" w:hAnsi="Times New Roman" w:cs="Times New Roman"/>
          <w:sz w:val="20"/>
          <w:szCs w:val="20"/>
        </w:rPr>
        <w:t xml:space="preserve"> Conference on Software Engineering and Advanced Applications (SEAA), pp. 258–265 (2016)</w:t>
      </w:r>
      <w:r w:rsidR="00766DD4" w:rsidRPr="000E7665">
        <w:rPr>
          <w:rFonts w:ascii="Times New Roman" w:hAnsi="Times New Roman" w:cs="Times New Roman"/>
          <w:sz w:val="20"/>
          <w:szCs w:val="20"/>
        </w:rPr>
        <w:t>.</w:t>
      </w:r>
    </w:p>
    <w:p w14:paraId="0CB9E004" w14:textId="77777777" w:rsidR="00741EB8" w:rsidRPr="000E7665" w:rsidRDefault="00741EB8"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Fortino, G., Fotia, L., Messina, F., Rosaci, D., </w:t>
      </w:r>
      <w:proofErr w:type="spellStart"/>
      <w:r w:rsidRPr="000E7665">
        <w:rPr>
          <w:rFonts w:ascii="Times New Roman" w:hAnsi="Times New Roman" w:cs="Times New Roman"/>
          <w:sz w:val="20"/>
          <w:szCs w:val="20"/>
        </w:rPr>
        <w:t>Sarné</w:t>
      </w:r>
      <w:proofErr w:type="spellEnd"/>
      <w:r w:rsidRPr="000E7665">
        <w:rPr>
          <w:rFonts w:ascii="Times New Roman" w:hAnsi="Times New Roman" w:cs="Times New Roman"/>
          <w:sz w:val="20"/>
          <w:szCs w:val="20"/>
        </w:rPr>
        <w:t xml:space="preserve">, G.M.L.: A meritocratic trust-based group formation in an IoT environment for smart cities. Future Gener. </w:t>
      </w:r>
      <w:proofErr w:type="spellStart"/>
      <w:r w:rsidRPr="000E7665">
        <w:rPr>
          <w:rFonts w:ascii="Times New Roman" w:hAnsi="Times New Roman" w:cs="Times New Roman"/>
          <w:sz w:val="20"/>
          <w:szCs w:val="20"/>
        </w:rPr>
        <w:t>Comput</w:t>
      </w:r>
      <w:proofErr w:type="spellEnd"/>
      <w:r w:rsidRPr="000E7665">
        <w:rPr>
          <w:rFonts w:ascii="Times New Roman" w:hAnsi="Times New Roman" w:cs="Times New Roman"/>
          <w:sz w:val="20"/>
          <w:szCs w:val="20"/>
        </w:rPr>
        <w:t>. Syst. 108, 34–45 (2020).</w:t>
      </w:r>
    </w:p>
    <w:p w14:paraId="096AAAD4" w14:textId="60A8281B" w:rsidR="00766DD4" w:rsidRPr="000E7665" w:rsidRDefault="00973E2F"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Inui, T., Kohana, M., Okamoto, S., Kamada, M.: IoT technologies: state of the art and a software development framework (chap. 1). In: Xhafa, F., Leu, F.-Y., Hung, L.-L. (eds.) Intelligent Data-Centric Systems, pp. 3–18. Academic Press (2017)</w:t>
      </w:r>
      <w:r w:rsidR="00766DD4" w:rsidRPr="000E7665">
        <w:rPr>
          <w:rFonts w:ascii="Times New Roman" w:hAnsi="Times New Roman" w:cs="Times New Roman"/>
          <w:sz w:val="20"/>
          <w:szCs w:val="20"/>
        </w:rPr>
        <w:t>.</w:t>
      </w:r>
    </w:p>
    <w:p w14:paraId="6D9D5DC1" w14:textId="77777777" w:rsidR="00912FE6" w:rsidRPr="000E7665" w:rsidRDefault="00912FE6"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Datta, S.: Healthcare and Medical IoT (2017).</w:t>
      </w:r>
    </w:p>
    <w:p w14:paraId="380013DA" w14:textId="77777777" w:rsidR="00912FE6" w:rsidRPr="000E7665" w:rsidRDefault="00912FE6"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Shen, G., Liu, B.: The visions, technologies, applications and security issues of Internet of Things. In: 2011 International Conference on E-Business and E-Government (ICEE), pp. 1–4 (2011).</w:t>
      </w:r>
    </w:p>
    <w:p w14:paraId="7ACDB7AC" w14:textId="760659C0"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Wearing, S. C., Smeathers, J. E., &amp; Urry, S. R. (2006). The </w:t>
      </w:r>
      <w:proofErr w:type="spellStart"/>
      <w:r w:rsidRPr="000E7665">
        <w:rPr>
          <w:rFonts w:ascii="Times New Roman" w:hAnsi="Times New Roman" w:cs="Times New Roman"/>
          <w:sz w:val="20"/>
          <w:szCs w:val="20"/>
        </w:rPr>
        <w:t>pathomechanics</w:t>
      </w:r>
      <w:proofErr w:type="spellEnd"/>
      <w:r w:rsidRPr="000E7665">
        <w:rPr>
          <w:rFonts w:ascii="Times New Roman" w:hAnsi="Times New Roman" w:cs="Times New Roman"/>
          <w:sz w:val="20"/>
          <w:szCs w:val="20"/>
        </w:rPr>
        <w:t xml:space="preserve"> of plantar fasciitis. Sports Medicine, 36(7), 585–611.</w:t>
      </w:r>
    </w:p>
    <w:p w14:paraId="6463D79B" w14:textId="77777777" w:rsidR="006779EB" w:rsidRPr="000E7665" w:rsidRDefault="006779EB"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S. Kevin Zhou, H. Greenspan, D. Shen, “Deep Learning for Medical Image </w:t>
      </w:r>
      <w:proofErr w:type="gramStart"/>
      <w:r w:rsidRPr="000E7665">
        <w:rPr>
          <w:rFonts w:ascii="Times New Roman" w:hAnsi="Times New Roman" w:cs="Times New Roman"/>
          <w:sz w:val="20"/>
          <w:szCs w:val="20"/>
        </w:rPr>
        <w:t>Analysis ”</w:t>
      </w:r>
      <w:proofErr w:type="gramEnd"/>
      <w:r w:rsidRPr="000E7665">
        <w:rPr>
          <w:rFonts w:ascii="Times New Roman" w:hAnsi="Times New Roman" w:cs="Times New Roman"/>
          <w:sz w:val="20"/>
          <w:szCs w:val="20"/>
        </w:rPr>
        <w:t>, Academic Press, 2017.</w:t>
      </w:r>
    </w:p>
    <w:p w14:paraId="3025F405" w14:textId="77777777" w:rsidR="006E01C0" w:rsidRPr="000E7665" w:rsidRDefault="006E01C0"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Case Western Reserve University: Bearing Data </w:t>
      </w:r>
      <w:proofErr w:type="spellStart"/>
      <w:r w:rsidRPr="000E7665">
        <w:rPr>
          <w:rFonts w:ascii="Times New Roman" w:hAnsi="Times New Roman" w:cs="Times New Roman"/>
          <w:sz w:val="20"/>
          <w:szCs w:val="20"/>
        </w:rPr>
        <w:t>Center|Case</w:t>
      </w:r>
      <w:proofErr w:type="spellEnd"/>
      <w:r w:rsidRPr="000E7665">
        <w:rPr>
          <w:rFonts w:ascii="Times New Roman" w:hAnsi="Times New Roman" w:cs="Times New Roman"/>
          <w:sz w:val="20"/>
          <w:szCs w:val="20"/>
        </w:rPr>
        <w:t xml:space="preserve"> School of </w:t>
      </w:r>
      <w:proofErr w:type="spellStart"/>
      <w:r w:rsidRPr="000E7665">
        <w:rPr>
          <w:rFonts w:ascii="Times New Roman" w:hAnsi="Times New Roman" w:cs="Times New Roman"/>
          <w:sz w:val="20"/>
          <w:szCs w:val="20"/>
        </w:rPr>
        <w:t>Engineering|Case</w:t>
      </w:r>
      <w:proofErr w:type="spellEnd"/>
      <w:r w:rsidRPr="000E7665">
        <w:rPr>
          <w:rFonts w:ascii="Times New Roman" w:hAnsi="Times New Roman" w:cs="Times New Roman"/>
          <w:sz w:val="20"/>
          <w:szCs w:val="20"/>
        </w:rPr>
        <w:t xml:space="preserve"> Western Reserve University (2021).</w:t>
      </w:r>
    </w:p>
    <w:p w14:paraId="5F9C09E9" w14:textId="77777777" w:rsidR="006E01C0" w:rsidRPr="000E7665" w:rsidRDefault="006E01C0"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Singh, A., Aggarwal, P., Arora, R.: IoT based waste collection system using infrared sensors. In: 2016 5th International Conference on Reliability, Infocom Technologies and Optimization (Trends and Future Directions) (ICRITO), pp. 505–509 (2016).</w:t>
      </w:r>
    </w:p>
    <w:p w14:paraId="1BE36A54" w14:textId="77777777" w:rsidR="006E01C0" w:rsidRPr="000E7665" w:rsidRDefault="006E01C0"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Lai, W.-C., Huang, J.-F., Huang, S.-Z.: Sigma-delta modulator with near infrared charging for IOT wireless power transfer application. In: 2017 11th IEEE International Conference on Anti-counterfeiting, Security, and Identification (ASID), pp. 134–137 (2017).</w:t>
      </w:r>
    </w:p>
    <w:p w14:paraId="6B4A7DF4" w14:textId="77777777" w:rsidR="006E01C0" w:rsidRPr="000E7665" w:rsidRDefault="006E01C0" w:rsidP="000E7665">
      <w:pPr>
        <w:pStyle w:val="ListParagraph"/>
        <w:numPr>
          <w:ilvl w:val="0"/>
          <w:numId w:val="17"/>
        </w:numPr>
        <w:spacing w:after="0"/>
        <w:jc w:val="both"/>
        <w:rPr>
          <w:rFonts w:ascii="Times New Roman" w:hAnsi="Times New Roman" w:cs="Times New Roman"/>
          <w:sz w:val="20"/>
          <w:szCs w:val="20"/>
        </w:rPr>
      </w:pPr>
      <w:proofErr w:type="spellStart"/>
      <w:r w:rsidRPr="000E7665">
        <w:rPr>
          <w:rFonts w:ascii="Times New Roman" w:hAnsi="Times New Roman" w:cs="Times New Roman"/>
          <w:sz w:val="20"/>
          <w:szCs w:val="20"/>
        </w:rPr>
        <w:t>Tozlu</w:t>
      </w:r>
      <w:proofErr w:type="spellEnd"/>
      <w:r w:rsidRPr="000E7665">
        <w:rPr>
          <w:rFonts w:ascii="Times New Roman" w:hAnsi="Times New Roman" w:cs="Times New Roman"/>
          <w:sz w:val="20"/>
          <w:szCs w:val="20"/>
        </w:rPr>
        <w:t xml:space="preserve">, S., Senel, M., Mao, W., </w:t>
      </w:r>
      <w:proofErr w:type="spellStart"/>
      <w:r w:rsidRPr="000E7665">
        <w:rPr>
          <w:rFonts w:ascii="Times New Roman" w:hAnsi="Times New Roman" w:cs="Times New Roman"/>
          <w:sz w:val="20"/>
          <w:szCs w:val="20"/>
        </w:rPr>
        <w:t>Keshavarzian</w:t>
      </w:r>
      <w:proofErr w:type="spellEnd"/>
      <w:r w:rsidRPr="000E7665">
        <w:rPr>
          <w:rFonts w:ascii="Times New Roman" w:hAnsi="Times New Roman" w:cs="Times New Roman"/>
          <w:sz w:val="20"/>
          <w:szCs w:val="20"/>
        </w:rPr>
        <w:t>, A.: Wi-Fi enabled sensors for internet of things: a practical approach. IEEE Commun. Mag. 50(6), 134–143 (2012).</w:t>
      </w:r>
    </w:p>
    <w:p w14:paraId="125F3C3A" w14:textId="1738A072" w:rsidR="00766DD4" w:rsidRPr="000E7665" w:rsidRDefault="00604BE1" w:rsidP="000E7665">
      <w:pPr>
        <w:pStyle w:val="ListParagraph"/>
        <w:numPr>
          <w:ilvl w:val="0"/>
          <w:numId w:val="17"/>
        </w:numPr>
        <w:spacing w:after="0"/>
        <w:jc w:val="both"/>
        <w:rPr>
          <w:rFonts w:ascii="Times New Roman" w:hAnsi="Times New Roman" w:cs="Times New Roman"/>
          <w:sz w:val="20"/>
          <w:szCs w:val="20"/>
        </w:rPr>
      </w:pPr>
      <w:proofErr w:type="spellStart"/>
      <w:r w:rsidRPr="000E7665">
        <w:rPr>
          <w:rFonts w:ascii="Times New Roman" w:hAnsi="Times New Roman" w:cs="Times New Roman"/>
          <w:sz w:val="20"/>
          <w:szCs w:val="20"/>
        </w:rPr>
        <w:t>Tozlu</w:t>
      </w:r>
      <w:proofErr w:type="spellEnd"/>
      <w:r w:rsidRPr="000E7665">
        <w:rPr>
          <w:rFonts w:ascii="Times New Roman" w:hAnsi="Times New Roman" w:cs="Times New Roman"/>
          <w:sz w:val="20"/>
          <w:szCs w:val="20"/>
        </w:rPr>
        <w:t>, S.: Feasibility of Wi-Fi enabled sensors for Internet of Things. In: 2011 7th International Wireless Communications and Mobile Computing Conference, pp. 291–296 (2011)</w:t>
      </w:r>
      <w:r w:rsidR="00766DD4" w:rsidRPr="000E7665">
        <w:rPr>
          <w:rFonts w:ascii="Times New Roman" w:hAnsi="Times New Roman" w:cs="Times New Roman"/>
          <w:sz w:val="20"/>
          <w:szCs w:val="20"/>
        </w:rPr>
        <w:t>.</w:t>
      </w:r>
    </w:p>
    <w:p w14:paraId="4B9ED678" w14:textId="77777777" w:rsidR="00604BE1" w:rsidRPr="000E7665" w:rsidRDefault="00604BE1"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Kamat, P., et al.: Bearing fault detection using comparative analysis of random forest, ANN, and autoencoder methods. In: Sharma, H., Gupta, M.K., Tomar, G.S., </w:t>
      </w:r>
      <w:proofErr w:type="spellStart"/>
      <w:r w:rsidRPr="000E7665">
        <w:rPr>
          <w:rFonts w:ascii="Times New Roman" w:hAnsi="Times New Roman" w:cs="Times New Roman"/>
          <w:sz w:val="20"/>
          <w:szCs w:val="20"/>
        </w:rPr>
        <w:t>Lipo</w:t>
      </w:r>
      <w:proofErr w:type="spellEnd"/>
      <w:r w:rsidRPr="000E7665">
        <w:rPr>
          <w:rFonts w:ascii="Times New Roman" w:hAnsi="Times New Roman" w:cs="Times New Roman"/>
          <w:sz w:val="20"/>
          <w:szCs w:val="20"/>
        </w:rPr>
        <w:t>, W. (eds.) Communication and Intelligent Systems. LNNS, vol. 204, pp. 157–171. Springer, Singapore (2021).</w:t>
      </w:r>
    </w:p>
    <w:p w14:paraId="1F07DA14" w14:textId="27969635"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Cheung, S. S., &amp; McLellan, T. M. (1998). Heat acclimation, aerobic fitness, and hydration effects on tolerance during </w:t>
      </w:r>
      <w:proofErr w:type="spellStart"/>
      <w:r w:rsidRPr="000E7665">
        <w:rPr>
          <w:rFonts w:ascii="Times New Roman" w:hAnsi="Times New Roman" w:cs="Times New Roman"/>
          <w:sz w:val="20"/>
          <w:szCs w:val="20"/>
        </w:rPr>
        <w:t>uncompensable</w:t>
      </w:r>
      <w:proofErr w:type="spellEnd"/>
      <w:r w:rsidRPr="000E7665">
        <w:rPr>
          <w:rFonts w:ascii="Times New Roman" w:hAnsi="Times New Roman" w:cs="Times New Roman"/>
          <w:sz w:val="20"/>
          <w:szCs w:val="20"/>
        </w:rPr>
        <w:t xml:space="preserve"> heat stress. Journal of Applied Physiology, 84(5), 1731–1739.</w:t>
      </w:r>
    </w:p>
    <w:p w14:paraId="0B45E2B9" w14:textId="77777777"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Marieb, E. N., &amp; Hoehn, K. (2019). Human Anatomy &amp; Physiology (11th ed.). Pearson Education.</w:t>
      </w:r>
    </w:p>
    <w:p w14:paraId="13178231" w14:textId="77777777" w:rsidR="00766DD4" w:rsidRPr="000E7665" w:rsidRDefault="00766DD4" w:rsidP="000E7665">
      <w:pPr>
        <w:pStyle w:val="ListParagraph"/>
        <w:numPr>
          <w:ilvl w:val="0"/>
          <w:numId w:val="17"/>
        </w:numPr>
        <w:spacing w:after="0"/>
        <w:jc w:val="both"/>
        <w:rPr>
          <w:rFonts w:ascii="Times New Roman" w:hAnsi="Times New Roman" w:cs="Times New Roman"/>
          <w:sz w:val="20"/>
          <w:szCs w:val="20"/>
        </w:rPr>
      </w:pPr>
      <w:r w:rsidRPr="000E7665">
        <w:rPr>
          <w:rFonts w:ascii="Times New Roman" w:hAnsi="Times New Roman" w:cs="Times New Roman"/>
          <w:sz w:val="20"/>
          <w:szCs w:val="20"/>
        </w:rPr>
        <w:t xml:space="preserve">Konrad, P. (2005). The ABC of EMG: A Practical Introduction to Kinesiological Electromyography. </w:t>
      </w:r>
      <w:proofErr w:type="spellStart"/>
      <w:r w:rsidRPr="000E7665">
        <w:rPr>
          <w:rFonts w:ascii="Times New Roman" w:hAnsi="Times New Roman" w:cs="Times New Roman"/>
          <w:sz w:val="20"/>
          <w:szCs w:val="20"/>
        </w:rPr>
        <w:t>Noraxon</w:t>
      </w:r>
      <w:proofErr w:type="spellEnd"/>
      <w:r w:rsidRPr="000E7665">
        <w:rPr>
          <w:rFonts w:ascii="Times New Roman" w:hAnsi="Times New Roman" w:cs="Times New Roman"/>
          <w:sz w:val="20"/>
          <w:szCs w:val="20"/>
        </w:rPr>
        <w:t xml:space="preserve"> Inc.</w:t>
      </w:r>
    </w:p>
    <w:p w14:paraId="0D84AD29" w14:textId="3F6B3687" w:rsidR="005E48FF" w:rsidRPr="000E7665" w:rsidRDefault="00604BE1" w:rsidP="000E7665">
      <w:pPr>
        <w:pStyle w:val="ListParagraph"/>
        <w:numPr>
          <w:ilvl w:val="0"/>
          <w:numId w:val="17"/>
        </w:numPr>
        <w:spacing w:after="0"/>
        <w:jc w:val="both"/>
        <w:rPr>
          <w:sz w:val="20"/>
          <w:szCs w:val="20"/>
        </w:rPr>
      </w:pPr>
      <w:r w:rsidRPr="000E7665">
        <w:rPr>
          <w:rFonts w:ascii="Times New Roman" w:hAnsi="Times New Roman" w:cs="Times New Roman"/>
          <w:sz w:val="20"/>
          <w:szCs w:val="20"/>
        </w:rPr>
        <w:t xml:space="preserve">Mir, S.H., Ashruf, S., Bhat, Y., Beigh, N.: Review on smart electric metering system based on GSM/IOT. Asian J. </w:t>
      </w:r>
      <w:proofErr w:type="spellStart"/>
      <w:r w:rsidRPr="000E7665">
        <w:rPr>
          <w:rFonts w:ascii="Times New Roman" w:hAnsi="Times New Roman" w:cs="Times New Roman"/>
          <w:sz w:val="20"/>
          <w:szCs w:val="20"/>
        </w:rPr>
        <w:t>Electr</w:t>
      </w:r>
      <w:proofErr w:type="spellEnd"/>
      <w:r w:rsidRPr="000E7665">
        <w:rPr>
          <w:rFonts w:ascii="Times New Roman" w:hAnsi="Times New Roman" w:cs="Times New Roman"/>
          <w:sz w:val="20"/>
          <w:szCs w:val="20"/>
        </w:rPr>
        <w:t>. Sci. 8(1), 1–6 (2019).</w:t>
      </w:r>
    </w:p>
    <w:p w14:paraId="655E59E6" w14:textId="77777777" w:rsidR="009504CB" w:rsidRDefault="009504CB" w:rsidP="007B27B6">
      <w:pPr>
        <w:spacing w:after="0"/>
        <w:jc w:val="both"/>
        <w:rPr>
          <w:sz w:val="20"/>
          <w:szCs w:val="20"/>
        </w:rPr>
        <w:sectPr w:rsidR="009504CB" w:rsidSect="009504CB">
          <w:type w:val="continuous"/>
          <w:pgSz w:w="12240" w:h="15840"/>
          <w:pgMar w:top="1440" w:right="1440" w:bottom="1440" w:left="1440" w:header="720" w:footer="720" w:gutter="0"/>
          <w:cols w:num="2" w:space="720"/>
          <w:docGrid w:linePitch="360"/>
        </w:sectPr>
      </w:pPr>
    </w:p>
    <w:p w14:paraId="7F219F80" w14:textId="5D0D6165" w:rsidR="00BE16FC" w:rsidRDefault="00BE16FC" w:rsidP="007B27B6">
      <w:pPr>
        <w:spacing w:after="0"/>
        <w:jc w:val="both"/>
        <w:rPr>
          <w:sz w:val="20"/>
          <w:szCs w:val="20"/>
        </w:rPr>
      </w:pPr>
    </w:p>
    <w:p w14:paraId="7331EFAA" w14:textId="1EA5CF19" w:rsidR="00BE16FC" w:rsidRDefault="00BE16FC" w:rsidP="007B27B6">
      <w:pPr>
        <w:spacing w:after="0"/>
        <w:jc w:val="both"/>
        <w:rPr>
          <w:sz w:val="20"/>
          <w:szCs w:val="20"/>
        </w:rPr>
      </w:pPr>
    </w:p>
    <w:p w14:paraId="4C9304AA" w14:textId="35B5B56E" w:rsidR="00BE16FC" w:rsidRPr="009F2D9B" w:rsidRDefault="00BE16FC" w:rsidP="007B27B6">
      <w:pPr>
        <w:spacing w:after="0"/>
        <w:jc w:val="both"/>
        <w:rPr>
          <w:sz w:val="20"/>
          <w:szCs w:val="20"/>
        </w:rPr>
      </w:pPr>
    </w:p>
    <w:sectPr w:rsidR="00BE16FC" w:rsidRPr="009F2D9B" w:rsidSect="001D75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D8C"/>
    <w:multiLevelType w:val="hybridMultilevel"/>
    <w:tmpl w:val="6D1C60FA"/>
    <w:lvl w:ilvl="0" w:tplc="62AE4870">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3B40"/>
    <w:multiLevelType w:val="multilevel"/>
    <w:tmpl w:val="98F4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70168"/>
    <w:multiLevelType w:val="multilevel"/>
    <w:tmpl w:val="54EC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F3E2F"/>
    <w:multiLevelType w:val="multilevel"/>
    <w:tmpl w:val="BF1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3212D"/>
    <w:multiLevelType w:val="multilevel"/>
    <w:tmpl w:val="D130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B1D01"/>
    <w:multiLevelType w:val="hybridMultilevel"/>
    <w:tmpl w:val="1BD28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2E081E"/>
    <w:multiLevelType w:val="multilevel"/>
    <w:tmpl w:val="0DDC3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25286"/>
    <w:multiLevelType w:val="hybridMultilevel"/>
    <w:tmpl w:val="5900D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A41CB"/>
    <w:multiLevelType w:val="multilevel"/>
    <w:tmpl w:val="8EF02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4803D2"/>
    <w:multiLevelType w:val="multilevel"/>
    <w:tmpl w:val="9946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071B5"/>
    <w:multiLevelType w:val="multilevel"/>
    <w:tmpl w:val="FA763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5499F"/>
    <w:multiLevelType w:val="multilevel"/>
    <w:tmpl w:val="269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52067"/>
    <w:multiLevelType w:val="multilevel"/>
    <w:tmpl w:val="8012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5478E5"/>
    <w:multiLevelType w:val="multilevel"/>
    <w:tmpl w:val="834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25681C"/>
    <w:multiLevelType w:val="multilevel"/>
    <w:tmpl w:val="926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F208F2"/>
    <w:multiLevelType w:val="multilevel"/>
    <w:tmpl w:val="BFF6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D31097"/>
    <w:multiLevelType w:val="hybridMultilevel"/>
    <w:tmpl w:val="4836C58E"/>
    <w:lvl w:ilvl="0" w:tplc="0409000F">
      <w:start w:val="1"/>
      <w:numFmt w:val="decimal"/>
      <w:lvlText w:val="%1."/>
      <w:lvlJc w:val="left"/>
      <w:pPr>
        <w:ind w:left="720" w:hanging="360"/>
      </w:pPr>
    </w:lvl>
    <w:lvl w:ilvl="1" w:tplc="577A7B8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32980">
    <w:abstractNumId w:val="11"/>
  </w:num>
  <w:num w:numId="2" w16cid:durableId="1929077920">
    <w:abstractNumId w:val="10"/>
  </w:num>
  <w:num w:numId="3" w16cid:durableId="939147565">
    <w:abstractNumId w:val="9"/>
  </w:num>
  <w:num w:numId="4" w16cid:durableId="690692293">
    <w:abstractNumId w:val="6"/>
  </w:num>
  <w:num w:numId="5" w16cid:durableId="895045383">
    <w:abstractNumId w:val="13"/>
  </w:num>
  <w:num w:numId="6" w16cid:durableId="1047492147">
    <w:abstractNumId w:val="4"/>
  </w:num>
  <w:num w:numId="7" w16cid:durableId="2108303145">
    <w:abstractNumId w:val="15"/>
  </w:num>
  <w:num w:numId="8" w16cid:durableId="1966689416">
    <w:abstractNumId w:val="8"/>
  </w:num>
  <w:num w:numId="9" w16cid:durableId="773094710">
    <w:abstractNumId w:val="14"/>
  </w:num>
  <w:num w:numId="10" w16cid:durableId="1186476490">
    <w:abstractNumId w:val="2"/>
  </w:num>
  <w:num w:numId="11" w16cid:durableId="374548699">
    <w:abstractNumId w:val="3"/>
  </w:num>
  <w:num w:numId="12" w16cid:durableId="1360088898">
    <w:abstractNumId w:val="12"/>
  </w:num>
  <w:num w:numId="13" w16cid:durableId="1140225914">
    <w:abstractNumId w:val="1"/>
  </w:num>
  <w:num w:numId="14" w16cid:durableId="594092623">
    <w:abstractNumId w:val="7"/>
  </w:num>
  <w:num w:numId="15" w16cid:durableId="210264167">
    <w:abstractNumId w:val="0"/>
  </w:num>
  <w:num w:numId="16" w16cid:durableId="576598682">
    <w:abstractNumId w:val="5"/>
  </w:num>
  <w:num w:numId="17" w16cid:durableId="2034483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24"/>
    <w:rsid w:val="000110E2"/>
    <w:rsid w:val="000228D7"/>
    <w:rsid w:val="00041EBE"/>
    <w:rsid w:val="0006476A"/>
    <w:rsid w:val="000B0964"/>
    <w:rsid w:val="000B105A"/>
    <w:rsid w:val="000E7665"/>
    <w:rsid w:val="000E7757"/>
    <w:rsid w:val="001462B9"/>
    <w:rsid w:val="00152617"/>
    <w:rsid w:val="00166C7A"/>
    <w:rsid w:val="001A28B5"/>
    <w:rsid w:val="001D7512"/>
    <w:rsid w:val="0020396A"/>
    <w:rsid w:val="0023404E"/>
    <w:rsid w:val="0023462B"/>
    <w:rsid w:val="0028495B"/>
    <w:rsid w:val="00293F18"/>
    <w:rsid w:val="003B3595"/>
    <w:rsid w:val="003C0F23"/>
    <w:rsid w:val="003C510D"/>
    <w:rsid w:val="0041201E"/>
    <w:rsid w:val="004127AC"/>
    <w:rsid w:val="00485246"/>
    <w:rsid w:val="0049365B"/>
    <w:rsid w:val="004E0A4C"/>
    <w:rsid w:val="004F1320"/>
    <w:rsid w:val="005B63FC"/>
    <w:rsid w:val="005E48FF"/>
    <w:rsid w:val="00604BE1"/>
    <w:rsid w:val="006206BC"/>
    <w:rsid w:val="006229CC"/>
    <w:rsid w:val="00624AB5"/>
    <w:rsid w:val="00640030"/>
    <w:rsid w:val="0064319B"/>
    <w:rsid w:val="00664B5E"/>
    <w:rsid w:val="00673D53"/>
    <w:rsid w:val="006779EB"/>
    <w:rsid w:val="006B140E"/>
    <w:rsid w:val="006E01C0"/>
    <w:rsid w:val="00741EB8"/>
    <w:rsid w:val="00766DD4"/>
    <w:rsid w:val="007A3AFE"/>
    <w:rsid w:val="007B27B6"/>
    <w:rsid w:val="007E0792"/>
    <w:rsid w:val="00837AC2"/>
    <w:rsid w:val="0085117B"/>
    <w:rsid w:val="008D652F"/>
    <w:rsid w:val="008E6ACC"/>
    <w:rsid w:val="00912FE6"/>
    <w:rsid w:val="009172D4"/>
    <w:rsid w:val="009504CB"/>
    <w:rsid w:val="00970D59"/>
    <w:rsid w:val="00973E2F"/>
    <w:rsid w:val="009F2D9B"/>
    <w:rsid w:val="009F792F"/>
    <w:rsid w:val="00AA2724"/>
    <w:rsid w:val="00AD7903"/>
    <w:rsid w:val="00B00CD3"/>
    <w:rsid w:val="00B05A6D"/>
    <w:rsid w:val="00B44123"/>
    <w:rsid w:val="00B7618A"/>
    <w:rsid w:val="00BA7B8C"/>
    <w:rsid w:val="00BD21CD"/>
    <w:rsid w:val="00BE16FC"/>
    <w:rsid w:val="00C51CB0"/>
    <w:rsid w:val="00CA6235"/>
    <w:rsid w:val="00CC587D"/>
    <w:rsid w:val="00CD28A4"/>
    <w:rsid w:val="00CE2890"/>
    <w:rsid w:val="00D01D97"/>
    <w:rsid w:val="00D4623E"/>
    <w:rsid w:val="00D5317D"/>
    <w:rsid w:val="00DF113E"/>
    <w:rsid w:val="00E4256B"/>
    <w:rsid w:val="00E65350"/>
    <w:rsid w:val="00E76ED1"/>
    <w:rsid w:val="00E96BF8"/>
    <w:rsid w:val="00F22463"/>
    <w:rsid w:val="00F35632"/>
    <w:rsid w:val="00F76BC3"/>
    <w:rsid w:val="00F81571"/>
    <w:rsid w:val="00FC4C4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DD8E"/>
  <w15:chartTrackingRefBased/>
  <w15:docId w15:val="{8A1D29A5-E6D8-4227-9B42-9AE5DAA3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4B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A2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2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2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2724"/>
    <w:rPr>
      <w:rFonts w:ascii="Times New Roman" w:eastAsia="Times New Roman" w:hAnsi="Times New Roman" w:cs="Times New Roman"/>
      <w:b/>
      <w:bCs/>
      <w:sz w:val="27"/>
      <w:szCs w:val="27"/>
    </w:rPr>
  </w:style>
  <w:style w:type="paragraph" w:styleId="NormalWeb">
    <w:name w:val="Normal (Web)"/>
    <w:basedOn w:val="Normal"/>
    <w:uiPriority w:val="99"/>
    <w:unhideWhenUsed/>
    <w:rsid w:val="00AA27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2724"/>
    <w:rPr>
      <w:b/>
      <w:bCs/>
    </w:rPr>
  </w:style>
  <w:style w:type="character" w:styleId="Emphasis">
    <w:name w:val="Emphasis"/>
    <w:basedOn w:val="DefaultParagraphFont"/>
    <w:uiPriority w:val="20"/>
    <w:qFormat/>
    <w:rsid w:val="00AA2724"/>
    <w:rPr>
      <w:i/>
      <w:iCs/>
    </w:rPr>
  </w:style>
  <w:style w:type="character" w:customStyle="1" w:styleId="Heading1Char">
    <w:name w:val="Heading 1 Char"/>
    <w:basedOn w:val="DefaultParagraphFont"/>
    <w:link w:val="Heading1"/>
    <w:uiPriority w:val="9"/>
    <w:rsid w:val="00664B5E"/>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C4C4F"/>
    <w:rPr>
      <w:color w:val="0563C1" w:themeColor="hyperlink"/>
      <w:u w:val="single"/>
    </w:rPr>
  </w:style>
  <w:style w:type="paragraph" w:styleId="ListParagraph">
    <w:name w:val="List Paragraph"/>
    <w:basedOn w:val="Normal"/>
    <w:uiPriority w:val="34"/>
    <w:qFormat/>
    <w:rsid w:val="000E7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28328">
      <w:bodyDiv w:val="1"/>
      <w:marLeft w:val="0"/>
      <w:marRight w:val="0"/>
      <w:marTop w:val="0"/>
      <w:marBottom w:val="0"/>
      <w:divBdr>
        <w:top w:val="none" w:sz="0" w:space="0" w:color="auto"/>
        <w:left w:val="none" w:sz="0" w:space="0" w:color="auto"/>
        <w:bottom w:val="none" w:sz="0" w:space="0" w:color="auto"/>
        <w:right w:val="none" w:sz="0" w:space="0" w:color="auto"/>
      </w:divBdr>
    </w:div>
    <w:div w:id="1191913156">
      <w:bodyDiv w:val="1"/>
      <w:marLeft w:val="0"/>
      <w:marRight w:val="0"/>
      <w:marTop w:val="0"/>
      <w:marBottom w:val="0"/>
      <w:divBdr>
        <w:top w:val="none" w:sz="0" w:space="0" w:color="auto"/>
        <w:left w:val="none" w:sz="0" w:space="0" w:color="auto"/>
        <w:bottom w:val="none" w:sz="0" w:space="0" w:color="auto"/>
        <w:right w:val="none" w:sz="0" w:space="0" w:color="auto"/>
      </w:divBdr>
    </w:div>
    <w:div w:id="1228956930">
      <w:bodyDiv w:val="1"/>
      <w:marLeft w:val="0"/>
      <w:marRight w:val="0"/>
      <w:marTop w:val="0"/>
      <w:marBottom w:val="0"/>
      <w:divBdr>
        <w:top w:val="none" w:sz="0" w:space="0" w:color="auto"/>
        <w:left w:val="none" w:sz="0" w:space="0" w:color="auto"/>
        <w:bottom w:val="none" w:sz="0" w:space="0" w:color="auto"/>
        <w:right w:val="none" w:sz="0" w:space="0" w:color="auto"/>
      </w:divBdr>
    </w:div>
    <w:div w:id="1315646289">
      <w:bodyDiv w:val="1"/>
      <w:marLeft w:val="0"/>
      <w:marRight w:val="0"/>
      <w:marTop w:val="0"/>
      <w:marBottom w:val="0"/>
      <w:divBdr>
        <w:top w:val="none" w:sz="0" w:space="0" w:color="auto"/>
        <w:left w:val="none" w:sz="0" w:space="0" w:color="auto"/>
        <w:bottom w:val="none" w:sz="0" w:space="0" w:color="auto"/>
        <w:right w:val="none" w:sz="0" w:space="0" w:color="auto"/>
      </w:divBdr>
    </w:div>
    <w:div w:id="1523547997">
      <w:bodyDiv w:val="1"/>
      <w:marLeft w:val="0"/>
      <w:marRight w:val="0"/>
      <w:marTop w:val="0"/>
      <w:marBottom w:val="0"/>
      <w:divBdr>
        <w:top w:val="none" w:sz="0" w:space="0" w:color="auto"/>
        <w:left w:val="none" w:sz="0" w:space="0" w:color="auto"/>
        <w:bottom w:val="none" w:sz="0" w:space="0" w:color="auto"/>
        <w:right w:val="none" w:sz="0" w:space="0" w:color="auto"/>
      </w:divBdr>
      <w:divsChild>
        <w:div w:id="1035010186">
          <w:marLeft w:val="0"/>
          <w:marRight w:val="0"/>
          <w:marTop w:val="0"/>
          <w:marBottom w:val="0"/>
          <w:divBdr>
            <w:top w:val="none" w:sz="0" w:space="0" w:color="auto"/>
            <w:left w:val="none" w:sz="0" w:space="0" w:color="auto"/>
            <w:bottom w:val="none" w:sz="0" w:space="0" w:color="auto"/>
            <w:right w:val="none" w:sz="0" w:space="0" w:color="auto"/>
          </w:divBdr>
          <w:divsChild>
            <w:div w:id="210260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4526">
      <w:bodyDiv w:val="1"/>
      <w:marLeft w:val="0"/>
      <w:marRight w:val="0"/>
      <w:marTop w:val="0"/>
      <w:marBottom w:val="0"/>
      <w:divBdr>
        <w:top w:val="none" w:sz="0" w:space="0" w:color="auto"/>
        <w:left w:val="none" w:sz="0" w:space="0" w:color="auto"/>
        <w:bottom w:val="none" w:sz="0" w:space="0" w:color="auto"/>
        <w:right w:val="none" w:sz="0" w:space="0" w:color="auto"/>
      </w:divBdr>
    </w:div>
    <w:div w:id="1728452462">
      <w:bodyDiv w:val="1"/>
      <w:marLeft w:val="0"/>
      <w:marRight w:val="0"/>
      <w:marTop w:val="0"/>
      <w:marBottom w:val="0"/>
      <w:divBdr>
        <w:top w:val="none" w:sz="0" w:space="0" w:color="auto"/>
        <w:left w:val="none" w:sz="0" w:space="0" w:color="auto"/>
        <w:bottom w:val="none" w:sz="0" w:space="0" w:color="auto"/>
        <w:right w:val="none" w:sz="0" w:space="0" w:color="auto"/>
      </w:divBdr>
    </w:div>
    <w:div w:id="1913808663">
      <w:bodyDiv w:val="1"/>
      <w:marLeft w:val="0"/>
      <w:marRight w:val="0"/>
      <w:marTop w:val="0"/>
      <w:marBottom w:val="0"/>
      <w:divBdr>
        <w:top w:val="none" w:sz="0" w:space="0" w:color="auto"/>
        <w:left w:val="none" w:sz="0" w:space="0" w:color="auto"/>
        <w:bottom w:val="none" w:sz="0" w:space="0" w:color="auto"/>
        <w:right w:val="none" w:sz="0" w:space="0" w:color="auto"/>
      </w:divBdr>
    </w:div>
    <w:div w:id="212568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495</TotalTime>
  <Pages>10</Pages>
  <Words>5135</Words>
  <Characters>29274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80</cp:revision>
  <dcterms:created xsi:type="dcterms:W3CDTF">2026-01-27T02:07:00Z</dcterms:created>
  <dcterms:modified xsi:type="dcterms:W3CDTF">2026-05-28T10:28:00Z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ec701f57-db5e-45eb-a75c-708532697b6f</vt:lpwstr>
  </property>
</Properties>
</file>