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D369B" w14:textId="6B90B314" w:rsidR="002F17CE" w:rsidRPr="002F17CE" w:rsidRDefault="002F17CE" w:rsidP="002F17CE">
      <w:pPr>
        <w:rPr>
          <w:rFonts w:ascii="Times New Roman" w:hAnsi="Times New Roman" w:cs="Times New Roman"/>
          <w:b/>
          <w:bCs/>
          <w:sz w:val="28"/>
          <w:szCs w:val="28"/>
        </w:rPr>
      </w:pPr>
      <w:r w:rsidRPr="002F17CE">
        <w:rPr>
          <w:rFonts w:ascii="Times New Roman" w:hAnsi="Times New Roman" w:cs="Times New Roman"/>
          <w:b/>
          <w:bCs/>
          <w:sz w:val="28"/>
          <w:szCs w:val="28"/>
        </w:rPr>
        <w:t>Energy Poverty and Gendered Inequities in African Communities: A Review of Health Impacts and Policy Gaps</w:t>
      </w:r>
    </w:p>
    <w:p w14:paraId="0FB49FF1" w14:textId="77777777" w:rsidR="002F17CE" w:rsidRPr="002F17CE" w:rsidRDefault="002F17CE" w:rsidP="002F17CE">
      <w:pPr>
        <w:rPr>
          <w:rFonts w:ascii="Times New Roman" w:hAnsi="Times New Roman" w:cs="Times New Roman"/>
          <w:sz w:val="24"/>
          <w:szCs w:val="24"/>
        </w:rPr>
      </w:pPr>
    </w:p>
    <w:p w14:paraId="1F68ACE8" w14:textId="77777777" w:rsidR="002F17CE" w:rsidRPr="002F17CE" w:rsidRDefault="002F17CE" w:rsidP="002F17CE">
      <w:pPr>
        <w:rPr>
          <w:rFonts w:ascii="Times New Roman" w:hAnsi="Times New Roman" w:cs="Times New Roman"/>
          <w:b/>
          <w:bCs/>
          <w:sz w:val="24"/>
          <w:szCs w:val="24"/>
        </w:rPr>
      </w:pPr>
      <w:r w:rsidRPr="002F17CE">
        <w:rPr>
          <w:rFonts w:ascii="Times New Roman" w:hAnsi="Times New Roman" w:cs="Times New Roman"/>
          <w:b/>
          <w:bCs/>
          <w:sz w:val="24"/>
          <w:szCs w:val="24"/>
        </w:rPr>
        <w:t>ABSTRACT</w:t>
      </w:r>
    </w:p>
    <w:p w14:paraId="0DBDF748" w14:textId="05C210C5"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 xml:space="preserve"> Energy poverty remains one of the most widespread structural barriers to human development across sub-Saharan and North Africa. Its impact is not experienced equally across society, but rather disproportionately borne by women and girls, influenced by deeply rooted gender inequalities and societal division of energy-related domestic tasks into women's domain in most African societies. This review focuses on the African continent and draws on peer-reviewed studies, multilateral agency reports, and policy documents, primarily from 2015 to 2026.</w:t>
      </w:r>
    </w:p>
    <w:p w14:paraId="439A9B0E" w14:textId="046E349C"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aim is to critically review, from a gender perspective</w:t>
      </w:r>
      <w:r w:rsidR="00182317">
        <w:rPr>
          <w:rFonts w:ascii="Times New Roman" w:hAnsi="Times New Roman" w:cs="Times New Roman"/>
          <w:sz w:val="24"/>
          <w:szCs w:val="24"/>
        </w:rPr>
        <w:t xml:space="preserve">, </w:t>
      </w:r>
      <w:r w:rsidRPr="002F17CE">
        <w:rPr>
          <w:rFonts w:ascii="Times New Roman" w:hAnsi="Times New Roman" w:cs="Times New Roman"/>
          <w:sz w:val="24"/>
          <w:szCs w:val="24"/>
        </w:rPr>
        <w:t>the nature of energy poverty in Africa. Specific aims are to: (1) describe the burden and distribution of energy poverty by region in Africa; (2) capture health outcomes of gendered exposure to energy; (3) explore structural and governance drivers of the gender</w:t>
      </w:r>
      <w:r w:rsidR="00182317">
        <w:rPr>
          <w:rFonts w:ascii="Times New Roman" w:hAnsi="Times New Roman" w:cs="Times New Roman"/>
          <w:sz w:val="24"/>
          <w:szCs w:val="24"/>
        </w:rPr>
        <w:t>-</w:t>
      </w:r>
      <w:r w:rsidRPr="002F17CE">
        <w:rPr>
          <w:rFonts w:ascii="Times New Roman" w:hAnsi="Times New Roman" w:cs="Times New Roman"/>
          <w:sz w:val="24"/>
          <w:szCs w:val="24"/>
        </w:rPr>
        <w:t>energy nexus; (4) critically question policy actions and highlight persistent gaps in design and (5) identify gaps in evidence base.</w:t>
      </w:r>
    </w:p>
    <w:p w14:paraId="0642E86D" w14:textId="498FB53A"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 xml:space="preserve"> A narrative review design was used. The literature was collected from four databases (PubMed, Scopus, Web of Science, and Google Scholar), as well as grey literature from the WHO, IEA, World Bank, and the Clean Cooking Alliance. The main publication period was 2015</w:t>
      </w:r>
      <w:r w:rsidR="00182317">
        <w:rPr>
          <w:rFonts w:ascii="Times New Roman" w:hAnsi="Times New Roman" w:cs="Times New Roman"/>
          <w:sz w:val="24"/>
          <w:szCs w:val="24"/>
        </w:rPr>
        <w:t>-</w:t>
      </w:r>
      <w:r w:rsidRPr="002F17CE">
        <w:rPr>
          <w:rFonts w:ascii="Times New Roman" w:hAnsi="Times New Roman" w:cs="Times New Roman"/>
          <w:sz w:val="24"/>
          <w:szCs w:val="24"/>
        </w:rPr>
        <w:t xml:space="preserve">2026, and studies conducted prior to that were retained only if their conclusions had not been replicated. Sources </w:t>
      </w:r>
      <w:r w:rsidR="00182317">
        <w:rPr>
          <w:rFonts w:ascii="Times New Roman" w:hAnsi="Times New Roman" w:cs="Times New Roman"/>
          <w:sz w:val="24"/>
          <w:szCs w:val="24"/>
        </w:rPr>
        <w:t xml:space="preserve">that </w:t>
      </w:r>
      <w:r w:rsidRPr="002F17CE">
        <w:rPr>
          <w:rFonts w:ascii="Times New Roman" w:hAnsi="Times New Roman" w:cs="Times New Roman"/>
          <w:sz w:val="24"/>
          <w:szCs w:val="24"/>
        </w:rPr>
        <w:t xml:space="preserve">specifically mention Africa </w:t>
      </w:r>
      <w:r w:rsidR="00182317">
        <w:rPr>
          <w:rFonts w:ascii="Times New Roman" w:hAnsi="Times New Roman" w:cs="Times New Roman"/>
          <w:sz w:val="24"/>
          <w:szCs w:val="24"/>
        </w:rPr>
        <w:t>were</w:t>
      </w:r>
      <w:r w:rsidRPr="002F17CE">
        <w:rPr>
          <w:rFonts w:ascii="Times New Roman" w:hAnsi="Times New Roman" w:cs="Times New Roman"/>
          <w:sz w:val="24"/>
          <w:szCs w:val="24"/>
        </w:rPr>
        <w:t xml:space="preserve"> included. Sources that were not peer-reviewed, opinion pieces without empirical support, and studies relevant only to contexts outside Africa were excluded.</w:t>
      </w:r>
    </w:p>
    <w:p w14:paraId="2E06BD74" w14:textId="73561BE9"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 xml:space="preserve"> Women living in energy-poor households are exposed to long-term indoor air pollution from burning biomass fuels such as firewood, charcoal, or crop residues. This exposure increases their risk of respiratory illness, cardiovascular disease, and other long-term health problems. Gender-sensitivity in policy responses has been lacking, focusing on how to disseminate technology rather than the social and economic factors that affect women's access to and ability to sustain clean energy transitions.</w:t>
      </w:r>
    </w:p>
    <w:p w14:paraId="0DACF1EF" w14:textId="5777E302" w:rsidR="002F17CE" w:rsidRPr="002F17CE" w:rsidRDefault="00182317" w:rsidP="002F17CE">
      <w:pPr>
        <w:rPr>
          <w:rFonts w:ascii="Times New Roman" w:hAnsi="Times New Roman" w:cs="Times New Roman"/>
          <w:sz w:val="24"/>
          <w:szCs w:val="24"/>
        </w:rPr>
      </w:pPr>
      <w:r>
        <w:rPr>
          <w:rFonts w:ascii="Times New Roman" w:hAnsi="Times New Roman" w:cs="Times New Roman"/>
          <w:sz w:val="24"/>
          <w:szCs w:val="24"/>
        </w:rPr>
        <w:t>In conclusion,</w:t>
      </w:r>
      <w:r w:rsidR="002F17CE" w:rsidRPr="002F17CE">
        <w:rPr>
          <w:rFonts w:ascii="Times New Roman" w:hAnsi="Times New Roman" w:cs="Times New Roman"/>
          <w:sz w:val="24"/>
          <w:szCs w:val="24"/>
        </w:rPr>
        <w:t xml:space="preserve"> </w:t>
      </w:r>
      <w:r>
        <w:rPr>
          <w:rFonts w:ascii="Times New Roman" w:hAnsi="Times New Roman" w:cs="Times New Roman"/>
          <w:sz w:val="24"/>
          <w:szCs w:val="24"/>
        </w:rPr>
        <w:t>e</w:t>
      </w:r>
      <w:r w:rsidR="002F17CE" w:rsidRPr="002F17CE">
        <w:rPr>
          <w:rFonts w:ascii="Times New Roman" w:hAnsi="Times New Roman" w:cs="Times New Roman"/>
          <w:sz w:val="24"/>
          <w:szCs w:val="24"/>
        </w:rPr>
        <w:t xml:space="preserve">nergy poverty as a gender justice problem needs policy frameworks that recognize women as producers, not consumers. Integrating gender-responsive design into electrification and clean cooking programmes, and closing persistent gaps in sex-disaggregated data, are prerequisites for meaningful progress. </w:t>
      </w:r>
    </w:p>
    <w:p w14:paraId="0B5C024E"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Keywords: energy poverty; gender inequality; sub-Saharan Africa; indoor air pollution; clean cooking; women's health; biomass fuel; energy justice; narrative review.</w:t>
      </w:r>
    </w:p>
    <w:p w14:paraId="63D1236E" w14:textId="77777777" w:rsidR="002F17CE" w:rsidRPr="002F17CE" w:rsidRDefault="002F17CE" w:rsidP="002F17CE">
      <w:pPr>
        <w:rPr>
          <w:rFonts w:ascii="Times New Roman" w:hAnsi="Times New Roman" w:cs="Times New Roman"/>
          <w:sz w:val="24"/>
          <w:szCs w:val="24"/>
        </w:rPr>
      </w:pPr>
    </w:p>
    <w:p w14:paraId="69491C88" w14:textId="77777777" w:rsidR="002F17CE" w:rsidRPr="002F17CE" w:rsidRDefault="002F17CE" w:rsidP="002F17CE">
      <w:pPr>
        <w:rPr>
          <w:rFonts w:ascii="Times New Roman" w:hAnsi="Times New Roman" w:cs="Times New Roman"/>
          <w:sz w:val="24"/>
          <w:szCs w:val="24"/>
        </w:rPr>
      </w:pPr>
    </w:p>
    <w:p w14:paraId="34D88AFD" w14:textId="77777777" w:rsidR="002F17CE" w:rsidRPr="002F17CE" w:rsidRDefault="002F17CE" w:rsidP="002F17CE">
      <w:pPr>
        <w:rPr>
          <w:rFonts w:ascii="Times New Roman" w:hAnsi="Times New Roman" w:cs="Times New Roman"/>
          <w:sz w:val="24"/>
          <w:szCs w:val="24"/>
        </w:rPr>
      </w:pPr>
    </w:p>
    <w:p w14:paraId="7258CFDE" w14:textId="77777777" w:rsidR="002F17CE" w:rsidRPr="002F17CE" w:rsidRDefault="002F17CE" w:rsidP="002F17CE">
      <w:pPr>
        <w:rPr>
          <w:rFonts w:ascii="Times New Roman" w:hAnsi="Times New Roman" w:cs="Times New Roman"/>
          <w:sz w:val="24"/>
          <w:szCs w:val="24"/>
        </w:rPr>
      </w:pPr>
    </w:p>
    <w:p w14:paraId="542B6E2F" w14:textId="77777777" w:rsidR="002F17CE" w:rsidRPr="002F17CE" w:rsidRDefault="002F17CE" w:rsidP="002F17CE">
      <w:pPr>
        <w:rPr>
          <w:rFonts w:ascii="Times New Roman" w:hAnsi="Times New Roman" w:cs="Times New Roman"/>
          <w:b/>
          <w:bCs/>
          <w:sz w:val="28"/>
          <w:szCs w:val="28"/>
        </w:rPr>
      </w:pPr>
      <w:r w:rsidRPr="002F17CE">
        <w:rPr>
          <w:rFonts w:ascii="Times New Roman" w:hAnsi="Times New Roman" w:cs="Times New Roman"/>
          <w:b/>
          <w:bCs/>
          <w:sz w:val="28"/>
          <w:szCs w:val="28"/>
        </w:rPr>
        <w:t>1. INTRODUCTION</w:t>
      </w:r>
    </w:p>
    <w:p w14:paraId="212EE8B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Defined as a lack of access to modern and reliable energy services, energy poverty is one of the most prominent hindrances to human development in Africa. This is not a result of technological failure but the product of governance failures. These include inadequate funding for rural infrastructure, regulatory policies that favour urban consumers, energy pricing policies based on formal markets, and development programmes that measure intra-household inequality at the household level while effectively omitting it.</w:t>
      </w:r>
    </w:p>
    <w:p w14:paraId="1FA1FCE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Gender affects the nature of exposure to energy poverty and its impact. In most African communities, domestic energy activities, such as gathering firewood, handling cooking fires, and warming the house, are assigned to women. Women fill the gap when energy infrastructure is lacking or unreliable by doing more unpaid work. They have to walk farther to gather biomass fuel. They cook for hours in poorly ventilated areas where smoke levels are many times the safe level. They waste productive time, which men of the same households rarely waste in the same amounts [2]. This discrepancy is not unique to the culture. It is the inevitable, well-documented consequence of structural inequalities that intersect, in which energy deprivation is a compounding factor of disadvantage.</w:t>
      </w:r>
    </w:p>
    <w:p w14:paraId="246F4C7C"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impact on health is measurable and significant. Household use of solid fuels is one of the most important environmental risk factors for disease worldwide. It was estimated that about 3.2 million people die from this exposure each year globally by the World Health Organisation (WHO) [3]. Sub-Saharan Africa accounts for a significant share of the global population that uses solid fuels, and age-standardized mortality rates from household air pollution are high on the continent [3]. In addition to respiratory disease, women have to face great time limitations due to biomass collection and open fire cooking. These limit access to formal education and work and feed into cycles of economic dependency [4]. The psychological aspect of chronic energy insecurity (as it relates to stress, exhaustion and loss of agency) is under-researched and is being studied empirically for the first time [5].</w:t>
      </w:r>
    </w:p>
    <w:p w14:paraId="5CD5F77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Policy interventions in Africa have lagged in delivering a truly gender-responsive approach, despite significant evidence and growing recognition of the need. The household has always been treated as an undifferentiated unit in electrification programmes and clean cooking initiatives. They have not yet taken into account who decides on household energy use, who pays the costs of the transition, and who benefits the most from it [6]. Gender language in policy documents has often been rhetorical rather than structural. Most of the time, this kind of empowering language will only occur in general statements of empowerment, rather than being translated into programme design, budget allocation, or accountability.</w:t>
      </w:r>
    </w:p>
    <w:p w14:paraId="1783F9A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This review aims to produce a policy-critical synthesis of the available evidence on the intersection of energy poverty and gender in African communities. It takes into account peer-reviewed literature, reports from multilateral agencies, and political economy studies, and covers health, socio-economic, governance, and structural aspects of the gender–energy nexus. The overall goal is to review and synthesize evidence to help inform more equitable energy policy in Africa. The specific objectives are: (1) to describe the current level and geographic distribution of energy poverty across the African continent; (2) to document the health consequences of gendered energy exposure such as respiratory, cardiovascular, maternal and psychological outcomes; (3) to analyze structural and governance determinants that shape and entrench gendered energy disadvantage; (4) to critically assess existing policy responses and identify persistent design and implementation failures; and (5) to identify thematic priorities for future research to address remaining evidence gaps.</w:t>
      </w:r>
    </w:p>
    <w:p w14:paraId="3D0C8E6C" w14:textId="77777777" w:rsidR="002F17CE" w:rsidRPr="002F17CE" w:rsidRDefault="002F17CE" w:rsidP="002F17CE">
      <w:pPr>
        <w:rPr>
          <w:rFonts w:ascii="Times New Roman" w:hAnsi="Times New Roman" w:cs="Times New Roman"/>
          <w:b/>
          <w:bCs/>
          <w:sz w:val="28"/>
          <w:szCs w:val="28"/>
        </w:rPr>
      </w:pPr>
      <w:r w:rsidRPr="002F17CE">
        <w:rPr>
          <w:rFonts w:ascii="Times New Roman" w:hAnsi="Times New Roman" w:cs="Times New Roman"/>
          <w:b/>
          <w:bCs/>
          <w:sz w:val="28"/>
          <w:szCs w:val="28"/>
        </w:rPr>
        <w:t>2. CONCEPTUAL FRAMEWORK</w:t>
      </w:r>
    </w:p>
    <w:p w14:paraId="25C0A585" w14:textId="77777777" w:rsidR="002F17CE" w:rsidRPr="002F17CE" w:rsidRDefault="002F17CE" w:rsidP="002F17CE">
      <w:pPr>
        <w:rPr>
          <w:rFonts w:ascii="Times New Roman" w:hAnsi="Times New Roman" w:cs="Times New Roman"/>
          <w:b/>
          <w:bCs/>
          <w:sz w:val="24"/>
          <w:szCs w:val="24"/>
        </w:rPr>
      </w:pPr>
      <w:r w:rsidRPr="002F17CE">
        <w:rPr>
          <w:rFonts w:ascii="Times New Roman" w:hAnsi="Times New Roman" w:cs="Times New Roman"/>
          <w:b/>
          <w:bCs/>
          <w:sz w:val="24"/>
          <w:szCs w:val="24"/>
        </w:rPr>
        <w:t>2.1 Defining and Measuring Energy Poverty</w:t>
      </w:r>
    </w:p>
    <w:p w14:paraId="2B832069" w14:textId="694C2D14"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There is no universal consensus on the definition of energy poverty, and this definitional ambiguity has real-world implications for the study</w:t>
      </w:r>
      <w:r>
        <w:rPr>
          <w:rFonts w:ascii="Times New Roman" w:hAnsi="Times New Roman" w:cs="Times New Roman"/>
          <w:sz w:val="24"/>
          <w:szCs w:val="24"/>
        </w:rPr>
        <w:t xml:space="preserve"> </w:t>
      </w:r>
      <w:r w:rsidRPr="002F17CE">
        <w:rPr>
          <w:rFonts w:ascii="Times New Roman" w:hAnsi="Times New Roman" w:cs="Times New Roman"/>
          <w:sz w:val="24"/>
          <w:szCs w:val="24"/>
        </w:rPr>
        <w:t>and</w:t>
      </w:r>
      <w:r>
        <w:rPr>
          <w:rFonts w:ascii="Times New Roman" w:hAnsi="Times New Roman" w:cs="Times New Roman"/>
          <w:sz w:val="24"/>
          <w:szCs w:val="24"/>
        </w:rPr>
        <w:t xml:space="preserve"> the</w:t>
      </w:r>
      <w:r w:rsidRPr="002F17CE">
        <w:rPr>
          <w:rFonts w:ascii="Times New Roman" w:hAnsi="Times New Roman" w:cs="Times New Roman"/>
          <w:sz w:val="24"/>
          <w:szCs w:val="24"/>
        </w:rPr>
        <w:t xml:space="preserve"> response to energy poverty. In the current frameworks, access is separated from affordability. Access-based definitions are based on a household's ability to be physically linked to electricity networks or to access clean fuels. Affordability-based approaches focus on testing households' ability to maintain that access without being financially hard hit [7]. There has been a growing recognition of a third dimension: reliability, which is a problem in sub-Saharan Africa, where even houses with nominal grid connections often suffer from long power outages and thus lack effective access to electricity [8].</w:t>
      </w:r>
    </w:p>
    <w:p w14:paraId="607F2BF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World Bank's Energy Sector Management Assistance Program (ESMAP) has developed a Multi-Tier Framework that translates the concept of energy access into five tiers, ranging from no energy access to fully developed modern energy services [9]. This is a way of not viewing electrification as a binary process and recognizes that the quality of access is as significant as access itself. The single low-watt solar lantern household is not in the same position as a house with a strong electricity connection that could power productive equipment. Putting them together, as traditional measures tend to do, hides the level of deprivation faced by those former and makes national progress measures look good.</w:t>
      </w:r>
    </w:p>
    <w:p w14:paraId="09C5A78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key indicator for cooking energy poverty is the percentage of households using solid biomass for cooking (firewood, charcoal, crop residues, and animal dung) relative to those using clean fuels (liquefied petroleum gas, LPG, natural gas, ethanol, and electricity) [10]. The guidance on household fuel combustion sets emission rate targets that define clean cooking at the point of use, based on a growing evidence base showing that even moderate exposure to cooking smoke is linked to adverse health outcomes [11]. Importantly, they are not systematically included in African national energy policies, and there is a regulatory gap between international health standards and programme design in Africa.</w:t>
      </w:r>
    </w:p>
    <w:p w14:paraId="7EB98E61" w14:textId="77777777" w:rsidR="002F17CE" w:rsidRPr="002F17CE" w:rsidRDefault="002F17CE" w:rsidP="002F17CE">
      <w:pPr>
        <w:rPr>
          <w:rFonts w:ascii="Times New Roman" w:hAnsi="Times New Roman" w:cs="Times New Roman"/>
          <w:sz w:val="24"/>
          <w:szCs w:val="24"/>
        </w:rPr>
      </w:pPr>
    </w:p>
    <w:p w14:paraId="2F982E5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2.2 The Gender–Energy Nexus: A Structural Analysis</w:t>
      </w:r>
    </w:p>
    <w:p w14:paraId="7C370A2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Gender and energy are mutually connected and interdependent, so it is necessary to understand them in a structural perspective. The distribution of energy poverty along gender lines depends on gender inequality and on the nature of energy poverty exposure. Energy poverty, in turn, reinforces gender inequality, limiting the agency, health, education, and time of women compared to men in similar households.</w:t>
      </w:r>
    </w:p>
    <w:p w14:paraId="668CB99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Feminist energy scholarship has described this relationship as energy justice, which assesses energy systems based on their technical and environmental performance, as well as their impact on equity [13]. Energy justice, a theoretical inspiration from environmental justice studies and feminist political economy, offers a normative framework to bring to light the distributional, procedural and recognition aspects of energy transitions. This framework is used in this review because it accounts for the multi-directional relationship between gender and energy [13,14]. When applied to gender, energy justice questions the extent to which women are involved in energy decision-making, the nature of energy benefit distribution within households, and the recognition and accounting of unpaid energy-provisioning labour in policy design [14]. They are prerequisites to ensure that energy transitions deliver real development gains, not just shift the aggregation of access figures.</w:t>
      </w:r>
    </w:p>
    <w:p w14:paraId="3FB84D1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axis of disadvantage further interacts. There are constraints that rural women do not have, while urban women have the same income. Young girls are exposed to different things than adult women. Clean energy access can be especially difficult for women with disabilities, women who are heads of households and women from marginalized ethnic or socio-economic groups, as these groups can experience additional barriers to clean energy access beyond what is captured by aggregated data [15,16]. Such intersections must be taken seriously, and the tendency to reduce "women" to a homogeneous category by the methodology must be addressed. These intersections should be treated seriously, and the tendency of the methodology to treat "women" as a homogeneous category should be confronted in any analytical framework used to address the problem.</w:t>
      </w:r>
    </w:p>
    <w:p w14:paraId="1C723B88" w14:textId="77777777" w:rsidR="002F17CE" w:rsidRPr="002F17CE" w:rsidRDefault="002F17CE" w:rsidP="002F17CE">
      <w:pPr>
        <w:rPr>
          <w:rFonts w:ascii="Times New Roman" w:hAnsi="Times New Roman" w:cs="Times New Roman"/>
          <w:sz w:val="24"/>
          <w:szCs w:val="24"/>
        </w:rPr>
      </w:pPr>
    </w:p>
    <w:p w14:paraId="65629184" w14:textId="2F2F33AA" w:rsidR="002F17CE" w:rsidRPr="002F17CE" w:rsidRDefault="007B1A90" w:rsidP="002F17C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DDD979" wp14:editId="76479EA9">
            <wp:extent cx="6848475" cy="455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6848475" cy="4552950"/>
                    </a:xfrm>
                    <a:prstGeom prst="rect">
                      <a:avLst/>
                    </a:prstGeom>
                  </pic:spPr>
                </pic:pic>
              </a:graphicData>
            </a:graphic>
          </wp:inline>
        </w:drawing>
      </w:r>
    </w:p>
    <w:p w14:paraId="195A9467" w14:textId="77777777" w:rsidR="002F17CE" w:rsidRDefault="002F17CE" w:rsidP="002F17CE">
      <w:pPr>
        <w:rPr>
          <w:rFonts w:ascii="Times New Roman" w:hAnsi="Times New Roman" w:cs="Times New Roman"/>
          <w:sz w:val="24"/>
          <w:szCs w:val="24"/>
        </w:rPr>
      </w:pPr>
    </w:p>
    <w:p w14:paraId="56346116" w14:textId="77777777" w:rsidR="002F17CE" w:rsidRDefault="002F17CE" w:rsidP="002F17CE">
      <w:pPr>
        <w:rPr>
          <w:rFonts w:ascii="Times New Roman" w:hAnsi="Times New Roman" w:cs="Times New Roman"/>
          <w:sz w:val="24"/>
          <w:szCs w:val="24"/>
        </w:rPr>
      </w:pPr>
    </w:p>
    <w:p w14:paraId="0E98DED0" w14:textId="77777777" w:rsidR="002F17CE" w:rsidRDefault="002F17CE" w:rsidP="002F17CE">
      <w:pPr>
        <w:rPr>
          <w:rFonts w:ascii="Times New Roman" w:hAnsi="Times New Roman" w:cs="Times New Roman"/>
          <w:sz w:val="24"/>
          <w:szCs w:val="24"/>
        </w:rPr>
      </w:pPr>
    </w:p>
    <w:p w14:paraId="7382C597" w14:textId="77777777" w:rsidR="002F17CE" w:rsidRDefault="002F17CE" w:rsidP="002F17CE">
      <w:pPr>
        <w:rPr>
          <w:rFonts w:ascii="Times New Roman" w:hAnsi="Times New Roman" w:cs="Times New Roman"/>
          <w:sz w:val="24"/>
          <w:szCs w:val="24"/>
        </w:rPr>
      </w:pPr>
    </w:p>
    <w:p w14:paraId="79D331E2" w14:textId="77777777" w:rsidR="002F17CE" w:rsidRDefault="002F17CE" w:rsidP="002F17CE">
      <w:pPr>
        <w:rPr>
          <w:rFonts w:ascii="Times New Roman" w:hAnsi="Times New Roman" w:cs="Times New Roman"/>
          <w:sz w:val="24"/>
          <w:szCs w:val="24"/>
        </w:rPr>
      </w:pPr>
    </w:p>
    <w:p w14:paraId="0DD5C655" w14:textId="77777777" w:rsidR="002F17CE" w:rsidRDefault="002F17CE" w:rsidP="002F17CE">
      <w:pPr>
        <w:rPr>
          <w:rFonts w:ascii="Times New Roman" w:hAnsi="Times New Roman" w:cs="Times New Roman"/>
          <w:sz w:val="24"/>
          <w:szCs w:val="24"/>
        </w:rPr>
      </w:pPr>
    </w:p>
    <w:p w14:paraId="249CB39F" w14:textId="77777777" w:rsidR="002F17CE" w:rsidRDefault="002F17CE" w:rsidP="002F17CE">
      <w:pPr>
        <w:rPr>
          <w:rFonts w:ascii="Times New Roman" w:hAnsi="Times New Roman" w:cs="Times New Roman"/>
          <w:sz w:val="24"/>
          <w:szCs w:val="24"/>
        </w:rPr>
      </w:pPr>
    </w:p>
    <w:p w14:paraId="600A6687" w14:textId="77777777" w:rsidR="002F17CE" w:rsidRDefault="002F17CE" w:rsidP="002F17CE">
      <w:pPr>
        <w:rPr>
          <w:rFonts w:ascii="Times New Roman" w:hAnsi="Times New Roman" w:cs="Times New Roman"/>
          <w:sz w:val="24"/>
          <w:szCs w:val="24"/>
        </w:rPr>
      </w:pPr>
    </w:p>
    <w:p w14:paraId="11FE831C" w14:textId="77777777" w:rsidR="002F17CE" w:rsidRDefault="002F17CE" w:rsidP="002F17CE">
      <w:pPr>
        <w:rPr>
          <w:rFonts w:ascii="Times New Roman" w:hAnsi="Times New Roman" w:cs="Times New Roman"/>
          <w:sz w:val="24"/>
          <w:szCs w:val="24"/>
        </w:rPr>
      </w:pPr>
    </w:p>
    <w:p w14:paraId="11756F3D" w14:textId="0A0C394A" w:rsidR="002F17CE" w:rsidRPr="007B1A90" w:rsidRDefault="002F17CE" w:rsidP="002F17CE">
      <w:pPr>
        <w:rPr>
          <w:rFonts w:ascii="Times New Roman" w:hAnsi="Times New Roman" w:cs="Times New Roman"/>
          <w:sz w:val="20"/>
          <w:szCs w:val="20"/>
        </w:rPr>
      </w:pPr>
      <w:r w:rsidRPr="007B1A90">
        <w:rPr>
          <w:rFonts w:ascii="Times New Roman" w:hAnsi="Times New Roman" w:cs="Times New Roman"/>
          <w:sz w:val="20"/>
          <w:szCs w:val="20"/>
        </w:rPr>
        <w:t>Figure 1. The interaction between energy poverty and gender. The figure demonstrates the two-way link between gender inequality and energy poverty, the energy justice evaluative framework, and the intersectional axes of disadvantage that shape differential exposure to energy poverty among women.</w:t>
      </w:r>
    </w:p>
    <w:p w14:paraId="61393B6B" w14:textId="77777777" w:rsidR="002F17CE" w:rsidRPr="002F17CE" w:rsidRDefault="002F17CE" w:rsidP="002F17CE">
      <w:pPr>
        <w:rPr>
          <w:rFonts w:ascii="Times New Roman" w:hAnsi="Times New Roman" w:cs="Times New Roman"/>
          <w:sz w:val="24"/>
          <w:szCs w:val="24"/>
        </w:rPr>
      </w:pPr>
    </w:p>
    <w:p w14:paraId="6BA963EA" w14:textId="77777777" w:rsidR="002F17CE" w:rsidRPr="002F17CE" w:rsidRDefault="002F17CE" w:rsidP="002F17CE">
      <w:pPr>
        <w:rPr>
          <w:rFonts w:ascii="Times New Roman" w:hAnsi="Times New Roman" w:cs="Times New Roman"/>
          <w:sz w:val="24"/>
          <w:szCs w:val="24"/>
        </w:rPr>
      </w:pPr>
    </w:p>
    <w:p w14:paraId="5C6B055D" w14:textId="77777777" w:rsidR="002F17CE" w:rsidRPr="002F17CE" w:rsidRDefault="002F17CE" w:rsidP="002F17CE">
      <w:pPr>
        <w:rPr>
          <w:rFonts w:ascii="Times New Roman" w:hAnsi="Times New Roman" w:cs="Times New Roman"/>
          <w:sz w:val="24"/>
          <w:szCs w:val="24"/>
        </w:rPr>
      </w:pPr>
    </w:p>
    <w:p w14:paraId="10B99648" w14:textId="77777777" w:rsidR="002F17CE" w:rsidRPr="002F17CE" w:rsidRDefault="002F17CE" w:rsidP="002F17CE">
      <w:pPr>
        <w:rPr>
          <w:rFonts w:ascii="Times New Roman" w:hAnsi="Times New Roman" w:cs="Times New Roman"/>
          <w:sz w:val="24"/>
          <w:szCs w:val="24"/>
        </w:rPr>
      </w:pPr>
    </w:p>
    <w:p w14:paraId="3AC7054C" w14:textId="77777777" w:rsidR="002F17CE" w:rsidRPr="002F17CE" w:rsidRDefault="002F17CE" w:rsidP="002F17CE">
      <w:pPr>
        <w:rPr>
          <w:rFonts w:ascii="Times New Roman" w:hAnsi="Times New Roman" w:cs="Times New Roman"/>
          <w:sz w:val="24"/>
          <w:szCs w:val="24"/>
        </w:rPr>
      </w:pPr>
    </w:p>
    <w:p w14:paraId="002316D8" w14:textId="77777777" w:rsidR="002F17CE" w:rsidRPr="0039376D" w:rsidRDefault="002F17CE" w:rsidP="002F17CE">
      <w:pPr>
        <w:rPr>
          <w:rFonts w:ascii="Times New Roman" w:hAnsi="Times New Roman" w:cs="Times New Roman"/>
          <w:b/>
          <w:bCs/>
          <w:sz w:val="24"/>
          <w:szCs w:val="24"/>
        </w:rPr>
      </w:pPr>
      <w:r w:rsidRPr="0039376D">
        <w:rPr>
          <w:rFonts w:ascii="Times New Roman" w:hAnsi="Times New Roman" w:cs="Times New Roman"/>
          <w:b/>
          <w:bCs/>
          <w:sz w:val="24"/>
          <w:szCs w:val="24"/>
        </w:rPr>
        <w:t>2.3 Literature Search Methodology</w:t>
      </w:r>
    </w:p>
    <w:p w14:paraId="5D3014F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narrative review is a design suitable for synthesizing a diverse body of evidence from the epidemiological, social science and policy literatures, where meta-analytic pooling is not possible. Narrative reviews are appropriate for mapping a field, summarising conflicting results, and providing integrated interpretive accounts, but do not have the same level of exhaustivity as systematic reviews and are thus subject to selection bias, as acknowledged in the Limitations section.</w:t>
      </w:r>
    </w:p>
    <w:p w14:paraId="18A11FE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Databases searched include PubMed, Scopus, Web of Science and Google Scholar. The International Energy Agency (IEA), the World Health Organisation (WHO), the World Bank/ESMAP, the Clean Cooking Alliance, ECREEE, UN Women, and ENERGIA were also sources of grey literature. Various boolean combinations of search terms were used. These were: "energy poverty," "household energy," "energy access," "biomass fuel," "solid fuel," "clean cooking," "improved cookstoves," "indoor air pollution," "household air pollution", "gender", "women", "Africa", "sub-Saharan Africa", "health outcomes", "respiratory disease", "maternal health", "time poverty", "energy justice", and "socio-economic impacts.</w:t>
      </w:r>
    </w:p>
    <w:p w14:paraId="785280F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inclusion criteria were: (1) primary interest in Africa or Africa-relevant content in cross-regional analyses; (2) peer-reviewed article, institutional grey literature or government policy document; (3) published in the period 2015 – 2026, except for foundational studies whose conclusions are not overtaken. Exclusion criteria include opinion pieces, those without an empirical foundation, those based on non-African contexts, and those lacking institutional affiliation and peer review. A formal quality appraisal instrument (e.g., CASP) was not used, as is done in a narrative review. The views of local stakeholders have not been directly sought, and qualitative evidence from African communities, where available, is reflected in the published literature and noted in this publication.</w:t>
      </w:r>
    </w:p>
    <w:p w14:paraId="10298016" w14:textId="77777777" w:rsidR="002F17CE" w:rsidRPr="002F17CE" w:rsidRDefault="002F17CE" w:rsidP="002F17CE">
      <w:pPr>
        <w:rPr>
          <w:rFonts w:ascii="Times New Roman" w:hAnsi="Times New Roman" w:cs="Times New Roman"/>
          <w:sz w:val="24"/>
          <w:szCs w:val="24"/>
        </w:rPr>
      </w:pPr>
    </w:p>
    <w:p w14:paraId="23237A13" w14:textId="77777777" w:rsidR="002F17CE" w:rsidRPr="0039376D" w:rsidRDefault="002F17CE" w:rsidP="002F17CE">
      <w:pPr>
        <w:rPr>
          <w:rFonts w:ascii="Times New Roman" w:hAnsi="Times New Roman" w:cs="Times New Roman"/>
          <w:b/>
          <w:bCs/>
          <w:sz w:val="24"/>
          <w:szCs w:val="24"/>
        </w:rPr>
      </w:pPr>
      <w:r w:rsidRPr="0039376D">
        <w:rPr>
          <w:rFonts w:ascii="Times New Roman" w:hAnsi="Times New Roman" w:cs="Times New Roman"/>
          <w:b/>
          <w:bCs/>
          <w:sz w:val="24"/>
          <w:szCs w:val="24"/>
        </w:rPr>
        <w:t>3.0 BURDEN OF ENERGY POVERTY IN AFRICA</w:t>
      </w:r>
    </w:p>
    <w:p w14:paraId="230EF99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Africa is the most energy-poor continent in the world. In some important ways, the energy poverty gap between Africa and other developing regions has not been reduced at the same rate as overall access [17]. In many countries, population growth rates have outpaced electrification, resulting in a large absolute number of people without access to electricity. This is despite a minor reduction in the proportion of the population without access. About 75% of the world's electricity-less population is in Sub-Saharan Africa, and there is a heavy burden of electricity-less households in Central and East Africa [18].</w:t>
      </w:r>
    </w:p>
    <w:p w14:paraId="108971F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Africa is a region of great contrast and of significance for analysis. Near-universal access to electricity has been attained in South Africa, Egypt, Tunisia, and Morocco. In contrast, South Sudan, Chad, Malawi, the Central African Republic and Niger all have rates below 20 per cent. Malawi is 19 per cent, Central African Republic 17.6 per cent and South Sudan and Chad are both below 10 per cent [18,19]. Nationally, furthermore, differences of equal size exist. Up to 90 per cent of the population in urban areas and less than 40 per cent in rural areas in Nigeria are electrified, with considerable disparities among states and local government areas [20].</w:t>
      </w:r>
    </w:p>
    <w:p w14:paraId="03E5EA59"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problem of cooking energy poverty is far more widespread and has proven more difficult to resolve than electricity poverty. In sub-Saharan Africa, 80 per cent of the population uses solid biomass for cooking, with relatively small changes since the turn of the millennium [21]. This persistence stems from two interrelated structural shortcomings. LPG and electricity are still comparatively expensive, cost-competitive with the incomes of rural or peri-urban consumers, and the supply chain infrastructure is limited in rural and peri-urban areas, which are components of a broader regulator's strategy to support the use of clean fuel alternatives. When successful, penetration of LPG programmes has been targeted at urban markets.</w:t>
      </w:r>
    </w:p>
    <w:p w14:paraId="265C151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Energy access is also particularly important for the urban–rural difference for gender equity, as most of Africa's poor and most of Africa's women live in rural areas. Energy poverty in rural areas is more deeply entrenched and more resistant to market-based solutions than in urban areas. Programmes targeted for urban or peri-urban populations often miss the women most in need [22].</w:t>
      </w:r>
    </w:p>
    <w:p w14:paraId="35A245D6" w14:textId="77777777" w:rsidR="002F17CE" w:rsidRPr="002F17CE" w:rsidRDefault="002F17CE" w:rsidP="002F17CE">
      <w:pPr>
        <w:rPr>
          <w:rFonts w:ascii="Times New Roman" w:hAnsi="Times New Roman" w:cs="Times New Roman"/>
          <w:sz w:val="24"/>
          <w:szCs w:val="24"/>
        </w:rPr>
      </w:pPr>
    </w:p>
    <w:p w14:paraId="2D5DEFD8" w14:textId="77777777" w:rsidR="002F17CE" w:rsidRPr="002F17CE" w:rsidRDefault="002F17CE" w:rsidP="002F17CE">
      <w:pPr>
        <w:rPr>
          <w:rFonts w:ascii="Times New Roman" w:hAnsi="Times New Roman" w:cs="Times New Roman"/>
          <w:sz w:val="24"/>
          <w:szCs w:val="24"/>
        </w:rPr>
      </w:pPr>
    </w:p>
    <w:p w14:paraId="07C707CA" w14:textId="77777777" w:rsidR="002F17CE" w:rsidRPr="002F17CE" w:rsidRDefault="002F17CE" w:rsidP="002F17CE">
      <w:pPr>
        <w:rPr>
          <w:rFonts w:ascii="Times New Roman" w:hAnsi="Times New Roman" w:cs="Times New Roman"/>
          <w:sz w:val="24"/>
          <w:szCs w:val="24"/>
        </w:rPr>
      </w:pPr>
    </w:p>
    <w:p w14:paraId="5EFA4CE1" w14:textId="77777777" w:rsidR="007B1A90" w:rsidRDefault="007B1A90" w:rsidP="002F17CE">
      <w:pPr>
        <w:rPr>
          <w:rFonts w:ascii="Times New Roman" w:hAnsi="Times New Roman" w:cs="Times New Roman"/>
          <w:b/>
          <w:bCs/>
          <w:sz w:val="24"/>
          <w:szCs w:val="24"/>
        </w:rPr>
      </w:pPr>
    </w:p>
    <w:p w14:paraId="79E40281" w14:textId="77777777" w:rsidR="007B1A90" w:rsidRDefault="007B1A90" w:rsidP="002F17CE">
      <w:pPr>
        <w:rPr>
          <w:rFonts w:ascii="Times New Roman" w:hAnsi="Times New Roman" w:cs="Times New Roman"/>
          <w:b/>
          <w:bCs/>
          <w:sz w:val="24"/>
          <w:szCs w:val="24"/>
        </w:rPr>
      </w:pPr>
    </w:p>
    <w:p w14:paraId="4B086432" w14:textId="77777777" w:rsidR="007B1A90" w:rsidRDefault="007B1A90" w:rsidP="002F17CE">
      <w:pPr>
        <w:rPr>
          <w:rFonts w:ascii="Times New Roman" w:hAnsi="Times New Roman" w:cs="Times New Roman"/>
          <w:b/>
          <w:bCs/>
          <w:sz w:val="24"/>
          <w:szCs w:val="24"/>
        </w:rPr>
      </w:pPr>
    </w:p>
    <w:p w14:paraId="2C4AA6CA" w14:textId="77777777" w:rsidR="007B1A90" w:rsidRDefault="007B1A90" w:rsidP="002F17CE">
      <w:pPr>
        <w:rPr>
          <w:rFonts w:ascii="Times New Roman" w:hAnsi="Times New Roman" w:cs="Times New Roman"/>
          <w:b/>
          <w:bCs/>
          <w:sz w:val="24"/>
          <w:szCs w:val="24"/>
        </w:rPr>
      </w:pPr>
    </w:p>
    <w:p w14:paraId="1B02F239" w14:textId="77777777" w:rsidR="007B1A90" w:rsidRDefault="007B1A90" w:rsidP="002F17CE">
      <w:pPr>
        <w:rPr>
          <w:rFonts w:ascii="Times New Roman" w:hAnsi="Times New Roman" w:cs="Times New Roman"/>
          <w:b/>
          <w:bCs/>
          <w:sz w:val="24"/>
          <w:szCs w:val="24"/>
        </w:rPr>
      </w:pPr>
    </w:p>
    <w:p w14:paraId="08A60880" w14:textId="77777777" w:rsidR="007B1A90" w:rsidRDefault="007B1A90" w:rsidP="002F17CE">
      <w:pPr>
        <w:rPr>
          <w:rFonts w:ascii="Times New Roman" w:hAnsi="Times New Roman" w:cs="Times New Roman"/>
          <w:b/>
          <w:bCs/>
          <w:sz w:val="24"/>
          <w:szCs w:val="24"/>
        </w:rPr>
      </w:pPr>
    </w:p>
    <w:p w14:paraId="0809A6A4" w14:textId="77777777" w:rsidR="007B1A90" w:rsidRDefault="007B1A90" w:rsidP="002F17CE">
      <w:pPr>
        <w:rPr>
          <w:rFonts w:ascii="Times New Roman" w:hAnsi="Times New Roman" w:cs="Times New Roman"/>
          <w:b/>
          <w:bCs/>
          <w:sz w:val="24"/>
          <w:szCs w:val="24"/>
        </w:rPr>
      </w:pPr>
    </w:p>
    <w:p w14:paraId="4AF7183B" w14:textId="77777777" w:rsidR="007B1A90" w:rsidRDefault="007B1A90" w:rsidP="002F17CE">
      <w:pPr>
        <w:rPr>
          <w:rFonts w:ascii="Times New Roman" w:hAnsi="Times New Roman" w:cs="Times New Roman"/>
          <w:b/>
          <w:bCs/>
          <w:sz w:val="24"/>
          <w:szCs w:val="24"/>
        </w:rPr>
      </w:pPr>
    </w:p>
    <w:p w14:paraId="59A5435C" w14:textId="77777777" w:rsidR="007B1A90" w:rsidRDefault="007B1A90" w:rsidP="002F17CE">
      <w:pPr>
        <w:rPr>
          <w:rFonts w:ascii="Times New Roman" w:hAnsi="Times New Roman" w:cs="Times New Roman"/>
          <w:b/>
          <w:bCs/>
          <w:sz w:val="24"/>
          <w:szCs w:val="24"/>
        </w:rPr>
      </w:pPr>
    </w:p>
    <w:p w14:paraId="4E00020A" w14:textId="2D4CB2C6" w:rsidR="007B1A90" w:rsidRDefault="007B1A90" w:rsidP="002F17CE">
      <w:pPr>
        <w:rPr>
          <w:rFonts w:ascii="Times New Roman" w:hAnsi="Times New Roman" w:cs="Times New Roman"/>
          <w:b/>
          <w:bCs/>
          <w:sz w:val="24"/>
          <w:szCs w:val="24"/>
        </w:rPr>
      </w:pPr>
    </w:p>
    <w:p w14:paraId="727310BF" w14:textId="77777777" w:rsidR="00182317" w:rsidRDefault="00182317" w:rsidP="002F17CE">
      <w:pPr>
        <w:rPr>
          <w:rFonts w:ascii="Times New Roman" w:hAnsi="Times New Roman" w:cs="Times New Roman"/>
          <w:b/>
          <w:bCs/>
          <w:sz w:val="24"/>
          <w:szCs w:val="24"/>
        </w:rPr>
      </w:pPr>
    </w:p>
    <w:p w14:paraId="0DE4AC3D" w14:textId="341613BD" w:rsidR="0039376D" w:rsidRPr="007B1A90"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 xml:space="preserve">Table 1.  Comparative Overview of Energy Poverty </w:t>
      </w:r>
    </w:p>
    <w:p w14:paraId="4117D3C8" w14:textId="4A24778C" w:rsidR="0039376D" w:rsidRDefault="0039376D" w:rsidP="002F17CE">
      <w:pPr>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2"/>
        <w:gridCol w:w="1190"/>
        <w:gridCol w:w="1182"/>
        <w:gridCol w:w="1190"/>
        <w:gridCol w:w="1516"/>
        <w:gridCol w:w="2335"/>
        <w:gridCol w:w="765"/>
      </w:tblGrid>
      <w:tr w:rsidR="0039376D" w:rsidRPr="00FE10B0" w14:paraId="65975394" w14:textId="77777777" w:rsidTr="0097347A">
        <w:trPr>
          <w:tblHeader/>
        </w:trPr>
        <w:tc>
          <w:tcPr>
            <w:tcW w:w="118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67C4F36E" w14:textId="77777777" w:rsidR="0039376D" w:rsidRPr="0039376D" w:rsidRDefault="0039376D" w:rsidP="0097347A">
            <w:pPr>
              <w:spacing w:line="360" w:lineRule="auto"/>
              <w:rPr>
                <w:rFonts w:ascii="Times New Roman" w:hAnsi="Times New Roman" w:cs="Times New Roman"/>
                <w:color w:val="FFFFFF" w:themeColor="background1"/>
                <w:sz w:val="18"/>
                <w:szCs w:val="18"/>
              </w:rPr>
            </w:pPr>
            <w:r w:rsidRPr="0039376D">
              <w:rPr>
                <w:rFonts w:ascii="Times New Roman" w:hAnsi="Times New Roman" w:cs="Times New Roman"/>
                <w:b/>
                <w:bCs/>
                <w:color w:val="FFFFFF" w:themeColor="background1"/>
                <w:sz w:val="18"/>
                <w:szCs w:val="18"/>
              </w:rPr>
              <w:t>Country</w:t>
            </w:r>
          </w:p>
        </w:tc>
        <w:tc>
          <w:tcPr>
            <w:tcW w:w="119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09BBADE3" w14:textId="77777777" w:rsidR="0039376D" w:rsidRPr="0039376D" w:rsidRDefault="0039376D" w:rsidP="0097347A">
            <w:pPr>
              <w:spacing w:line="360" w:lineRule="auto"/>
              <w:rPr>
                <w:rFonts w:ascii="Times New Roman" w:hAnsi="Times New Roman" w:cs="Times New Roman"/>
                <w:color w:val="FFFFFF" w:themeColor="background1"/>
                <w:sz w:val="18"/>
                <w:szCs w:val="18"/>
              </w:rPr>
            </w:pPr>
            <w:r w:rsidRPr="0039376D">
              <w:rPr>
                <w:rFonts w:ascii="Times New Roman" w:hAnsi="Times New Roman" w:cs="Times New Roman"/>
                <w:b/>
                <w:bCs/>
                <w:color w:val="FFFFFF" w:themeColor="background1"/>
                <w:sz w:val="18"/>
                <w:szCs w:val="18"/>
              </w:rPr>
              <w:t>Electricity Access (%)</w:t>
            </w:r>
          </w:p>
        </w:tc>
        <w:tc>
          <w:tcPr>
            <w:tcW w:w="118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000A98AA" w14:textId="77777777" w:rsidR="0039376D" w:rsidRPr="0039376D" w:rsidRDefault="0039376D" w:rsidP="0097347A">
            <w:pPr>
              <w:spacing w:line="360" w:lineRule="auto"/>
              <w:rPr>
                <w:rFonts w:ascii="Times New Roman" w:hAnsi="Times New Roman" w:cs="Times New Roman"/>
                <w:color w:val="FFFFFF" w:themeColor="background1"/>
                <w:sz w:val="18"/>
                <w:szCs w:val="18"/>
              </w:rPr>
            </w:pPr>
            <w:r w:rsidRPr="0039376D">
              <w:rPr>
                <w:rFonts w:ascii="Times New Roman" w:hAnsi="Times New Roman" w:cs="Times New Roman"/>
                <w:b/>
                <w:bCs/>
                <w:color w:val="FFFFFF" w:themeColor="background1"/>
                <w:sz w:val="18"/>
                <w:szCs w:val="18"/>
              </w:rPr>
              <w:t>Clean Cooking Access (%)</w:t>
            </w:r>
          </w:p>
        </w:tc>
        <w:tc>
          <w:tcPr>
            <w:tcW w:w="119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318F51E7" w14:textId="77777777" w:rsidR="0039376D" w:rsidRPr="0039376D" w:rsidRDefault="0039376D" w:rsidP="0097347A">
            <w:pPr>
              <w:spacing w:line="360" w:lineRule="auto"/>
              <w:rPr>
                <w:rFonts w:ascii="Times New Roman" w:hAnsi="Times New Roman" w:cs="Times New Roman"/>
                <w:color w:val="FFFFFF" w:themeColor="background1"/>
                <w:sz w:val="18"/>
                <w:szCs w:val="18"/>
              </w:rPr>
            </w:pPr>
            <w:r w:rsidRPr="0039376D">
              <w:rPr>
                <w:rFonts w:ascii="Times New Roman" w:hAnsi="Times New Roman" w:cs="Times New Roman"/>
                <w:b/>
                <w:bCs/>
                <w:color w:val="FFFFFF" w:themeColor="background1"/>
                <w:sz w:val="18"/>
                <w:szCs w:val="18"/>
              </w:rPr>
              <w:t>Main Cooking Fuel</w:t>
            </w:r>
          </w:p>
        </w:tc>
        <w:tc>
          <w:tcPr>
            <w:tcW w:w="1516"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6245E1D6" w14:textId="77777777" w:rsidR="0039376D" w:rsidRPr="0039376D" w:rsidRDefault="0039376D" w:rsidP="0097347A">
            <w:pPr>
              <w:spacing w:line="360" w:lineRule="auto"/>
              <w:rPr>
                <w:rFonts w:ascii="Times New Roman" w:hAnsi="Times New Roman" w:cs="Times New Roman"/>
                <w:color w:val="FFFFFF" w:themeColor="background1"/>
                <w:sz w:val="18"/>
                <w:szCs w:val="18"/>
              </w:rPr>
            </w:pPr>
            <w:r w:rsidRPr="0039376D">
              <w:rPr>
                <w:rFonts w:ascii="Times New Roman" w:hAnsi="Times New Roman" w:cs="Times New Roman"/>
                <w:b/>
                <w:bCs/>
                <w:color w:val="FFFFFF" w:themeColor="background1"/>
                <w:sz w:val="18"/>
                <w:szCs w:val="18"/>
              </w:rPr>
              <w:t>Female Fuel Burden</w:t>
            </w:r>
          </w:p>
        </w:tc>
        <w:tc>
          <w:tcPr>
            <w:tcW w:w="2335"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2DF5AAD5" w14:textId="77777777" w:rsidR="0039376D" w:rsidRPr="0039376D" w:rsidRDefault="0039376D" w:rsidP="0097347A">
            <w:pPr>
              <w:spacing w:line="360" w:lineRule="auto"/>
              <w:rPr>
                <w:rFonts w:ascii="Times New Roman" w:hAnsi="Times New Roman" w:cs="Times New Roman"/>
                <w:color w:val="FFFFFF" w:themeColor="background1"/>
                <w:sz w:val="18"/>
                <w:szCs w:val="18"/>
              </w:rPr>
            </w:pPr>
            <w:r w:rsidRPr="0039376D">
              <w:rPr>
                <w:rFonts w:ascii="Times New Roman" w:hAnsi="Times New Roman" w:cs="Times New Roman"/>
                <w:b/>
                <w:bCs/>
                <w:color w:val="FFFFFF" w:themeColor="background1"/>
                <w:sz w:val="18"/>
                <w:szCs w:val="18"/>
              </w:rPr>
              <w:t>Key Gendered Impact</w:t>
            </w:r>
          </w:p>
        </w:tc>
        <w:tc>
          <w:tcPr>
            <w:tcW w:w="765"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44A769EC" w14:textId="77777777" w:rsidR="0039376D" w:rsidRPr="0039376D" w:rsidRDefault="0039376D" w:rsidP="0097347A">
            <w:pPr>
              <w:spacing w:line="360" w:lineRule="auto"/>
              <w:rPr>
                <w:rFonts w:ascii="Times New Roman" w:hAnsi="Times New Roman" w:cs="Times New Roman"/>
                <w:color w:val="FFFFFF" w:themeColor="background1"/>
                <w:sz w:val="18"/>
                <w:szCs w:val="18"/>
              </w:rPr>
            </w:pPr>
            <w:r w:rsidRPr="0039376D">
              <w:rPr>
                <w:rFonts w:ascii="Times New Roman" w:hAnsi="Times New Roman" w:cs="Times New Roman"/>
                <w:b/>
                <w:bCs/>
                <w:color w:val="FFFFFF" w:themeColor="background1"/>
                <w:sz w:val="18"/>
                <w:szCs w:val="18"/>
              </w:rPr>
              <w:t>Ref.</w:t>
            </w:r>
          </w:p>
        </w:tc>
      </w:tr>
      <w:tr w:rsidR="0039376D" w:rsidRPr="00FE10B0" w14:paraId="4F93F9EE"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796E5497"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Nigeria</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18B0206A"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~62</w:t>
            </w:r>
          </w:p>
        </w:tc>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37D84A37"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~26</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7FA3F34C"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Firewood, charcoal</w:t>
            </w:r>
          </w:p>
        </w:tc>
        <w:tc>
          <w:tcPr>
            <w:tcW w:w="1516"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FB9AA36"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2–4 hrs/day</w:t>
            </w:r>
          </w:p>
        </w:tc>
        <w:tc>
          <w:tcPr>
            <w:tcW w:w="233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20C3C059" w14:textId="3EA20A76" w:rsidR="0039376D" w:rsidRPr="0039376D" w:rsidRDefault="0039376D" w:rsidP="0097347A">
            <w:pPr>
              <w:spacing w:line="360" w:lineRule="auto"/>
              <w:rPr>
                <w:rFonts w:ascii="Times New Roman" w:hAnsi="Times New Roman" w:cs="Times New Roman"/>
                <w:sz w:val="20"/>
                <w:szCs w:val="20"/>
              </w:rPr>
            </w:pPr>
            <w:r w:rsidRPr="0039376D">
              <w:rPr>
                <w:rFonts w:ascii="Times New Roman" w:hAnsi="Times New Roman" w:cs="Times New Roman"/>
                <w:sz w:val="20"/>
                <w:szCs w:val="20"/>
              </w:rPr>
              <w:t>Heavy rural-urban imbalance in the labour force; intensive labour without pay</w:t>
            </w:r>
          </w:p>
        </w:tc>
        <w:tc>
          <w:tcPr>
            <w:tcW w:w="76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10B6CAEF"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[18,20]</w:t>
            </w:r>
          </w:p>
        </w:tc>
      </w:tr>
      <w:tr w:rsidR="0039376D" w:rsidRPr="00FE10B0" w14:paraId="5F9E04C9"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E807C2"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Ethiopia</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7E97B0"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~55</w:t>
            </w:r>
          </w:p>
        </w:tc>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8DF84E"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~10</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7B991D"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Firewood, dung</w:t>
            </w:r>
          </w:p>
        </w:tc>
        <w:tc>
          <w:tcPr>
            <w:tcW w:w="15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2AD99AB"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3–6 hrs/day</w:t>
            </w:r>
          </w:p>
        </w:tc>
        <w:tc>
          <w:tcPr>
            <w:tcW w:w="233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1D4B16" w14:textId="77777777" w:rsidR="0039376D" w:rsidRPr="0039376D" w:rsidRDefault="0039376D" w:rsidP="0039376D">
            <w:pPr>
              <w:rPr>
                <w:rFonts w:ascii="Times New Roman" w:hAnsi="Times New Roman" w:cs="Times New Roman"/>
                <w:sz w:val="20"/>
                <w:szCs w:val="20"/>
              </w:rPr>
            </w:pPr>
            <w:r w:rsidRPr="0039376D">
              <w:rPr>
                <w:rFonts w:ascii="Times New Roman" w:hAnsi="Times New Roman" w:cs="Times New Roman"/>
                <w:sz w:val="20"/>
                <w:szCs w:val="20"/>
              </w:rPr>
              <w:t>Worst time for poverty, highest PM2.5 exposure.</w:t>
            </w:r>
          </w:p>
          <w:p w14:paraId="18ED0E70" w14:textId="79F28676" w:rsidR="0039376D" w:rsidRPr="00FE10B0" w:rsidRDefault="0039376D" w:rsidP="0097347A">
            <w:pPr>
              <w:spacing w:line="360" w:lineRule="auto"/>
              <w:rPr>
                <w:rFonts w:ascii="Times New Roman" w:hAnsi="Times New Roman" w:cs="Times New Roman"/>
                <w:sz w:val="18"/>
                <w:szCs w:val="18"/>
              </w:rPr>
            </w:pPr>
          </w:p>
        </w:tc>
        <w:tc>
          <w:tcPr>
            <w:tcW w:w="76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4FA5F1"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[25]</w:t>
            </w:r>
          </w:p>
        </w:tc>
      </w:tr>
      <w:tr w:rsidR="0039376D" w:rsidRPr="00FE10B0" w14:paraId="44BA80C4"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C2A84FC"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Kenya</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163C9BF4"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~76</w:t>
            </w:r>
          </w:p>
        </w:tc>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2E37A267"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~30</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275E1D31"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Firewood, charcoal</w:t>
            </w:r>
          </w:p>
        </w:tc>
        <w:tc>
          <w:tcPr>
            <w:tcW w:w="1516"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6092971F"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2–5 hrs/day</w:t>
            </w:r>
          </w:p>
        </w:tc>
        <w:tc>
          <w:tcPr>
            <w:tcW w:w="233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7068D51" w14:textId="77777777" w:rsidR="0039376D" w:rsidRPr="0039376D" w:rsidRDefault="0039376D" w:rsidP="0039376D">
            <w:pPr>
              <w:rPr>
                <w:rFonts w:ascii="Times New Roman" w:hAnsi="Times New Roman" w:cs="Times New Roman"/>
                <w:sz w:val="20"/>
                <w:szCs w:val="20"/>
              </w:rPr>
            </w:pPr>
            <w:r w:rsidRPr="0039376D">
              <w:rPr>
                <w:rFonts w:ascii="Times New Roman" w:hAnsi="Times New Roman" w:cs="Times New Roman"/>
                <w:sz w:val="20"/>
                <w:szCs w:val="20"/>
              </w:rPr>
              <w:t>Affordability gaps and cultural barriers remain.</w:t>
            </w:r>
          </w:p>
          <w:p w14:paraId="72BC748C" w14:textId="672D1188" w:rsidR="0039376D" w:rsidRPr="00FE10B0" w:rsidRDefault="0039376D" w:rsidP="0097347A">
            <w:pPr>
              <w:spacing w:line="360" w:lineRule="auto"/>
              <w:rPr>
                <w:rFonts w:ascii="Times New Roman" w:hAnsi="Times New Roman" w:cs="Times New Roman"/>
                <w:sz w:val="18"/>
                <w:szCs w:val="18"/>
              </w:rPr>
            </w:pPr>
          </w:p>
        </w:tc>
        <w:tc>
          <w:tcPr>
            <w:tcW w:w="76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2D01B77"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[28]</w:t>
            </w:r>
          </w:p>
        </w:tc>
      </w:tr>
      <w:tr w:rsidR="0039376D" w:rsidRPr="00FE10B0" w14:paraId="71058E77"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EAC58E"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Ghana</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A9B712"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~88</w:t>
            </w:r>
          </w:p>
        </w:tc>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E10941"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~37</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F2CC2AE"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Charcoal, firewood</w:t>
            </w:r>
          </w:p>
        </w:tc>
        <w:tc>
          <w:tcPr>
            <w:tcW w:w="15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354C4C"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2–4 hrs/day</w:t>
            </w:r>
          </w:p>
        </w:tc>
        <w:tc>
          <w:tcPr>
            <w:tcW w:w="233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BCFD91" w14:textId="52EB127C" w:rsidR="0039376D" w:rsidRPr="0039376D" w:rsidRDefault="0039376D" w:rsidP="0039376D">
            <w:pPr>
              <w:rPr>
                <w:rFonts w:ascii="Times New Roman" w:hAnsi="Times New Roman" w:cs="Times New Roman"/>
                <w:sz w:val="20"/>
                <w:szCs w:val="20"/>
              </w:rPr>
            </w:pPr>
            <w:r w:rsidRPr="00FE10B0">
              <w:rPr>
                <w:rFonts w:ascii="Times New Roman" w:hAnsi="Times New Roman" w:cs="Times New Roman"/>
                <w:sz w:val="18"/>
                <w:szCs w:val="18"/>
              </w:rPr>
              <w:t>Urban–rural clean cooking disparity</w:t>
            </w:r>
            <w:r>
              <w:rPr>
                <w:rFonts w:ascii="Times New Roman" w:hAnsi="Times New Roman" w:cs="Times New Roman"/>
                <w:sz w:val="20"/>
                <w:szCs w:val="20"/>
              </w:rPr>
              <w:t xml:space="preserve"> </w:t>
            </w:r>
          </w:p>
        </w:tc>
        <w:tc>
          <w:tcPr>
            <w:tcW w:w="76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58641E"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[44]</w:t>
            </w:r>
          </w:p>
        </w:tc>
      </w:tr>
      <w:tr w:rsidR="0039376D" w:rsidRPr="00FE10B0" w14:paraId="711B4573"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7D375494"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Malawi</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EB49A97"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~19</w:t>
            </w:r>
          </w:p>
        </w:tc>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019B7132"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&lt;5</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3523294"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Firewood</w:t>
            </w:r>
          </w:p>
        </w:tc>
        <w:tc>
          <w:tcPr>
            <w:tcW w:w="1516"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36B2013"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4–6 hrs/day</w:t>
            </w:r>
          </w:p>
        </w:tc>
        <w:tc>
          <w:tcPr>
            <w:tcW w:w="233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E65E42B" w14:textId="77777777" w:rsidR="0039376D" w:rsidRPr="0039376D" w:rsidRDefault="0039376D" w:rsidP="0039376D">
            <w:pPr>
              <w:rPr>
                <w:rFonts w:ascii="Times New Roman" w:hAnsi="Times New Roman" w:cs="Times New Roman"/>
                <w:sz w:val="20"/>
                <w:szCs w:val="20"/>
              </w:rPr>
            </w:pPr>
            <w:r w:rsidRPr="0039376D">
              <w:rPr>
                <w:rFonts w:ascii="Times New Roman" w:hAnsi="Times New Roman" w:cs="Times New Roman"/>
                <w:sz w:val="20"/>
                <w:szCs w:val="20"/>
              </w:rPr>
              <w:t>Insufficient nutrition; significant learning gap among women</w:t>
            </w:r>
          </w:p>
          <w:p w14:paraId="7FBA42B4" w14:textId="21DDA093" w:rsidR="0039376D" w:rsidRPr="00FE10B0" w:rsidRDefault="0039376D" w:rsidP="0097347A">
            <w:pPr>
              <w:spacing w:line="360" w:lineRule="auto"/>
              <w:rPr>
                <w:rFonts w:ascii="Times New Roman" w:hAnsi="Times New Roman" w:cs="Times New Roman"/>
                <w:sz w:val="18"/>
                <w:szCs w:val="18"/>
              </w:rPr>
            </w:pPr>
          </w:p>
        </w:tc>
        <w:tc>
          <w:tcPr>
            <w:tcW w:w="76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279DF05F"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[32]</w:t>
            </w:r>
          </w:p>
        </w:tc>
      </w:tr>
      <w:tr w:rsidR="0039376D" w:rsidRPr="00FE10B0" w14:paraId="40A6ADE9"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443DEB"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South Africa</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084500"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~94</w:t>
            </w:r>
          </w:p>
        </w:tc>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74BE8AA"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~86</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29AF87"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Electricity, LPG</w:t>
            </w:r>
          </w:p>
        </w:tc>
        <w:tc>
          <w:tcPr>
            <w:tcW w:w="15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3FABDA"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&lt;2 hrs/day</w:t>
            </w:r>
          </w:p>
        </w:tc>
        <w:tc>
          <w:tcPr>
            <w:tcW w:w="233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A6D196" w14:textId="77777777" w:rsidR="0039376D" w:rsidRPr="0039376D" w:rsidRDefault="0039376D" w:rsidP="0039376D">
            <w:pPr>
              <w:rPr>
                <w:rFonts w:ascii="Times New Roman" w:hAnsi="Times New Roman" w:cs="Times New Roman"/>
                <w:sz w:val="20"/>
                <w:szCs w:val="20"/>
              </w:rPr>
            </w:pPr>
            <w:r w:rsidRPr="0039376D">
              <w:rPr>
                <w:rFonts w:ascii="Times New Roman" w:hAnsi="Times New Roman" w:cs="Times New Roman"/>
                <w:sz w:val="20"/>
                <w:szCs w:val="20"/>
              </w:rPr>
              <w:t>Continuous lack of equality amongst the poor peri-urban communities</w:t>
            </w:r>
          </w:p>
          <w:p w14:paraId="6DB0B3EB" w14:textId="0338A1E0" w:rsidR="0039376D" w:rsidRPr="00FE10B0" w:rsidRDefault="0039376D" w:rsidP="0097347A">
            <w:pPr>
              <w:spacing w:line="360" w:lineRule="auto"/>
              <w:rPr>
                <w:rFonts w:ascii="Times New Roman" w:hAnsi="Times New Roman" w:cs="Times New Roman"/>
                <w:sz w:val="18"/>
                <w:szCs w:val="18"/>
              </w:rPr>
            </w:pPr>
          </w:p>
        </w:tc>
        <w:tc>
          <w:tcPr>
            <w:tcW w:w="76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F32387"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[16]</w:t>
            </w:r>
          </w:p>
        </w:tc>
      </w:tr>
      <w:tr w:rsidR="0039376D" w:rsidRPr="00FE10B0" w14:paraId="01629E6E"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556AA281"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Senegal</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76E9070D"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~84</w:t>
            </w:r>
          </w:p>
        </w:tc>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64C075E8"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~31</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6782C9B"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Charcoal, LPG</w:t>
            </w:r>
          </w:p>
        </w:tc>
        <w:tc>
          <w:tcPr>
            <w:tcW w:w="1516"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0B5422A9"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2–4 hrs/day</w:t>
            </w:r>
          </w:p>
        </w:tc>
        <w:tc>
          <w:tcPr>
            <w:tcW w:w="233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2FCD122C" w14:textId="77777777" w:rsidR="00AE7E0C" w:rsidRPr="00AE7E0C" w:rsidRDefault="00AE7E0C" w:rsidP="00AE7E0C">
            <w:pPr>
              <w:rPr>
                <w:rFonts w:ascii="Times New Roman" w:hAnsi="Times New Roman" w:cs="Times New Roman"/>
                <w:sz w:val="20"/>
                <w:szCs w:val="20"/>
              </w:rPr>
            </w:pPr>
            <w:r w:rsidRPr="00AE7E0C">
              <w:rPr>
                <w:rFonts w:ascii="Times New Roman" w:hAnsi="Times New Roman" w:cs="Times New Roman"/>
                <w:sz w:val="20"/>
                <w:szCs w:val="20"/>
              </w:rPr>
              <w:t>Exclusion in rural areas despite the LPG scale-up.</w:t>
            </w:r>
          </w:p>
          <w:p w14:paraId="35C25389" w14:textId="2558ADDE" w:rsidR="0039376D" w:rsidRPr="00FE10B0" w:rsidRDefault="0039376D" w:rsidP="0097347A">
            <w:pPr>
              <w:spacing w:line="360" w:lineRule="auto"/>
              <w:rPr>
                <w:rFonts w:ascii="Times New Roman" w:hAnsi="Times New Roman" w:cs="Times New Roman"/>
                <w:sz w:val="18"/>
                <w:szCs w:val="18"/>
              </w:rPr>
            </w:pPr>
          </w:p>
        </w:tc>
        <w:tc>
          <w:tcPr>
            <w:tcW w:w="76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7B0B73B3"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[30]</w:t>
            </w:r>
          </w:p>
        </w:tc>
      </w:tr>
      <w:tr w:rsidR="0039376D" w:rsidRPr="00FE10B0" w14:paraId="2A7ECA05"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6493F0"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Chad</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8C3DF3"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&lt;12</w:t>
            </w:r>
          </w:p>
        </w:tc>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315776"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&lt;5</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F52EF2"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Firewood</w:t>
            </w:r>
          </w:p>
        </w:tc>
        <w:tc>
          <w:tcPr>
            <w:tcW w:w="15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16D51B"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4–7 hrs/day</w:t>
            </w:r>
          </w:p>
        </w:tc>
        <w:tc>
          <w:tcPr>
            <w:tcW w:w="233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5F1951" w14:textId="77777777" w:rsidR="00AE7E0C" w:rsidRPr="00AE7E0C" w:rsidRDefault="00AE7E0C" w:rsidP="00AE7E0C">
            <w:pPr>
              <w:rPr>
                <w:rFonts w:ascii="Times New Roman" w:hAnsi="Times New Roman" w:cs="Times New Roman"/>
                <w:sz w:val="20"/>
                <w:szCs w:val="20"/>
              </w:rPr>
            </w:pPr>
            <w:r w:rsidRPr="00AE7E0C">
              <w:rPr>
                <w:rFonts w:ascii="Times New Roman" w:hAnsi="Times New Roman" w:cs="Times New Roman"/>
                <w:sz w:val="20"/>
                <w:szCs w:val="20"/>
              </w:rPr>
              <w:t>Severe burden; near-absent infrastructure</w:t>
            </w:r>
          </w:p>
          <w:p w14:paraId="3DFA2275" w14:textId="661965B2" w:rsidR="0039376D" w:rsidRPr="00FE10B0" w:rsidRDefault="0039376D" w:rsidP="0097347A">
            <w:pPr>
              <w:spacing w:line="360" w:lineRule="auto"/>
              <w:rPr>
                <w:rFonts w:ascii="Times New Roman" w:hAnsi="Times New Roman" w:cs="Times New Roman"/>
                <w:sz w:val="18"/>
                <w:szCs w:val="18"/>
              </w:rPr>
            </w:pPr>
          </w:p>
        </w:tc>
        <w:tc>
          <w:tcPr>
            <w:tcW w:w="76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08BE71" w14:textId="77777777" w:rsidR="0039376D" w:rsidRPr="00FE10B0" w:rsidRDefault="0039376D" w:rsidP="0097347A">
            <w:pPr>
              <w:spacing w:line="360" w:lineRule="auto"/>
              <w:rPr>
                <w:rFonts w:ascii="Times New Roman" w:hAnsi="Times New Roman" w:cs="Times New Roman"/>
                <w:sz w:val="18"/>
                <w:szCs w:val="18"/>
              </w:rPr>
            </w:pPr>
            <w:r w:rsidRPr="00FE10B0">
              <w:rPr>
                <w:rFonts w:ascii="Times New Roman" w:hAnsi="Times New Roman" w:cs="Times New Roman"/>
                <w:sz w:val="18"/>
                <w:szCs w:val="18"/>
              </w:rPr>
              <w:t>[18]</w:t>
            </w:r>
          </w:p>
        </w:tc>
      </w:tr>
      <w:tr w:rsidR="0039376D" w:rsidRPr="00A200F5" w14:paraId="0008E8F6"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5D18FAE8"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Niger</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225E6F00"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~19</w:t>
            </w:r>
          </w:p>
        </w:tc>
        <w:tc>
          <w:tcPr>
            <w:tcW w:w="1182"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1BD508E0"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&lt;5</w:t>
            </w:r>
          </w:p>
        </w:tc>
        <w:tc>
          <w:tcPr>
            <w:tcW w:w="1190"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56C243DA"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Firewood</w:t>
            </w:r>
          </w:p>
        </w:tc>
        <w:tc>
          <w:tcPr>
            <w:tcW w:w="1516"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75B1F129"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4–6 hrs/day</w:t>
            </w:r>
          </w:p>
        </w:tc>
        <w:tc>
          <w:tcPr>
            <w:tcW w:w="233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68D1DFFA" w14:textId="77777777" w:rsidR="00AE7E0C" w:rsidRPr="00AE7E0C" w:rsidRDefault="00AE7E0C" w:rsidP="00AE7E0C">
            <w:pPr>
              <w:rPr>
                <w:rFonts w:ascii="Times New Roman" w:hAnsi="Times New Roman" w:cs="Times New Roman"/>
                <w:sz w:val="20"/>
                <w:szCs w:val="20"/>
              </w:rPr>
            </w:pPr>
            <w:r w:rsidRPr="00AE7E0C">
              <w:rPr>
                <w:rFonts w:ascii="Times New Roman" w:hAnsi="Times New Roman" w:cs="Times New Roman"/>
                <w:sz w:val="20"/>
                <w:szCs w:val="20"/>
              </w:rPr>
              <w:t>In addition to the fuel scarcity, desertification exacerbates it.</w:t>
            </w:r>
          </w:p>
          <w:p w14:paraId="467DB279" w14:textId="28B193AA" w:rsidR="0039376D" w:rsidRPr="00FE10B0" w:rsidRDefault="0039376D" w:rsidP="0097347A">
            <w:pPr>
              <w:spacing w:line="360" w:lineRule="auto"/>
              <w:rPr>
                <w:rFonts w:ascii="Times New Roman" w:hAnsi="Times New Roman" w:cs="Times New Roman"/>
                <w:sz w:val="20"/>
                <w:szCs w:val="20"/>
              </w:rPr>
            </w:pPr>
          </w:p>
        </w:tc>
        <w:tc>
          <w:tcPr>
            <w:tcW w:w="76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5F349A1B"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[18]</w:t>
            </w:r>
          </w:p>
        </w:tc>
      </w:tr>
      <w:tr w:rsidR="0039376D" w:rsidRPr="00A200F5" w14:paraId="0197E5E9" w14:textId="77777777" w:rsidTr="0097347A">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0DDCF19"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Uganda</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85EF8F5"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~47</w:t>
            </w:r>
          </w:p>
        </w:tc>
        <w:tc>
          <w:tcPr>
            <w:tcW w:w="118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818E78"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~7</w:t>
            </w:r>
          </w:p>
        </w:tc>
        <w:tc>
          <w:tcPr>
            <w:tcW w:w="119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4365AB"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Firewood, charcoal</w:t>
            </w:r>
          </w:p>
        </w:tc>
        <w:tc>
          <w:tcPr>
            <w:tcW w:w="15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9FFCF5"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3–5 hrs/day</w:t>
            </w:r>
          </w:p>
        </w:tc>
        <w:tc>
          <w:tcPr>
            <w:tcW w:w="233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0E131D" w14:textId="77777777" w:rsidR="00AE7E0C" w:rsidRPr="00AE7E0C" w:rsidRDefault="00AE7E0C" w:rsidP="00AE7E0C">
            <w:pPr>
              <w:rPr>
                <w:rFonts w:ascii="Times New Roman" w:hAnsi="Times New Roman" w:cs="Times New Roman"/>
                <w:sz w:val="20"/>
                <w:szCs w:val="20"/>
              </w:rPr>
            </w:pPr>
            <w:r w:rsidRPr="00AE7E0C">
              <w:rPr>
                <w:rFonts w:ascii="Times New Roman" w:hAnsi="Times New Roman" w:cs="Times New Roman"/>
                <w:sz w:val="20"/>
                <w:szCs w:val="20"/>
              </w:rPr>
              <w:t>Low levels of clean fuel use; high levels of stove stacking;</w:t>
            </w:r>
          </w:p>
          <w:p w14:paraId="1BB80073" w14:textId="5FB0E355" w:rsidR="0039376D" w:rsidRPr="00FE10B0" w:rsidRDefault="0039376D" w:rsidP="0097347A">
            <w:pPr>
              <w:spacing w:line="360" w:lineRule="auto"/>
              <w:rPr>
                <w:rFonts w:ascii="Times New Roman" w:hAnsi="Times New Roman" w:cs="Times New Roman"/>
                <w:sz w:val="20"/>
                <w:szCs w:val="20"/>
              </w:rPr>
            </w:pPr>
          </w:p>
        </w:tc>
        <w:tc>
          <w:tcPr>
            <w:tcW w:w="76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CF5ED27" w14:textId="77777777" w:rsidR="0039376D" w:rsidRPr="00FE10B0" w:rsidRDefault="0039376D" w:rsidP="0097347A">
            <w:pPr>
              <w:spacing w:line="360" w:lineRule="auto"/>
              <w:rPr>
                <w:rFonts w:ascii="Times New Roman" w:hAnsi="Times New Roman" w:cs="Times New Roman"/>
                <w:sz w:val="20"/>
                <w:szCs w:val="20"/>
              </w:rPr>
            </w:pPr>
            <w:r w:rsidRPr="00FE10B0">
              <w:rPr>
                <w:rFonts w:ascii="Times New Roman" w:hAnsi="Times New Roman" w:cs="Times New Roman"/>
                <w:sz w:val="20"/>
                <w:szCs w:val="20"/>
              </w:rPr>
              <w:t>[23]</w:t>
            </w:r>
          </w:p>
        </w:tc>
      </w:tr>
    </w:tbl>
    <w:p w14:paraId="740B122B" w14:textId="77777777" w:rsidR="0039376D" w:rsidRPr="002F17CE" w:rsidRDefault="0039376D" w:rsidP="002F17CE">
      <w:pPr>
        <w:rPr>
          <w:rFonts w:ascii="Times New Roman" w:hAnsi="Times New Roman" w:cs="Times New Roman"/>
          <w:sz w:val="24"/>
          <w:szCs w:val="24"/>
        </w:rPr>
      </w:pPr>
    </w:p>
    <w:p w14:paraId="2079500B" w14:textId="77777777" w:rsidR="002F17CE" w:rsidRPr="002F17CE" w:rsidRDefault="002F17CE" w:rsidP="002F17CE">
      <w:pPr>
        <w:rPr>
          <w:rFonts w:ascii="Times New Roman" w:hAnsi="Times New Roman" w:cs="Times New Roman"/>
          <w:sz w:val="24"/>
          <w:szCs w:val="24"/>
        </w:rPr>
      </w:pPr>
    </w:p>
    <w:p w14:paraId="3A26DD93" w14:textId="77777777" w:rsidR="002F17CE" w:rsidRPr="002F17CE" w:rsidRDefault="002F17CE" w:rsidP="002F17CE">
      <w:pPr>
        <w:rPr>
          <w:rFonts w:ascii="Times New Roman" w:hAnsi="Times New Roman" w:cs="Times New Roman"/>
          <w:sz w:val="24"/>
          <w:szCs w:val="24"/>
        </w:rPr>
      </w:pPr>
    </w:p>
    <w:p w14:paraId="000F1C62" w14:textId="77777777" w:rsidR="002F17CE" w:rsidRPr="00AE7E0C"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4. GENDERED DIMENSIONS OF ENERGY POVERTY</w:t>
      </w:r>
    </w:p>
    <w:p w14:paraId="5EC0961E" w14:textId="598D4696" w:rsidR="002F17CE" w:rsidRPr="00AE7E0C"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4.</w:t>
      </w:r>
      <w:r w:rsidR="00AE7E0C" w:rsidRPr="00AE7E0C">
        <w:rPr>
          <w:rFonts w:ascii="Times New Roman" w:hAnsi="Times New Roman" w:cs="Times New Roman"/>
          <w:b/>
          <w:bCs/>
          <w:sz w:val="24"/>
          <w:szCs w:val="24"/>
        </w:rPr>
        <w:t>1</w:t>
      </w:r>
      <w:r w:rsidRPr="00AE7E0C">
        <w:rPr>
          <w:rFonts w:ascii="Times New Roman" w:hAnsi="Times New Roman" w:cs="Times New Roman"/>
          <w:b/>
          <w:bCs/>
          <w:sz w:val="24"/>
          <w:szCs w:val="24"/>
        </w:rPr>
        <w:t xml:space="preserve"> Energy, Labour, and Its Allocation in Agriculture: Economic and Nutritional Significance of Food Production</w:t>
      </w:r>
    </w:p>
    <w:p w14:paraId="1D4BF7C9"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Cooking is structurally situated as unpaid labour across most of Africa, with significant regional variation shaped by cultural norms, economic inequality, and institutional structures. In most surveyed households, women are mainly responsible for energy-related household activities. Do not overlook the need not to reduce this pattern to a single stereotype: there are differences among male-headed and female-headed households in terms of their energy decision-making processes; in some settings, the labour use in the household differs between rural and urban households; and in some cases, the younger generation is questioning traditional gender divisions of domestic labour. However, survey evidence from across sub-Saharan Africa, including different countries, ethnic groups, and urban/rural areas, consistently indicates that women are the most common cooks in over 90 per cent of households [23,24]. Where this pattern holds, it is not best understood as a voluntary or culturally isolated preference. This is the logical result of gender norms in place and supported by the lack of institutional solutions to redistribute domestic energy labour or offset its costs.</w:t>
      </w:r>
    </w:p>
    <w:p w14:paraId="066D96F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health effects are serious and known. Ethiopian and Zimbabwean studies have reported that women exposed to fine particulate matter (PM2.5) in their home cooking environments cook for several hours daily, with levels reaching 10-60 times the WHO limit [25,26]. This exposure is long-term, foreseeable, and likely to occur in the home environment, where women often have less control to make changes. Demands for a cleaner stove or fuel are also likely to require payment, which women are unlikely to have, or the consent of male household heads, who may not consider health impacts to be their responsibility [27].</w:t>
      </w:r>
    </w:p>
    <w:p w14:paraId="3544428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collection of fuel adds another burden, one that is often not visible. Firewood is the primary cooking fuel in rural areas, and women and girls collect it. Collection times are documented at 2 to 6 hours per day in studies in Kenya, Ethiopia, and Uganda, with longer collection times in forests with high levels of degradation and deforestation, especially where fuel sources are farther from settlements [28]. This time is not available physically for learning, earning a living or resting. It remains unpaid, and is thus not recorded in national accounts, productivity measures or energy access calculations, making its economic and health costs invisible to decision-makers [29].</w:t>
      </w:r>
    </w:p>
    <w:p w14:paraId="16B886D1" w14:textId="77777777" w:rsidR="002F17CE" w:rsidRPr="00AE7E0C"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4.2 Time Poverty and Opportunity Cost</w:t>
      </w:r>
    </w:p>
    <w:p w14:paraId="4018B0A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One of the least discussed aspects of the gender gap in energy poverty is time poverty, the lack of discretionary time after a set of subsistence activities. Those hours are not only redistributed when women devote excessive time to energy-intensive domestic work; they are also foreclosed. These opportunity costs are not just real, measurable, and consequential; they do not show up in any development indicator [30].</w:t>
      </w:r>
    </w:p>
    <w:p w14:paraId="0E3CECE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Important negative associations between women's work outside the home and the burden of collecting fuel have been found in studies conducted in Ethiopia, Uganda and Tanzania [31]. The mechanism is direct: four to six hours of a woman's time spent collecting wood cannot be spent on market activities, agricultural production, or entrepreneurship. Analysis of time-use data in rural Senegal also shows that domestic energy burdens are gendered, with women's time spent in domestic energy use being significantly less free than men's in similar socio-economic groups, as confirmed by a systematic analysis of time-use data [30].</w:t>
      </w:r>
    </w:p>
    <w:p w14:paraId="525825CA" w14:textId="03D7CA03"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 xml:space="preserve">Girls' education is key to addressing time poverty related to energy. Girls are also more likely than boys to be pulled out of school to help adults collect and carry fuelwood and cook, especially when adults are sick or harvesting [32], in households that use solid biomass. This disenfranchisement from school is one way in which energy poverty is perpetuated across generations </w:t>
      </w:r>
      <w:r w:rsidR="00AE7E0C">
        <w:rPr>
          <w:rFonts w:ascii="Times New Roman" w:hAnsi="Times New Roman" w:cs="Times New Roman"/>
          <w:sz w:val="24"/>
          <w:szCs w:val="24"/>
        </w:rPr>
        <w:t xml:space="preserve"> as </w:t>
      </w:r>
      <w:r w:rsidRPr="002F17CE">
        <w:rPr>
          <w:rFonts w:ascii="Times New Roman" w:hAnsi="Times New Roman" w:cs="Times New Roman"/>
          <w:sz w:val="24"/>
          <w:szCs w:val="24"/>
        </w:rPr>
        <w:t>girls who do not attend school because of biomass-related tasks are less likely than adults to earn sufficient income to shift to clean fuels.</w:t>
      </w:r>
    </w:p>
    <w:p w14:paraId="1AAE9D1D" w14:textId="77777777" w:rsidR="002F17CE" w:rsidRPr="00AE7E0C"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 xml:space="preserve">4.3 Economic Exclusion and Productive Opportunity </w:t>
      </w:r>
    </w:p>
    <w:p w14:paraId="37CE162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In addition to time allocation, there have been consistent relationships between access to electricity and increased household income, increased female self-employment, and increased participation in formal market activities, with effects generally being stronger for women than for men [22]. Access to reliable electric power allows people to read after dark, run their businesses after dark, preserve their food, carry out small-scale food processing, and use digital financial services and market information [33].</w:t>
      </w:r>
    </w:p>
    <w:p w14:paraId="783403D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Women in energy-poor households are systematically excluded from these productivity pathways. They are also more likely to take out informal loans at high interest rates to cover their daily fuel costs. The economics of energy poverty essentially amounts to a regressive tax on the poorest households: solid biomass is bought daily in cash. Meanwhile, LPG has a higher initial cost, and electricity is charged monthly on an electricity meter. This payment system is a burden on limited household incomes.</w:t>
      </w:r>
    </w:p>
    <w:p w14:paraId="7E837796" w14:textId="77777777" w:rsidR="002F17CE" w:rsidRPr="00AE7E0C"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5. HEALTH IMPLICATIONS</w:t>
      </w:r>
    </w:p>
    <w:p w14:paraId="148FAFB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impacts of energy poverty on the health of women in Africa take many intertwined forms: respiratory, cardiovascular, maternal, neonatal, and psychological. The available evidence, although geographically limited, is sufficiently robust to describe the burden as severe, systematic and structurally gendered.</w:t>
      </w:r>
    </w:p>
    <w:p w14:paraId="675449C1" w14:textId="77777777" w:rsidR="002F17CE" w:rsidRPr="00AE7E0C"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5.1 Indoor Air Pollution: The Dominant Exposure Pathway</w:t>
      </w:r>
    </w:p>
    <w:p w14:paraId="279E684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Solid fuel use is the main energy poverty health threat. The combustion of firewood, charcoal, crop residues, or animal dung on open fire or traditional stoves produces a complex mix of pollutants (fine particulate matter (PM2.5), carbon monoxide, nitrogen dioxide, polycyclic aromatic hydrocarbons and volatile organic compounds) with specific health risks at the atmospheric concentrations created by household combustion sources [34]. The 24-hour average PM2.5 level in traditional-stove kitchens has been recorded in studies in Ethiopia and Zimbabwe as 290 micrograms per cubic metre or higher. This exceeds the WHO annual Guideline of micrograms/m³/m³ [25,26].</w:t>
      </w:r>
    </w:p>
    <w:p w14:paraId="031231C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Women's exposure is higher and longer than that of other household members because cooking is a structural duty for women. In the closed or semi-closed kitchen type, predominant in rural and peri-urban Africa, combustion gases will be poorly diluted, and multiple cooking episodes will result in high concentrations throughout the day during waking hours [35]. An attenuated form of this exposure occurs in infants and young children when they are held close to food-preparation areas during feeding. This partly explains why the prevalence of acute lower respiratory infection is higher among children under 5 years of age in households that use solid fuels for cooking and heating [36].</w:t>
      </w:r>
    </w:p>
    <w:p w14:paraId="6C0B45B3" w14:textId="77777777" w:rsidR="002F17CE" w:rsidRPr="00AE7E0C"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5.2 Burden of Respiratory and Cardiovascular Diseases</w:t>
      </w:r>
    </w:p>
    <w:p w14:paraId="077DD1A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One of the most well-documented effects of chronic exposure to biomass smoke in the global burden of disease literature is its impact on the respiratory system. Women in solid fuel households are at much higher risk of developing chronic obstructive pulmonary disease (COPD), lung cancer, and acute lower respiratory infections (ALRI) than women in households using clean fuel [37]. Increased relative risks for COPD were about 2.65-fold, and for chronic bronchitis about 2.89-fold due to exposure to indoor air pollution from the use of solid biomass fuels (highest relative risks in the African region) [38]. These estimates are based mainly on Asian and Latin American populations, with few data available in African contexts, which is another evidence gap.</w:t>
      </w:r>
    </w:p>
    <w:p w14:paraId="00E0B42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Cardiovascular complications are increasingly becoming the focus of study and are an under-recognized aspect of disease burden. Exposure to PM2.5 is known to be a causal risk factor for ischaemic heart disease, stroke and cardiac arrhythmia via systemic inflammation, oxidative stress and endothelial dysfunction [39]. The combination of metabolic disease and hypertension with chronic exposure to biomass smoke is an additional risk to African women who are already burdened by a significant and growing prevalence of these conditions, and should be systematically explored. The evidence base for prospective cardiovascular data in African cohorts remains small compared to that in South Asia, and this is a research priority.</w:t>
      </w:r>
    </w:p>
    <w:p w14:paraId="476D319C" w14:textId="77777777" w:rsidR="002F17CE" w:rsidRPr="00AE7E0C"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5.3 Maternal and Neonatal Health</w:t>
      </w:r>
    </w:p>
    <w:p w14:paraId="431512E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Household air pollution (HAP) is a period of greater vulnerability during pregnancy. Physiological changes enhance respiratory exposure, modify the immune response to inhaled particles, and heighten the potential for toxic substances to cross the placenta and enter the developing foetus [40]. In Ghana and Nigeria, household solid fuel usage has been linked to low birth weight, preterm delivery, perinatal mortality, and poor neonatal outcomes [41,42]. Additional causal evidence, aligned with the observational data, was provided by a randomized controlled trial showing that a switch from biomass to LPG cooking improved birth outcomes [47].</w:t>
      </w:r>
    </w:p>
    <w:p w14:paraId="1A82F61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Maternal mortality pathways exist both directly and structurally. Women who are delivering without skilled attendance in health facilities where electricity is not reliable are at increased risk of complications related to obstructed labour, PPH, and neonatal complications that can be managed, particularly with good lighting and appropriate equipment that requires electricity [33]. Without electricity, preventable maternal and neonatal deaths in sub-Saharan Africa have been documented to be partly caused by low access to electricity in peripheral health facilities [20].</w:t>
      </w:r>
    </w:p>
    <w:p w14:paraId="2D26D553" w14:textId="77777777" w:rsidR="002F17CE" w:rsidRPr="00AE7E0C"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5.4 The mental health and psychological burden.</w:t>
      </w:r>
    </w:p>
    <w:p w14:paraId="45D2A14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psychological impacts of energy poverty are among the least researched aspects of the problem. There is, however, increasing evidence that women who are energy insecure have higher levels of depression, anxiety and psychological distress than those who are not [43]. These include chronic stress caused by using household resources in the face of persistent energy scarcity, the social stigma of energy poverty, loss of agency related to structural and financial exclusion and loss of time poverty due to exhaustion.</w:t>
      </w:r>
    </w:p>
    <w:p w14:paraId="3C80F4C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Qualitative research in Kenya, South Africa, and Senegal captures women's descriptions of energy poverty as shame, chronic fatigue, and a structural inability to make a difference in their households despite individual effort [28]. Such accounts stress the aspects of suffering which quantitative health reports cannot. Interventions that do not take into account the psychosocial setting in which women make decisions about their energy use are also likely to have lower uptake rates, higher discontinuation rates, and be less sustained than a programme that understands these dynamics [43].</w:t>
      </w:r>
    </w:p>
    <w:p w14:paraId="50B2FBD9" w14:textId="77777777" w:rsidR="007B1A90" w:rsidRDefault="007B1A90" w:rsidP="002F17CE">
      <w:pPr>
        <w:rPr>
          <w:rFonts w:ascii="Times New Roman" w:hAnsi="Times New Roman" w:cs="Times New Roman"/>
          <w:b/>
          <w:bCs/>
          <w:sz w:val="24"/>
          <w:szCs w:val="24"/>
        </w:rPr>
      </w:pPr>
    </w:p>
    <w:p w14:paraId="3A3A8E85" w14:textId="715B254D" w:rsidR="002F17CE" w:rsidRDefault="002F17CE" w:rsidP="002F17CE">
      <w:pPr>
        <w:rPr>
          <w:rFonts w:ascii="Times New Roman" w:hAnsi="Times New Roman" w:cs="Times New Roman"/>
          <w:b/>
          <w:bCs/>
          <w:sz w:val="24"/>
          <w:szCs w:val="24"/>
        </w:rPr>
      </w:pPr>
      <w:r w:rsidRPr="00AE7E0C">
        <w:rPr>
          <w:rFonts w:ascii="Times New Roman" w:hAnsi="Times New Roman" w:cs="Times New Roman"/>
          <w:b/>
          <w:bCs/>
          <w:sz w:val="24"/>
          <w:szCs w:val="24"/>
        </w:rPr>
        <w:t>Table 2. Multi-dimensional Health, Economic, and Social Consequences of Energy Poverty for Women and Girls in Africa</w:t>
      </w:r>
    </w:p>
    <w:p w14:paraId="6F619A39" w14:textId="0E6661A4" w:rsidR="00AE7E0C" w:rsidRDefault="00AE7E0C" w:rsidP="002F17CE">
      <w:pPr>
        <w:rPr>
          <w:rFonts w:ascii="Times New Roman" w:hAnsi="Times New Roman" w:cs="Times New Roman"/>
          <w:b/>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3"/>
        <w:gridCol w:w="1985"/>
        <w:gridCol w:w="2316"/>
        <w:gridCol w:w="2167"/>
        <w:gridCol w:w="1199"/>
      </w:tblGrid>
      <w:tr w:rsidR="007B1A90" w:rsidRPr="00A004C8" w14:paraId="0A8EC10B" w14:textId="77777777" w:rsidTr="0097347A">
        <w:trPr>
          <w:tblHeader/>
        </w:trPr>
        <w:tc>
          <w:tcPr>
            <w:tcW w:w="1693"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708BAADD" w14:textId="77777777" w:rsidR="007B1A90" w:rsidRPr="00A004C8" w:rsidRDefault="007B1A90" w:rsidP="0097347A">
            <w:pPr>
              <w:spacing w:line="360" w:lineRule="auto"/>
              <w:rPr>
                <w:rFonts w:ascii="Times New Roman" w:hAnsi="Times New Roman" w:cs="Times New Roman"/>
                <w:color w:val="FFFFFF" w:themeColor="background1"/>
                <w:sz w:val="18"/>
                <w:szCs w:val="18"/>
              </w:rPr>
            </w:pPr>
            <w:r w:rsidRPr="00A004C8">
              <w:rPr>
                <w:rFonts w:ascii="Times New Roman" w:hAnsi="Times New Roman" w:cs="Times New Roman"/>
                <w:b/>
                <w:bCs/>
                <w:color w:val="FFFFFF" w:themeColor="background1"/>
                <w:sz w:val="18"/>
                <w:szCs w:val="18"/>
              </w:rPr>
              <w:t>Domain</w:t>
            </w:r>
          </w:p>
        </w:tc>
        <w:tc>
          <w:tcPr>
            <w:tcW w:w="1985"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3926C98F" w14:textId="77777777" w:rsidR="007B1A90" w:rsidRPr="00A004C8" w:rsidRDefault="007B1A90" w:rsidP="0097347A">
            <w:pPr>
              <w:spacing w:line="360" w:lineRule="auto"/>
              <w:rPr>
                <w:rFonts w:ascii="Times New Roman" w:hAnsi="Times New Roman" w:cs="Times New Roman"/>
                <w:color w:val="FFFFFF" w:themeColor="background1"/>
                <w:sz w:val="18"/>
                <w:szCs w:val="18"/>
              </w:rPr>
            </w:pPr>
            <w:r w:rsidRPr="00A004C8">
              <w:rPr>
                <w:rFonts w:ascii="Times New Roman" w:hAnsi="Times New Roman" w:cs="Times New Roman"/>
                <w:b/>
                <w:bCs/>
                <w:color w:val="FFFFFF" w:themeColor="background1"/>
                <w:sz w:val="18"/>
                <w:szCs w:val="18"/>
              </w:rPr>
              <w:t>Specific Outcomes</w:t>
            </w:r>
          </w:p>
        </w:tc>
        <w:tc>
          <w:tcPr>
            <w:tcW w:w="2316"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200F54BC" w14:textId="77777777" w:rsidR="007B1A90" w:rsidRPr="00A004C8" w:rsidRDefault="007B1A90" w:rsidP="0097347A">
            <w:pPr>
              <w:spacing w:line="360" w:lineRule="auto"/>
              <w:rPr>
                <w:rFonts w:ascii="Times New Roman" w:hAnsi="Times New Roman" w:cs="Times New Roman"/>
                <w:color w:val="FFFFFF" w:themeColor="background1"/>
                <w:sz w:val="18"/>
                <w:szCs w:val="18"/>
              </w:rPr>
            </w:pPr>
            <w:r w:rsidRPr="00A004C8">
              <w:rPr>
                <w:rFonts w:ascii="Times New Roman" w:hAnsi="Times New Roman" w:cs="Times New Roman"/>
                <w:b/>
                <w:bCs/>
                <w:color w:val="FFFFFF" w:themeColor="background1"/>
                <w:sz w:val="18"/>
                <w:szCs w:val="18"/>
              </w:rPr>
              <w:t>Primary Mechanism</w:t>
            </w:r>
          </w:p>
        </w:tc>
        <w:tc>
          <w:tcPr>
            <w:tcW w:w="2167"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0732655A" w14:textId="77777777" w:rsidR="007B1A90" w:rsidRPr="00A004C8" w:rsidRDefault="007B1A90" w:rsidP="0097347A">
            <w:pPr>
              <w:spacing w:line="360" w:lineRule="auto"/>
              <w:rPr>
                <w:rFonts w:ascii="Times New Roman" w:hAnsi="Times New Roman" w:cs="Times New Roman"/>
                <w:color w:val="FFFFFF" w:themeColor="background1"/>
                <w:sz w:val="18"/>
                <w:szCs w:val="18"/>
              </w:rPr>
            </w:pPr>
            <w:r w:rsidRPr="00A004C8">
              <w:rPr>
                <w:rFonts w:ascii="Times New Roman" w:hAnsi="Times New Roman" w:cs="Times New Roman"/>
                <w:b/>
                <w:bCs/>
                <w:color w:val="FFFFFF" w:themeColor="background1"/>
                <w:sz w:val="18"/>
                <w:szCs w:val="18"/>
              </w:rPr>
              <w:t>Gendered Impact</w:t>
            </w:r>
          </w:p>
        </w:tc>
        <w:tc>
          <w:tcPr>
            <w:tcW w:w="1199"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tcPr>
          <w:p w14:paraId="3366D1E3" w14:textId="77777777" w:rsidR="007B1A90" w:rsidRPr="00A004C8" w:rsidRDefault="007B1A90" w:rsidP="0097347A">
            <w:pPr>
              <w:spacing w:line="360" w:lineRule="auto"/>
              <w:rPr>
                <w:rFonts w:ascii="Times New Roman" w:hAnsi="Times New Roman" w:cs="Times New Roman"/>
                <w:color w:val="FFFFFF" w:themeColor="background1"/>
                <w:sz w:val="18"/>
                <w:szCs w:val="18"/>
              </w:rPr>
            </w:pPr>
            <w:r w:rsidRPr="00A004C8">
              <w:rPr>
                <w:rFonts w:ascii="Times New Roman" w:hAnsi="Times New Roman" w:cs="Times New Roman"/>
                <w:b/>
                <w:bCs/>
                <w:color w:val="FFFFFF" w:themeColor="background1"/>
                <w:sz w:val="18"/>
                <w:szCs w:val="18"/>
              </w:rPr>
              <w:t>Evidence Level</w:t>
            </w:r>
          </w:p>
        </w:tc>
      </w:tr>
      <w:tr w:rsidR="007B1A90" w:rsidRPr="00A004C8" w14:paraId="225F6DB4" w14:textId="77777777" w:rsidTr="0097347A">
        <w:tc>
          <w:tcPr>
            <w:tcW w:w="1693"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219072BA"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Respiratory</w:t>
            </w:r>
          </w:p>
        </w:tc>
        <w:tc>
          <w:tcPr>
            <w:tcW w:w="198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3D8E1818"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COPD, chronic bronchitis, acute lower respiratory infection</w:t>
            </w:r>
          </w:p>
        </w:tc>
        <w:tc>
          <w:tcPr>
            <w:tcW w:w="2316"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0F3F3859"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Chronic inhalation of PM2.5, CO, and polyaromatic hydrocarbons from biomass combustion</w:t>
            </w:r>
          </w:p>
        </w:tc>
        <w:tc>
          <w:tcPr>
            <w:tcW w:w="2167"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15574226" w14:textId="77777777" w:rsidR="007B1A90" w:rsidRPr="007B1A90" w:rsidRDefault="007B1A90" w:rsidP="007B1A90">
            <w:pPr>
              <w:rPr>
                <w:rFonts w:ascii="Times New Roman" w:hAnsi="Times New Roman" w:cs="Times New Roman"/>
                <w:sz w:val="20"/>
                <w:szCs w:val="20"/>
              </w:rPr>
            </w:pPr>
            <w:r w:rsidRPr="007B1A90">
              <w:rPr>
                <w:rFonts w:ascii="Times New Roman" w:hAnsi="Times New Roman" w:cs="Times New Roman"/>
                <w:sz w:val="20"/>
                <w:szCs w:val="20"/>
              </w:rPr>
              <w:t>Women face the highest exposure intensity and duration due to their cooking role</w:t>
            </w:r>
          </w:p>
          <w:p w14:paraId="076169D4" w14:textId="220AD9EE" w:rsidR="007B1A90" w:rsidRPr="00A004C8" w:rsidRDefault="007B1A90" w:rsidP="0097347A">
            <w:pPr>
              <w:spacing w:line="360" w:lineRule="auto"/>
              <w:rPr>
                <w:rFonts w:ascii="Times New Roman" w:hAnsi="Times New Roman" w:cs="Times New Roman"/>
                <w:sz w:val="18"/>
                <w:szCs w:val="18"/>
              </w:rPr>
            </w:pPr>
          </w:p>
        </w:tc>
        <w:tc>
          <w:tcPr>
            <w:tcW w:w="1199"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3F25A609"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High [37,38]</w:t>
            </w:r>
          </w:p>
        </w:tc>
      </w:tr>
      <w:tr w:rsidR="007B1A90" w:rsidRPr="00A004C8" w14:paraId="7D9B12FA" w14:textId="77777777" w:rsidTr="0097347A">
        <w:tc>
          <w:tcPr>
            <w:tcW w:w="169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2006257"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Cardiovascular</w:t>
            </w:r>
          </w:p>
        </w:tc>
        <w:tc>
          <w:tcPr>
            <w:tcW w:w="198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C9762E"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Hypertension, stroke, ischaemic heart disease</w:t>
            </w:r>
          </w:p>
        </w:tc>
        <w:tc>
          <w:tcPr>
            <w:tcW w:w="23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C77CA2"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Systemic inflammation and oxidative stress from prolonged PM2.5 exposure</w:t>
            </w:r>
          </w:p>
        </w:tc>
        <w:tc>
          <w:tcPr>
            <w:tcW w:w="216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0515FD"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Additive risk in women already carrying high hypertension burden</w:t>
            </w:r>
          </w:p>
        </w:tc>
        <w:tc>
          <w:tcPr>
            <w:tcW w:w="119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0295B28"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Moderate [39]</w:t>
            </w:r>
          </w:p>
        </w:tc>
      </w:tr>
      <w:tr w:rsidR="007B1A90" w:rsidRPr="00A004C8" w14:paraId="56A7ABDC" w14:textId="77777777" w:rsidTr="0097347A">
        <w:tc>
          <w:tcPr>
            <w:tcW w:w="1693"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133EDFE"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Maternal Health</w:t>
            </w:r>
          </w:p>
        </w:tc>
        <w:tc>
          <w:tcPr>
            <w:tcW w:w="198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003DF5C8"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Low birthweight, preterm birth, perinatal mortality</w:t>
            </w:r>
          </w:p>
        </w:tc>
        <w:tc>
          <w:tcPr>
            <w:tcW w:w="2316"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640A983A"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Household air pollution during pregnancy; energy-poor facility delivery</w:t>
            </w:r>
          </w:p>
        </w:tc>
        <w:tc>
          <w:tcPr>
            <w:tcW w:w="2167"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057EC71C"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Disproportionate risk during pregnancy and childbirth</w:t>
            </w:r>
          </w:p>
        </w:tc>
        <w:tc>
          <w:tcPr>
            <w:tcW w:w="1199"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6BA93D75"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High [40–42]</w:t>
            </w:r>
          </w:p>
        </w:tc>
      </w:tr>
      <w:tr w:rsidR="007B1A90" w:rsidRPr="00A004C8" w14:paraId="39B8E986" w14:textId="77777777" w:rsidTr="0097347A">
        <w:tc>
          <w:tcPr>
            <w:tcW w:w="169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790896"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Child Health</w:t>
            </w:r>
          </w:p>
        </w:tc>
        <w:tc>
          <w:tcPr>
            <w:tcW w:w="198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4B5163"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Acute respiratory infection, neonatal complications</w:t>
            </w:r>
          </w:p>
        </w:tc>
        <w:tc>
          <w:tcPr>
            <w:tcW w:w="23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7E1635"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Early-life smoke exposure; maternal exposure during pregnancy</w:t>
            </w:r>
          </w:p>
        </w:tc>
        <w:tc>
          <w:tcPr>
            <w:tcW w:w="216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26E7E3"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Girls additionally burdened by domestic energy labour</w:t>
            </w:r>
          </w:p>
        </w:tc>
        <w:tc>
          <w:tcPr>
            <w:tcW w:w="119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9ADA62"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High [36]</w:t>
            </w:r>
          </w:p>
        </w:tc>
      </w:tr>
      <w:tr w:rsidR="007B1A90" w:rsidRPr="00A004C8" w14:paraId="14844B16" w14:textId="77777777" w:rsidTr="0097347A">
        <w:tc>
          <w:tcPr>
            <w:tcW w:w="1693"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05E38057"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Mental Health</w:t>
            </w:r>
          </w:p>
        </w:tc>
        <w:tc>
          <w:tcPr>
            <w:tcW w:w="198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03BF481A"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Depression, anxiety, chronic psychosocial distress</w:t>
            </w:r>
          </w:p>
        </w:tc>
        <w:tc>
          <w:tcPr>
            <w:tcW w:w="2316"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5C3DAD4A"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Energy insecurity, chronic scarcity stress, loss of agency</w:t>
            </w:r>
          </w:p>
        </w:tc>
        <w:tc>
          <w:tcPr>
            <w:tcW w:w="2167"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452DD14A"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Women report exhaustion, shame, and structural helplessness</w:t>
            </w:r>
          </w:p>
        </w:tc>
        <w:tc>
          <w:tcPr>
            <w:tcW w:w="1199"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09C2E2D2"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Emerging [43]</w:t>
            </w:r>
          </w:p>
        </w:tc>
      </w:tr>
      <w:tr w:rsidR="007B1A90" w:rsidRPr="00A004C8" w14:paraId="3702635A" w14:textId="77777777" w:rsidTr="0097347A">
        <w:tc>
          <w:tcPr>
            <w:tcW w:w="169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4158B2"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Time Poverty</w:t>
            </w:r>
          </w:p>
        </w:tc>
        <w:tc>
          <w:tcPr>
            <w:tcW w:w="198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F46601"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Reduced discretionary time; forgone rest and productivity</w:t>
            </w:r>
          </w:p>
        </w:tc>
        <w:tc>
          <w:tcPr>
            <w:tcW w:w="23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F9F6D3"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Fuel collection and inefficient cooking consume 2–7 hrs/day</w:t>
            </w:r>
          </w:p>
        </w:tc>
        <w:tc>
          <w:tcPr>
            <w:tcW w:w="216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7EDAE9"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Severely constrains economic participation and wellbeing</w:t>
            </w:r>
          </w:p>
        </w:tc>
        <w:tc>
          <w:tcPr>
            <w:tcW w:w="119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2A109D1"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High [29,30]</w:t>
            </w:r>
          </w:p>
        </w:tc>
      </w:tr>
      <w:tr w:rsidR="007B1A90" w:rsidRPr="00A004C8" w14:paraId="43999025" w14:textId="77777777" w:rsidTr="0097347A">
        <w:tc>
          <w:tcPr>
            <w:tcW w:w="1693"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71AA5806"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Education</w:t>
            </w:r>
          </w:p>
        </w:tc>
        <w:tc>
          <w:tcPr>
            <w:tcW w:w="1985"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2EFFC056"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Lower school attendance and attainment, especially for girls</w:t>
            </w:r>
          </w:p>
        </w:tc>
        <w:tc>
          <w:tcPr>
            <w:tcW w:w="2316"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24827B49"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Girls withdrawn for fuel collection and cooking assistance</w:t>
            </w:r>
          </w:p>
        </w:tc>
        <w:tc>
          <w:tcPr>
            <w:tcW w:w="2167"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3CC06368"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Reinforces intergenerational inequality</w:t>
            </w:r>
          </w:p>
        </w:tc>
        <w:tc>
          <w:tcPr>
            <w:tcW w:w="1199" w:type="dxa"/>
            <w:tcBorders>
              <w:top w:val="single" w:sz="1" w:space="0" w:color="CCCCCC"/>
              <w:left w:val="single" w:sz="1" w:space="0" w:color="CCCCCC"/>
              <w:bottom w:val="single" w:sz="1" w:space="0" w:color="CCCCCC"/>
              <w:right w:val="single" w:sz="1" w:space="0" w:color="CCCCCC"/>
            </w:tcBorders>
            <w:shd w:val="clear" w:color="auto" w:fill="EBF5FB"/>
            <w:tcMar>
              <w:top w:w="80" w:type="dxa"/>
              <w:left w:w="120" w:type="dxa"/>
              <w:bottom w:w="80" w:type="dxa"/>
              <w:right w:w="120" w:type="dxa"/>
            </w:tcMar>
          </w:tcPr>
          <w:p w14:paraId="3BB255FD"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Moderate [32]</w:t>
            </w:r>
          </w:p>
        </w:tc>
      </w:tr>
      <w:tr w:rsidR="007B1A90" w:rsidRPr="00A004C8" w14:paraId="02C414BF" w14:textId="77777777" w:rsidTr="0097347A">
        <w:tc>
          <w:tcPr>
            <w:tcW w:w="169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3BAEFC"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Economic Participation</w:t>
            </w:r>
          </w:p>
        </w:tc>
        <w:tc>
          <w:tcPr>
            <w:tcW w:w="198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B4E7B2"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Reduced paid employment and entrepreneurship</w:t>
            </w:r>
          </w:p>
        </w:tc>
        <w:tc>
          <w:tcPr>
            <w:tcW w:w="23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0294BBD"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Biomass labour precludes market participation</w:t>
            </w:r>
          </w:p>
        </w:tc>
        <w:tc>
          <w:tcPr>
            <w:tcW w:w="216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4B74B6"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Lower financial independence; constrained transition capacity</w:t>
            </w:r>
          </w:p>
        </w:tc>
        <w:tc>
          <w:tcPr>
            <w:tcW w:w="119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C96F6B" w14:textId="77777777" w:rsidR="007B1A90" w:rsidRPr="00A004C8" w:rsidRDefault="007B1A90" w:rsidP="0097347A">
            <w:pPr>
              <w:spacing w:line="360" w:lineRule="auto"/>
              <w:rPr>
                <w:rFonts w:ascii="Times New Roman" w:hAnsi="Times New Roman" w:cs="Times New Roman"/>
                <w:sz w:val="18"/>
                <w:szCs w:val="18"/>
              </w:rPr>
            </w:pPr>
            <w:r w:rsidRPr="00A004C8">
              <w:rPr>
                <w:rFonts w:ascii="Times New Roman" w:hAnsi="Times New Roman" w:cs="Times New Roman"/>
                <w:sz w:val="18"/>
                <w:szCs w:val="18"/>
              </w:rPr>
              <w:t>Moderate [22,31]</w:t>
            </w:r>
          </w:p>
        </w:tc>
      </w:tr>
    </w:tbl>
    <w:p w14:paraId="08BC7778" w14:textId="77777777" w:rsidR="00AE7E0C" w:rsidRPr="00AE7E0C" w:rsidRDefault="00AE7E0C" w:rsidP="002F17CE">
      <w:pPr>
        <w:rPr>
          <w:rFonts w:ascii="Times New Roman" w:hAnsi="Times New Roman" w:cs="Times New Roman"/>
          <w:b/>
          <w:bCs/>
          <w:sz w:val="24"/>
          <w:szCs w:val="24"/>
        </w:rPr>
      </w:pPr>
    </w:p>
    <w:p w14:paraId="3C246D85" w14:textId="77777777" w:rsidR="002F17CE" w:rsidRPr="002F17CE" w:rsidRDefault="002F17CE" w:rsidP="002F17CE">
      <w:pPr>
        <w:rPr>
          <w:rFonts w:ascii="Times New Roman" w:hAnsi="Times New Roman" w:cs="Times New Roman"/>
          <w:sz w:val="24"/>
          <w:szCs w:val="24"/>
        </w:rPr>
      </w:pPr>
    </w:p>
    <w:p w14:paraId="5C8A62BA" w14:textId="77777777" w:rsidR="002F17CE" w:rsidRPr="007B1A90"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5.5 Critical Synthesis: Contested findings, methodological weaknesses, and contribution of this review</w:t>
      </w:r>
    </w:p>
    <w:p w14:paraId="78D40CFB"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direction of effects is consistent across the studies for health outcomes, and estimates of magnitude have some meaningful uncertainty. Pooled data on COPD and cardiovascular risk due to biomass smoke are largely based on Asian and Latin American populations, whereas African studies are largely primary data [37,38]. These risk ratios are applied to African populations in the absence of empirical evidence for regional similarities in exposure intensity, cooking methods, household structure, and co-morbidity profiles. The HAPIN trial offers quality causal evidence on the pathway to birth outcomes for the LPG intervention [47]. Its generalisability to African settings, however, needs to be approached with caution as the baseline fuel mix, household structures, and LPG supply chains are very different from those in the trial sites. The mental health associations are at a preliminary stage of validation, and the available studies are cross-sectional and conducted with instruments that were not validated across all African contexts [43].</w:t>
      </w:r>
    </w:p>
    <w:p w14:paraId="7A02F5A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evidence for inverse relationships between the economics of women's participation and the fuel-collection burden with respect to on-time poverty is credible and corroborated by multiple country studies [30,31]. However, much of this literature is cross-sectional and, above all, largely qualitative, thus constraining causal inference. In most study designs, it is impossible to completely rule out reverse causality (i.e., women with lower incomes or limited labour market opportunities would also be more likely to be in biomass-dependent households). Geographic concentration is another methodological concern in the literature reviewed: 83% of primary studies take place in Ethiopia, Ghana, Kenya, and South Africa, and results from the studies may not be readily applicable to other regions of the world, such as Francophone West Africa, Central Africa, or the Horn, where energy systems, gender norms, and governance structures vary [3,37].</w:t>
      </w:r>
    </w:p>
    <w:p w14:paraId="5E96632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Another issue to consider is the publication bias. Evidence from the literature is skewed towards programmes with measurable positive outcomes, with null or negative outcomes of failed cookstove or electrification interventions less likely to be published [75]. This establishes an evidence base which can systematically overestimate programme effectiveness. While the present review can do little to rectify this bias, it seeks to mitigate its impact by presenting critical political economy analyses alongside impact evaluations and by explicitly highlighting where effect sizes are ambiguous and/or context-specific.</w:t>
      </w:r>
    </w:p>
    <w:p w14:paraId="4A67A40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 xml:space="preserve"> The structural gender gaps, energy deprivation, health burden, and the failure of the governance system are not explored in isolation in the sectoral literature; rather, the pathways through which these gaps interact and reinforce one another are examined. The energy justice lens is applied as a cross-cutting evaluative lens, linking evidence domains that are generally kept in silos and providing a synthesis of why overall energy access statistics can continue to improve. By contrast, women's actual situation of energy poverty does not change significantly.</w:t>
      </w:r>
    </w:p>
    <w:p w14:paraId="050C1229" w14:textId="77777777" w:rsidR="002F17CE" w:rsidRPr="002F17CE" w:rsidRDefault="002F17CE" w:rsidP="002F17CE">
      <w:pPr>
        <w:rPr>
          <w:rFonts w:ascii="Times New Roman" w:hAnsi="Times New Roman" w:cs="Times New Roman"/>
          <w:sz w:val="24"/>
          <w:szCs w:val="24"/>
        </w:rPr>
      </w:pPr>
    </w:p>
    <w:p w14:paraId="3B21672B" w14:textId="77777777" w:rsidR="002F17CE" w:rsidRPr="007B1A90"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6. STRUCTURAL AND GOVERNANCE DETERMINANTS</w:t>
      </w:r>
    </w:p>
    <w:p w14:paraId="3A266577" w14:textId="4A886C6A"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division of energy-related labour by gender is reinforced, beyond economic considerations, by cultural norms that norma</w:t>
      </w:r>
      <w:r w:rsidR="007B1A90">
        <w:rPr>
          <w:rFonts w:ascii="Times New Roman" w:hAnsi="Times New Roman" w:cs="Times New Roman"/>
          <w:sz w:val="24"/>
          <w:szCs w:val="24"/>
        </w:rPr>
        <w:t>lise</w:t>
      </w:r>
      <w:r w:rsidRPr="002F17CE">
        <w:rPr>
          <w:rFonts w:ascii="Times New Roman" w:hAnsi="Times New Roman" w:cs="Times New Roman"/>
          <w:sz w:val="24"/>
          <w:szCs w:val="24"/>
        </w:rPr>
        <w:t xml:space="preserve"> cooking and domestic energy management as feminine and domestic. These norms are not uniform: they differ across regions, generations, religions, and household types, and will vary over time, reflecting changes in gender relations driven by urbanization, education, and economic transformation. However, in many communities across West, East, and Southern Africa, cooking over an open fire is more than a means to produce food; it is a place where intergenerational knowledge transmission occurs and, in some contexts, an indicator of domestic skills [45]. When these associations are high, they lead to direct, measurable implications for technology adoption. Resistance to the adoption of improved cookstoves or clean fuels in households where cooking is a central and significant aspect of cultural identity may occur, even though the cost and availability of these stoves and fuels are insufficient to explain it [44].</w:t>
      </w:r>
    </w:p>
    <w:p w14:paraId="6E0F6C6E"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Women can be subject to social sanctions for going against traditional cooking methods or have values which make change seem like giving up on being a woman. Households with male heads may oppose biomass energy replacement because they see it as outside their responsibility or domain. Therefore, do not see the health impacts and time savings from using other energy technologies as issues to be addressed [23]. Such dynamics make top-down technology dissemination programmes, based on the assumption that adoption is a rational economic choice that responds to price signals and to subsidy design, much more complicated.</w:t>
      </w:r>
    </w:p>
    <w:p w14:paraId="60BFAED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6.2 Government Failure and Policy Design Shortfalls</w:t>
      </w:r>
    </w:p>
    <w:p w14:paraId="34A4850B"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 systematic review of energy frameworks across 18 countries in sub-Saharan Africa (SSA) found that most frameworks have a narrow, superficial gender lens [45]. The vast majority of frameworks lack gendered indicators, making it structurally challenging to measure progress towards gendered outcomes in energy access, except when there is political will to do so. In some instances, gender language emerged in policy documents. However, it was limited to general expressions of commitment to empowerment, and was not reflected in the programme design, budget allocation or institutional accountability systems [14].</w:t>
      </w:r>
    </w:p>
    <w:p w14:paraId="2690BD4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International frameworks compound domestic failures. The SDG7 reporting architecture does not mandate sex-disaggregated data, so progress towards universal energy access is measured at the household level and is inherently blind to intra-household inequalities [15]. A biomass-to-LPG transition is regarded as having the potential to provide clean cooking access, regardless of who decides to switch to LPG, who suffers exposure to cooking smoke during the transition period, or the financial burden of LPG refills. This methodological gambit strategically obscures the gendered distribution of energy poverty and shields policy from gendered accountability.</w:t>
      </w:r>
    </w:p>
    <w:p w14:paraId="19BA352C"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Political economy analyses help to bring into focus the gap between policy words and programme action. The analysis of the Gender Policy for energy access in Kenya in 2019 revealed that, although it has a formal gender quota, the policy is not well institutionalized and lacks legal enforcement mechanisms [49]. The ECOWAS Policy for Gender Mainstreaming in Energy Access establishes that institutional capacity and political will are the major challenges to implementing the policy at the regional level among member states [50]. These results indicate governance shortcomings that cannot be overcome by technical or financial measures alone.</w:t>
      </w:r>
    </w:p>
    <w:p w14:paraId="17968D70" w14:textId="77777777" w:rsidR="002F17CE" w:rsidRPr="007B1A90"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6.3 Financial Exclusion and Structural Barriers to Clean Energy Transition</w:t>
      </w:r>
    </w:p>
    <w:p w14:paraId="05BCBAD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Fundamentally, access to clean energy is about who can decide to have access and who can afford the investment. Although women often control the day-to-day finances of the household, in many African households, choices related to major energy investments, such as stoves, fuel types, and grid connection, are made by male household members [27]. Women who need most to make clean energy transitions are the most structurally marginalized to do so.</w:t>
      </w:r>
    </w:p>
    <w:p w14:paraId="3459541A" w14:textId="6EB3EEC1" w:rsid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In many African countries, the lack of formal financial services for women further exacerbates this constraint. Women face significant constraints when accessing financing for initial capital investments in clean energy transitions, even when credit schemes offer incentives for such investments, due to a lack of savings accounts, credit histories, and collateral [9]. Another structural barrier is land tenure arrangements, as women may not be eligible to access rural electrification connections, which are based on land ownership, or they may not have access to land as collateral to finance energy systems in countries where customary land tenure systems are in place and limit women's ability to hold land [46]. Unless policies are explicitly designed to address the gender gap, energy transition driven by market forces is likely to favour men over women and to exclude the most energy-poor households, which tend to be more female-headed.</w:t>
      </w:r>
    </w:p>
    <w:p w14:paraId="07DB5090" w14:textId="77777777" w:rsidR="007B1A90" w:rsidRPr="002F17CE" w:rsidRDefault="007B1A90" w:rsidP="002F17CE">
      <w:pPr>
        <w:rPr>
          <w:rFonts w:ascii="Times New Roman" w:hAnsi="Times New Roman" w:cs="Times New Roman"/>
          <w:sz w:val="24"/>
          <w:szCs w:val="24"/>
        </w:rPr>
      </w:pPr>
    </w:p>
    <w:p w14:paraId="61FC3C8A" w14:textId="77777777" w:rsidR="002F17CE" w:rsidRPr="007B1A90"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7. POLICY RESPONSES: EVIDENCE, GAPS, AND CRITICAL ASSESSMENT</w:t>
      </w:r>
    </w:p>
    <w:p w14:paraId="24AB64D5" w14:textId="77777777" w:rsidR="002F17CE" w:rsidRPr="007B1A90"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7.1 Policy Landscape: National, Regional, and Continental Frameworks</w:t>
      </w:r>
    </w:p>
    <w:p w14:paraId="5E480C07" w14:textId="77777777" w:rsidR="002F17CE" w:rsidRPr="007B1A90"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7.1.1 National Energy Policies and Gender Mainstreaming</w:t>
      </w:r>
    </w:p>
    <w:p w14:paraId="2F6DE516"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National energy policies are the main framework that dictates a nation's developmental path and energy infrastructure. Historical energy governance has been focused on electrification and grid extension at the scale of industry and urban areas throughout much of Africa. Although they have macroeconomic justification, they have systematically excluded the last mile of energy access, the rural and peri-urban women who bear the brunt of energy poverty, and whose empowerment is amongst the strongest drivers of household poverty reduction [56].</w:t>
      </w:r>
    </w:p>
    <w:p w14:paraId="25FA560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 national energy policy that fails to consider the specific energy needs of women is an inadvertent perpetuation of socio-economic imbalance. The mainstreaming of gender is thus a key demand of present-day energy governance. The right use of the term gender mainstreaming is not to add women to projects or ensure a specific number of women are present in meetings. This is an iterative process in which gender is incorporated into all phases of energy policy development, from conception and planning through budgeting, implementation, monitoring, and evaluation [57]. This distinction between procedural inclusion and substantive integration is analytically important because many African energy policies meet the former but not the latter.</w:t>
      </w:r>
    </w:p>
    <w:p w14:paraId="0FC25C7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Gender mainstreaming on the continent has not been equal, and the quality of integration, if it has occurred, is variable. More than 60 per cent of national energy policies in East and Southern Africa (ESAF) include a reference to gender, and about 40 per cent include gender and energy access as a link to better environmental outcomes [58]. ECOWAS has also led its member countries to include gender mainstreaming in their National Action Plans (NAPs), and some countries, such as Burkina Faso, Liberia, Sierra Leone, and Nigeria, have taken steps in that direction. Nigeria has done this by incorporating energy into its national gender policy and conducting gender audits of the energy sector [59]. However, there is significant variation across cases in the extent to which integration is achieved.</w:t>
      </w:r>
    </w:p>
    <w:p w14:paraId="2E626E5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In contrast to most other NAPs, which leave energy references vague, Sierra Leone specifically mentions energy access gaps and addresses them by promoting energy technologies, such as solar energy and biogas production [60]. However, it is important to recognize that Sierra Leone's policy focus on biogas and solar might be driven by foreign investors' preferences rather than a deliberate effort to address gendered access to clean energy. This is a good example of how the political economy of energy finance can skew the gendering of national plans.</w:t>
      </w:r>
    </w:p>
    <w:p w14:paraId="112EE38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National Energy Policy of Ghana puts more emphasis on gender mainstreaming. It touches on women's issues in a specific way but is also criticized for focusing on women as objects of empowerment rather than as agents of policy formulation and implementation [35]. At a higher level of institutional development, Rwanda displays a similar pattern. Although both its Gender Monitoring Office and its National Energy Policy (2015) explicitly recognize the need to mainstream gender in energy, they cannot be upheld in practice because they lack disaggregated gender data. [62].</w:t>
      </w:r>
    </w:p>
    <w:p w14:paraId="4EDBA48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Even this is not reached by all the countries. While the national energy policy does not specifically mention energy access inequities for women, youth, and persons with disabilities (PWD), they are grouped, and barriers to energy access for women differ from those of the other groups [58]. Kenya is a more illustrative example; the Gender Policy for Energy Access 2019 is substantively well designed and has access to clean cooking fuels as one of its key pillars, and it has also applied the country's constitutionally mandated two-thirds gender rule in relation to the composition of appointive bodies in the energy sector [49]. Enforcement and implementation, however, have been restricted, and institutional and political constraints that persist across the continent, even with good policies on paper, have persisted [49].</w:t>
      </w:r>
    </w:p>
    <w:p w14:paraId="5B43E439"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In all of these cases, there is a consistent trend. There has been noticeable progress in the use of gender-inclusive language in energy policies in Africa, largely driven by international agreements and frameworks such as Agenda 2063 of the African Union, the SDGs, and the ECOWAS Policy on Gender Mainstreaming in Energy Access. However, a gap persists between policy intention and local action. Although gender has been adopted into the language of many national energy ministries, it has not been translated into specific technical targets, time-bound accountability mechanisms, or budgets. This is partly due to a process-centred approach, and to conceptual misunderstandings about the purpose of gender mainstreaming [63].</w:t>
      </w:r>
    </w:p>
    <w:p w14:paraId="56975159" w14:textId="77777777" w:rsidR="002F17CE" w:rsidRPr="002F17CE" w:rsidRDefault="002F17CE" w:rsidP="002F17CE">
      <w:pPr>
        <w:rPr>
          <w:rFonts w:ascii="Times New Roman" w:hAnsi="Times New Roman" w:cs="Times New Roman"/>
          <w:sz w:val="24"/>
          <w:szCs w:val="24"/>
        </w:rPr>
      </w:pPr>
    </w:p>
    <w:p w14:paraId="061899BA" w14:textId="77777777" w:rsidR="002F17CE" w:rsidRPr="007B1A90"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7.1.2 The ECOWAS Framework: Regional Mandate and Institutional Limits</w:t>
      </w:r>
    </w:p>
    <w:p w14:paraId="78CE389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ECOWAS Policy for Gender Mainstreaming in Energy Access is the most mature regional governance instrument that explicitly addresses gender equity and energy access in Africa. The policy, in its current form, was adopted in 2024 and requires that gender mainstreaming be included in the National Action Plans of member states, which also include an implementation strategy for this [50]. Its ambition is great. It makes a formal declaration that access to and use of energy cannot occur without addressing the structural conditions that limit women's access to energy systems.</w:t>
      </w:r>
    </w:p>
    <w:p w14:paraId="1A5E697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In reality, however, adoption rates within the 15 member states have been low and inconsistent. ECOWAS will have recognized that institutional capacity and political will are the main implementation challenges [50]. Another constraint of the ECOWAS policy is its technology-neutrality. It does not prescribe specific energy technologies, unlike Sierra Leone's NAP, which does, and it does not specify how to translate gender commitments into concrete energy choices, which requires the capacity and incentives of national governments, which vary significantly [60]. This pro- and administrative-tactical approach diminishes the policy's effectiveness where it counts most: at the moment of its implementation.</w:t>
      </w:r>
    </w:p>
    <w:p w14:paraId="33004435" w14:textId="77777777" w:rsidR="002F17CE" w:rsidRPr="007B1A90"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7.1.3 Continental and Global Frameworks: AU Agenda 2063 and SDG 7</w:t>
      </w:r>
    </w:p>
    <w:p w14:paraId="2C458085"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National policies and ECOWAS provide sub-continental blueprints, but the scale of energy poverty in Africa calls for an integrated continental approach. The two major strategies that offer strategic scaffolding for this are the Agenda 2063 of the African Union and the Sustainable Development Goal 7 (SDG 7) of the United Nations.</w:t>
      </w:r>
    </w:p>
    <w:p w14:paraId="01602AF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African Union's blueprint for transforming the continent over the next 50 years is Agenda 2063. Its energy aspect is aligned with Aspiration 1 (A Prosperous Africa). It is supported by the Programme for Infrastructure Development in Africa (PIDA), which will focus on reducing energy costs and increasing access to energy for an additional 800 million people, particularly in rural and underserved areas [64]. Women and socio-economic equity play a central role in the agenda, including several aspirations for women's government participation, land rights, and access to credit. However, the document does not explicitly refer to energy as a gender issue. The two sets of commitments are not in separate dialogue, but in parallel [64].</w:t>
      </w:r>
    </w:p>
    <w:p w14:paraId="615BEAA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SDG 7 calls for universal access to affordable, reliable and modern energy services (Target 7.1), a significant increase in the percentage of renewables in the energy mix (Target 7.2), and a doubling of the rate of improvement in energy efficiency (Target 7.3), as well as two means of implementation targets that focus on international cooperation and investment in infrastructure in developing countries countries (Targets 7.A and 7.B). SDG 7 is not an SDG meant to be achieved individually, but rather a 'nexus' SDG that serves as a foundation for health (SDG 3), education (SDG 4), and poverty reduction (SDG 1) for African governments, including Ethiopia and Kenya (65).</w:t>
      </w:r>
    </w:p>
    <w:p w14:paraId="1E456AE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One of the major weaknesses of SDG 7 in this regard is the absence of specific gender-related indicators. It is structurally different from many other SDGs in that it does not call for disaggregated data by sex, so there is no way to determine whether energy access gains are occurring for women. Gender appears in Target 7.1.2, access to clean fuels and technologies for cooking, as a proxy indicator due to the structural genderization of cooking, in SDG 7. In SDG 7, gender is only indirectly represented in Target 7.1.2, access to clean fuels and technologies for cooking, where access to clean cooking is used as a proxy indicator for gender. The African Development Bank's New Deal on Energy for Africa has sought to address this gap by setting specific targets to promote women's participation in energy infrastructure jobs and increase access to clean cooking fuels for 130 million households [66]. These undertakings are not part of the SDG 7 formal monitoring framework, however.</w:t>
      </w:r>
    </w:p>
    <w:p w14:paraId="6823C0C4" w14:textId="139C352B"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 xml:space="preserve">Agenda 2063 and SDG 7 can be best described as a nested approach: rhetorically aligned but operationally distinct in their energy access and energy-related development priorities. Countries within both Agendas 2030 and Agenda 2063 lack measurable indicators for gendered outcomes, as the final stretch of the 2030 SDG agenda overlaps with the second decade of the 2063 Agenda [67]. The progress has been slow and highly uneven. The combined effect of these frameworks has not yet come to fruition in terms of accelerating the progress toward universal electricity access </w:t>
      </w:r>
      <w:r w:rsidR="00EE3D4E">
        <w:rPr>
          <w:rFonts w:ascii="Times New Roman" w:hAnsi="Times New Roman" w:cs="Times New Roman"/>
          <w:sz w:val="24"/>
          <w:szCs w:val="24"/>
        </w:rPr>
        <w:t>(</w:t>
      </w:r>
      <w:r w:rsidRPr="002F17CE">
        <w:rPr>
          <w:rFonts w:ascii="Times New Roman" w:hAnsi="Times New Roman" w:cs="Times New Roman"/>
          <w:sz w:val="24"/>
          <w:szCs w:val="24"/>
        </w:rPr>
        <w:t>with less than a sixth of countries expected to reach this milestone before 2030</w:t>
      </w:r>
      <w:r w:rsidR="00EE3D4E">
        <w:rPr>
          <w:rFonts w:ascii="Times New Roman" w:hAnsi="Times New Roman" w:cs="Times New Roman"/>
          <w:sz w:val="24"/>
          <w:szCs w:val="24"/>
        </w:rPr>
        <w:t>)</w:t>
      </w:r>
      <w:r w:rsidRPr="002F17CE">
        <w:rPr>
          <w:rFonts w:ascii="Times New Roman" w:hAnsi="Times New Roman" w:cs="Times New Roman"/>
          <w:sz w:val="24"/>
          <w:szCs w:val="24"/>
        </w:rPr>
        <w:t xml:space="preserve"> nor toward improving access to clean cooking fuels </w:t>
      </w:r>
      <w:r w:rsidR="00EE3D4E">
        <w:rPr>
          <w:rFonts w:ascii="Times New Roman" w:hAnsi="Times New Roman" w:cs="Times New Roman"/>
          <w:sz w:val="24"/>
          <w:szCs w:val="24"/>
        </w:rPr>
        <w:t>(</w:t>
      </w:r>
      <w:r w:rsidRPr="002F17CE">
        <w:rPr>
          <w:rFonts w:ascii="Times New Roman" w:hAnsi="Times New Roman" w:cs="Times New Roman"/>
          <w:sz w:val="24"/>
          <w:szCs w:val="24"/>
        </w:rPr>
        <w:t>with nearly one billion people in the continent still using polluting fuels for cooking</w:t>
      </w:r>
      <w:r w:rsidR="00EE3D4E">
        <w:rPr>
          <w:rFonts w:ascii="Times New Roman" w:hAnsi="Times New Roman" w:cs="Times New Roman"/>
          <w:sz w:val="24"/>
          <w:szCs w:val="24"/>
        </w:rPr>
        <w:t>)</w:t>
      </w:r>
      <w:r w:rsidRPr="002F17CE">
        <w:rPr>
          <w:rFonts w:ascii="Times New Roman" w:hAnsi="Times New Roman" w:cs="Times New Roman"/>
          <w:sz w:val="24"/>
          <w:szCs w:val="24"/>
        </w:rPr>
        <w:t xml:space="preserve"> [69]. As this review reveals, the responsibility for this is almost entirely on women.</w:t>
      </w:r>
    </w:p>
    <w:p w14:paraId="3EA701A9" w14:textId="77777777" w:rsidR="002F17CE" w:rsidRPr="002F17CE" w:rsidRDefault="002F17CE" w:rsidP="002F17CE">
      <w:pPr>
        <w:rPr>
          <w:rFonts w:ascii="Times New Roman" w:hAnsi="Times New Roman" w:cs="Times New Roman"/>
          <w:sz w:val="24"/>
          <w:szCs w:val="24"/>
        </w:rPr>
      </w:pPr>
    </w:p>
    <w:p w14:paraId="5CA1C6EF" w14:textId="2A4D33E8" w:rsidR="002F17CE" w:rsidRPr="00EE3D4E" w:rsidRDefault="002F17CE" w:rsidP="002F17CE">
      <w:pPr>
        <w:rPr>
          <w:rFonts w:ascii="Times New Roman" w:hAnsi="Times New Roman" w:cs="Times New Roman"/>
          <w:b/>
          <w:bCs/>
          <w:sz w:val="24"/>
          <w:szCs w:val="24"/>
        </w:rPr>
      </w:pPr>
      <w:r w:rsidRPr="007B1A90">
        <w:rPr>
          <w:rFonts w:ascii="Times New Roman" w:hAnsi="Times New Roman" w:cs="Times New Roman"/>
          <w:b/>
          <w:bCs/>
          <w:sz w:val="24"/>
          <w:szCs w:val="24"/>
        </w:rPr>
        <w:t>7.2 Clean Cooking Initiatives: Achievements and Limitations</w:t>
      </w:r>
    </w:p>
    <w:p w14:paraId="4559B82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In Africa, the prevailing policy strategy on cooking energy poverty is to promote improved cook stoves and, more recently, to scale up LPG and electric cooking. Since 2010, the Clean Cooking Alliance has brought significant international funding to introduce cleaner cooking technologies in low-income areas [10]. Various national ICS programmes have been established in Ethiopia, Kenya, Nigeria, Ghana and Uganda, with different focuses on subsidies, market development and public procurement.</w:t>
      </w:r>
    </w:p>
    <w:p w14:paraId="1DF9CD1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Ambiguity is instructive with respect to the evidence on these programmes. The HAPIN trial was the largest randomized controlled trial of an LPG stove intervention ever conducted across four LMICs and demonstrated reductions in PM2.5 exposure and improvements in birth outcomes, but only modest effects on other prespecified health indicators [47]. The health benefits that can be achieved from cook stove interventions are likely to be observed only when there are steps to truly clean fuels, not just a few changes in how biomass is used, and when there is a transition in use, not just a few.</w:t>
      </w:r>
    </w:p>
    <w:p w14:paraId="133EA66F" w14:textId="039A46C5" w:rsid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Although LPG scale-up programmes have made considerable progress in Senegal, Nigeria, and Côte d'Ivoire in terms of market penetration in urban areas, achieving penetration in rural areas is hampered by weak linkages and low prices [21]. The decline in solar generation costs has increased the policy interest in electric cooking. Cooking load requirements, however, are generally higher than the capacity of the solar systems available today for off-grid applications, and the reliability of the grid in most countries is inadequate to use electricity as the main cooking fuel. These studies conclude that there is no affordable, scalable solution to clean cooking that has been implemented at the scale required to significantly change the biomass-cooking landscape in rural Africa. This has not been sufficiently recognized in international energy progress reports.</w:t>
      </w:r>
    </w:p>
    <w:p w14:paraId="5099A71E" w14:textId="31AD028A" w:rsidR="00182317" w:rsidRDefault="00182317" w:rsidP="002F17CE">
      <w:pPr>
        <w:rPr>
          <w:rFonts w:ascii="Times New Roman" w:hAnsi="Times New Roman" w:cs="Times New Roman"/>
          <w:sz w:val="24"/>
          <w:szCs w:val="24"/>
        </w:rPr>
      </w:pPr>
    </w:p>
    <w:p w14:paraId="55473D66" w14:textId="7E91F87F" w:rsidR="00182317" w:rsidRDefault="00182317" w:rsidP="002F17CE">
      <w:pPr>
        <w:rPr>
          <w:rFonts w:ascii="Times New Roman" w:hAnsi="Times New Roman" w:cs="Times New Roman"/>
          <w:sz w:val="24"/>
          <w:szCs w:val="24"/>
        </w:rPr>
      </w:pPr>
      <w:r>
        <w:rPr>
          <w:rFonts w:ascii="Times New Roman" w:hAnsi="Times New Roman" w:cs="Times New Roman"/>
          <w:noProof/>
        </w:rPr>
        <w:drawing>
          <wp:inline distT="0" distB="0" distL="0" distR="0" wp14:anchorId="357BF30C" wp14:editId="2D750D74">
            <wp:extent cx="5943600" cy="489508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943600" cy="4895084"/>
                    </a:xfrm>
                    <a:prstGeom prst="rect">
                      <a:avLst/>
                    </a:prstGeom>
                  </pic:spPr>
                </pic:pic>
              </a:graphicData>
            </a:graphic>
          </wp:inline>
        </w:drawing>
      </w:r>
    </w:p>
    <w:p w14:paraId="074F7D08" w14:textId="77777777" w:rsidR="00182317" w:rsidRPr="00802132" w:rsidRDefault="00182317" w:rsidP="00182317">
      <w:pPr>
        <w:pStyle w:val="Heading2"/>
        <w:rPr>
          <w:rFonts w:ascii="Times New Roman" w:hAnsi="Times New Roman" w:cs="Times New Roman"/>
          <w:color w:val="000000" w:themeColor="text1"/>
          <w:sz w:val="20"/>
          <w:szCs w:val="20"/>
        </w:rPr>
      </w:pPr>
      <w:r w:rsidRPr="00802132">
        <w:rPr>
          <w:rFonts w:ascii="Times New Roman" w:hAnsi="Times New Roman" w:cs="Times New Roman"/>
          <w:color w:val="000000" w:themeColor="text1"/>
          <w:sz w:val="20"/>
          <w:szCs w:val="20"/>
        </w:rPr>
        <w:t>Figure 2: This figure summarises national and regional policy responses to gender mainstreaming in Africa’s energy sector. It highlights progress across selected countries, the role of ECOWAS in advancing gender-sensitive energy access, and the persistent gap between policy commitments and practical implementation.</w:t>
      </w:r>
    </w:p>
    <w:p w14:paraId="40F72CC7" w14:textId="77777777" w:rsidR="00182317" w:rsidRPr="002F17CE" w:rsidRDefault="00182317" w:rsidP="002F17CE">
      <w:pPr>
        <w:rPr>
          <w:rFonts w:ascii="Times New Roman" w:hAnsi="Times New Roman" w:cs="Times New Roman"/>
          <w:sz w:val="24"/>
          <w:szCs w:val="24"/>
        </w:rPr>
      </w:pPr>
    </w:p>
    <w:p w14:paraId="0507AE78" w14:textId="6AB07AC6"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7.3 Electrification Programmes: Persistent Gender Gaps</w:t>
      </w:r>
    </w:p>
    <w:p w14:paraId="12BCE71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Currently, the prevailing policy approach to cooking energy poverty in Africa is through promoting improved cook stoves and, in recent years, LPG and electric cooking. Since 2010, the Clean Cooking Alliance has garnered significant international financial support to promote cleaner cooking technologies in low-income communities [10]. There have been several national improved cookstove programmes in Ethiopia, Kenya, Nigeria, Ghana and Uganda that have focused on different aspects of subsidy, market development and public procurement.</w:t>
      </w:r>
    </w:p>
    <w:p w14:paraId="73FA51B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evidence for these programmes is informative in that it is ambiguous. Results from the largest randomized controlled trial of an LPG stove intervention in four low- and middle-income countries, the HAPIN trial, showed that switching from biomass to LPG reduced exposure to PM2.5 and improved birth outcomes. In contrast, other prespecified health outcomes showed modest effects [47]. In the absence of a clear understanding of how to interpret these findings, opinion has turned towards the notion that health impacts from cookstove interventions are likely to be significant only if the transitions occur to a truly clean fuel (as opposed to a marginally more efficient use of biomass fuel) and if fuel use is both primary and sustained (as opposed to fuel use being only partial).</w:t>
      </w:r>
    </w:p>
    <w:p w14:paraId="651DDD0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In Senegal, Nigeria, and Côte d'Ivoire, LPG scale-up programmes have been successful in urban markets but limited in rural markets due to the fragility of supply chains and their high cost [21]. However, as solar electricity costs decline, electric cooking has been gaining policy attention. However, most existing off-grid solar systems are not large enough to meet cooking load requirements. In many countries, electricity supply is not sufficiently reliable to serve as a main cooking fuel. Overall, none of the more scalable, cost-effective clean cooking options has been deployed at the scale needed to significantly change the biomass cooking profile in rural Africa. This failure has not been sufficiently recognized in international energy progress reports.</w:t>
      </w:r>
    </w:p>
    <w:p w14:paraId="45B63A6D"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7.4 The Gender-Responsive Policy Gap: A Structural Assessment</w:t>
      </w:r>
    </w:p>
    <w:p w14:paraId="7AEC475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 clear structural gap can be seen across various aspects of African energy policy, such as national electrification plans, clean cooking programmes, renewable energy strategies, and regional energy policy frameworks: gender-responsive language is present, but no gender-responsive design, implementation, or monitoring. [14,45] This is not a technical issue for the most part. It is a political economy issue: the representation of women in energy governance structures is low, gender analysis is underrepresented in energy sector institutions, and programmes lack accountability mechanisms to ensure they deliver gender-equitable results.</w:t>
      </w:r>
    </w:p>
    <w:p w14:paraId="557A4D2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SDG framework nominally facilitates the conditions with a linkage between SDG 7 (affordable and clean energy) and SDG 5 (gender equality). In practice, the architectures for the reporting of these goals are not well integrated. Household data are used to monitor SDG 7, but they do not address intra-household inequality; energy access is not monitored under SDG 5. The political will to implement gender-responsive energy transitions is therefore not supported by the monitoring framework, which fails to ensure accountability on the part of governments and donors for its implementation [15].</w:t>
      </w:r>
    </w:p>
    <w:p w14:paraId="4FEE4B3F"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7.4.1 Gender Gaps in Energy Policy Design and Implementation</w:t>
      </w:r>
    </w:p>
    <w:p w14:paraId="03C9A2AE"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Just because a policy is written in gender language does not mean that it automatically leads to gender-equitable outcomes. In the African context, the literature has been strikingly consistent in identifying a gap between rhetoric and reality. The gap is realized in various overlapping ways: through policies with poor design assumptions, through the lack of women's voices in energy decision-making, through ongoing challenges with data, and through the absence of gender in the implementation of energy policies in the private sector.</w:t>
      </w:r>
    </w:p>
    <w:p w14:paraId="6972AB2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Many energy policies have a key design flaw: they treat households as homogeneous units of analysis. Policies measure energy access at the household level, concealing the intra-household dynamics through which men may allocate electricity for entertainment or productive purposes. Meanwhile, women continue to use traditional biomass in cooking [76]. This is an invisible intra-household energy burden, created by household-level aggregation and by the lack of women's rights to control resource allocation in many domestic settings.</w:t>
      </w:r>
    </w:p>
    <w:p w14:paraId="6F1DBF8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Additionally, policies often assume that health risks are the primary drivers of women's energy decisions. However, there is evidence that immediate financial and food needs are more important than long-term respiratory needs in women's decisions [75], such that top-down health-based mandates often fail at the point of adoption. Another design gap related to grid electricity expansion and clean cooking transitions is the systematic prioritization of grid electricity expansion over clean cooking transitions [77]. In households with electricity, women can still access biomass fuel, burning a few hours each day and keep their time poverty unchanged [73].</w:t>
      </w:r>
    </w:p>
    <w:p w14:paraId="63488FC1"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7.4.2 Women's Underrepresentation in Energy Governance</w:t>
      </w:r>
    </w:p>
    <w:p w14:paraId="71BFBB7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One cause and result of these design failures is the underrepresentation of women in energy governance and policymaking. Policies that emerge without women's presence in the rooms where energy policy is made tend to be more representative of what is important to men than to women. In Kenya, while the policy frameworks include provisions for women's participation in energy sector institutions, analysis indicates that no strategy is in place to operationalize this commitment. The existing legislation, such as Sessional Paper No. 4 on Energy, does not mention any vulnerable groups or how tariff concessions may be delivered to them [71].</w:t>
      </w:r>
    </w:p>
    <w:p w14:paraId="6388F5E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experience of Botswana shows a similar issue at the design phase: gender commitments in the country's gender energy policy were structurally disconnected from the beginning, since no gender specialist or women's advocate was involved in its design, and 34 institutional stakeholders participated [72]. Since then, the national energy policy for Botswana has been revised, with the words "mainstream" inserted as a policy objective, but the policy has not been put in measurable terms [72].</w:t>
      </w:r>
    </w:p>
    <w:p w14:paraId="184EF8BD" w14:textId="77777777" w:rsidR="002F17CE" w:rsidRPr="002F17CE" w:rsidRDefault="002F17CE" w:rsidP="002F17CE">
      <w:pPr>
        <w:rPr>
          <w:rFonts w:ascii="Times New Roman" w:hAnsi="Times New Roman" w:cs="Times New Roman"/>
          <w:sz w:val="24"/>
          <w:szCs w:val="24"/>
        </w:rPr>
      </w:pPr>
    </w:p>
    <w:p w14:paraId="28A91F43"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7.4.3 Public-Private Implementation Gaps</w:t>
      </w:r>
    </w:p>
    <w:p w14:paraId="7B21147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Implementation gaps also become apparent regularly at the public policy/private sector interface. The deployment of infrastructure and its beneficiaries are determined by energy utilities and independent power producers, who seldom have gender mandates and often lack the institutional structure to implement them. In Senegal, a documented example is the national electricity company Senelec, which lacks a gender focal point and has no gender-specific priorities beyond its main business: achieving cost minimization and secure supply. [70]</w:t>
      </w:r>
    </w:p>
    <w:p w14:paraId="3F1A41B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This is a failure of institutional design, as gender does not appear at the operational level of intervention, despite being mentioned at the policy level; an issue that cannot be addressed by financing and technology interventions.</w:t>
      </w:r>
    </w:p>
    <w:p w14:paraId="6D57DD53"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7.4.4 Data Deficits and Weak Accountability Mechanisms</w:t>
      </w:r>
    </w:p>
    <w:p w14:paraId="5ED29CCE"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Underlying all of these gaps is a chronic deficit in sex-disaggregated data. Without data on who makes energy decisions within households, who bears the health costs of energy poverty, and who benefits from transitions to cleaner fuels, it is structurally impossible to design targeted interventions, monitor their reach, or hold governments and donors accountable for gendered outcomes [75].</w:t>
      </w:r>
    </w:p>
    <w:p w14:paraId="50D67B2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Publication bias compounds this problem: the literature on gender and energy disproportionately documents successful programmes while underreporting failures, producing an evidence base that systematically overstates the effectiveness of existing approaches [75]. Closing these gaps requires not only more and better data collection but a reorientation of evaluation frameworks toward gendered outcome indicators. This is a reform that both Agenda 2063 and SDG 7, as currently constituted, fall short of mandating [65,66].</w:t>
      </w:r>
    </w:p>
    <w:p w14:paraId="4F3F6BB9"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7.5 Critical Assessment: From Policy Commitment to Implementation Failure</w:t>
      </w:r>
    </w:p>
    <w:p w14:paraId="4F1468E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All this evidence, taken together, indicates that while Africa's energy policy context is becoming more fluent in the language of gender equity, it is much less adept at producing gender-equitable outcomes. The following rhetorical and institutional entry points can be found in national policies, ECOWAS commitments, the AU Agenda 2063 and SDG 7. However, their net impact is undermined by reduced budgets, weak enforcement, poor disaggregation of sex-specific data, technology-sheet commitments, and the general tendency to analyze the household as an internally homogenous analytic unit.</w:t>
      </w:r>
    </w:p>
    <w:p w14:paraId="5D0957C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issue is not the lack of policy language, however. The lack of translation into targeted clean cooking transitions, productive electricity access for women, gender-informed infrastructure planning, women's engagement in energy governance, and accountability mechanisms. In the absence of addressing these gaps, policy interventions will continue to increase overall coverage of energy services while maintaining a largely unchanged gender-based distribution of energy poverty.</w:t>
      </w:r>
    </w:p>
    <w:p w14:paraId="4A7A7DA2" w14:textId="77777777" w:rsidR="002F17CE" w:rsidRPr="002F17CE" w:rsidRDefault="002F17CE" w:rsidP="002F17CE">
      <w:pPr>
        <w:rPr>
          <w:rFonts w:ascii="Times New Roman" w:hAnsi="Times New Roman" w:cs="Times New Roman"/>
          <w:sz w:val="24"/>
          <w:szCs w:val="24"/>
        </w:rPr>
      </w:pPr>
    </w:p>
    <w:p w14:paraId="58329D19" w14:textId="77777777" w:rsidR="002F17CE" w:rsidRPr="002F17CE" w:rsidRDefault="002F17CE" w:rsidP="002F17CE">
      <w:pPr>
        <w:rPr>
          <w:rFonts w:ascii="Times New Roman" w:hAnsi="Times New Roman" w:cs="Times New Roman"/>
          <w:sz w:val="24"/>
          <w:szCs w:val="24"/>
        </w:rPr>
      </w:pPr>
    </w:p>
    <w:p w14:paraId="28C19B7B" w14:textId="77777777" w:rsidR="002F17CE" w:rsidRPr="002F17CE" w:rsidRDefault="002F17CE" w:rsidP="002F17CE">
      <w:pPr>
        <w:rPr>
          <w:rFonts w:ascii="Times New Roman" w:hAnsi="Times New Roman" w:cs="Times New Roman"/>
          <w:sz w:val="24"/>
          <w:szCs w:val="24"/>
        </w:rPr>
      </w:pPr>
    </w:p>
    <w:p w14:paraId="26767788" w14:textId="77777777" w:rsidR="002F17CE" w:rsidRPr="002F17CE" w:rsidRDefault="002F17CE" w:rsidP="002F17CE">
      <w:pPr>
        <w:rPr>
          <w:rFonts w:ascii="Times New Roman" w:hAnsi="Times New Roman" w:cs="Times New Roman"/>
          <w:sz w:val="24"/>
          <w:szCs w:val="24"/>
        </w:rPr>
      </w:pPr>
    </w:p>
    <w:p w14:paraId="29D45893"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8. PERSISTENT CHALLENGES: A LAYERED ANALYSIS</w:t>
      </w:r>
    </w:p>
    <w:p w14:paraId="5256D3C5"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Progress in addressing gendered energy poverty in Africa is constrained by overlapping challenges at the financial, infrastructural, institutional, and political levels. Understanding these challenges as layered and interacting, rather than as discrete, sequentially solvable problems, is essential for realistic policy design.</w:t>
      </w:r>
    </w:p>
    <w:p w14:paraId="68071AA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Financial barriers are the most frequently cited obstacle to clean energy adoption, and they affect women with particular force. The upfront costs of LPG cylinders and stoves, solar home systems, and grid connection fees represent multiples of monthly household income for the majority of Africa's energy-poor population[21]. Subsidies have been deployed across many countries but are typically poorly targeted, reaching wealthier urban consumers while failing to reach the rural and peri-urban markets where need is greatest [10,19]. Women, who are more likely to lack formal income, credit history, and collateral, face barriers to both market-rate financing and subsidized product access.</w:t>
      </w:r>
    </w:p>
    <w:p w14:paraId="7395B28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Infrastructure constraints represent a second and compounding category of challenge. In remote rural areas, the economics of grid extension are unfavourable under standard utility models, and LPG supply chains are unreliable or absent. Off-grid solar technology has made substantial inroads in these contexts, but most deployed systems remain sized for lighting and phone charging rather than cooking[18]. The absence of affordable clean cooking alternatives leaves open-fire biomass combustion as the structural default, not because households prefer it but because viable alternatives are inaccessible. Characterizing this as a market failure misidentifies the problem: it is primarily a public investment failure.</w:t>
      </w:r>
    </w:p>
    <w:p w14:paraId="50EF0B02" w14:textId="0F62FB10" w:rsid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 xml:space="preserve">Institutional capacity and political will represent the third and most underappreciated layer of challenge. Energy policies that are technically sound and adequately resourced can still fail to produce gender-equitable outcomes where implementing institutions lack training in gender analysis, accountability to gendered outcome metrics, or incentives to prioritize the women least visible in formal markets. </w:t>
      </w:r>
    </w:p>
    <w:p w14:paraId="63465553" w14:textId="77777777" w:rsidR="00EE3D4E" w:rsidRPr="002F17CE" w:rsidRDefault="00EE3D4E" w:rsidP="002F17CE">
      <w:pPr>
        <w:rPr>
          <w:rFonts w:ascii="Times New Roman" w:hAnsi="Times New Roman" w:cs="Times New Roman"/>
          <w:sz w:val="24"/>
          <w:szCs w:val="24"/>
        </w:rPr>
      </w:pPr>
    </w:p>
    <w:p w14:paraId="7D863273"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9. FUTURE DIRECTIONS</w:t>
      </w:r>
    </w:p>
    <w:p w14:paraId="61623E1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conclusions drawn from the evidence presented in this paper help inform a series of realistic and attainable policy changes. These are not add-on activities to current energy programmes; they are conditions that must be in place to ensure energy programmes have an equitable impact.</w:t>
      </w:r>
    </w:p>
    <w:p w14:paraId="10F3E20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Collecting sex-disaggregated data should be a core component of any energy programme funded by a national or international agency, and the results should be reported and monitored by tracking indicators of sex-specific activities [15]. However, it is structurally impossible to measure whether programmes are achieving equitable outcomes if there is no information on who is making energy decisions, who is experiencing the health impacts of energy poverty, and who is benefiting from interventions to reduce energy poverty within households [45].</w:t>
      </w:r>
    </w:p>
    <w:p w14:paraId="7733D85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design of programs must be gender-sensitive, that is, systematically include women as informants and decision-makers, rather than only as target beneficiaries. Inclusive approaches to designing interventions that involve women in determining their own aspirations for what energy access means to them, their businesses, and their health result in more relevant, more widely adopted, and more lasting energy interventions than those developed without their input [44]. The linkage of energy programmes and financial inclusion programmes, land tenure reform, and legal measures for women's rights in relation to economic decision-making in the household is not a parallel development concern. It is essential to let women respond to the energy access opportunities that programmes create [9].</w:t>
      </w:r>
    </w:p>
    <w:p w14:paraId="1AFECC8F" w14:textId="1C9ABAE4" w:rsid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importance of investment in health care facility electrification as a key part of maternal and child health strategies calls for policy focus. There is sufficient evidence to support prioritizing electrification in both the energy access and universal health coverage agendas, based on the relationship between health facility electrification and maternal mortality. A narrative review of solar-driven cooling systems in hot climate regions revealed that the three cooling technologies</w:t>
      </w:r>
      <w:r w:rsidR="00EE3D4E">
        <w:rPr>
          <w:rFonts w:ascii="Times New Roman" w:hAnsi="Times New Roman" w:cs="Times New Roman"/>
          <w:sz w:val="24"/>
          <w:szCs w:val="24"/>
        </w:rPr>
        <w:t xml:space="preserve"> (</w:t>
      </w:r>
      <w:r w:rsidRPr="002F17CE">
        <w:rPr>
          <w:rFonts w:ascii="Times New Roman" w:hAnsi="Times New Roman" w:cs="Times New Roman"/>
          <w:sz w:val="24"/>
          <w:szCs w:val="24"/>
        </w:rPr>
        <w:t>absorption, adsorption and photovoltaic-driven vapour compression</w:t>
      </w:r>
      <w:r w:rsidR="00EE3D4E">
        <w:rPr>
          <w:rFonts w:ascii="Times New Roman" w:hAnsi="Times New Roman" w:cs="Times New Roman"/>
          <w:sz w:val="24"/>
          <w:szCs w:val="24"/>
        </w:rPr>
        <w:t xml:space="preserve">) </w:t>
      </w:r>
      <w:r w:rsidRPr="002F17CE">
        <w:rPr>
          <w:rFonts w:ascii="Times New Roman" w:hAnsi="Times New Roman" w:cs="Times New Roman"/>
          <w:sz w:val="24"/>
          <w:szCs w:val="24"/>
        </w:rPr>
        <w:t>showed thermodynamically compatible approaches for hot climate regions, such as sub-Saharan Africa and the MENA region, particularly in low-income environments for thermal comfort and cold chain operations[48]. The inclusion and application of such systems in the energy planning of healthcare facilities and the domestic provision of cooling in energy-poor African communities is a real, evidence-based policy priority. At the same time, scale-up will require specific financial tools, supply chain finance, and regulatory support, which are currently lacking in energy governance systems [48].</w:t>
      </w:r>
    </w:p>
    <w:p w14:paraId="0073E9F4" w14:textId="79E2F853" w:rsidR="00EE3D4E" w:rsidRDefault="00EE3D4E" w:rsidP="002F17CE">
      <w:pPr>
        <w:rPr>
          <w:rFonts w:ascii="Times New Roman" w:hAnsi="Times New Roman" w:cs="Times New Roman"/>
          <w:sz w:val="24"/>
          <w:szCs w:val="24"/>
        </w:rPr>
      </w:pPr>
    </w:p>
    <w:p w14:paraId="135D7B52" w14:textId="0450BEDA" w:rsidR="00EE3D4E" w:rsidRDefault="00EE3D4E" w:rsidP="002F17CE">
      <w:pPr>
        <w:rPr>
          <w:rFonts w:ascii="Times New Roman" w:hAnsi="Times New Roman" w:cs="Times New Roman"/>
          <w:sz w:val="24"/>
          <w:szCs w:val="24"/>
        </w:rPr>
      </w:pPr>
    </w:p>
    <w:p w14:paraId="28B65E4E" w14:textId="774C9725" w:rsidR="00EE3D4E" w:rsidRDefault="00EE3D4E" w:rsidP="002F17CE">
      <w:pPr>
        <w:rPr>
          <w:rFonts w:ascii="Times New Roman" w:hAnsi="Times New Roman" w:cs="Times New Roman"/>
          <w:sz w:val="24"/>
          <w:szCs w:val="24"/>
        </w:rPr>
      </w:pPr>
    </w:p>
    <w:p w14:paraId="504F6B37" w14:textId="11D0F1BA" w:rsidR="00EE3D4E" w:rsidRDefault="00EE3D4E" w:rsidP="002F17CE">
      <w:pPr>
        <w:rPr>
          <w:rFonts w:ascii="Times New Roman" w:hAnsi="Times New Roman" w:cs="Times New Roman"/>
          <w:sz w:val="24"/>
          <w:szCs w:val="24"/>
        </w:rPr>
      </w:pPr>
    </w:p>
    <w:p w14:paraId="17D630C2" w14:textId="0F194132" w:rsidR="00EE3D4E" w:rsidRDefault="00EE3D4E" w:rsidP="002F17CE">
      <w:pPr>
        <w:rPr>
          <w:rFonts w:ascii="Times New Roman" w:hAnsi="Times New Roman" w:cs="Times New Roman"/>
          <w:sz w:val="24"/>
          <w:szCs w:val="24"/>
        </w:rPr>
      </w:pPr>
    </w:p>
    <w:p w14:paraId="56E6CFEA" w14:textId="77777777" w:rsidR="00EE3D4E" w:rsidRPr="002F17CE" w:rsidRDefault="00EE3D4E" w:rsidP="002F17CE">
      <w:pPr>
        <w:rPr>
          <w:rFonts w:ascii="Times New Roman" w:hAnsi="Times New Roman" w:cs="Times New Roman"/>
          <w:sz w:val="24"/>
          <w:szCs w:val="24"/>
        </w:rPr>
      </w:pPr>
    </w:p>
    <w:p w14:paraId="3BFA4CB6"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9.2 Critical Research Gaps</w:t>
      </w:r>
    </w:p>
    <w:p w14:paraId="0C5DB5E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Although the literature on gender and energy in Africa is growing, there is limited evidence in several key areas. First, more spatial data is required for future studies. Current evidence is also highly skewed, with little evidence from Francophone West Africa, Central Africa and the Horn of Africa [3,37]. Research in these areas must be expanded beyond just quantitative coverage to reflect the cultural, institutional, ecological and policy variations that affect the gender-energy nexus across the African continent.</w:t>
      </w:r>
    </w:p>
    <w:p w14:paraId="0217A22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Second, more longitudinal study designs are needed for the field. Most available research is cross-sectional, which hinders causal inference, and it is difficult to track transitions over time, such as stove stacking, partial use of biomass, and backsliding into biomass use [38,43]. Longitudinal studies to track women's health, education, economic, and household outcomes across multiple transitions to clean energy would yield more robust evidence of intervention efficacy, distinguishing between lasting benefits and short-lived effects.</w:t>
      </w:r>
    </w:p>
    <w:p w14:paraId="5FB4801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Thirdly, there is limited research on the mental health and psychological effects of energy poverty. Although there is growing evidence of the physical health impacts of biomass exposure, there is less research on the emotional burden, anxiety, fatigue, and psychological stress of household energy insecurity, fuel collection, cooking with biomass smoke, and the time burden of these activities. Future research is needed to confirm the cultural validity of measurement tools, incorporate mental health components into energy transition assessments, and adopt a longitudinal design that reflects women's psychological experiences in both the transition away from and toward energy.</w:t>
      </w:r>
    </w:p>
    <w:p w14:paraId="2AA2EEF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Fourthly, there is a need for African-specific clinical and epidemiological data. The current risk estimates for chronic obstructive pulmonary disease (COPD), cardiovascular disease (CVD), and adverse birth outcomes (ABO) due to biomass exposure are largely based on Asian and Latin American cohorts. Consequently, continent-wide estimates of the burden of mortality and morbidity are needed. They would benefit from region-specific prospective studies in Africa to enable reliable estimates of the burden of disease across the region, as well as of African exposure patterns, cooking habits, housing conditions, and healthcare realities.</w:t>
      </w:r>
    </w:p>
    <w:p w14:paraId="47B646D5" w14:textId="77008C2D" w:rsid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Lastly, more attention needs to be paid in the future to the role of women in energy transitions, about their leadership and agency. Women are not only victims of energy poverty, but also community energy advocates, co-operative leaders, solar entrepreneurs, household decision-makers, and policy actors. They are an important influence on adoption and continued usage [51]. Energy transitions must thus go beyond the limited scope of women as beneficiaries of energy interventions and focus on women's agency, knowledge and leadership as key policy levers for the design, implementation and long-term success of gender-responsive energy transitions.</w:t>
      </w:r>
    </w:p>
    <w:p w14:paraId="6B0E81E5" w14:textId="269A2F98" w:rsidR="00EE3D4E" w:rsidRDefault="00EE3D4E" w:rsidP="002F17CE">
      <w:pPr>
        <w:rPr>
          <w:rFonts w:ascii="Times New Roman" w:hAnsi="Times New Roman" w:cs="Times New Roman"/>
          <w:sz w:val="24"/>
          <w:szCs w:val="24"/>
        </w:rPr>
      </w:pPr>
    </w:p>
    <w:p w14:paraId="0420A85F" w14:textId="73E8094B" w:rsidR="00EE3D4E" w:rsidRDefault="00EE3D4E" w:rsidP="002F17CE">
      <w:pPr>
        <w:rPr>
          <w:rFonts w:ascii="Times New Roman" w:hAnsi="Times New Roman" w:cs="Times New Roman"/>
          <w:sz w:val="24"/>
          <w:szCs w:val="24"/>
        </w:rPr>
      </w:pPr>
    </w:p>
    <w:p w14:paraId="27B978B6" w14:textId="77777777" w:rsidR="00EE3D4E" w:rsidRPr="002F17CE" w:rsidRDefault="00EE3D4E" w:rsidP="002F17CE">
      <w:pPr>
        <w:rPr>
          <w:rFonts w:ascii="Times New Roman" w:hAnsi="Times New Roman" w:cs="Times New Roman"/>
          <w:sz w:val="24"/>
          <w:szCs w:val="24"/>
        </w:rPr>
      </w:pPr>
    </w:p>
    <w:p w14:paraId="36C82FB2" w14:textId="6B4AF2B0"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1</w:t>
      </w:r>
      <w:r w:rsidR="00EE3D4E">
        <w:rPr>
          <w:rFonts w:ascii="Times New Roman" w:hAnsi="Times New Roman" w:cs="Times New Roman"/>
          <w:b/>
          <w:bCs/>
          <w:sz w:val="24"/>
          <w:szCs w:val="24"/>
        </w:rPr>
        <w:t>0</w:t>
      </w:r>
      <w:r w:rsidRPr="00EE3D4E">
        <w:rPr>
          <w:rFonts w:ascii="Times New Roman" w:hAnsi="Times New Roman" w:cs="Times New Roman"/>
          <w:b/>
          <w:bCs/>
          <w:sz w:val="24"/>
          <w:szCs w:val="24"/>
        </w:rPr>
        <w:t xml:space="preserve">. </w:t>
      </w:r>
      <w:r w:rsidR="00EE3D4E">
        <w:rPr>
          <w:rFonts w:ascii="Times New Roman" w:hAnsi="Times New Roman" w:cs="Times New Roman"/>
          <w:b/>
          <w:bCs/>
          <w:sz w:val="24"/>
          <w:szCs w:val="24"/>
        </w:rPr>
        <w:t>LIMITATION</w:t>
      </w:r>
    </w:p>
    <w:p w14:paraId="38DAA31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This review has identified several limitations that must be taken into account when interpreting its findings.</w:t>
      </w:r>
    </w:p>
    <w:p w14:paraId="36AFAAFB"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This study is a narrative review and hence is subject to selection bias. The studies included were not selected according to a pre-registered protocol or systematic search algorithm, and studies always involve the author's judgement in selecting the evidence. There may be a bias in the studies used in the review toward those that confirm the central argument over those that report null or conflicting results. Second, there is a geographic bias in the evidence base. A significant proportion of primary studies are from Ethiopia, Ghana, Kenya, and South Africa. The results are limited geographically as Francophone West Africa, Central Africa, the Horn of Africa and North Africa are under-represented in the empirical literature. Third, the review does not directly involve local stakeholders or community views. It relies on available published qualitative research but does not necessarily capture the full range of women's experiences with energy poverty in Africa. Fourth, quantitative risk estimates (COPD, cardiovascular disease, and maternal outcomes) are mostly based on non-African cohorts and are used with caveats in an African context and effect sizes are still not sufficiently established for certain areas. Fifth, the review takes place in a rapidly changing field. The policy framework and the statistics on electrification and technology costs are liable to change, and some of the evidence given may be overturned later in the search period.</w:t>
      </w:r>
    </w:p>
    <w:p w14:paraId="0C3F422B"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11. CONCLUSION</w:t>
      </w:r>
    </w:p>
    <w:p w14:paraId="71DA1D1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Energy poverty is a gender issue in Africa. Women in the energy-poor households are not only victims of poor energy access, but they are also victims of poverty. They are increasingly vulnerable to its risks, increasingly constrained by its costs and are structurally unable to take advantage of energy transitions purportedly for their benefit.</w:t>
      </w:r>
    </w:p>
    <w:p w14:paraId="579A373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The health impact revealed in this review is not spurious and measurable. Women in solid fuel households experience high risks of respiratory and cardiovascular disease, adverse pregnancy outcomes, and newly recognized psychological distress, which contributes to the burden of chronic energy deficiency. The socio-economic burden warrants note. Time poverty creates time deficits, the structural exclusion of financial poverty cuts economic participation, and hours are lost every day due to unpaid energy labour. These are not residual or 'transitional' outcomes. This is a predictable outcome of policies that have viewed gender as an add-on rather than an essential design criterion.</w:t>
      </w:r>
    </w:p>
    <w:p w14:paraId="5246418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This needs more than just a speeding up of aggregate access statistics. It calls for energy governance that draws on the analytical tools of gender justice, which separates results by sex, engages women in programme design, links energy access with financial inclusion and structural rights change, and holds accountability for gendered outcomes at the institutional level, not just at the household level. The expertise is in place to support these reforms. What has been missing in various governance levels and programme cycles is the political will to act.</w:t>
      </w:r>
    </w:p>
    <w:p w14:paraId="6C4CC97B"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This review has aimed to combine and critically review the available evidence as part of that policy agenda. The gaps highlighted here are geographic, methodological, and thematic. They are indicative of an ongoing research process that is incomplete but has sufficiently robust foundations for meaningful action. As always, it is a decision made at a cost to those least equipped to bear it.</w:t>
      </w:r>
    </w:p>
    <w:p w14:paraId="58DA7409"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METHODS NOTE</w:t>
      </w:r>
    </w:p>
    <w:p w14:paraId="4FA25CF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This narrative review drew on searches of PubMed, Scopus, Web of Science, and Google Scholar. Search terms used in varying combinations included: "energy poverty," "household energy," "energy access," "biomass fuel," "solid fuel," "clean cooking," "improved cookstoves," "indoor air pollution," "household air pollution," "gender," "women," "Africa," "sub-Saharan Africa," "health outcomes," "respiratory disease," "maternal health," "time poverty," "energy justice," and "socio-economic impacts." The primary focus was on publications from 2015 to 2026, with exceptions for seminal studies and foundational frameworks from earlier periods. Grey literature from the International Energy Agency, World Health Organisation, World Bank, and the Clean Cooking Alliance was also consulted. Inclusion was restricted to sources that addressed Africa specifically or contained Africa-relevant data within larger cross-regional analyses.</w:t>
      </w:r>
    </w:p>
    <w:p w14:paraId="22D4D4C2" w14:textId="77777777" w:rsidR="002F17CE" w:rsidRPr="002F17CE" w:rsidRDefault="002F17CE" w:rsidP="002F17CE">
      <w:pPr>
        <w:rPr>
          <w:rFonts w:ascii="Times New Roman" w:hAnsi="Times New Roman" w:cs="Times New Roman"/>
          <w:sz w:val="24"/>
          <w:szCs w:val="24"/>
        </w:rPr>
      </w:pPr>
    </w:p>
    <w:p w14:paraId="59F2E154"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DECLARATIONS</w:t>
      </w:r>
    </w:p>
    <w:p w14:paraId="55BB3EF6" w14:textId="62685975"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This study is a narrative review of published literature and did not involve primary data collection from human participants. No ethical approval was required.</w:t>
      </w:r>
    </w:p>
    <w:p w14:paraId="0B6B4F58" w14:textId="77777777" w:rsidR="002F17CE" w:rsidRPr="002F17CE" w:rsidRDefault="002F17CE" w:rsidP="002F17CE">
      <w:pPr>
        <w:rPr>
          <w:rFonts w:ascii="Times New Roman" w:hAnsi="Times New Roman" w:cs="Times New Roman"/>
          <w:sz w:val="24"/>
          <w:szCs w:val="24"/>
        </w:rPr>
      </w:pPr>
    </w:p>
    <w:p w14:paraId="4A6F5DC2" w14:textId="77777777" w:rsidR="00EE3D4E" w:rsidRDefault="002F17CE" w:rsidP="002F17CE">
      <w:pPr>
        <w:rPr>
          <w:rFonts w:ascii="Times New Roman" w:hAnsi="Times New Roman" w:cs="Times New Roman"/>
          <w:sz w:val="24"/>
          <w:szCs w:val="24"/>
        </w:rPr>
      </w:pPr>
      <w:r w:rsidRPr="00EE3D4E">
        <w:rPr>
          <w:rFonts w:ascii="Times New Roman" w:hAnsi="Times New Roman" w:cs="Times New Roman"/>
          <w:b/>
          <w:bCs/>
          <w:sz w:val="24"/>
          <w:szCs w:val="24"/>
        </w:rPr>
        <w:t>Data</w:t>
      </w:r>
      <w:r w:rsidRPr="002F17CE">
        <w:rPr>
          <w:rFonts w:ascii="Times New Roman" w:hAnsi="Times New Roman" w:cs="Times New Roman"/>
          <w:sz w:val="24"/>
          <w:szCs w:val="24"/>
        </w:rPr>
        <w:t xml:space="preserve"> </w:t>
      </w:r>
      <w:r w:rsidRPr="00EE3D4E">
        <w:rPr>
          <w:rFonts w:ascii="Times New Roman" w:hAnsi="Times New Roman" w:cs="Times New Roman"/>
          <w:b/>
          <w:bCs/>
          <w:sz w:val="24"/>
          <w:szCs w:val="24"/>
        </w:rPr>
        <w:t>availability</w:t>
      </w:r>
    </w:p>
    <w:p w14:paraId="2ECF8CA1" w14:textId="74A492FA"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No new data were generated or analyzed in this study. All sources cited are publicly available and fully referenced.</w:t>
      </w:r>
    </w:p>
    <w:p w14:paraId="6B52D606" w14:textId="77777777" w:rsidR="002F17CE" w:rsidRPr="002F17CE" w:rsidRDefault="002F17CE" w:rsidP="002F17CE">
      <w:pPr>
        <w:rPr>
          <w:rFonts w:ascii="Times New Roman" w:hAnsi="Times New Roman" w:cs="Times New Roman"/>
          <w:sz w:val="24"/>
          <w:szCs w:val="24"/>
        </w:rPr>
      </w:pPr>
    </w:p>
    <w:p w14:paraId="63E9A6B4" w14:textId="77777777" w:rsidR="002F17CE" w:rsidRPr="002F17CE" w:rsidRDefault="002F17CE" w:rsidP="002F17CE">
      <w:pPr>
        <w:rPr>
          <w:rFonts w:ascii="Times New Roman" w:hAnsi="Times New Roman" w:cs="Times New Roman"/>
          <w:sz w:val="24"/>
          <w:szCs w:val="24"/>
        </w:rPr>
      </w:pPr>
    </w:p>
    <w:p w14:paraId="15AD316B" w14:textId="77777777" w:rsidR="002F17CE" w:rsidRPr="00EE3D4E" w:rsidRDefault="002F17CE" w:rsidP="002F17CE">
      <w:pPr>
        <w:rPr>
          <w:rFonts w:ascii="Times New Roman" w:hAnsi="Times New Roman" w:cs="Times New Roman"/>
          <w:b/>
          <w:bCs/>
          <w:sz w:val="24"/>
          <w:szCs w:val="24"/>
        </w:rPr>
      </w:pPr>
      <w:r w:rsidRPr="00EE3D4E">
        <w:rPr>
          <w:rFonts w:ascii="Times New Roman" w:hAnsi="Times New Roman" w:cs="Times New Roman"/>
          <w:b/>
          <w:bCs/>
          <w:sz w:val="24"/>
          <w:szCs w:val="24"/>
        </w:rPr>
        <w:t>Disclaimer (Artificial intelligence)</w:t>
      </w:r>
    </w:p>
    <w:p w14:paraId="29BA8B95"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7489A58C" w14:textId="77777777" w:rsidR="002F17CE" w:rsidRPr="002F17CE" w:rsidRDefault="002F17CE" w:rsidP="002F17CE">
      <w:pPr>
        <w:rPr>
          <w:rFonts w:ascii="Times New Roman" w:hAnsi="Times New Roman" w:cs="Times New Roman"/>
          <w:sz w:val="24"/>
          <w:szCs w:val="24"/>
        </w:rPr>
      </w:pPr>
    </w:p>
    <w:p w14:paraId="5FA0E491" w14:textId="77777777" w:rsidR="002F17CE" w:rsidRPr="002F17CE" w:rsidRDefault="002F17CE" w:rsidP="002F17CE">
      <w:pPr>
        <w:rPr>
          <w:rFonts w:ascii="Times New Roman" w:hAnsi="Times New Roman" w:cs="Times New Roman"/>
          <w:sz w:val="24"/>
          <w:szCs w:val="24"/>
        </w:rPr>
      </w:pPr>
    </w:p>
    <w:p w14:paraId="31A4FF57" w14:textId="77777777" w:rsidR="00A23571" w:rsidRDefault="00A23571" w:rsidP="002F17CE">
      <w:pPr>
        <w:rPr>
          <w:rFonts w:ascii="Times New Roman" w:hAnsi="Times New Roman" w:cs="Times New Roman"/>
          <w:sz w:val="24"/>
          <w:szCs w:val="24"/>
        </w:rPr>
      </w:pPr>
    </w:p>
    <w:p w14:paraId="3A6D807E" w14:textId="21E48925" w:rsidR="002F17CE" w:rsidRDefault="002F17CE" w:rsidP="002F17CE">
      <w:pPr>
        <w:rPr>
          <w:rFonts w:ascii="Times New Roman" w:hAnsi="Times New Roman" w:cs="Times New Roman"/>
          <w:b/>
          <w:bCs/>
          <w:sz w:val="24"/>
          <w:szCs w:val="24"/>
        </w:rPr>
      </w:pPr>
      <w:r w:rsidRPr="00A23571">
        <w:rPr>
          <w:rFonts w:ascii="Times New Roman" w:hAnsi="Times New Roman" w:cs="Times New Roman"/>
          <w:b/>
          <w:bCs/>
          <w:sz w:val="24"/>
          <w:szCs w:val="24"/>
        </w:rPr>
        <w:t>REFERENCES</w:t>
      </w:r>
    </w:p>
    <w:p w14:paraId="576E106E" w14:textId="77777777" w:rsidR="00A23571" w:rsidRPr="00A23571" w:rsidRDefault="00A23571" w:rsidP="002F17CE">
      <w:pPr>
        <w:rPr>
          <w:rFonts w:ascii="Times New Roman" w:hAnsi="Times New Roman" w:cs="Times New Roman"/>
          <w:b/>
          <w:bCs/>
          <w:sz w:val="24"/>
          <w:szCs w:val="24"/>
        </w:rPr>
      </w:pPr>
    </w:p>
    <w:p w14:paraId="15E7383E"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 Hesselman M. Energy poverty and household access to energy services in international, regional and national law. In: Roggenkamp M, de Graaf K, Fleming R, editors. Energy law, climate change and the environment. Elgar Encyclopedia of Environmental Law, Vol. 9. Cheltenham: Edward Elgar Publishing; 2021. p. 695–706. doi:10.4337/9781788119689.IX.58</w:t>
      </w:r>
    </w:p>
    <w:p w14:paraId="62656D86"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 Grey L, Boyle A, Francks E, Yu V. The power of small-scale solar: gender, energy poverty, and entrepreneurship in Tanzania. Dev Pract. 2018;28(1):26–39. doi:10.1080/09614524.2018.1526257</w:t>
      </w:r>
    </w:p>
    <w:p w14:paraId="6827A71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 World Health Organisation. Household air pollution and health [Internet]. Geneva: WHO; 2025. Available from: https://www.who.int/news-room/fact-sheets/detail/household-air-pollution-and-health</w:t>
      </w:r>
    </w:p>
    <w:p w14:paraId="5440F48B"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 Wankar RL, Deo DS. Impact of biomass fuels on respiratory function in women in rural India. J Family Med Prim Care. 2022;11(11):7212–7216. doi:10.4103/jfmpc.jfmpc_644_22</w:t>
      </w:r>
    </w:p>
    <w:p w14:paraId="5AF2494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 Vo DH, Vo AT, Ho CM. Understanding the characteristics of the household energy transition in a developing country. Heliyon. 2024;10(1):e23977. doi:10.1016/j.heliyon.2024.e23977</w:t>
      </w:r>
    </w:p>
    <w:p w14:paraId="1BF1AE9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 Kajoskoski T, Matschoss K, Heiskanen E, Laakso S. Recent developments in the energy poverty and vulnerability research in Europe: a systematic literature review. Energy Strategy Rev. 2025;61:101855. doi:10.1016/j.esr.2025.101855</w:t>
      </w:r>
    </w:p>
    <w:p w14:paraId="21C2A3A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 Deller D, Turner G, Waddams C. Energy poverty indicators: inconsistencies, implications and where next? Energy Econ. 2021;103:105551. doi:10.1016/j.eneco.2021.105551</w:t>
      </w:r>
    </w:p>
    <w:p w14:paraId="430C1EB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[8] Pelz S. Disaggregated household energy supply measurement to support equitable municipal energy planning in rural Nepal. Energy Sustain Dev. 2020;59:8–21. doi:10.1016/j.esd.2020.08.010</w:t>
      </w:r>
    </w:p>
    <w:p w14:paraId="4304554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[9] Bhatia M, Angelou N. Beyond connections: energy access redefined. ESMAP Technical Report 008/15. Washington, DC: World Bank; 2015.</w:t>
      </w:r>
    </w:p>
    <w:p w14:paraId="1847B6F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[10] International Energy Agency (IEA). Energy for cooking in developing countries. In: World Energy Outlook 2006. Paris: OECD/IEA; 2006. doi:10.1787/weo-2006-16-en</w:t>
      </w:r>
    </w:p>
    <w:p w14:paraId="12421FF5"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[11] World Health Organisation (WHO). WHO guidelines for indoor air quality: household fuel combustion. Geneva: WHO; 2014. Available from: https://apps.who.int/iris/handle/10665/141496</w:t>
      </w:r>
    </w:p>
    <w:p w14:paraId="0DD0BCC5"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[12] Azhgaliyeva D, Rahut D, Sedai A. Gender and energy: unveiling the nexus of equality and sustainability. Energy Econ. 2026;157:109266. doi:10.1016/j.eneco.2026.109266</w:t>
      </w:r>
    </w:p>
    <w:p w14:paraId="1BE67EF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[13] Feenstra M, Ozerol G. Energy justice as a search light for gender-energy nexus: towards a conceptual framework. Renew Sustain Energy Rev. 2021;138:110668. doi:10.1016/j.rser.2020.110668</w:t>
      </w:r>
    </w:p>
    <w:p w14:paraId="74A1F32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[14] Kirkwood EK, Gunawardhana G, Moller G, Raynes-Greenow C. Gender gaps in energy policies: examining the integration of women in energy policies across the Asia Pacific region. Energy Strategy Rev. 2025. doi:10.1016/j.esr.2025.101960</w:t>
      </w:r>
    </w:p>
    <w:p w14:paraId="03F9A05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[15] Zhang L, Petrova S. Quantifying gender in energy poverty: a critical review of data, methodologies and contextual constraints. Renew Sustain Energy Rev. 2026;225:116178. doi:10.1016/j.rser.2025.116178</w:t>
      </w:r>
    </w:p>
    <w:p w14:paraId="1A8A0C65"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[16] Ngarava S, Zhou L, Ningi T, Chari MM, Mdiya L. Gender and ethnic disparities in energy poverty: the case of South Africa. Energy Policy. 2022;161:112755. doi:10.1016/j.enpol.2021.112755</w:t>
      </w:r>
    </w:p>
    <w:p w14:paraId="3D0A34C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[17] Panja A, Paul S, Jha P. Aligning Africa's renewable energy sector with sustainable development goals: opportunities and challenges. Sustain Futures. 2025;9:100717. doi:10.1016/j.sftr.2025.100717</w:t>
      </w:r>
    </w:p>
    <w:p w14:paraId="4B9808C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[18] Cozzi L, Diarra N, Roge A, Idini B, Jongejans A. Access to electricity stagnates, leaving 730 million people globally in the dark [Internet]. Paris: International Energy Agency; 2025. Available from: https://www.iea.org</w:t>
      </w:r>
    </w:p>
    <w:p w14:paraId="229529D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[19] International Energy Agency (IEA), International Renewable Energy Agency (IRENA), United Nations Statistics Division (UNSD), World Bank, World Health Organisation (WHO). Tracking SDG7: the energy progress report 2024. Washington, DC: World Bank; 2024. Available from: https://trackingsdg7.esmap.org</w:t>
      </w:r>
    </w:p>
    <w:p w14:paraId="4F71C589"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[20] Olaniyan A, Caux S, Maussion P. Rural electrification in Nigeria: a review of impacts and effects of frugal energy generation based on some of the e-waste components. Heliyon. 2024;10(11):e31300. doi:10.1016/j.heliyon.2024.e31300</w:t>
      </w:r>
    </w:p>
    <w:p w14:paraId="5AB402B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[21] Sander K, Hyseni B, Haider SW. Wood-based biomass energy development for sub-Saharan Africa: issues and approaches. Washington, DC: AFREA, World Bank; 2011. Available from: https://openknowledge.worldbank.org/handle/10986/26149</w:t>
      </w:r>
    </w:p>
    <w:p w14:paraId="46D9208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[22] Asaleye AJ, Garidzirai R, Ncanywa T. Electricity availability and access for economic opportunities: a disaggregated analysis of gender gaps and implications for pro-poor growth. Energy Strategy Rev. 2025;59:101723. doi:10.1016/j.esr.2025.101723</w:t>
      </w:r>
    </w:p>
    <w:p w14:paraId="12C223DB"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[23] Kyayesimira J, Florence N. Gender role differentiation in household fuel transition decision-making: implications for education and training in Uganda. Front Sustain. 2023;4:1034589. doi:10.3389/frsus.2023.1034589</w:t>
      </w:r>
    </w:p>
    <w:p w14:paraId="3CE6343E"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[24] Sana A, Meda N, Badoum G, Kafando B, Bouland C. Primary cooking fuel choice and respiratory health outcomes among women in Ouagadougou, Burkina Faso: cross-sectional study. Int J Environ Res Public Health. 2019;16(6):1040. doi:10.3390/ijerph16061040</w:t>
      </w:r>
    </w:p>
    <w:p w14:paraId="666F046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[25] Enyew HD, Hailu AB, Mereta ST. Kitchen fine particulate matter (PM2.5) concentrations from biomass fuel use in rural households of Northwest Ethiopia. Front Public Health. 2023;11:1241977. doi:10.3389/fpubh.2023.1241977</w:t>
      </w:r>
    </w:p>
    <w:p w14:paraId="4C08505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[26] Muteti-Fana S, Nkosana J, Naidoo RN. Kitchen characteristics and practices associated with higher PM2.5 concentrations in Zimbabwean rural households. Int J Environ Res Public Health. 2023;20(10):5811. doi:10.3390/ijerph20105811</w:t>
      </w:r>
    </w:p>
    <w:p w14:paraId="75FDDAA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[27] Adusah-Poku F, Adjei-Mantey K, Kwakwa PA. Does the gender of the household head affect household energy choice in Ghana? Environ Dev Sustain. 2022. doi:10.1007/s10668-022-02293-8</w:t>
      </w:r>
    </w:p>
    <w:p w14:paraId="26BB72AC"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[28] Njenga M, Gitau JK, Mendum R. Women's work is never done: lifting the gendered burden of firewood collection and household energy use in Kenya. Energy Res Soc Sci. 2021;77:102071. doi:10.1016/j.erss.2021.102071</w:t>
      </w:r>
    </w:p>
    <w:p w14:paraId="002AF725"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[29] Hyde E, Greene ME, Darmstadt GL. Time poverty: obstacle to women's human rights, health and sustainable development. J Glob Health. 2020;10(2):020313. doi:10.7189/jogh.10.020313</w:t>
      </w:r>
    </w:p>
    <w:p w14:paraId="0B5804E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[30] Sow FD, Gueye NF, Lare A. Who has the time? A qualitative assessment of gendered intrahousehold labour allocation, time use and time poverty in rural Senegal. Front Sustain Food Syst. 2023;7:1198290. doi:10.3389/fsufs.2023.1198290</w:t>
      </w:r>
    </w:p>
    <w:p w14:paraId="4AC20B0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[31] Alebel B, Emerta A. Time poverty and women's participation in non-farm work: evidence from rural Ethiopia. Q Rev Econ Finance. 2024. doi:10.1016/j.qref.2021.01.001</w:t>
      </w:r>
    </w:p>
    <w:p w14:paraId="112E21B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[32] Bondi G, Morse T, Cawley S, Kaunda E, Kumwenda S. From kitchen to classroom: assessing the impact of cleaner burning biomass-fuelled cookstoves on primary school attendance in Malawi. Int J Educ Dev. 2018;60:127–135. doi:10.1016/j.ijedudev.2018.01.003</w:t>
      </w:r>
    </w:p>
    <w:p w14:paraId="31CF4E2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[33] Nduhuura P, Garschagen M, Zerga A. Impacts of electricity outages in urban households in developing countries: a case of Accra, Ghana. Energies. 2021;14(12):3676. doi:10.3390/en14123676</w:t>
      </w:r>
    </w:p>
    <w:p w14:paraId="78F6199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[34] Pratiti R. Household air pollution related to biomass cook stove emissions and its interaction with improved cookstoves. AIMS Public Health. 2021;8(2):310–324. doi:10.3934/publichealth.2021024</w:t>
      </w:r>
    </w:p>
    <w:p w14:paraId="1441880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[35] Owusu-Manu D, Sackey DM, Osei-Asibey D, Agyapong RK, Edwards DJ. Improving women's energy access, rights and equitable sustainable development: a Ghanaian perspective. Ecofeminism Climate Change. 2022;3(1):23–40. doi:10.1108/EFCC-05-2021-0009</w:t>
      </w:r>
    </w:p>
    <w:p w14:paraId="310B84D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[36] Fullerton DG, Bruce N, Gordon SB. Indoor air pollution from biomass fuel smoke is a major health concern in the developing world. Trans R Soc Trop Med Hyg. 2008;102(9):843–851. doi:10.1016/j.trstmh.2008.05.028</w:t>
      </w:r>
    </w:p>
    <w:p w14:paraId="21F3732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[37] Kurmi OP, Semple S, Simkhada P, Smith WCS, Ayres JG. COPD and chronic bronchitis risk of indoor air pollution from solid fuel: a systematic review and meta-analysis. Thorax. 2010;65(3):221–228. doi:10.1136/thx. 2009.124644</w:t>
      </w:r>
    </w:p>
    <w:p w14:paraId="1395C3F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[38] Seyedmohammadi A, Etemad K, Heydari G, Mahmoudi M. Risk of COPD due to indoor air pollution from biomass cooking fuel: a systematic review and meta-analysis. Respirology. 2019;24(9):867–874. doi:10.1111/resp.13546</w:t>
      </w:r>
    </w:p>
    <w:p w14:paraId="738A921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[39] Bittner V, Moreira JM, de Paula RA, et al. PM2.5 and cardiovascular diseases: state-of-the-art review. IJC Heart Vasc. 2023;49:101314. doi:10.1016/j.ijcha.2023.101314</w:t>
      </w:r>
    </w:p>
    <w:p w14:paraId="2612AC1C"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[40] Pope D, Mishra V, Thompson L, Siddiqui AR, Rehfuess EA, Weber M, et al. Risk of low birth weight and stillbirth associated with indoor air pollution from solid fuel use in developing countries: a systematic review and meta-analysis. Epidemiol Rev. 2010;32(1):70–81. doi:10.1093/epirev/mxq005</w:t>
      </w:r>
    </w:p>
    <w:p w14:paraId="3561737B"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[41] Boamah-Kaali E, Ae-Ngibise KA, Burkart K, Mujtaba MN, Gyaase S, Mehta S, et al. Household fuel use and adverse pregnancy outcomes in a Ghanaian cohort study. Int J Environ Res Public Health. 2020;17(4):1364. doi:10.3390/ijerph17041364</w:t>
      </w:r>
    </w:p>
    <w:p w14:paraId="7698103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[42] Roberman J, Emeto TI, Adegboye OA. Adverse birth outcomes due to exposure to household air pollution from unclean cooking fuel among women of reproductive age in Nigeria. Int J Environ Res Public Health. 2021;18(2):634. doi:10.3390/ijerph18020634</w:t>
      </w:r>
    </w:p>
    <w:p w14:paraId="42B2383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[43] Pienaar CA, Patel S, Khumalo S, Nkosi V. Multiple aspects of energy poverty are associated with lower mental health-related quality of life: a modelling study in three peri-urban African communities. SSM Popul Health. 2022;20:101270. doi:10.1016/j.ssmph.2022.101270</w:t>
      </w:r>
    </w:p>
    <w:p w14:paraId="4A22642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[44] Agbokey F, Dwommoh R, Tawiah T, Ae-Ngibise KA, Mujtaba MN, Carrion D, et al. Determining the enablers and barriers for the adoption of clean cookstoves in the middle belt of Ghana: a qualitative study. Int J Environ Res Public Health. 2019;16(7):1207. doi:10.3390/ijerph16071207</w:t>
      </w:r>
    </w:p>
    <w:p w14:paraId="2469EAE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[45] Monyei CG, Sovacool BK, Nkosi V, et al. Facilitating gendered and socially inclusive energy transitions in sub-Saharan Africa. Energy Res Soc Sci. 2025. doi:10.1016/j.erss.2025.103597</w:t>
      </w:r>
    </w:p>
    <w:p w14:paraId="0E65E15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[46] Errico S. Women's right to land between collective and individual dimensions: some insights from sub-Saharan Africa. Front Sustain Food Syst. 2021;5:690321. doi:10.3389/fsufs.2021.690321</w:t>
      </w:r>
    </w:p>
    <w:p w14:paraId="7581666B"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[47] Clasen TF, Chang HH, Thompson LM, Kirby MA, Balakrishnan K, Diaz-Artiga A, et al; HAPIN Investigators. Liquefied petroleum gas or biomass for cooking and its effects on birth weight. N Engl J Med. 2022;387(19):1735–1746. doi:10.1056/NEJMoa2206734</w:t>
      </w:r>
    </w:p>
    <w:p w14:paraId="0043051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[48] Ogundare AB, Ogunyemi J, Adetona ZA, Abioke UB. Thermal performance, efficiency and applications of solar-driven cooling systems in hot climate areas: a narrative review. J Eng Res Rep. 2026;28(5):115–131. doi:10.9734/jerr/2026/v28i51887</w:t>
      </w:r>
    </w:p>
    <w:p w14:paraId="262724B0"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[49] Nunoo IK, Klug T, Plutshack V, Agradi M, Appiah S, Saparapa R. Who has power over policy? The political economy of Kenya's 2019 gender policy in energy access. Energy Res Soc Sci. 2025;127:104201. doi:10.1016/j.erss.2025.104201</w:t>
      </w:r>
    </w:p>
    <w:p w14:paraId="46B74BE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[50] ECOWAS Centre for Renewable Energy and Energy Efficiency (ECREEE). ECOWAS policy for gender mainstreaming in energy access. Praia: ECREEE; 2024. Available from: https://www.ecreee.org/wp-content/uploads/2024/01/ecowas_policy_for_gender_mainstreaming_in_energy_access_presentation.pdf</w:t>
      </w:r>
    </w:p>
    <w:p w14:paraId="00E7CE9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[51] Lapniewska Z. Women leading just energy transitions: comparative insights from Eastern Greater Poland and German Lusatia. Energy Strategy Rev. 2026;64:102178. doi:10.1016/j.esr.2026.102178</w:t>
      </w:r>
    </w:p>
    <w:p w14:paraId="57ED1906"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[52] World Health Organisation (WHO). WHO global air quality guidelines: particulate matter (PM2.5 and PM10), ozone, nitrogen dioxide, sulfur dioxide and carbon monoxide. Geneva: WHO; 2021. Available from: https://www.who.int/publications/i/item/9789240034228</w:t>
      </w:r>
    </w:p>
    <w:p w14:paraId="3DE5CE6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[53] Gandigbe GVS, Mignanwande ZF, Tossou YB, et al. Inequities and factors associated with gender and disability in NTD-endemic communities in Benin and Côte d'Ivoire: an intersectional approach to interventions. Front Glob Womens Health. 2025;6:1575082. doi:10.3389/fgwh. 2025.1575082</w:t>
      </w:r>
    </w:p>
    <w:p w14:paraId="342D0956"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[54] Jessel S, Sawyer S, Hernandez D. Energy, poverty, and health in climate change: a comprehensive review of an emerging literature. Front Public Health. 2019;7:357. doi:10.3389/fpubh.2019.00357</w:t>
      </w:r>
    </w:p>
    <w:p w14:paraId="3ECBE4A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[55] International Energy Agency (IEA). Africa Energy Outlook 2022. Paris: IEA; 2022. Available from: https://www.iea.org/reports/africa-energy-outlook-2022</w:t>
      </w:r>
    </w:p>
    <w:p w14:paraId="2F0F042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[56] Dutta S, Kooijman A, Cecelski E. Energy Access and Gender: Getting the Right Balance. ENERGIA/Sustainable Energy for All; 2017.</w:t>
      </w:r>
    </w:p>
    <w:p w14:paraId="6E1E2154"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[57] Cecelski E, Dutta S. Mainstreaming Gender in Energy Projects: A Practical Handbook. ENERGIA; 2011. Available from: https://ppp.worldbank.org/sites/default/files/2024-09/mainstreaming_gender_in_energy_projects_a_practical_hand_book.pdf</w:t>
      </w:r>
    </w:p>
    <w:p w14:paraId="14F18E5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 xml:space="preserve">[58] UN Women. Gender, Energy and Policy: A Review of Energy Policies in East and Southern Africa. UN Women Africa; 2017. Available from: https://africa.unwomen.org/sites/default/files/Field%20Office%20Africa/Attachments/Publications/2017/11/Gender%20Energy%20and%20Policy%20A%20Review%20of%20Energy%20Policies%20in%20East%20and%20Southern%20AfricaWeb%20LR.PDF </w:t>
      </w:r>
    </w:p>
    <w:p w14:paraId="11EDD4E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[59] ECOWAS Centre for Renewable Energy and Energy Efficiency (ECREEE). ECOWAS Policy for Gender Mainstreaming in Energy Access: Draft Policy and Implementation Strategy. Praia: ECREEE; 2017. Available from: https://www.afdb.org/fileadmin/uploads/afdb/Documents/Generic-Documents/ECOWAS_Policy_for_Gender_Mainstreaming_in_Energy_Access.pdf</w:t>
      </w:r>
    </w:p>
    <w:p w14:paraId="6C0D7815"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[60] Appiah S, Plutshack V, Agradi M, Klug TW, Nunoo I, Saparapa R. The political economy of gender mainstreaming in energy access in Sierra Leone. Environ Res Clim. 2024;3(4):045025. doi:10.1088/2752-5295/ad8f59</w:t>
      </w:r>
    </w:p>
    <w:p w14:paraId="5BC4B97C"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[61] Abdullah H. PPPs in agro-energy and their impact on women's rights: the case of Addax Bioenergy Sierra Leone. In: Enríquez CR, Blanco ML, editors. Corporate Capture of Development: Public-Private Partnerships, Women's Human Rights, and Global Resistance. London: Bloomsbury Academic; 2023. p. 167–97.</w:t>
      </w:r>
    </w:p>
    <w:p w14:paraId="250CADA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[62] Gihana D, Kooijman A. Gender and Energy Country Briefs — Rwanda. ENERGIA; 2020. Available from: https://www.cif.org/sites/cif_enc/files/knowledge-documents/gender_and_energy_country_brief_-_rwanda.pdf</w:t>
      </w:r>
    </w:p>
    <w:p w14:paraId="726DBC5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[63] Gupta GR, Grown C, Fewer S, Gupta R, Nowrojee S. Beyond gender mainstreaming: transforming humanitarian action, organizations and culture. J Int Humanit Action. 2023;8(1):5. doi:10.1186/s41018-023-00138-1</w:t>
      </w:r>
    </w:p>
    <w:p w14:paraId="76DE96E3"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[64] African Union. Agenda 2063: The Africa We Want. Popular Version. Addis Ababa: AU; 2015. Available from: https://au.int/sites/default/files/documents/36204-doc-agenda2063_popular_version_en.pdf</w:t>
      </w:r>
    </w:p>
    <w:p w14:paraId="544F8178"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[65] Li D, Bae JH, Rishi M. Sustainable development and SDG-7 in Sub-Saharan Africa: balancing energy access, economic growth, and carbon emissions. Eur J Dev Res. 2023;35(1):112–37. doi:10.1057/s41287-021-00502-0</w:t>
      </w:r>
    </w:p>
    <w:p w14:paraId="0926ADF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[66] African Development Bank (AfDB). New Deal on Energy for Africa. Abidjan: AfDB; 2017. Available from: https://www.afdb.org/fileadmin/uploads/afdb/Documents/Generic-Documents/Brochure_New_Deal_2-En.pdf</w:t>
      </w:r>
    </w:p>
    <w:p w14:paraId="2BEBA5C2"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[67] Musango JK, Chicombo AFF. Facilitating gendered and socially inclusive energy transitions in sub-Saharan Africa. Energy Res Soc Sci. 2025;127:104278. doi:10.1016/j.erss.2025.104278</w:t>
      </w:r>
    </w:p>
    <w:p w14:paraId="0A42C797"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[68] Dagal I. Decoding Africa's energy divide: a systematic review of SDG 7 progress, structural determinants, and pathways to inclusive electrification. Unconventional Resources. 2026;10:100330. doi:10.1016/j.uncres.2026.100330</w:t>
      </w:r>
    </w:p>
    <w:p w14:paraId="3EEFA39A"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[69] International Energy Agency (IEA). A Vision for Clean Cooking Access for All. Paris: IEA; 2023. Available from: https://www.iea.org/reports/a-vision-for-clean-cooking-access-for-all</w:t>
      </w:r>
    </w:p>
    <w:p w14:paraId="0A642A2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[70] Klug TW, Plutshack V, Agradi M, Appiah S, Nunoo IK, Saparapa R. The political economy of gender mainstreaming in energy access in Senegal. Environ Res Clim. 2024;3:045011. doi:10.1088/2752-5295/ad5bf1</w:t>
      </w:r>
    </w:p>
    <w:p w14:paraId="3FB2FB6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[71] Malonza M, Fedha M. An assessment of gender and energy in Kenya: the underlying issues. Int J Sci Technol Res. 2015;4(1). Available from: https://www.academia.edu/81026545</w:t>
      </w:r>
    </w:p>
    <w:p w14:paraId="50629BD1"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[72] Botswana Technology Centre. Gender Audit of Energy Policies and Programmes: The Case for Botswana. Gaborone: Botswana Technology Centre; 2006. Available from: https://www.academia.edu/49692923</w:t>
      </w:r>
    </w:p>
    <w:p w14:paraId="72008A1F"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[73] World Bank. Gender, Time Use, and Poverty in Sub-Saharan Africa. Washington, DC: World Bank; 2006. Available from: https://documents1.worldbank.org/curated/en/473591467990333534/pdf</w:t>
      </w:r>
    </w:p>
    <w:p w14:paraId="19BFC85E"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[74] Royo MG, Diep L, Mulligan J, Mukanga P, Parikh P. Linking the UN Sustainable Development Goals and African Agenda 2063: understanding overlaps and gaps between the global goals and continental priorities for Africa. World Dev Sustain. 2022;1:100010. doi:10.1016/j.wds.2022.100010</w:t>
      </w:r>
    </w:p>
    <w:p w14:paraId="6D76706C"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[75] Pachauri S, Rao ND. Gender impacts and determinants of energy poverty: are we asking the right questions? Curr Opin Environ Sustain. 2013;5(2):205–15. doi:10.1016/j.cosust.2013.04.006</w:t>
      </w:r>
    </w:p>
    <w:p w14:paraId="73C3DADD"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[76] Winther T, Ulsrud K, Matinga M, Govindan M, Gill B, Saini A, et al. In the light of what we cannot see: exploring the interconnections between gender and electricity access. Energy Res Soc Sci. 2019;60:101334. doi:10.1016/j.erss.2019.101334</w:t>
      </w:r>
    </w:p>
    <w:p w14:paraId="3BB04566"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[77] Sustainable Energy for All (SEforALL). Energising Finance: Clean Cooking 2024. Vienna: SEforALL; 2024. Available from: https://www.seforall.org/system/files/2024-10/report-iep-cleancooking_compressed.pdf</w:t>
      </w:r>
    </w:p>
    <w:p w14:paraId="7463304B" w14:textId="77777777" w:rsidR="002F17CE"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[78] Abioke UB, Umeasalugo PM, Egbordi CE, Ikponmwosa OD, Erezi E. A narrative review of the environmental and public health implications of carbon sequestration in the Amazon rainforest. J Glob Ecol Environ. 2026;22(2). doi:10.56557/jogee/2026/v22i210504</w:t>
      </w:r>
    </w:p>
    <w:p w14:paraId="744A2D11" w14:textId="1C40B013" w:rsidR="00727FAB" w:rsidRPr="002F17CE" w:rsidRDefault="002F17CE" w:rsidP="002F17CE">
      <w:pPr>
        <w:rPr>
          <w:rFonts w:ascii="Times New Roman" w:hAnsi="Times New Roman" w:cs="Times New Roman"/>
          <w:sz w:val="24"/>
          <w:szCs w:val="24"/>
        </w:rPr>
      </w:pPr>
      <w:r w:rsidRPr="002F17CE">
        <w:rPr>
          <w:rFonts w:ascii="Times New Roman" w:hAnsi="Times New Roman" w:cs="Times New Roman"/>
          <w:sz w:val="24"/>
          <w:szCs w:val="24"/>
        </w:rPr>
        <w:t>[79] Benson OA, Joel O, Adesakin AZ, Abioke UB. Thermal performance, efficiency and applications of solar-driven cooling systems in hot climate areas: a narrative review. Journal of Engineering Research and Reports. 2026;28(5):1887. doi:10.9734/jerr/2026/v28i51887.</w:t>
      </w:r>
    </w:p>
    <w:sectPr w:rsidR="00727FAB" w:rsidRPr="002F17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7CE"/>
    <w:rsid w:val="00182317"/>
    <w:rsid w:val="002F17CE"/>
    <w:rsid w:val="0039376D"/>
    <w:rsid w:val="00727FAB"/>
    <w:rsid w:val="007B1A90"/>
    <w:rsid w:val="00A1602A"/>
    <w:rsid w:val="00A23571"/>
    <w:rsid w:val="00AE7E0C"/>
    <w:rsid w:val="00EE3D4E"/>
    <w:rsid w:val="00F37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86CF"/>
  <w15:chartTrackingRefBased/>
  <w15:docId w15:val="{0924A762-7B83-4D98-9417-A44F7A0F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unhideWhenUsed/>
    <w:qFormat/>
    <w:rsid w:val="00182317"/>
    <w:pPr>
      <w:spacing w:before="280" w:after="120" w:line="240" w:lineRule="auto"/>
      <w:outlineLvl w:val="1"/>
    </w:pPr>
    <w:rPr>
      <w:rFonts w:ascii="Arial" w:eastAsia="Arial" w:hAnsi="Arial" w:cs="Arial"/>
      <w:b/>
      <w:bCs/>
      <w:color w:val="1A527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2317"/>
    <w:rPr>
      <w:rFonts w:ascii="Arial" w:eastAsia="Arial" w:hAnsi="Arial" w:cs="Arial"/>
      <w:b/>
      <w:bCs/>
      <w:color w:val="1A527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13584</Words>
  <Characters>77429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2026-05-18T14:43:00Z</dcterms:created>
  <dcterms:modified xsi:type="dcterms:W3CDTF">2026-05-18T14:43:00Z</dcterms:modified>
</cp:coreProperties>
</file>