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8F3AC" w14:textId="77777777" w:rsidR="001A494B" w:rsidRPr="00373E49" w:rsidRDefault="001A494B" w:rsidP="001A494B">
      <w:pPr>
        <w:spacing w:line="312" w:lineRule="auto"/>
        <w:rPr>
          <w:rFonts w:ascii="Times New Roman" w:hAnsi="Times New Roman" w:cs="Times New Roman"/>
          <w:b/>
          <w:bCs/>
        </w:rPr>
      </w:pPr>
      <w:r w:rsidRPr="00373E49">
        <w:rPr>
          <w:rFonts w:ascii="Times New Roman" w:hAnsi="Times New Roman" w:cs="Times New Roman"/>
          <w:b/>
          <w:bCs/>
        </w:rPr>
        <w:t>Integrative Multi-Omics Analysis Reveals MHC Class II–Mediated Immune Dysregulation in Long COVID</w:t>
      </w:r>
    </w:p>
    <w:p w14:paraId="3A5A30A5" w14:textId="77777777" w:rsidR="001A494B" w:rsidRDefault="001A494B" w:rsidP="001A494B">
      <w:pPr>
        <w:spacing w:line="312" w:lineRule="auto"/>
        <w:rPr>
          <w:rFonts w:ascii="Times New Roman" w:hAnsi="Times New Roman" w:cs="Times New Roman"/>
        </w:rPr>
      </w:pPr>
    </w:p>
    <w:p w14:paraId="7DB7F6B9" w14:textId="77777777" w:rsidR="001A494B" w:rsidRPr="00373E49" w:rsidRDefault="001A494B" w:rsidP="001A494B">
      <w:pPr>
        <w:pStyle w:val="Heading1"/>
        <w:spacing w:line="312" w:lineRule="auto"/>
        <w:rPr>
          <w:rFonts w:ascii="Times New Roman" w:hAnsi="Times New Roman" w:cs="Times New Roman"/>
        </w:rPr>
      </w:pPr>
      <w:r w:rsidRPr="00373E49">
        <w:rPr>
          <w:rFonts w:ascii="Times New Roman" w:hAnsi="Times New Roman" w:cs="Times New Roman"/>
        </w:rPr>
        <w:t>Abstract</w:t>
      </w:r>
    </w:p>
    <w:p w14:paraId="098787A0" w14:textId="77777777"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b/>
          <w:bCs/>
          <w:color w:val="000000"/>
        </w:rPr>
        <w:t xml:space="preserve">Background: </w:t>
      </w:r>
      <w:r w:rsidRPr="002D58D0">
        <w:rPr>
          <w:rFonts w:ascii="Times New Roman" w:hAnsi="Times New Roman" w:cs="Times New Roman"/>
          <w:color w:val="000000"/>
        </w:rPr>
        <w:t xml:space="preserve">Long COVID affects an estimated 65 million individuals globally and is </w:t>
      </w:r>
      <w:proofErr w:type="spellStart"/>
      <w:r w:rsidRPr="002D58D0">
        <w:rPr>
          <w:rFonts w:ascii="Times New Roman" w:hAnsi="Times New Roman" w:cs="Times New Roman"/>
          <w:color w:val="000000"/>
        </w:rPr>
        <w:t>characterised</w:t>
      </w:r>
      <w:proofErr w:type="spellEnd"/>
      <w:r w:rsidRPr="002D58D0">
        <w:rPr>
          <w:rFonts w:ascii="Times New Roman" w:hAnsi="Times New Roman" w:cs="Times New Roman"/>
          <w:color w:val="000000"/>
        </w:rPr>
        <w:t xml:space="preserve"> by persistent multisystemic symptoms including fatigue, cognitive dysfunction, and immune dysregulation. Despite its enormous public health burden, the genetic and transcriptomic mechanisms underlying Long COVID remain incompletely understood. Here, we applied an integrative multi-omics approach combining publicly available genome-wide association study (GWAS) summary statistics with peripheral blood mononuclear cell (PBMC) transcriptomics to identify convergent immune gene candidates.</w:t>
      </w:r>
    </w:p>
    <w:p w14:paraId="2F6AB6BB" w14:textId="77777777"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b/>
          <w:bCs/>
          <w:color w:val="000000"/>
        </w:rPr>
        <w:t xml:space="preserve">Methods: </w:t>
      </w:r>
      <w:r w:rsidRPr="002D58D0">
        <w:rPr>
          <w:rFonts w:ascii="Times New Roman" w:hAnsi="Times New Roman" w:cs="Times New Roman"/>
          <w:color w:val="000000"/>
        </w:rPr>
        <w:t xml:space="preserve">We performed quality control and analysis of Long COVID GWAS summary statistics from the Long COVID Host Genetics Initiative (HGI; 15,950 cases, 1,892,830 controls). PBMC transcriptomic data were obtained from GEO (GSE224615; 23 Long COVID cases vs 13 recovered controls, all 8 months post-infection). Differential expression analysis was conducted using author-provided DESeq2 results. Pathway enrichment was performed using </w:t>
      </w:r>
      <w:proofErr w:type="spellStart"/>
      <w:r w:rsidRPr="002D58D0">
        <w:rPr>
          <w:rFonts w:ascii="Times New Roman" w:hAnsi="Times New Roman" w:cs="Times New Roman"/>
          <w:color w:val="000000"/>
        </w:rPr>
        <w:t>clusterProfiler</w:t>
      </w:r>
      <w:proofErr w:type="spellEnd"/>
      <w:r w:rsidRPr="002D58D0">
        <w:rPr>
          <w:rFonts w:ascii="Times New Roman" w:hAnsi="Times New Roman" w:cs="Times New Roman"/>
          <w:color w:val="000000"/>
        </w:rPr>
        <w:t xml:space="preserve"> with Gene Ontology Biological Process (GO-BP) and KEGG databases. A literature-curated GWAS integration strategy was used to test whether genome-wide significant immune loci from published Long COVID GWAS showed concordant transcriptomic dysregulation.</w:t>
      </w:r>
    </w:p>
    <w:p w14:paraId="2BF0E0DA" w14:textId="77777777"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b/>
          <w:bCs/>
          <w:color w:val="000000"/>
        </w:rPr>
        <w:t xml:space="preserve">Results: </w:t>
      </w:r>
      <w:r w:rsidRPr="002D58D0">
        <w:rPr>
          <w:rFonts w:ascii="Times New Roman" w:hAnsi="Times New Roman" w:cs="Times New Roman"/>
          <w:color w:val="000000"/>
        </w:rPr>
        <w:t>GWAS QC retained 9,474,615 SNPs with a genomic inflation factor of λ=0.914, indicating no population stratification. Sixteen independent suggestive loci (P&lt;1×10⁻⁵) were identified, distributed across 13 chromosomes. Transcriptomic analysis identified 72 differentially expressed genes (DEGs; nominal p&lt;0.05, |log2FC|&gt;1), including upregulation of erythroid genes (ALAS2, HBB, HBA1) and downregulation of immunoglobulin genes (IGHG2, IGHG4) and antigen presentation genes (HLA-V). GO-BP enrichment revealed 27 significant terms including complement activation, humoral immune response mediated by circulating immunoglobulin, and oxidant detoxification. Critically, integration with published GWAS immune loci identified HLA-DQA1 as a convergent candidate — nominally downregulated in Long COVID PBMCs (LFC=−0.39, p=0.049) — with a co-</w:t>
      </w:r>
      <w:proofErr w:type="spellStart"/>
      <w:r w:rsidRPr="002D58D0">
        <w:rPr>
          <w:rFonts w:ascii="Times New Roman" w:hAnsi="Times New Roman" w:cs="Times New Roman"/>
          <w:color w:val="000000"/>
        </w:rPr>
        <w:t>localised</w:t>
      </w:r>
      <w:proofErr w:type="spellEnd"/>
      <w:r w:rsidRPr="002D58D0">
        <w:rPr>
          <w:rFonts w:ascii="Times New Roman" w:hAnsi="Times New Roman" w:cs="Times New Roman"/>
          <w:color w:val="000000"/>
        </w:rPr>
        <w:t xml:space="preserve"> signal at HLA-DQB1 (LFC=−0.51, p=0.11).</w:t>
      </w:r>
    </w:p>
    <w:p w14:paraId="58635EBD" w14:textId="506025EC" w:rsidR="00B77A2E" w:rsidRPr="001A494B" w:rsidRDefault="003A521C" w:rsidP="001A494B">
      <w:pPr>
        <w:spacing w:after="160" w:line="312" w:lineRule="auto"/>
        <w:jc w:val="both"/>
        <w:rPr>
          <w:rFonts w:ascii="Times New Roman" w:hAnsi="Times New Roman" w:cs="Times New Roman"/>
        </w:rPr>
      </w:pPr>
      <w:r w:rsidRPr="002D58D0">
        <w:rPr>
          <w:rFonts w:ascii="Times New Roman" w:hAnsi="Times New Roman" w:cs="Times New Roman"/>
          <w:b/>
          <w:bCs/>
          <w:color w:val="000000"/>
        </w:rPr>
        <w:t xml:space="preserve">Conclusion: </w:t>
      </w:r>
      <w:r w:rsidRPr="002D58D0">
        <w:rPr>
          <w:rFonts w:ascii="Times New Roman" w:hAnsi="Times New Roman" w:cs="Times New Roman"/>
          <w:color w:val="000000"/>
        </w:rPr>
        <w:t>Our integrative analysis implicates MHC class II downregulation as a convergent mechanism linking genetic predisposition to transcriptomic immune dysregulation in Long COVID. HLA-DQA1 and HLA-DQB1 emerge as priority candidates for functional validation and potential therapeutic targeting. These findings provide a framework for hypothesis-driven multi-omics studies of post-acute sequelae.</w:t>
      </w:r>
    </w:p>
    <w:p w14:paraId="2FF5518A" w14:textId="6470B93B" w:rsidR="007133EC" w:rsidRDefault="00B77A2E" w:rsidP="00B77A2E">
      <w:pPr>
        <w:spacing w:after="160" w:line="312" w:lineRule="auto"/>
        <w:rPr>
          <w:rFonts w:ascii="Times New Roman" w:hAnsi="Times New Roman" w:cs="Times New Roman"/>
          <w:sz w:val="28"/>
          <w:szCs w:val="28"/>
        </w:rPr>
      </w:pPr>
      <w:r w:rsidRPr="00B77A2E">
        <w:rPr>
          <w:rFonts w:ascii="Times New Roman" w:hAnsi="Times New Roman" w:cs="Times New Roman"/>
          <w:b/>
          <w:bCs/>
          <w:color w:val="000000"/>
        </w:rPr>
        <w:lastRenderedPageBreak/>
        <w:t>Keywords</w:t>
      </w:r>
      <w:r w:rsidRPr="00B77A2E">
        <w:rPr>
          <w:rFonts w:ascii="Times New Roman" w:hAnsi="Times New Roman" w:cs="Times New Roman"/>
          <w:color w:val="000000"/>
        </w:rPr>
        <w:t>: Long COVID; PBMC; transcriptomics; GWAS; HLA-DQA1; immune dysregulation; post-acute sequelae; multi-</w:t>
      </w:r>
      <w:r w:rsidRPr="00B77A2E">
        <w:rPr>
          <w:rFonts w:ascii="Times New Roman" w:hAnsi="Times New Roman" w:cs="Times New Roman"/>
          <w:color w:val="000000"/>
          <w:sz w:val="21"/>
          <w:szCs w:val="21"/>
        </w:rPr>
        <w:t>omics</w:t>
      </w:r>
      <w:r w:rsidRPr="002D58D0">
        <w:rPr>
          <w:rFonts w:ascii="Times New Roman" w:hAnsi="Times New Roman" w:cs="Times New Roman"/>
        </w:rPr>
        <w:br/>
      </w:r>
    </w:p>
    <w:p w14:paraId="345707F8" w14:textId="77777777" w:rsidR="001A494B" w:rsidRDefault="001A494B" w:rsidP="00B77A2E">
      <w:pPr>
        <w:spacing w:after="160" w:line="312" w:lineRule="auto"/>
        <w:rPr>
          <w:rFonts w:ascii="Times New Roman" w:hAnsi="Times New Roman" w:cs="Times New Roman"/>
          <w:sz w:val="28"/>
          <w:szCs w:val="28"/>
        </w:rPr>
      </w:pPr>
    </w:p>
    <w:p w14:paraId="71ECC092" w14:textId="77777777" w:rsidR="001A494B" w:rsidRDefault="001A494B" w:rsidP="00B77A2E">
      <w:pPr>
        <w:spacing w:after="160" w:line="312" w:lineRule="auto"/>
        <w:rPr>
          <w:rFonts w:ascii="Times New Roman" w:hAnsi="Times New Roman" w:cs="Times New Roman"/>
          <w:sz w:val="28"/>
          <w:szCs w:val="28"/>
        </w:rPr>
      </w:pPr>
    </w:p>
    <w:p w14:paraId="1DF35A11" w14:textId="77777777" w:rsidR="001A494B" w:rsidRDefault="001A494B" w:rsidP="00B77A2E">
      <w:pPr>
        <w:spacing w:after="160" w:line="312" w:lineRule="auto"/>
        <w:rPr>
          <w:rFonts w:ascii="Times New Roman" w:hAnsi="Times New Roman" w:cs="Times New Roman"/>
          <w:sz w:val="28"/>
          <w:szCs w:val="28"/>
        </w:rPr>
      </w:pPr>
    </w:p>
    <w:p w14:paraId="0998624C" w14:textId="77777777" w:rsidR="001A494B" w:rsidRDefault="001A494B" w:rsidP="00B77A2E">
      <w:pPr>
        <w:spacing w:after="160" w:line="312" w:lineRule="auto"/>
        <w:rPr>
          <w:rFonts w:ascii="Times New Roman" w:hAnsi="Times New Roman" w:cs="Times New Roman"/>
          <w:sz w:val="28"/>
          <w:szCs w:val="28"/>
        </w:rPr>
      </w:pPr>
    </w:p>
    <w:p w14:paraId="2C8452D0" w14:textId="77777777" w:rsidR="001A494B" w:rsidRDefault="001A494B" w:rsidP="00B77A2E">
      <w:pPr>
        <w:spacing w:after="160" w:line="312" w:lineRule="auto"/>
        <w:rPr>
          <w:rFonts w:ascii="Times New Roman" w:hAnsi="Times New Roman" w:cs="Times New Roman"/>
          <w:sz w:val="28"/>
          <w:szCs w:val="28"/>
        </w:rPr>
      </w:pPr>
    </w:p>
    <w:p w14:paraId="53DF2441" w14:textId="77777777" w:rsidR="001A494B" w:rsidRDefault="001A494B" w:rsidP="00B77A2E">
      <w:pPr>
        <w:spacing w:after="160" w:line="312" w:lineRule="auto"/>
        <w:rPr>
          <w:rFonts w:ascii="Times New Roman" w:hAnsi="Times New Roman" w:cs="Times New Roman"/>
          <w:sz w:val="28"/>
          <w:szCs w:val="28"/>
        </w:rPr>
      </w:pPr>
    </w:p>
    <w:p w14:paraId="42EB7723" w14:textId="77777777" w:rsidR="001A494B" w:rsidRDefault="001A494B" w:rsidP="00B77A2E">
      <w:pPr>
        <w:spacing w:after="160" w:line="312" w:lineRule="auto"/>
        <w:rPr>
          <w:rFonts w:ascii="Times New Roman" w:hAnsi="Times New Roman" w:cs="Times New Roman"/>
          <w:sz w:val="28"/>
          <w:szCs w:val="28"/>
        </w:rPr>
      </w:pPr>
    </w:p>
    <w:p w14:paraId="4B004042" w14:textId="77777777" w:rsidR="001A494B" w:rsidRDefault="001A494B" w:rsidP="00B77A2E">
      <w:pPr>
        <w:spacing w:after="160" w:line="312" w:lineRule="auto"/>
        <w:rPr>
          <w:rFonts w:ascii="Times New Roman" w:hAnsi="Times New Roman" w:cs="Times New Roman"/>
          <w:sz w:val="28"/>
          <w:szCs w:val="28"/>
        </w:rPr>
      </w:pPr>
    </w:p>
    <w:p w14:paraId="24DDCD60" w14:textId="77777777" w:rsidR="001A494B" w:rsidRDefault="001A494B" w:rsidP="00B77A2E">
      <w:pPr>
        <w:spacing w:after="160" w:line="312" w:lineRule="auto"/>
        <w:rPr>
          <w:rFonts w:ascii="Times New Roman" w:hAnsi="Times New Roman" w:cs="Times New Roman"/>
          <w:sz w:val="28"/>
          <w:szCs w:val="28"/>
        </w:rPr>
      </w:pPr>
    </w:p>
    <w:p w14:paraId="22579778" w14:textId="77777777" w:rsidR="001A494B" w:rsidRDefault="001A494B" w:rsidP="00B77A2E">
      <w:pPr>
        <w:spacing w:after="160" w:line="312" w:lineRule="auto"/>
        <w:rPr>
          <w:rFonts w:ascii="Times New Roman" w:hAnsi="Times New Roman" w:cs="Times New Roman"/>
          <w:sz w:val="28"/>
          <w:szCs w:val="28"/>
        </w:rPr>
      </w:pPr>
    </w:p>
    <w:p w14:paraId="4E8399CC" w14:textId="77777777" w:rsidR="001A494B" w:rsidRDefault="001A494B" w:rsidP="00B77A2E">
      <w:pPr>
        <w:spacing w:after="160" w:line="312" w:lineRule="auto"/>
        <w:rPr>
          <w:rFonts w:ascii="Times New Roman" w:hAnsi="Times New Roman" w:cs="Times New Roman"/>
          <w:sz w:val="28"/>
          <w:szCs w:val="28"/>
        </w:rPr>
      </w:pPr>
    </w:p>
    <w:p w14:paraId="5E44116A" w14:textId="77777777" w:rsidR="001A494B" w:rsidRDefault="001A494B" w:rsidP="00B77A2E">
      <w:pPr>
        <w:spacing w:after="160" w:line="312" w:lineRule="auto"/>
        <w:rPr>
          <w:rFonts w:ascii="Times New Roman" w:hAnsi="Times New Roman" w:cs="Times New Roman"/>
          <w:sz w:val="28"/>
          <w:szCs w:val="28"/>
        </w:rPr>
      </w:pPr>
    </w:p>
    <w:p w14:paraId="302816B0" w14:textId="77777777" w:rsidR="001A494B" w:rsidRDefault="001A494B" w:rsidP="00B77A2E">
      <w:pPr>
        <w:spacing w:after="160" w:line="312" w:lineRule="auto"/>
        <w:rPr>
          <w:rFonts w:ascii="Times New Roman" w:hAnsi="Times New Roman" w:cs="Times New Roman"/>
          <w:sz w:val="28"/>
          <w:szCs w:val="28"/>
        </w:rPr>
      </w:pPr>
    </w:p>
    <w:p w14:paraId="1BDFA73F" w14:textId="77777777" w:rsidR="001A494B" w:rsidRDefault="001A494B" w:rsidP="00B77A2E">
      <w:pPr>
        <w:spacing w:after="160" w:line="312" w:lineRule="auto"/>
        <w:rPr>
          <w:rFonts w:ascii="Times New Roman" w:hAnsi="Times New Roman" w:cs="Times New Roman"/>
          <w:sz w:val="28"/>
          <w:szCs w:val="28"/>
        </w:rPr>
      </w:pPr>
    </w:p>
    <w:p w14:paraId="5499BD82" w14:textId="77777777" w:rsidR="001A494B" w:rsidRDefault="001A494B" w:rsidP="00B77A2E">
      <w:pPr>
        <w:spacing w:after="160" w:line="312" w:lineRule="auto"/>
        <w:rPr>
          <w:rFonts w:ascii="Times New Roman" w:hAnsi="Times New Roman" w:cs="Times New Roman"/>
          <w:sz w:val="28"/>
          <w:szCs w:val="28"/>
        </w:rPr>
      </w:pPr>
    </w:p>
    <w:p w14:paraId="35960239" w14:textId="77777777" w:rsidR="001A494B" w:rsidRDefault="001A494B" w:rsidP="00B77A2E">
      <w:pPr>
        <w:spacing w:after="160" w:line="312" w:lineRule="auto"/>
        <w:rPr>
          <w:rFonts w:ascii="Times New Roman" w:hAnsi="Times New Roman" w:cs="Times New Roman"/>
          <w:sz w:val="28"/>
          <w:szCs w:val="28"/>
        </w:rPr>
      </w:pPr>
    </w:p>
    <w:p w14:paraId="6F56EEA6" w14:textId="77777777" w:rsidR="001A494B" w:rsidRDefault="001A494B" w:rsidP="00B77A2E">
      <w:pPr>
        <w:spacing w:after="160" w:line="312" w:lineRule="auto"/>
        <w:rPr>
          <w:rFonts w:ascii="Times New Roman" w:hAnsi="Times New Roman" w:cs="Times New Roman"/>
          <w:sz w:val="28"/>
          <w:szCs w:val="28"/>
        </w:rPr>
      </w:pPr>
    </w:p>
    <w:p w14:paraId="40C09A7E" w14:textId="77777777" w:rsidR="001A494B" w:rsidRDefault="001A494B" w:rsidP="00B77A2E">
      <w:pPr>
        <w:spacing w:after="160" w:line="312" w:lineRule="auto"/>
        <w:rPr>
          <w:rFonts w:ascii="Times New Roman" w:hAnsi="Times New Roman" w:cs="Times New Roman"/>
          <w:sz w:val="28"/>
          <w:szCs w:val="28"/>
        </w:rPr>
      </w:pPr>
    </w:p>
    <w:p w14:paraId="1AB42D92" w14:textId="77777777" w:rsidR="001A494B" w:rsidRDefault="001A494B" w:rsidP="00B77A2E">
      <w:pPr>
        <w:spacing w:after="160" w:line="312" w:lineRule="auto"/>
        <w:rPr>
          <w:rFonts w:ascii="Times New Roman" w:hAnsi="Times New Roman" w:cs="Times New Roman"/>
          <w:sz w:val="28"/>
          <w:szCs w:val="28"/>
        </w:rPr>
      </w:pPr>
    </w:p>
    <w:p w14:paraId="2B834E28" w14:textId="77777777" w:rsidR="001A494B" w:rsidRPr="00B77A2E" w:rsidRDefault="001A494B" w:rsidP="00B77A2E">
      <w:pPr>
        <w:spacing w:after="160" w:line="312" w:lineRule="auto"/>
        <w:rPr>
          <w:rFonts w:ascii="Times New Roman" w:hAnsi="Times New Roman" w:cs="Times New Roman"/>
          <w:sz w:val="28"/>
          <w:szCs w:val="28"/>
        </w:rPr>
      </w:pPr>
    </w:p>
    <w:p w14:paraId="7145F232" w14:textId="77777777" w:rsidR="007133EC" w:rsidRPr="002D58D0" w:rsidRDefault="003A521C" w:rsidP="00ED5B59">
      <w:pPr>
        <w:pStyle w:val="Heading1"/>
        <w:spacing w:line="312" w:lineRule="auto"/>
        <w:rPr>
          <w:rFonts w:ascii="Times New Roman" w:hAnsi="Times New Roman" w:cs="Times New Roman"/>
        </w:rPr>
      </w:pPr>
      <w:r w:rsidRPr="002D58D0">
        <w:rPr>
          <w:rFonts w:ascii="Times New Roman" w:hAnsi="Times New Roman" w:cs="Times New Roman"/>
        </w:rPr>
        <w:lastRenderedPageBreak/>
        <w:t>1. Introduction</w:t>
      </w:r>
    </w:p>
    <w:p w14:paraId="23696AEA" w14:textId="29D80D6A" w:rsidR="007133EC" w:rsidRPr="002D58D0" w:rsidRDefault="003A521C" w:rsidP="00ED5B59">
      <w:pPr>
        <w:spacing w:after="160" w:line="312" w:lineRule="auto"/>
        <w:jc w:val="both"/>
        <w:rPr>
          <w:rFonts w:ascii="Times New Roman" w:hAnsi="Times New Roman" w:cs="Times New Roman"/>
        </w:rPr>
      </w:pPr>
      <w:bookmarkStart w:id="0" w:name="_Hlk228742058"/>
      <w:r w:rsidRPr="002D58D0">
        <w:rPr>
          <w:rFonts w:ascii="Times New Roman" w:hAnsi="Times New Roman" w:cs="Times New Roman"/>
          <w:color w:val="000000"/>
        </w:rPr>
        <w:t>The COVID-19 pandemic, caused by severe acute respiratory syndrome coronavirus 2 (SARS-CoV-2), has resulted in an unprecedented global health crisis extending well beyond the acute phase of infection</w:t>
      </w:r>
      <w:bookmarkEnd w:id="0"/>
      <w:r w:rsidR="00BC71ED">
        <w:rPr>
          <w:rFonts w:ascii="Times New Roman" w:hAnsi="Times New Roman" w:cs="Times New Roman"/>
          <w:color w:val="000000"/>
        </w:rPr>
        <w:fldChar w:fldCharType="begin"/>
      </w:r>
      <w:r w:rsidR="00BC71ED">
        <w:rPr>
          <w:rFonts w:ascii="Times New Roman" w:hAnsi="Times New Roman" w:cs="Times New Roman"/>
          <w:color w:val="000000"/>
        </w:rPr>
        <w:instrText xml:space="preserve"> ADDIN ZOTERO_ITEM CSL_CITATION {"citationID":"y9z4fdN9","properties":{"unsorted":false,"formattedCitation":"(Mallah et al., 2021; Ross et al., 2022)","plainCitation":"(Mallah et al., 2021; Ross et al., 2022)","noteIndex":0},"citationItems":[{"id":2779,"uris":["http://zotero.org/users/12279291/items/N7W78UQU"],"itemData":{"id":2779,"type":"article-journal","abstract":"Coronavirus disease 2019 (COVID-19) is the second pandemic of the twenty-first century, with over one-hundred million infections and over two million deaths to date. It is a novel strain from the Coronaviridae family, named Severe Acute Respiratory Distress Syndrome Coronavirus-2 (SARS-CoV-2); the 7th known member of the coronavirus family to cause disease in humans, notably following the Middle East Respiratory syndrome (MERS), and Severe Acute Respiratory Distress Syndrome (SARS). The most characteristic feature of this single-stranded RNA molecule includes the spike glycoprotein on its surface. Most patients with COVID-19, of which the elderly and immunocompromised are most at risk, complain of flu-like symptoms, including dry cough and headache. The most common complications include pneumonia, acute respiratory distress syndrome, septic shock, and cardiovascular manifestations. Transmission of SARS-CoV-2 is mainly via respiratory droplets, either directly from the air when an infected patient coughs or sneezes, or in the form of fomites on surfaces. Maintaining hand-hygiene, social distancing, and personal protective equipment (i.e., masks) remain the most effective precautions. Patient management includes supportive care and anticoagulative measures, with a focus on maintaining respiratory function. Therapy with dexamethasone, remdesivir, and tocilizumab appear to be most promising to date, with hydroxychloroquine, lopinavir, ritonavir, and interferons falling out of favour. Additionally, accelerated vaccination efforts have taken place internationally, with several promising vaccinations being mass deployed. In response to the COVID-19 pandemic, countries and stakeholders have taken varying precautions to combat and contain the spread of the virus and dampen its collateral economic damage. This review paper aims to synthesize the impact of the virus on a global, micro to macro scale.","container-title":"Annals of Clinical Microbiology and Antimicrobials","DOI":"10.1186/s12941-021-00438-7","ISSN":"1476-0711","journalAbbreviation":"Ann Clin Microbiol Antimicrob","page":"35","PMID":"34006330","PMCID":"PMC8129964","source":"PubMed Central","title":"COVID-19: breaking down a global health crisis","title-short":"COVID-19","volume":"20","author":[{"family":"Mallah","given":"Saad I."},{"family":"Ghorab","given":"Omar K."},{"family":"Al-Salmi","given":"Sabrina"},{"family":"Abdellatif","given":"Omar S."},{"family":"Tharmaratnam","given":"Tharmegan"},{"family":"Iskandar","given":"Mina Amin"},{"family":"Sefen","given":"Jessica Atef Nassef"},{"family":"Sidhu","given":"Pardeep"},{"family":"Atallah","given":"Bassam"},{"family":"El-Lababidi","given":"Rania"},{"family":"Al-Qahtani","given":"Manaf"}],"issued":{"date-parts":[["2021",5,18]]}}},{"id":2784,"uris":["http://zotero.org/users/12279291/items/ARGGE8RI"],"itemData":{"id":2784,"type":"article-journal","abstract":"The SARS-CoV-2 pandemic has been associated with dramatic increases in substance use, as marked by increased alcohol, nicotine, and cannabis sales. Lethal opioid overdoses also increased dramatically, especially during the initial phases of the epidemic when lockdowns and social isolation combined with increasing fentanyl contamination of the illicit drug supply resulted in more overdoses and fewer opportunities for rescue. Substance use, and especially inhalational drug use, increases the likelihood of both transmission and severe infection. Youth are especially vulnerable to substance use and have increased risk of long-term problems. These outcomes highlight the need for greater access to substance use treatment. Virtual treatment, which emerged as a promising format during the pandemic, may reduce access barriers. This article reviews trends in substance use during the pandemic, explores root causes of increased use and overdose, and examines the potential to increase treatment through virtual care, especially during future periods of disruption.","container-title":"Clinical Infectious Diseases","DOI":"10.1093/cid/ciac311","ISSN":"1058-4838","issue":"Supplement_1","journalAbbreviation":"Clin Infect Dis","page":"S81-S85","source":"Silverchair","title":"The Impact of the Severe Acute Respiratory Syndrome Coronavirus 2 (SARS-CoV-2) Pandemic on Substance Use in the United States","volume":"75","author":[{"family":"Ross","given":"Jennifer A"},{"family":"Malone","given":"Patrice K"},{"family":"Levy","given":"Sharon"}],"issued":{"date-parts":[["2022",8,15]]}}}],"schema":"https://github.com/citation-style-language/schema/raw/master/csl-citation.json"} </w:instrText>
      </w:r>
      <w:r w:rsidR="00BC71ED">
        <w:rPr>
          <w:rFonts w:ascii="Times New Roman" w:hAnsi="Times New Roman" w:cs="Times New Roman"/>
          <w:color w:val="000000"/>
        </w:rPr>
        <w:fldChar w:fldCharType="separate"/>
      </w:r>
      <w:r w:rsidR="00BC71ED">
        <w:rPr>
          <w:rFonts w:ascii="Times New Roman" w:hAnsi="Times New Roman" w:cs="Times New Roman"/>
          <w:noProof/>
          <w:color w:val="000000"/>
        </w:rPr>
        <w:t>(Mallah et al., 2021; Ross et al., 2022)</w:t>
      </w:r>
      <w:r w:rsidR="00BC71ED">
        <w:rPr>
          <w:rFonts w:ascii="Times New Roman" w:hAnsi="Times New Roman" w:cs="Times New Roman"/>
          <w:color w:val="000000"/>
        </w:rPr>
        <w:fldChar w:fldCharType="end"/>
      </w:r>
      <w:r w:rsidRPr="002D58D0">
        <w:rPr>
          <w:rFonts w:ascii="Times New Roman" w:hAnsi="Times New Roman" w:cs="Times New Roman"/>
          <w:color w:val="000000"/>
        </w:rPr>
        <w:t>. A substantial proportion of individuals who survive the initial infection develop persistent symptoms lasting weeks to months — a condition now formally designated as Post-Acute Sequelae of SARS-CoV-2 infection (PASC), or Long COVID</w:t>
      </w:r>
      <w:r w:rsidR="009458AB">
        <w:rPr>
          <w:rFonts w:ascii="Times New Roman" w:hAnsi="Times New Roman" w:cs="Times New Roman"/>
          <w:color w:val="000000"/>
        </w:rPr>
        <w:fldChar w:fldCharType="begin"/>
      </w:r>
      <w:r w:rsidR="009458AB">
        <w:rPr>
          <w:rFonts w:ascii="Times New Roman" w:hAnsi="Times New Roman" w:cs="Times New Roman"/>
          <w:color w:val="000000"/>
        </w:rPr>
        <w:instrText xml:space="preserve"> ADDIN ZOTERO_ITEM CSL_CITATION {"citationID":"DGTjVSSa","properties":{"unsorted":false,"formattedCitation":"(Albornoz et al., 2023; Parums, 2024; {\\i{}Post COVID-19 Condition (Long COVID)}, n.d.)","plainCitation":"(Albornoz et al., 2023; Parums, 2024; Post COVID-19 Condition (Long COVID), n.d.)","noteIndex":0},"citationItems":[{"id":1770,"uris":["http://zotero.org/users/12279291/items/H2UFC5VK"],"itemData":{"id":1770,"type":"article-journal","abstract":"Coronavirus disease-2019 (COVID-19) is primarily a respiratory disease, however, an increasing number of reports indicate that SARS-CoV-2 infection can also cause severe neurological manifestations, including precipitating cases of probable Parkinson’s disease. As microglial NLRP3 inflammasome activation is a major driver of neurodegeneration, here we interrogated whether SARS-CoV-2 can promote microglial NLRP3 inflammasome activation. Using SARS-CoV-2 infection of transgenic mice expressing human angiotensin-converting enzyme 2 (hACE2) as a COVID-19 pre-clinical model, we established the presence of virus in the brain together with microglial activation and NLRP3 inflammasome upregulation in comparison to uninfected mice. Next, utilising a model of human monocyte-derived microglia, we identified that SARS-CoV-2 isolates can bind and enter human microglia in the absence of viral replication. This interaction of virus and microglia directly induced robust inflammasome activation, even in the absence of another priming signal. Mechanistically, we demonstrated that purified SARS-CoV-2 spike glycoprotein activated the NLRP3 inflammasome in LPS-primed microglia, in a ACE2-dependent manner. Spike protein also could prime the inflammasome in microglia through NF-κB signalling, allowing for activation through either ATP, nigericin or α-synuclein. Notably, SARS-CoV-2 and spike protein-mediated microglial inflammasome activation was significantly enhanced in the presence of α-synuclein fibrils and was entirely ablated by NLRP3-inhibition. Finally, we demonstrate SARS-CoV-2 infected hACE2 mice treated orally post-infection with the NLRP3 inhibitory drug MCC950, have significantly reduced microglial inflammasome activation, and increased survival in comparison with untreated SARS-CoV-2 infected mice. These results support a possible mechanism of microglial innate immune activation by SARS-CoV-2, which could explain the increased vulnerability to developing neurological symptoms akin to Parkinson’s disease in COVID-19 infected individuals, and a potential therapeutic avenue for intervention.","container-title":"Molecular Psychiatry","DOI":"10.1038/s41380-022-01831-0","ISSN":"1476-5578","issue":"7","journalAbbreviation":"Mol Psychiatry","language":"en","license":"2022 The Author(s)","page":"2878-2893","publisher":"Nature Publishing Group","source":"www-nature-com.libproxy.uthscsa.edu","title":"SARS-CoV-2 drives NLRP3 inflammasome activation in human microglia through spike protein","volume":"28","author":[{"family":"Albornoz","given":"Eduardo A."},{"family":"Amarilla","given":"Alberto A."},{"family":"Modhiran","given":"Naphak"},{"family":"Parker","given":"Sandra"},{"family":"Li","given":"Xaria X."},{"family":"Wijesundara","given":"Danushka K."},{"family":"Aguado","given":"Julio"},{"family":"Zamora","given":"Adriana Pliego"},{"family":"McMillan","given":"Christopher L. D."},{"family":"Liang","given":"Benjamin"},{"family":"Peng","given":"Nias Y. G."},{"family":"Sng","given":"Julian D. J."},{"family":"Saima","given":"Fatema Tuj"},{"family":"Fung","given":"Jenny N."},{"family":"Lee","given":"John D."},{"family":"Paramitha","given":"Devina"},{"family":"Parry","given":"Rhys"},{"family":"Avumegah","given":"Michael S."},{"family":"Isaacs","given":"Ariel"},{"family":"Lo","given":"Martin W."},{"family":"Miranda-Chacon","given":"Zaray"},{"family":"Bradshaw","given":"Daniella"},{"family":"Salinas-Rebolledo","given":"Constanza"},{"family":"Rajapakse","given":"Niwanthi W."},{"family":"Wolvetang","given":"Ernst J."},{"family":"Munro","given":"Trent P."},{"family":"Rojas-Fernandez","given":"Alejandro"},{"family":"Young","given":"Paul R."},{"family":"Stacey","given":"Katryn J."},{"family":"Khromykh","given":"Alexander A."},{"family":"Chappell","given":"Keith J."},{"family":"Watterson","given":"Daniel"},{"family":"Woodruff","given":"Trent M."}],"issued":{"date-parts":[["2023",7]]}}},{"id":2786,"uris":["http://zotero.org/users/12279291/items/E3YLYRQ8"],"itemData":{"id":2786,"type":"article-journal","abstract":"Long COVID, or post-acute sequelae of SARS-CoV-2 infection (PASC), also known as post-COVID-19 condition or post-COVID syndrome, can affect anyone infected with SARS-CoV-2, regardless of age or the severity of the initial symptoms of COVID-19. Long COVID/PASC is the continuation or development of new symptoms after three months from the initial SARS-CoV-2 infection, which lasts for at least two months and has no other identifiable cause. Long COVID/PASC occurs in 10–20% of patients infected with SARS-CoV-2. The most common symptoms include fatigue, cognitive impairment (brain fog), and shortness of breath. However, more than 200 symptoms have been reported. No phenotypic or diagnostic biomarkers have been identified for developing long COVID/PASC, which is a multisystem disorder that can present with isolated or combined respiratory, hematological, immunological, cardiovascular, and neuropsychiatric symptoms. There is no cure. Therefore, individualized patient management requires a multidisciplinary clinical approach. Because millions of people have had and continue to have COVID-19, even in the era of vaccination and antiviral therapies, long COVID/PASC is now and will increasingly become a health and economic burden that the world must prepare for. Almost five years from the beginning of the COVID-19 pandemic, this article aims to review what is currently known about long COVID/PASC, the anticipated increasing global health burden, and why there is still an urgent need to identify diagnostic biomarkers and risk factors to improve prevention and treatment.","container-title":"Medical Science Monitor : International Medical Journal of Experimental and Clinical Research","DOI":"10.12659/MSM.946512","ISSN":"1234-1010","journalAbbreviation":"Med Sci Monit","page":"e946512-1-e946512-7","PMID":"39289865","PMCID":"PMC11418572","source":"PubMed Central","title":"Long COVID or Post-Acute Sequelae of SARS-CoV-2 Infection (PASC) and the Urgent Need to Identify Diagnostic Biomarkers and Risk Factors","volume":"30","author":[{"family":"Parums","given":"Dinah V."}],"issued":{"date-parts":[["2024",9,18]]}}},{"id":2791,"uris":["http://zotero.org/users/12279291/items/LY472QRJ"],"itemData":{"id":2791,"type":"webpage","abstract":"WHO fact sheet on post COVID-19 condition (long COVID), including key facts, scope of the problem, symptoms, treatment, self-care and prevention.","language":"en","title":"Post COVID-19 condition (long COVID)","URL":"https://www.who.int/news-room/fact-sheets/detail/post-covid-19-condition-(long-covid)","accessed":{"date-parts":[["2026",5,3]]}}}],"schema":"https://github.com/citation-style-language/schema/raw/master/csl-citation.json"} </w:instrText>
      </w:r>
      <w:r w:rsidR="009458AB">
        <w:rPr>
          <w:rFonts w:ascii="Times New Roman" w:hAnsi="Times New Roman" w:cs="Times New Roman"/>
          <w:color w:val="000000"/>
        </w:rPr>
        <w:fldChar w:fldCharType="separate"/>
      </w:r>
      <w:r w:rsidR="009458AB" w:rsidRPr="009458AB">
        <w:rPr>
          <w:rFonts w:ascii="Times New Roman" w:hAnsi="Times New Roman" w:cs="Times New Roman"/>
          <w:color w:val="000000"/>
        </w:rPr>
        <w:t xml:space="preserve">(Albornoz et al., 2023; Parums, 2024; </w:t>
      </w:r>
      <w:r w:rsidR="009458AB" w:rsidRPr="009458AB">
        <w:rPr>
          <w:rFonts w:ascii="Times New Roman" w:hAnsi="Times New Roman" w:cs="Times New Roman"/>
          <w:i/>
          <w:iCs/>
          <w:color w:val="000000"/>
        </w:rPr>
        <w:t>Post COVID-19 Condition (Long COVID)</w:t>
      </w:r>
      <w:r w:rsidR="009458AB" w:rsidRPr="009458AB">
        <w:rPr>
          <w:rFonts w:ascii="Times New Roman" w:hAnsi="Times New Roman" w:cs="Times New Roman"/>
          <w:color w:val="000000"/>
        </w:rPr>
        <w:t>, n.d.)</w:t>
      </w:r>
      <w:r w:rsidR="009458AB">
        <w:rPr>
          <w:rFonts w:ascii="Times New Roman" w:hAnsi="Times New Roman" w:cs="Times New Roman"/>
          <w:color w:val="000000"/>
        </w:rPr>
        <w:fldChar w:fldCharType="end"/>
      </w:r>
      <w:r w:rsidRPr="002D58D0">
        <w:rPr>
          <w:rFonts w:ascii="Times New Roman" w:hAnsi="Times New Roman" w:cs="Times New Roman"/>
          <w:color w:val="000000"/>
        </w:rPr>
        <w:t xml:space="preserve">. </w:t>
      </w:r>
      <w:bookmarkStart w:id="1" w:name="_Hlk228742831"/>
      <w:r w:rsidRPr="002D58D0">
        <w:rPr>
          <w:rFonts w:ascii="Times New Roman" w:hAnsi="Times New Roman" w:cs="Times New Roman"/>
          <w:color w:val="000000"/>
        </w:rPr>
        <w:t>Epidemiological estimates place the global burden of Long COVID at approximately 65 million affected individuals, representing one of the most consequential post-infectious syndromes in modern medical history</w:t>
      </w:r>
      <w:bookmarkEnd w:id="1"/>
      <w:r w:rsidRPr="002D58D0">
        <w:rPr>
          <w:rFonts w:ascii="Times New Roman" w:hAnsi="Times New Roman" w:cs="Times New Roman"/>
          <w:color w:val="000000"/>
        </w:rPr>
        <w:t xml:space="preserve"> </w:t>
      </w:r>
      <w:r w:rsidR="0022473D">
        <w:rPr>
          <w:rFonts w:ascii="Times New Roman" w:hAnsi="Times New Roman" w:cs="Times New Roman"/>
          <w:color w:val="000000"/>
        </w:rPr>
        <w:fldChar w:fldCharType="begin"/>
      </w:r>
      <w:r w:rsidR="007F6B66">
        <w:rPr>
          <w:rFonts w:ascii="Times New Roman" w:hAnsi="Times New Roman" w:cs="Times New Roman"/>
          <w:color w:val="000000"/>
        </w:rPr>
        <w:instrText xml:space="preserve"> ADDIN ZOTERO_ITEM CSL_CITATION {"citationID":"8EDp0bRy","properties":{"unsorted":false,"formattedCitation":"(Davis et al., 2023; Makhluf et al., 2024; Peluso &amp; Deeks, 2024; Song et al., 2024)","plainCitation":"(Davis et al., 2023; Makhluf et al., 2024; Peluso &amp; Deeks, 2024; Song et al., 2024)","noteIndex":0},"citationItems":[{"id":2662,"uris":["http://zotero.org/users/12279291/items/MKHTAKKF"],"itemData":{"id":2662,"type":"article-journal","abstract":"Long COVID is an often debilitating illness that occurs in at least 10% of severe acute respiratory syndrome coronavirus 2 (SARS-CoV-2) infections. More than 200 symptoms have been identified with impacts on multiple organ systems. At least 65 million individuals worldwide are estimated to have long COVID, with cases increasing daily. Biomedical research has made substantial progress in identifying various pathophysiological changes and risk factors and in characterizing the illness; further, similarities with other viral-onset illnesses such as myalgic encephalomyelitis/chronic fatigue syndrome and postural orthostatic tachycardia syndrome have laid the groundwork for research in the field. In this Review, we explore the current literature and highlight key findings, the overlap with other conditions, the variable onset of symptoms, long COVID in children and the impact of vaccinations. Although these key findings are critical to understanding long COVID, current diagnostic and treatment options are insufficient, and clinical trials must be prioritized that address leading hypotheses. Additionally, to strengthen long COVID research, future studies must account for biases and SARS-CoV-2 testing issues, build on viral-onset research, be inclusive of marginalized populations and meaningfully engage patients throughout the research process.","container-title":"Nature Reviews. Microbiology","DOI":"10.1038/s41579-022-00846-2","ISSN":"1740-1534","issue":"3","journalAbbreviation":"Nat Rev Microbiol","language":"eng","page":"133-146","PMID":"36639608","PMCID":"PMC9839201","source":"PubMed","title":"Long COVID: major findings, mechanisms and recommendations","title-short":"Long COVID","volume":"21","author":[{"family":"Davis","given":"Hannah E."},{"family":"McCorkell","given":"Lisa"},{"family":"Vogel","given":"Julia Moore"},{"family":"Topol","given":"Eric J."}],"issued":{"date-parts":[["2023",3]]}}},{"id":2798,"uris":["http://zotero.org/users/12279291/items/5ZQKPANV"],"itemData":{"id":2798,"type":"article-journal","abstract":"Four years post-pandemic, SARS-CoV-2 continues to affect many lives across the globe. An estimated 65 million people suffer from long COVID, a term used to encapsulate the post-acute sequelae of SARS-CoV-2 infections that affect multiple organ systems. Known symptoms include chronic fatigue syndrome, brain fog, cardiovascular issues, autoimmunity, dysautonomia, and clotting due to inflammation. Herein, we review long COVID symptoms, the proposed theories behind the pathology, diagnostics, treatments, and the clinical trials underway to explore treatments for viral persistence, autonomic and cognitive dysfunctions, sleep disturbances, fatigue, and exercise intolerance.","container-title":"Diagnostics","DOI":"10.3390/diagnostics14070711","ISSN":"2075-4418","issue":"7","journalAbbreviation":"Diagnostics (Basel)","page":"711","PMID":"38611624","PMCID":"PMC11011397","source":"PubMed Central","title":"Long COVID: Long-Term Impact of SARS-CoV2","title-short":"Long COVID","volume":"14","author":[{"family":"Makhluf","given":"Huda"},{"family":"Madany","given":"Henry"},{"family":"Kim","given":"Kenneth"}],"issued":{"date-parts":[["2024",3,28]]}}},{"id":2796,"uris":["http://zotero.org/users/12279291/items/RYR4DWJ9"],"itemData":{"id":2796,"type":"article-journal","abstract":"Long COVID, a type of post-acute sequelae of severe acute respiratory syndrome coronavirus 2 (SARS-CoV-2) (PASC) defined by medically unexplained symptoms following infection with SARS-CoV-2, is a newly recognized infection-associated chronic condition that causes disability in some people. Substantial progress has been made in defining its epidemiology, biology, and pathophysiology. However, there is no cure for the tens of millions of people believed to be experiencing long COVID, and industry engagement in developing therapeutics has been limited. Here, we review the current state of knowledge regarding the biology and pathophysiology of long COVID, focusing on how the proposed mechanisms explain the physiology of the syndrome and how they provide a rationale for the implementation of a broad experimental medicine and clinical trials agenda. Progress toward preventing and curing long COVID and other infection-associated chronic conditions will require deep and sustained investment by funders and industry.","container-title":"Cell","DOI":"10.1016/j.cell.2024.07.054","ISSN":"0092-8674","issue":"20","journalAbbreviation":"Cell","page":"5500-5529","source":"ScienceDirect","title":"Mechanisms of long COVID and the path toward therapeutics","volume":"187","author":[{"family":"Peluso","given":"Michael J."},{"family":"Deeks","given":"Steven G."}],"issued":{"date-parts":[["2024",10,3]]}}},{"id":2804,"uris":["http://zotero.org/users/12279291/items/LJNLCX9J"],"itemData":{"id":2804,"type":"article-journal","abstract":"Background: Long COVID, characterized by a persistent symptom spectrum following SARS-CoV-2 infection, poses significant health, social, and economic challenges. This review aims to consolidate knowledge on its epidemiology, clinical features, and underlying mechanisms to guide global responses; Methods: We conducted a literature review, analyzing peer-reviewed articles and reports to gather comprehensive data on long COVID’s epidemiology, symptomatology, and management approaches; Results: Our analysis revealed a wide array of long COVID symptoms and risk factors, with notable demographic variability. The current understanding of its pathophysiology suggests a multifactorial origin yet remains partially understood. Emerging diagnostic criteria and potential therapeutic strategies were identified, highlighting advancements in long COVID management; Conclusions: This review highlights the multifaceted nature of long COVID, revealing a broad spectrum of symptoms, diverse risk factors, and the complex interplay of physiological mechanisms underpinning the condition. Long COVID symptoms and disorders will continue to weigh on healthcare systems in years to come. Addressing long COVID requires a holistic management strategy that integrates clinical care, social support, and policy initiatives. The findings underscore the need for increased international cooperation in research and health planning to address the complex challenges of long COVID. There is a call for continued refinement of diagnostic and treatment modalities, emphasizing a multidisciplinary approach to manage the ongoing and evolving impacts of the condition.","container-title":"Diagnostics","DOI":"10.3390/diagnostics14111168","ISSN":"2075-4418","issue":"11","language":"en","license":"http://creativecommons.org/licenses/by/3.0/","page":"1168","publisher":"Multidisciplinary Digital Publishing Institute","source":"www.mdpi.com","title":"A Comprehensive Review of the Global Epidemiology, Clinical Management, Socio-Economic Impacts, and National Responses to Long COVID with Future Research Directions","volume":"14","author":[{"family":"Song","given":"Xiufang"},{"family":"Song","given":"Weiwei"},{"family":"Cui","given":"Lizhen"},{"family":"Duong","given":"Tim Q."},{"family":"Pandy","given":"Rajiv"},{"family":"Liu","given":"Hongdou"},{"family":"Zhou","given":"Qun"},{"family":"Sun","given":"Jiayao"},{"family":"Liu","given":"Yanli"},{"family":"Li","given":"Tong"}],"issued":{"date-parts":[["2024",1]]}}}],"schema":"https://github.com/citation-style-language/schema/raw/master/csl-citation.json"} </w:instrText>
      </w:r>
      <w:r w:rsidR="0022473D">
        <w:rPr>
          <w:rFonts w:ascii="Times New Roman" w:hAnsi="Times New Roman" w:cs="Times New Roman"/>
          <w:color w:val="000000"/>
        </w:rPr>
        <w:fldChar w:fldCharType="separate"/>
      </w:r>
      <w:r w:rsidR="007F6B66">
        <w:rPr>
          <w:rFonts w:ascii="Times New Roman" w:hAnsi="Times New Roman" w:cs="Times New Roman"/>
          <w:noProof/>
          <w:color w:val="000000"/>
        </w:rPr>
        <w:t>(Davis et al., 2023; Makhluf et al., 2024; Peluso &amp; Deeks, 2024; Song et al., 2024)</w:t>
      </w:r>
      <w:r w:rsidR="0022473D">
        <w:rPr>
          <w:rFonts w:ascii="Times New Roman" w:hAnsi="Times New Roman" w:cs="Times New Roman"/>
          <w:color w:val="000000"/>
        </w:rPr>
        <w:fldChar w:fldCharType="end"/>
      </w:r>
      <w:r w:rsidR="0022473D">
        <w:rPr>
          <w:rFonts w:ascii="Times New Roman" w:hAnsi="Times New Roman" w:cs="Times New Roman"/>
          <w:color w:val="000000"/>
        </w:rPr>
        <w:t>.</w:t>
      </w:r>
    </w:p>
    <w:p w14:paraId="1E376B80" w14:textId="302887AF" w:rsidR="007133EC" w:rsidRPr="002D58D0" w:rsidRDefault="003A521C" w:rsidP="00ED5B59">
      <w:pPr>
        <w:spacing w:after="160" w:line="312" w:lineRule="auto"/>
        <w:jc w:val="both"/>
        <w:rPr>
          <w:rFonts w:ascii="Times New Roman" w:hAnsi="Times New Roman" w:cs="Times New Roman"/>
        </w:rPr>
      </w:pPr>
      <w:bookmarkStart w:id="2" w:name="_Hlk228743188"/>
      <w:r w:rsidRPr="002D58D0">
        <w:rPr>
          <w:rFonts w:ascii="Times New Roman" w:hAnsi="Times New Roman" w:cs="Times New Roman"/>
          <w:color w:val="000000"/>
        </w:rPr>
        <w:t xml:space="preserve">Long COVID manifests across a diverse spectrum of symptoms encompassing fatigue, cognitive impairment (colloquially termed 'brain fog'), </w:t>
      </w:r>
      <w:proofErr w:type="spellStart"/>
      <w:r w:rsidRPr="002D58D0">
        <w:rPr>
          <w:rFonts w:ascii="Times New Roman" w:hAnsi="Times New Roman" w:cs="Times New Roman"/>
          <w:color w:val="000000"/>
        </w:rPr>
        <w:t>dyspnoea</w:t>
      </w:r>
      <w:proofErr w:type="spellEnd"/>
      <w:r w:rsidRPr="002D58D0">
        <w:rPr>
          <w:rFonts w:ascii="Times New Roman" w:hAnsi="Times New Roman" w:cs="Times New Roman"/>
          <w:color w:val="000000"/>
        </w:rPr>
        <w:t>, post-exertional malaise, and neurological and cardiovascular sequelae</w:t>
      </w:r>
      <w:r w:rsidR="00961116">
        <w:rPr>
          <w:rFonts w:ascii="Times New Roman" w:hAnsi="Times New Roman" w:cs="Times New Roman"/>
          <w:color w:val="000000"/>
        </w:rPr>
        <w:t xml:space="preserve"> </w:t>
      </w:r>
      <w:bookmarkEnd w:id="2"/>
      <w:r w:rsidR="00961116">
        <w:rPr>
          <w:rFonts w:ascii="Times New Roman" w:hAnsi="Times New Roman" w:cs="Times New Roman"/>
          <w:color w:val="000000"/>
        </w:rPr>
        <w:fldChar w:fldCharType="begin"/>
      </w:r>
      <w:r w:rsidR="007F6B66">
        <w:rPr>
          <w:rFonts w:ascii="Times New Roman" w:hAnsi="Times New Roman" w:cs="Times New Roman"/>
          <w:color w:val="000000"/>
        </w:rPr>
        <w:instrText xml:space="preserve"> ADDIN ZOTERO_ITEM CSL_CITATION {"citationID":"H66TF7T1","properties":{"unsorted":false,"formattedCitation":"(Nalbandian et al., 2021; Pour Mohammadi et al., 2025)","plainCitation":"(Nalbandian et al., 2021; Pour Mohammadi et al., 2025)","noteIndex":0},"citationItems":[{"id":2676,"uris":["http://zotero.org/users/12279291/items/TMEIAXIN"],"itemData":{"id":2676,"type":"article-journal","abstract":"Severe acute respiratory syndrome coronavirus 2 (SARS-CoV-2) is the pathogen responsible for the coronavirus disease 2019 (COVID-19) pandemic, which has resulted in global healthcare crises and strained health resources. As the population of patients recovering from COVID-19 grows, it is paramount to establish an understanding of the healthcare issues surrounding them. COVID-19 is now recognized as a multi-organ disease with a broad spectrum of manifestations. Similarly to post-acute viral syndromes described in survivors of other virulent coronavirus epidemics, there are increasing reports of persistent and prolonged effects after acute COVID-19. Patient advocacy groups, many members of which identify themselves as long haulers, have helped contribute to the recognition of post-acute COVID-19, a syndrome characterized by persistent symptoms and/or delayed or long-term complications beyond 4 weeks from the onset of symptoms. Here, we provide a comprehensive review of the current literature on post-acute COVID-19, its pathophysiology and its organ-specific sequelae. Finally, we discuss relevant considerations for the multidisciplinary care of COVID-19 survivors and propose a framework for the identification of those at high risk for post-acute COVID-19 and their coordinated management through dedicated COVID-19 clinics.","container-title":"Nature Medicine","DOI":"10.1038/s41591-021-01283-z","ISSN":"1546-170X","issue":"4","journalAbbreviation":"Nat Med","language":"en","license":"2021 The Author(s), under exclusive licence to Springer Nature America, Inc.","page":"601-615","publisher":"Nature Publishing Group","source":"www-nature-com.libproxy.uthscsa.edu","title":"Post-acute COVID-19 syndrome","volume":"27","author":[{"family":"Nalbandian","given":"Ani"},{"family":"Sehgal","given":"Kartik"},{"family":"Gupta","given":"Aakriti"},{"family":"Madhavan","given":"Mahesh V."},{"family":"McGroder","given":"Claire"},{"family":"Stevens","given":"Jacob S."},{"family":"Cook","given":"Joshua R."},{"family":"Nordvig","given":"Anna S."},{"family":"Shalev","given":"Daniel"},{"family":"Sehrawat","given":"Tejasav S."},{"family":"Ahluwalia","given":"Neha"},{"family":"Bikdeli","given":"Behnood"},{"family":"Dietz","given":"Donald"},{"family":"Der-Nigoghossian","given":"Caroline"},{"family":"Liyanage-Don","given":"Nadia"},{"family":"Rosner","given":"Gregg F."},{"family":"Bernstein","given":"Elana J."},{"family":"Mohan","given":"Sumit"},{"family":"Beckley","given":"Akinpelumi A."},{"family":"Seres","given":"David S."},{"family":"Choueiri","given":"Toni K."},{"family":"Uriel","given":"Nir"},{"family":"Ausiello","given":"John C."},{"family":"Accili","given":"Domenico"},{"family":"Freedberg","given":"Daniel E."},{"family":"Baldwin","given":"Matthew"},{"family":"Schwartz","given":"Allan"},{"family":"Brodie","given":"Daniel"},{"family":"Garcia","given":"Christine Kim"},{"family":"Elkind","given":"Mitchell S. V."},{"family":"Connors","given":"Jean M."},{"family":"Bilezikian","given":"John P."},{"family":"Landry","given":"Donald W."},{"family":"Wan","given":"Elaine Y."}],"issued":{"date-parts":[["2021",4]]}}},{"id":2806,"uris":["http://zotero.org/users/12279291/items/4XJNKT3J"],"itemData":{"id":2806,"type":"article-journal","abstract":"Long COVID is frequently accompanied by neurocognitive complaints, yet the combined effects of demographic and clinical factors remain unclear. This study examined individuals six months after their most recent SARS-CoV-2 infection using a Demographic/Infection-History form, a Physical and Neurocognitive Symptom Checklist (binary), and the Post-COVID Cognitive Impairment Scale (memory, attention; 5-point Likert). Participants were recruited through convenience sampling from multiple community and online sources. Inclusion criteria required confirmed prior COVID-19 infection, self-perceived or clinically documented Long COVID symptoms, and no history of neurological or severe psychiatric disorders. The final sample consisted of 212 participants (mean age = 39.7 years, SD = 10.5), of whom 67.9% were female, and most held a master’s (35.4%) or bachelor’s (28.3%) degree. Difficulties with retaining new information (57.8%) and concentrating (52.1%) were the most frequent neurocognitive complaints, while severe fatigue after mild activity (23.2%) and chronic fatigue (22.7%) were the most common physical symptoms. Confusion and decision-making difficulty were more frequent among younger participants; women reported greater difficulty retaining new information, and difficulty concentrating varied by education level. A multivariable regression model explained 7% of the variance in total cognitive complaints, identifying education level (β = −0.18, p &lt; 0.01) and number of physical symptoms (β = 0.19, p &lt; 0.01) as significant predictors. Higher educational attainment was associated with fewer cognitive complaints, whereas a greater burden of physical symptoms predicted higher complaint scores. Persistent cognitive difficulties in Long COVID appear closely related to physical symptom burden and protective factors such as education, rather than to infection frequency or sensory dysfunction duration. Findings highlight the need for routine cognitive screening, fatigue-focused management, and longitudinal multimodal research to elucidate underlying mechanisms and recovery pathways.","container-title":"Brain Sciences","DOI":"10.3390/brainsci15111180","ISSN":"2076-3425","issue":"11","journalAbbreviation":"Brain Sci","page":"1180","PMID":"41300187","PMCID":"PMC12650069","source":"PubMed Central","title":"Physical Symptoms and Neurocognitive Complaints in Long COVID: Associations with Gender, Age, Education, and Clinical Factors","title-short":"Physical Symptoms and Neurocognitive Complaints in Long COVID","volume":"15","author":[{"family":"Pour Mohammadi","given":"Somayeh"},{"family":"Etesamipour","given":"Razieh"},{"family":"Mercado Romero","given":"Francisco"},{"family":"Noroozi Fashkhami","given":"Moein"},{"family":"Peláez","given":"Irene"}],"issued":{"date-parts":[["2025",10,30]]}}}],"schema":"https://github.com/citation-style-language/schema/raw/master/csl-citation.json"} </w:instrText>
      </w:r>
      <w:r w:rsidR="00961116">
        <w:rPr>
          <w:rFonts w:ascii="Times New Roman" w:hAnsi="Times New Roman" w:cs="Times New Roman"/>
          <w:color w:val="000000"/>
        </w:rPr>
        <w:fldChar w:fldCharType="separate"/>
      </w:r>
      <w:r w:rsidR="007F6B66">
        <w:rPr>
          <w:rFonts w:ascii="Times New Roman" w:hAnsi="Times New Roman" w:cs="Times New Roman"/>
          <w:noProof/>
          <w:color w:val="000000"/>
        </w:rPr>
        <w:t>(Nalbandian et al., 2021; Pour Mohammadi et al., 2025)</w:t>
      </w:r>
      <w:r w:rsidR="00961116">
        <w:rPr>
          <w:rFonts w:ascii="Times New Roman" w:hAnsi="Times New Roman" w:cs="Times New Roman"/>
          <w:color w:val="000000"/>
        </w:rPr>
        <w:fldChar w:fldCharType="end"/>
      </w:r>
      <w:r w:rsidR="00961116">
        <w:rPr>
          <w:rFonts w:ascii="Times New Roman" w:hAnsi="Times New Roman" w:cs="Times New Roman"/>
          <w:color w:val="000000"/>
        </w:rPr>
        <w:t xml:space="preserve">. </w:t>
      </w:r>
      <w:r w:rsidRPr="002D58D0">
        <w:rPr>
          <w:rFonts w:ascii="Times New Roman" w:hAnsi="Times New Roman" w:cs="Times New Roman"/>
          <w:color w:val="000000"/>
        </w:rPr>
        <w:t xml:space="preserve">The biological heterogeneity of this condition has rendered mechanistic </w:t>
      </w:r>
      <w:proofErr w:type="spellStart"/>
      <w:r w:rsidRPr="002D58D0">
        <w:rPr>
          <w:rFonts w:ascii="Times New Roman" w:hAnsi="Times New Roman" w:cs="Times New Roman"/>
          <w:color w:val="000000"/>
        </w:rPr>
        <w:t>characterisation</w:t>
      </w:r>
      <w:proofErr w:type="spellEnd"/>
      <w:r w:rsidRPr="002D58D0">
        <w:rPr>
          <w:rFonts w:ascii="Times New Roman" w:hAnsi="Times New Roman" w:cs="Times New Roman"/>
          <w:color w:val="000000"/>
        </w:rPr>
        <w:t xml:space="preserve"> challenging, with proposed pathobiological mechanisms including viral persistence, reactivation of latent herpesvirus infections, microbiome disruption, autoimmunity, and — most prominently — persistent immune dysregulation </w:t>
      </w:r>
      <w:r w:rsidR="0022473D">
        <w:rPr>
          <w:rFonts w:ascii="Times New Roman" w:hAnsi="Times New Roman" w:cs="Times New Roman"/>
          <w:color w:val="000000"/>
        </w:rPr>
        <w:fldChar w:fldCharType="begin"/>
      </w:r>
      <w:r w:rsidR="0022473D">
        <w:rPr>
          <w:rFonts w:ascii="Times New Roman" w:hAnsi="Times New Roman" w:cs="Times New Roman"/>
          <w:color w:val="000000"/>
        </w:rPr>
        <w:instrText xml:space="preserve"> ADDIN ZOTERO_ITEM CSL_CITATION {"citationID":"j6FxmQ98","properties":{"unsorted":false,"formattedCitation":"(Mehandru &amp; Merad, 2022)","plainCitation":"(Mehandru &amp; Merad, 2022)","noteIndex":0},"citationItems":[{"id":2669,"uris":["http://zotero.org/users/12279291/items/J5SMUCMN"],"itemData":{"id":2669,"type":"article-journal","abstract":"The world continues to contend with successive waves of coronavirus disease 2019 (COVID-19), fueled by the emergence of viral variants. At the same time, persistent, prolonged and often debilitating sequelae are increasingly recognized in convalescent individuals, named 'post-COVID-19 syndrome' or 'long-haul COVID'. Clinical symptomatology includes fatigue, malaise, dyspnea, defects in memory and concentration and a variety of neuropsychiatric syndromes as the major manifestations, and several organ systems can be involved. The underlying pathophysiological mechanisms are poorly understood at present. This Review details organ-specific sequelae of post-COVID-19 syndromes and examines the underlying pathophysiological mechanisms available so far, elaborating on persistent inflammation, induced autoimmunity and putative viral reservoirs. Finally, we propose diagnostic strategies to better understand this heterogeneous disorder that continues to afflict millions of people worldwide.","container-title":"Nature immunology","DOI":"10.1038/s41590-021-01104-y","ISSN":"1529-2916","issue":"2","journalAbbreviation":"Nat Immunol","language":"eng","page":"194-202","PMID":"35105985","PMCID":"PMC9127978","source":"Europe PMC","title":"Pathological sequelae of long-haul COVID","volume":"23","author":[{"family":"Mehandru","given":"Saurabh"},{"family":"Merad","given":"Miriam"}],"issued":{"date-parts":[["2022",2,1]]}}}],"schema":"https://github.com/citation-style-language/schema/raw/master/csl-citation.json"} </w:instrText>
      </w:r>
      <w:r w:rsidR="0022473D">
        <w:rPr>
          <w:rFonts w:ascii="Times New Roman" w:hAnsi="Times New Roman" w:cs="Times New Roman"/>
          <w:color w:val="000000"/>
        </w:rPr>
        <w:fldChar w:fldCharType="separate"/>
      </w:r>
      <w:r w:rsidR="0022473D">
        <w:rPr>
          <w:rFonts w:ascii="Times New Roman" w:hAnsi="Times New Roman" w:cs="Times New Roman"/>
          <w:noProof/>
          <w:color w:val="000000"/>
        </w:rPr>
        <w:t>(Mehandru &amp; Merad, 2022)</w:t>
      </w:r>
      <w:r w:rsidR="0022473D">
        <w:rPr>
          <w:rFonts w:ascii="Times New Roman" w:hAnsi="Times New Roman" w:cs="Times New Roman"/>
          <w:color w:val="000000"/>
        </w:rPr>
        <w:fldChar w:fldCharType="end"/>
      </w:r>
      <w:r w:rsidR="0022473D">
        <w:rPr>
          <w:rFonts w:ascii="Times New Roman" w:hAnsi="Times New Roman" w:cs="Times New Roman"/>
          <w:color w:val="000000"/>
        </w:rPr>
        <w:t>.</w:t>
      </w:r>
    </w:p>
    <w:p w14:paraId="4F23D4D5" w14:textId="11E39A64" w:rsidR="007133EC" w:rsidRPr="002D58D0" w:rsidRDefault="003A521C" w:rsidP="00ED5B59">
      <w:pPr>
        <w:spacing w:after="160" w:line="312" w:lineRule="auto"/>
        <w:jc w:val="both"/>
        <w:rPr>
          <w:rFonts w:ascii="Times New Roman" w:hAnsi="Times New Roman" w:cs="Times New Roman"/>
        </w:rPr>
      </w:pPr>
      <w:bookmarkStart w:id="3" w:name="_Hlk228743794"/>
      <w:r w:rsidRPr="002D58D0">
        <w:rPr>
          <w:rFonts w:ascii="Times New Roman" w:hAnsi="Times New Roman" w:cs="Times New Roman"/>
          <w:color w:val="000000"/>
        </w:rPr>
        <w:t xml:space="preserve">Immune dysregulation in Long COVID has been documented across multiple immune compartments. </w:t>
      </w:r>
      <w:bookmarkStart w:id="4" w:name="_Hlk228744547"/>
      <w:r w:rsidRPr="002D58D0">
        <w:rPr>
          <w:rFonts w:ascii="Times New Roman" w:hAnsi="Times New Roman" w:cs="Times New Roman"/>
          <w:color w:val="000000"/>
        </w:rPr>
        <w:t xml:space="preserve">Studies have reported T cell exhaustion, abnormal cytokine profiles, complement dysregulation, and alterations in B cell function and antibody production </w:t>
      </w:r>
      <w:bookmarkEnd w:id="3"/>
      <w:bookmarkEnd w:id="4"/>
      <w:r w:rsidR="0081482F">
        <w:rPr>
          <w:rFonts w:ascii="Times New Roman" w:hAnsi="Times New Roman" w:cs="Times New Roman"/>
          <w:color w:val="000000"/>
        </w:rPr>
        <w:fldChar w:fldCharType="begin"/>
      </w:r>
      <w:r w:rsidR="0047752E">
        <w:rPr>
          <w:rFonts w:ascii="Times New Roman" w:hAnsi="Times New Roman" w:cs="Times New Roman"/>
          <w:color w:val="000000"/>
        </w:rPr>
        <w:instrText xml:space="preserve"> ADDIN ZOTERO_ITEM CSL_CITATION {"citationID":"psGEUrk1","properties":{"unsorted":false,"formattedCitation":"(Cervia-Hasler et al., 2024; Kallaste et al., 2025; {\\i{}T Cell Exhaustion in Cancer Immunotherapy: Heterogeneity, Mechanisms, and Therapeutic Opportunities - Yu - Advanced Science - Wiley Online Library}, n.d.)","plainCitation":"(Cervia-Hasler et al., 2024; Kallaste et al., 2025; T Cell Exhaustion in Cancer Immunotherapy: Heterogeneity, Mechanisms, and Therapeutic Opportunities - Yu - Advanced Science - Wiley Online Library, n.d.)","noteIndex":0},"citationItems":[{"id":2659,"uris":["http://zotero.org/users/12279291/items/V38IIBA9"],"itemData":{"id":2659,"type":"article-journal","abstract":"Long Covid is a debilitating condition of unknown etiology. We performed multimodal proteomics analyses of blood serum from COVID-19 patients followed up to 12 months after confirmed severe acute respiratory syndrome coronavirus 2 infection. Analysis of &gt;6500 proteins in 268 longitudinal samples revealed dysregulated activation of the complement system, an innate immune protection and homeostasis mechanism, in individuals experiencing Long Covid. Thus, active Long Covid was characterized by terminal complement system dysregulation and ongoing activation of the alternative and classical complement pathways, the latter associated with increased antibody titers against several herpesviruses possibly stimulating this pathway. Moreover, markers of hemolysis, tissue injury, platelet activation, and monocyte-platelet aggregates were increased in Long Covid. Machine learning confirmed complement and thromboinflammatory proteins as top biomarkers, warranting diagnostic and therapeutic interrogation of these systems.","container-title":"Science","DOI":"10.1126/science.adg7942","ISSN":"1095-9203","issue":"6680","journalAbbreviation":"Science","language":"eng","page":"eadg7942","PMID":"38236961","publisher-place":"New York, N.Y.","source":"PubMed","title":"Persistent complement dysregulation with signs of thromboinflammation in active Long Covid","volume":"383","author":[{"family":"Cervia-Hasler","given":"Carlo"},{"family":"Brüningk","given":"Sarah C."},{"family":"Hoch","given":"Tobias"},{"family":"Fan","given":"Bowen"},{"family":"Muzio","given":"Giulia"},{"family":"Thompson","given":"Ryan C."},{"family":"Ceglarek","given":"Laura"},{"family":"Meledin","given":"Roman"},{"family":"Westermann","given":"Patrick"},{"family":"Emmenegger","given":"Marc"},{"family":"Taeschler","given":"Patrick"},{"family":"Zurbuchen","given":"Yves"},{"family":"Pons","given":"Michele"},{"family":"Menges","given":"Dominik"},{"family":"Ballouz","given":"Tala"},{"family":"Cervia-Hasler","given":"Sara"},{"family":"Adamo","given":"Sarah"},{"family":"Merad","given":"Miriam"},{"family":"Charney","given":"Alexander W."},{"family":"Puhan","given":"Milo"},{"family":"Brodin","given":"Petter"},{"family":"Nilsson","given":"Jakob"},{"family":"Aguzzi","given":"Adriano"},{"family":"Raeber","given":"Miro E."},{"family":"Messner","given":"Christoph B."},{"family":"Beckmann","given":"Noam D."},{"family":"Borgwardt","given":"Karsten"},{"family":"Boyman","given":"Onur"}],"issued":{"date-parts":[["2024",1,19]]}}},{"id":2811,"uris":["http://zotero.org/users/12279291/items/Q8G53E2C"],"itemData":{"id":2811,"type":"article-journal","abstract":"Background and Objectives: SARS-CoV-2 infection can lead to persistent or newly emerging symptoms lasting for months, a condition known as long COVID (LC). The pathophysiology of LC remains poorly understood, with cytokine dysregulation proposed as a key mechanism, although findings across the studies have been inconsistent. Materials and Methods: We conducted a longitudinal study using the Olink® Target 96 Inflammation Panel to assess cytokines in COVID-19 (COV) patients at three months and six months post-infection. These profiles were compared with those of individuals recovering from other upper respiratory tract infections (non-COV). Additionally, we analyzed differences between individuals with LC and those who recovered from COVID-19. Predictive models for LC at three months and sixth months post-infection were developed using inflammatory markers and relevant clinical cofactors, including gender, age, BMI, hemogram, Β2-microglobulin, D-dimers, LDH, AST, ALT, Ferritin, vitamin D, CRP, and the severity of acute COVID-19 infection as classified by WHO criteria. Results: We observed a general decline in inflammatory biomarkers in post-COVID-19 patients over time, with only a few cytokines elevated (CCL4 at month 3 and CST5 at month 6) compared to non-COV controls. In LC patients, an early phase of low-grade inflammation transitioned into significant reduction in proinflammatory biomarkers compared to recovered individuals. Rather than indicating immune normalization, this pattern suggests a possible suppression or exhaustion of the immune response in the months following acute infection. Importantly, our predictive modeling demonstrated that this specific cytokine signature, in combination with acute disease severity and clinical cofactors, described well the presence of LC. Conclusions: Our findings suggest that inflammation-related biomarker dysregulation following acute SARS-CoV-2 infection evolves dynamically over a six-month period. By the sixth month, compared to the third month, the presence of LC is more accurately predicted by a combination of persistent biomarker alteration and the severity of the initial infection, as defined by WHO criteria. This represents a novel insight, as previous studies have primarily associated LC with elevated proinflammatory markers, whereas our results suggest that immune suppression or exhaustion may play a more prominent role in the later stages.","container-title":"Medicina","DOI":"10.3390/medicina61060996","ISSN":"1010-660X","issue":"6","journalAbbreviation":"Medicina (Kaunas)","page":"996","PMID":"40572685","PMCID":"PMC12195428","source":"PubMed Central","title":"Long COVID and Biomarker Dysregulation—A Shift Toward Immune Exhaustion?","volume":"61","author":[{"family":"Kallaste","given":"Anne"},{"family":"Kisand","given":"Kalle"},{"family":"Aart","given":"Agnes"},{"family":"Salumets","given":"Ahto"},{"family":"Kisand","given":"Kai"},{"family":"Peterson","given":"Pärt"},{"family":"Lember","given":"Margus"}],"issued":{"date-parts":[["2025",5,28]]}}},{"id":2832,"uris":["http://zotero.org/users/12279291/items/N7LUJH5N"],"itemData":{"id":2832,"type":"webpage","title":"T Cell Exhaustion in Cancer Immunotherapy: Heterogeneity, Mechanisms, and Therapeutic Opportunities - Yu - Advanced Science - Wiley Online Library","URL":"https://advanced.onlinelibrary.wiley.com/doi/10.1002/advs.202520634","accessed":{"date-parts":[["2026",5,3]]}}}],"schema":"https://github.com/citation-style-language/schema/raw/master/csl-citation.json"} </w:instrText>
      </w:r>
      <w:r w:rsidR="0081482F">
        <w:rPr>
          <w:rFonts w:ascii="Times New Roman" w:hAnsi="Times New Roman" w:cs="Times New Roman"/>
          <w:color w:val="000000"/>
        </w:rPr>
        <w:fldChar w:fldCharType="separate"/>
      </w:r>
      <w:r w:rsidR="0047752E" w:rsidRPr="0047752E">
        <w:rPr>
          <w:rFonts w:ascii="Times New Roman" w:hAnsi="Times New Roman" w:cs="Times New Roman"/>
          <w:color w:val="000000"/>
        </w:rPr>
        <w:t xml:space="preserve">(Cervia-Hasler et al., 2024; Kallaste et al., 2025; </w:t>
      </w:r>
      <w:r w:rsidR="0047752E" w:rsidRPr="0047752E">
        <w:rPr>
          <w:rFonts w:ascii="Times New Roman" w:hAnsi="Times New Roman" w:cs="Times New Roman"/>
          <w:i/>
          <w:iCs/>
          <w:color w:val="000000"/>
        </w:rPr>
        <w:t>T Cell Exhaustion in Cancer Immunotherapy: Heterogeneity, Mechanisms, and Therapeutic Opportunities - Yu - Advanced Science - Wiley Online Library</w:t>
      </w:r>
      <w:r w:rsidR="0047752E" w:rsidRPr="0047752E">
        <w:rPr>
          <w:rFonts w:ascii="Times New Roman" w:hAnsi="Times New Roman" w:cs="Times New Roman"/>
          <w:color w:val="000000"/>
        </w:rPr>
        <w:t xml:space="preserve">, </w:t>
      </w:r>
      <w:r w:rsidR="0047752E">
        <w:rPr>
          <w:rFonts w:ascii="Times New Roman" w:hAnsi="Times New Roman" w:cs="Times New Roman"/>
          <w:color w:val="000000"/>
        </w:rPr>
        <w:t>2026</w:t>
      </w:r>
      <w:r w:rsidR="0047752E" w:rsidRPr="0047752E">
        <w:rPr>
          <w:rFonts w:ascii="Times New Roman" w:hAnsi="Times New Roman" w:cs="Times New Roman"/>
          <w:color w:val="000000"/>
        </w:rPr>
        <w:t>.)</w:t>
      </w:r>
      <w:r w:rsidR="0081482F">
        <w:rPr>
          <w:rFonts w:ascii="Times New Roman" w:hAnsi="Times New Roman" w:cs="Times New Roman"/>
          <w:color w:val="000000"/>
        </w:rPr>
        <w:fldChar w:fldCharType="end"/>
      </w:r>
      <w:r w:rsidRPr="002D58D0">
        <w:rPr>
          <w:rFonts w:ascii="Times New Roman" w:hAnsi="Times New Roman" w:cs="Times New Roman"/>
          <w:color w:val="000000"/>
        </w:rPr>
        <w:t xml:space="preserve">. </w:t>
      </w:r>
      <w:bookmarkStart w:id="5" w:name="_Hlk228744208"/>
      <w:r w:rsidRPr="002D58D0">
        <w:rPr>
          <w:rFonts w:ascii="Times New Roman" w:hAnsi="Times New Roman" w:cs="Times New Roman"/>
          <w:color w:val="000000"/>
        </w:rPr>
        <w:t xml:space="preserve">Transcriptomic profiling of peripheral blood mononuclear cells (PBMCs) has offered a window into systemic immune alterations, revealing dysregulated interferon </w:t>
      </w:r>
      <w:proofErr w:type="spellStart"/>
      <w:r w:rsidRPr="002D58D0">
        <w:rPr>
          <w:rFonts w:ascii="Times New Roman" w:hAnsi="Times New Roman" w:cs="Times New Roman"/>
          <w:color w:val="000000"/>
        </w:rPr>
        <w:t>signalling</w:t>
      </w:r>
      <w:proofErr w:type="spellEnd"/>
      <w:r w:rsidRPr="002D58D0">
        <w:rPr>
          <w:rFonts w:ascii="Times New Roman" w:hAnsi="Times New Roman" w:cs="Times New Roman"/>
          <w:color w:val="000000"/>
        </w:rPr>
        <w:t>, altered monocyte activation states, and impaired antigen presentation machinery</w:t>
      </w:r>
      <w:bookmarkEnd w:id="5"/>
      <w:r w:rsidR="0047752E">
        <w:rPr>
          <w:rFonts w:ascii="Times New Roman" w:hAnsi="Times New Roman" w:cs="Times New Roman"/>
          <w:color w:val="000000"/>
        </w:rPr>
        <w:fldChar w:fldCharType="begin"/>
      </w:r>
      <w:r w:rsidR="0047752E">
        <w:rPr>
          <w:rFonts w:ascii="Times New Roman" w:hAnsi="Times New Roman" w:cs="Times New Roman"/>
          <w:color w:val="000000"/>
        </w:rPr>
        <w:instrText xml:space="preserve"> ADDIN ZOTERO_ITEM CSL_CITATION {"citationID":"IGKohtCk","properties":{"unsorted":false,"formattedCitation":"(Gay-Mimbrera et al., 2025; Taha et al., 2025)","plainCitation":"(Gay-Mimbrera et al., 2025; Taha et al., 2025)","noteIndex":0},"citationItems":[{"id":2827,"uris":["http://zotero.org/users/12279291/items/B5EIQNK7"],"itemData":{"id":2827,"type":"article-journal","abstract":"IntroductionAlopecia areata (AA) is an autoimmune disorder characterized by non-scarring hair loss ranging from mild, self-limiting episodes to severe and chronic forms. While prior research has primarily focused on lesional skin, the contribution of systemic immune cells remains underexplored.MethodsWe performed integrated single-cell RNA sequencing (scRNA-seq) and single-cell assay for transposase-accessible chromatin sequencing (scATAC-seq) on peripheral blood mononuclear cells (PBMCs) from patients with mild and severe AA, as well as healthy controls. A total of 32,453 high-quality cells were analyzed across 36 immune cell subtypes.ResultsIn AA patients, especially those with severe disease, we observed increased transcriptional heterogeneity, cytokine and chemokine pathway activation, and upregulation of antigen-presentation machinery enriched in TH1, TH2, and TH17 signatures. Chromatin accessibility profiling revealed 42,248 significant peaks with pronounced epigenetic remodeling in CD14+ monocytes, NK cells, and CD8+ T cells. Mild AA showed early immune regulatory failure, with elevated exhaustion markers in double-negative T cells and increased apoptosis in myeloid populations. Pseudotime and transcription factor analyses indicated altered differentiation trajectories, and inferred cell-cell communication networks highlighted monocytes, NK cells, and memory T cells as key signaling hubs.DiscussionOur results provide the first integrated single-cell chromatin and transcriptomic map of peripheral immune dysregulation in AA. These findings uncover systemic alterations associated with disease severity and identify candidate pathways for immune modulation and therapeutic targeting.","container-title":"Frontiers in Immunology","DOI":"10.3389/fimmu.2025.1565241","ISSN":"1664-3224","journalAbbreviation":"Front. Immunol.","language":"English","publisher":"Frontiers","source":"Frontiers","title":"Integrated single-cell chromatin and transcriptomic analyses of peripheral immune cells in patients with alopecia areata","URL":"https://www.frontiersin.org/journals/immunology/articles/10.3389/fimmu.2025.1565241/full","volume":"16","author":[{"family":"Gay-Mimbrera","given":"Jesus"},{"family":"Gómez-Arias","given":"Pedro Jesús"},{"family":"Álvarez-Heredia","given":"Pablo"},{"family":"Batista-Duharte","given":"Alexander"},{"family":"Rivera-Ruiz","given":"Irene"},{"family":"Aguilar-Luque","given":"Macarena"},{"family":"Juan-Cencerrado","given":"Miguel"},{"family":"Mochón-Jiménez","given":"Carmen"},{"family":"Cebrián-García","given":"Álvaro"},{"family":"Andújar-Pulido","given":"Eloísa"},{"family":"Pérez-Alegre","given":"Mónica"},{"family":"Pera","given":"Alejandra"},{"family":"Ruano","given":"Juan"}],"accessed":{"date-parts":[["2026",5,3]]},"issued":{"date-parts":[["2025",7,2]]}}},{"id":2814,"uris":["http://zotero.org/users/12279291/items/WG72HVQ6"],"itemData":{"id":2814,"type":"article-journal","abstract":"Sepsis is a life-threatening condition characterized by dysregulated immune responses to infection. To elucidate early transcriptional changes in sepsis, we conducted a case–control study profiling gene expression in whole blood from 20 early-stage sepsis patients and 9 healthy controls. Using Affymetrix Clariom D Human Arrays and robust preprocessing, we identified differentially expressed genes (DEGs) using standard bioinformatic pipelines. A total of 344 genes were significantly upregulated, while 9703 were significantly downregulated in sepsis patients (|log2FC| &gt; 1, adjusted p &lt; 0.05). Pathway enrichment and Gene Ontology analysis revealed activation of innate immune pathways, neutrophil degranulation, and cytokine signaling, alongside suppression of lymphocyte differentiation and antigen presentation. These results suggest a shift toward an innately driven inflammatory state in early sepsis. Our findings provide transcriptomic insights that may support the development of early diagnostic biomarkers and therapeutic targets.","container-title":"International Journal of Molecular Sciences","DOI":"10.3390/ijms26146647","ISSN":"1422-0067","issue":"14","journalAbbreviation":"Int J Mol Sci","page":"6647","PMID":"40724897","PMCID":"PMC12294327","source":"PubMed Central","title":"Transcriptomic Profiling Reveals Distinct Immune Dysregulation in Early-Stage Sepsis Patients","volume":"26","author":[{"family":"Taha","given":"Safa"},{"family":"Bindayna","given":"Khaled"},{"family":"Aljishi","given":"Muna"},{"family":"Sultan","given":"Ameera"},{"family":"Almansour","given":"Nourah"}],"issued":{"date-parts":[["2025",7,11]]}}}],"schema":"https://github.com/citation-style-language/schema/raw/master/csl-citation.json"} </w:instrText>
      </w:r>
      <w:r w:rsidR="0047752E">
        <w:rPr>
          <w:rFonts w:ascii="Times New Roman" w:hAnsi="Times New Roman" w:cs="Times New Roman"/>
          <w:color w:val="000000"/>
        </w:rPr>
        <w:fldChar w:fldCharType="separate"/>
      </w:r>
      <w:r w:rsidR="0047752E">
        <w:rPr>
          <w:rFonts w:ascii="Times New Roman" w:hAnsi="Times New Roman" w:cs="Times New Roman"/>
          <w:noProof/>
          <w:color w:val="000000"/>
        </w:rPr>
        <w:t>(Gay-Mimbrera et al., 2025; Taha et al., 2025)</w:t>
      </w:r>
      <w:r w:rsidR="0047752E">
        <w:rPr>
          <w:rFonts w:ascii="Times New Roman" w:hAnsi="Times New Roman" w:cs="Times New Roman"/>
          <w:color w:val="000000"/>
        </w:rPr>
        <w:fldChar w:fldCharType="end"/>
      </w:r>
      <w:r w:rsidRPr="002D58D0">
        <w:rPr>
          <w:rFonts w:ascii="Times New Roman" w:hAnsi="Times New Roman" w:cs="Times New Roman"/>
          <w:color w:val="000000"/>
        </w:rPr>
        <w:t>. Despite these advances, the intersection between host genetic predisposition and the observed transcriptomic alterations has received limited systematic investigation.</w:t>
      </w:r>
    </w:p>
    <w:p w14:paraId="2CA8C639" w14:textId="188A9455"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color w:val="000000"/>
        </w:rPr>
        <w:t xml:space="preserve">Genome-wide association studies (GWAS) have begun to illuminate the genetic architecture of Long COVID susceptibility. The landmark Long COVID Host Genetics Initiative (HGI) identified a genome-wide significant association at the FOXP4 locus (rs9367106; OR=1.63, P=1.76×10⁻¹⁰), implicating a transcription factor with established roles in lung physiology </w:t>
      </w:r>
      <w:r w:rsidR="0022473D">
        <w:rPr>
          <w:rFonts w:ascii="Times New Roman" w:hAnsi="Times New Roman" w:cs="Times New Roman"/>
          <w:color w:val="000000"/>
        </w:rPr>
        <w:fldChar w:fldCharType="begin"/>
      </w:r>
      <w:r w:rsidR="00CF3927">
        <w:rPr>
          <w:rFonts w:ascii="Times New Roman" w:hAnsi="Times New Roman" w:cs="Times New Roman"/>
          <w:color w:val="000000"/>
        </w:rPr>
        <w:instrText xml:space="preserve"> ADDIN ZOTERO_ITEM CSL_CITATION {"citationID":"yBAMJQXv","properties":{"unsorted":false,"formattedCitation":"(Lammi et al., 2025a)","plainCitation":"(Lammi et al., 2025a)","noteIndex":0},"citationItems":[{"id":2667,"uris":["http://zotero.org/users/12279291/items/VIH5KL85"],"itemData":{"id":2667,"type":"article-journal","abstract":"Infections can lead to persistent symptoms and diseases such as shingles after varicella zoster or rheumatic fever after streptococcal infections. Similarly, severe acute respiratory syndrome coronavirus 2 (SARS‑CoV‑2) infection can result in long coronavirus disease (COVID), typically manifesting as fatigue, pulmonary symptoms and cognitive dysfunction. The biological mechanisms behind long COVID remain unclear. We performed a genome-wide association study for long COVID including up to 6,450 long COVID cases and 1,093,995 population controls from 24 studies across 16 countries. We discovered an association of FOXP4 with long COVID, independent of its previously identified association with severe COVID-19. The signal was replicated in 9,500 long COVID cases and 798,835 population controls. Given the transcription factor FOXP4’s role in lung physiology and pathology, our findings highlight the importance of lung function in the pathophysiology of long COVID.","container-title":"Nature Genetics","DOI":"10.1038/s41588-025-02100-w","ISSN":"1546-1718","issue":"6","journalAbbreviation":"Nat Genet","language":"en","license":"2025 The Author(s)","page":"1402-1417","publisher":"Nature Publishing Group","source":"www-nature-com.libproxy.uthscsa.edu","title":"Genome-wide association study of long COVID","volume":"57","author":[{"family":"Lammi","given":"Vilma"},{"family":"Nakanishi","given":"Tomoko"},{"family":"Jones","given":"Samuel E."},{"family":"Andrews","given":"Shea J."},{"family":"Karjalainen","given":"Juha"},{"family":"Cortés","given":"Beatriz"},{"family":"O’Brien","given":"Heath E."},{"family":"Ochoa-Guzman","given":"Ana"},{"family":"Fulton-Howard","given":"Brian E."},{"family":"Broberg","given":"Martin"},{"family":"Haapaniemi","given":"Hele H."},{"family":"Kanai","given":"Masahiro"},{"family":"Pirinen","given":"Matti"},{"family":"Schmidt","given":"Axel"},{"family":"Mitchell","given":"Ruth E."},{"family":"Mousas","given":"Abdou"},{"family":"Mangino","given":"Massimo"},{"family":"Huerta-Chagoya","given":"Alicia"},{"family":"Sinnott-Armstrong","given":"Nasa"},{"family":"Cirulli","given":"Elizabeth T."},{"family":"Vaudel","given":"Marc"},{"family":"Kwong","given":"Alex S. F."},{"family":"Maiti","given":"Amit K."},{"family":"Marttila","given":"Minttu M."},{"family":"Posner","given":"Daniel C."},{"family":"Rodriguez","given":"Alexis A."},{"family":"Batini","given":"Chiara"},{"family":"Minnai","given":"Francesca"},{"family":"Dearman","given":"Anna R."},{"family":"Warmerdam","given":"C. A. Robert"},{"family":"Sequeros","given":"Celia B."},{"family":"Winkler","given":"Thomas W."},{"family":"Jordan","given":"Daniel M."},{"family":"Rešcenko","given":"Raimonds"},{"family":"Miano","given":"Lorenzo"},{"family":"Lane","given":"Jacqueline M."},{"family":"Chung","given":"Ryan K."},{"family":"Guillen-Guio","given":"Beatriz"},{"family":"Leavy","given":"Olivia C."},{"family":"Carvajal-Silva","given":"Laura"},{"family":"Aguilar-Valdés","given":"Kevin"},{"family":"Frangione","given":"Erika"},{"family":"Guare","given":"Lindsay"},{"family":"Vergasova","given":"Ekaterina"},{"family":"Marouli","given":"Eirini"},{"family":"Striano","given":"Pasquale"},{"family":"Zainulabid","given":"Ummu Afeera"},{"family":"Kumar","given":"Ashutosh"},{"family":"Ahmad","given":"Hajar Fauzan"},{"family":"Edahiro","given":"Ryuya"},{"family":"Azekawa","given":"Shuhei"},{"family":"Luoh","given":"Shiuh-Wen"},{"family":"Erikstrup","given":"Christian"},{"family":"Pedersen","given":"Ole B. V."},{"family":"Lerner-Ellis","given":"Jordan"},{"family":"Colombo","given":"Alicia"},{"family":"Grzymski","given":"Joseph J."},{"family":"Ishii","given":"Makoto"},{"family":"Okada","given":"Yukinori"},{"family":"Beckmann","given":"Noam D."},{"family":"Kumari","given":"Meena"},{"family":"Wagner","given":"Ralf"},{"family":"Heid","given":"Iris M."},{"family":"John","given":"Catherine"},{"family":"Short","given":"Patrick J."},{"family":"Magnus","given":"Per"},{"family":"Ansone","given":"Laura"},{"family":"Valenti","given":"Luca V. C."},{"family":"Lee","given":"Sulggi A."},{"family":"Wain","given":"Louise V."},{"family":"Verdugo","given":"Ricardo A."},{"family":"Banasik","given":"Karina"},{"family":"Geller","given":"Frank"},{"family":"Franke","given":"Lude H."},{"family":"Rakitko","given":"Alexander"},{"family":"Duncan","given":"Emma L."},{"family":"Renieri","given":"Alessandra"},{"family":"Tsilidis","given":"Konstantinos K."},{"family":"Cid","given":"Rafael","non-dropping-particle":"de"},{"family":"Niavarani","given":"Ahmadreza"},{"family":"Abner","given":"Erik"},{"family":"Tusié-Luna","given":"Teresa"},{"family":"Verma","given":"Shefali S."},{"family":"Smith","given":"George Davey"},{"family":"Timpson","given":"Nicholas J."},{"family":"Madduri","given":"Ravi K."},{"family":"Cho","given":"Kelly"},{"family":"Daly","given":"Mark J."},{"family":"Ganna","given":"Andrea"},{"family":"Schulte","given":"Eva C."},{"family":"Richards","given":"J. Brent"},{"family":"Ludwig","given":"Kerstin U."},{"family":"Marks-Hultström","given":"Michael"},{"family":"Zeberg","given":"Hugo"},{"family":"Ollila","given":"Hanna M."}],"issued":{"date-parts":[["2025",6]]}}}],"schema":"https://github.com/citation-style-language/schema/raw/master/csl-citation.json"} </w:instrText>
      </w:r>
      <w:r w:rsidR="0022473D">
        <w:rPr>
          <w:rFonts w:ascii="Times New Roman" w:hAnsi="Times New Roman" w:cs="Times New Roman"/>
          <w:color w:val="000000"/>
        </w:rPr>
        <w:fldChar w:fldCharType="separate"/>
      </w:r>
      <w:r w:rsidR="00CF3927">
        <w:rPr>
          <w:rFonts w:ascii="Times New Roman" w:hAnsi="Times New Roman" w:cs="Times New Roman"/>
          <w:noProof/>
          <w:color w:val="000000"/>
        </w:rPr>
        <w:t>(Lammi et al., 2025a)</w:t>
      </w:r>
      <w:r w:rsidR="0022473D">
        <w:rPr>
          <w:rFonts w:ascii="Times New Roman" w:hAnsi="Times New Roman" w:cs="Times New Roman"/>
          <w:color w:val="000000"/>
        </w:rPr>
        <w:fldChar w:fldCharType="end"/>
      </w:r>
      <w:r w:rsidRPr="002D58D0">
        <w:rPr>
          <w:rFonts w:ascii="Times New Roman" w:hAnsi="Times New Roman" w:cs="Times New Roman"/>
          <w:color w:val="000000"/>
        </w:rPr>
        <w:t xml:space="preserve">. Complementary multi-ancestry GWAS from the 23andMe cohort identified additional immune loci including HLA-DQA1/HLA-DQB1, ABO, and BPTF, pointing to antigen presentation and thrombo-inflammatory mechanisms as genetically encoded risk pathways </w:t>
      </w:r>
      <w:r w:rsidR="00F52B70">
        <w:rPr>
          <w:rFonts w:ascii="Times New Roman" w:hAnsi="Times New Roman" w:cs="Times New Roman"/>
          <w:color w:val="000000"/>
        </w:rPr>
        <w:fldChar w:fldCharType="begin"/>
      </w:r>
      <w:r w:rsidR="00F52B70">
        <w:rPr>
          <w:rFonts w:ascii="Times New Roman" w:hAnsi="Times New Roman" w:cs="Times New Roman"/>
          <w:color w:val="000000"/>
        </w:rPr>
        <w:instrText xml:space="preserve"> ADDIN ZOTERO_ITEM CSL_CITATION {"citationID":"tjy7cOf8","properties":{"unsorted":false,"formattedCitation":"(Chaudhary et al., 2024)","plainCitation":"(Chaudhary et al., 2024)","noteIndex":0},"citationItems":[{"id":2692,"uris":["http://zotero.org/users/12279291/items/7I9RA5XI"],"itemData":{"id":2692,"type":"article","abstract":"The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approaches.\nThe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approaches.","DOI":"10.1101/2024.10.07.24315052","language":"en","license":"© 2024, Posted by Cold Spring Harbor Laboratory. The copyright holder for this pre-print is the author. All rights reserved. The material may not be redistributed, re-used or adapted without the author's permission.","note":"ISSN: 2431-5052\npage: 2024.10.07.24315052","publisher":"medRxiv","source":"medRxiv","title":"Multi-ancestry GWAS of Long COVID identifies immune-related loci and etiological links to chronic fatigue syndrome, fibromyalgia and depression","URL":"https://www.medrxiv.org/content/10.1101/2024.10.07.24315052v1","author":[{"family":"Chaudhary","given":"Ninad S."},{"family":"Weldon","given":"Catherine H."},{"family":"Nandakumar","given":"Priyanka"},{"family":"Team","given":"23andMe Research"},{"family":"Holmes","given":"Michael V."},{"family":"Aslibekyan","given":"Stella"}],"accessed":{"date-parts":[["2026",3,30]]},"issued":{"date-parts":[["2024",10,9]]}}}],"schema":"https://github.com/citation-style-language/schema/raw/master/csl-citation.json"} </w:instrText>
      </w:r>
      <w:r w:rsidR="00F52B70">
        <w:rPr>
          <w:rFonts w:ascii="Times New Roman" w:hAnsi="Times New Roman" w:cs="Times New Roman"/>
          <w:color w:val="000000"/>
        </w:rPr>
        <w:fldChar w:fldCharType="separate"/>
      </w:r>
      <w:r w:rsidR="00F52B70">
        <w:rPr>
          <w:rFonts w:ascii="Times New Roman" w:hAnsi="Times New Roman" w:cs="Times New Roman"/>
          <w:noProof/>
          <w:color w:val="000000"/>
        </w:rPr>
        <w:t>(Chaudhary et al., 2024)</w:t>
      </w:r>
      <w:r w:rsidR="00F52B70">
        <w:rPr>
          <w:rFonts w:ascii="Times New Roman" w:hAnsi="Times New Roman" w:cs="Times New Roman"/>
          <w:color w:val="000000"/>
        </w:rPr>
        <w:fldChar w:fldCharType="end"/>
      </w:r>
      <w:r w:rsidRPr="002D58D0">
        <w:rPr>
          <w:rFonts w:ascii="Times New Roman" w:hAnsi="Times New Roman" w:cs="Times New Roman"/>
          <w:color w:val="000000"/>
        </w:rPr>
        <w:t xml:space="preserve">. Furthermore, GWAS of </w:t>
      </w:r>
      <w:r w:rsidRPr="002D58D0">
        <w:rPr>
          <w:rFonts w:ascii="Times New Roman" w:hAnsi="Times New Roman" w:cs="Times New Roman"/>
          <w:color w:val="000000"/>
        </w:rPr>
        <w:lastRenderedPageBreak/>
        <w:t>severe COVID-19 from the COVID-19 HGI implicated canonical innate immune genes including TYK2, IFNAR2, OAS1, OAS3, DPP9, and CCR5, several of which overlap with Long COVID biology</w:t>
      </w:r>
      <w:r w:rsidR="00961116">
        <w:rPr>
          <w:rFonts w:ascii="Times New Roman" w:hAnsi="Times New Roman" w:cs="Times New Roman"/>
          <w:color w:val="000000"/>
        </w:rPr>
        <w:t xml:space="preserve"> </w:t>
      </w:r>
      <w:r w:rsidR="00961116">
        <w:rPr>
          <w:rFonts w:ascii="Times New Roman" w:hAnsi="Times New Roman" w:cs="Times New Roman"/>
          <w:color w:val="000000"/>
        </w:rPr>
        <w:fldChar w:fldCharType="begin"/>
      </w:r>
      <w:r w:rsidR="00961116">
        <w:rPr>
          <w:rFonts w:ascii="Times New Roman" w:hAnsi="Times New Roman" w:cs="Times New Roman"/>
          <w:color w:val="000000"/>
        </w:rPr>
        <w:instrText xml:space="preserve"> ADDIN ZOTERO_ITEM CSL_CITATION {"citationID":"2DowXNJ2","properties":{"unsorted":false,"formattedCitation":"(Pairo-Castineira et al., 2021)","plainCitation":"(Pairo-Castineira et al., 2021)","noteIndex":0},"citationItems":[{"id":2684,"uris":["http://zotero.org/users/12279291/items/C4KTGW7Z"],"itemData":{"id":2684,"type":"article-journal","abstract":"Host-mediated lung inflammation is present1, and drives mortality2, in the critical illness caused by coronavirus disease 2019 (COVID-19). Host genetic variants associated with critical illness may identify mechanistic targets for therapeutic development3. Here we report the results of the GenOMICC (Genetics Of Mortality In Critical Care) genome-wide association study in 2,244 critically ill patients with COVID-19 from 208 UK intensive care units. We have identified and replicated the following new genome-wide significant associations: on chromosome 12q24.13 (rs10735079, P = 1.65 × 10-8) in a gene cluster that encodes antiviral restriction enzyme activators (OAS1, OAS2 and OAS3); on chromosome 19p13.2 (rs74956615, P = 2.3 × 10-8) near the gene that encodes tyrosine kinase 2 (TYK2); on chromosome 19p13.3 (rs2109069, P = 3.98 ×  10-12) within the gene that encodes dipeptidyl peptidase 9 (DPP9); and on chromosome 21q22.1 (rs2236757, P = 4.99 × 10-8) in the interferon receptor gene IFNAR2. We identified potential targets for repurposing of licensed medications: using Mendelian randomization, we found evidence that low expression of IFNAR2, or high expression of TYK2, are associated with life-threatening disease; and transcriptome-wide association in lung tissue revealed that high expression of the monocyte-macrophage chemotactic receptor CCR2 is associated with severe COVID-19. Our results identify robust genetic signals relating to key host antiviral defence mechanisms and mediators of inflammatory organ damage in COVID-19. Both mechanisms may be amenable to targeted treatment with existing drugs. However, large-scale randomized clinical trials will be essential before any change to clinical practice.","container-title":"Nature","DOI":"10.1038/s41586-020-03065-y","ISSN":"1476-4687","issue":"7848","journalAbbreviation":"Nature","language":"eng","page":"92-98","PMID":"33307546","source":"PubMed","title":"Genetic mechanisms of critical illness in COVID-19","volume":"591","author":[{"family":"Pairo-Castineira","given":"Erola"},{"family":"Clohisey","given":"Sara"},{"family":"Klaric","given":"Lucija"},{"family":"Bretherick","given":"Andrew D."},{"family":"Rawlik","given":"Konrad"},{"family":"Pasko","given":"Dorota"},{"family":"Walker","given":"Susan"},{"family":"Parkinson","given":"Nick"},{"family":"Fourman","given":"Max Head"},{"family":"Russell","given":"Clark D."},{"family":"Furniss","given":"James"},{"family":"Richmond","given":"Anne"},{"family":"Gountouna","given":"Elvina"},{"family":"Wrobel","given":"Nicola"},{"family":"Harrison","given":"David"},{"family":"Wang","given":"Bo"},{"family":"Wu","given":"Yang"},{"family":"Meynert","given":"Alison"},{"family":"Griffiths","given":"Fiona"},{"family":"Oosthuyzen","given":"Wilna"},{"family":"Kousathanas","given":"Athanasios"},{"family":"Moutsianas","given":"Loukas"},{"family":"Yang","given":"Zhijian"},{"family":"Zhai","given":"Ranran"},{"family":"Zheng","given":"Chenqing"},{"family":"Grimes","given":"Graeme"},{"family":"Beale","given":"Rupert"},{"family":"Millar","given":"Jonathan"},{"family":"Shih","given":"Barbara"},{"family":"Keating","given":"Sean"},{"family":"Zechner","given":"Marie"},{"family":"Haley","given":"Chris"},{"family":"Porteous","given":"David J."},{"family":"Hayward","given":"Caroline"},{"family":"Yang","given":"Jian"},{"family":"Knight","given":"Julian"},{"family":"Summers","given":"Charlotte"},{"family":"Shankar-Hari","given":"Manu"},{"family":"Klenerman","given":"Paul"},{"family":"Turtle","given":"Lance"},{"family":"Ho","given":"Antonia"},{"family":"Moore","given":"Shona C."},{"family":"Hinds","given":"Charles"},{"family":"Horby","given":"Peter"},{"family":"Nichol","given":"Alistair"},{"family":"Maslove","given":"David"},{"family":"Ling","given":"Lowell"},{"family":"McAuley","given":"Danny"},{"family":"Montgomery","given":"Hugh"},{"family":"Walsh","given":"Timothy"},{"family":"Pereira","given":"Alexandre C."},{"family":"Renieri","given":"Alessandra"},{"literal":"GenOMICC Investigators"},{"literal":"ISARIC4C Investigators"},{"literal":"COVID-19 Human Genetics Initiative"},{"literal":"23andMe Investigators"},{"literal":"BRACOVID Investigators"},{"literal":"Gen-COVID Investigators"},{"family":"Shen","given":"Xia"},{"family":"Ponting","given":"Chris P."},{"family":"Fawkes","given":"Angie"},{"family":"Tenesa","given":"Albert"},{"family":"Caulfield","given":"Mark"},{"family":"Scott","given":"Richard"},{"family":"Rowan","given":"Kathy"},{"family":"Murphy","given":"Lee"},{"family":"Openshaw","given":"Peter J. M."},{"family":"Semple","given":"Malcolm G."},{"family":"Law","given":"Andrew"},{"family":"Vitart","given":"Veronique"},{"family":"Wilson","given":"James F."},{"family":"Baillie","given":"J. Kenneth"}],"issued":{"date-parts":[["2021",3]]}}}],"schema":"https://github.com/citation-style-language/schema/raw/master/csl-citation.json"} </w:instrText>
      </w:r>
      <w:r w:rsidR="00961116">
        <w:rPr>
          <w:rFonts w:ascii="Times New Roman" w:hAnsi="Times New Roman" w:cs="Times New Roman"/>
          <w:color w:val="000000"/>
        </w:rPr>
        <w:fldChar w:fldCharType="separate"/>
      </w:r>
      <w:r w:rsidR="00961116">
        <w:rPr>
          <w:rFonts w:ascii="Times New Roman" w:hAnsi="Times New Roman" w:cs="Times New Roman"/>
          <w:noProof/>
          <w:color w:val="000000"/>
        </w:rPr>
        <w:t>(Pairo-Castineira et al., 2021)</w:t>
      </w:r>
      <w:r w:rsidR="00961116">
        <w:rPr>
          <w:rFonts w:ascii="Times New Roman" w:hAnsi="Times New Roman" w:cs="Times New Roman"/>
          <w:color w:val="000000"/>
        </w:rPr>
        <w:fldChar w:fldCharType="end"/>
      </w:r>
      <w:r w:rsidR="00961116">
        <w:rPr>
          <w:rFonts w:ascii="Times New Roman" w:hAnsi="Times New Roman" w:cs="Times New Roman"/>
          <w:color w:val="000000"/>
        </w:rPr>
        <w:t>.</w:t>
      </w:r>
    </w:p>
    <w:p w14:paraId="61C94030" w14:textId="77777777"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color w:val="000000"/>
        </w:rPr>
        <w:t xml:space="preserve">However, no study has systematically integrated Long COVID GWAS summary statistics with PBMC transcriptomic profiling to identify genes that are both genetically implicated and transcriptomically dysregulated in Long COVID. Such convergent evidence is critical for distinguishing causal immune mechanisms from epiphenomenal associations and for </w:t>
      </w:r>
      <w:proofErr w:type="spellStart"/>
      <w:r w:rsidRPr="002D58D0">
        <w:rPr>
          <w:rFonts w:ascii="Times New Roman" w:hAnsi="Times New Roman" w:cs="Times New Roman"/>
          <w:color w:val="000000"/>
        </w:rPr>
        <w:t>prioritising</w:t>
      </w:r>
      <w:proofErr w:type="spellEnd"/>
      <w:r w:rsidRPr="002D58D0">
        <w:rPr>
          <w:rFonts w:ascii="Times New Roman" w:hAnsi="Times New Roman" w:cs="Times New Roman"/>
          <w:color w:val="000000"/>
        </w:rPr>
        <w:t xml:space="preserve"> candidates for functional validation and therapeutic development.</w:t>
      </w:r>
    </w:p>
    <w:p w14:paraId="00B05638" w14:textId="77777777"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color w:val="000000"/>
        </w:rPr>
        <w:t>In the present study, we applied a two-arm integrative multi-omics strategy. In the first arm, we performed quality control and analysis of Long COVID HGI GWAS summary statistics. In the second arm, we conducted differential expression analysis, co-expression investigation, and pathway enrichment on a publicly available PBMC bulk RNA-sequencing dataset from individuals with Long COVID and recovered controls. We then integrated both arms using a literature-curated GWAS gene set strategy to identify convergent immune gene candidates. Our results implicate HLA class II downregulation — specifically HLA-DQA1 — as a convergent mechanism linking genetic predisposition to immune dysfunction in Long COVID.</w:t>
      </w:r>
    </w:p>
    <w:p w14:paraId="07E86196" w14:textId="77777777" w:rsidR="007133EC" w:rsidRPr="002D58D0" w:rsidRDefault="003A521C" w:rsidP="00ED5B59">
      <w:pPr>
        <w:spacing w:line="312" w:lineRule="auto"/>
        <w:rPr>
          <w:rFonts w:ascii="Times New Roman" w:hAnsi="Times New Roman" w:cs="Times New Roman"/>
        </w:rPr>
      </w:pPr>
      <w:r w:rsidRPr="002D58D0">
        <w:rPr>
          <w:rFonts w:ascii="Times New Roman" w:hAnsi="Times New Roman" w:cs="Times New Roman"/>
        </w:rPr>
        <w:br/>
      </w:r>
      <w:r w:rsidRPr="002D58D0">
        <w:rPr>
          <w:rFonts w:ascii="Times New Roman" w:hAnsi="Times New Roman" w:cs="Times New Roman"/>
        </w:rPr>
        <w:br w:type="page"/>
      </w:r>
    </w:p>
    <w:p w14:paraId="78F476A8" w14:textId="77777777" w:rsidR="007133EC" w:rsidRPr="002D58D0" w:rsidRDefault="003A521C" w:rsidP="00ED5B59">
      <w:pPr>
        <w:pStyle w:val="Heading1"/>
        <w:spacing w:line="312" w:lineRule="auto"/>
        <w:rPr>
          <w:rFonts w:ascii="Times New Roman" w:hAnsi="Times New Roman" w:cs="Times New Roman"/>
        </w:rPr>
      </w:pPr>
      <w:r w:rsidRPr="002D58D0">
        <w:rPr>
          <w:rFonts w:ascii="Times New Roman" w:hAnsi="Times New Roman" w:cs="Times New Roman"/>
        </w:rPr>
        <w:lastRenderedPageBreak/>
        <w:t>2. Methods</w:t>
      </w:r>
    </w:p>
    <w:p w14:paraId="5578F517" w14:textId="77777777" w:rsidR="007133EC" w:rsidRPr="002D58D0" w:rsidRDefault="003A521C" w:rsidP="00ED5B59">
      <w:pPr>
        <w:pStyle w:val="Heading2"/>
        <w:spacing w:line="312" w:lineRule="auto"/>
        <w:rPr>
          <w:rFonts w:ascii="Times New Roman" w:hAnsi="Times New Roman" w:cs="Times New Roman"/>
        </w:rPr>
      </w:pPr>
      <w:r w:rsidRPr="002D58D0">
        <w:rPr>
          <w:rFonts w:ascii="Times New Roman" w:hAnsi="Times New Roman" w:cs="Times New Roman"/>
        </w:rPr>
        <w:t>2.1 GWAS Data Acquisition and Quality Control</w:t>
      </w:r>
    </w:p>
    <w:p w14:paraId="1C5F64B9" w14:textId="77777777"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color w:val="000000"/>
        </w:rPr>
        <w:t xml:space="preserve">Long COVID GWAS summary statistics were obtained from the Long COVID Host Genetics Initiative (HGI) Data Freeze 4, Wave 1, publicly available via the </w:t>
      </w:r>
      <w:proofErr w:type="spellStart"/>
      <w:r w:rsidRPr="002D58D0">
        <w:rPr>
          <w:rFonts w:ascii="Times New Roman" w:hAnsi="Times New Roman" w:cs="Times New Roman"/>
          <w:color w:val="000000"/>
        </w:rPr>
        <w:t>LocusZoom</w:t>
      </w:r>
      <w:proofErr w:type="spellEnd"/>
      <w:r w:rsidRPr="002D58D0">
        <w:rPr>
          <w:rFonts w:ascii="Times New Roman" w:hAnsi="Times New Roman" w:cs="Times New Roman"/>
          <w:color w:val="000000"/>
        </w:rPr>
        <w:t xml:space="preserve"> portal (https://my.locuszoom.org/gwas/91854/; token: 723e672edf13478e817ca44b56c0c068). This dataset encompasses a meta-analysis of 24 independent GWAS conducted across 16 countries, comparing Long COVID cases (defined as persistent symptoms ≥4 weeks following confirmed or probable SARS-CoV-2 infection) against population controls. Severe COVID-19 GWAS summary statistics from the COVID-19 HGI Release 7 were additionally downloaded from https://www.covid19hg.org/results/r7/ for contextual analysis.</w:t>
      </w:r>
    </w:p>
    <w:p w14:paraId="12A7E03B" w14:textId="77777777"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color w:val="000000"/>
        </w:rPr>
        <w:t xml:space="preserve">Quality control was performed in R (v4.3.2) using the </w:t>
      </w:r>
      <w:proofErr w:type="spellStart"/>
      <w:proofErr w:type="gramStart"/>
      <w:r w:rsidRPr="002D58D0">
        <w:rPr>
          <w:rFonts w:ascii="Times New Roman" w:hAnsi="Times New Roman" w:cs="Times New Roman"/>
          <w:color w:val="000000"/>
        </w:rPr>
        <w:t>data.table</w:t>
      </w:r>
      <w:proofErr w:type="spellEnd"/>
      <w:proofErr w:type="gramEnd"/>
      <w:r w:rsidRPr="002D58D0">
        <w:rPr>
          <w:rFonts w:ascii="Times New Roman" w:hAnsi="Times New Roman" w:cs="Times New Roman"/>
          <w:color w:val="000000"/>
        </w:rPr>
        <w:t xml:space="preserve"> package. Filtering criteria included: (1) restriction to autosomal chromosomes (chr1–22); (2) minor allele frequency (MAF) ≥1%, derived from the </w:t>
      </w:r>
      <w:proofErr w:type="spellStart"/>
      <w:r w:rsidRPr="002D58D0">
        <w:rPr>
          <w:rFonts w:ascii="Times New Roman" w:hAnsi="Times New Roman" w:cs="Times New Roman"/>
          <w:color w:val="000000"/>
        </w:rPr>
        <w:t>alt_allele_freq</w:t>
      </w:r>
      <w:proofErr w:type="spellEnd"/>
      <w:r w:rsidRPr="002D58D0">
        <w:rPr>
          <w:rFonts w:ascii="Times New Roman" w:hAnsi="Times New Roman" w:cs="Times New Roman"/>
          <w:color w:val="000000"/>
        </w:rPr>
        <w:t xml:space="preserve"> column; (3) exclusion of SNPs with invalid P-values (P=0 or P&gt;1); and (4) removal of position-level duplicates, retaining the SNP with the lowest P-value per genomic coordinate. The genomic inflation factor (</w:t>
      </w:r>
      <w:proofErr w:type="spellStart"/>
      <w:r w:rsidRPr="002D58D0">
        <w:rPr>
          <w:rFonts w:ascii="Times New Roman" w:hAnsi="Times New Roman" w:cs="Times New Roman"/>
          <w:color w:val="000000"/>
        </w:rPr>
        <w:t>λGC</w:t>
      </w:r>
      <w:proofErr w:type="spellEnd"/>
      <w:r w:rsidRPr="002D58D0">
        <w:rPr>
          <w:rFonts w:ascii="Times New Roman" w:hAnsi="Times New Roman" w:cs="Times New Roman"/>
          <w:color w:val="000000"/>
        </w:rPr>
        <w:t>) was computed as the ratio of the median observed chi-squared statistic to the expected median under the null (0.4549). Independent loci were identified using distance-based clumping, retaining one lead SNP per 500kb window ordered by ascending P-value. Manhattan and quantile-quantile (QQ) plots were generated using ggplot2 (v3.5.2).</w:t>
      </w:r>
    </w:p>
    <w:p w14:paraId="4D51F4CD" w14:textId="77777777" w:rsidR="007133EC" w:rsidRPr="002D58D0" w:rsidRDefault="003A521C" w:rsidP="00ED5B59">
      <w:pPr>
        <w:pStyle w:val="Heading2"/>
        <w:spacing w:line="312" w:lineRule="auto"/>
        <w:rPr>
          <w:rFonts w:ascii="Times New Roman" w:hAnsi="Times New Roman" w:cs="Times New Roman"/>
        </w:rPr>
      </w:pPr>
      <w:r w:rsidRPr="002D58D0">
        <w:rPr>
          <w:rFonts w:ascii="Times New Roman" w:hAnsi="Times New Roman" w:cs="Times New Roman"/>
        </w:rPr>
        <w:t>2.2 Transcriptomic Dataset</w:t>
      </w:r>
    </w:p>
    <w:p w14:paraId="5C292D3E" w14:textId="4E5D9BAF"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color w:val="000000"/>
        </w:rPr>
        <w:t xml:space="preserve">PBMC bulk RNA-sequencing data were obtained from the Gene Expression Omnibus (GEO; accession GSE224615; </w:t>
      </w:r>
      <w:r w:rsidR="00366C59">
        <w:rPr>
          <w:rFonts w:ascii="Times New Roman" w:hAnsi="Times New Roman" w:cs="Times New Roman"/>
          <w:color w:val="000000"/>
        </w:rPr>
        <w:fldChar w:fldCharType="begin"/>
      </w:r>
      <w:r w:rsidR="00366C59">
        <w:rPr>
          <w:rFonts w:ascii="Times New Roman" w:hAnsi="Times New Roman" w:cs="Times New Roman"/>
          <w:color w:val="000000"/>
        </w:rPr>
        <w:instrText xml:space="preserve"> ADDIN ZOTERO_ITEM CSL_CITATION {"citationID":"CyZLlOwV","properties":{"unsorted":false,"formattedCitation":"(Yin et al., 2024)","plainCitation":"(Yin et al., 2024)","noteIndex":0},"citationItems":[{"id":2690,"uris":["http://zotero.org/users/12279291/items/SCX6DDZF"],"itemData":{"id":2690,"type":"article-journal","abstract":"Long COVID (LC) occurs after at least 10% of severe acute respiratory syndrome coronavirus 2 (SARS-CoV-2) infections, yet its etiology remains poorly understood. We used ‘omic” assays and serology to deeply characterize the global and SARS-CoV-2-specific immunity in the blood of individuals with clear LC and non-LC clinical trajectories, 8 months postinfection. We found that LC individuals exhibited systemic inflammation and immune dysregulation. This was evidenced by global differences in T cell subset distribution implying ongoing immune responses, as well as by sex-specific perturbations in cytolytic subsets. LC individuals displayed increased frequencies of CD4+ T cells poised to migrate to inflamed tissues and exhausted SARS-CoV-2-specific CD8+ T cells, higher levels of SARS-CoV-2 antibodies and a mis-coordination between their SARS-CoV-2-specific T and B cell responses. Our analysis suggested an improper crosstalk between the cellular and humoral adaptive immunity in LC, which can lead to immune dysregulation, inflammation and clinical symptoms associated with this debilitating condition.","container-title":"Nature Immunology","DOI":"10.1038/s41590-023-01724-6","ISSN":"1529-2916","issue":"2","journalAbbreviation":"Nat Immunol","language":"en","license":"2024 The Author(s)","page":"218-225","publisher":"Nature Publishing Group","source":"www-nature-com.libproxy.uthscsa.edu","title":"Long COVID manifests with T cell dysregulation, inflammation and an uncoordinated adaptive immune response to SARS-CoV-2","volume":"25","author":[{"family":"Yin","given":"Kailin"},{"family":"Peluso","given":"Michael J."},{"family":"Luo","given":"Xiaoyu"},{"family":"Thomas","given":"Reuben"},{"family":"Shin","given":"Min-Gyoung"},{"family":"Neidleman","given":"Jason"},{"family":"Andrew","given":"Alicer"},{"family":"Young","given":"Kyrlia C."},{"family":"Ma","given":"Tongcui"},{"family":"Hoh","given":"Rebecca"},{"family":"Anglin","given":"Khamal"},{"family":"Huang","given":"Beatrice"},{"family":"Argueta","given":"Urania"},{"family":"Lopez","given":"Monica"},{"family":"Valdivieso","given":"Daisy"},{"family":"Asare","given":"Kofi"},{"family":"Deveau","given":"Tyler-Marie"},{"family":"Munter","given":"Sadie E."},{"family":"Ibrahim","given":"Rania"},{"family":"Ständker","given":"Ludger"},{"family":"Lu","given":"Scott"},{"family":"Goldberg","given":"Sarah A."},{"family":"Lee","given":"Sulggi A."},{"family":"Lynch","given":"Kara L."},{"family":"Kelly","given":"J. Daniel"},{"family":"Martin","given":"Jeffrey N."},{"family":"Münch","given":"Jan"},{"family":"Deeks","given":"Steven G."},{"family":"Henrich","given":"Timothy J."},{"family":"Roan","given":"Nadia R."}],"issued":{"date-parts":[["2024",2]]}}}],"schema":"https://github.com/citation-style-language/schema/raw/master/csl-citation.json"} </w:instrText>
      </w:r>
      <w:r w:rsidR="00366C59">
        <w:rPr>
          <w:rFonts w:ascii="Times New Roman" w:hAnsi="Times New Roman" w:cs="Times New Roman"/>
          <w:color w:val="000000"/>
        </w:rPr>
        <w:fldChar w:fldCharType="separate"/>
      </w:r>
      <w:r w:rsidR="00366C59">
        <w:rPr>
          <w:rFonts w:ascii="Times New Roman" w:hAnsi="Times New Roman" w:cs="Times New Roman"/>
          <w:noProof/>
          <w:color w:val="000000"/>
        </w:rPr>
        <w:t>(Yin et al., 2024)</w:t>
      </w:r>
      <w:r w:rsidR="00366C59">
        <w:rPr>
          <w:rFonts w:ascii="Times New Roman" w:hAnsi="Times New Roman" w:cs="Times New Roman"/>
          <w:color w:val="000000"/>
        </w:rPr>
        <w:fldChar w:fldCharType="end"/>
      </w:r>
      <w:r w:rsidRPr="002D58D0">
        <w:rPr>
          <w:rFonts w:ascii="Times New Roman" w:hAnsi="Times New Roman" w:cs="Times New Roman"/>
          <w:color w:val="000000"/>
        </w:rPr>
        <w:t xml:space="preserve">. This dataset comprises 36 total PBMC samples from 23 individuals with Long COVID and 13 recovered controls (non-Long COVID), all sampled at 8 months post-SARS-CoV-2 infection. Samples were collected from wild-type (WT) genotype individuals without primary immunodeficiency. </w:t>
      </w:r>
      <w:r w:rsidR="001E0BCA" w:rsidRPr="001E0BCA">
        <w:rPr>
          <w:rFonts w:ascii="Times New Roman" w:hAnsi="Times New Roman" w:cs="Times New Roman"/>
          <w:color w:val="000000"/>
        </w:rPr>
        <w:t xml:space="preserve">Pre-computed differential expression results generated by the original authors using DESeq2 were obtained from the GEO supplementary file (GSE224615_DEGs.xlsx). It is explicitly acknowledged that this study </w:t>
      </w:r>
      <w:proofErr w:type="spellStart"/>
      <w:r w:rsidR="001E0BCA" w:rsidRPr="001E0BCA">
        <w:rPr>
          <w:rFonts w:ascii="Times New Roman" w:hAnsi="Times New Roman" w:cs="Times New Roman"/>
          <w:color w:val="000000"/>
        </w:rPr>
        <w:t>utilises</w:t>
      </w:r>
      <w:proofErr w:type="spellEnd"/>
      <w:r w:rsidR="001E0BCA" w:rsidRPr="001E0BCA">
        <w:rPr>
          <w:rFonts w:ascii="Times New Roman" w:hAnsi="Times New Roman" w:cs="Times New Roman"/>
          <w:color w:val="000000"/>
        </w:rPr>
        <w:t xml:space="preserve"> author-provided DESeq2 output rather than re-analysis from raw count data. This approach was adopted because raw count matrices were not deposited in GEO for this dataset, with reads archived in SRA requiring full alignment pipelines. The pre-computed results include gene-level log2 fold changes, nominal p-values, and BH-adjusted p-values across 18,708 genes, providing sufficient information for downstream integration and pathway analyses. All downstream processing, filtering, pathway enrichment, and GWAS integration were conducted independently by the present authors.</w:t>
      </w:r>
    </w:p>
    <w:p w14:paraId="5030DA56" w14:textId="77777777" w:rsidR="006337E9" w:rsidRPr="002D58D0" w:rsidRDefault="006337E9" w:rsidP="006337E9">
      <w:pPr>
        <w:spacing w:before="200" w:after="120" w:line="312" w:lineRule="auto"/>
        <w:rPr>
          <w:rFonts w:ascii="Times New Roman" w:hAnsi="Times New Roman" w:cs="Times New Roman"/>
        </w:rPr>
      </w:pPr>
      <w:r w:rsidRPr="002D58D0">
        <w:rPr>
          <w:rFonts w:ascii="Times New Roman" w:hAnsi="Times New Roman" w:cs="Times New Roman"/>
          <w:b/>
          <w:bCs/>
          <w:sz w:val="22"/>
          <w:szCs w:val="22"/>
        </w:rPr>
        <w:lastRenderedPageBreak/>
        <w:t>Table 1. Study design and dataset characteristics.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3580"/>
        <w:gridCol w:w="3580"/>
      </w:tblGrid>
      <w:tr w:rsidR="006337E9" w:rsidRPr="002D58D0" w14:paraId="6FE6AAEB" w14:textId="77777777" w:rsidTr="001714C2">
        <w:trPr>
          <w:tblHeader/>
        </w:trPr>
        <w:tc>
          <w:tcPr>
            <w:tcW w:w="22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tcPr>
          <w:p w14:paraId="7D34F380"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b/>
                <w:bCs/>
                <w:color w:val="FFFFFF"/>
                <w:sz w:val="20"/>
                <w:szCs w:val="20"/>
              </w:rPr>
              <w:t>Parameter</w:t>
            </w:r>
          </w:p>
        </w:tc>
        <w:tc>
          <w:tcPr>
            <w:tcW w:w="358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tcPr>
          <w:p w14:paraId="736E62AB"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b/>
                <w:bCs/>
                <w:color w:val="FFFFFF"/>
                <w:sz w:val="20"/>
                <w:szCs w:val="20"/>
              </w:rPr>
              <w:t>GWAS Arm</w:t>
            </w:r>
          </w:p>
        </w:tc>
        <w:tc>
          <w:tcPr>
            <w:tcW w:w="358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tcPr>
          <w:p w14:paraId="6CCC2CFC"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b/>
                <w:bCs/>
                <w:color w:val="FFFFFF"/>
                <w:sz w:val="20"/>
                <w:szCs w:val="20"/>
              </w:rPr>
              <w:t>Transcriptomics Arm</w:t>
            </w:r>
          </w:p>
        </w:tc>
      </w:tr>
      <w:tr w:rsidR="006337E9" w:rsidRPr="002D58D0" w14:paraId="69C8D3D4"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F37DE72"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Data source</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D5DBCF8"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Long COVID HGI (DF4 W1)</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0272BD2"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GEO: GSE224615</w:t>
            </w:r>
          </w:p>
        </w:tc>
      </w:tr>
      <w:tr w:rsidR="006337E9" w:rsidRPr="002D58D0" w14:paraId="035C805E"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873633A"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Reference</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DB28189" w14:textId="3842FA89" w:rsidR="006337E9" w:rsidRPr="002D58D0" w:rsidRDefault="00366C59" w:rsidP="001714C2">
            <w:pPr>
              <w:spacing w:line="312" w:lineRule="auto"/>
              <w:rPr>
                <w:rFonts w:ascii="Times New Roman" w:hAnsi="Times New Roman" w:cs="Times New Roman"/>
              </w:rPr>
            </w:pPr>
            <w:r>
              <w:rPr>
                <w:rFonts w:ascii="Times New Roman" w:hAnsi="Times New Roman" w:cs="Times New Roman"/>
              </w:rPr>
              <w:fldChar w:fldCharType="begin"/>
            </w:r>
            <w:r w:rsidR="00CF3927">
              <w:rPr>
                <w:rFonts w:ascii="Times New Roman" w:hAnsi="Times New Roman" w:cs="Times New Roman"/>
              </w:rPr>
              <w:instrText xml:space="preserve"> ADDIN ZOTERO_ITEM CSL_CITATION {"citationID":"ripXlfQ1","properties":{"unsorted":false,"formattedCitation":"(Lammi et al., 2025a)","plainCitation":"(Lammi et al., 2025a)","noteIndex":0},"citationItems":[{"id":2667,"uris":["http://zotero.org/users/12279291/items/VIH5KL85"],"itemData":{"id":2667,"type":"article-journal","abstract":"Infections can lead to persistent symptoms and diseases such as shingles after varicella zoster or rheumatic fever after streptococcal infections. Similarly, severe acute respiratory syndrome coronavirus 2 (SARS‑CoV‑2) infection can result in long coronavirus disease (COVID), typically manifesting as fatigue, pulmonary symptoms and cognitive dysfunction. The biological mechanisms behind long COVID remain unclear. We performed a genome-wide association study for long COVID including up to 6,450 long COVID cases and 1,093,995 population controls from 24 studies across 16 countries. We discovered an association of FOXP4 with long COVID, independent of its previously identified association with severe COVID-19. The signal was replicated in 9,500 long COVID cases and 798,835 population controls. Given the transcription factor FOXP4’s role in lung physiology and pathology, our findings highlight the importance of lung function in the pathophysiology of long COVID.","container-title":"Nature Genetics","DOI":"10.1038/s41588-025-02100-w","ISSN":"1546-1718","issue":"6","journalAbbreviation":"Nat Genet","language":"en","license":"2025 The Author(s)","page":"1402-1417","publisher":"Nature Publishing Group","source":"www-nature-com.libproxy.uthscsa.edu","title":"Genome-wide association study of long COVID","volume":"57","author":[{"family":"Lammi","given":"Vilma"},{"family":"Nakanishi","given":"Tomoko"},{"family":"Jones","given":"Samuel E."},{"family":"Andrews","given":"Shea J."},{"family":"Karjalainen","given":"Juha"},{"family":"Cortés","given":"Beatriz"},{"family":"O’Brien","given":"Heath E."},{"family":"Ochoa-Guzman","given":"Ana"},{"family":"Fulton-Howard","given":"Brian E."},{"family":"Broberg","given":"Martin"},{"family":"Haapaniemi","given":"Hele H."},{"family":"Kanai","given":"Masahiro"},{"family":"Pirinen","given":"Matti"},{"family":"Schmidt","given":"Axel"},{"family":"Mitchell","given":"Ruth E."},{"family":"Mousas","given":"Abdou"},{"family":"Mangino","given":"Massimo"},{"family":"Huerta-Chagoya","given":"Alicia"},{"family":"Sinnott-Armstrong","given":"Nasa"},{"family":"Cirulli","given":"Elizabeth T."},{"family":"Vaudel","given":"Marc"},{"family":"Kwong","given":"Alex S. F."},{"family":"Maiti","given":"Amit K."},{"family":"Marttila","given":"Minttu M."},{"family":"Posner","given":"Daniel C."},{"family":"Rodriguez","given":"Alexis A."},{"family":"Batini","given":"Chiara"},{"family":"Minnai","given":"Francesca"},{"family":"Dearman","given":"Anna R."},{"family":"Warmerdam","given":"C. A. Robert"},{"family":"Sequeros","given":"Celia B."},{"family":"Winkler","given":"Thomas W."},{"family":"Jordan","given":"Daniel M."},{"family":"Rešcenko","given":"Raimonds"},{"family":"Miano","given":"Lorenzo"},{"family":"Lane","given":"Jacqueline M."},{"family":"Chung","given":"Ryan K."},{"family":"Guillen-Guio","given":"Beatriz"},{"family":"Leavy","given":"Olivia C."},{"family":"Carvajal-Silva","given":"Laura"},{"family":"Aguilar-Valdés","given":"Kevin"},{"family":"Frangione","given":"Erika"},{"family":"Guare","given":"Lindsay"},{"family":"Vergasova","given":"Ekaterina"},{"family":"Marouli","given":"Eirini"},{"family":"Striano","given":"Pasquale"},{"family":"Zainulabid","given":"Ummu Afeera"},{"family":"Kumar","given":"Ashutosh"},{"family":"Ahmad","given":"Hajar Fauzan"},{"family":"Edahiro","given":"Ryuya"},{"family":"Azekawa","given":"Shuhei"},{"family":"Luoh","given":"Shiuh-Wen"},{"family":"Erikstrup","given":"Christian"},{"family":"Pedersen","given":"Ole B. V."},{"family":"Lerner-Ellis","given":"Jordan"},{"family":"Colombo","given":"Alicia"},{"family":"Grzymski","given":"Joseph J."},{"family":"Ishii","given":"Makoto"},{"family":"Okada","given":"Yukinori"},{"family":"Beckmann","given":"Noam D."},{"family":"Kumari","given":"Meena"},{"family":"Wagner","given":"Ralf"},{"family":"Heid","given":"Iris M."},{"family":"John","given":"Catherine"},{"family":"Short","given":"Patrick J."},{"family":"Magnus","given":"Per"},{"family":"Ansone","given":"Laura"},{"family":"Valenti","given":"Luca V. C."},{"family":"Lee","given":"Sulggi A."},{"family":"Wain","given":"Louise V."},{"family":"Verdugo","given":"Ricardo A."},{"family":"Banasik","given":"Karina"},{"family":"Geller","given":"Frank"},{"family":"Franke","given":"Lude H."},{"family":"Rakitko","given":"Alexander"},{"family":"Duncan","given":"Emma L."},{"family":"Renieri","given":"Alessandra"},{"family":"Tsilidis","given":"Konstantinos K."},{"family":"Cid","given":"Rafael","non-dropping-particle":"de"},{"family":"Niavarani","given":"Ahmadreza"},{"family":"Abner","given":"Erik"},{"family":"Tusié-Luna","given":"Teresa"},{"family":"Verma","given":"Shefali S."},{"family":"Smith","given":"George Davey"},{"family":"Timpson","given":"Nicholas J."},{"family":"Madduri","given":"Ravi K."},{"family":"Cho","given":"Kelly"},{"family":"Daly","given":"Mark J."},{"family":"Ganna","given":"Andrea"},{"family":"Schulte","given":"Eva C."},{"family":"Richards","given":"J. Brent"},{"family":"Ludwig","given":"Kerstin U."},{"family":"Marks-Hultström","given":"Michael"},{"family":"Zeberg","given":"Hugo"},{"family":"Ollila","given":"Hanna M."}],"issued":{"date-parts":[["2025",6]]}}}],"schema":"https://github.com/citation-style-language/schema/raw/master/csl-citation.json"} </w:instrText>
            </w:r>
            <w:r>
              <w:rPr>
                <w:rFonts w:ascii="Times New Roman" w:hAnsi="Times New Roman" w:cs="Times New Roman"/>
              </w:rPr>
              <w:fldChar w:fldCharType="separate"/>
            </w:r>
            <w:r w:rsidR="00CF3927">
              <w:rPr>
                <w:rFonts w:ascii="Times New Roman" w:hAnsi="Times New Roman" w:cs="Times New Roman"/>
                <w:noProof/>
              </w:rPr>
              <w:t>(Lammi et al., 2025a)</w:t>
            </w:r>
            <w:r>
              <w:rPr>
                <w:rFonts w:ascii="Times New Roman" w:hAnsi="Times New Roman" w:cs="Times New Roman"/>
              </w:rPr>
              <w:fldChar w:fldCharType="end"/>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42039F7" w14:textId="7183809E" w:rsidR="006337E9" w:rsidRPr="002D58D0" w:rsidRDefault="00366C59" w:rsidP="001714C2">
            <w:pPr>
              <w:spacing w:line="312"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ADDIN ZOTERO_ITEM CSL_CITATION {"citationID":"uCbin1jE","properties":{"unsorted":false,"formattedCitation":"(Yin et al., 2024)","plainCitation":"(Yin et al., 2024)","noteIndex":0},"citationItems":[{"id":2690,"uris":["http://zotero.org/users/12279291/items/SCX6DDZF"],"itemData":{"id":2690,"type":"article-journal","abstract":"Long COVID (LC) occurs after at least 10% of severe acute respiratory syndrome coronavirus 2 (SARS-CoV-2) infections, yet its etiology remains poorly understood. We used ‘omic” assays and serology to deeply characterize the global and SARS-CoV-2-specific immunity in the blood of individuals with clear LC and non-LC clinical trajectories, 8 months postinfection. We found that LC individuals exhibited systemic inflammation and immune dysregulation. This was evidenced by global differences in T cell subset distribution implying ongoing immune responses, as well as by sex-specific perturbations in cytolytic subsets. LC individuals displayed increased frequencies of CD4+ T cells poised to migrate to inflamed tissues and exhausted SARS-CoV-2-specific CD8+ T cells, higher levels of SARS-CoV-2 antibodies and a mis-coordination between their SARS-CoV-2-specific T and B cell responses. Our analysis suggested an improper crosstalk between the cellular and humoral adaptive immunity in LC, which can lead to immune dysregulation, inflammation and clinical symptoms associated with this debilitating condition.","container-title":"Nature Immunology","DOI":"10.1038/s41590-023-01724-6","ISSN":"1529-2916","issue":"2","journalAbbreviation":"Nat Immunol","language":"en","license":"2024 The Author(s)","page":"218-225","publisher":"Nature Publishing Group","source":"www-nature-com.libproxy.uthscsa.edu","title":"Long COVID manifests with T cell dysregulation, inflammation and an uncoordinated adaptive immune response to SARS-CoV-2","volume":"25","author":[{"family":"Yin","given":"Kailin"},{"family":"Peluso","given":"Michael J."},{"family":"Luo","given":"Xiaoyu"},{"family":"Thomas","given":"Reuben"},{"family":"Shin","given":"Min-Gyoung"},{"family":"Neidleman","given":"Jason"},{"family":"Andrew","given":"Alicer"},{"family":"Young","given":"Kyrlia C."},{"family":"Ma","given":"Tongcui"},{"family":"Hoh","given":"Rebecca"},{"family":"Anglin","given":"Khamal"},{"family":"Huang","given":"Beatrice"},{"family":"Argueta","given":"Urania"},{"family":"Lopez","given":"Monica"},{"family":"Valdivieso","given":"Daisy"},{"family":"Asare","given":"Kofi"},{"family":"Deveau","given":"Tyler-Marie"},{"family":"Munter","given":"Sadie E."},{"family":"Ibrahim","given":"Rania"},{"family":"Ständker","given":"Ludger"},{"family":"Lu","given":"Scott"},{"family":"Goldberg","given":"Sarah A."},{"family":"Lee","given":"Sulggi A."},{"family":"Lynch","given":"Kara L."},{"family":"Kelly","given":"J. Daniel"},{"family":"Martin","given":"Jeffrey N."},{"family":"Münch","given":"Jan"},{"family":"Deeks","given":"Steven G."},{"family":"Henrich","given":"Timothy J."},{"family":"Roan","given":"Nadia R."}],"issued":{"date-parts":[["2024",2]]}}}],"schema":"https://github.com/citation-style-language/schema/raw/master/csl-citation.json"}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(Yin et al., 2024)</w:t>
            </w:r>
            <w:r>
              <w:rPr>
                <w:rFonts w:ascii="Times New Roman" w:hAnsi="Times New Roman" w:cs="Times New Roman"/>
              </w:rPr>
              <w:fldChar w:fldCharType="end"/>
            </w:r>
          </w:p>
        </w:tc>
      </w:tr>
      <w:tr w:rsidR="006337E9" w:rsidRPr="002D58D0" w14:paraId="1E74473B"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EB53C24"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Sample type</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9D0E813"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GWAS meta-analysis</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E64072E"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PBMC bulk RNA-seq</w:t>
            </w:r>
          </w:p>
        </w:tc>
      </w:tr>
      <w:tr w:rsidR="006337E9" w:rsidRPr="002D58D0" w14:paraId="2987C11E"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DDD5BE7"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Cases</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01B92F8"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15,950 Long COVID</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CE21D38"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23 Long COVID</w:t>
            </w:r>
          </w:p>
        </w:tc>
      </w:tr>
      <w:tr w:rsidR="006337E9" w:rsidRPr="002D58D0" w14:paraId="75CDB02D"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8085238"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Controls</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24722A2"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1,892,830 population</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E087719"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13 recovered (non-LC)</w:t>
            </w:r>
          </w:p>
        </w:tc>
      </w:tr>
      <w:tr w:rsidR="006337E9" w:rsidRPr="002D58D0" w14:paraId="45BA451F"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EECB418"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Time point</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9C5DF67"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N/A</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7182E70"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8 months post-infection</w:t>
            </w:r>
          </w:p>
        </w:tc>
      </w:tr>
      <w:tr w:rsidR="006337E9" w:rsidRPr="002D58D0" w14:paraId="4EBB0158"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5FA8637"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SNPs / Genes</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6FB9830"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9,474,615 SNPs (post-QC)</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D0A49B9"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18,708 genes tested</w:t>
            </w:r>
          </w:p>
        </w:tc>
      </w:tr>
      <w:tr w:rsidR="006337E9" w:rsidRPr="002D58D0" w14:paraId="7CE69B80"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72F5D37"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Key QC metric</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F17F56C" w14:textId="77777777" w:rsidR="006337E9" w:rsidRPr="002D58D0" w:rsidRDefault="006337E9" w:rsidP="001714C2">
            <w:pPr>
              <w:spacing w:line="312" w:lineRule="auto"/>
              <w:rPr>
                <w:rFonts w:ascii="Times New Roman" w:hAnsi="Times New Roman" w:cs="Times New Roman"/>
              </w:rPr>
            </w:pPr>
            <w:proofErr w:type="spellStart"/>
            <w:r w:rsidRPr="002D58D0">
              <w:rPr>
                <w:rFonts w:ascii="Times New Roman" w:hAnsi="Times New Roman" w:cs="Times New Roman"/>
                <w:color w:val="000000"/>
                <w:sz w:val="20"/>
                <w:szCs w:val="20"/>
              </w:rPr>
              <w:t>λGC</w:t>
            </w:r>
            <w:proofErr w:type="spellEnd"/>
            <w:r w:rsidRPr="002D58D0">
              <w:rPr>
                <w:rFonts w:ascii="Times New Roman" w:hAnsi="Times New Roman" w:cs="Times New Roman"/>
                <w:color w:val="000000"/>
                <w:sz w:val="20"/>
                <w:szCs w:val="20"/>
              </w:rPr>
              <w:t xml:space="preserve"> = 0.914</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52F268D"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72 DEGs (p&lt;0.05, |LFC|&gt;1)</w:t>
            </w:r>
          </w:p>
        </w:tc>
      </w:tr>
      <w:tr w:rsidR="006337E9" w:rsidRPr="002D58D0" w14:paraId="3C313831"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5E88B1E"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Platform</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52DBD10"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Multiple (meta-analysis)</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6BAED5F"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 xml:space="preserve">Illumina </w:t>
            </w:r>
            <w:proofErr w:type="spellStart"/>
            <w:r w:rsidRPr="002D58D0">
              <w:rPr>
                <w:rFonts w:ascii="Times New Roman" w:hAnsi="Times New Roman" w:cs="Times New Roman"/>
                <w:color w:val="000000"/>
                <w:sz w:val="20"/>
                <w:szCs w:val="20"/>
              </w:rPr>
              <w:t>HiSeq</w:t>
            </w:r>
            <w:proofErr w:type="spellEnd"/>
            <w:r w:rsidRPr="002D58D0">
              <w:rPr>
                <w:rFonts w:ascii="Times New Roman" w:hAnsi="Times New Roman" w:cs="Times New Roman"/>
                <w:color w:val="000000"/>
                <w:sz w:val="20"/>
                <w:szCs w:val="20"/>
              </w:rPr>
              <w:t xml:space="preserve"> 4000</w:t>
            </w:r>
          </w:p>
        </w:tc>
      </w:tr>
      <w:tr w:rsidR="006337E9" w:rsidRPr="002D58D0" w14:paraId="24EC72B8" w14:textId="77777777" w:rsidTr="001714C2">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745921B"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Access</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302FBA3" w14:textId="77777777" w:rsidR="006337E9" w:rsidRPr="002D58D0" w:rsidRDefault="006337E9" w:rsidP="001714C2">
            <w:pPr>
              <w:spacing w:line="312" w:lineRule="auto"/>
              <w:rPr>
                <w:rFonts w:ascii="Times New Roman" w:hAnsi="Times New Roman" w:cs="Times New Roman"/>
              </w:rPr>
            </w:pPr>
            <w:proofErr w:type="spellStart"/>
            <w:r w:rsidRPr="002D58D0">
              <w:rPr>
                <w:rFonts w:ascii="Times New Roman" w:hAnsi="Times New Roman" w:cs="Times New Roman"/>
                <w:color w:val="000000"/>
                <w:sz w:val="20"/>
                <w:szCs w:val="20"/>
              </w:rPr>
              <w:t>LocusZoom</w:t>
            </w:r>
            <w:proofErr w:type="spellEnd"/>
            <w:r w:rsidRPr="002D58D0">
              <w:rPr>
                <w:rFonts w:ascii="Times New Roman" w:hAnsi="Times New Roman" w:cs="Times New Roman"/>
                <w:color w:val="000000"/>
                <w:sz w:val="20"/>
                <w:szCs w:val="20"/>
              </w:rPr>
              <w:t xml:space="preserve"> (public)</w:t>
            </w:r>
          </w:p>
        </w:tc>
        <w:tc>
          <w:tcPr>
            <w:tcW w:w="35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47C7049"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GEO (public)</w:t>
            </w:r>
          </w:p>
        </w:tc>
      </w:tr>
    </w:tbl>
    <w:p w14:paraId="1DF9BA4A" w14:textId="77777777" w:rsidR="006337E9" w:rsidRPr="002D58D0" w:rsidRDefault="006337E9" w:rsidP="006337E9">
      <w:pPr>
        <w:spacing w:line="312" w:lineRule="auto"/>
        <w:rPr>
          <w:rFonts w:ascii="Times New Roman" w:hAnsi="Times New Roman" w:cs="Times New Roman"/>
        </w:rPr>
      </w:pPr>
    </w:p>
    <w:p w14:paraId="5908CA6B" w14:textId="77777777" w:rsidR="002D58D0" w:rsidRDefault="002D58D0" w:rsidP="00ED5B59">
      <w:pPr>
        <w:pStyle w:val="Heading2"/>
        <w:spacing w:line="312" w:lineRule="auto"/>
        <w:rPr>
          <w:rFonts w:ascii="Times New Roman" w:hAnsi="Times New Roman" w:cs="Times New Roman"/>
        </w:rPr>
      </w:pPr>
    </w:p>
    <w:p w14:paraId="590FADBA" w14:textId="77777777" w:rsidR="002D58D0" w:rsidRDefault="002D58D0" w:rsidP="00ED5B59">
      <w:pPr>
        <w:pStyle w:val="Heading2"/>
        <w:spacing w:line="312" w:lineRule="auto"/>
        <w:rPr>
          <w:rFonts w:ascii="Times New Roman" w:hAnsi="Times New Roman" w:cs="Times New Roman"/>
        </w:rPr>
      </w:pPr>
    </w:p>
    <w:p w14:paraId="32B99C62" w14:textId="414A4396" w:rsidR="007133EC" w:rsidRPr="002D58D0" w:rsidRDefault="003A521C" w:rsidP="00ED5B59">
      <w:pPr>
        <w:pStyle w:val="Heading2"/>
        <w:spacing w:line="312" w:lineRule="auto"/>
        <w:rPr>
          <w:rFonts w:ascii="Times New Roman" w:hAnsi="Times New Roman" w:cs="Times New Roman"/>
        </w:rPr>
      </w:pPr>
      <w:r w:rsidRPr="002D58D0">
        <w:rPr>
          <w:rFonts w:ascii="Times New Roman" w:hAnsi="Times New Roman" w:cs="Times New Roman"/>
        </w:rPr>
        <w:t>2.3 Differential Expression Analysis</w:t>
      </w:r>
    </w:p>
    <w:p w14:paraId="15B134EB" w14:textId="01CB22E6"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color w:val="000000"/>
        </w:rPr>
        <w:t xml:space="preserve">Given the modest sample size (n=36) and the high biological variability inherent to PBMC transcriptomics, we applied an exploratory significance threshold of nominal p&lt;0.05 with |log2 fold change (LFC)| &gt;1 for downstream analyses. This threshold, while less stringent than FDR-corrected cutoffs, is standard practice in pilot-scale transcriptomic studies and is consistent with published multi-omic integration frameworks that </w:t>
      </w:r>
      <w:r w:rsidR="002D58D0" w:rsidRPr="002D58D0">
        <w:rPr>
          <w:rFonts w:ascii="Times New Roman" w:hAnsi="Times New Roman" w:cs="Times New Roman"/>
          <w:color w:val="000000"/>
        </w:rPr>
        <w:t>prioritize</w:t>
      </w:r>
      <w:r w:rsidRPr="002D58D0">
        <w:rPr>
          <w:rFonts w:ascii="Times New Roman" w:hAnsi="Times New Roman" w:cs="Times New Roman"/>
          <w:color w:val="000000"/>
        </w:rPr>
        <w:t xml:space="preserve"> discovery over definitive inference</w:t>
      </w:r>
      <w:r w:rsidR="00961116">
        <w:rPr>
          <w:rFonts w:ascii="Times New Roman" w:hAnsi="Times New Roman" w:cs="Times New Roman"/>
          <w:color w:val="000000"/>
        </w:rPr>
        <w:t xml:space="preserve"> </w:t>
      </w:r>
      <w:r w:rsidR="00961116">
        <w:rPr>
          <w:rFonts w:ascii="Times New Roman" w:hAnsi="Times New Roman" w:cs="Times New Roman"/>
          <w:color w:val="000000"/>
        </w:rPr>
        <w:fldChar w:fldCharType="begin"/>
      </w:r>
      <w:r w:rsidR="00366C59">
        <w:rPr>
          <w:rFonts w:ascii="Times New Roman" w:hAnsi="Times New Roman" w:cs="Times New Roman"/>
          <w:color w:val="000000"/>
        </w:rPr>
        <w:instrText xml:space="preserve"> ADDIN ZOTERO_ITEM CSL_CITATION {"citationID":"vv2VvXrL","properties":{"unsorted":false,"formattedCitation":"(Pinero et al., 2025)","plainCitation":"(Pinero et al., 2025)","noteIndex":0},"citationItems":[{"id":2681,"uris":["http://zotero.org/users/12279291/items/VRSDT9WP"],"itemData":{"id":2681,"type":"article-journal","abstract":"Long COVID, or Post-Acute Sequelae of SARS-CoV-2 infection (PASC), affects an estimated 10–20% of COVID-19 patients and presents persistent multisystemic symptoms. Although demographic and clinical factors, such as age, sex, and comorbidities, contribute to risk, the genetic mechanisms underlying this risk remain poorly defined. To address this gap, we developed a multi-omics framework that integrates Transcriptome-Wide Mendelian Randomization (TWMR), Control Theory (CT), Expression Quantitative Trait Loci (eQTL), Genome-Wide Association Studies (GWAS), RNA sequencing (RNA-seq), and Protein-Protein Interaction (PPI) network to identify putative causal genes and network drivers in Long COVID. Our approach prioritized 32 candidate genes, including 19 previously reported and 13 novel, with roles in the SARS-CoV-2 response, viral carcinogenesis, immune regulation, and cell cycle control. Enrichment analyses revealed a shared genetic architecture in syndromic, metabolic, autoimmune, and connective tissue disorders. Using causal gene expression profiles, we identified three distinct symptom-based subtypes of Long COVID, providing information on the heterogeneity of disease mechanisms and clinical presentation. Finally, we developed an open-source Shiny application for interactive exploration of these findings. Together, this integrative framework highlights novel causal mechanisms and therapeutic targets, advancing precision medicine strategies for Long COVID.","container-title":"PLOS Computational Biology","DOI":"10.1371/journal.pcbi.1013725","ISSN":"1553-7358","issue":"12","journalAbbreviation":"PLOS Computational Biology","language":"en","page":"e1013725","publisher":"Public Library of Science","source":"PLoS Journals","title":"Integrative multi-omics framework for causal gene discovery in Long COVID","volume":"21","author":[{"family":"Pinero","given":"Sindy"},{"family":"Li","given":"Xiaomei"},{"family":"Liu","given":"Lin"},{"family":"Li","given":"Jiuyong"},{"family":"Lee","given":"Sang Hong"},{"family":"Winter","given":"Marnie"},{"family":"Nguyen","given":"Thin"},{"family":"Zhang","given":"Junpeng"},{"family":"Le","given":"Thuc Duy"}],"issued":{"date-parts":[["2025",12,1]]}}}],"schema":"https://github.com/citation-style-language/schema/raw/master/csl-citation.json"} </w:instrText>
      </w:r>
      <w:r w:rsidR="00961116">
        <w:rPr>
          <w:rFonts w:ascii="Times New Roman" w:hAnsi="Times New Roman" w:cs="Times New Roman"/>
          <w:color w:val="000000"/>
        </w:rPr>
        <w:fldChar w:fldCharType="separate"/>
      </w:r>
      <w:r w:rsidR="00366C59">
        <w:rPr>
          <w:rFonts w:ascii="Times New Roman" w:hAnsi="Times New Roman" w:cs="Times New Roman"/>
          <w:noProof/>
          <w:color w:val="000000"/>
        </w:rPr>
        <w:t>(Pinero et al., 2025)</w:t>
      </w:r>
      <w:r w:rsidR="00961116">
        <w:rPr>
          <w:rFonts w:ascii="Times New Roman" w:hAnsi="Times New Roman" w:cs="Times New Roman"/>
          <w:color w:val="000000"/>
        </w:rPr>
        <w:fldChar w:fldCharType="end"/>
      </w:r>
      <w:r w:rsidRPr="002D58D0">
        <w:rPr>
          <w:rFonts w:ascii="Times New Roman" w:hAnsi="Times New Roman" w:cs="Times New Roman"/>
          <w:color w:val="000000"/>
        </w:rPr>
        <w:t xml:space="preserve">. Of the 18,708 genes tested, 72 met this criterion (52 upregulated, 20 downregulated in Long COVID vs controls). Volcano plots were generated using </w:t>
      </w:r>
      <w:proofErr w:type="spellStart"/>
      <w:r w:rsidRPr="002D58D0">
        <w:rPr>
          <w:rFonts w:ascii="Times New Roman" w:hAnsi="Times New Roman" w:cs="Times New Roman"/>
          <w:color w:val="000000"/>
        </w:rPr>
        <w:t>EnhancedVolcano</w:t>
      </w:r>
      <w:proofErr w:type="spellEnd"/>
      <w:r w:rsidRPr="002D58D0">
        <w:rPr>
          <w:rFonts w:ascii="Times New Roman" w:hAnsi="Times New Roman" w:cs="Times New Roman"/>
          <w:color w:val="000000"/>
        </w:rPr>
        <w:t xml:space="preserve"> (v1.20.0).</w:t>
      </w:r>
    </w:p>
    <w:p w14:paraId="4A47E2A1" w14:textId="77777777" w:rsidR="007133EC" w:rsidRPr="002D58D0" w:rsidRDefault="003A521C" w:rsidP="00ED5B59">
      <w:pPr>
        <w:pStyle w:val="Heading2"/>
        <w:spacing w:line="312" w:lineRule="auto"/>
        <w:rPr>
          <w:rFonts w:ascii="Times New Roman" w:hAnsi="Times New Roman" w:cs="Times New Roman"/>
        </w:rPr>
      </w:pPr>
      <w:r w:rsidRPr="002D58D0">
        <w:rPr>
          <w:rFonts w:ascii="Times New Roman" w:hAnsi="Times New Roman" w:cs="Times New Roman"/>
        </w:rPr>
        <w:t>2.4 Pathway Enrichment Analysis</w:t>
      </w:r>
    </w:p>
    <w:p w14:paraId="42CE0A5D" w14:textId="05494DE7"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color w:val="000000"/>
        </w:rPr>
        <w:t xml:space="preserve">Gene symbols of the 72 significant DEGs were mapped to Entrez IDs using the </w:t>
      </w:r>
      <w:proofErr w:type="spellStart"/>
      <w:r w:rsidRPr="002D58D0">
        <w:rPr>
          <w:rFonts w:ascii="Times New Roman" w:hAnsi="Times New Roman" w:cs="Times New Roman"/>
          <w:color w:val="000000"/>
        </w:rPr>
        <w:t>bitr</w:t>
      </w:r>
      <w:proofErr w:type="spellEnd"/>
      <w:r w:rsidRPr="002D58D0">
        <w:rPr>
          <w:rFonts w:ascii="Times New Roman" w:hAnsi="Times New Roman" w:cs="Times New Roman"/>
          <w:color w:val="000000"/>
        </w:rPr>
        <w:t xml:space="preserve"> function from </w:t>
      </w:r>
      <w:proofErr w:type="spellStart"/>
      <w:r w:rsidRPr="002D58D0">
        <w:rPr>
          <w:rFonts w:ascii="Times New Roman" w:hAnsi="Times New Roman" w:cs="Times New Roman"/>
          <w:color w:val="000000"/>
        </w:rPr>
        <w:t>clusterProfiler</w:t>
      </w:r>
      <w:proofErr w:type="spellEnd"/>
      <w:r w:rsidRPr="002D58D0">
        <w:rPr>
          <w:rFonts w:ascii="Times New Roman" w:hAnsi="Times New Roman" w:cs="Times New Roman"/>
          <w:color w:val="000000"/>
        </w:rPr>
        <w:t xml:space="preserve"> (v4.10.1) with the org.Hs.eg.db annotation database. Sixty-three of 72 genes (87.5%) were successfully mapped. Gene Ontology Biological Process (GO-BP) enrichment was performed using </w:t>
      </w:r>
      <w:proofErr w:type="spellStart"/>
      <w:r w:rsidRPr="002D58D0">
        <w:rPr>
          <w:rFonts w:ascii="Times New Roman" w:hAnsi="Times New Roman" w:cs="Times New Roman"/>
          <w:color w:val="000000"/>
        </w:rPr>
        <w:t>enrichGO</w:t>
      </w:r>
      <w:proofErr w:type="spellEnd"/>
      <w:r w:rsidRPr="002D58D0">
        <w:rPr>
          <w:rFonts w:ascii="Times New Roman" w:hAnsi="Times New Roman" w:cs="Times New Roman"/>
          <w:color w:val="000000"/>
        </w:rPr>
        <w:t xml:space="preserve"> with </w:t>
      </w:r>
      <w:proofErr w:type="spellStart"/>
      <w:r w:rsidRPr="002D58D0">
        <w:rPr>
          <w:rFonts w:ascii="Times New Roman" w:hAnsi="Times New Roman" w:cs="Times New Roman"/>
          <w:color w:val="000000"/>
        </w:rPr>
        <w:t>Benjamini</w:t>
      </w:r>
      <w:proofErr w:type="spellEnd"/>
      <w:r w:rsidRPr="002D58D0">
        <w:rPr>
          <w:rFonts w:ascii="Times New Roman" w:hAnsi="Times New Roman" w:cs="Times New Roman"/>
          <w:color w:val="000000"/>
        </w:rPr>
        <w:t>-Hochberg (BH) multiple testing correction (</w:t>
      </w:r>
      <w:proofErr w:type="spellStart"/>
      <w:proofErr w:type="gramStart"/>
      <w:r w:rsidRPr="002D58D0">
        <w:rPr>
          <w:rFonts w:ascii="Times New Roman" w:hAnsi="Times New Roman" w:cs="Times New Roman"/>
          <w:color w:val="000000"/>
        </w:rPr>
        <w:t>p.adjust</w:t>
      </w:r>
      <w:proofErr w:type="spellEnd"/>
      <w:proofErr w:type="gramEnd"/>
      <w:r w:rsidRPr="002D58D0">
        <w:rPr>
          <w:rFonts w:ascii="Times New Roman" w:hAnsi="Times New Roman" w:cs="Times New Roman"/>
          <w:color w:val="000000"/>
        </w:rPr>
        <w:t xml:space="preserve"> &lt;0.05, q-value &lt;0.20). </w:t>
      </w:r>
      <w:r w:rsidRPr="002D58D0">
        <w:rPr>
          <w:rFonts w:ascii="Times New Roman" w:hAnsi="Times New Roman" w:cs="Times New Roman"/>
          <w:color w:val="000000"/>
        </w:rPr>
        <w:lastRenderedPageBreak/>
        <w:t xml:space="preserve">KEGG pathway enrichment was conducted using </w:t>
      </w:r>
      <w:proofErr w:type="spellStart"/>
      <w:r w:rsidRPr="002D58D0">
        <w:rPr>
          <w:rFonts w:ascii="Times New Roman" w:hAnsi="Times New Roman" w:cs="Times New Roman"/>
          <w:color w:val="000000"/>
        </w:rPr>
        <w:t>enrichKEGG</w:t>
      </w:r>
      <w:proofErr w:type="spellEnd"/>
      <w:r w:rsidRPr="002D58D0">
        <w:rPr>
          <w:rFonts w:ascii="Times New Roman" w:hAnsi="Times New Roman" w:cs="Times New Roman"/>
          <w:color w:val="000000"/>
        </w:rPr>
        <w:t xml:space="preserve"> with BH correction (</w:t>
      </w:r>
      <w:proofErr w:type="spellStart"/>
      <w:proofErr w:type="gramStart"/>
      <w:r w:rsidRPr="002D58D0">
        <w:rPr>
          <w:rFonts w:ascii="Times New Roman" w:hAnsi="Times New Roman" w:cs="Times New Roman"/>
          <w:color w:val="000000"/>
        </w:rPr>
        <w:t>p.adjust</w:t>
      </w:r>
      <w:proofErr w:type="spellEnd"/>
      <w:proofErr w:type="gramEnd"/>
      <w:r w:rsidRPr="002D58D0">
        <w:rPr>
          <w:rFonts w:ascii="Times New Roman" w:hAnsi="Times New Roman" w:cs="Times New Roman"/>
          <w:color w:val="000000"/>
        </w:rPr>
        <w:t xml:space="preserve"> &lt;0.05). Results were </w:t>
      </w:r>
      <w:r w:rsidR="002D58D0" w:rsidRPr="002D58D0">
        <w:rPr>
          <w:rFonts w:ascii="Times New Roman" w:hAnsi="Times New Roman" w:cs="Times New Roman"/>
          <w:color w:val="000000"/>
        </w:rPr>
        <w:t>visualized</w:t>
      </w:r>
      <w:r w:rsidRPr="002D58D0">
        <w:rPr>
          <w:rFonts w:ascii="Times New Roman" w:hAnsi="Times New Roman" w:cs="Times New Roman"/>
          <w:color w:val="000000"/>
        </w:rPr>
        <w:t xml:space="preserve"> as </w:t>
      </w:r>
      <w:proofErr w:type="spellStart"/>
      <w:r w:rsidRPr="002D58D0">
        <w:rPr>
          <w:rFonts w:ascii="Times New Roman" w:hAnsi="Times New Roman" w:cs="Times New Roman"/>
          <w:color w:val="000000"/>
        </w:rPr>
        <w:t>dotplots</w:t>
      </w:r>
      <w:proofErr w:type="spellEnd"/>
      <w:r w:rsidRPr="002D58D0">
        <w:rPr>
          <w:rFonts w:ascii="Times New Roman" w:hAnsi="Times New Roman" w:cs="Times New Roman"/>
          <w:color w:val="000000"/>
        </w:rPr>
        <w:t xml:space="preserve"> using the </w:t>
      </w:r>
      <w:proofErr w:type="spellStart"/>
      <w:r w:rsidRPr="002D58D0">
        <w:rPr>
          <w:rFonts w:ascii="Times New Roman" w:hAnsi="Times New Roman" w:cs="Times New Roman"/>
          <w:color w:val="000000"/>
        </w:rPr>
        <w:t>clusterProfiler</w:t>
      </w:r>
      <w:proofErr w:type="spellEnd"/>
      <w:r w:rsidRPr="002D58D0">
        <w:rPr>
          <w:rFonts w:ascii="Times New Roman" w:hAnsi="Times New Roman" w:cs="Times New Roman"/>
          <w:color w:val="000000"/>
        </w:rPr>
        <w:t xml:space="preserve"> plotting interface with ggplot2.</w:t>
      </w:r>
    </w:p>
    <w:p w14:paraId="75705D63" w14:textId="77777777" w:rsidR="007133EC" w:rsidRPr="002D58D0" w:rsidRDefault="003A521C" w:rsidP="00ED5B59">
      <w:pPr>
        <w:pStyle w:val="Heading2"/>
        <w:spacing w:line="312" w:lineRule="auto"/>
        <w:rPr>
          <w:rFonts w:ascii="Times New Roman" w:hAnsi="Times New Roman" w:cs="Times New Roman"/>
        </w:rPr>
      </w:pPr>
      <w:r w:rsidRPr="002D58D0">
        <w:rPr>
          <w:rFonts w:ascii="Times New Roman" w:hAnsi="Times New Roman" w:cs="Times New Roman"/>
        </w:rPr>
        <w:t>2.5 GWAS-Transcriptomics Integration</w:t>
      </w:r>
    </w:p>
    <w:p w14:paraId="72BB835E" w14:textId="5EB21492"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color w:val="000000"/>
        </w:rPr>
        <w:t xml:space="preserve">A literature-curated integration strategy was employed to test concordance between GWAS-implicated immune genes and PBMC transcriptomic profiles. Eleven candidate genes with established genome-wide significant associations in published Long COVID and severe COVID-19 GWAS were selected: FOXP4 </w:t>
      </w:r>
      <w:r w:rsidR="0022473D">
        <w:rPr>
          <w:rFonts w:ascii="Times New Roman" w:hAnsi="Times New Roman" w:cs="Times New Roman"/>
          <w:color w:val="000000"/>
        </w:rPr>
        <w:fldChar w:fldCharType="begin"/>
      </w:r>
      <w:r w:rsidR="00CF3927">
        <w:rPr>
          <w:rFonts w:ascii="Times New Roman" w:hAnsi="Times New Roman" w:cs="Times New Roman"/>
          <w:color w:val="000000"/>
        </w:rPr>
        <w:instrText xml:space="preserve"> ADDIN ZOTERO_ITEM CSL_CITATION {"citationID":"DNXz46v5","properties":{"unsorted":false,"formattedCitation":"(Lammi et al., 2025a)","plainCitation":"(Lammi et al., 2025a)","noteIndex":0},"citationItems":[{"id":2667,"uris":["http://zotero.org/users/12279291/items/VIH5KL85"],"itemData":{"id":2667,"type":"article-journal","abstract":"Infections can lead to persistent symptoms and diseases such as shingles after varicella zoster or rheumatic fever after streptococcal infections. Similarly, severe acute respiratory syndrome coronavirus 2 (SARS‑CoV‑2) infection can result in long coronavirus disease (COVID), typically manifesting as fatigue, pulmonary symptoms and cognitive dysfunction. The biological mechanisms behind long COVID remain unclear. We performed a genome-wide association study for long COVID including up to 6,450 long COVID cases and 1,093,995 population controls from 24 studies across 16 countries. We discovered an association of FOXP4 with long COVID, independent of its previously identified association with severe COVID-19. The signal was replicated in 9,500 long COVID cases and 798,835 population controls. Given the transcription factor FOXP4’s role in lung physiology and pathology, our findings highlight the importance of lung function in the pathophysiology of long COVID.","container-title":"Nature Genetics","DOI":"10.1038/s41588-025-02100-w","ISSN":"1546-1718","issue":"6","journalAbbreviation":"Nat Genet","language":"en","license":"2025 The Author(s)","page":"1402-1417","publisher":"Nature Publishing Group","source":"www-nature-com.libproxy.uthscsa.edu","title":"Genome-wide association study of long COVID","volume":"57","author":[{"family":"Lammi","given":"Vilma"},{"family":"Nakanishi","given":"Tomoko"},{"family":"Jones","given":"Samuel E."},{"family":"Andrews","given":"Shea J."},{"family":"Karjalainen","given":"Juha"},{"family":"Cortés","given":"Beatriz"},{"family":"O’Brien","given":"Heath E."},{"family":"Ochoa-Guzman","given":"Ana"},{"family":"Fulton-Howard","given":"Brian E."},{"family":"Broberg","given":"Martin"},{"family":"Haapaniemi","given":"Hele H."},{"family":"Kanai","given":"Masahiro"},{"family":"Pirinen","given":"Matti"},{"family":"Schmidt","given":"Axel"},{"family":"Mitchell","given":"Ruth E."},{"family":"Mousas","given":"Abdou"},{"family":"Mangino","given":"Massimo"},{"family":"Huerta-Chagoya","given":"Alicia"},{"family":"Sinnott-Armstrong","given":"Nasa"},{"family":"Cirulli","given":"Elizabeth T."},{"family":"Vaudel","given":"Marc"},{"family":"Kwong","given":"Alex S. F."},{"family":"Maiti","given":"Amit K."},{"family":"Marttila","given":"Minttu M."},{"family":"Posner","given":"Daniel C."},{"family":"Rodriguez","given":"Alexis A."},{"family":"Batini","given":"Chiara"},{"family":"Minnai","given":"Francesca"},{"family":"Dearman","given":"Anna R."},{"family":"Warmerdam","given":"C. A. Robert"},{"family":"Sequeros","given":"Celia B."},{"family":"Winkler","given":"Thomas W."},{"family":"Jordan","given":"Daniel M."},{"family":"Rešcenko","given":"Raimonds"},{"family":"Miano","given":"Lorenzo"},{"family":"Lane","given":"Jacqueline M."},{"family":"Chung","given":"Ryan K."},{"family":"Guillen-Guio","given":"Beatriz"},{"family":"Leavy","given":"Olivia C."},{"family":"Carvajal-Silva","given":"Laura"},{"family":"Aguilar-Valdés","given":"Kevin"},{"family":"Frangione","given":"Erika"},{"family":"Guare","given":"Lindsay"},{"family":"Vergasova","given":"Ekaterina"},{"family":"Marouli","given":"Eirini"},{"family":"Striano","given":"Pasquale"},{"family":"Zainulabid","given":"Ummu Afeera"},{"family":"Kumar","given":"Ashutosh"},{"family":"Ahmad","given":"Hajar Fauzan"},{"family":"Edahiro","given":"Ryuya"},{"family":"Azekawa","given":"Shuhei"},{"family":"Luoh","given":"Shiuh-Wen"},{"family":"Erikstrup","given":"Christian"},{"family":"Pedersen","given":"Ole B. V."},{"family":"Lerner-Ellis","given":"Jordan"},{"family":"Colombo","given":"Alicia"},{"family":"Grzymski","given":"Joseph J."},{"family":"Ishii","given":"Makoto"},{"family":"Okada","given":"Yukinori"},{"family":"Beckmann","given":"Noam D."},{"family":"Kumari","given":"Meena"},{"family":"Wagner","given":"Ralf"},{"family":"Heid","given":"Iris M."},{"family":"John","given":"Catherine"},{"family":"Short","given":"Patrick J."},{"family":"Magnus","given":"Per"},{"family":"Ansone","given":"Laura"},{"family":"Valenti","given":"Luca V. C."},{"family":"Lee","given":"Sulggi A."},{"family":"Wain","given":"Louise V."},{"family":"Verdugo","given":"Ricardo A."},{"family":"Banasik","given":"Karina"},{"family":"Geller","given":"Frank"},{"family":"Franke","given":"Lude H."},{"family":"Rakitko","given":"Alexander"},{"family":"Duncan","given":"Emma L."},{"family":"Renieri","given":"Alessandra"},{"family":"Tsilidis","given":"Konstantinos K."},{"family":"Cid","given":"Rafael","non-dropping-particle":"de"},{"family":"Niavarani","given":"Ahmadreza"},{"family":"Abner","given":"Erik"},{"family":"Tusié-Luna","given":"Teresa"},{"family":"Verma","given":"Shefali S."},{"family":"Smith","given":"George Davey"},{"family":"Timpson","given":"Nicholas J."},{"family":"Madduri","given":"Ravi K."},{"family":"Cho","given":"Kelly"},{"family":"Daly","given":"Mark J."},{"family":"Ganna","given":"Andrea"},{"family":"Schulte","given":"Eva C."},{"family":"Richards","given":"J. Brent"},{"family":"Ludwig","given":"Kerstin U."},{"family":"Marks-Hultström","given":"Michael"},{"family":"Zeberg","given":"Hugo"},{"family":"Ollila","given":"Hanna M."}],"issued":{"date-parts":[["2025",6]]}}}],"schema":"https://github.com/citation-style-language/schema/raw/master/csl-citation.json"} </w:instrText>
      </w:r>
      <w:r w:rsidR="0022473D">
        <w:rPr>
          <w:rFonts w:ascii="Times New Roman" w:hAnsi="Times New Roman" w:cs="Times New Roman"/>
          <w:color w:val="000000"/>
        </w:rPr>
        <w:fldChar w:fldCharType="separate"/>
      </w:r>
      <w:r w:rsidR="00CF3927">
        <w:rPr>
          <w:rFonts w:ascii="Times New Roman" w:hAnsi="Times New Roman" w:cs="Times New Roman"/>
          <w:noProof/>
          <w:color w:val="000000"/>
        </w:rPr>
        <w:t>(Lammi et al., 2025a)</w:t>
      </w:r>
      <w:r w:rsidR="0022473D">
        <w:rPr>
          <w:rFonts w:ascii="Times New Roman" w:hAnsi="Times New Roman" w:cs="Times New Roman"/>
          <w:color w:val="000000"/>
        </w:rPr>
        <w:fldChar w:fldCharType="end"/>
      </w:r>
      <w:r w:rsidRPr="002D58D0">
        <w:rPr>
          <w:rFonts w:ascii="Times New Roman" w:hAnsi="Times New Roman" w:cs="Times New Roman"/>
          <w:color w:val="000000"/>
        </w:rPr>
        <w:t xml:space="preserve">, HLA-DQA1, HLA-DQB1, ABO, and BPTF </w:t>
      </w:r>
      <w:r w:rsidR="00F52B70">
        <w:rPr>
          <w:rFonts w:ascii="Times New Roman" w:hAnsi="Times New Roman" w:cs="Times New Roman"/>
          <w:color w:val="000000"/>
        </w:rPr>
        <w:fldChar w:fldCharType="begin"/>
      </w:r>
      <w:r w:rsidR="00F52B70">
        <w:rPr>
          <w:rFonts w:ascii="Times New Roman" w:hAnsi="Times New Roman" w:cs="Times New Roman"/>
          <w:color w:val="000000"/>
        </w:rPr>
        <w:instrText xml:space="preserve"> ADDIN ZOTERO_ITEM CSL_CITATION {"citationID":"iYLRYUYd","properties":{"unsorted":false,"formattedCitation":"(Chaudhary et al., 2024)","plainCitation":"(Chaudhary et al., 2024)","noteIndex":0},"citationItems":[{"id":2692,"uris":["http://zotero.org/users/12279291/items/7I9RA5XI"],"itemData":{"id":2692,"type":"article","abstract":"The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approaches.\nThe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approaches.","DOI":"10.1101/2024.10.07.24315052","language":"en","license":"© 2024, Posted by Cold Spring Harbor Laboratory. The copyright holder for this pre-print is the author. All rights reserved. The material may not be redistributed, re-used or adapted without the author's permission.","note":"ISSN: 2431-5052\npage: 2024.10.07.24315052","publisher":"medRxiv","source":"medRxiv","title":"Multi-ancestry GWAS of Long COVID identifies immune-related loci and etiological links to chronic fatigue syndrome, fibromyalgia and depression","URL":"https://www.medrxiv.org/content/10.1101/2024.10.07.24315052v1","author":[{"family":"Chaudhary","given":"Ninad S."},{"family":"Weldon","given":"Catherine H."},{"family":"Nandakumar","given":"Priyanka"},{"family":"Team","given":"23andMe Research"},{"family":"Holmes","given":"Michael V."},{"family":"Aslibekyan","given":"Stella"}],"accessed":{"date-parts":[["2026",3,30]]},"issued":{"date-parts":[["2024",10,9]]}}}],"schema":"https://github.com/citation-style-language/schema/raw/master/csl-citation.json"} </w:instrText>
      </w:r>
      <w:r w:rsidR="00F52B70">
        <w:rPr>
          <w:rFonts w:ascii="Times New Roman" w:hAnsi="Times New Roman" w:cs="Times New Roman"/>
          <w:color w:val="000000"/>
        </w:rPr>
        <w:fldChar w:fldCharType="separate"/>
      </w:r>
      <w:r w:rsidR="00F52B70">
        <w:rPr>
          <w:rFonts w:ascii="Times New Roman" w:hAnsi="Times New Roman" w:cs="Times New Roman"/>
          <w:noProof/>
          <w:color w:val="000000"/>
        </w:rPr>
        <w:t>(Chaudhary et al., 2024)</w:t>
      </w:r>
      <w:r w:rsidR="00F52B70">
        <w:rPr>
          <w:rFonts w:ascii="Times New Roman" w:hAnsi="Times New Roman" w:cs="Times New Roman"/>
          <w:color w:val="000000"/>
        </w:rPr>
        <w:fldChar w:fldCharType="end"/>
      </w:r>
      <w:r w:rsidRPr="002D58D0">
        <w:rPr>
          <w:rFonts w:ascii="Times New Roman" w:hAnsi="Times New Roman" w:cs="Times New Roman"/>
          <w:color w:val="000000"/>
        </w:rPr>
        <w:t>, and TYK2, IFNAR2, OAS1, OAS3, CCR5, and DPP9</w:t>
      </w:r>
      <w:r w:rsidR="00961116">
        <w:rPr>
          <w:rFonts w:ascii="Times New Roman" w:hAnsi="Times New Roman" w:cs="Times New Roman"/>
          <w:color w:val="000000"/>
        </w:rPr>
        <w:t xml:space="preserve"> </w:t>
      </w:r>
      <w:r w:rsidR="00961116">
        <w:rPr>
          <w:rFonts w:ascii="Times New Roman" w:hAnsi="Times New Roman" w:cs="Times New Roman"/>
          <w:color w:val="000000"/>
        </w:rPr>
        <w:fldChar w:fldCharType="begin"/>
      </w:r>
      <w:r w:rsidR="00961116">
        <w:rPr>
          <w:rFonts w:ascii="Times New Roman" w:hAnsi="Times New Roman" w:cs="Times New Roman"/>
          <w:color w:val="000000"/>
        </w:rPr>
        <w:instrText xml:space="preserve"> ADDIN ZOTERO_ITEM CSL_CITATION {"citationID":"Zb8htTPI","properties":{"unsorted":false,"formattedCitation":"(COVID-19 Host Genetics Initiative, 2021; Pairo-Castineira et al., 2021)","plainCitation":"(COVID-19 Host Genetics Initiative, 2021; Pairo-Castineira et al., 2021)","noteIndex":0},"citationItems":[{"id":2687,"uris":["http://zotero.org/users/12279291/items/B8UGE2YQ"],"itemData":{"id":2687,"type":"article-journal","abstract":"The genetic make-up of an individual contributes to the susceptibility and response to viral infection. Although environmental, clinical and social factors have a role in the chance of exposure to SARS-CoV-2 and the severity of COVID-191,2, host genetics may also be important. Identifying host-specific genetic factors may reveal biological mechanisms of therapeutic relevance and clarify causal relationships of modifiable environmental risk factors for SARS-CoV-2 infection and outcomes. We formed a global network of researchers to investigate the role of human genetics in SARS-CoV-2 infection and COVID-19 severity. Here we describe the results of three genome-wide association meta-analyses that consist of up to 49,562 patients with COVID-19 from 46 studies across 19 countries. We report 13 genome-wide significant loci that are associated with SARS-CoV-2 infection or severe manifestations of COVID-19. Several of these loci correspond to previously documented associations to lung or autoimmune and inflammatory diseases3-7. They also represent potentially actionable mechanisms in response to infection. Mendelian randomization analyses support a causal role for smoking and body-mass index for severe COVID-19 although not for type II diabetes. The identification of novel host genetic factors associated with COVID-19 was made possible by the community of human genetics researchers coming together to prioritize the sharing of data, results, resources and analytical frameworks. This working model of international collaboration underscores what is possible for future genetic discoveries in emerging pandemics, or indeed for any complex human disease.","container-title":"Nature","DOI":"10.1038/s41586-021-03767-x","ISSN":"1476-4687","issue":"7889","journalAbbreviation":"Nature","language":"eng","page":"472-477","PMID":"34237774","PMCID":"PMC8674144","source":"PubMed","title":"Mapping the human genetic architecture of COVID-19","volume":"600","author":[{"literal":"COVID-19 Host Genetics Initiative"}],"issued":{"date-parts":[["2021",12]]}}},{"id":2684,"uris":["http://zotero.org/users/12279291/items/C4KTGW7Z"],"itemData":{"id":2684,"type":"article-journal","abstract":"Host-mediated lung inflammation is present1, and drives mortality2, in the critical illness caused by coronavirus disease 2019 (COVID-19). Host genetic variants associated with critical illness may identify mechanistic targets for therapeutic development3. Here we report the results of the GenOMICC (Genetics Of Mortality In Critical Care) genome-wide association study in 2,244 critically ill patients with COVID-19 from 208 UK intensive care units. We have identified and replicated the following new genome-wide significant associations: on chromosome 12q24.13 (rs10735079, P = 1.65 × 10-8) in a gene cluster that encodes antiviral restriction enzyme activators (OAS1, OAS2 and OAS3); on chromosome 19p13.2 (rs74956615, P = 2.3 × 10-8) near the gene that encodes tyrosine kinase 2 (TYK2); on chromosome 19p13.3 (rs2109069, P = 3.98 ×  10-12) within the gene that encodes dipeptidyl peptidase 9 (DPP9); and on chromosome 21q22.1 (rs2236757, P = 4.99 × 10-8) in the interferon receptor gene IFNAR2. We identified potential targets for repurposing of licensed medications: using Mendelian randomization, we found evidence that low expression of IFNAR2, or high expression of TYK2, are associated with life-threatening disease; and transcriptome-wide association in lung tissue revealed that high expression of the monocyte-macrophage chemotactic receptor CCR2 is associated with severe COVID-19. Our results identify robust genetic signals relating to key host antiviral defence mechanisms and mediators of inflammatory organ damage in COVID-19. Both mechanisms may be amenable to targeted treatment with existing drugs. However, large-scale randomized clinical trials will be essential before any change to clinical practice.","container-title":"Nature","DOI":"10.1038/s41586-020-03065-y","ISSN":"1476-4687","issue":"7848","journalAbbreviation":"Nature","language":"eng","page":"92-98","PMID":"33307546","source":"PubMed","title":"Genetic mechanisms of critical illness in COVID-19","volume":"591","author":[{"family":"Pairo-Castineira","given":"Erola"},{"family":"Clohisey","given":"Sara"},{"family":"Klaric","given":"Lucija"},{"family":"Bretherick","given":"Andrew D."},{"family":"Rawlik","given":"Konrad"},{"family":"Pasko","given":"Dorota"},{"family":"Walker","given":"Susan"},{"family":"Parkinson","given":"Nick"},{"family":"Fourman","given":"Max Head"},{"family":"Russell","given":"Clark D."},{"family":"Furniss","given":"James"},{"family":"Richmond","given":"Anne"},{"family":"Gountouna","given":"Elvina"},{"family":"Wrobel","given":"Nicola"},{"family":"Harrison","given":"David"},{"family":"Wang","given":"Bo"},{"family":"Wu","given":"Yang"},{"family":"Meynert","given":"Alison"},{"family":"Griffiths","given":"Fiona"},{"family":"Oosthuyzen","given":"Wilna"},{"family":"Kousathanas","given":"Athanasios"},{"family":"Moutsianas","given":"Loukas"},{"family":"Yang","given":"Zhijian"},{"family":"Zhai","given":"Ranran"},{"family":"Zheng","given":"Chenqing"},{"family":"Grimes","given":"Graeme"},{"family":"Beale","given":"Rupert"},{"family":"Millar","given":"Jonathan"},{"family":"Shih","given":"Barbara"},{"family":"Keating","given":"Sean"},{"family":"Zechner","given":"Marie"},{"family":"Haley","given":"Chris"},{"family":"Porteous","given":"David J."},{"family":"Hayward","given":"Caroline"},{"family":"Yang","given":"Jian"},{"family":"Knight","given":"Julian"},{"family":"Summers","given":"Charlotte"},{"family":"Shankar-Hari","given":"Manu"},{"family":"Klenerman","given":"Paul"},{"family":"Turtle","given":"Lance"},{"family":"Ho","given":"Antonia"},{"family":"Moore","given":"Shona C."},{"family":"Hinds","given":"Charles"},{"family":"Horby","given":"Peter"},{"family":"Nichol","given":"Alistair"},{"family":"Maslove","given":"David"},{"family":"Ling","given":"Lowell"},{"family":"McAuley","given":"Danny"},{"family":"Montgomery","given":"Hugh"},{"family":"Walsh","given":"Timothy"},{"family":"Pereira","given":"Alexandre C."},{"family":"Renieri","given":"Alessandra"},{"literal":"GenOMICC Investigators"},{"literal":"ISARIC4C Investigators"},{"literal":"COVID-19 Human Genetics Initiative"},{"literal":"23andMe Investigators"},{"literal":"BRACOVID Investigators"},{"literal":"Gen-COVID Investigators"},{"family":"Shen","given":"Xia"},{"family":"Ponting","given":"Chris P."},{"family":"Fawkes","given":"Angie"},{"family":"Tenesa","given":"Albert"},{"family":"Caulfield","given":"Mark"},{"family":"Scott","given":"Richard"},{"family":"Rowan","given":"Kathy"},{"family":"Murphy","given":"Lee"},{"family":"Openshaw","given":"Peter J. M."},{"family":"Semple","given":"Malcolm G."},{"family":"Law","given":"Andrew"},{"family":"Vitart","given":"Veronique"},{"family":"Wilson","given":"James F."},{"family":"Baillie","given":"J. Kenneth"}],"issued":{"date-parts":[["2021",3]]}}}],"schema":"https://github.com/citation-style-language/schema/raw/master/csl-citation.json"} </w:instrText>
      </w:r>
      <w:r w:rsidR="00961116">
        <w:rPr>
          <w:rFonts w:ascii="Times New Roman" w:hAnsi="Times New Roman" w:cs="Times New Roman"/>
          <w:color w:val="000000"/>
        </w:rPr>
        <w:fldChar w:fldCharType="separate"/>
      </w:r>
      <w:r w:rsidR="00961116">
        <w:rPr>
          <w:rFonts w:ascii="Times New Roman" w:hAnsi="Times New Roman" w:cs="Times New Roman"/>
          <w:noProof/>
          <w:color w:val="000000"/>
        </w:rPr>
        <w:t>(COVID-19 Host Genetics Initiative, 2021; Pairo-Castineira et al., 2021)</w:t>
      </w:r>
      <w:r w:rsidR="00961116">
        <w:rPr>
          <w:rFonts w:ascii="Times New Roman" w:hAnsi="Times New Roman" w:cs="Times New Roman"/>
          <w:color w:val="000000"/>
        </w:rPr>
        <w:fldChar w:fldCharType="end"/>
      </w:r>
      <w:r w:rsidR="00961116">
        <w:rPr>
          <w:rFonts w:ascii="Times New Roman" w:hAnsi="Times New Roman" w:cs="Times New Roman"/>
          <w:color w:val="000000"/>
        </w:rPr>
        <w:t>.</w:t>
      </w:r>
      <w:r w:rsidRPr="002D58D0">
        <w:rPr>
          <w:rFonts w:ascii="Times New Roman" w:hAnsi="Times New Roman" w:cs="Times New Roman"/>
          <w:color w:val="000000"/>
        </w:rPr>
        <w:t xml:space="preserve"> For each gene, the LFC and nominal P-value from our transcriptomic analysis were extracted and the direction of effect annotated. Genes with nominal p&lt;0.20 in the transcriptomic arm were designated as priority convergent candidates. This strategy, analogous to transcriptome-wide Mendelian </w:t>
      </w:r>
      <w:r w:rsidR="002D58D0" w:rsidRPr="002D58D0">
        <w:rPr>
          <w:rFonts w:ascii="Times New Roman" w:hAnsi="Times New Roman" w:cs="Times New Roman"/>
          <w:color w:val="000000"/>
        </w:rPr>
        <w:t>randomization</w:t>
      </w:r>
      <w:r w:rsidRPr="002D58D0">
        <w:rPr>
          <w:rFonts w:ascii="Times New Roman" w:hAnsi="Times New Roman" w:cs="Times New Roman"/>
          <w:color w:val="000000"/>
        </w:rPr>
        <w:t xml:space="preserve"> but using pre-established GWAS loci rather than instrumental variables, is a </w:t>
      </w:r>
      <w:r w:rsidR="002D58D0" w:rsidRPr="002D58D0">
        <w:rPr>
          <w:rFonts w:ascii="Times New Roman" w:hAnsi="Times New Roman" w:cs="Times New Roman"/>
          <w:color w:val="000000"/>
        </w:rPr>
        <w:t>recognized</w:t>
      </w:r>
      <w:r w:rsidRPr="002D58D0">
        <w:rPr>
          <w:rFonts w:ascii="Times New Roman" w:hAnsi="Times New Roman" w:cs="Times New Roman"/>
          <w:color w:val="000000"/>
        </w:rPr>
        <w:t xml:space="preserve"> approach for hypothesis-generating multi-omic studies in under-powered cohorts </w:t>
      </w:r>
      <w:r w:rsidR="00366C59">
        <w:rPr>
          <w:rFonts w:ascii="Times New Roman" w:hAnsi="Times New Roman" w:cs="Times New Roman"/>
          <w:color w:val="000000"/>
        </w:rPr>
        <w:fldChar w:fldCharType="begin"/>
      </w:r>
      <w:r w:rsidR="00366C59">
        <w:rPr>
          <w:rFonts w:ascii="Times New Roman" w:hAnsi="Times New Roman" w:cs="Times New Roman"/>
          <w:color w:val="000000"/>
        </w:rPr>
        <w:instrText xml:space="preserve"> ADDIN ZOTERO_ITEM CSL_CITATION {"citationID":"AVNUMZ2r","properties":{"unsorted":false,"formattedCitation":"(Pinero et al., 2025)","plainCitation":"(Pinero et al., 2025)","noteIndex":0},"citationItems":[{"id":2681,"uris":["http://zotero.org/users/12279291/items/VRSDT9WP"],"itemData":{"id":2681,"type":"article-journal","abstract":"Long COVID, or Post-Acute Sequelae of SARS-CoV-2 infection (PASC), affects an estimated 10–20% of COVID-19 patients and presents persistent multisystemic symptoms. Although demographic and clinical factors, such as age, sex, and comorbidities, contribute to risk, the genetic mechanisms underlying this risk remain poorly defined. To address this gap, we developed a multi-omics framework that integrates Transcriptome-Wide Mendelian Randomization (TWMR), Control Theory (CT), Expression Quantitative Trait Loci (eQTL), Genome-Wide Association Studies (GWAS), RNA sequencing (RNA-seq), and Protein-Protein Interaction (PPI) network to identify putative causal genes and network drivers in Long COVID. Our approach prioritized 32 candidate genes, including 19 previously reported and 13 novel, with roles in the SARS-CoV-2 response, viral carcinogenesis, immune regulation, and cell cycle control. Enrichment analyses revealed a shared genetic architecture in syndromic, metabolic, autoimmune, and connective tissue disorders. Using causal gene expression profiles, we identified three distinct symptom-based subtypes of Long COVID, providing information on the heterogeneity of disease mechanisms and clinical presentation. Finally, we developed an open-source Shiny application for interactive exploration of these findings. Together, this integrative framework highlights novel causal mechanisms and therapeutic targets, advancing precision medicine strategies for Long COVID.","container-title":"PLOS Computational Biology","DOI":"10.1371/journal.pcbi.1013725","ISSN":"1553-7358","issue":"12","journalAbbreviation":"PLOS Computational Biology","language":"en","page":"e1013725","publisher":"Public Library of Science","source":"PLoS Journals","title":"Integrative multi-omics framework for causal gene discovery in Long COVID","volume":"21","author":[{"family":"Pinero","given":"Sindy"},{"family":"Li","given":"Xiaomei"},{"family":"Liu","given":"Lin"},{"family":"Li","given":"Jiuyong"},{"family":"Lee","given":"Sang Hong"},{"family":"Winter","given":"Marnie"},{"family":"Nguyen","given":"Thin"},{"family":"Zhang","given":"Junpeng"},{"family":"Le","given":"Thuc Duy"}],"issued":{"date-parts":[["2025",12,1]]}}}],"schema":"https://github.com/citation-style-language/schema/raw/master/csl-citation.json"} </w:instrText>
      </w:r>
      <w:r w:rsidR="00366C59">
        <w:rPr>
          <w:rFonts w:ascii="Times New Roman" w:hAnsi="Times New Roman" w:cs="Times New Roman"/>
          <w:color w:val="000000"/>
        </w:rPr>
        <w:fldChar w:fldCharType="separate"/>
      </w:r>
      <w:r w:rsidR="00366C59">
        <w:rPr>
          <w:rFonts w:ascii="Times New Roman" w:hAnsi="Times New Roman" w:cs="Times New Roman"/>
          <w:noProof/>
          <w:color w:val="000000"/>
        </w:rPr>
        <w:t>(Pinero et al., 2025)</w:t>
      </w:r>
      <w:r w:rsidR="00366C59">
        <w:rPr>
          <w:rFonts w:ascii="Times New Roman" w:hAnsi="Times New Roman" w:cs="Times New Roman"/>
          <w:color w:val="000000"/>
        </w:rPr>
        <w:fldChar w:fldCharType="end"/>
      </w:r>
      <w:r w:rsidRPr="002D58D0">
        <w:rPr>
          <w:rFonts w:ascii="Times New Roman" w:hAnsi="Times New Roman" w:cs="Times New Roman"/>
          <w:color w:val="000000"/>
        </w:rPr>
        <w:t>.</w:t>
      </w:r>
    </w:p>
    <w:p w14:paraId="1EAB9646" w14:textId="77777777" w:rsidR="007133EC" w:rsidRPr="002D58D0" w:rsidRDefault="003A521C" w:rsidP="00ED5B59">
      <w:pPr>
        <w:pStyle w:val="Heading2"/>
        <w:spacing w:line="312" w:lineRule="auto"/>
        <w:rPr>
          <w:rFonts w:ascii="Times New Roman" w:hAnsi="Times New Roman" w:cs="Times New Roman"/>
        </w:rPr>
      </w:pPr>
      <w:r w:rsidRPr="002D58D0">
        <w:rPr>
          <w:rFonts w:ascii="Times New Roman" w:hAnsi="Times New Roman" w:cs="Times New Roman"/>
        </w:rPr>
        <w:t>2.6 Statistical Analysis and Reproducibility</w:t>
      </w:r>
    </w:p>
    <w:p w14:paraId="37B0CF46" w14:textId="77777777"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color w:val="000000"/>
        </w:rPr>
        <w:t>All analyses were conducted in R (v4.3.2) with Bioconductor (v3.18). Code and analytical parameters are fully documented and available upon request. GWAS data were obtained from public repositories with no patient-level data accessed. Transcriptomic data were obtained from GEO under open-access terms (GSE224615). No additional ethical approval was required for this secondary analysis of publicly available data.</w:t>
      </w:r>
    </w:p>
    <w:p w14:paraId="150C9416" w14:textId="77777777" w:rsidR="007133EC" w:rsidRPr="002D58D0" w:rsidRDefault="003A521C" w:rsidP="00ED5B59">
      <w:pPr>
        <w:spacing w:line="312" w:lineRule="auto"/>
        <w:rPr>
          <w:rFonts w:ascii="Times New Roman" w:hAnsi="Times New Roman" w:cs="Times New Roman"/>
        </w:rPr>
      </w:pPr>
      <w:r w:rsidRPr="002D58D0">
        <w:rPr>
          <w:rFonts w:ascii="Times New Roman" w:hAnsi="Times New Roman" w:cs="Times New Roman"/>
        </w:rPr>
        <w:br/>
      </w:r>
      <w:r w:rsidRPr="002D58D0">
        <w:rPr>
          <w:rFonts w:ascii="Times New Roman" w:hAnsi="Times New Roman" w:cs="Times New Roman"/>
        </w:rPr>
        <w:br w:type="page"/>
      </w:r>
    </w:p>
    <w:p w14:paraId="1E99D9CD" w14:textId="77777777" w:rsidR="007133EC" w:rsidRPr="002D58D0" w:rsidRDefault="003A521C" w:rsidP="00ED5B59">
      <w:pPr>
        <w:pStyle w:val="Heading1"/>
        <w:spacing w:line="312" w:lineRule="auto"/>
        <w:rPr>
          <w:rFonts w:ascii="Times New Roman" w:hAnsi="Times New Roman" w:cs="Times New Roman"/>
        </w:rPr>
      </w:pPr>
      <w:r w:rsidRPr="002D58D0">
        <w:rPr>
          <w:rFonts w:ascii="Times New Roman" w:hAnsi="Times New Roman" w:cs="Times New Roman"/>
        </w:rPr>
        <w:lastRenderedPageBreak/>
        <w:t>3. Results</w:t>
      </w:r>
    </w:p>
    <w:p w14:paraId="0F453DBB" w14:textId="77777777" w:rsidR="007133EC" w:rsidRPr="002D58D0" w:rsidRDefault="003A521C" w:rsidP="00ED5B59">
      <w:pPr>
        <w:pStyle w:val="Heading2"/>
        <w:spacing w:line="312" w:lineRule="auto"/>
        <w:rPr>
          <w:rFonts w:ascii="Times New Roman" w:hAnsi="Times New Roman" w:cs="Times New Roman"/>
        </w:rPr>
      </w:pPr>
      <w:r w:rsidRPr="002D58D0">
        <w:rPr>
          <w:rFonts w:ascii="Times New Roman" w:hAnsi="Times New Roman" w:cs="Times New Roman"/>
        </w:rPr>
        <w:t>3.1 GWAS Quality Control and Landscape</w:t>
      </w:r>
    </w:p>
    <w:p w14:paraId="6E5DE182" w14:textId="77777777" w:rsidR="007133EC" w:rsidRDefault="003A521C" w:rsidP="00ED5B59">
      <w:pPr>
        <w:spacing w:after="160" w:line="312" w:lineRule="auto"/>
        <w:jc w:val="both"/>
        <w:rPr>
          <w:rFonts w:ascii="Times New Roman" w:hAnsi="Times New Roman" w:cs="Times New Roman"/>
          <w:color w:val="000000"/>
        </w:rPr>
      </w:pPr>
      <w:r w:rsidRPr="002D58D0">
        <w:rPr>
          <w:rFonts w:ascii="Times New Roman" w:hAnsi="Times New Roman" w:cs="Times New Roman"/>
          <w:color w:val="000000"/>
        </w:rPr>
        <w:t xml:space="preserve">Following QC filtering, 9,474,615 SNPs were retained from an initial 9,753,825 (97.2% retention; 279,210 SNPs removed). The primary exclusions were SNPs with MAF &lt;1% (n=256,847) and duplicate positions (n=22,363). The genomic inflation factor was </w:t>
      </w:r>
      <w:proofErr w:type="spellStart"/>
      <w:r w:rsidRPr="002D58D0">
        <w:rPr>
          <w:rFonts w:ascii="Times New Roman" w:hAnsi="Times New Roman" w:cs="Times New Roman"/>
          <w:color w:val="000000"/>
        </w:rPr>
        <w:t>λGC</w:t>
      </w:r>
      <w:proofErr w:type="spellEnd"/>
      <w:r w:rsidRPr="002D58D0">
        <w:rPr>
          <w:rFonts w:ascii="Times New Roman" w:hAnsi="Times New Roman" w:cs="Times New Roman"/>
          <w:color w:val="000000"/>
        </w:rPr>
        <w:t>=0.914, indicating no evidence of population stratification or systematic test statistic inflation — a reassuring finding for a complex trait GWAS conducted across multiple cohorts and ancestries (Figure 1B).</w:t>
      </w:r>
    </w:p>
    <w:p w14:paraId="22BD8DBD" w14:textId="77777777" w:rsidR="00EE0B48" w:rsidRDefault="002D58D0" w:rsidP="00ED5B59">
      <w:pPr>
        <w:keepNext/>
        <w:spacing w:after="160" w:line="312" w:lineRule="auto"/>
        <w:jc w:val="both"/>
      </w:pPr>
      <w:r>
        <w:rPr>
          <w:rFonts w:ascii="Times New Roman" w:hAnsi="Times New Roman" w:cs="Times New Roman"/>
          <w:noProof/>
        </w:rPr>
        <w:drawing>
          <wp:inline distT="0" distB="0" distL="0" distR="0" wp14:anchorId="3FF73576" wp14:editId="3CD393BD">
            <wp:extent cx="6400800" cy="2908300"/>
            <wp:effectExtent l="0" t="0" r="0" b="0"/>
            <wp:docPr id="647857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57378"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2908300"/>
                    </a:xfrm>
                    <a:prstGeom prst="rect">
                      <a:avLst/>
                    </a:prstGeom>
                  </pic:spPr>
                </pic:pic>
              </a:graphicData>
            </a:graphic>
          </wp:inline>
        </w:drawing>
      </w:r>
    </w:p>
    <w:p w14:paraId="42B7221F" w14:textId="664FE2E6" w:rsidR="002D58D0" w:rsidRPr="002D58D0" w:rsidRDefault="00EE0B48" w:rsidP="00ED5B59">
      <w:pPr>
        <w:pStyle w:val="Caption"/>
        <w:spacing w:line="312" w:lineRule="auto"/>
        <w:jc w:val="both"/>
        <w:rPr>
          <w:rFonts w:ascii="Times New Roman" w:hAnsi="Times New Roman" w:cs="Times New Roman"/>
        </w:rPr>
      </w:pPr>
      <w:r>
        <w:t xml:space="preserve">Figure </w:t>
      </w:r>
      <w:r w:rsidR="003A521C">
        <w:fldChar w:fldCharType="begin"/>
      </w:r>
      <w:r w:rsidR="003A521C">
        <w:instrText xml:space="preserve"> SEQ Figure \* ARABIC </w:instrText>
      </w:r>
      <w:r w:rsidR="003A521C">
        <w:fldChar w:fldCharType="separate"/>
      </w:r>
      <w:r>
        <w:rPr>
          <w:noProof/>
        </w:rPr>
        <w:t>1</w:t>
      </w:r>
      <w:r w:rsidR="003A521C">
        <w:rPr>
          <w:noProof/>
        </w:rPr>
        <w:fldChar w:fldCharType="end"/>
      </w:r>
      <w:r>
        <w:t>A</w:t>
      </w:r>
    </w:p>
    <w:p w14:paraId="7C823AE4" w14:textId="77777777" w:rsidR="00EE0B48" w:rsidRDefault="00EE0B48" w:rsidP="00ED5B59">
      <w:pPr>
        <w:keepNext/>
        <w:spacing w:after="160" w:line="312" w:lineRule="auto"/>
        <w:jc w:val="both"/>
      </w:pPr>
      <w:r>
        <w:rPr>
          <w:rFonts w:ascii="Times New Roman" w:hAnsi="Times New Roman" w:cs="Times New Roman"/>
          <w:noProof/>
          <w:color w:val="000000"/>
        </w:rPr>
        <w:lastRenderedPageBreak/>
        <w:drawing>
          <wp:inline distT="0" distB="0" distL="0" distR="0" wp14:anchorId="32704F7C" wp14:editId="537EFB07">
            <wp:extent cx="5486400" cy="5486400"/>
            <wp:effectExtent l="0" t="0" r="0" b="0"/>
            <wp:docPr id="2063181323" name="Picture 2"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81323" name="Picture 2" descr="A graph with a red li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6F7E9670" w14:textId="63F33BB5" w:rsidR="00EE0B48" w:rsidRDefault="00EE0B48" w:rsidP="00ED5B59">
      <w:pPr>
        <w:pStyle w:val="Caption"/>
        <w:spacing w:line="312" w:lineRule="auto"/>
        <w:jc w:val="both"/>
        <w:rPr>
          <w:rFonts w:ascii="Times New Roman" w:hAnsi="Times New Roman" w:cs="Times New Roman"/>
          <w:color w:val="000000"/>
        </w:rPr>
      </w:pPr>
      <w:r>
        <w:t>Figure 1B</w:t>
      </w:r>
    </w:p>
    <w:p w14:paraId="5CD22072" w14:textId="4AA0D00D" w:rsidR="00EE0B48" w:rsidRPr="00EE0B48" w:rsidRDefault="00EE0B48" w:rsidP="00ED5B59">
      <w:pPr>
        <w:spacing w:after="160" w:line="312" w:lineRule="auto"/>
        <w:jc w:val="both"/>
        <w:rPr>
          <w:rFonts w:ascii="Times New Roman" w:hAnsi="Times New Roman" w:cs="Times New Roman"/>
        </w:rPr>
      </w:pPr>
      <w:r w:rsidRPr="002D58D0">
        <w:rPr>
          <w:rFonts w:ascii="Times New Roman" w:hAnsi="Times New Roman" w:cs="Times New Roman"/>
          <w:b/>
          <w:bCs/>
          <w:color w:val="000000"/>
        </w:rPr>
        <w:t xml:space="preserve">Figure 1. </w:t>
      </w:r>
      <w:r w:rsidRPr="00EE0B48">
        <w:rPr>
          <w:rFonts w:ascii="Times New Roman" w:hAnsi="Times New Roman" w:cs="Times New Roman"/>
          <w:b/>
          <w:bCs/>
          <w:color w:val="000000"/>
        </w:rPr>
        <w:t>Long COVID GWAS quality control and genome-wide association landscape.</w:t>
      </w:r>
      <w:r w:rsidRPr="002D58D0">
        <w:rPr>
          <w:rFonts w:ascii="Times New Roman" w:hAnsi="Times New Roman" w:cs="Times New Roman"/>
          <w:color w:val="000000"/>
        </w:rPr>
        <w:t xml:space="preserve"> </w:t>
      </w:r>
      <w:r w:rsidRPr="00EE0B48">
        <w:rPr>
          <w:rFonts w:ascii="Times New Roman" w:hAnsi="Times New Roman" w:cs="Times New Roman"/>
          <w:b/>
          <w:bCs/>
          <w:color w:val="000000"/>
        </w:rPr>
        <w:t>(A)</w:t>
      </w:r>
      <w:r w:rsidRPr="002D58D0">
        <w:rPr>
          <w:rFonts w:ascii="Times New Roman" w:hAnsi="Times New Roman" w:cs="Times New Roman"/>
          <w:color w:val="000000"/>
        </w:rPr>
        <w:t xml:space="preserve"> Manhattan plot of Long COVID GWAS meta-analysis (Long COVID HGI DF4 W1; strict case definition vs population controls). The x-axis shows chromosomal position and the y-axis shows −log10(P). Red dots indicate suggestive associations (P&lt;1×10⁻⁵). The horizontal dashed red line marks the genome-wide significance threshold (P=5×10⁻⁸); the dotted blue line marks the suggestive threshold (P=1×10⁻⁵). </w:t>
      </w:r>
      <w:r w:rsidRPr="00EE0B48">
        <w:rPr>
          <w:rFonts w:ascii="Times New Roman" w:hAnsi="Times New Roman" w:cs="Times New Roman"/>
          <w:b/>
          <w:bCs/>
          <w:color w:val="000000"/>
        </w:rPr>
        <w:t>(B)</w:t>
      </w:r>
      <w:r w:rsidRPr="002D58D0">
        <w:rPr>
          <w:rFonts w:ascii="Times New Roman" w:hAnsi="Times New Roman" w:cs="Times New Roman"/>
          <w:color w:val="000000"/>
        </w:rPr>
        <w:t xml:space="preserve"> Quantile-quantile (QQ) plot of observed vs expected −log10(P) values. The shaded band indicates the 95% confidence interval. The genomic inflation factor </w:t>
      </w:r>
      <w:proofErr w:type="spellStart"/>
      <w:r w:rsidRPr="002D58D0">
        <w:rPr>
          <w:rFonts w:ascii="Times New Roman" w:hAnsi="Times New Roman" w:cs="Times New Roman"/>
          <w:color w:val="000000"/>
        </w:rPr>
        <w:t>λGC</w:t>
      </w:r>
      <w:proofErr w:type="spellEnd"/>
      <w:r w:rsidRPr="002D58D0">
        <w:rPr>
          <w:rFonts w:ascii="Times New Roman" w:hAnsi="Times New Roman" w:cs="Times New Roman"/>
          <w:color w:val="000000"/>
        </w:rPr>
        <w:t>=0.914 is annotated, indicating no evidence of test statistic inflation.</w:t>
      </w:r>
    </w:p>
    <w:p w14:paraId="22A1295F" w14:textId="65F0AAB7"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color w:val="000000"/>
        </w:rPr>
        <w:lastRenderedPageBreak/>
        <w:t>The Manhattan plot revealed a broadly distributed pattern of association signals across all 22 autosomes, consistent with the expected polygenic architecture of a post-infectious immunological phenotype (Figure 1A). Thirty SNPs reached the suggestive significance threshold (P&lt;1×10⁻⁵), of which distance-based clumping identified 16 independent loci. The lead suggestive variant was rs62216315 on chromosome 20 (P=6.86×10⁻⁷, β=−0.656, MAF=0.028), mapping to the DOK5 locus. The second most significant locus was rs74400537 on chromosome 5 (P=7.28×10⁻⁷, β=+0.219, MAF=0.072), proximal to the DROSHA gene encoding a key microRNA biogenesis enzyme with established roles in immune regulation. A third notable locus at chromosome 6 (rs141945281; P=8.00×10⁻⁷) mapped near the JARID2 gene, a Polycomb complex component involved in epigenetic regulation of immune gene expression. These loci did not reach conventional genome-wide significance (P&lt;5×10⁻⁸), consistent with the reduced statistical power of this earlier data freeze (n≈3,000 Long COVID cases) relative to the final published dataset (n=15,950 cases) in which FOXP4 achieved genome-wide significance.</w:t>
      </w:r>
    </w:p>
    <w:p w14:paraId="1BBCDFC8" w14:textId="77777777" w:rsidR="007133EC" w:rsidRPr="002D58D0" w:rsidRDefault="003A521C" w:rsidP="00ED5B59">
      <w:pPr>
        <w:pStyle w:val="Heading2"/>
        <w:spacing w:line="312" w:lineRule="auto"/>
        <w:rPr>
          <w:rFonts w:ascii="Times New Roman" w:hAnsi="Times New Roman" w:cs="Times New Roman"/>
        </w:rPr>
      </w:pPr>
      <w:r w:rsidRPr="002D58D0">
        <w:rPr>
          <w:rFonts w:ascii="Times New Roman" w:hAnsi="Times New Roman" w:cs="Times New Roman"/>
        </w:rPr>
        <w:t>3.2 PBMC Transcriptomic Landscape in Long COVID</w:t>
      </w:r>
    </w:p>
    <w:p w14:paraId="37E1ACF6" w14:textId="77777777"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color w:val="000000"/>
        </w:rPr>
        <w:t>Differential expression analysis of the GSE224615 dataset identified 72 genes meeting the exploratory significance threshold (nominal p&lt;0.05, |LFC|&gt;1) from 18,708 genes tested (Figure 2). Of these, 52 were upregulated and 20 were downregulated in Long COVID relative to recovered controls.</w:t>
      </w:r>
    </w:p>
    <w:p w14:paraId="06097A32" w14:textId="30C8B8D5" w:rsidR="00ED5B59" w:rsidRDefault="00ED5B59" w:rsidP="00ED5B59">
      <w:pPr>
        <w:spacing w:after="160" w:line="312" w:lineRule="auto"/>
        <w:jc w:val="both"/>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1F6792CE" wp14:editId="370F6DE9">
            <wp:extent cx="6400800" cy="5120640"/>
            <wp:effectExtent l="0" t="0" r="0" b="0"/>
            <wp:docPr id="2022620968" name="Picture 3"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20968" name="Picture 3" descr="A graph of a diagram&#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5120640"/>
                    </a:xfrm>
                    <a:prstGeom prst="rect">
                      <a:avLst/>
                    </a:prstGeom>
                  </pic:spPr>
                </pic:pic>
              </a:graphicData>
            </a:graphic>
          </wp:inline>
        </w:drawing>
      </w:r>
    </w:p>
    <w:p w14:paraId="2701994C" w14:textId="7D1726A6" w:rsidR="00ED5B59" w:rsidRPr="00ED5B59" w:rsidRDefault="00ED5B59" w:rsidP="00ED5B59">
      <w:pPr>
        <w:spacing w:after="160" w:line="312" w:lineRule="auto"/>
        <w:jc w:val="both"/>
        <w:rPr>
          <w:rFonts w:ascii="Times New Roman" w:hAnsi="Times New Roman" w:cs="Times New Roman"/>
        </w:rPr>
      </w:pPr>
      <w:r w:rsidRPr="002D58D0">
        <w:rPr>
          <w:rFonts w:ascii="Times New Roman" w:hAnsi="Times New Roman" w:cs="Times New Roman"/>
          <w:b/>
          <w:bCs/>
          <w:color w:val="000000"/>
        </w:rPr>
        <w:t xml:space="preserve">Figure 2. </w:t>
      </w:r>
      <w:r w:rsidRPr="00ED5B59">
        <w:rPr>
          <w:rFonts w:ascii="Times New Roman" w:hAnsi="Times New Roman" w:cs="Times New Roman"/>
          <w:b/>
          <w:bCs/>
          <w:color w:val="000000"/>
        </w:rPr>
        <w:t>Volcano plot of differential gene expression in Long COVID vs non-Long COVID PBMCs.</w:t>
      </w:r>
      <w:r w:rsidRPr="002D58D0">
        <w:rPr>
          <w:rFonts w:ascii="Times New Roman" w:hAnsi="Times New Roman" w:cs="Times New Roman"/>
          <w:color w:val="000000"/>
        </w:rPr>
        <w:t xml:space="preserve"> </w:t>
      </w:r>
      <w:r w:rsidRPr="00ED5B59">
        <w:rPr>
          <w:rFonts w:ascii="Times New Roman" w:hAnsi="Times New Roman" w:cs="Times New Roman"/>
          <w:color w:val="000000"/>
          <w:sz w:val="22"/>
          <w:szCs w:val="22"/>
        </w:rPr>
        <w:t>The x-axis shows log2 fold change and the y-axis shows −log10(nominal P-value). Red dots indicate genes meeting the significance threshold (p&lt;0.05, |LFC|&gt;1). Key upregulated genes (ALAS2, HBB, HBA1, OR7D2) and downregulated genes (IGHG2, IGHG4, IGLV10-54, HLA-V, AL450405.1) are labelled. Dataset: GSE224615; 23 Long COVID vs 13 non-Long COVID; total PBMC.</w:t>
      </w:r>
    </w:p>
    <w:p w14:paraId="426FC81D" w14:textId="77777777" w:rsidR="00ED5B59" w:rsidRDefault="00ED5B59" w:rsidP="00ED5B59">
      <w:pPr>
        <w:spacing w:after="160" w:line="312" w:lineRule="auto"/>
        <w:jc w:val="both"/>
        <w:rPr>
          <w:rFonts w:ascii="Times New Roman" w:hAnsi="Times New Roman" w:cs="Times New Roman"/>
          <w:color w:val="000000"/>
        </w:rPr>
      </w:pPr>
    </w:p>
    <w:p w14:paraId="67B520C6" w14:textId="36E676FE"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color w:val="000000"/>
        </w:rPr>
        <w:t>The most strongly upregulated genes included erythroid-lineage transcripts: ALAS2 (LFC=+2.58, p=5.10×10⁻⁶), HBB (LFC=+2.02, p=7.63×10⁻⁵), HBA1 (LFC=+1.91, p=7.06×10⁻⁴), HBA2 (LFC=+1.64, p=1.13×10⁻³), and the red blood cell-related enzyme carbonic anhydrase 1 (CA1; LFC=+1.93, p=5.13×10⁻⁴) and anion exchanger SLC4A1 (LFC=+1.92, p=8.81×10⁻⁴). OR7D2, an olfactory receptor gene (LFC=+3.63, p=4.90×10⁻⁶), was the highest-LFC upregulated transcript — a finding of potential interest given the anosmia phenotype characteristic of COVID-19 and Long COVID.</w:t>
      </w:r>
    </w:p>
    <w:p w14:paraId="2AB729BE" w14:textId="77777777"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color w:val="000000"/>
        </w:rPr>
        <w:lastRenderedPageBreak/>
        <w:t>Among downregulated genes, immunoglobulin heavy chain transcripts IGHG2 (LFC=−1.41, p=2.02×10⁻⁴) and IGHG4 (LFC=−1.48, p=2.95×10⁻⁴), and immunoglobulin lambda chain IGLV10-54 (LFC=−2.18, p=1.08×10⁻⁴), indicated suppressed humoral immune effector function in Long COVID PBMCs. Downregulation of HLA-V (LFC=−2.02, p=1.46×10⁻²) suggested impaired antigen presentation capacity, consistent with the broader immune evasion hypothesis of Long COVID pathogenesis.</w:t>
      </w:r>
    </w:p>
    <w:p w14:paraId="4FC92162" w14:textId="77777777" w:rsidR="007133EC" w:rsidRPr="002D58D0" w:rsidRDefault="003A521C" w:rsidP="00ED5B59">
      <w:pPr>
        <w:pStyle w:val="Heading2"/>
        <w:spacing w:line="312" w:lineRule="auto"/>
        <w:rPr>
          <w:rFonts w:ascii="Times New Roman" w:hAnsi="Times New Roman" w:cs="Times New Roman"/>
        </w:rPr>
      </w:pPr>
      <w:r w:rsidRPr="002D58D0">
        <w:rPr>
          <w:rFonts w:ascii="Times New Roman" w:hAnsi="Times New Roman" w:cs="Times New Roman"/>
        </w:rPr>
        <w:t>3.3 Pathway Enrichment Reveals Complement and Humoral Immune Dysregulation</w:t>
      </w:r>
    </w:p>
    <w:p w14:paraId="721291C1" w14:textId="77777777" w:rsidR="007133EC" w:rsidRDefault="003A521C" w:rsidP="00ED5B59">
      <w:pPr>
        <w:spacing w:after="160" w:line="312" w:lineRule="auto"/>
        <w:jc w:val="both"/>
        <w:rPr>
          <w:rFonts w:ascii="Times New Roman" w:hAnsi="Times New Roman" w:cs="Times New Roman"/>
          <w:color w:val="000000"/>
        </w:rPr>
      </w:pPr>
      <w:r w:rsidRPr="002D58D0">
        <w:rPr>
          <w:rFonts w:ascii="Times New Roman" w:hAnsi="Times New Roman" w:cs="Times New Roman"/>
          <w:color w:val="000000"/>
        </w:rPr>
        <w:t>GO-BP enrichment of the 63 mapped DEGs identified 27 significant biological process terms (BH-adjusted p&lt;0.05; Figure 3). Terms clustered into three biologically coherent groups. The first and most significantly enriched cluster comprised oxidative stress and detoxification pathways — one-carbon compound transport, cellular oxidant detoxification, cellular detoxification, and response to toxic substance — driven predominantly by the upregulated erythroid gene set (ALAS2, HBB, HBA1, CA1). The second cluster encompassed gas exchange and oxygen transport terms (oxygen transport, gas transport, carbon dioxide transport, hydrogen peroxide metabolic process), reflecting the same erythroid signature.</w:t>
      </w:r>
    </w:p>
    <w:p w14:paraId="64F914A4" w14:textId="1C4516AA" w:rsidR="00ED5B59" w:rsidRPr="002D58D0" w:rsidRDefault="00ED5B59" w:rsidP="00ED5B59">
      <w:pPr>
        <w:spacing w:after="160" w:line="312"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218342EA" wp14:editId="37A1037C">
            <wp:extent cx="5628640" cy="4813300"/>
            <wp:effectExtent l="0" t="0" r="0" b="0"/>
            <wp:docPr id="545009450" name="Picture 4"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09450" name="Picture 4" descr="A screen shot of a grap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33987" cy="4817872"/>
                    </a:xfrm>
                    <a:prstGeom prst="rect">
                      <a:avLst/>
                    </a:prstGeom>
                  </pic:spPr>
                </pic:pic>
              </a:graphicData>
            </a:graphic>
          </wp:inline>
        </w:drawing>
      </w:r>
    </w:p>
    <w:p w14:paraId="753DE76E" w14:textId="77777777" w:rsidR="00ED5B59" w:rsidRPr="002D58D0" w:rsidRDefault="00ED5B59" w:rsidP="00ED5B59">
      <w:pPr>
        <w:spacing w:after="160" w:line="312" w:lineRule="auto"/>
        <w:jc w:val="both"/>
        <w:rPr>
          <w:rFonts w:ascii="Times New Roman" w:hAnsi="Times New Roman" w:cs="Times New Roman"/>
        </w:rPr>
      </w:pPr>
      <w:r w:rsidRPr="002D58D0">
        <w:rPr>
          <w:rFonts w:ascii="Times New Roman" w:hAnsi="Times New Roman" w:cs="Times New Roman"/>
          <w:b/>
          <w:bCs/>
          <w:color w:val="000000"/>
        </w:rPr>
        <w:t xml:space="preserve">Figure 3. </w:t>
      </w:r>
      <w:r w:rsidRPr="00ED5B59">
        <w:rPr>
          <w:rFonts w:ascii="Times New Roman" w:hAnsi="Times New Roman" w:cs="Times New Roman"/>
          <w:b/>
          <w:bCs/>
          <w:color w:val="000000"/>
        </w:rPr>
        <w:t xml:space="preserve">Gene Ontology Biological Process (GO-BP) enrichment </w:t>
      </w:r>
      <w:proofErr w:type="spellStart"/>
      <w:r w:rsidRPr="00ED5B59">
        <w:rPr>
          <w:rFonts w:ascii="Times New Roman" w:hAnsi="Times New Roman" w:cs="Times New Roman"/>
          <w:b/>
          <w:bCs/>
          <w:color w:val="000000"/>
        </w:rPr>
        <w:t>dotplot</w:t>
      </w:r>
      <w:proofErr w:type="spellEnd"/>
      <w:r w:rsidRPr="00ED5B59">
        <w:rPr>
          <w:rFonts w:ascii="Times New Roman" w:hAnsi="Times New Roman" w:cs="Times New Roman"/>
          <w:b/>
          <w:bCs/>
          <w:color w:val="000000"/>
        </w:rPr>
        <w:t>.</w:t>
      </w:r>
      <w:r w:rsidRPr="002D58D0">
        <w:rPr>
          <w:rFonts w:ascii="Times New Roman" w:hAnsi="Times New Roman" w:cs="Times New Roman"/>
          <w:color w:val="000000"/>
        </w:rPr>
        <w:t xml:space="preserve"> The 20 most significantly enriched GO-BP terms among Long COVID PBMC DEGs are shown. Dot size represents gene count within each term; </w:t>
      </w:r>
      <w:proofErr w:type="spellStart"/>
      <w:r w:rsidRPr="002D58D0">
        <w:rPr>
          <w:rFonts w:ascii="Times New Roman" w:hAnsi="Times New Roman" w:cs="Times New Roman"/>
          <w:color w:val="000000"/>
        </w:rPr>
        <w:t>colour</w:t>
      </w:r>
      <w:proofErr w:type="spellEnd"/>
      <w:r w:rsidRPr="002D58D0">
        <w:rPr>
          <w:rFonts w:ascii="Times New Roman" w:hAnsi="Times New Roman" w:cs="Times New Roman"/>
          <w:color w:val="000000"/>
        </w:rPr>
        <w:t xml:space="preserve"> indicates BH-adjusted P-value (deeper red = more significant). Three biological clusters are evident: oxidant detoxification (top), oxygen/gas transport (middle), and humoral immune response/complement activation (bottom).</w:t>
      </w:r>
    </w:p>
    <w:p w14:paraId="58E21B4B" w14:textId="77777777" w:rsidR="00ED5B59" w:rsidRDefault="00ED5B59" w:rsidP="00ED5B59">
      <w:pPr>
        <w:spacing w:after="160" w:line="312" w:lineRule="auto"/>
        <w:jc w:val="both"/>
        <w:rPr>
          <w:rFonts w:ascii="Times New Roman" w:hAnsi="Times New Roman" w:cs="Times New Roman"/>
          <w:color w:val="000000"/>
        </w:rPr>
      </w:pPr>
    </w:p>
    <w:p w14:paraId="4D6E7B32" w14:textId="54AD6C68"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color w:val="000000"/>
        </w:rPr>
        <w:t>The third and most immunologically relevant cluster included complement activation (classical pathway), humoral immune response mediated by circulating immunoglobulin, complement activation, and antibacterial humoral response. These terms were driven by the downregulated immunoglobulin transcripts (IGHG2, IGHG4, IGLV10-54) and are directly concordant with published reports of complement dysregulation and impaired humoral immunity in active Long COVID</w:t>
      </w:r>
      <w:r w:rsidR="0081482F">
        <w:rPr>
          <w:rFonts w:ascii="Times New Roman" w:hAnsi="Times New Roman" w:cs="Times New Roman"/>
          <w:color w:val="000000"/>
        </w:rPr>
        <w:fldChar w:fldCharType="begin"/>
      </w:r>
      <w:r w:rsidR="0081482F">
        <w:rPr>
          <w:rFonts w:ascii="Times New Roman" w:hAnsi="Times New Roman" w:cs="Times New Roman"/>
          <w:color w:val="000000"/>
        </w:rPr>
        <w:instrText xml:space="preserve"> ADDIN ZOTERO_ITEM CSL_CITATION {"citationID":"HyzCIjgj","properties":{"unsorted":false,"formattedCitation":"(Cervia-Hasler et al., 2024)","plainCitation":"(Cervia-Hasler et al., 2024)","noteIndex":0},"citationItems":[{"id":2659,"uris":["http://zotero.org/users/12279291/items/V38IIBA9"],"itemData":{"id":2659,"type":"article-journal","abstract":"Long Covid is a debilitating condition of unknown etiology. We performed multimodal proteomics analyses of blood serum from COVID-19 patients followed up to 12 months after confirmed severe acute respiratory syndrome coronavirus 2 infection. Analysis of &gt;6500 proteins in 268 longitudinal samples revealed dysregulated activation of the complement system, an innate immune protection and homeostasis mechanism, in individuals experiencing Long Covid. Thus, active Long Covid was characterized by terminal complement system dysregulation and ongoing activation of the alternative and classical complement pathways, the latter associated with increased antibody titers against several herpesviruses possibly stimulating this pathway. Moreover, markers of hemolysis, tissue injury, platelet activation, and monocyte-platelet aggregates were increased in Long Covid. Machine learning confirmed complement and thromboinflammatory proteins as top biomarkers, warranting diagnostic and therapeutic interrogation of these systems.","container-title":"Science","DOI":"10.1126/science.adg7942","ISSN":"1095-9203","issue":"6680","journalAbbreviation":"Science","language":"eng","page":"eadg7942","PMID":"38236961","publisher-place":"New York, N.Y.","source":"PubMed","title":"Persistent complement dysregulation with signs of thromboinflammation in active Long Covid","volume":"383","author":[{"family":"Cervia-Hasler","given":"Carlo"},{"family":"Brüningk","given":"Sarah C."},{"family":"Hoch","given":"Tobias"},{"family":"Fan","given":"Bowen"},{"family":"Muzio","given":"Giulia"},{"family":"Thompson","given":"Ryan C."},{"family":"Ceglarek","given":"Laura"},{"family":"Meledin","given":"Roman"},{"family":"Westermann","given":"Patrick"},{"family":"Emmenegger","given":"Marc"},{"family":"Taeschler","given":"Patrick"},{"family":"Zurbuchen","given":"Yves"},{"family":"Pons","given":"Michele"},{"family":"Menges","given":"Dominik"},{"family":"Ballouz","given":"Tala"},{"family":"Cervia-Hasler","given":"Sara"},{"family":"Adamo","given":"Sarah"},{"family":"Merad","given":"Miriam"},{"family":"Charney","given":"Alexander W."},{"family":"Puhan","given":"Milo"},{"family":"Brodin","given":"Petter"},{"family":"Nilsson","given":"Jakob"},{"family":"Aguzzi","given":"Adriano"},{"family":"Raeber","given":"Miro E."},{"family":"Messner","given":"Christoph B."},{"family":"Beckmann","given":"Noam D."},{"family":"Borgwardt","given":"Karsten"},{"family":"Boyman","given":"Onur"}],"issued":{"date-parts":[["2024",1,19]]}}}],"schema":"https://github.com/citation-style-language/schema/raw/master/csl-citation.json"} </w:instrText>
      </w:r>
      <w:r w:rsidR="0081482F">
        <w:rPr>
          <w:rFonts w:ascii="Times New Roman" w:hAnsi="Times New Roman" w:cs="Times New Roman"/>
          <w:color w:val="000000"/>
        </w:rPr>
        <w:fldChar w:fldCharType="separate"/>
      </w:r>
      <w:r w:rsidR="0081482F">
        <w:rPr>
          <w:rFonts w:ascii="Times New Roman" w:hAnsi="Times New Roman" w:cs="Times New Roman"/>
          <w:noProof/>
          <w:color w:val="000000"/>
        </w:rPr>
        <w:t>(Cervia-Hasler et al., 2024)</w:t>
      </w:r>
      <w:r w:rsidR="0081482F">
        <w:rPr>
          <w:rFonts w:ascii="Times New Roman" w:hAnsi="Times New Roman" w:cs="Times New Roman"/>
          <w:color w:val="000000"/>
        </w:rPr>
        <w:fldChar w:fldCharType="end"/>
      </w:r>
      <w:r w:rsidRPr="002D58D0">
        <w:rPr>
          <w:rFonts w:ascii="Times New Roman" w:hAnsi="Times New Roman" w:cs="Times New Roman"/>
          <w:color w:val="000000"/>
        </w:rPr>
        <w:t>. Additional enriched terms — fever generation, regulation of heat generation, and prostaglandin secretion — are consistent with the chronic inflammatory state described in Long COVID patients.</w:t>
      </w:r>
    </w:p>
    <w:p w14:paraId="2278FE2A" w14:textId="77777777" w:rsidR="007133EC" w:rsidRDefault="003A521C" w:rsidP="00ED5B59">
      <w:pPr>
        <w:spacing w:after="160" w:line="312" w:lineRule="auto"/>
        <w:jc w:val="both"/>
        <w:rPr>
          <w:rFonts w:ascii="Times New Roman" w:hAnsi="Times New Roman" w:cs="Times New Roman"/>
          <w:color w:val="000000"/>
        </w:rPr>
      </w:pPr>
      <w:r w:rsidRPr="002D58D0">
        <w:rPr>
          <w:rFonts w:ascii="Times New Roman" w:hAnsi="Times New Roman" w:cs="Times New Roman"/>
          <w:color w:val="000000"/>
        </w:rPr>
        <w:lastRenderedPageBreak/>
        <w:t>KEGG pathway enrichment identified two significant pathways — African trypanosomiasis and Malaria (both BH-adjusted p&lt;0.05; Figure 4). These represent a mapping artefact rather than a biological finding: both KEGG pathways share the hemoglobin gene set (HBB, HBA1, HBA2) in their gene annotations, as hemoglobin dysregulation underlies both parasitic diseases. The enrichment therefore reflects the erythroid transcriptomic signature in Long COVID rather than any biological connection to these infectious diseases.</w:t>
      </w:r>
    </w:p>
    <w:p w14:paraId="3987929F" w14:textId="15DF88F8" w:rsidR="00ED5B59" w:rsidRPr="002D58D0" w:rsidRDefault="00ED5B59" w:rsidP="00ED5B59">
      <w:pPr>
        <w:spacing w:after="160" w:line="312" w:lineRule="auto"/>
        <w:jc w:val="both"/>
        <w:rPr>
          <w:rFonts w:ascii="Times New Roman" w:hAnsi="Times New Roman" w:cs="Times New Roman"/>
        </w:rPr>
      </w:pPr>
      <w:r>
        <w:rPr>
          <w:rFonts w:ascii="Times New Roman" w:hAnsi="Times New Roman" w:cs="Times New Roman"/>
          <w:noProof/>
        </w:rPr>
        <w:drawing>
          <wp:inline distT="0" distB="0" distL="0" distR="0" wp14:anchorId="3B9658E7" wp14:editId="5F32B6F0">
            <wp:extent cx="6400800" cy="5760720"/>
            <wp:effectExtent l="0" t="0" r="0" b="5080"/>
            <wp:docPr id="1872211480" name="Picture 5" descr="A graph with red dots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11480" name="Picture 5" descr="A graph with red dots and blue dot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5760720"/>
                    </a:xfrm>
                    <a:prstGeom prst="rect">
                      <a:avLst/>
                    </a:prstGeom>
                  </pic:spPr>
                </pic:pic>
              </a:graphicData>
            </a:graphic>
          </wp:inline>
        </w:drawing>
      </w:r>
    </w:p>
    <w:p w14:paraId="11CD2594" w14:textId="77777777" w:rsidR="001D3836" w:rsidRDefault="00ED5B59" w:rsidP="001D3836">
      <w:pPr>
        <w:spacing w:after="160" w:line="276" w:lineRule="auto"/>
        <w:jc w:val="both"/>
        <w:rPr>
          <w:rFonts w:ascii="Times New Roman" w:hAnsi="Times New Roman" w:cs="Times New Roman"/>
          <w:color w:val="000000"/>
          <w:sz w:val="22"/>
          <w:szCs w:val="22"/>
        </w:rPr>
      </w:pPr>
      <w:r w:rsidRPr="00ED5B59">
        <w:rPr>
          <w:rFonts w:ascii="Times New Roman" w:hAnsi="Times New Roman" w:cs="Times New Roman"/>
          <w:b/>
          <w:bCs/>
          <w:color w:val="000000"/>
        </w:rPr>
        <w:t xml:space="preserve">Figure 4. KEGG pathway enrichment </w:t>
      </w:r>
      <w:proofErr w:type="spellStart"/>
      <w:r w:rsidRPr="00ED5B59">
        <w:rPr>
          <w:rFonts w:ascii="Times New Roman" w:hAnsi="Times New Roman" w:cs="Times New Roman"/>
          <w:b/>
          <w:bCs/>
          <w:color w:val="000000"/>
        </w:rPr>
        <w:t>dotplot</w:t>
      </w:r>
      <w:proofErr w:type="spellEnd"/>
      <w:r w:rsidRPr="00ED5B59">
        <w:rPr>
          <w:rFonts w:ascii="Times New Roman" w:hAnsi="Times New Roman" w:cs="Times New Roman"/>
          <w:b/>
          <w:bCs/>
          <w:color w:val="000000"/>
        </w:rPr>
        <w:t>.</w:t>
      </w:r>
      <w:r w:rsidRPr="00ED5B59">
        <w:rPr>
          <w:rFonts w:ascii="Times New Roman" w:hAnsi="Times New Roman" w:cs="Times New Roman"/>
          <w:color w:val="000000"/>
        </w:rPr>
        <w:t xml:space="preserve"> </w:t>
      </w:r>
      <w:r w:rsidRPr="00ED5B59">
        <w:rPr>
          <w:rFonts w:ascii="Times New Roman" w:hAnsi="Times New Roman" w:cs="Times New Roman"/>
          <w:color w:val="000000"/>
          <w:sz w:val="22"/>
          <w:szCs w:val="22"/>
        </w:rPr>
        <w:t>Two KEGG pathways reached statistical significance (BH-adjusted p&lt;0.05): African trypanosomiasis and Malaria. Both pathways are driven by the erythroid gene cluster (HBB, HBA1, HBA2) present in the DEG list and do not reflect a biological connection to these infectious diseases.</w:t>
      </w:r>
    </w:p>
    <w:p w14:paraId="16BB524C" w14:textId="60B4C3EC" w:rsidR="007133EC" w:rsidRPr="001D3836" w:rsidRDefault="003A521C" w:rsidP="001D3836">
      <w:pPr>
        <w:spacing w:after="160" w:line="276" w:lineRule="auto"/>
        <w:jc w:val="both"/>
        <w:rPr>
          <w:rFonts w:ascii="Times New Roman" w:hAnsi="Times New Roman" w:cs="Times New Roman"/>
          <w:sz w:val="22"/>
          <w:szCs w:val="22"/>
        </w:rPr>
      </w:pPr>
      <w:r w:rsidRPr="002D58D0">
        <w:rPr>
          <w:rFonts w:ascii="Times New Roman" w:hAnsi="Times New Roman" w:cs="Times New Roman"/>
          <w:b/>
          <w:bCs/>
          <w:color w:val="2E5090"/>
          <w:sz w:val="26"/>
          <w:szCs w:val="26"/>
        </w:rPr>
        <w:lastRenderedPageBreak/>
        <w:t>3.4 Convergent Integration Identifies HLA-DQA1 as a Priority Candidate</w:t>
      </w:r>
    </w:p>
    <w:p w14:paraId="2B50FA90" w14:textId="2C85418D" w:rsidR="007133EC" w:rsidRDefault="003A521C" w:rsidP="00ED5B59">
      <w:pPr>
        <w:spacing w:after="160" w:line="312" w:lineRule="auto"/>
        <w:jc w:val="both"/>
        <w:rPr>
          <w:rFonts w:ascii="Times New Roman" w:hAnsi="Times New Roman" w:cs="Times New Roman"/>
          <w:color w:val="000000"/>
        </w:rPr>
      </w:pPr>
      <w:r w:rsidRPr="002D58D0">
        <w:rPr>
          <w:rFonts w:ascii="Times New Roman" w:hAnsi="Times New Roman" w:cs="Times New Roman"/>
          <w:color w:val="000000"/>
        </w:rPr>
        <w:t xml:space="preserve">Integration of published GWAS immune loci with PBMC transcriptomic data identified three priority convergent candidates among 11 tested genes (Figure 5). HLA-DQA1, a genome-wide significant Long COVID risk locus identified in the 23andMe multi-ancestry GWAS </w:t>
      </w:r>
      <w:r w:rsidR="00F52B70">
        <w:rPr>
          <w:rFonts w:ascii="Times New Roman" w:hAnsi="Times New Roman" w:cs="Times New Roman"/>
          <w:color w:val="000000"/>
        </w:rPr>
        <w:fldChar w:fldCharType="begin"/>
      </w:r>
      <w:r w:rsidR="00F52B70">
        <w:rPr>
          <w:rFonts w:ascii="Times New Roman" w:hAnsi="Times New Roman" w:cs="Times New Roman"/>
          <w:color w:val="000000"/>
        </w:rPr>
        <w:instrText xml:space="preserve"> ADDIN ZOTERO_ITEM CSL_CITATION {"citationID":"QUls26AM","properties":{"unsorted":false,"formattedCitation":"(Chaudhary et al., 2024)","plainCitation":"(Chaudhary et al., 2024)","noteIndex":0},"citationItems":[{"id":2692,"uris":["http://zotero.org/users/12279291/items/7I9RA5XI"],"itemData":{"id":2692,"type":"article","abstract":"The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approaches.\nThe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approaches.","DOI":"10.1101/2024.10.07.24315052","language":"en","license":"© 2024, Posted by Cold Spring Harbor Laboratory. The copyright holder for this pre-print is the author. All rights reserved. The material may not be redistributed, re-used or adapted without the author's permission.","note":"ISSN: 2431-5052\npage: 2024.10.07.24315052","publisher":"medRxiv","source":"medRxiv","title":"Multi-ancestry GWAS of Long COVID identifies immune-related loci and etiological links to chronic fatigue syndrome, fibromyalgia and depression","URL":"https://www.medrxiv.org/content/10.1101/2024.10.07.24315052v1","author":[{"family":"Chaudhary","given":"Ninad S."},{"family":"Weldon","given":"Catherine H."},{"family":"Nandakumar","given":"Priyanka"},{"family":"Team","given":"23andMe Research"},{"family":"Holmes","given":"Michael V."},{"family":"Aslibekyan","given":"Stella"}],"accessed":{"date-parts":[["2026",3,30]]},"issued":{"date-parts":[["2024",10,9]]}}}],"schema":"https://github.com/citation-style-language/schema/raw/master/csl-citation.json"} </w:instrText>
      </w:r>
      <w:r w:rsidR="00F52B70">
        <w:rPr>
          <w:rFonts w:ascii="Times New Roman" w:hAnsi="Times New Roman" w:cs="Times New Roman"/>
          <w:color w:val="000000"/>
        </w:rPr>
        <w:fldChar w:fldCharType="separate"/>
      </w:r>
      <w:r w:rsidR="00F52B70">
        <w:rPr>
          <w:rFonts w:ascii="Times New Roman" w:hAnsi="Times New Roman" w:cs="Times New Roman"/>
          <w:noProof/>
          <w:color w:val="000000"/>
        </w:rPr>
        <w:t>(Chaudhary et al., 2024)</w:t>
      </w:r>
      <w:r w:rsidR="00F52B70">
        <w:rPr>
          <w:rFonts w:ascii="Times New Roman" w:hAnsi="Times New Roman" w:cs="Times New Roman"/>
          <w:color w:val="000000"/>
        </w:rPr>
        <w:fldChar w:fldCharType="end"/>
      </w:r>
      <w:r w:rsidRPr="002D58D0">
        <w:rPr>
          <w:rFonts w:ascii="Times New Roman" w:hAnsi="Times New Roman" w:cs="Times New Roman"/>
          <w:color w:val="000000"/>
        </w:rPr>
        <w:t xml:space="preserve">, showed nominal downregulation in Long COVID PBMCs (LFC=−0.39, p=0.049). </w:t>
      </w:r>
      <w:r w:rsidR="001E0BCA" w:rsidRPr="001E0BCA">
        <w:rPr>
          <w:rFonts w:ascii="Times New Roman" w:hAnsi="Times New Roman" w:cs="Times New Roman"/>
          <w:color w:val="000000"/>
        </w:rPr>
        <w:t>It must be noted that this p-value is nominal and uncorrected for multiple testing across the 11 genes examined. Applying a Bonferroni correction for 11 comparisons yields a corrected threshold of p&lt;0.0045, which this finding does not meet. The HLA-DQA1 signal should therefore be interpreted as hypothesis-generating rather than confirmatory, consistent with the exploratory framework of this study.</w:t>
      </w:r>
      <w:r w:rsidR="001E0BCA">
        <w:rPr>
          <w:rFonts w:ascii="Times New Roman" w:hAnsi="Times New Roman" w:cs="Times New Roman"/>
          <w:color w:val="000000"/>
        </w:rPr>
        <w:t xml:space="preserve"> </w:t>
      </w:r>
      <w:r w:rsidRPr="002D58D0">
        <w:rPr>
          <w:rFonts w:ascii="Times New Roman" w:hAnsi="Times New Roman" w:cs="Times New Roman"/>
          <w:color w:val="000000"/>
        </w:rPr>
        <w:t>This nominally significant downregulation, while modest in effect size, is concordant in direction with the expected consequence of a risk allele: reduced HLA class II expression impairs antigen presentation capacity, potentially facilitating viral persistence or perpetuating aberrant T cell responses characteristic of Long COVID immunopathology.</w:t>
      </w:r>
    </w:p>
    <w:p w14:paraId="52B1C566" w14:textId="4B6F07B9" w:rsidR="00ED5B59" w:rsidRPr="002D58D0" w:rsidRDefault="00ED5B59" w:rsidP="00ED5B59">
      <w:pPr>
        <w:spacing w:after="160" w:line="312" w:lineRule="auto"/>
        <w:jc w:val="both"/>
        <w:rPr>
          <w:rFonts w:ascii="Times New Roman" w:hAnsi="Times New Roman" w:cs="Times New Roman"/>
        </w:rPr>
      </w:pPr>
      <w:r>
        <w:rPr>
          <w:rFonts w:ascii="Times New Roman" w:hAnsi="Times New Roman" w:cs="Times New Roman"/>
          <w:noProof/>
        </w:rPr>
        <w:drawing>
          <wp:inline distT="0" distB="0" distL="0" distR="0" wp14:anchorId="7D880FCE" wp14:editId="4EA9B287">
            <wp:extent cx="6400800" cy="4480560"/>
            <wp:effectExtent l="0" t="0" r="0" b="2540"/>
            <wp:docPr id="337292965" name="Picture 6" descr="A graph of a viru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92965" name="Picture 6" descr="A graph of a viru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4480560"/>
                    </a:xfrm>
                    <a:prstGeom prst="rect">
                      <a:avLst/>
                    </a:prstGeom>
                  </pic:spPr>
                </pic:pic>
              </a:graphicData>
            </a:graphic>
          </wp:inline>
        </w:drawing>
      </w:r>
    </w:p>
    <w:p w14:paraId="06B171B1" w14:textId="31452EF2" w:rsidR="001D3836" w:rsidRPr="001E0BCA" w:rsidRDefault="001D3836" w:rsidP="001D3836">
      <w:pPr>
        <w:spacing w:after="160" w:line="276" w:lineRule="auto"/>
        <w:jc w:val="both"/>
        <w:rPr>
          <w:rFonts w:ascii="Times New Roman" w:hAnsi="Times New Roman" w:cs="Times New Roman"/>
          <w:sz w:val="22"/>
          <w:szCs w:val="22"/>
        </w:rPr>
      </w:pPr>
      <w:r w:rsidRPr="001E0BCA">
        <w:rPr>
          <w:rFonts w:ascii="Times New Roman" w:hAnsi="Times New Roman" w:cs="Times New Roman"/>
          <w:b/>
          <w:bCs/>
          <w:color w:val="000000"/>
          <w:sz w:val="22"/>
          <w:szCs w:val="22"/>
        </w:rPr>
        <w:t>Figure 5. GWAS-transcriptomics integration figure.</w:t>
      </w:r>
      <w:r w:rsidRPr="001E0BCA">
        <w:rPr>
          <w:rFonts w:ascii="Times New Roman" w:hAnsi="Times New Roman" w:cs="Times New Roman"/>
          <w:color w:val="000000"/>
          <w:sz w:val="22"/>
          <w:szCs w:val="22"/>
        </w:rPr>
        <w:t xml:space="preserve"> Horizontal bar chart showing log2 fold change (LC vs non-LC) in PBMC transcriptomics for 11 published Long COVID and COVID-19 GWAS immune gene candidates. Bars are </w:t>
      </w:r>
      <w:proofErr w:type="spellStart"/>
      <w:r w:rsidRPr="001E0BCA">
        <w:rPr>
          <w:rFonts w:ascii="Times New Roman" w:hAnsi="Times New Roman" w:cs="Times New Roman"/>
          <w:color w:val="000000"/>
          <w:sz w:val="22"/>
          <w:szCs w:val="22"/>
        </w:rPr>
        <w:t>coloured</w:t>
      </w:r>
      <w:proofErr w:type="spellEnd"/>
      <w:r w:rsidRPr="001E0BCA">
        <w:rPr>
          <w:rFonts w:ascii="Times New Roman" w:hAnsi="Times New Roman" w:cs="Times New Roman"/>
          <w:color w:val="000000"/>
          <w:sz w:val="22"/>
          <w:szCs w:val="22"/>
        </w:rPr>
        <w:t xml:space="preserve"> by direction (blue = down in LC; red = up in LC) and shaded by nominal significance (darker = </w:t>
      </w:r>
      <w:r w:rsidRPr="001E0BCA">
        <w:rPr>
          <w:rFonts w:ascii="Times New Roman" w:hAnsi="Times New Roman" w:cs="Times New Roman"/>
          <w:color w:val="000000"/>
          <w:sz w:val="22"/>
          <w:szCs w:val="22"/>
        </w:rPr>
        <w:lastRenderedPageBreak/>
        <w:t xml:space="preserve">lower p-value). Facets separate genes by GWAS source: 23andMe GWAS </w:t>
      </w:r>
      <w:r w:rsidR="00F52B70" w:rsidRPr="001E0BCA">
        <w:rPr>
          <w:rFonts w:ascii="Times New Roman" w:hAnsi="Times New Roman" w:cs="Times New Roman"/>
          <w:color w:val="000000"/>
          <w:sz w:val="22"/>
          <w:szCs w:val="22"/>
        </w:rPr>
        <w:fldChar w:fldCharType="begin"/>
      </w:r>
      <w:r w:rsidR="00F52B70" w:rsidRPr="001E0BCA">
        <w:rPr>
          <w:rFonts w:ascii="Times New Roman" w:hAnsi="Times New Roman" w:cs="Times New Roman"/>
          <w:color w:val="000000"/>
          <w:sz w:val="22"/>
          <w:szCs w:val="22"/>
        </w:rPr>
        <w:instrText xml:space="preserve"> ADDIN ZOTERO_ITEM CSL_CITATION {"citationID":"W0CGTsTh","properties":{"unsorted":false,"formattedCitation":"(Chaudhary et al., 2024)","plainCitation":"(Chaudhary et al., 2024)","noteIndex":0},"citationItems":[{"id":2692,"uris":["http://zotero.org/users/12279291/items/7I9RA5XI"],"itemData":{"id":2692,"type":"article","abstract":"The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approaches.\nThe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approaches.","DOI":"10.1101/2024.10.07.24315052","language":"en","license":"© 2024, Posted by Cold Spring Harbor Laboratory. The copyright holder for this pre-print is the author. All rights reserved. The material may not be redistributed, re-used or adapted without the author's permission.","note":"ISSN: 2431-5052\npage: 2024.10.07.24315052","publisher":"medRxiv","source":"medRxiv","title":"Multi-ancestry GWAS of Long COVID identifies immune-related loci and etiological links to chronic fatigue syndrome, fibromyalgia and depression","URL":"https://www.medrxiv.org/content/10.1101/2024.10.07.24315052v1","author":[{"family":"Chaudhary","given":"Ninad S."},{"family":"Weldon","given":"Catherine H."},{"family":"Nandakumar","given":"Priyanka"},{"family":"Team","given":"23andMe Research"},{"family":"Holmes","given":"Michael V."},{"family":"Aslibekyan","given":"Stella"}],"accessed":{"date-parts":[["2026",3,30]]},"issued":{"date-parts":[["2024",10,9]]}}}],"schema":"https://github.com/citation-style-language/schema/raw/master/csl-citation.json"} </w:instrText>
      </w:r>
      <w:r w:rsidR="00F52B70" w:rsidRPr="001E0BCA">
        <w:rPr>
          <w:rFonts w:ascii="Times New Roman" w:hAnsi="Times New Roman" w:cs="Times New Roman"/>
          <w:color w:val="000000"/>
          <w:sz w:val="22"/>
          <w:szCs w:val="22"/>
        </w:rPr>
        <w:fldChar w:fldCharType="separate"/>
      </w:r>
      <w:r w:rsidR="00F52B70" w:rsidRPr="001E0BCA">
        <w:rPr>
          <w:rFonts w:ascii="Times New Roman" w:hAnsi="Times New Roman" w:cs="Times New Roman"/>
          <w:noProof/>
          <w:color w:val="000000"/>
          <w:sz w:val="22"/>
          <w:szCs w:val="22"/>
        </w:rPr>
        <w:t>(Chaudhary et al., 2024)</w:t>
      </w:r>
      <w:r w:rsidR="00F52B70" w:rsidRPr="001E0BCA">
        <w:rPr>
          <w:rFonts w:ascii="Times New Roman" w:hAnsi="Times New Roman" w:cs="Times New Roman"/>
          <w:color w:val="000000"/>
          <w:sz w:val="22"/>
          <w:szCs w:val="22"/>
        </w:rPr>
        <w:fldChar w:fldCharType="end"/>
      </w:r>
      <w:r w:rsidRPr="001E0BCA">
        <w:rPr>
          <w:rFonts w:ascii="Times New Roman" w:hAnsi="Times New Roman" w:cs="Times New Roman"/>
          <w:color w:val="000000"/>
          <w:sz w:val="22"/>
          <w:szCs w:val="22"/>
        </w:rPr>
        <w:t xml:space="preserve">, COVID-19 HGI, and Long COVID HGI </w:t>
      </w:r>
      <w:r w:rsidR="0022473D" w:rsidRPr="001E0BCA">
        <w:rPr>
          <w:rFonts w:ascii="Times New Roman" w:hAnsi="Times New Roman" w:cs="Times New Roman"/>
          <w:color w:val="000000"/>
          <w:sz w:val="22"/>
          <w:szCs w:val="22"/>
        </w:rPr>
        <w:fldChar w:fldCharType="begin"/>
      </w:r>
      <w:r w:rsidR="00CF3927" w:rsidRPr="001E0BCA">
        <w:rPr>
          <w:rFonts w:ascii="Times New Roman" w:hAnsi="Times New Roman" w:cs="Times New Roman"/>
          <w:color w:val="000000"/>
          <w:sz w:val="22"/>
          <w:szCs w:val="22"/>
        </w:rPr>
        <w:instrText xml:space="preserve"> ADDIN ZOTERO_ITEM CSL_CITATION {"citationID":"cuMdOMTB","properties":{"unsorted":false,"formattedCitation":"(Lammi et al., 2025a)","plainCitation":"(Lammi et al., 2025a)","noteIndex":0},"citationItems":[{"id":2667,"uris":["http://zotero.org/users/12279291/items/VIH5KL85"],"itemData":{"id":2667,"type":"article-journal","abstract":"Infections can lead to persistent symptoms and diseases such as shingles after varicella zoster or rheumatic fever after streptococcal infections. Similarly, severe acute respiratory syndrome coronavirus 2 (SARS‑CoV‑2) infection can result in long coronavirus disease (COVID), typically manifesting as fatigue, pulmonary symptoms and cognitive dysfunction. The biological mechanisms behind long COVID remain unclear. We performed a genome-wide association study for long COVID including up to 6,450 long COVID cases and 1,093,995 population controls from 24 studies across 16 countries. We discovered an association of FOXP4 with long COVID, independent of its previously identified association with severe COVID-19. The signal was replicated in 9,500 long COVID cases and 798,835 population controls. Given the transcription factor FOXP4’s role in lung physiology and pathology, our findings highlight the importance of lung function in the pathophysiology of long COVID.","container-title":"Nature Genetics","DOI":"10.1038/s41588-025-02100-w","ISSN":"1546-1718","issue":"6","journalAbbreviation":"Nat Genet","language":"en","license":"2025 The Author(s)","page":"1402-1417","publisher":"Nature Publishing Group","source":"www-nature-com.libproxy.uthscsa.edu","title":"Genome-wide association study of long COVID","volume":"57","author":[{"family":"Lammi","given":"Vilma"},{"family":"Nakanishi","given":"Tomoko"},{"family":"Jones","given":"Samuel E."},{"family":"Andrews","given":"Shea J."},{"family":"Karjalainen","given":"Juha"},{"family":"Cortés","given":"Beatriz"},{"family":"O’Brien","given":"Heath E."},{"family":"Ochoa-Guzman","given":"Ana"},{"family":"Fulton-Howard","given":"Brian E."},{"family":"Broberg","given":"Martin"},{"family":"Haapaniemi","given":"Hele H."},{"family":"Kanai","given":"Masahiro"},{"family":"Pirinen","given":"Matti"},{"family":"Schmidt","given":"Axel"},{"family":"Mitchell","given":"Ruth E."},{"family":"Mousas","given":"Abdou"},{"family":"Mangino","given":"Massimo"},{"family":"Huerta-Chagoya","given":"Alicia"},{"family":"Sinnott-Armstrong","given":"Nasa"},{"family":"Cirulli","given":"Elizabeth T."},{"family":"Vaudel","given":"Marc"},{"family":"Kwong","given":"Alex S. F."},{"family":"Maiti","given":"Amit K."},{"family":"Marttila","given":"Minttu M."},{"family":"Posner","given":"Daniel C."},{"family":"Rodriguez","given":"Alexis A."},{"family":"Batini","given":"Chiara"},{"family":"Minnai","given":"Francesca"},{"family":"Dearman","given":"Anna R."},{"family":"Warmerdam","given":"C. A. Robert"},{"family":"Sequeros","given":"Celia B."},{"family":"Winkler","given":"Thomas W."},{"family":"Jordan","given":"Daniel M."},{"family":"Rešcenko","given":"Raimonds"},{"family":"Miano","given":"Lorenzo"},{"family":"Lane","given":"Jacqueline M."},{"family":"Chung","given":"Ryan K."},{"family":"Guillen-Guio","given":"Beatriz"},{"family":"Leavy","given":"Olivia C."},{"family":"Carvajal-Silva","given":"Laura"},{"family":"Aguilar-Valdés","given":"Kevin"},{"family":"Frangione","given":"Erika"},{"family":"Guare","given":"Lindsay"},{"family":"Vergasova","given":"Ekaterina"},{"family":"Marouli","given":"Eirini"},{"family":"Striano","given":"Pasquale"},{"family":"Zainulabid","given":"Ummu Afeera"},{"family":"Kumar","given":"Ashutosh"},{"family":"Ahmad","given":"Hajar Fauzan"},{"family":"Edahiro","given":"Ryuya"},{"family":"Azekawa","given":"Shuhei"},{"family":"Luoh","given":"Shiuh-Wen"},{"family":"Erikstrup","given":"Christian"},{"family":"Pedersen","given":"Ole B. V."},{"family":"Lerner-Ellis","given":"Jordan"},{"family":"Colombo","given":"Alicia"},{"family":"Grzymski","given":"Joseph J."},{"family":"Ishii","given":"Makoto"},{"family":"Okada","given":"Yukinori"},{"family":"Beckmann","given":"Noam D."},{"family":"Kumari","given":"Meena"},{"family":"Wagner","given":"Ralf"},{"family":"Heid","given":"Iris M."},{"family":"John","given":"Catherine"},{"family":"Short","given":"Patrick J."},{"family":"Magnus","given":"Per"},{"family":"Ansone","given":"Laura"},{"family":"Valenti","given":"Luca V. C."},{"family":"Lee","given":"Sulggi A."},{"family":"Wain","given":"Louise V."},{"family":"Verdugo","given":"Ricardo A."},{"family":"Banasik","given":"Karina"},{"family":"Geller","given":"Frank"},{"family":"Franke","given":"Lude H."},{"family":"Rakitko","given":"Alexander"},{"family":"Duncan","given":"Emma L."},{"family":"Renieri","given":"Alessandra"},{"family":"Tsilidis","given":"Konstantinos K."},{"family":"Cid","given":"Rafael","non-dropping-particle":"de"},{"family":"Niavarani","given":"Ahmadreza"},{"family":"Abner","given":"Erik"},{"family":"Tusié-Luna","given":"Teresa"},{"family":"Verma","given":"Shefali S."},{"family":"Smith","given":"George Davey"},{"family":"Timpson","given":"Nicholas J."},{"family":"Madduri","given":"Ravi K."},{"family":"Cho","given":"Kelly"},{"family":"Daly","given":"Mark J."},{"family":"Ganna","given":"Andrea"},{"family":"Schulte","given":"Eva C."},{"family":"Richards","given":"J. Brent"},{"family":"Ludwig","given":"Kerstin U."},{"family":"Marks-Hultström","given":"Michael"},{"family":"Zeberg","given":"Hugo"},{"family":"Ollila","given":"Hanna M."}],"issued":{"date-parts":[["2025",6]]}}}],"schema":"https://github.com/citation-style-language/schema/raw/master/csl-citation.json"} </w:instrText>
      </w:r>
      <w:r w:rsidR="0022473D" w:rsidRPr="001E0BCA">
        <w:rPr>
          <w:rFonts w:ascii="Times New Roman" w:hAnsi="Times New Roman" w:cs="Times New Roman"/>
          <w:color w:val="000000"/>
          <w:sz w:val="22"/>
          <w:szCs w:val="22"/>
        </w:rPr>
        <w:fldChar w:fldCharType="separate"/>
      </w:r>
      <w:r w:rsidR="00CF3927" w:rsidRPr="001E0BCA">
        <w:rPr>
          <w:rFonts w:ascii="Times New Roman" w:hAnsi="Times New Roman" w:cs="Times New Roman"/>
          <w:noProof/>
          <w:color w:val="000000"/>
          <w:sz w:val="22"/>
          <w:szCs w:val="22"/>
        </w:rPr>
        <w:t>(Lammi et al., 2025a)</w:t>
      </w:r>
      <w:r w:rsidR="0022473D" w:rsidRPr="001E0BCA">
        <w:rPr>
          <w:rFonts w:ascii="Times New Roman" w:hAnsi="Times New Roman" w:cs="Times New Roman"/>
          <w:color w:val="000000"/>
          <w:sz w:val="22"/>
          <w:szCs w:val="22"/>
        </w:rPr>
        <w:fldChar w:fldCharType="end"/>
      </w:r>
      <w:r w:rsidRPr="001E0BCA">
        <w:rPr>
          <w:rFonts w:ascii="Times New Roman" w:hAnsi="Times New Roman" w:cs="Times New Roman"/>
          <w:color w:val="000000"/>
          <w:sz w:val="22"/>
          <w:szCs w:val="22"/>
        </w:rPr>
        <w:t xml:space="preserve">. HLA-DQA1 (p=0.049*) </w:t>
      </w:r>
      <w:r w:rsidR="001E0BCA" w:rsidRPr="001E0BCA">
        <w:rPr>
          <w:rFonts w:ascii="Times New Roman" w:hAnsi="Times New Roman" w:cs="Times New Roman"/>
          <w:color w:val="000000"/>
          <w:sz w:val="22"/>
          <w:szCs w:val="22"/>
        </w:rPr>
        <w:t>represents a putative convergent candidate warranting further investigation.</w:t>
      </w:r>
    </w:p>
    <w:p w14:paraId="5CA92EB1" w14:textId="606346A0"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color w:val="000000"/>
        </w:rPr>
        <w:t>HLA-DQB1, which co-</w:t>
      </w:r>
      <w:r w:rsidR="002D58D0" w:rsidRPr="002D58D0">
        <w:rPr>
          <w:rFonts w:ascii="Times New Roman" w:hAnsi="Times New Roman" w:cs="Times New Roman"/>
          <w:color w:val="000000"/>
        </w:rPr>
        <w:t>localizes</w:t>
      </w:r>
      <w:r w:rsidRPr="002D58D0">
        <w:rPr>
          <w:rFonts w:ascii="Times New Roman" w:hAnsi="Times New Roman" w:cs="Times New Roman"/>
          <w:color w:val="000000"/>
        </w:rPr>
        <w:t xml:space="preserve"> with HLA-DQA1 in the 23andMe GWAS signal, showed a consistent downregulation trend (LFC=−0.51, p=0.11). The slightly larger effect size and directional concordance with HLA-DQA1 strengthens the inference that MHC class II downregulation is a biologically coherent signal rather than a statistical artefact. BPTF, a chromatin </w:t>
      </w:r>
      <w:r w:rsidR="002D58D0" w:rsidRPr="002D58D0">
        <w:rPr>
          <w:rFonts w:ascii="Times New Roman" w:hAnsi="Times New Roman" w:cs="Times New Roman"/>
          <w:color w:val="000000"/>
        </w:rPr>
        <w:t>remodeling</w:t>
      </w:r>
      <w:r w:rsidRPr="002D58D0">
        <w:rPr>
          <w:rFonts w:ascii="Times New Roman" w:hAnsi="Times New Roman" w:cs="Times New Roman"/>
          <w:color w:val="000000"/>
        </w:rPr>
        <w:t xml:space="preserve"> gene in the NURF complex with roles in immune gene regulation, showed a modest upregulation trend (LFC=+0.12, p=0.20) that did not reach even nominal significance.</w:t>
      </w:r>
    </w:p>
    <w:p w14:paraId="617127F9" w14:textId="77777777"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color w:val="000000"/>
        </w:rPr>
        <w:t xml:space="preserve">Among the remaining GWAS immune genes, FOXP4 (the primary Long COVID HGI hit) showed modest upregulation in Long COVID PBMCs (LFC=+0.14, p=0.39), directionally consistent with the published </w:t>
      </w:r>
      <w:proofErr w:type="spellStart"/>
      <w:r w:rsidRPr="002D58D0">
        <w:rPr>
          <w:rFonts w:ascii="Times New Roman" w:hAnsi="Times New Roman" w:cs="Times New Roman"/>
          <w:color w:val="000000"/>
        </w:rPr>
        <w:t>eQTL</w:t>
      </w:r>
      <w:proofErr w:type="spellEnd"/>
      <w:r w:rsidRPr="002D58D0">
        <w:rPr>
          <w:rFonts w:ascii="Times New Roman" w:hAnsi="Times New Roman" w:cs="Times New Roman"/>
          <w:color w:val="000000"/>
        </w:rPr>
        <w:t xml:space="preserve"> evidence that the Long COVID risk allele increases FOXP4 expression. OAS3 and TYK2 showed trending upregulation (LFC=+0.23 and +0.12 respectively), directionally consistent with interferon pathway activation. CCR5 showed marginal downregulation (LFC=−0.13). These signals did not reach nominal significance, likely reflecting the modest statistical power of the n=36 transcriptomic dataset.</w:t>
      </w:r>
    </w:p>
    <w:p w14:paraId="4D1755F8" w14:textId="77777777" w:rsidR="007133EC" w:rsidRPr="002D58D0" w:rsidRDefault="003A521C" w:rsidP="00ED5B59">
      <w:pPr>
        <w:pStyle w:val="Heading2"/>
        <w:spacing w:line="312" w:lineRule="auto"/>
        <w:rPr>
          <w:rFonts w:ascii="Times New Roman" w:hAnsi="Times New Roman" w:cs="Times New Roman"/>
        </w:rPr>
      </w:pPr>
      <w:r w:rsidRPr="002D58D0">
        <w:rPr>
          <w:rFonts w:ascii="Times New Roman" w:hAnsi="Times New Roman" w:cs="Times New Roman"/>
        </w:rPr>
        <w:t>3.5 Summary of Convergent Findings</w:t>
      </w:r>
    </w:p>
    <w:p w14:paraId="1349F51F" w14:textId="2F96A2C0"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color w:val="000000"/>
        </w:rPr>
        <w:t xml:space="preserve">Table 2 </w:t>
      </w:r>
      <w:r w:rsidR="002D58D0" w:rsidRPr="002D58D0">
        <w:rPr>
          <w:rFonts w:ascii="Times New Roman" w:hAnsi="Times New Roman" w:cs="Times New Roman"/>
          <w:color w:val="000000"/>
        </w:rPr>
        <w:t>summarizes</w:t>
      </w:r>
      <w:r w:rsidRPr="002D58D0">
        <w:rPr>
          <w:rFonts w:ascii="Times New Roman" w:hAnsi="Times New Roman" w:cs="Times New Roman"/>
          <w:color w:val="000000"/>
        </w:rPr>
        <w:t xml:space="preserve"> the convergent gene priority list. The central finding of this study is the identification of HLA-DQA1 as a gene that is (1) genome-wide significantly associated with Long COVID susceptibility in a large multi-ancestry GWAS </w:t>
      </w:r>
      <w:r w:rsidR="00F52B70">
        <w:rPr>
          <w:rFonts w:ascii="Times New Roman" w:hAnsi="Times New Roman" w:cs="Times New Roman"/>
          <w:color w:val="000000"/>
        </w:rPr>
        <w:fldChar w:fldCharType="begin"/>
      </w:r>
      <w:r w:rsidR="00F52B70">
        <w:rPr>
          <w:rFonts w:ascii="Times New Roman" w:hAnsi="Times New Roman" w:cs="Times New Roman"/>
          <w:color w:val="000000"/>
        </w:rPr>
        <w:instrText xml:space="preserve"> ADDIN ZOTERO_ITEM CSL_CITATION {"citationID":"6DRfik03","properties":{"unsorted":false,"formattedCitation":"(Chaudhary et al., 2024)","plainCitation":"(Chaudhary et al., 2024)","noteIndex":0},"citationItems":[{"id":2692,"uris":["http://zotero.org/users/12279291/items/7I9RA5XI"],"itemData":{"id":2692,"type":"article","abstract":"The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approaches.\nThe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approaches.","DOI":"10.1101/2024.10.07.24315052","language":"en","license":"© 2024, Posted by Cold Spring Harbor Laboratory. The copyright holder for this pre-print is the author. All rights reserved. The material may not be redistributed, re-used or adapted without the author's permission.","note":"ISSN: 2431-5052\npage: 2024.10.07.24315052","publisher":"medRxiv","source":"medRxiv","title":"Multi-ancestry GWAS of Long COVID identifies immune-related loci and etiological links to chronic fatigue syndrome, fibromyalgia and depression","URL":"https://www.medrxiv.org/content/10.1101/2024.10.07.24315052v1","author":[{"family":"Chaudhary","given":"Ninad S."},{"family":"Weldon","given":"Catherine H."},{"family":"Nandakumar","given":"Priyanka"},{"family":"Team","given":"23andMe Research"},{"family":"Holmes","given":"Michael V."},{"family":"Aslibekyan","given":"Stella"}],"accessed":{"date-parts":[["2026",3,30]]},"issued":{"date-parts":[["2024",10,9]]}}}],"schema":"https://github.com/citation-style-language/schema/raw/master/csl-citation.json"} </w:instrText>
      </w:r>
      <w:r w:rsidR="00F52B70">
        <w:rPr>
          <w:rFonts w:ascii="Times New Roman" w:hAnsi="Times New Roman" w:cs="Times New Roman"/>
          <w:color w:val="000000"/>
        </w:rPr>
        <w:fldChar w:fldCharType="separate"/>
      </w:r>
      <w:r w:rsidR="00F52B70">
        <w:rPr>
          <w:rFonts w:ascii="Times New Roman" w:hAnsi="Times New Roman" w:cs="Times New Roman"/>
          <w:noProof/>
          <w:color w:val="000000"/>
        </w:rPr>
        <w:t>(Chaudhary et al., 2024)</w:t>
      </w:r>
      <w:r w:rsidR="00F52B70">
        <w:rPr>
          <w:rFonts w:ascii="Times New Roman" w:hAnsi="Times New Roman" w:cs="Times New Roman"/>
          <w:color w:val="000000"/>
        </w:rPr>
        <w:fldChar w:fldCharType="end"/>
      </w:r>
      <w:r w:rsidR="00F52B70">
        <w:rPr>
          <w:rFonts w:ascii="Times New Roman" w:hAnsi="Times New Roman" w:cs="Times New Roman"/>
          <w:color w:val="000000"/>
        </w:rPr>
        <w:t xml:space="preserve"> </w:t>
      </w:r>
      <w:r w:rsidRPr="002D58D0">
        <w:rPr>
          <w:rFonts w:ascii="Times New Roman" w:hAnsi="Times New Roman" w:cs="Times New Roman"/>
          <w:color w:val="000000"/>
        </w:rPr>
        <w:t>and (2) nominally downregulated in Long COVID PBMCs in an independent transcriptomic dataset (p=0.049). Together with the concordant HLA-DQB1 signal, these data support MHC class II downregulation as a plausible mechanism linking genetic predisposition to immune dysfunction in Long COVID.</w:t>
      </w:r>
    </w:p>
    <w:p w14:paraId="1E7621EC" w14:textId="77777777" w:rsidR="006337E9" w:rsidRPr="002D58D0" w:rsidRDefault="006337E9" w:rsidP="006337E9">
      <w:pPr>
        <w:spacing w:line="312" w:lineRule="auto"/>
        <w:rPr>
          <w:rFonts w:ascii="Times New Roman" w:hAnsi="Times New Roman" w:cs="Times New Roman"/>
        </w:rPr>
      </w:pPr>
    </w:p>
    <w:p w14:paraId="350014CE" w14:textId="77777777" w:rsidR="006337E9" w:rsidRPr="002D58D0" w:rsidRDefault="006337E9" w:rsidP="006337E9">
      <w:pPr>
        <w:spacing w:before="200" w:after="120" w:line="312" w:lineRule="auto"/>
        <w:rPr>
          <w:rFonts w:ascii="Times New Roman" w:hAnsi="Times New Roman" w:cs="Times New Roman"/>
        </w:rPr>
      </w:pPr>
      <w:r w:rsidRPr="002D58D0">
        <w:rPr>
          <w:rFonts w:ascii="Times New Roman" w:hAnsi="Times New Roman" w:cs="Times New Roman"/>
          <w:b/>
          <w:bCs/>
          <w:sz w:val="22"/>
          <w:szCs w:val="22"/>
        </w:rPr>
        <w:t>Table 2. Convergent gene priority table — GWAS-implicated immune genes and their transcriptomic expression in Long COVID PBMCs.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00"/>
        <w:gridCol w:w="2200"/>
        <w:gridCol w:w="1300"/>
        <w:gridCol w:w="1300"/>
        <w:gridCol w:w="1260"/>
        <w:gridCol w:w="2000"/>
      </w:tblGrid>
      <w:tr w:rsidR="006337E9" w:rsidRPr="002D58D0" w14:paraId="45B77312" w14:textId="77777777" w:rsidTr="001714C2">
        <w:trPr>
          <w:tblHeader/>
        </w:trPr>
        <w:tc>
          <w:tcPr>
            <w:tcW w:w="13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tcPr>
          <w:p w14:paraId="5F2AF3E8"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b/>
                <w:bCs/>
                <w:color w:val="FFFFFF"/>
                <w:sz w:val="20"/>
                <w:szCs w:val="20"/>
              </w:rPr>
              <w:t>Gene</w:t>
            </w:r>
          </w:p>
        </w:tc>
        <w:tc>
          <w:tcPr>
            <w:tcW w:w="22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tcPr>
          <w:p w14:paraId="0DDBF9A7"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b/>
                <w:bCs/>
                <w:color w:val="FFFFFF"/>
                <w:sz w:val="20"/>
                <w:szCs w:val="20"/>
              </w:rPr>
              <w:t>GWAS Source</w:t>
            </w:r>
          </w:p>
        </w:tc>
        <w:tc>
          <w:tcPr>
            <w:tcW w:w="13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tcPr>
          <w:p w14:paraId="4B05447F"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b/>
                <w:bCs/>
                <w:color w:val="FFFFFF"/>
                <w:sz w:val="20"/>
                <w:szCs w:val="20"/>
              </w:rPr>
              <w:t>LFC</w:t>
            </w:r>
          </w:p>
        </w:tc>
        <w:tc>
          <w:tcPr>
            <w:tcW w:w="13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tcPr>
          <w:p w14:paraId="2421AB42"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b/>
                <w:bCs/>
                <w:color w:val="FFFFFF"/>
                <w:sz w:val="20"/>
                <w:szCs w:val="20"/>
              </w:rPr>
              <w:t>p-value</w:t>
            </w:r>
          </w:p>
        </w:tc>
        <w:tc>
          <w:tcPr>
            <w:tcW w:w="126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tcPr>
          <w:p w14:paraId="3AB3C4C4"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b/>
                <w:bCs/>
                <w:color w:val="FFFFFF"/>
                <w:sz w:val="20"/>
                <w:szCs w:val="20"/>
              </w:rPr>
              <w:t>Direction</w:t>
            </w:r>
          </w:p>
        </w:tc>
        <w:tc>
          <w:tcPr>
            <w:tcW w:w="20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tcPr>
          <w:p w14:paraId="1D90591D"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b/>
                <w:bCs/>
                <w:color w:val="FFFFFF"/>
                <w:sz w:val="20"/>
                <w:szCs w:val="20"/>
              </w:rPr>
              <w:t>Priority</w:t>
            </w:r>
          </w:p>
        </w:tc>
      </w:tr>
      <w:tr w:rsidR="006337E9" w:rsidRPr="002D58D0" w14:paraId="4F2FBA11" w14:textId="77777777" w:rsidTr="001714C2">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9C64299"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HLA-DQA1</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5F59EE1" w14:textId="363E57AD"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 xml:space="preserve">23andMe GWAS </w:t>
            </w:r>
            <w:r w:rsidR="00F52B70">
              <w:rPr>
                <w:rFonts w:ascii="Times New Roman" w:hAnsi="Times New Roman" w:cs="Times New Roman"/>
                <w:color w:val="000000"/>
                <w:sz w:val="20"/>
                <w:szCs w:val="20"/>
              </w:rPr>
              <w:fldChar w:fldCharType="begin"/>
            </w:r>
            <w:r w:rsidR="00F52B70">
              <w:rPr>
                <w:rFonts w:ascii="Times New Roman" w:hAnsi="Times New Roman" w:cs="Times New Roman"/>
                <w:color w:val="000000"/>
                <w:sz w:val="20"/>
                <w:szCs w:val="20"/>
              </w:rPr>
              <w:instrText xml:space="preserve"> ADDIN ZOTERO_ITEM CSL_CITATION {"citationID":"k0VKRTUv","properties":{"unsorted":false,"formattedCitation":"(Chaudhary et al., 2024)","plainCitation":"(Chaudhary et al., 2024)","noteIndex":0},"citationItems":[{"id":2692,"uris":["http://zotero.org/users/12279291/items/7I9RA5XI"],"itemData":{"id":2692,"type":"article","abstract":"The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approaches.\nThe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approaches.","DOI":"10.1101/2024.10.07.24315052","language":"en","license":"© 2024, Posted by Cold Spring Harbor Laboratory. The copyright holder for this pre-print is the author. All rights reserved. The material may not be redistributed, re-used or adapted without the author's permission.","note":"ISSN: 2431-5052\npage: 2024.10.07.24315052","publisher":"medRxiv","source":"medRxiv","title":"Multi-ancestry GWAS of Long COVID identifies immune-related loci and etiological links to chronic fatigue syndrome, fibromyalgia and depression","URL":"https://www.medrxiv.org/content/10.1101/2024.10.07.24315052v1","author":[{"family":"Chaudhary","given":"Ninad S."},{"family":"Weldon","given":"Catherine H."},{"family":"Nandakumar","given":"Priyanka"},{"family":"Team","given":"23andMe Research"},{"family":"Holmes","given":"Michael V."},{"family":"Aslibekyan","given":"Stella"}],"accessed":{"date-parts":[["2026",3,30]]},"issued":{"date-parts":[["2024",10,9]]}}}],"schema":"https://github.com/citation-style-language/schema/raw/master/csl-citation.json"} </w:instrText>
            </w:r>
            <w:r w:rsidR="00F52B70">
              <w:rPr>
                <w:rFonts w:ascii="Times New Roman" w:hAnsi="Times New Roman" w:cs="Times New Roman"/>
                <w:color w:val="000000"/>
                <w:sz w:val="20"/>
                <w:szCs w:val="20"/>
              </w:rPr>
              <w:fldChar w:fldCharType="separate"/>
            </w:r>
            <w:r w:rsidR="00F52B70">
              <w:rPr>
                <w:rFonts w:ascii="Times New Roman" w:hAnsi="Times New Roman" w:cs="Times New Roman"/>
                <w:noProof/>
                <w:color w:val="000000"/>
                <w:sz w:val="20"/>
                <w:szCs w:val="20"/>
              </w:rPr>
              <w:t>(Chaudhary et al., 2024)</w:t>
            </w:r>
            <w:r w:rsidR="00F52B70">
              <w:rPr>
                <w:rFonts w:ascii="Times New Roman" w:hAnsi="Times New Roman" w:cs="Times New Roman"/>
                <w:color w:val="000000"/>
                <w:sz w:val="20"/>
                <w:szCs w:val="20"/>
              </w:rPr>
              <w:fldChar w:fldCharType="end"/>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ADCF987"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−0.39</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A5D7712"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0.049*</w:t>
            </w:r>
          </w:p>
        </w:tc>
        <w:tc>
          <w:tcPr>
            <w:tcW w:w="1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EADF53B"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Down in LC</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2A5D6D7"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b/>
                <w:bCs/>
                <w:color w:val="000000"/>
                <w:sz w:val="20"/>
                <w:szCs w:val="20"/>
              </w:rPr>
              <w:t>HIGH — convergent hit</w:t>
            </w:r>
          </w:p>
        </w:tc>
      </w:tr>
      <w:tr w:rsidR="006337E9" w:rsidRPr="002D58D0" w14:paraId="3DC7843B" w14:textId="77777777" w:rsidTr="001714C2">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501EE59"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HLA-DQB1</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621B3CE" w14:textId="7883160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 xml:space="preserve">23andMe GWAS </w:t>
            </w:r>
            <w:r w:rsidR="00F52B70">
              <w:rPr>
                <w:rFonts w:ascii="Times New Roman" w:hAnsi="Times New Roman" w:cs="Times New Roman"/>
                <w:color w:val="000000"/>
                <w:sz w:val="20"/>
                <w:szCs w:val="20"/>
              </w:rPr>
              <w:fldChar w:fldCharType="begin"/>
            </w:r>
            <w:r w:rsidR="00F52B70">
              <w:rPr>
                <w:rFonts w:ascii="Times New Roman" w:hAnsi="Times New Roman" w:cs="Times New Roman"/>
                <w:color w:val="000000"/>
                <w:sz w:val="20"/>
                <w:szCs w:val="20"/>
              </w:rPr>
              <w:instrText xml:space="preserve"> ADDIN ZOTERO_ITEM CSL_CITATION {"citationID":"2NdYu3op","properties":{"unsorted":false,"formattedCitation":"(Chaudhary et al., 2024)","plainCitation":"(Chaudhary et al., 2024)","noteIndex":0},"citationItems":[{"id":2692,"uris":["http://zotero.org/users/12279291/items/7I9RA5XI"],"itemData":{"id":2692,"type":"article","abstract":"The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approaches.\nThe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approaches.","DOI":"10.1101/2024.10.07.24315052","language":"en","license":"© 2024, Posted by Cold Spring Harbor Laboratory. The copyright holder for this pre-print is the author. All rights reserved. The material may not be redistributed, re-used or adapted without the author's permission.","note":"ISSN: 2431-5052\npage: 2024.10.07.24315052","publisher":"medRxiv","source":"medRxiv","title":"Multi-ancestry GWAS of Long COVID identifies immune-related loci and etiological links to chronic fatigue syndrome, fibromyalgia and depression","URL":"https://www.medrxiv.org/content/10.1101/2024.10.07.24315052v1","author":[{"family":"Chaudhary","given":"Ninad S."},{"family":"Weldon","given":"Catherine H."},{"family":"Nandakumar","given":"Priyanka"},{"family":"Team","given":"23andMe Research"},{"family":"Holmes","given":"Michael V."},{"family":"Aslibekyan","given":"Stella"}],"accessed":{"date-parts":[["2026",3,30]]},"issued":{"date-parts":[["2024",10,9]]}}}],"schema":"https://github.com/citation-style-language/schema/raw/master/csl-citation.json"} </w:instrText>
            </w:r>
            <w:r w:rsidR="00F52B70">
              <w:rPr>
                <w:rFonts w:ascii="Times New Roman" w:hAnsi="Times New Roman" w:cs="Times New Roman"/>
                <w:color w:val="000000"/>
                <w:sz w:val="20"/>
                <w:szCs w:val="20"/>
              </w:rPr>
              <w:fldChar w:fldCharType="separate"/>
            </w:r>
            <w:r w:rsidR="00F52B70">
              <w:rPr>
                <w:rFonts w:ascii="Times New Roman" w:hAnsi="Times New Roman" w:cs="Times New Roman"/>
                <w:noProof/>
                <w:color w:val="000000"/>
                <w:sz w:val="20"/>
                <w:szCs w:val="20"/>
              </w:rPr>
              <w:t>(Chaudhary et al., 2024)</w:t>
            </w:r>
            <w:r w:rsidR="00F52B70">
              <w:rPr>
                <w:rFonts w:ascii="Times New Roman" w:hAnsi="Times New Roman" w:cs="Times New Roman"/>
                <w:color w:val="000000"/>
                <w:sz w:val="20"/>
                <w:szCs w:val="20"/>
              </w:rPr>
              <w:fldChar w:fldCharType="end"/>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5FBE032"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−0.51</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AD4A965"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0.11</w:t>
            </w:r>
          </w:p>
        </w:tc>
        <w:tc>
          <w:tcPr>
            <w:tcW w:w="1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B734940"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Down in LC</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0CE19FB"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MODERATE — co-</w:t>
            </w:r>
            <w:proofErr w:type="spellStart"/>
            <w:r w:rsidRPr="002D58D0">
              <w:rPr>
                <w:rFonts w:ascii="Times New Roman" w:hAnsi="Times New Roman" w:cs="Times New Roman"/>
                <w:color w:val="000000"/>
                <w:sz w:val="20"/>
                <w:szCs w:val="20"/>
              </w:rPr>
              <w:t>localised</w:t>
            </w:r>
            <w:proofErr w:type="spellEnd"/>
            <w:r w:rsidRPr="002D58D0">
              <w:rPr>
                <w:rFonts w:ascii="Times New Roman" w:hAnsi="Times New Roman" w:cs="Times New Roman"/>
                <w:color w:val="000000"/>
                <w:sz w:val="20"/>
                <w:szCs w:val="20"/>
              </w:rPr>
              <w:t xml:space="preserve"> signal</w:t>
            </w:r>
          </w:p>
        </w:tc>
      </w:tr>
      <w:tr w:rsidR="006337E9" w:rsidRPr="002D58D0" w14:paraId="7A2643E4" w14:textId="77777777" w:rsidTr="001714C2">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A28A14E"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BPTF</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3C0E6F4" w14:textId="405B9450"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 xml:space="preserve">23andMe GWAS </w:t>
            </w:r>
            <w:r w:rsidR="00F52B70">
              <w:rPr>
                <w:rFonts w:ascii="Times New Roman" w:hAnsi="Times New Roman" w:cs="Times New Roman"/>
                <w:color w:val="000000"/>
                <w:sz w:val="20"/>
                <w:szCs w:val="20"/>
              </w:rPr>
              <w:fldChar w:fldCharType="begin"/>
            </w:r>
            <w:r w:rsidR="00F52B70">
              <w:rPr>
                <w:rFonts w:ascii="Times New Roman" w:hAnsi="Times New Roman" w:cs="Times New Roman"/>
                <w:color w:val="000000"/>
                <w:sz w:val="20"/>
                <w:szCs w:val="20"/>
              </w:rPr>
              <w:instrText xml:space="preserve"> ADDIN ZOTERO_ITEM CSL_CITATION {"citationID":"RXjRQw0K","properties":{"unsorted":false,"formattedCitation":"(Chaudhary et al., 2024)","plainCitation":"(Chaudhary et al., 2024)","noteIndex":0},"citationItems":[{"id":2692,"uris":["http://zotero.org/users/12279291/items/7I9RA5XI"],"itemData":{"id":2692,"type":"article","abstract":"The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approaches.\nThe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approaches.","DOI":"10.1101/2024.10.07.24315052","language":"en","license":"© 2024, Posted by Cold Spring Harbor Laboratory. The copyright holder for this pre-print is the author. All rights reserved. The material may not be redistributed, re-used or adapted without the author's permission.","note":"ISSN: 2431-5052\npage: 2024.10.07.24315052","publisher":"medRxiv","source":"medRxiv","title":"Multi-ancestry GWAS of Long COVID identifies immune-related loci and etiological links to chronic fatigue syndrome, fibromyalgia and depression","URL":"https://www.medrxiv.org/content/10.1101/2024.10.07.24315052v1","author":[{"family":"Chaudhary","given":"Ninad S."},{"family":"Weldon","given":"Catherine H."},{"family":"Nandakumar","given":"Priyanka"},{"family":"Team","given":"23andMe Research"},{"family":"Holmes","given":"Michael V."},{"family":"Aslibekyan","given":"Stella"}],"accessed":{"date-parts":[["2026",3,30]]},"issued":{"date-parts":[["2024",10,9]]}}}],"schema":"https://github.com/citation-style-language/schema/raw/master/csl-citation.json"} </w:instrText>
            </w:r>
            <w:r w:rsidR="00F52B70">
              <w:rPr>
                <w:rFonts w:ascii="Times New Roman" w:hAnsi="Times New Roman" w:cs="Times New Roman"/>
                <w:color w:val="000000"/>
                <w:sz w:val="20"/>
                <w:szCs w:val="20"/>
              </w:rPr>
              <w:fldChar w:fldCharType="separate"/>
            </w:r>
            <w:r w:rsidR="00F52B70">
              <w:rPr>
                <w:rFonts w:ascii="Times New Roman" w:hAnsi="Times New Roman" w:cs="Times New Roman"/>
                <w:noProof/>
                <w:color w:val="000000"/>
                <w:sz w:val="20"/>
                <w:szCs w:val="20"/>
              </w:rPr>
              <w:t>(Chaudhary et al., 2024)</w:t>
            </w:r>
            <w:r w:rsidR="00F52B70">
              <w:rPr>
                <w:rFonts w:ascii="Times New Roman" w:hAnsi="Times New Roman" w:cs="Times New Roman"/>
                <w:color w:val="000000"/>
                <w:sz w:val="20"/>
                <w:szCs w:val="20"/>
              </w:rPr>
              <w:fldChar w:fldCharType="end"/>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A6912A1"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+0.12</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BFC8B39"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0.20</w:t>
            </w:r>
          </w:p>
        </w:tc>
        <w:tc>
          <w:tcPr>
            <w:tcW w:w="1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275D04A"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Up in LC</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CC484C4"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LOW — trend only</w:t>
            </w:r>
          </w:p>
        </w:tc>
      </w:tr>
      <w:tr w:rsidR="006337E9" w:rsidRPr="002D58D0" w14:paraId="258B8CC3" w14:textId="77777777" w:rsidTr="001714C2">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907893A"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lastRenderedPageBreak/>
              <w:t>FOXP4</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128323D" w14:textId="323B906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 xml:space="preserve">LC HGI </w:t>
            </w:r>
            <w:r w:rsidR="00687BD0">
              <w:rPr>
                <w:rFonts w:ascii="Times New Roman" w:hAnsi="Times New Roman" w:cs="Times New Roman"/>
                <w:color w:val="000000"/>
                <w:sz w:val="20"/>
                <w:szCs w:val="20"/>
              </w:rPr>
              <w:fldChar w:fldCharType="begin"/>
            </w:r>
            <w:r w:rsidR="00CF3927">
              <w:rPr>
                <w:rFonts w:ascii="Times New Roman" w:hAnsi="Times New Roman" w:cs="Times New Roman"/>
                <w:color w:val="000000"/>
                <w:sz w:val="20"/>
                <w:szCs w:val="20"/>
              </w:rPr>
              <w:instrText xml:space="preserve"> ADDIN ZOTERO_ITEM CSL_CITATION {"citationID":"15uFNbI1","properties":{"unsorted":false,"formattedCitation":"(Lammi et al., 2025a)","plainCitation":"(Lammi et al., 2025a)","noteIndex":0},"citationItems":[{"id":2667,"uris":["http://zotero.org/users/12279291/items/VIH5KL85"],"itemData":{"id":2667,"type":"article-journal","abstract":"Infections can lead to persistent symptoms and diseases such as shingles after varicella zoster or rheumatic fever after streptococcal infections. Similarly, severe acute respiratory syndrome coronavirus 2 (SARS‑CoV‑2) infection can result in long coronavirus disease (COVID), typically manifesting as fatigue, pulmonary symptoms and cognitive dysfunction. The biological mechanisms behind long COVID remain unclear. We performed a genome-wide association study for long COVID including up to 6,450 long COVID cases and 1,093,995 population controls from 24 studies across 16 countries. We discovered an association of FOXP4 with long COVID, independent of its previously identified association with severe COVID-19. The signal was replicated in 9,500 long COVID cases and 798,835 population controls. Given the transcription factor FOXP4’s role in lung physiology and pathology, our findings highlight the importance of lung function in the pathophysiology of long COVID.","container-title":"Nature Genetics","DOI":"10.1038/s41588-025-02100-w","ISSN":"1546-1718","issue":"6","journalAbbreviation":"Nat Genet","language":"en","license":"2025 The Author(s)","page":"1402-1417","publisher":"Nature Publishing Group","source":"www-nature-com.libproxy.uthscsa.edu","title":"Genome-wide association study of long COVID","volume":"57","author":[{"family":"Lammi","given":"Vilma"},{"family":"Nakanishi","given":"Tomoko"},{"family":"Jones","given":"Samuel E."},{"family":"Andrews","given":"Shea J."},{"family":"Karjalainen","given":"Juha"},{"family":"Cortés","given":"Beatriz"},{"family":"O’Brien","given":"Heath E."},{"family":"Ochoa-Guzman","given":"Ana"},{"family":"Fulton-Howard","given":"Brian E."},{"family":"Broberg","given":"Martin"},{"family":"Haapaniemi","given":"Hele H."},{"family":"Kanai","given":"Masahiro"},{"family":"Pirinen","given":"Matti"},{"family":"Schmidt","given":"Axel"},{"family":"Mitchell","given":"Ruth E."},{"family":"Mousas","given":"Abdou"},{"family":"Mangino","given":"Massimo"},{"family":"Huerta-Chagoya","given":"Alicia"},{"family":"Sinnott-Armstrong","given":"Nasa"},{"family":"Cirulli","given":"Elizabeth T."},{"family":"Vaudel","given":"Marc"},{"family":"Kwong","given":"Alex S. F."},{"family":"Maiti","given":"Amit K."},{"family":"Marttila","given":"Minttu M."},{"family":"Posner","given":"Daniel C."},{"family":"Rodriguez","given":"Alexis A."},{"family":"Batini","given":"Chiara"},{"family":"Minnai","given":"Francesca"},{"family":"Dearman","given":"Anna R."},{"family":"Warmerdam","given":"C. A. Robert"},{"family":"Sequeros","given":"Celia B."},{"family":"Winkler","given":"Thomas W."},{"family":"Jordan","given":"Daniel M."},{"family":"Rešcenko","given":"Raimonds"},{"family":"Miano","given":"Lorenzo"},{"family":"Lane","given":"Jacqueline M."},{"family":"Chung","given":"Ryan K."},{"family":"Guillen-Guio","given":"Beatriz"},{"family":"Leavy","given":"Olivia C."},{"family":"Carvajal-Silva","given":"Laura"},{"family":"Aguilar-Valdés","given":"Kevin"},{"family":"Frangione","given":"Erika"},{"family":"Guare","given":"Lindsay"},{"family":"Vergasova","given":"Ekaterina"},{"family":"Marouli","given":"Eirini"},{"family":"Striano","given":"Pasquale"},{"family":"Zainulabid","given":"Ummu Afeera"},{"family":"Kumar","given":"Ashutosh"},{"family":"Ahmad","given":"Hajar Fauzan"},{"family":"Edahiro","given":"Ryuya"},{"family":"Azekawa","given":"Shuhei"},{"family":"Luoh","given":"Shiuh-Wen"},{"family":"Erikstrup","given":"Christian"},{"family":"Pedersen","given":"Ole B. V."},{"family":"Lerner-Ellis","given":"Jordan"},{"family":"Colombo","given":"Alicia"},{"family":"Grzymski","given":"Joseph J."},{"family":"Ishii","given":"Makoto"},{"family":"Okada","given":"Yukinori"},{"family":"Beckmann","given":"Noam D."},{"family":"Kumari","given":"Meena"},{"family":"Wagner","given":"Ralf"},{"family":"Heid","given":"Iris M."},{"family":"John","given":"Catherine"},{"family":"Short","given":"Patrick J."},{"family":"Magnus","given":"Per"},{"family":"Ansone","given":"Laura"},{"family":"Valenti","given":"Luca V. C."},{"family":"Lee","given":"Sulggi A."},{"family":"Wain","given":"Louise V."},{"family":"Verdugo","given":"Ricardo A."},{"family":"Banasik","given":"Karina"},{"family":"Geller","given":"Frank"},{"family":"Franke","given":"Lude H."},{"family":"Rakitko","given":"Alexander"},{"family":"Duncan","given":"Emma L."},{"family":"Renieri","given":"Alessandra"},{"family":"Tsilidis","given":"Konstantinos K."},{"family":"Cid","given":"Rafael","non-dropping-particle":"de"},{"family":"Niavarani","given":"Ahmadreza"},{"family":"Abner","given":"Erik"},{"family":"Tusié-Luna","given":"Teresa"},{"family":"Verma","given":"Shefali S."},{"family":"Smith","given":"George Davey"},{"family":"Timpson","given":"Nicholas J."},{"family":"Madduri","given":"Ravi K."},{"family":"Cho","given":"Kelly"},{"family":"Daly","given":"Mark J."},{"family":"Ganna","given":"Andrea"},{"family":"Schulte","given":"Eva C."},{"family":"Richards","given":"J. Brent"},{"family":"Ludwig","given":"Kerstin U."},{"family":"Marks-Hultström","given":"Michael"},{"family":"Zeberg","given":"Hugo"},{"family":"Ollila","given":"Hanna M."}],"issued":{"date-parts":[["2025",6]]}}}],"schema":"https://github.com/citation-style-language/schema/raw/master/csl-citation.json"} </w:instrText>
            </w:r>
            <w:r w:rsidR="00687BD0">
              <w:rPr>
                <w:rFonts w:ascii="Times New Roman" w:hAnsi="Times New Roman" w:cs="Times New Roman"/>
                <w:color w:val="000000"/>
                <w:sz w:val="20"/>
                <w:szCs w:val="20"/>
              </w:rPr>
              <w:fldChar w:fldCharType="separate"/>
            </w:r>
            <w:r w:rsidR="00CF3927">
              <w:rPr>
                <w:rFonts w:ascii="Times New Roman" w:hAnsi="Times New Roman" w:cs="Times New Roman"/>
                <w:noProof/>
                <w:color w:val="000000"/>
                <w:sz w:val="20"/>
                <w:szCs w:val="20"/>
              </w:rPr>
              <w:t>(Lammi et al., 2025a)</w:t>
            </w:r>
            <w:r w:rsidR="00687BD0">
              <w:rPr>
                <w:rFonts w:ascii="Times New Roman" w:hAnsi="Times New Roman" w:cs="Times New Roman"/>
                <w:color w:val="000000"/>
                <w:sz w:val="20"/>
                <w:szCs w:val="20"/>
              </w:rPr>
              <w:fldChar w:fldCharType="end"/>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E1C2288"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+0.14</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865831D"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0.39</w:t>
            </w:r>
          </w:p>
        </w:tc>
        <w:tc>
          <w:tcPr>
            <w:tcW w:w="1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963C2DB"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Up in LC</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33724CC"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WATCH — directionally consistent</w:t>
            </w:r>
          </w:p>
        </w:tc>
      </w:tr>
      <w:tr w:rsidR="006337E9" w:rsidRPr="002D58D0" w14:paraId="62CE2E05" w14:textId="77777777" w:rsidTr="001714C2">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5A3E8FB"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OAS3</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C2DE4B7" w14:textId="23B8000A" w:rsidR="006337E9" w:rsidRPr="002D58D0" w:rsidRDefault="00687BD0" w:rsidP="001714C2">
            <w:pPr>
              <w:spacing w:line="312"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ADDIN ZOTERO_ITEM CSL_CITATION {"citationID":"NCkfzLwU","properties":{"unsorted":false,"formattedCitation":"(COVID-19 Host Genetics Initiative, 2021)","plainCitation":"(COVID-19 Host Genetics Initiative, 2021)","noteIndex":0},"citationItems":[{"id":2687,"uris":["http://zotero.org/users/12279291/items/B8UGE2YQ"],"itemData":{"id":2687,"type":"article-journal","abstract":"The genetic make-up of an individual contributes to the susceptibility and response to viral infection. Although environmental, clinical and social factors have a role in the chance of exposure to SARS-CoV-2 and the severity of COVID-191,2, host genetics may also be important. Identifying host-specific genetic factors may reveal biological mechanisms of therapeutic relevance and clarify causal relationships of modifiable environmental risk factors for SARS-CoV-2 infection and outcomes. We formed a global network of researchers to investigate the role of human genetics in SARS-CoV-2 infection and COVID-19 severity. Here we describe the results of three genome-wide association meta-analyses that consist of up to 49,562 patients with COVID-19 from 46 studies across 19 countries. We report 13 genome-wide significant loci that are associated with SARS-CoV-2 infection or severe manifestations of COVID-19. Several of these loci correspond to previously documented associations to lung or autoimmune and inflammatory diseases3-7. They also represent potentially actionable mechanisms in response to infection. Mendelian randomization analyses support a causal role for smoking and body-mass index for severe COVID-19 although not for type II diabetes. The identification of novel host genetic factors associated with COVID-19 was made possible by the community of human genetics researchers coming together to prioritize the sharing of data, results, resources and analytical frameworks. This working model of international collaboration underscores what is possible for future genetic discoveries in emerging pandemics, or indeed for any complex human disease.","container-title":"Nature","DOI":"10.1038/s41586-021-03767-x","ISSN":"1476-4687","issue":"7889","journalAbbreviation":"Nature","language":"eng","page":"472-477","PMID":"34237774","PMCID":"PMC8674144","source":"PubMed","title":"Mapping the human genetic architecture of COVID-19","volume":"600","author":[{"literal":"COVID-19 Host Genetics Initiative"}],"issued":{"date-parts":[["2021",12]]}}}],"schema":"https://github.com/citation-style-language/schema/raw/master/csl-citation.json"}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(COVID-19 Host Genetics Initiative, 2021)</w:t>
            </w:r>
            <w:r>
              <w:rPr>
                <w:rFonts w:ascii="Times New Roman" w:hAnsi="Times New Roman" w:cs="Times New Roman"/>
              </w:rPr>
              <w:fldChar w:fldCharType="end"/>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7ABF9F3"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+0.23</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BA0C555"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0.39</w:t>
            </w:r>
          </w:p>
        </w:tc>
        <w:tc>
          <w:tcPr>
            <w:tcW w:w="1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1BF10A5"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Up in LC</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9EE375A"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WATCH — IFN pathway</w:t>
            </w:r>
          </w:p>
        </w:tc>
      </w:tr>
      <w:tr w:rsidR="006337E9" w:rsidRPr="002D58D0" w14:paraId="746266A9" w14:textId="77777777" w:rsidTr="001714C2">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AC85ABF"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TYK2</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34E1E91" w14:textId="38D5F6C5" w:rsidR="006337E9" w:rsidRPr="002D58D0" w:rsidRDefault="00687BD0" w:rsidP="001714C2">
            <w:pPr>
              <w:spacing w:line="312"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ADDIN ZOTERO_ITEM CSL_CITATION {"citationID":"yFbMerQG","properties":{"unsorted":false,"formattedCitation":"(COVID-19 Host Genetics Initiative, 2021)","plainCitation":"(COVID-19 Host Genetics Initiative, 2021)","noteIndex":0},"citationItems":[{"id":2687,"uris":["http://zotero.org/users/12279291/items/B8UGE2YQ"],"itemData":{"id":2687,"type":"article-journal","abstract":"The genetic make-up of an individual contributes to the susceptibility and response to viral infection. Although environmental, clinical and social factors have a role in the chance of exposure to SARS-CoV-2 and the severity of COVID-191,2, host genetics may also be important. Identifying host-specific genetic factors may reveal biological mechanisms of therapeutic relevance and clarify causal relationships of modifiable environmental risk factors for SARS-CoV-2 infection and outcomes. We formed a global network of researchers to investigate the role of human genetics in SARS-CoV-2 infection and COVID-19 severity. Here we describe the results of three genome-wide association meta-analyses that consist of up to 49,562 patients with COVID-19 from 46 studies across 19 countries. We report 13 genome-wide significant loci that are associated with SARS-CoV-2 infection or severe manifestations of COVID-19. Several of these loci correspond to previously documented associations to lung or autoimmune and inflammatory diseases3-7. They also represent potentially actionable mechanisms in response to infection. Mendelian randomization analyses support a causal role for smoking and body-mass index for severe COVID-19 although not for type II diabetes. The identification of novel host genetic factors associated with COVID-19 was made possible by the community of human genetics researchers coming together to prioritize the sharing of data, results, resources and analytical frameworks. This working model of international collaboration underscores what is possible for future genetic discoveries in emerging pandemics, or indeed for any complex human disease.","container-title":"Nature","DOI":"10.1038/s41586-021-03767-x","ISSN":"1476-4687","issue":"7889","journalAbbreviation":"Nature","language":"eng","page":"472-477","PMID":"34237774","PMCID":"PMC8674144","source":"PubMed","title":"Mapping the human genetic architecture of COVID-19","volume":"600","author":[{"literal":"COVID-19 Host Genetics Initiative"}],"issued":{"date-parts":[["2021",12]]}}}],"schema":"https://github.com/citation-style-language/schema/raw/master/csl-citation.json"}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(COVID-19 Host Genetics Initiative, 2021)</w:t>
            </w:r>
            <w:r>
              <w:rPr>
                <w:rFonts w:ascii="Times New Roman" w:hAnsi="Times New Roman" w:cs="Times New Roman"/>
              </w:rPr>
              <w:fldChar w:fldCharType="end"/>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6F75799"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+0.12</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9E867E4"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0.43</w:t>
            </w:r>
          </w:p>
        </w:tc>
        <w:tc>
          <w:tcPr>
            <w:tcW w:w="1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3E67176"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Up in LC</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A9BC1B0"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WATCH — JAK-STAT pathway</w:t>
            </w:r>
          </w:p>
        </w:tc>
      </w:tr>
      <w:tr w:rsidR="006337E9" w:rsidRPr="002D58D0" w14:paraId="41B4257B" w14:textId="77777777" w:rsidTr="001714C2">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E09468B"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CCR5</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4E44B17" w14:textId="21759E22" w:rsidR="006337E9" w:rsidRPr="002D58D0" w:rsidRDefault="00687BD0" w:rsidP="001714C2">
            <w:pPr>
              <w:spacing w:line="312"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ADDIN ZOTERO_ITEM CSL_CITATION {"citationID":"y79YTlxu","properties":{"unsorted":false,"formattedCitation":"(COVID-19 Host Genetics Initiative, 2021)","plainCitation":"(COVID-19 Host Genetics Initiative, 2021)","noteIndex":0},"citationItems":[{"id":2687,"uris":["http://zotero.org/users/12279291/items/B8UGE2YQ"],"itemData":{"id":2687,"type":"article-journal","abstract":"The genetic make-up of an individual contributes to the susceptibility and response to viral infection. Although environmental, clinical and social factors have a role in the chance of exposure to SARS-CoV-2 and the severity of COVID-191,2, host genetics may also be important. Identifying host-specific genetic factors may reveal biological mechanisms of therapeutic relevance and clarify causal relationships of modifiable environmental risk factors for SARS-CoV-2 infection and outcomes. We formed a global network of researchers to investigate the role of human genetics in SARS-CoV-2 infection and COVID-19 severity. Here we describe the results of three genome-wide association meta-analyses that consist of up to 49,562 patients with COVID-19 from 46 studies across 19 countries. We report 13 genome-wide significant loci that are associated with SARS-CoV-2 infection or severe manifestations of COVID-19. Several of these loci correspond to previously documented associations to lung or autoimmune and inflammatory diseases3-7. They also represent potentially actionable mechanisms in response to infection. Mendelian randomization analyses support a causal role for smoking and body-mass index for severe COVID-19 although not for type II diabetes. The identification of novel host genetic factors associated with COVID-19 was made possible by the community of human genetics researchers coming together to prioritize the sharing of data, results, resources and analytical frameworks. This working model of international collaboration underscores what is possible for future genetic discoveries in emerging pandemics, or indeed for any complex human disease.","container-title":"Nature","DOI":"10.1038/s41586-021-03767-x","ISSN":"1476-4687","issue":"7889","journalAbbreviation":"Nature","language":"eng","page":"472-477","PMID":"34237774","PMCID":"PMC8674144","source":"PubMed","title":"Mapping the human genetic architecture of COVID-19","volume":"600","author":[{"literal":"COVID-19 Host Genetics Initiative"}],"issued":{"date-parts":[["2021",12]]}}}],"schema":"https://github.com/citation-style-language/schema/raw/master/csl-citation.json"}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(COVID-19 Host Genetics Initiative, 2021)</w:t>
            </w:r>
            <w:r>
              <w:rPr>
                <w:rFonts w:ascii="Times New Roman" w:hAnsi="Times New Roman" w:cs="Times New Roman"/>
              </w:rPr>
              <w:fldChar w:fldCharType="end"/>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521904B"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−0.13</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3A9460A"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0.57</w:t>
            </w:r>
          </w:p>
        </w:tc>
        <w:tc>
          <w:tcPr>
            <w:tcW w:w="1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FF0E1B2"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Down in LC</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70F5171"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w:t>
            </w:r>
          </w:p>
        </w:tc>
      </w:tr>
      <w:tr w:rsidR="006337E9" w:rsidRPr="002D58D0" w14:paraId="19F106F4" w14:textId="77777777" w:rsidTr="001714C2">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70EB9D3"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ABO</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AFB9AD5" w14:textId="4CDE0904"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 xml:space="preserve">23andMe GWAS </w:t>
            </w:r>
            <w:r w:rsidR="00687BD0">
              <w:rPr>
                <w:rFonts w:ascii="Times New Roman" w:hAnsi="Times New Roman" w:cs="Times New Roman"/>
                <w:color w:val="000000"/>
                <w:sz w:val="20"/>
                <w:szCs w:val="20"/>
              </w:rPr>
              <w:fldChar w:fldCharType="begin"/>
            </w:r>
            <w:r w:rsidR="00687BD0">
              <w:rPr>
                <w:rFonts w:ascii="Times New Roman" w:hAnsi="Times New Roman" w:cs="Times New Roman"/>
                <w:color w:val="000000"/>
                <w:sz w:val="20"/>
                <w:szCs w:val="20"/>
              </w:rPr>
              <w:instrText xml:space="preserve"> ADDIN ZOTERO_ITEM CSL_CITATION {"citationID":"kHmsg00C","properties":{"unsorted":false,"formattedCitation":"(Chaudhary et al., 2024)","plainCitation":"(Chaudhary et al., 2024)","noteIndex":0},"citationItems":[{"id":2692,"uris":["http://zotero.org/users/12279291/items/7I9RA5XI"],"itemData":{"id":2692,"type":"article","abstract":"The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approaches.\nThe etiology of Long COVID is poorly understood despite its estimated global burden of 65 million cases. There exists a paucity of genetic studies that can shed light on potential mechanisms leading to Long COVID. Using consented and genotyped data from 23andMe adult research participants, we conducted the largest multi-ancestry meta-analysis of genome-wide association studies of Long COVID across European (42,899 cases, 94,721 controls), Latinx (8,631 cases, 20,351 controls), and African-American (2,234 cases, 5,596 controls) genetic ancestry groups. GWAS of Long COVID identified three genome-wide significant loci (HLA-DQA1–HLA-DQB, ABO, BPTF–KPAN2–C17orf58). Functional analysis of these genes points to underlying immune and thrombo-inflammatory mechanisms. We present evidence of shared genetic architecture (genetic correlation p-value &lt; 0.001) of Long COVID with thirteen phenotypes of similar symptomatology or pathophysiology. We identified potential causal roles from liability to chronic fatigue (Mendelian randomization OR=1.59, 95% CI[1.51,1.66]), fibromyalgia (OR=1.54, 95% CI[1.49,1.60]), and depression (OR=1.53, 95% CI[1.46,1.61]) with Long COVID, which replicated in the COVID-19 Host Genetics Initiative data, and which are unlikely to originate from collider bias. These findings can help identify populations vulnerable to Long COVID and inform future therapeutic approaches.","DOI":"10.1101/2024.10.07.24315052","language":"en","license":"© 2024, Posted by Cold Spring Harbor Laboratory. The copyright holder for this pre-print is the author. All rights reserved. The material may not be redistributed, re-used or adapted without the author's permission.","note":"ISSN: 2431-5052\npage: 2024.10.07.24315052","publisher":"medRxiv","source":"medRxiv","title":"Multi-ancestry GWAS of Long COVID identifies immune-related loci and etiological links to chronic fatigue syndrome, fibromyalgia and depression","URL":"https://www.medrxiv.org/content/10.1101/2024.10.07.24315052v1","author":[{"family":"Chaudhary","given":"Ninad S."},{"family":"Weldon","given":"Catherine H."},{"family":"Nandakumar","given":"Priyanka"},{"family":"Team","given":"23andMe Research"},{"family":"Holmes","given":"Michael V."},{"family":"Aslibekyan","given":"Stella"}],"accessed":{"date-parts":[["2026",3,30]]},"issued":{"date-parts":[["2024",10,9]]}}}],"schema":"https://github.com/citation-style-language/schema/raw/master/csl-citation.json"} </w:instrText>
            </w:r>
            <w:r w:rsidR="00687BD0">
              <w:rPr>
                <w:rFonts w:ascii="Times New Roman" w:hAnsi="Times New Roman" w:cs="Times New Roman"/>
                <w:color w:val="000000"/>
                <w:sz w:val="20"/>
                <w:szCs w:val="20"/>
              </w:rPr>
              <w:fldChar w:fldCharType="separate"/>
            </w:r>
            <w:r w:rsidR="00687BD0">
              <w:rPr>
                <w:rFonts w:ascii="Times New Roman" w:hAnsi="Times New Roman" w:cs="Times New Roman"/>
                <w:noProof/>
                <w:color w:val="000000"/>
                <w:sz w:val="20"/>
                <w:szCs w:val="20"/>
              </w:rPr>
              <w:t>(Chaudhary et al., 2024)</w:t>
            </w:r>
            <w:r w:rsidR="00687BD0">
              <w:rPr>
                <w:rFonts w:ascii="Times New Roman" w:hAnsi="Times New Roman" w:cs="Times New Roman"/>
                <w:color w:val="000000"/>
                <w:sz w:val="20"/>
                <w:szCs w:val="20"/>
              </w:rPr>
              <w:fldChar w:fldCharType="end"/>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16FCCA6"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+0.14</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90ACC08"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0.78</w:t>
            </w:r>
          </w:p>
        </w:tc>
        <w:tc>
          <w:tcPr>
            <w:tcW w:w="12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E420C93"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Up in LC</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6E929AF" w14:textId="77777777" w:rsidR="006337E9" w:rsidRPr="002D58D0" w:rsidRDefault="006337E9" w:rsidP="001714C2">
            <w:pPr>
              <w:spacing w:line="312" w:lineRule="auto"/>
              <w:rPr>
                <w:rFonts w:ascii="Times New Roman" w:hAnsi="Times New Roman" w:cs="Times New Roman"/>
              </w:rPr>
            </w:pPr>
            <w:r w:rsidRPr="002D58D0">
              <w:rPr>
                <w:rFonts w:ascii="Times New Roman" w:hAnsi="Times New Roman" w:cs="Times New Roman"/>
                <w:color w:val="000000"/>
                <w:sz w:val="20"/>
                <w:szCs w:val="20"/>
              </w:rPr>
              <w:t>—</w:t>
            </w:r>
          </w:p>
        </w:tc>
      </w:tr>
    </w:tbl>
    <w:p w14:paraId="4EA47317" w14:textId="77777777" w:rsidR="006337E9" w:rsidRPr="002D58D0" w:rsidRDefault="006337E9" w:rsidP="006337E9">
      <w:pPr>
        <w:spacing w:line="312" w:lineRule="auto"/>
        <w:rPr>
          <w:rFonts w:ascii="Times New Roman" w:hAnsi="Times New Roman" w:cs="Times New Roman"/>
        </w:rPr>
      </w:pPr>
    </w:p>
    <w:p w14:paraId="15E018E4" w14:textId="77777777" w:rsidR="006337E9" w:rsidRPr="002D58D0" w:rsidRDefault="006337E9" w:rsidP="006337E9">
      <w:pPr>
        <w:spacing w:after="160" w:line="312" w:lineRule="auto"/>
        <w:jc w:val="both"/>
        <w:rPr>
          <w:rFonts w:ascii="Times New Roman" w:hAnsi="Times New Roman" w:cs="Times New Roman"/>
        </w:rPr>
      </w:pPr>
      <w:r w:rsidRPr="002D58D0">
        <w:rPr>
          <w:rFonts w:ascii="Times New Roman" w:hAnsi="Times New Roman" w:cs="Times New Roman"/>
          <w:i/>
          <w:iCs/>
          <w:color w:val="000000"/>
          <w:sz w:val="18"/>
          <w:szCs w:val="18"/>
        </w:rPr>
        <w:t>LFC, log2 fold change (positive = higher in Long COVID). * Nominally significant (p&lt;0.05). Priority classification: HIGH = p&lt;0.05 + established GWAS hit; MODERATE = p&lt;0.15 + co-</w:t>
      </w:r>
      <w:proofErr w:type="spellStart"/>
      <w:r w:rsidRPr="002D58D0">
        <w:rPr>
          <w:rFonts w:ascii="Times New Roman" w:hAnsi="Times New Roman" w:cs="Times New Roman"/>
          <w:i/>
          <w:iCs/>
          <w:color w:val="000000"/>
          <w:sz w:val="18"/>
          <w:szCs w:val="18"/>
        </w:rPr>
        <w:t>localised</w:t>
      </w:r>
      <w:proofErr w:type="spellEnd"/>
      <w:r w:rsidRPr="002D58D0">
        <w:rPr>
          <w:rFonts w:ascii="Times New Roman" w:hAnsi="Times New Roman" w:cs="Times New Roman"/>
          <w:i/>
          <w:iCs/>
          <w:color w:val="000000"/>
          <w:sz w:val="18"/>
          <w:szCs w:val="18"/>
        </w:rPr>
        <w:t xml:space="preserve"> GWAS signal; WATCH = directionally consistent with GWAS biology; — = no signal.</w:t>
      </w:r>
    </w:p>
    <w:p w14:paraId="174D5A91" w14:textId="397373BD" w:rsidR="007133EC" w:rsidRPr="002D58D0" w:rsidRDefault="007133EC" w:rsidP="00ED5B59">
      <w:pPr>
        <w:spacing w:line="312" w:lineRule="auto"/>
        <w:rPr>
          <w:rFonts w:ascii="Times New Roman" w:hAnsi="Times New Roman" w:cs="Times New Roman"/>
        </w:rPr>
      </w:pPr>
    </w:p>
    <w:p w14:paraId="0D9817EA" w14:textId="77777777" w:rsidR="007133EC" w:rsidRPr="002D58D0" w:rsidRDefault="003A521C" w:rsidP="00ED5B59">
      <w:pPr>
        <w:pStyle w:val="Heading1"/>
        <w:spacing w:line="312" w:lineRule="auto"/>
        <w:rPr>
          <w:rFonts w:ascii="Times New Roman" w:hAnsi="Times New Roman" w:cs="Times New Roman"/>
        </w:rPr>
      </w:pPr>
      <w:r w:rsidRPr="002D58D0">
        <w:rPr>
          <w:rFonts w:ascii="Times New Roman" w:hAnsi="Times New Roman" w:cs="Times New Roman"/>
        </w:rPr>
        <w:t>4. Discussion</w:t>
      </w:r>
    </w:p>
    <w:p w14:paraId="54E5DE58" w14:textId="428FE6D1" w:rsidR="001E0BCA" w:rsidRPr="001E0BCA" w:rsidRDefault="003A521C" w:rsidP="00ED5B59">
      <w:pPr>
        <w:spacing w:after="160" w:line="312" w:lineRule="auto"/>
        <w:jc w:val="both"/>
        <w:rPr>
          <w:rFonts w:ascii="Times New Roman" w:hAnsi="Times New Roman" w:cs="Times New Roman"/>
          <w:color w:val="000000"/>
        </w:rPr>
      </w:pPr>
      <w:r w:rsidRPr="002D58D0">
        <w:rPr>
          <w:rFonts w:ascii="Times New Roman" w:hAnsi="Times New Roman" w:cs="Times New Roman"/>
          <w:color w:val="000000"/>
        </w:rPr>
        <w:t>In this study, we applied a convergent multi-omics framework integrating publicly available Long COVID GWAS summary statistics with PBMC bulk RNA-sequencing data to identify immune gene candidates at the intersection of genetic predisposition and transcriptomic dysregulation.</w:t>
      </w:r>
      <w:r w:rsidR="001E0BCA">
        <w:rPr>
          <w:rFonts w:ascii="Times New Roman" w:hAnsi="Times New Roman" w:cs="Times New Roman"/>
          <w:color w:val="000000"/>
        </w:rPr>
        <w:t xml:space="preserve"> </w:t>
      </w:r>
      <w:r w:rsidR="001E0BCA" w:rsidRPr="001E0BCA">
        <w:rPr>
          <w:rFonts w:ascii="Times New Roman" w:hAnsi="Times New Roman" w:cs="Times New Roman"/>
        </w:rPr>
        <w:t xml:space="preserve">Our principal finding is the identification of HLA-DQA1 as a putative convergent candidate — nominally downregulated in Long COVID PBMCs (LFC=−0.39, p=0.049, uncorrected) and residing within a genome-wide significant GWAS locus — suggesting that MHC class II antigen presentation impairment may represent a mechanistic node linking host genetics to immune dysfunction in Long COVID. This observation is exploratory and requires replication in larger, independently </w:t>
      </w:r>
      <w:proofErr w:type="spellStart"/>
      <w:r w:rsidR="001E0BCA" w:rsidRPr="001E0BCA">
        <w:rPr>
          <w:rFonts w:ascii="Times New Roman" w:hAnsi="Times New Roman" w:cs="Times New Roman"/>
        </w:rPr>
        <w:t>analysed</w:t>
      </w:r>
      <w:proofErr w:type="spellEnd"/>
      <w:r w:rsidR="001E0BCA" w:rsidRPr="001E0BCA">
        <w:rPr>
          <w:rFonts w:ascii="Times New Roman" w:hAnsi="Times New Roman" w:cs="Times New Roman"/>
        </w:rPr>
        <w:t xml:space="preserve"> cohorts before firm conclusions can be drawn.</w:t>
      </w:r>
    </w:p>
    <w:p w14:paraId="2FDA1686" w14:textId="375F35D4"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color w:val="000000"/>
        </w:rPr>
        <w:t xml:space="preserve">The downregulation of HLA-DQA1 and HLA-DQB1 in Long COVID PBMCs is biologically coherent within the broader context of Long COVID immunopathology. MHC class II molecules, encoded by the </w:t>
      </w:r>
      <w:r w:rsidRPr="002D58D0">
        <w:rPr>
          <w:rFonts w:ascii="Times New Roman" w:hAnsi="Times New Roman" w:cs="Times New Roman"/>
          <w:color w:val="000000"/>
        </w:rPr>
        <w:lastRenderedPageBreak/>
        <w:t xml:space="preserve">HLA-DQ gene cluster on chromosome 6p21, are expressed on professional antigen-presenting cells including dendritic cells, B cells, and monocytes — the very cell types that constitute the PBMC compartment. Their primary function is to present peptide antigens to CD4+ helper T cells, thereby orchestrating adaptive immune responses. Reduced HLA class II expression would be expected to impair antigen presentation efficiency, potentially allowing viral antigen persistence, inadequate T cell priming, and failure of immune resolution — all of which have been </w:t>
      </w:r>
      <w:r w:rsidR="002D58D0" w:rsidRPr="002D58D0">
        <w:rPr>
          <w:rFonts w:ascii="Times New Roman" w:hAnsi="Times New Roman" w:cs="Times New Roman"/>
          <w:color w:val="000000"/>
        </w:rPr>
        <w:t>hypothesized</w:t>
      </w:r>
      <w:r w:rsidRPr="002D58D0">
        <w:rPr>
          <w:rFonts w:ascii="Times New Roman" w:hAnsi="Times New Roman" w:cs="Times New Roman"/>
          <w:color w:val="000000"/>
        </w:rPr>
        <w:t xml:space="preserve"> as drivers of Long COVID chronicity </w:t>
      </w:r>
      <w:r w:rsidR="00961116">
        <w:rPr>
          <w:rFonts w:ascii="Times New Roman" w:hAnsi="Times New Roman" w:cs="Times New Roman"/>
          <w:color w:val="000000"/>
        </w:rPr>
        <w:fldChar w:fldCharType="begin"/>
      </w:r>
      <w:r w:rsidR="00F52B70">
        <w:rPr>
          <w:rFonts w:ascii="Times New Roman" w:hAnsi="Times New Roman" w:cs="Times New Roman"/>
          <w:color w:val="000000"/>
        </w:rPr>
        <w:instrText xml:space="preserve"> ADDIN ZOTERO_ITEM CSL_CITATION {"citationID":"vqAjyIY3","properties":{"unsorted":false,"formattedCitation":"(Nalbandian et al., 2021; Yin et al., 2024)","plainCitation":"(Nalbandian et al., 2021; Yin et al., 2024)","noteIndex":0},"citationItems":[{"id":2676,"uris":["http://zotero.org/users/12279291/items/TMEIAXIN"],"itemData":{"id":2676,"type":"article-journal","abstract":"Severe acute respiratory syndrome coronavirus 2 (SARS-CoV-2) is the pathogen responsible for the coronavirus disease 2019 (COVID-19) pandemic, which has resulted in global healthcare crises and strained health resources. As the population of patients recovering from COVID-19 grows, it is paramount to establish an understanding of the healthcare issues surrounding them. COVID-19 is now recognized as a multi-organ disease with a broad spectrum of manifestations. Similarly to post-acute viral syndromes described in survivors of other virulent coronavirus epidemics, there are increasing reports of persistent and prolonged effects after acute COVID-19. Patient advocacy groups, many members of which identify themselves as long haulers, have helped contribute to the recognition of post-acute COVID-19, a syndrome characterized by persistent symptoms and/or delayed or long-term complications beyond 4 weeks from the onset of symptoms. Here, we provide a comprehensive review of the current literature on post-acute COVID-19, its pathophysiology and its organ-specific sequelae. Finally, we discuss relevant considerations for the multidisciplinary care of COVID-19 survivors and propose a framework for the identification of those at high risk for post-acute COVID-19 and their coordinated management through dedicated COVID-19 clinics.","container-title":"Nature Medicine","DOI":"10.1038/s41591-021-01283-z","ISSN":"1546-170X","issue":"4","journalAbbreviation":"Nat Med","language":"en","license":"2021 The Author(s), under exclusive licence to Springer Nature America, Inc.","page":"601-615","publisher":"Nature Publishing Group","source":"www-nature-com.libproxy.uthscsa.edu","title":"Post-acute COVID-19 syndrome","volume":"27","author":[{"family":"Nalbandian","given":"Ani"},{"family":"Sehgal","given":"Kartik"},{"family":"Gupta","given":"Aakriti"},{"family":"Madhavan","given":"Mahesh V."},{"family":"McGroder","given":"Claire"},{"family":"Stevens","given":"Jacob S."},{"family":"Cook","given":"Joshua R."},{"family":"Nordvig","given":"Anna S."},{"family":"Shalev","given":"Daniel"},{"family":"Sehrawat","given":"Tejasav S."},{"family":"Ahluwalia","given":"Neha"},{"family":"Bikdeli","given":"Behnood"},{"family":"Dietz","given":"Donald"},{"family":"Der-Nigoghossian","given":"Caroline"},{"family":"Liyanage-Don","given":"Nadia"},{"family":"Rosner","given":"Gregg F."},{"family":"Bernstein","given":"Elana J."},{"family":"Mohan","given":"Sumit"},{"family":"Beckley","given":"Akinpelumi A."},{"family":"Seres","given":"David S."},{"family":"Choueiri","given":"Toni K."},{"family":"Uriel","given":"Nir"},{"family":"Ausiello","given":"John C."},{"family":"Accili","given":"Domenico"},{"family":"Freedberg","given":"Daniel E."},{"family":"Baldwin","given":"Matthew"},{"family":"Schwartz","given":"Allan"},{"family":"Brodie","given":"Daniel"},{"family":"Garcia","given":"Christine Kim"},{"family":"Elkind","given":"Mitchell S. V."},{"family":"Connors","given":"Jean M."},{"family":"Bilezikian","given":"John P."},{"family":"Landry","given":"Donald W."},{"family":"Wan","given":"Elaine Y."}],"issued":{"date-parts":[["2021",4]]}}},{"id":2690,"uris":["http://zotero.org/users/12279291/items/SCX6DDZF"],"itemData":{"id":2690,"type":"article-journal","abstract":"Long COVID (LC) occurs after at least 10% of severe acute respiratory syndrome coronavirus 2 (SARS-CoV-2) infections, yet its etiology remains poorly understood. We used ‘omic” assays and serology to deeply characterize the global and SARS-CoV-2-specific immunity in the blood of individuals with clear LC and non-LC clinical trajectories, 8 months postinfection. We found that LC individuals exhibited systemic inflammation and immune dysregulation. This was evidenced by global differences in T cell subset distribution implying ongoing immune responses, as well as by sex-specific perturbations in cytolytic subsets. LC individuals displayed increased frequencies of CD4+ T cells poised to migrate to inflamed tissues and exhausted SARS-CoV-2-specific CD8+ T cells, higher levels of SARS-CoV-2 antibodies and a mis-coordination between their SARS-CoV-2-specific T and B cell responses. Our analysis suggested an improper crosstalk between the cellular and humoral adaptive immunity in LC, which can lead to immune dysregulation, inflammation and clinical symptoms associated with this debilitating condition.","container-title":"Nature Immunology","DOI":"10.1038/s41590-023-01724-6","ISSN":"1529-2916","issue":"2","journalAbbreviation":"Nat Immunol","language":"en","license":"2024 The Author(s)","page":"218-225","publisher":"Nature Publishing Group","source":"www-nature-com.libproxy.uthscsa.edu","title":"Long COVID manifests with T cell dysregulation, inflammation and an uncoordinated adaptive immune response to SARS-CoV-2","volume":"25","author":[{"family":"Yin","given":"Kailin"},{"family":"Peluso","given":"Michael J."},{"family":"Luo","given":"Xiaoyu"},{"family":"Thomas","given":"Reuben"},{"family":"Shin","given":"Min-Gyoung"},{"family":"Neidleman","given":"Jason"},{"family":"Andrew","given":"Alicer"},{"family":"Young","given":"Kyrlia C."},{"family":"Ma","given":"Tongcui"},{"family":"Hoh","given":"Rebecca"},{"family":"Anglin","given":"Khamal"},{"family":"Huang","given":"Beatrice"},{"family":"Argueta","given":"Urania"},{"family":"Lopez","given":"Monica"},{"family":"Valdivieso","given":"Daisy"},{"family":"Asare","given":"Kofi"},{"family":"Deveau","given":"Tyler-Marie"},{"family":"Munter","given":"Sadie E."},{"family":"Ibrahim","given":"Rania"},{"family":"Ständker","given":"Ludger"},{"family":"Lu","given":"Scott"},{"family":"Goldberg","given":"Sarah A."},{"family":"Lee","given":"Sulggi A."},{"family":"Lynch","given":"Kara L."},{"family":"Kelly","given":"J. Daniel"},{"family":"Martin","given":"Jeffrey N."},{"family":"Münch","given":"Jan"},{"family":"Deeks","given":"Steven G."},{"family":"Henrich","given":"Timothy J."},{"family":"Roan","given":"Nadia R."}],"issued":{"date-parts":[["2024",2]]}}}],"schema":"https://github.com/citation-style-language/schema/raw/master/csl-citation.json"} </w:instrText>
      </w:r>
      <w:r w:rsidR="00961116">
        <w:rPr>
          <w:rFonts w:ascii="Times New Roman" w:hAnsi="Times New Roman" w:cs="Times New Roman"/>
          <w:color w:val="000000"/>
        </w:rPr>
        <w:fldChar w:fldCharType="separate"/>
      </w:r>
      <w:r w:rsidR="00F52B70">
        <w:rPr>
          <w:rFonts w:ascii="Times New Roman" w:hAnsi="Times New Roman" w:cs="Times New Roman"/>
          <w:noProof/>
          <w:color w:val="000000"/>
        </w:rPr>
        <w:t>(Nalbandian et al., 2021; Yin et al., 2024)</w:t>
      </w:r>
      <w:r w:rsidR="00961116">
        <w:rPr>
          <w:rFonts w:ascii="Times New Roman" w:hAnsi="Times New Roman" w:cs="Times New Roman"/>
          <w:color w:val="000000"/>
        </w:rPr>
        <w:fldChar w:fldCharType="end"/>
      </w:r>
      <w:r w:rsidR="00961116">
        <w:rPr>
          <w:rFonts w:ascii="Times New Roman" w:hAnsi="Times New Roman" w:cs="Times New Roman"/>
          <w:color w:val="000000"/>
        </w:rPr>
        <w:t>.</w:t>
      </w:r>
    </w:p>
    <w:p w14:paraId="5C9EDE0E" w14:textId="170B4CF4" w:rsidR="007133EC" w:rsidRPr="002D58D0" w:rsidRDefault="003A521C" w:rsidP="00ED5B59">
      <w:pPr>
        <w:spacing w:after="160" w:line="312" w:lineRule="auto"/>
        <w:jc w:val="both"/>
        <w:rPr>
          <w:rFonts w:ascii="Times New Roman" w:hAnsi="Times New Roman" w:cs="Times New Roman"/>
        </w:rPr>
      </w:pPr>
      <w:bookmarkStart w:id="6" w:name="_Hlk228744859"/>
      <w:r w:rsidRPr="002D58D0">
        <w:rPr>
          <w:rFonts w:ascii="Times New Roman" w:hAnsi="Times New Roman" w:cs="Times New Roman"/>
          <w:color w:val="000000"/>
        </w:rPr>
        <w:t>The HLA-DQA1 locus has precedent as an immune susceptibility locus across multiple post-infectious and autoimmune conditions including type 1 diabetes, coeliac disease, and systemic lupus erythematosus</w:t>
      </w:r>
      <w:bookmarkEnd w:id="6"/>
      <w:r w:rsidR="00625A0C">
        <w:rPr>
          <w:rFonts w:ascii="Times New Roman" w:hAnsi="Times New Roman" w:cs="Times New Roman"/>
          <w:color w:val="000000"/>
        </w:rPr>
        <w:fldChar w:fldCharType="begin"/>
      </w:r>
      <w:r w:rsidR="00625A0C">
        <w:rPr>
          <w:rFonts w:ascii="Times New Roman" w:hAnsi="Times New Roman" w:cs="Times New Roman"/>
          <w:color w:val="000000"/>
        </w:rPr>
        <w:instrText xml:space="preserve"> ADDIN ZOTERO_ITEM CSL_CITATION {"citationID":"d4wjv4yY","properties":{"unsorted":false,"formattedCitation":"(Farina et al., 2019)","plainCitation":"(Farina et al., 2019)","noteIndex":0},"citationItems":[{"id":2834,"uris":["http://zotero.org/users/12279291/items/6VSGR6JG"],"itemData":{"id":2834,"type":"article-journal","abstract":"HLA DQA1*05 and DQB1*02 alleles encoding the DQ2.5 molecule and HLA DQA1*03 and DQB1*03 alleles encoding DQ8 molecules are strongly associated with celiac disease (CD) and type 1 diabetes (T1D), two common autoimmune diseases (AD). We previously demonstrated that DQ2.5 genes showed a higher expression with respect to non-CD associated alleles in heterozygous DQ2.5 positive (HLA DR1/DR3) antigen presenting cells (APC) of CD patients. This differential expression affected the level of the encoded DQ2.5 molecules on the APC surface and established the strength of gluten-specific CD4+ T cells response. Here, we expanded the expression analysis of risk alleles in patients affected by T1D or by T1D and CD comorbidity. In agreement with previous findings, we found that DQ2.5 and DQ8 risk alleles are more expressed than non-associated alleles also in T1D patients and favor the self-antigen presentation. To investigate the mechanism causing the high expression of risk alleles, we focused on HLA DQA1*05 and DQB1*02 alleles and, by ectopic expression of a single mRNA, we modified the quantitative equilibrium among the two transcripts. After transfection of DR7/DR14 B-LCL with HLA-DQA1*05 cDNA, we observed an overexpression of the endogenous DQB1*02 allele. The DQ2.5 heterodimer synthesized was functional and able to present gluten antigens to cognate CD4+ T cells. Our results indicated that the high expression of alpha and beta transcripts, encoding for the DQ2.5 heterodimeric molecules, was strictly coordinated by a mechanism acting at a transcriptional level. These findings suggested that, in addition to the predisposing HLA-DQ genotype, also the expression of risk alleles contributed to the establishment of autoimmunity.","container-title":"Cells","DOI":"10.3390/cells8070751","ISSN":"2073-4409","issue":"7","journalAbbreviation":"Cells","page":"751","PMID":"31331105","PMCID":"PMC6678473","source":"PubMed Central","title":"HLA-DQA1 and HLA-DQB1 Alleles, Conferring Susceptibility to Celiac Disease and Type 1 Diabetes, Are More Expressed Than Non-Predisposing Alleles and Are Coordinately Regulated","volume":"8","author":[{"family":"Farina","given":"Federica"},{"family":"Picascia","given":"Stefania"},{"family":"Pisapia","given":"Laura"},{"family":"Barba","given":"Pasquale"},{"family":"Vitale","given":"Serena"},{"family":"Franzese","given":"Adriana"},{"family":"Mozzillo","given":"Enza"},{"family":"Gianfrani","given":"Carmen"},{"family":"Del Pozzo G","given":"Giovanna"}],"issued":{"date-parts":[["2019",7,19]]}}}],"schema":"https://github.com/citation-style-language/schema/raw/master/csl-citation.json"} </w:instrText>
      </w:r>
      <w:r w:rsidR="00625A0C">
        <w:rPr>
          <w:rFonts w:ascii="Times New Roman" w:hAnsi="Times New Roman" w:cs="Times New Roman"/>
          <w:color w:val="000000"/>
        </w:rPr>
        <w:fldChar w:fldCharType="separate"/>
      </w:r>
      <w:r w:rsidR="00625A0C">
        <w:rPr>
          <w:rFonts w:ascii="Times New Roman" w:hAnsi="Times New Roman" w:cs="Times New Roman"/>
          <w:color w:val="000000"/>
        </w:rPr>
        <w:t>(Farina et al., 2019)</w:t>
      </w:r>
      <w:r w:rsidR="00625A0C">
        <w:rPr>
          <w:rFonts w:ascii="Times New Roman" w:hAnsi="Times New Roman" w:cs="Times New Roman"/>
          <w:color w:val="000000"/>
        </w:rPr>
        <w:fldChar w:fldCharType="end"/>
      </w:r>
      <w:r w:rsidRPr="002D58D0">
        <w:rPr>
          <w:rFonts w:ascii="Times New Roman" w:hAnsi="Times New Roman" w:cs="Times New Roman"/>
          <w:color w:val="000000"/>
        </w:rPr>
        <w:t xml:space="preserve">. Its identification in the Long COVID GWAS is therefore not surprising mechanistically, but its transcriptomic validation in an independent PBMC dataset provides an important additional layer of evidence. Notably, the direction of effect — </w:t>
      </w:r>
      <w:bookmarkStart w:id="7" w:name="_Hlk228745370"/>
      <w:r w:rsidRPr="002D58D0">
        <w:rPr>
          <w:rFonts w:ascii="Times New Roman" w:hAnsi="Times New Roman" w:cs="Times New Roman"/>
          <w:color w:val="000000"/>
        </w:rPr>
        <w:t>GWAS risk allele associated with increased Long COVID susceptibility, and HLA-DQA1 downregulated in Long COVID cases — is consistent with a model in which reduced antigen presentation capacity, genetically encoded by HLA-DQA1 variants, predisposes individuals to inadequate viral clearance and immune dysregulation</w:t>
      </w:r>
      <w:bookmarkEnd w:id="7"/>
      <w:r w:rsidR="00625A0C">
        <w:rPr>
          <w:rFonts w:ascii="Times New Roman" w:hAnsi="Times New Roman" w:cs="Times New Roman"/>
          <w:color w:val="000000"/>
        </w:rPr>
        <w:fldChar w:fldCharType="begin"/>
      </w:r>
      <w:r w:rsidR="00CF3927">
        <w:rPr>
          <w:rFonts w:ascii="Times New Roman" w:hAnsi="Times New Roman" w:cs="Times New Roman"/>
          <w:color w:val="000000"/>
        </w:rPr>
        <w:instrText xml:space="preserve"> ADDIN ZOTERO_ITEM CSL_CITATION {"citationID":"cPYl9Xu2","properties":{"unsorted":false,"formattedCitation":"(Lammi et al., 2025b; Loktionov et al., 2024)","plainCitation":"(Lammi et al., 2025b; Loktionov et al., 2024)","noteIndex":0},"citationItems":[{"id":2845,"uris":["http://zotero.org/users/12279291/items/4EZ9MZIU"],"itemData":{"id":2845,"type":"article-journal","abstract":"Infections can lead to persistent symptoms and diseases such as shingles after varicella zoster or rheumatic fever after streptococcal infections. Similarly, severe acute respiratory syndrome coronavirus 2 (SARS‑CoV‑2) infection can result in long coronavirus disease (COVID), typically manifesting as fatigue, pulmonary symptoms and cognitive dysfunction. The biological mechanisms behind long COVID remain unclear. We performed a genome-wide association study for long COVID including up to 6,450 long COVID cases and 1,093,995 population controls from 24 studies across 16 countries. We discovered an association of FOXP4 with long COVID, independent of its previously identified association with severe COVID-19. The signal was replicated in 9,500 long COVID cases and 798,835 population controls. Given the transcription factor FOXP4's role in lung physiology and pathology, our findings highlight the importance of lung function in the pathophysiology of long COVID.","container-title":"Nature Genetics","DOI":"10.1038/s41588-025-02100-w","ISSN":"1546-1718","issue":"6","journalAbbreviation":"Nat Genet","language":"eng","page":"1402-1417","PMID":"40399555","PMCID":"PMC12165857","source":"PubMed","title":"Genome-wide association study of long COVID","volume":"57","author":[{"family":"Lammi","given":"Vilma"},{"family":"Nakanishi","given":"Tomoko"},{"family":"Jones","given":"Samuel E."},{"family":"Andrews","given":"Shea J."},{"family":"Karjalainen","given":"Juha"},{"family":"Cortés","given":"Beatriz"},{"family":"O'Brien","given":"Heath E."},{"family":"Ochoa-Guzman","given":"Ana"},{"family":"Fulton-Howard","given":"Brian E."},{"family":"Broberg","given":"Martin"},{"family":"Haapaniemi","given":"Hele H."},{"family":"Kanai","given":"Masahiro"},{"family":"Pirinen","given":"Matti"},{"family":"Schmidt","given":"Axel"},{"family":"Mitchell","given":"Ruth E."},{"family":"Mousas","given":"Abdou"},{"family":"Mangino","given":"Massimo"},{"family":"Huerta-Chagoya","given":"Alicia"},{"family":"Sinnott-Armstrong","given":"Nasa"},{"family":"Cirulli","given":"Elizabeth T."},{"family":"Vaudel","given":"Marc"},{"family":"Kwong","given":"Alex S. F."},{"family":"Maiti","given":"Amit K."},{"family":"Marttila","given":"Minttu M."},{"family":"Posner","given":"Daniel C."},{"family":"Rodriguez","given":"Alexis A."},{"family":"Batini","given":"Chiara"},{"family":"Minnai","given":"Francesca"},{"family":"Dearman","given":"Anna R."},{"family":"Warmerdam","given":"C. A. Robert"},{"family":"Sequeros","given":"Celia B."},{"family":"Winkler","given":"Thomas W."},{"family":"Jordan","given":"Daniel M."},{"family":"Rešcenko","given":"Raimonds"},{"family":"Miano","given":"Lorenzo"},{"family":"Lane","given":"Jacqueline M."},{"family":"Chung","given":"Ryan K."},{"family":"Guillen-Guio","given":"Beatriz"},{"family":"Leavy","given":"Olivia C."},{"family":"Carvajal-Silva","given":"Laura"},{"family":"Aguilar-Valdés","given":"Kevin"},{"family":"Frangione","given":"Erika"},{"family":"Guare","given":"Lindsay"},{"family":"Vergasova","given":"Ekaterina"},{"family":"Marouli","given":"Eirini"},{"family":"Striano","given":"Pasquale"},{"family":"Zainulabid","given":"Ummu Afeera"},{"family":"Kumar","given":"Ashutosh"},{"family":"Ahmad","given":"Hajar Fauzan"},{"family":"Edahiro","given":"Ryuya"},{"family":"Azekawa","given":"Shuhei"},{"literal":"Long COVID Host Genetics Initiative"},{"literal":"FinnGen"},{"literal":"VA Million Veteran Program"},{"literal":"MexGen-COVID Initiative"},{"literal":"DBDS Genomic Consortium"},{"literal":"GEN-COVID Multicenter Study"},{"literal":"PHOSP-COVID Collaborative Group"},{"literal":"GENCOV Study"},{"literal":"Estonian Biobank Research Team"},{"family":"Luoh","given":"Shiuh-Wen"},{"family":"Erikstrup","given":"Christian"},{"family":"Pedersen","given":"Ole B. V."},{"family":"Lerner-Ellis","given":"Jordan"},{"family":"Colombo","given":"Alicia"},{"family":"Grzymski","given":"Joseph J."},{"family":"Ishii","given":"Makoto"},{"family":"Okada","given":"Yukinori"},{"family":"Beckmann","given":"Noam D."},{"family":"Kumari","given":"Meena"},{"family":"Wagner","given":"Ralf"},{"family":"Heid","given":"Iris M."},{"family":"John","given":"Catherine"},{"family":"Short","given":"Patrick J."},{"family":"Magnus","given":"Per"},{"family":"Ansone","given":"Laura"},{"family":"Valenti","given":"Luca V. C."},{"family":"Lee","given":"Sulggi A."},{"family":"Wain","given":"Louise V."},{"family":"Verdugo","given":"Ricardo A."},{"family":"Banasik","given":"Karina"},{"family":"Geller","given":"Frank"},{"family":"Franke","given":"Lude H."},{"family":"Rakitko","given":"Alexander"},{"family":"Duncan","given":"Emma L."},{"family":"Renieri","given":"Alessandra"},{"family":"Tsilidis","given":"Konstantinos K."},{"family":"Cid","given":"Rafael","non-dropping-particle":"de"},{"family":"Niavarani","given":"Ahmadreza"},{"family":"Abner","given":"Erik"},{"family":"Tusié-Luna","given":"Teresa"},{"family":"Verma","given":"Shefali S."},{"family":"Smith","given":"George Davey"},{"family":"Timpson","given":"Nicholas J."},{"family":"Madduri","given":"Ravi K."},{"family":"Cho","given":"Kelly"},{"family":"Daly","given":"Mark J."},{"family":"Ganna","given":"Andrea"},{"family":"Schulte","given":"Eva C."},{"family":"Richards","given":"J. Brent"},{"family":"Ludwig","given":"Kerstin U."},{"family":"Marks-Hultström","given":"Michael"},{"family":"Zeberg","given":"Hugo"},{"family":"Ollila","given":"Hanna M."}],"issued":{"date-parts":[["2025",6]]}}},{"id":2842,"uris":["http://zotero.org/users/12279291/items/IT4Z5A4V"],"itemData":{"id":2842,"type":"article-journal","abstract":"Objective\nThe aim of this study was to replicate associations of GWAS-significant loci with severe COVID-19 in the population of Central Russia, to investigate associations of the SNPs with thromboinflammation parameters, to analyze gene-gene and gene-environmental interactions.\n\nMaterials and Methods\nDNA samples from 798 unrelated Caucasian subjects from Central Russia (199 hospitalized COVID-19 patients and 599 controls with a mild or asymptomatic course of COVID-19) were genotyped using probe-based polymerase chain reaction for 10 GWAS-significant SNPs: rs143334143 CCHCR1, rs111837807 CCHCR1, rs17078346 SLC6A20-LLZTFL1, rs17713054 SLC6A20-LLZTFL1, rs7949972 ELF5, rs61882275 ELF5, rs12585036 ATP11A, rs67579710 THBS3, THBS3-AS1, rs12610495 DPP9, rs9636867 IFNAR2.\n\nResults\nSNP rs17713054 SLC6A20-LZTFL1 was associated with increased risk of severe COVID-19 in the entire group (risk allele A, OR = 1.78, 95% CI = 1.22–2.6, p = 0.003), obese individuals (OR = 2.31, 95% CI = 1.52–3.5, p = 0.0002, (p\nbonf = 0.0004)), patients with low fruit and vegetable intake (OR = 1.72, 95% CI = 1.15–2.58, p = 0.01, (p\nbonf = 0.02)), low physical activity (OR = 1.93, 95% CI = 1.26–2.94, p = 0.0035, (p\nbonf = 0.007)), and nonsmokers (OR = 1.65, 95% CI = 1.11–2.46, p = 0.02). This SNP correlated with increased BMI (p = 0.006) and worsened thrombodynamic parameters (maximum optical density of the formed clot, D (p = 0.02), delayed appearance of spontaneous clots, Tsp (p = 0.02), clot size 30 min after coagulation activation, CS (p = 0.036)). SNP rs17078346 SLC6A20-LZTFL1 was linked with increased BMI (p = 0.01) and severe COVID-19 in obese individuals (risk allele C, OR = 1.72, 95% CI = 1.15–2.58, p = 0.01, (p\nbonf = 0.02)). SNP rs12610495 DPP9 was associated with increased BMI (p = 0.01), severe COVID-19 in obese patients (risk allele G, OR = 1.48, 95% CI = 1.09–2.01, p = 0.01, (p\nbonf = 0.02)), and worsened thrombodynamic parameters (time to the start of clot growth, Tlag (p = 0.01)). For rs7949972 ELF5, a protective effect against severe COVID-19 was observed in non-obese patients (effect allele T, OR = 0.67, 95% CI = 0.47–0.95, p = 0.02, (p\nbonf = 0.04)), improving thrombodynamic parameters (CS (p = 0.02), stationary spatial clot growth rates, Vst (p = 0.02)). Finally, rs12585036 ATP11A exhibited a protective effect against severe COVID-19 in males (protective allele A, OR = 0.51, 95% CI = 0.32–0.83, p = 0.004). SNPs rs67579710 THBS3, THBS3-AS1, rs17713054 SLC6A20-LZTFL1, rs7949972 ELF5, rs9636867 IFNAR2—were involved in two or more of the most significant G×G interactions (p\nperm ≤ 0.01). The pairwise combination rs67579710 THBS3, THBS3-AS1 × rs17713054 SLC6A20-LZTFL1 was a priority in determining susceptibility to severe COVID-19 (it was included in four of the top five most significant SNP-SNP interaction models).\n\nConclusion\nOverall, this study represents a comprehensive molecular-genetic and bioinformatics analysis of the involvement of GWAS-significant loci in the molecular mechanisms of severe COVID-19, gene-gene and gene-environmental interactions, and provides evidence of their relationship with thromboinflammation parameters in patients hospitalized in intensive care units.","container-title":"Frontiers in Genetics","DOI":"10.3389/fgene.2024.1434681","ISSN":"1664-8021","journalAbbreviation":"Front Genet","page":"1434681","PMID":"39175753","PMCID":"PMC11338913","source":"PubMed Central","title":"GWAS-significant loci and severe COVID-19: analysis of associations, link with thromboinflammation syndrome, gene-gene, and gene-environmental interactions","title-short":"GWAS-significant loci and severe COVID-19","volume":"15","author":[{"family":"Loktionov","given":"Alexey Valerevich"},{"family":"Kobzeva","given":"Ksenia Andreevna"},{"family":"Karpenko","given":"Andrey Romanovich"},{"family":"Sergeeva","given":"Vera Alexeevna"},{"family":"Orlov","given":"Yuriy Lvovich"},{"family":"Bushueva","given":"Olga Yurievna"}],"issued":{"date-parts":[["2024",8,8]]}}}],"schema":"https://github.com/citation-style-language/schema/raw/master/csl-citation.json"} </w:instrText>
      </w:r>
      <w:r w:rsidR="00625A0C">
        <w:rPr>
          <w:rFonts w:ascii="Times New Roman" w:hAnsi="Times New Roman" w:cs="Times New Roman"/>
          <w:color w:val="000000"/>
        </w:rPr>
        <w:fldChar w:fldCharType="separate"/>
      </w:r>
      <w:r w:rsidR="00CF3927">
        <w:rPr>
          <w:rFonts w:ascii="Times New Roman" w:hAnsi="Times New Roman" w:cs="Times New Roman"/>
          <w:noProof/>
          <w:color w:val="000000"/>
        </w:rPr>
        <w:t>(Lammi et al., 2025b; Loktionov et al., 2024)</w:t>
      </w:r>
      <w:r w:rsidR="00625A0C">
        <w:rPr>
          <w:rFonts w:ascii="Times New Roman" w:hAnsi="Times New Roman" w:cs="Times New Roman"/>
          <w:color w:val="000000"/>
        </w:rPr>
        <w:fldChar w:fldCharType="end"/>
      </w:r>
      <w:r w:rsidRPr="002D58D0">
        <w:rPr>
          <w:rFonts w:ascii="Times New Roman" w:hAnsi="Times New Roman" w:cs="Times New Roman"/>
          <w:color w:val="000000"/>
        </w:rPr>
        <w:t>.</w:t>
      </w:r>
    </w:p>
    <w:p w14:paraId="55B9B4F2" w14:textId="3A68CC4C" w:rsidR="007133EC" w:rsidRPr="002D58D0" w:rsidRDefault="003A521C" w:rsidP="00ED5B59">
      <w:pPr>
        <w:spacing w:after="160" w:line="312" w:lineRule="auto"/>
        <w:jc w:val="both"/>
        <w:rPr>
          <w:rFonts w:ascii="Times New Roman" w:hAnsi="Times New Roman" w:cs="Times New Roman"/>
        </w:rPr>
      </w:pPr>
      <w:bookmarkStart w:id="8" w:name="_Hlk228746021"/>
      <w:r w:rsidRPr="002D58D0">
        <w:rPr>
          <w:rFonts w:ascii="Times New Roman" w:hAnsi="Times New Roman" w:cs="Times New Roman"/>
          <w:color w:val="000000"/>
        </w:rPr>
        <w:t>The erythroid transcriptomic signature — upregulation of ALAS2, HBB, HBA1, HBA2, CA1, and SLC4A1 — is an unexpected but increasingly documented finding in Long COVID blood transcriptomics</w:t>
      </w:r>
      <w:bookmarkEnd w:id="8"/>
      <w:r w:rsidR="00045141">
        <w:rPr>
          <w:rFonts w:ascii="Times New Roman" w:hAnsi="Times New Roman" w:cs="Times New Roman"/>
          <w:color w:val="000000"/>
        </w:rPr>
        <w:fldChar w:fldCharType="begin"/>
      </w:r>
      <w:r w:rsidR="00045141">
        <w:rPr>
          <w:rFonts w:ascii="Times New Roman" w:hAnsi="Times New Roman" w:cs="Times New Roman"/>
          <w:color w:val="000000"/>
        </w:rPr>
        <w:instrText xml:space="preserve"> ADDIN ZOTERO_ITEM CSL_CITATION {"citationID":"wBXXslVp","properties":{"unsorted":false,"formattedCitation":"(Blankestijn et al., 2024; Lechuga et al., 2023; Maison et al., 2025)","plainCitation":"(Blankestijn et al., 2024; Lechuga et al., 2023; Maison et al., 2025)","noteIndex":0},"citationItems":[{"id":2853,"uris":["http://zotero.org/users/12279291/items/LCJDPBFX"],"itemData":{"id":2853,"type":"article-journal","abstract":"BACKGROUND: Months after infection with severe acute respiratory syndrome coronavirus 2, at least 10% of patients still experience complaints. Long-COVID (coronavirus disease 2019) is a heterogeneous disease, and clustering efforts revealed multiple phenotypes on a clinical level. However, the molecular pathways underlying long-COVID phenotypes are still poorly understood.\nOBJECTIVES: We sought to cluster patients according to their blood transcriptomes and uncover the pathways underlying their disease.\nMETHODS: Blood was collected from 77 patients with long-COVID from the Precision Medicine for more Oxygen (P4O2) COVID-19 study. Unsupervised hierarchical clustering was performed on the whole blood transcriptome. These clusters were analyzed for differences in clinical features, pulmonary function tests, and gene ontology term enrichment.\nRESULTS: Clustering revealed 2 distinct clusters on a transcriptome level. Compared with cluster 2 (n = 65), patients in cluster 1 (n = 12) showed a higher rate of preexisting cardiovascular disease (58% vs 22%), higher prevalence of gastrointestinal symptoms (58% vs 29%), shorter hospital duration during severe acute respiratory syndrome coronavirus 2 infection (median, 3 vs 8 days), lower FEV1/forced vital capacity (72% vs 81%), and lower diffusion capacity of the lung for carbon monoxide (68% vs 85% predicted). Gene ontology term enrichment analysis revealed upregulation of genes involved in the antiviral innate immune response in cluster 1, whereas genes involved with the adaptive immune response were upregulated in cluster 2.\nCONCLUSIONS: This study provides a start in uncovering the pathophysiological mechanisms underlying long-COVID. Further research is required to unravel why the immune response is different in these clusters, and to identify potential therapeutic targets to create an optimized treatment or monitoring strategy for the individual long-COVID patient.","container-title":"The Journal of Allergy and Clinical Immunology","DOI":"10.1016/j.jaci.2024.04.032","ISSN":"1097-6825","issue":"3","journalAbbreviation":"J Allergy Clin Immunol","language":"eng","page":"807-818","PMID":"38830512","source":"PubMed","title":"Whole blood transcriptome in long-COVID patients reveals association with lung function and immune response","volume":"154","author":[{"family":"Blankestijn","given":"Jelle M."},{"family":"Baalbaki","given":"Nadia"},{"family":"Bazdar","given":"Somayeh"},{"family":"Beekers","given":"Inés"},{"family":"Beijers","given":"Rosanne J. H. C. G."},{"family":"Bergh","given":"Joop P.","non-dropping-particle":"van den"},{"family":"Bloemsma","given":"Lizan D."},{"family":"Cornelissen","given":"Merel E. B."},{"family":"Dekker","given":"Tamara"},{"family":"Duitman","given":"Jan Willem"},{"family":"Houweling","given":"Laura"},{"family":"Jacobs","given":"John J. L."},{"family":"Lee","given":"Ivo","non-dropping-particle":"van der"},{"family":"Linders","given":"Paulien M. A."},{"family":"Noij","given":"Lieke C. E."},{"family":"Nossent","given":"Esther J."},{"family":"Pol","given":"Marianne A.","non-dropping-particle":"van de"},{"family":"Sondermeijer","given":"Brigitte M."},{"family":"Geelhoed","given":"J. J. Miranda"},{"family":"Weersink","given":"Els J. M."},{"family":"Golebski","given":"Korneliusz"},{"family":"Abdel-Aziz","given":"Mahmoud I."},{"family":"Maitland-van der Zee","given":"Anke H."},{"literal":"P4O2 Consortium"}],"issued":{"date-parts":[["2024",9]]}}},{"id":2851,"uris":["http://zotero.org/users/12279291/items/S9ENZZDQ"],"itemData":{"id":2851,"type":"article-journal","abstract":"Long Covid-19 is a condition characterized by persistent symptoms lasting beyond the acute phase of Covid-19. Long COVID-19 produced diverse symptomatology and can impact organs and systems, including the hematological system. Several studies have reported, in COVID-19 patients, hematological abnormalities. Most of these alterations are associated with a higher risk of severe disease and poor outcomes. This literature review identified studies reporting hematological parameters in individuals with Long COVID-19. Findings suggest that Long COVID-19 is associated with a range of sustained hematological alterations, including alterations in red blood cells (RBC), anemia, lymphopenia, and elevated levels of inflammatory markers such as ferritin, D-dimer, and IL-This is a provisional file, not the final typeset article 6. These alterations may contribute to a better understanding of the pathophysiology of Long COVID-19 and its associated symptoms. However, further research is needed to elucidate the underlying mechanisms and potential treatments for these hematological changes in individuals with Long COVID-19.","container-title":"Frontiers in Physiology","DOI":"10.3389/fphys.2023.1203472","ISSN":"1664-042X","journalAbbreviation":"Front. Physiol.","language":"English","publisher":"Frontiers","source":"Frontiers","title":"Hematological alterations associated with long COVID-19","URL":"https://www.frontiersin.org/journals/physiology/articles/10.3389/fphys.2023.1203472/full","volume":"14","author":[{"family":"Lechuga","given":"Guilherme C."},{"family":"Morel","given":"Carlos M."},{"family":"De-Simone","given":"Salvatore Giovanni"}],"accessed":{"date-parts":[["2026",5,4]]},"issued":{"date-parts":[["2023",7,24]]}}},{"id":2858,"uris":["http://zotero.org/users/12279291/items/667EBBDQ"],"itemData":{"id":2858,"type":"article-journal","abstract":"SARS-CoV-2, the virus responsible for the COVID-19 pandemic, has led to millions of cases of Long COVID worldwide. Long COVID is a phenomenon characterized by persistent and debilitating mental and physical symptoms following acute infection. Despite ongoing research, trials, and considerable progress in understanding Long COVID, its exact causes remain only partially understood, with current hypotheses addressing specific aspects of the condition. We conducted one of the most comprehensive meta-analyses to date of all quality bulk RNA-seq studies worldwide from the COVID-19 pandemic and show significant mitochondrial transcript changes in the peripheral immune system of people with Long COVID, with unexpectedly low levels of intracellular viral RNA in Long COVID. This extensive analysis, which includes 26 studies and 1,272 individuals, shows that mononuclear cells, PBMC, and granulocytes from Long COVID patients exhibit significant alterations in mitochondrial genes and related processes. These findings likely represent the true transcriptomic landscape of Long COVID across diverse datasets, highlighting the long-lasting impacts of SARS-CoV-2 on peripheral immune function. In combination with other ex vivo and proteomics studies showing mitochondrial dysfunction, our results suggest critical new directions, such as the potential role of clonal hematopoiesis and infected seed cells. This work highlights the need for further investigation into the mechanisms underlying these immune changes and persistent symptoms in people with Long COVID. These findings will serve as a foundation for defining the paradigm underlying the biological mechanisms of Long COVID, driving research into the peripheral immune system, bone marrow, and mitochondria.","container-title":"Mitochondrion","DOI":"10.1016/j.mito.2025.102072","ISSN":"1567-7249","journalAbbreviation":"Mitochondrion","page":"102072","PMID":"40738238","PMCID":"PMC12377506","source":"PubMed Central","title":"Peripheral immune progression to long COVID is associated with mitochondrial gene transcription: A meta-analysis","title-short":"Peripheral immune progression to long COVID is associated with mitochondrial gene transcription","volume":"85","author":[{"family":"Maison","given":"David P."},{"family":"Khadka","given":"Vedbar S."},{"family":"Mohd-Ibrahim","given":"Isam"},{"family":"Peluso","given":"Michael J."},{"family":"Henrich","given":"Timothy J."},{"family":"Deng","given":"Youping"},{"family":"Gerschenson","given":"Mariana"}],"issued":{"date-parts":[["2025",11]]}}}],"schema":"https://github.com/citation-style-language/schema/raw/master/csl-citation.json"} </w:instrText>
      </w:r>
      <w:r w:rsidR="00045141">
        <w:rPr>
          <w:rFonts w:ascii="Times New Roman" w:hAnsi="Times New Roman" w:cs="Times New Roman"/>
          <w:color w:val="000000"/>
        </w:rPr>
        <w:fldChar w:fldCharType="separate"/>
      </w:r>
      <w:r w:rsidR="00045141">
        <w:rPr>
          <w:rFonts w:ascii="Times New Roman" w:hAnsi="Times New Roman" w:cs="Times New Roman"/>
          <w:noProof/>
          <w:color w:val="000000"/>
        </w:rPr>
        <w:t>(Blankestijn et al., 2024; Lechuga et al., 2023; Maison et al., 2025)</w:t>
      </w:r>
      <w:r w:rsidR="00045141">
        <w:rPr>
          <w:rFonts w:ascii="Times New Roman" w:hAnsi="Times New Roman" w:cs="Times New Roman"/>
          <w:color w:val="000000"/>
        </w:rPr>
        <w:fldChar w:fldCharType="end"/>
      </w:r>
      <w:r w:rsidRPr="002D58D0">
        <w:rPr>
          <w:rFonts w:ascii="Times New Roman" w:hAnsi="Times New Roman" w:cs="Times New Roman"/>
          <w:color w:val="000000"/>
        </w:rPr>
        <w:t xml:space="preserve">. </w:t>
      </w:r>
      <w:bookmarkStart w:id="9" w:name="_Hlk228746261"/>
      <w:r w:rsidRPr="002D58D0">
        <w:rPr>
          <w:rFonts w:ascii="Times New Roman" w:hAnsi="Times New Roman" w:cs="Times New Roman"/>
          <w:color w:val="000000"/>
        </w:rPr>
        <w:t xml:space="preserve">ALAS2 encodes the rate-limiting enzyme in hem biosynthesis in erythroid cells, and its upregulation alongside </w:t>
      </w:r>
      <w:r w:rsidR="002D58D0" w:rsidRPr="002D58D0">
        <w:rPr>
          <w:rFonts w:ascii="Times New Roman" w:hAnsi="Times New Roman" w:cs="Times New Roman"/>
          <w:color w:val="000000"/>
        </w:rPr>
        <w:t>hemoglobin</w:t>
      </w:r>
      <w:r w:rsidRPr="002D58D0">
        <w:rPr>
          <w:rFonts w:ascii="Times New Roman" w:hAnsi="Times New Roman" w:cs="Times New Roman"/>
          <w:color w:val="000000"/>
        </w:rPr>
        <w:t xml:space="preserve"> subunit transcripts suggests either contamination of PBMC preparations with erythroid progenitor cells or genuine erythroid stress responses within circulating </w:t>
      </w:r>
      <w:r w:rsidR="002D58D0" w:rsidRPr="002D58D0">
        <w:rPr>
          <w:rFonts w:ascii="Times New Roman" w:hAnsi="Times New Roman" w:cs="Times New Roman"/>
          <w:color w:val="000000"/>
        </w:rPr>
        <w:t>hematopoietic</w:t>
      </w:r>
      <w:r w:rsidRPr="002D58D0">
        <w:rPr>
          <w:rFonts w:ascii="Times New Roman" w:hAnsi="Times New Roman" w:cs="Times New Roman"/>
          <w:color w:val="000000"/>
        </w:rPr>
        <w:t xml:space="preserve"> progenitors</w:t>
      </w:r>
      <w:bookmarkEnd w:id="9"/>
      <w:r w:rsidR="00045141">
        <w:rPr>
          <w:rFonts w:ascii="Times New Roman" w:hAnsi="Times New Roman" w:cs="Times New Roman"/>
          <w:color w:val="000000"/>
        </w:rPr>
        <w:fldChar w:fldCharType="begin"/>
      </w:r>
      <w:r w:rsidR="00045141">
        <w:rPr>
          <w:rFonts w:ascii="Times New Roman" w:hAnsi="Times New Roman" w:cs="Times New Roman"/>
          <w:color w:val="000000"/>
        </w:rPr>
        <w:instrText xml:space="preserve"> ADDIN ZOTERO_ITEM CSL_CITATION {"citationID":"eX106TZI","properties":{"unsorted":false,"formattedCitation":"(Yien &amp; Perfetto, 2022)","plainCitation":"(Yien &amp; Perfetto, 2022)","noteIndex":0},"citationItems":[{"id":2861,"uris":["http://zotero.org/users/12279291/items/T6KC3LXQ"],"itemData":{"id":2861,"type":"article-journal","abstract":"Heme plays a central role in diverse, life-essential processes that range from ubiquitous, housekeeping pathways such as respiration, to highly cell-specific ones such as oxygen transport by hemoglobin. The regulation of heme synthesis and its utilization is highly regulated and cell-specific. In this review, we have attempted to understand how the heme synthesis machinery is regulated by mitochondrial homeostasis as a means of coupling heme synthesis to its utilization and to the metabolic requirements of the cell. We have focused on discussing the regulation of mitochondrial heme synthesis enzymes by housekeeping proteins, transport of heme intermediates, and regulation of heme synthesis by macromolecular complex formation and mitochondrial metabolism. Recently discovered mechanisms are discussed in the context of the model organisms in which they were identified, while more established work is discussed in light of technological advancements.","container-title":"Frontiers in Cell and Developmental Biology","DOI":"10.3389/fcell.2022.895521","ISSN":"2296-634X","journalAbbreviation":"Front. Cell Dev. Biol.","language":"English","publisher":"Frontiers","source":"Frontiers","title":"Regulation of Heme Synthesis by Mitochondrial Homeostasis Proteins","URL":"https://www.frontiersin.org/journals/cell-and-developmental-biology/articles/10.3389/fcell.2022.895521/full","volume":"10","author":[{"family":"Yien","given":"Yvette Y."},{"family":"Perfetto","given":"Mark"}],"accessed":{"date-parts":[["2026",5,4]]},"issued":{"date-parts":[["2022",6,27]]}}}],"schema":"https://github.com/citation-style-language/schema/raw/master/csl-citation.json"} </w:instrText>
      </w:r>
      <w:r w:rsidR="00045141">
        <w:rPr>
          <w:rFonts w:ascii="Times New Roman" w:hAnsi="Times New Roman" w:cs="Times New Roman"/>
          <w:color w:val="000000"/>
        </w:rPr>
        <w:fldChar w:fldCharType="separate"/>
      </w:r>
      <w:r w:rsidR="00045141">
        <w:rPr>
          <w:rFonts w:ascii="Times New Roman" w:hAnsi="Times New Roman" w:cs="Times New Roman"/>
          <w:color w:val="000000"/>
        </w:rPr>
        <w:t>(Yien &amp; Perfetto, 2022)</w:t>
      </w:r>
      <w:r w:rsidR="00045141">
        <w:rPr>
          <w:rFonts w:ascii="Times New Roman" w:hAnsi="Times New Roman" w:cs="Times New Roman"/>
          <w:color w:val="000000"/>
        </w:rPr>
        <w:fldChar w:fldCharType="end"/>
      </w:r>
      <w:r w:rsidRPr="002D58D0">
        <w:rPr>
          <w:rFonts w:ascii="Times New Roman" w:hAnsi="Times New Roman" w:cs="Times New Roman"/>
          <w:color w:val="000000"/>
        </w:rPr>
        <w:t xml:space="preserve">. Both interpretations are plausible: </w:t>
      </w:r>
      <w:bookmarkStart w:id="10" w:name="_Hlk228746505"/>
      <w:r w:rsidRPr="002D58D0">
        <w:rPr>
          <w:rFonts w:ascii="Times New Roman" w:hAnsi="Times New Roman" w:cs="Times New Roman"/>
          <w:color w:val="000000"/>
        </w:rPr>
        <w:t xml:space="preserve">Long COVID has been associated with altered </w:t>
      </w:r>
      <w:r w:rsidR="002D58D0" w:rsidRPr="002D58D0">
        <w:rPr>
          <w:rFonts w:ascii="Times New Roman" w:hAnsi="Times New Roman" w:cs="Times New Roman"/>
          <w:color w:val="000000"/>
        </w:rPr>
        <w:t>hematopoiesis</w:t>
      </w:r>
      <w:r w:rsidRPr="002D58D0">
        <w:rPr>
          <w:rFonts w:ascii="Times New Roman" w:hAnsi="Times New Roman" w:cs="Times New Roman"/>
          <w:color w:val="000000"/>
        </w:rPr>
        <w:t xml:space="preserve"> and red blood cell dysfunction, and erythroid progenitor </w:t>
      </w:r>
      <w:r w:rsidR="002D58D0" w:rsidRPr="002D58D0">
        <w:rPr>
          <w:rFonts w:ascii="Times New Roman" w:hAnsi="Times New Roman" w:cs="Times New Roman"/>
          <w:color w:val="000000"/>
        </w:rPr>
        <w:t>mobilization</w:t>
      </w:r>
      <w:r w:rsidRPr="002D58D0">
        <w:rPr>
          <w:rFonts w:ascii="Times New Roman" w:hAnsi="Times New Roman" w:cs="Times New Roman"/>
          <w:color w:val="000000"/>
        </w:rPr>
        <w:t xml:space="preserve"> has been reported in acute COVID-19</w:t>
      </w:r>
      <w:bookmarkEnd w:id="10"/>
      <w:r w:rsidR="00045141">
        <w:rPr>
          <w:rFonts w:ascii="Times New Roman" w:hAnsi="Times New Roman" w:cs="Times New Roman"/>
          <w:color w:val="000000"/>
        </w:rPr>
        <w:fldChar w:fldCharType="begin"/>
      </w:r>
      <w:r w:rsidR="00045141">
        <w:rPr>
          <w:rFonts w:ascii="Times New Roman" w:hAnsi="Times New Roman" w:cs="Times New Roman"/>
          <w:color w:val="000000"/>
        </w:rPr>
        <w:instrText xml:space="preserve"> ADDIN ZOTERO_ITEM CSL_CITATION {"citationID":"MRNi2Kns","properties":{"unsorted":false,"formattedCitation":"(Grau et al., 2024; Hanson et al., 2024; Lechuga et al., 2023)","plainCitation":"(Grau et al., 2024; Hanson et al., 2024; Lechuga et al., 2023)","noteIndex":0},"citationItems":[{"id":2872,"uris":["http://zotero.org/users/12279291/items/B49UAIVN"],"itemData":{"id":2872,"type":"article-journal","abstract":"Background: SARS-CoV-2 infection adversely affects rheological parameters, particularly red blood cell (RBC) aggregation and deformability, but whether these changes persist in patients suffering from Long-COVID (LC) and whether these changes are related to RBC morphology remain unknown. Methods: Venous blood was collected from n = 30 diagnosed LC patients and n = 30 non-LC controls and RBC deformability, RBC aggregation, and hematological parameters were measured. In addition, RBCs were examined microscopically for morphological abnormalities. The mechanical sensitivity index (MS) was assessed in n = 15 LC and n = 15 non-LC samples. Results: Hematological parameters did not differ between the groups. However, LC showed higher aggregation-related parameters. Although RBC deformability was higher in LC, MS, reflecting the functional capacity to deform, was limited in this group. RBCs from LC showed significantly more morphological abnormalities. The extent of morphological abnormalities correlated with MS and the FACIT-Fatigue score of the LC patients. Conclusion: RBCs from LC show a high degree of morphological abnormalities, which might limit the blood flow determining RBC properties and also be related to fatigue symptomatology in LC. Approaches are now needed to understand the underlying cause of these alterations and to ameliorate these permanent changes.","container-title":"Biology","DOI":"10.3390/biology13110948","ISSN":"2079-7737","issue":"11","language":"en","license":"http://creativecommons.org/licenses/by/3.0/","page":"948","publisher":"Multidisciplinary Digital Publishing Institute","source":"www.mdpi.com","title":"Red Blood Cell Morphology Is Associated with Altered Hemorheological Properties and Fatigue in Patients with Long COVID","volume":"13","author":[{"family":"Grau","given":"Marijke"},{"family":"Presche","given":"Alena"},{"family":"Krüger","given":"Anna-Lena"},{"family":"Bloch","given":"Wilhelm"},{"family":"Haiduk","given":"Björn"}],"issued":{"date-parts":[["2024",11]]}}},{"id":2877,"uris":["http://zotero.org/users/12279291/items/SJSYKYMT"],"itemData":{"id":2877,"type":"article-journal","abstract":"Persistent symptoms following SARS-CoV-2 infection are increasingly reported, although the drivers of post-acute sequelae (PASC) of COVID-19 are unclear. Here we assessed 214 individuals infected with SARS-CoV-2, with varying disease severity, for one year from COVID-19 symptom onset to determine the early correlates of PASC. A multivariate signature detected beyond two weeks of disease, encompassing unresolving inflammation, anemia, low serum iron, altered iron-homeostasis gene expression and emerging stress erythropoiesis; differentiated those who reported PASC months later, irrespective of COVID-19 severity. A whole-blood heme-metabolism signature, enriched in hospitalized patients at month 1–3 post onset, coincided with pronounced iron-deficient reticulocytosis. Lymphopenia and low numbers of dendritic cells persisted in those with PASC, and single-cell analysis reported iron maldistribution, suggesting monocyte iron loading and increased iron demand in proliferating lymphocytes. Thus, defects in iron homeostasis, dysregulated erythropoiesis and immune dysfunction due to COVID-19 possibly contribute to inefficient oxygen transport, inflammatory disequilibrium and persisting symptomatology, and may be therapeutically tractable.","container-title":"Nature Immunology","DOI":"10.1038/s41590-024-01754-8","ISSN":"1529-2916","issue":"3","journalAbbreviation":"Nat Immunol","language":"en","license":"2024 The Author(s)","page":"471-482","publisher":"Nature Publishing Group","source":"www-nature-com.libproxy.uthscsa.edu","title":"Iron dysregulation and inflammatory stress erythropoiesis associates with long-term outcome of COVID-19","volume":"25","author":[{"family":"Hanson","given":"Aimee L."},{"family":"Mulè","given":"Matthew P."},{"family":"Ruffieux","given":"Hélène"},{"family":"Mescia","given":"Federica"},{"family":"Bergamaschi","given":"Laura"},{"family":"Pelly","given":"Victoria S."},{"family":"Turner","given":"Lorinda"},{"family":"Kotagiri","given":"Prasanti"},{"family":"Göttgens","given":"Berthold"},{"family":"Hess","given":"Christoph"},{"family":"Gleadall","given":"Nicholas"},{"family":"Bradley","given":"John R."},{"family":"Nathan","given":"James A."},{"family":"Lyons","given":"Paul A."},{"family":"Drakesmith","given":"Hal"},{"family":"Smith","given":"Kenneth G. C."}],"issued":{"date-parts":[["2024",3]]}}},{"id":2851,"uris":["http://zotero.org/users/12279291/items/S9ENZZDQ"],"itemData":{"id":2851,"type":"article-journal","abstract":"Long Covid-19 is a condition characterized by persistent symptoms lasting beyond the acute phase of Covid-19. Long COVID-19 produced diverse symptomatology and can impact organs and systems, including the hematological system. Several studies have reported, in COVID-19 patients, hematological abnormalities. Most of these alterations are associated with a higher risk of severe disease and poor outcomes. This literature review identified studies reporting hematological parameters in individuals with Long COVID-19. Findings suggest that Long COVID-19 is associated with a range of sustained hematological alterations, including alterations in red blood cells (RBC), anemia, lymphopenia, and elevated levels of inflammatory markers such as ferritin, D-dimer, and IL-This is a provisional file, not the final typeset article 6. These alterations may contribute to a better understanding of the pathophysiology of Long COVID-19 and its associated symptoms. However, further research is needed to elucidate the underlying mechanisms and potential treatments for these hematological changes in individuals with Long COVID-19.","container-title":"Frontiers in Physiology","DOI":"10.3389/fphys.2023.1203472","ISSN":"1664-042X","journalAbbreviation":"Front. Physiol.","language":"English","publisher":"Frontiers","source":"Frontiers","title":"Hematological alterations associated with long COVID-19","URL":"https://www.frontiersin.org/journals/physiology/articles/10.3389/fphys.2023.1203472/full","volume":"14","author":[{"family":"Lechuga","given":"Guilherme C."},{"family":"Morel","given":"Carlos M."},{"family":"De-Simone","given":"Salvatore Giovanni"}],"accessed":{"date-parts":[["2026",5,4]]},"issued":{"date-parts":[["2023",7,24]]}}}],"schema":"https://github.com/citation-style-language/schema/raw/master/csl-citation.json"} </w:instrText>
      </w:r>
      <w:r w:rsidR="00045141">
        <w:rPr>
          <w:rFonts w:ascii="Times New Roman" w:hAnsi="Times New Roman" w:cs="Times New Roman"/>
          <w:color w:val="000000"/>
        </w:rPr>
        <w:fldChar w:fldCharType="separate"/>
      </w:r>
      <w:r w:rsidR="00045141">
        <w:rPr>
          <w:rFonts w:ascii="Times New Roman" w:hAnsi="Times New Roman" w:cs="Times New Roman"/>
          <w:noProof/>
          <w:color w:val="000000"/>
        </w:rPr>
        <w:t>(Grau et al., 2024; Hanson et al., 2024; Lechuga et al., 2023)</w:t>
      </w:r>
      <w:r w:rsidR="00045141">
        <w:rPr>
          <w:rFonts w:ascii="Times New Roman" w:hAnsi="Times New Roman" w:cs="Times New Roman"/>
          <w:color w:val="000000"/>
        </w:rPr>
        <w:fldChar w:fldCharType="end"/>
      </w:r>
      <w:r w:rsidRPr="002D58D0">
        <w:rPr>
          <w:rFonts w:ascii="Times New Roman" w:hAnsi="Times New Roman" w:cs="Times New Roman"/>
          <w:color w:val="000000"/>
        </w:rPr>
        <w:t>. The enrichment of oxygen transport and detoxification GO-BP terms driven by this erythroid signature adds biological context, as impaired oxygen delivery — whether from erythrocyte dysfunction or pulmonary sequelae — is a cardinal feature of Long COVID symptomatology</w:t>
      </w:r>
      <w:r w:rsidR="008C6CA4">
        <w:rPr>
          <w:rFonts w:ascii="Times New Roman" w:hAnsi="Times New Roman" w:cs="Times New Roman"/>
          <w:color w:val="000000"/>
        </w:rPr>
        <w:fldChar w:fldCharType="begin"/>
      </w:r>
      <w:r w:rsidR="00A47678">
        <w:rPr>
          <w:rFonts w:ascii="Times New Roman" w:hAnsi="Times New Roman" w:cs="Times New Roman"/>
          <w:color w:val="000000"/>
        </w:rPr>
        <w:instrText xml:space="preserve"> ADDIN ZOTERO_ITEM CSL_CITATION {"citationID":"HnVVqCKC","properties":{"unsorted":false,"formattedCitation":"(B\\uc0\\u246{}ning et al., 2024; Rogers et al., 2023; Vogel et al., 2021)","plainCitation":"(Böning et al., 2024; Rogers et al., 2023; Vogel et al., 2021)","noteIndex":0},"citationItems":[{"id":2880,"uris":["http://zotero.org/users/12279291/items/6LR45UVQ"],"itemData":{"id":2880,"type":"article-journal","container-title":"Frontiers in Physiology","DOI":"10.3389/fphys.2024.1426505","ISSN":"1664-042X","journalAbbreviation":"Front Physiol","language":"eng","page":"1426505","PMID":"39318367","PMCID":"PMC11420525","source":"PubMed","title":"Commentary: COVID-19 impairs oxygen delivery by altering red blood cell hematological, hemorheological, and oxygen transport properties","title-short":"Commentary","volume":"15","author":[{"family":"Böning","given":"Dieter"},{"family":"Bloch","given":"Wilhelm"},{"family":"Vogel","given":"Dominik"},{"family":"Steinach","given":"Mathias"},{"family":"Kuebler","given":"Wolfgang M."}],"issued":{"date-parts":[["2024"]]}}},{"id":2888,"uris":["http://zotero.org/users/12279291/items/KQ59DJBV"],"itemData":{"id":2888,"type":"article-journal","abstract":"Introduction: Coronavirus disease 2019 (COVID-19) is characterized by impaired oxygen (O2) homeostasis, including O2 sensing, uptake, transport/delivery, and consumption. Red blood cells (RBCs) are central to maintaining O2 homeostasis and undergo direct exposure to coronavirus in vivo. We thus hypothesized that COVID-19 alters RBC properties relevant to O2 homeostasis, including the hematological profile, Hb O2 transport characteristics, rheology, and the hypoxic vasodilatory (HVD) reflex. Methods: RBCs from 18 hospitalized COVID-19 subjects and 20 healthy controls were analyzed as follows: (i) clinical hematological parameters (complete blood count; hematology analyzer); (ii) O2 dissociation curves (p50, Hill number, and Bohr plot; Hemox-Analyzer); (iii) rheological properties (osmotic fragility, deformability, and aggregation; laser-assisted optical rotational cell analyzer (LORRCA) ektacytometry); and (iv) vasoactivity (the RBC HVD; vascular ring bioassay). Results: Compared to age- and gender-matched healthy controls, COVID-19 subjects demonstrated 1) significant hematological differences (increased WBC count-with a higher percentage of neutrophils); RBC distribution width (RDW); and reduced hematocrit (HCT), Hb concentration, mean corpuscular volume (MCV), and mean corpuscular hemoglobin concentration (MCHC); 2) impaired O2-carrying capacity and O2 capacitance (resulting from anemia) without difference in p50 or Hb-O2 cooperativity; 3) compromised regulation of RBC volume (altered osmotic fragility); 4) reduced RBC deformability; 5) accelerated RBC aggregation kinetics; and (6) no change in the RBC HVD reflex. Discussion: When considered collectively, homeostatic compensation for these RBC impairments requires that the cardiac output in the COVID cohort would need to increase by </w:instrText>
      </w:r>
      <w:r w:rsidR="00A47678">
        <w:rPr>
          <w:rFonts w:ascii="Cambria Math" w:hAnsi="Cambria Math" w:cs="Cambria Math"/>
          <w:color w:val="000000"/>
        </w:rPr>
        <w:instrText>∼</w:instrText>
      </w:r>
      <w:r w:rsidR="00A47678">
        <w:rPr>
          <w:rFonts w:ascii="Times New Roman" w:hAnsi="Times New Roman" w:cs="Times New Roman"/>
          <w:color w:val="000000"/>
        </w:rPr>
        <w:instrText xml:space="preserve">135% to maintain O2 delivery similar to that in the control cohort. Additionally, the COVID-19 disease RBC properties were found to be exaggerated in blood-type O hospitalized COVID-19 subjects compared to blood-type A. These data indicate that altered RBC features in hospitalized COVID-19 subjects burden the cardiovascular system to maintain O2 delivery homeostasis, which appears exaggerated by blood type (more pronounced with blood-type O) and likely plays a role in disease pathogenesis.","container-title":"Frontiers in Physiology","DOI":"10.3389/fphys.2023.1320697","ISSN":"1664-042X","journalAbbreviation":"Front Physiol","language":"eng","page":"1320697","PMID":"38235386","PMCID":"PMC10791868","source":"PubMed","title":"COVID-19 impairs oxygen delivery by altering red blood cell hematological, hemorheological, and oxygen transport properties","volume":"14","author":[{"family":"Rogers","given":"Stephen C."},{"family":"Brummet","given":"Mary"},{"family":"Safari","given":"Zohreh"},{"family":"Wang","given":"Qihong"},{"family":"Rowden","given":"Tobi"},{"family":"Boyer","given":"Tori"},{"family":"Doctor","given":"Allan"}],"issued":{"date-parts":[["2023"]]}}},{"id":2883,"uris":["http://zotero.org/users/12279291/items/SXNP8Q8X"],"itemData":{"id":2883,"type":"article-journal","container-title":"American Journal of Physiology. Lung Cellular and Molecular Physiology","DOI":"10.1152/ajplung.00280.2021","ISSN":"1522-1504","issue":"3","journalAbbreviation":"Am J Physiol Lung Cell Mol Physiol","language":"eng","page":"L637","PMID":"34491859","PMCID":"PMC8435941","source":"PubMed","title":"The increased hemoglobin oxygen affinity in COVID-19","volume":"321","author":[{"family":"Vogel","given":"Dominik J."},{"family":"Formenti","given":"Federico"},{"family":"Camporota","given":"Luigi"}],"issued":{"date-parts":[["2021",9,1]]}}}],"schema":"https://github.com/citation-style-language/schema/raw/master/csl-citation.json"} </w:instrText>
      </w:r>
      <w:r w:rsidR="008C6CA4">
        <w:rPr>
          <w:rFonts w:ascii="Times New Roman" w:hAnsi="Times New Roman" w:cs="Times New Roman"/>
          <w:color w:val="000000"/>
        </w:rPr>
        <w:fldChar w:fldCharType="separate"/>
      </w:r>
      <w:r w:rsidR="00A47678" w:rsidRPr="00A47678">
        <w:rPr>
          <w:rFonts w:ascii="Times New Roman" w:hAnsi="Times New Roman" w:cs="Times New Roman"/>
          <w:color w:val="000000"/>
        </w:rPr>
        <w:t>(Böning et al., 2024; Rogers et al., 2023; Vogel et al., 2021)</w:t>
      </w:r>
      <w:r w:rsidR="008C6CA4">
        <w:rPr>
          <w:rFonts w:ascii="Times New Roman" w:hAnsi="Times New Roman" w:cs="Times New Roman"/>
          <w:color w:val="000000"/>
        </w:rPr>
        <w:fldChar w:fldCharType="end"/>
      </w:r>
      <w:r w:rsidRPr="002D58D0">
        <w:rPr>
          <w:rFonts w:ascii="Times New Roman" w:hAnsi="Times New Roman" w:cs="Times New Roman"/>
          <w:color w:val="000000"/>
        </w:rPr>
        <w:t>.</w:t>
      </w:r>
    </w:p>
    <w:p w14:paraId="505F9D67" w14:textId="4821F629"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color w:val="000000"/>
        </w:rPr>
        <w:t>The downregulation of immunoglobulin transcripts (IGHG2, IGHG4, IGLV10-54) provides transcriptomic corroboration for the impaired humoral immunity documented in Long COVID</w:t>
      </w:r>
      <w:r w:rsidR="00024284">
        <w:rPr>
          <w:rFonts w:ascii="Times New Roman" w:hAnsi="Times New Roman" w:cs="Times New Roman"/>
          <w:color w:val="000000"/>
        </w:rPr>
        <w:fldChar w:fldCharType="begin"/>
      </w:r>
      <w:r w:rsidR="00024284">
        <w:rPr>
          <w:rFonts w:ascii="Times New Roman" w:hAnsi="Times New Roman" w:cs="Times New Roman"/>
          <w:color w:val="000000"/>
        </w:rPr>
        <w:instrText xml:space="preserve"> ADDIN ZOTERO_ITEM CSL_CITATION {"citationID":"cNZokYPI","properties":{"unsorted":false,"formattedCitation":"(Aracena et al., 2025; Fricke et al., n.d.; Lyudovyk et al., 2022; Rossi et al., 2025)","plainCitation":"(Aracena et al., 2025; Fricke et al., n.d.; Lyudovyk et al., 2022; Rossi et al., 2025)","noteIndex":0},"citationItems":[{"id":2897,"uris":["http://zotero.org/users/12279291/items/DEDQADCR"],"itemData":{"id":2897,"type":"article-journal","container-title":"American Journal of Respiratory Cell and Molecular Biology","DOI":"10.1165/rcmb.2024-0595LE","ISSN":"1535-4989","issue":"4","journalAbbreviation":"Am J Respir Cell Mol Biol","language":"eng","page":"634-637","PMID":"40305670","PMCID":"PMC12498355","source":"PubMed","title":"Transcriptomic Profiling of Long COVID-19 in Patients with Interstitial Lung Disease Reveals Dysregulation of Mitochondrial Oxidative Phosphorylation","volume":"73","author":[{"family":"Aracena","given":"Katherine A."},{"family":"Nwankwo","given":"Grace C."},{"family":"Lee","given":"Cathryn T."},{"family":"Karnik","given":"Rasika"},{"family":"Ventura","given":"Iazsmin"},{"family":"Douglas","given":"Dylan"},{"family":"Udofia","given":"Inem"},{"family":"Chen","given":"Mengjie"},{"family":"Chelala","given":"Lydia"},{"family":"Im","given":"Hae Kyung"},{"family":"Strek","given":"Mary E."},{"family":"Adegunsoye","given":"Ayodeji"}],"issued":{"date-parts":[["2025",10]]}}},{"id":2891,"uris":["http://zotero.org/users/12279291/items/8AIKEF9U"],"itemData":{"id":2891,"type":"article-journal","abstract":"Introduction\nDespite extensive research, the pathogenesis and predispositions underlying long COVID (long-term coronavirus disease 2019) remain poorly understood.\n\nMethods\nTo address this, we analyzed the immunological landscapes of 44 patients with long COVID and 44 matched convalescents using single-cell RNA sequencing (scRNA-seq) of peripheral blood mononuclear cells (PBMCs) and validated the findings with plasma cytokine measurements via Luminex technology.\n\nResults\nWhile the immune cell compositions showed minimal quantitative differences only among natural killer (NK) cells, the transcriptome analyses identified distinct gene expression patterns, particularly in classical monocytes: patients with long COVID exhibited downregulation of the inflammation-associated genes, including IL1B and CXCL2. Imputation of the transcription factor activity hinted at a reduced inflammasome activity (via SNAI1) and an impaired monocyte differentiation (via ATF2) in long COVID. The RNA velocity data supported the presence of immature classical monocytes in these patients.\n\nDiscussion\nThese findings show that monocytes might be dysregulated and/or exhausted in patients with long COVID.","container-title":"Frontiers in Immunology","DOI":"10.3389/fimmu.2025.1710783","ISSN":"1664-3224","journalAbbreviation":"Front Immunol","page":"1710783","PMID":"41280901","PMCID":"PMC12634634","source":"PubMed Central","title":"Transcriptome analysis of classical blood cells reveals downregulation of pro-inflammatory genes in the classical monocytes of long COVID patients","volume":"16","author":[{"family":"Fricke","given":"Florian"},{"family":"Mai","given":"Franz"},{"family":"Wossidlo","given":"Christine"},{"family":"Steinbeck","given":"Felix"},{"family":"Bergmann-Ewert","given":"Wendy"},{"family":"Kordt","given":"Marcel"},{"family":"Kraft","given":"Karin"},{"family":"Müller","given":"Britta"},{"family":"Reisinger","given":"Emil C."},{"family":"Müller-Hilke","given":"Brigitte"}]}},{"id":2894,"uris":["http://zotero.org/users/12279291/items/2INZA9EJ"],"itemData":{"id":2894,"type":"article-journal","abstract":"How immune dysregulation affects recovery from COVID-19 infection in patients with cancer remains unclear. We analyzed cellular and humoral immune responses in 103 patients with prior COVID-19 infection, more than 20% of whom had delayed viral clearance. Delayed clearance was associated with loss of antibodies to nucleocapsid and spike proteins with a compensatory increase in functional T cell responses. High-dimensional analysis of peripheral blood samples demonstrated increased CD8+ effector T cell differentiation and a broad but poorly converged COVID-specific T cell receptor (TCR) repertoire in patients with prolonged disease. Conversely, patients with a CD4+ dominant immunophenotype had a lower incidence of prolonged disease and exhibited a deep and highly select COVID-associated TCR repertoire, consistent with effective viral clearance and development of T cell memory. These results highlight the importance of B cells and CD4+ T cells in promoting durable SARS-CoV-2 clearance and the significance of coordinated cellular and humoral immunity for long-term disease control.","container-title":"Cancer Cell","DOI":"10.1016/j.ccell.2022.05.013","ISSN":"1878-3686","issue":"7","journalAbbreviation":"Cancer Cell","language":"eng","page":"738-753.e5","PMID":"35679859","PMCID":"PMC9149241","source":"PubMed","title":"Impaired humoral immunity is associated with prolonged COVID-19 despite robust CD8 T cell responses","volume":"40","author":[{"family":"Lyudovyk","given":"Olga"},{"family":"Kim","given":"Justin Y."},{"family":"Qualls","given":"David"},{"family":"Hwee","given":"Madeline A."},{"family":"Lin","given":"Ya-Hui"},{"family":"Boutemine","given":"Sawsan R."},{"family":"Elhanati","given":"Yuval"},{"family":"Solovyov","given":"Alexander"},{"family":"Douglas","given":"Melanie"},{"family":"Chen","given":"Eunise"},{"family":"Babady","given":"N. Esther"},{"family":"Ramanathan","given":"Lakshmi"},{"family":"Vedantam","given":"Pallavi"},{"family":"Bandlamudi","given":"Chaitanya"},{"family":"Gouma","given":"Sigrid"},{"family":"Wong","given":"Philip"},{"family":"Hensley","given":"Scott E."},{"family":"Greenbaum","given":"Benjamin"},{"family":"Huang","given":"Alexander C."},{"family":"Vardhana","given":"Santosha A."}],"issued":{"date-parts":[["2022",7,11]]}}},{"id":2903,"uris":["http://zotero.org/users/12279291/items/3M5S9Z8B"],"itemData":{"id":2903,"type":"article-journal","abstract":"Study of the antibody response of a post-COVID syndrome cohort from Comunidad de Madrid (Spain). A post-COVID cohort (n= 104) and a COVID- recovered cohort (n= 30) were studied and compared. Risks factors were determined. Specific immunoglobulins against the Nucleocapsid, the full-length Spike and the receptor-binding domain (RBD) of SARS-CoV-2 were determined and analyzed. Image was produced with Adobe Photoshop CS6 using NIH Bioart illustrations., \nStudy flowchart divided into three sections: study, design, methods, and results. The design section shows a map of Madrid, Spain, noting demographic data, comorbidities, and symptoms in COVID and post-COVID cohorts. Methods illustrate antibody quantitation via flow cytometry for the Spike and ELISA for the receptor binding domain (RBD). Results depict data analysis including IgG, IgG1-IgG4 quantification, and FL-Spike vs. RBD correlations. COVID and Post-COVID groups show differences in the antibody response.","container-title":"Frontiers in Immunology","DOI":"10.3389/fimmu.2025.1670324","ISSN":"1664-3224","journalAbbreviation":"Front Immunol","page":"1670324","PMID":"41112288","PMCID":"PMC12528128","source":"PubMed Central","title":"Post-COVID syndrome patients show reduced anti-Spike antibodies compared to COVID-recovered controls, but enhanced IgG4/IgG1 switch after the third vaccine dose","volume":"16","author":[{"family":"Rossi","given":"Nineth"},{"family":"Benítez-Cruz","given":"Javier"},{"family":"Marín-García","given":"Patricia"},{"family":"Azcárate","given":"Isabel G."},{"family":"González-Escalada","given":"Alba"},{"family":"Hervás","given":"Oscar G."},{"family":"Alarcón","given":"Balbino"},{"family":"Regueiro","given":"José R."},{"family":"Bautista","given":"José M."},{"family":"Martinez-Quiles","given":"Narcisa"}],"issued":{"date-parts":[["2025",10,2]]}}}],"schema":"https://github.com/citation-style-language/schema/raw/master/csl-citation.json"} </w:instrText>
      </w:r>
      <w:r w:rsidR="00024284">
        <w:rPr>
          <w:rFonts w:ascii="Times New Roman" w:hAnsi="Times New Roman" w:cs="Times New Roman"/>
          <w:color w:val="000000"/>
        </w:rPr>
        <w:fldChar w:fldCharType="separate"/>
      </w:r>
      <w:r w:rsidR="00024284">
        <w:rPr>
          <w:rFonts w:ascii="Times New Roman" w:hAnsi="Times New Roman" w:cs="Times New Roman"/>
          <w:noProof/>
          <w:color w:val="000000"/>
        </w:rPr>
        <w:t xml:space="preserve">(Aracena et al., 2025; Fricke et al., </w:t>
      </w:r>
      <w:r w:rsidR="00155AE1">
        <w:rPr>
          <w:rFonts w:ascii="Times New Roman" w:hAnsi="Times New Roman" w:cs="Times New Roman"/>
          <w:noProof/>
          <w:color w:val="000000"/>
        </w:rPr>
        <w:t>2025</w:t>
      </w:r>
      <w:r w:rsidR="00024284">
        <w:rPr>
          <w:rFonts w:ascii="Times New Roman" w:hAnsi="Times New Roman" w:cs="Times New Roman"/>
          <w:noProof/>
          <w:color w:val="000000"/>
        </w:rPr>
        <w:t>; Lyudovyk et al., 2022; Rossi et al., 2025)</w:t>
      </w:r>
      <w:r w:rsidR="00024284">
        <w:rPr>
          <w:rFonts w:ascii="Times New Roman" w:hAnsi="Times New Roman" w:cs="Times New Roman"/>
          <w:color w:val="000000"/>
        </w:rPr>
        <w:fldChar w:fldCharType="end"/>
      </w:r>
      <w:r w:rsidRPr="002D58D0">
        <w:rPr>
          <w:rFonts w:ascii="Times New Roman" w:hAnsi="Times New Roman" w:cs="Times New Roman"/>
          <w:color w:val="000000"/>
        </w:rPr>
        <w:t>. Multiple studies have reported reduced antibody titres, altered B cell subsets, and impaired recall responses in Long COVID patients. The complement activation GO-BP terms enriched in our analysis are consistent with the landmark finding of persistent complement dysregulation — specifically elevated complement split products — in active Long COVID patients</w:t>
      </w:r>
      <w:r w:rsidR="0081482F">
        <w:rPr>
          <w:rFonts w:ascii="Times New Roman" w:hAnsi="Times New Roman" w:cs="Times New Roman"/>
          <w:color w:val="000000"/>
        </w:rPr>
        <w:t xml:space="preserve"> </w:t>
      </w:r>
      <w:r w:rsidR="0081482F">
        <w:rPr>
          <w:rFonts w:ascii="Times New Roman" w:hAnsi="Times New Roman" w:cs="Times New Roman"/>
          <w:color w:val="000000"/>
        </w:rPr>
        <w:fldChar w:fldCharType="begin"/>
      </w:r>
      <w:r w:rsidR="0081482F">
        <w:rPr>
          <w:rFonts w:ascii="Times New Roman" w:hAnsi="Times New Roman" w:cs="Times New Roman"/>
          <w:color w:val="000000"/>
        </w:rPr>
        <w:instrText xml:space="preserve"> ADDIN ZOTERO_ITEM CSL_CITATION {"citationID":"knJ2jpcX","properties":{"unsorted":false,"formattedCitation":"(Cervia-Hasler et al., 2024)","plainCitation":"(Cervia-Hasler et al., 2024)","noteIndex":0},"citationItems":[{"id":2659,"uris":["http://zotero.org/users/12279291/items/V38IIBA9"],"itemData":{"id":2659,"type":"article-journal","abstract":"Long Covid is a debilitating condition of unknown etiology. We performed multimodal proteomics analyses of blood serum from COVID-19 patients followed up to 12 months after confirmed severe acute respiratory syndrome coronavirus 2 infection. Analysis of &gt;6500 proteins in 268 longitudinal samples revealed dysregulated activation of the complement system, an innate immune protection and homeostasis mechanism, in individuals experiencing Long Covid. Thus, active Long Covid was characterized by terminal complement system dysregulation and ongoing activation of the alternative and classical complement pathways, the latter associated with increased antibody titers against several herpesviruses possibly stimulating this pathway. Moreover, markers of hemolysis, tissue injury, platelet activation, and monocyte-platelet aggregates were increased in Long Covid. Machine learning confirmed complement and thromboinflammatory proteins as top biomarkers, warranting diagnostic and therapeutic interrogation of these systems.","container-title":"Science","DOI":"10.1126/science.adg7942","ISSN":"1095-9203","issue":"6680","journalAbbreviation":"Science","language":"eng","page":"eadg7942","PMID":"38236961","publisher-place":"New York, N.Y.","source":"PubMed","title":"Persistent complement dysregulation with signs of thromboinflammation in active Long Covid","volume":"383","author":[{"family":"Cervia-Hasler","given":"Carlo"},{"family":"Brüningk","given":"Sarah C."},{"family":"Hoch","given":"Tobias"},{"family":"Fan","given":"Bowen"},{"family":"Muzio","given":"Giulia"},{"family":"Thompson","given":"Ryan C."},{"family":"Ceglarek","given":"Laura"},{"family":"Meledin","given":"Roman"},{"family":"Westermann","given":"Patrick"},{"family":"Emmenegger","given":"Marc"},{"family":"Taeschler","given":"Patrick"},{"family":"Zurbuchen","given":"Yves"},{"family":"Pons","given":"Michele"},{"family":"Menges","given":"Dominik"},{"family":"Ballouz","given":"Tala"},{"family":"Cervia-Hasler","given":"Sara"},{"family":"Adamo","given":"Sarah"},{"family":"Merad","given":"Miriam"},{"family":"Charney","given":"Alexander W."},{"family":"Puhan","given":"Milo"},{"family":"Brodin","given":"Petter"},{"family":"Nilsson","given":"Jakob"},{"family":"Aguzzi","given":"Adriano"},{"family":"Raeber","given":"Miro E."},{"family":"Messner","given":"Christoph B."},{"family":"Beckmann","given":"Noam D."},{"family":"Borgwardt","given":"Karsten"},{"family":"Boyman","given":"Onur"}],"issued":{"date-parts":[["2024",1,19]]}}}],"schema":"https://github.com/citation-style-language/schema/raw/master/csl-citation.json"} </w:instrText>
      </w:r>
      <w:r w:rsidR="0081482F">
        <w:rPr>
          <w:rFonts w:ascii="Times New Roman" w:hAnsi="Times New Roman" w:cs="Times New Roman"/>
          <w:color w:val="000000"/>
        </w:rPr>
        <w:fldChar w:fldCharType="separate"/>
      </w:r>
      <w:r w:rsidR="0081482F">
        <w:rPr>
          <w:rFonts w:ascii="Times New Roman" w:hAnsi="Times New Roman" w:cs="Times New Roman"/>
          <w:noProof/>
          <w:color w:val="000000"/>
        </w:rPr>
        <w:t>(Cervia-Hasler et al., 2024)</w:t>
      </w:r>
      <w:r w:rsidR="0081482F">
        <w:rPr>
          <w:rFonts w:ascii="Times New Roman" w:hAnsi="Times New Roman" w:cs="Times New Roman"/>
          <w:color w:val="000000"/>
        </w:rPr>
        <w:fldChar w:fldCharType="end"/>
      </w:r>
      <w:r w:rsidR="0081482F">
        <w:rPr>
          <w:rFonts w:ascii="Times New Roman" w:hAnsi="Times New Roman" w:cs="Times New Roman"/>
          <w:color w:val="000000"/>
        </w:rPr>
        <w:t>.</w:t>
      </w:r>
      <w:r w:rsidRPr="002D58D0">
        <w:rPr>
          <w:rFonts w:ascii="Times New Roman" w:hAnsi="Times New Roman" w:cs="Times New Roman"/>
          <w:color w:val="000000"/>
        </w:rPr>
        <w:t xml:space="preserve">Together, the immunoglobulin and complement signals </w:t>
      </w:r>
      <w:r w:rsidRPr="002D58D0">
        <w:rPr>
          <w:rFonts w:ascii="Times New Roman" w:hAnsi="Times New Roman" w:cs="Times New Roman"/>
          <w:color w:val="000000"/>
        </w:rPr>
        <w:lastRenderedPageBreak/>
        <w:t>converge on a picture of humoral immune insufficiency in Long COVID, potentially contributing to viral antigen persistence and chronic immune activation.</w:t>
      </w:r>
    </w:p>
    <w:p w14:paraId="01377466" w14:textId="77777777" w:rsidR="00155AE1" w:rsidRDefault="00155AE1" w:rsidP="00ED5B59">
      <w:pPr>
        <w:spacing w:after="160" w:line="312" w:lineRule="auto"/>
        <w:jc w:val="both"/>
        <w:rPr>
          <w:rFonts w:ascii="Times New Roman" w:hAnsi="Times New Roman" w:cs="Times New Roman"/>
          <w:color w:val="000000"/>
        </w:rPr>
      </w:pPr>
    </w:p>
    <w:p w14:paraId="0C0D1CA7" w14:textId="77777777" w:rsidR="00155AE1" w:rsidRDefault="00155AE1" w:rsidP="00ED5B59">
      <w:pPr>
        <w:spacing w:after="160" w:line="312" w:lineRule="auto"/>
        <w:jc w:val="both"/>
        <w:rPr>
          <w:rFonts w:ascii="Times New Roman" w:hAnsi="Times New Roman" w:cs="Times New Roman"/>
          <w:color w:val="000000"/>
        </w:rPr>
      </w:pPr>
    </w:p>
    <w:p w14:paraId="1AB5BB78" w14:textId="42E19241" w:rsidR="00155AE1" w:rsidRPr="00155AE1" w:rsidRDefault="00155AE1" w:rsidP="00155AE1">
      <w:pPr>
        <w:pStyle w:val="Heading1"/>
        <w:spacing w:line="312" w:lineRule="auto"/>
        <w:rPr>
          <w:rFonts w:ascii="Times New Roman" w:hAnsi="Times New Roman" w:cs="Times New Roman"/>
        </w:rPr>
      </w:pPr>
      <w:r>
        <w:rPr>
          <w:rFonts w:ascii="Times New Roman" w:hAnsi="Times New Roman" w:cs="Times New Roman"/>
        </w:rPr>
        <w:t>5</w:t>
      </w:r>
      <w:r w:rsidRPr="002D58D0">
        <w:rPr>
          <w:rFonts w:ascii="Times New Roman" w:hAnsi="Times New Roman" w:cs="Times New Roman"/>
        </w:rPr>
        <w:t xml:space="preserve">. </w:t>
      </w:r>
      <w:r>
        <w:rPr>
          <w:rFonts w:ascii="Times New Roman" w:hAnsi="Times New Roman" w:cs="Times New Roman"/>
        </w:rPr>
        <w:t>Limitations</w:t>
      </w:r>
    </w:p>
    <w:p w14:paraId="22D180D5" w14:textId="1F9BC0E5" w:rsidR="001E0BCA" w:rsidRPr="001E0BCA" w:rsidRDefault="003A521C" w:rsidP="00ED5B59">
      <w:pPr>
        <w:spacing w:after="160" w:line="312" w:lineRule="auto"/>
        <w:jc w:val="both"/>
        <w:rPr>
          <w:rFonts w:ascii="Times New Roman" w:hAnsi="Times New Roman" w:cs="Times New Roman"/>
          <w:color w:val="000000"/>
        </w:rPr>
      </w:pPr>
      <w:r w:rsidRPr="002D58D0">
        <w:rPr>
          <w:rFonts w:ascii="Times New Roman" w:hAnsi="Times New Roman" w:cs="Times New Roman"/>
          <w:color w:val="000000"/>
        </w:rPr>
        <w:t xml:space="preserve">Several limitations of this study warrant acknowledgement. First, the GWAS data </w:t>
      </w:r>
      <w:r w:rsidR="002D58D0" w:rsidRPr="002D58D0">
        <w:rPr>
          <w:rFonts w:ascii="Times New Roman" w:hAnsi="Times New Roman" w:cs="Times New Roman"/>
          <w:color w:val="000000"/>
        </w:rPr>
        <w:t>utilized</w:t>
      </w:r>
      <w:r w:rsidRPr="002D58D0">
        <w:rPr>
          <w:rFonts w:ascii="Times New Roman" w:hAnsi="Times New Roman" w:cs="Times New Roman"/>
          <w:color w:val="000000"/>
        </w:rPr>
        <w:t xml:space="preserve"> represent an early data freeze with approximately 3,000 Long COVID cases, substantially underpowered relative to the final published dataset (n=15,950). Consequently, our GWAS suggestive loci did not reach conventional genome-wide significance, and our GWAS-transcriptomics integration relied on published GWAS gene lists rather than newly discovered loci. This limitation is methodologically </w:t>
      </w:r>
      <w:r w:rsidR="00155AE1" w:rsidRPr="002D58D0">
        <w:rPr>
          <w:rFonts w:ascii="Times New Roman" w:hAnsi="Times New Roman" w:cs="Times New Roman"/>
          <w:color w:val="000000"/>
        </w:rPr>
        <w:t>acknowledged,</w:t>
      </w:r>
      <w:r w:rsidRPr="002D58D0">
        <w:rPr>
          <w:rFonts w:ascii="Times New Roman" w:hAnsi="Times New Roman" w:cs="Times New Roman"/>
          <w:color w:val="000000"/>
        </w:rPr>
        <w:t xml:space="preserve"> and our integration strategy is explicitly framed as hypothesis-generating. Second, the transcriptomic dataset comprised n=36 samples with modest statistical power for differential expression, resulting in few FDR-corrected significant genes; we therefore applied a nominal significance threshold with appropriate caveats. Third, bulk PBMC RNA-sequencing does not resolve cell-type-specific expression changes, and future single-cell analyses would be required to attribute the HLA-DQA1 downregulation to specific antigen-presenting cell subtypes. Fourth, the cross-sectional nature of the transcriptomic data (single time point at 8 months post-infection) precludes longitudinal inference about the trajectory of immune recovery.</w:t>
      </w:r>
      <w:r w:rsidR="001E0BCA">
        <w:rPr>
          <w:rFonts w:ascii="Times New Roman" w:hAnsi="Times New Roman" w:cs="Times New Roman"/>
          <w:color w:val="000000"/>
        </w:rPr>
        <w:t xml:space="preserve"> Finally</w:t>
      </w:r>
      <w:r w:rsidR="001E0BCA" w:rsidRPr="001E0BCA">
        <w:rPr>
          <w:rFonts w:ascii="Times New Roman" w:hAnsi="Times New Roman" w:cs="Times New Roman"/>
        </w:rPr>
        <w:t>, the convergent integration analysis tested 11 pre-specified GWAS immune genes against transcriptomic data, and the nominally significant HLA-DQA1 finding (p=0.049) does not survive Bonferroni correction for multiple comparisons (corrected threshold p&lt;0.0045). This finding is therefore presented as a hypothesis-generating signal rather than a definitive result, and independent replication is required.</w:t>
      </w:r>
    </w:p>
    <w:p w14:paraId="7B1A8C0F" w14:textId="77777777"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color w:val="000000"/>
        </w:rPr>
        <w:t>Despite these limitations, the strengths of this study are noteworthy. The use of entirely publicly available data ensures full reproducibility and transparency. The integrative framework — testing whether GWAS-implicated genes show concordant transcriptomic dysregulation — represents a scalable approach applicable to any post-infectious condition where GWAS summary statistics and transcriptomic data are available. The identification of HLA-DQA1 as a convergent candidate is directly actionable: future studies should perform HLA typing in Long COVID cohorts and assess whether specific HLA-DQ alleles confer differential risk and correlate with ex vivo HLA class II expression on antigen-presenting cells.</w:t>
      </w:r>
    </w:p>
    <w:p w14:paraId="447C2757" w14:textId="1DC7814C"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color w:val="000000"/>
        </w:rPr>
        <w:t xml:space="preserve">Future directions emerging from this work include: (1) replication of the HLA-DQA1 transcriptomic signal in larger Long COVID PBMC cohorts; (2) single-cell RNA-sequencing to identify the antigen-presenting cell subtypes responsible for HLA class II downregulation; (3) functional studies testing </w:t>
      </w:r>
      <w:r w:rsidRPr="002D58D0">
        <w:rPr>
          <w:rFonts w:ascii="Times New Roman" w:hAnsi="Times New Roman" w:cs="Times New Roman"/>
          <w:color w:val="000000"/>
        </w:rPr>
        <w:lastRenderedPageBreak/>
        <w:t xml:space="preserve">whether HLA-DQA1 expression levels correlate with T cell activation capacity and viral antigen clearance in Long COVID patients; (4) formal TWAS and colocalization analyses as the Long COVID GWAS achieves greater statistical power; and (5) integration of proteomics and methylation data to fully </w:t>
      </w:r>
      <w:r w:rsidR="002D58D0" w:rsidRPr="002D58D0">
        <w:rPr>
          <w:rFonts w:ascii="Times New Roman" w:hAnsi="Times New Roman" w:cs="Times New Roman"/>
          <w:color w:val="000000"/>
        </w:rPr>
        <w:t>characterize</w:t>
      </w:r>
      <w:r w:rsidRPr="002D58D0">
        <w:rPr>
          <w:rFonts w:ascii="Times New Roman" w:hAnsi="Times New Roman" w:cs="Times New Roman"/>
          <w:color w:val="000000"/>
        </w:rPr>
        <w:t xml:space="preserve"> the molecular architecture of Long COVID immune dysregulation.</w:t>
      </w:r>
    </w:p>
    <w:p w14:paraId="69FE133D" w14:textId="77777777" w:rsidR="007133EC" w:rsidRPr="002D58D0" w:rsidRDefault="003A521C" w:rsidP="00ED5B59">
      <w:pPr>
        <w:spacing w:line="312" w:lineRule="auto"/>
        <w:rPr>
          <w:rFonts w:ascii="Times New Roman" w:hAnsi="Times New Roman" w:cs="Times New Roman"/>
        </w:rPr>
      </w:pPr>
      <w:r w:rsidRPr="002D58D0">
        <w:rPr>
          <w:rFonts w:ascii="Times New Roman" w:hAnsi="Times New Roman" w:cs="Times New Roman"/>
        </w:rPr>
        <w:br/>
      </w:r>
      <w:r w:rsidRPr="002D58D0">
        <w:rPr>
          <w:rFonts w:ascii="Times New Roman" w:hAnsi="Times New Roman" w:cs="Times New Roman"/>
        </w:rPr>
        <w:br w:type="page"/>
      </w:r>
    </w:p>
    <w:p w14:paraId="5334F4CF" w14:textId="3E408B61" w:rsidR="007133EC" w:rsidRPr="002D58D0" w:rsidRDefault="00155AE1" w:rsidP="00ED5B59">
      <w:pPr>
        <w:pStyle w:val="Heading1"/>
        <w:spacing w:line="312" w:lineRule="auto"/>
        <w:rPr>
          <w:rFonts w:ascii="Times New Roman" w:hAnsi="Times New Roman" w:cs="Times New Roman"/>
        </w:rPr>
      </w:pPr>
      <w:r>
        <w:rPr>
          <w:rFonts w:ascii="Times New Roman" w:hAnsi="Times New Roman" w:cs="Times New Roman"/>
        </w:rPr>
        <w:lastRenderedPageBreak/>
        <w:t>6</w:t>
      </w:r>
      <w:r w:rsidRPr="002D58D0">
        <w:rPr>
          <w:rFonts w:ascii="Times New Roman" w:hAnsi="Times New Roman" w:cs="Times New Roman"/>
        </w:rPr>
        <w:t>. Conclusion</w:t>
      </w:r>
    </w:p>
    <w:p w14:paraId="31A08763" w14:textId="7257F36F"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color w:val="000000"/>
        </w:rPr>
        <w:t>This integrative multi-omics study provides convergent transcriptomic and genomic evidence for immune dysregulation in Long COVID. We demonstrate that HLA-DQA1 — a genome-wide significant Long COVID GWAS locus — is nominally downregulated in Long COVID PBMCs, with a concordant signal at the co-</w:t>
      </w:r>
      <w:r w:rsidR="002D58D0" w:rsidRPr="002D58D0">
        <w:rPr>
          <w:rFonts w:ascii="Times New Roman" w:hAnsi="Times New Roman" w:cs="Times New Roman"/>
          <w:color w:val="000000"/>
        </w:rPr>
        <w:t>localized</w:t>
      </w:r>
      <w:r w:rsidRPr="002D58D0">
        <w:rPr>
          <w:rFonts w:ascii="Times New Roman" w:hAnsi="Times New Roman" w:cs="Times New Roman"/>
          <w:color w:val="000000"/>
        </w:rPr>
        <w:t xml:space="preserve"> HLA-DQB1 locus. These findings support MHC class II antigen presentation impairment as a plausible mechanism linking genetic susceptibility to chronic immune dysfunction in Long COVID. The concurrent erythroid stress transcriptomic signature, complement pathway dysregulation, and suppressed immunoglobulin expression collectively paint a picture of broad immune and haematopoietic perturbation in Long COVID at 8 months post-infection. This publicly reproducible analytical framework provides a template for convergent multi-omics investigation of post-acute sequelae and highlights HLA-DQA1 as a priority target for functional validation and potential immunotherapeutic intervention.</w:t>
      </w:r>
    </w:p>
    <w:p w14:paraId="7676A0CD" w14:textId="77777777" w:rsidR="007133EC" w:rsidRPr="002D58D0" w:rsidRDefault="003A521C" w:rsidP="00ED5B59">
      <w:pPr>
        <w:spacing w:line="312" w:lineRule="auto"/>
        <w:rPr>
          <w:rFonts w:ascii="Times New Roman" w:hAnsi="Times New Roman" w:cs="Times New Roman"/>
        </w:rPr>
      </w:pPr>
      <w:r w:rsidRPr="002D58D0">
        <w:rPr>
          <w:rFonts w:ascii="Times New Roman" w:hAnsi="Times New Roman" w:cs="Times New Roman"/>
        </w:rPr>
        <w:br/>
      </w:r>
      <w:r w:rsidRPr="002D58D0">
        <w:rPr>
          <w:rFonts w:ascii="Times New Roman" w:hAnsi="Times New Roman" w:cs="Times New Roman"/>
        </w:rPr>
        <w:br w:type="page"/>
      </w:r>
    </w:p>
    <w:p w14:paraId="2642929B" w14:textId="77777777" w:rsidR="004662D9" w:rsidRPr="004662D9" w:rsidRDefault="004662D9" w:rsidP="004662D9">
      <w:pPr>
        <w:spacing w:line="312" w:lineRule="auto"/>
        <w:rPr>
          <w:rFonts w:ascii="Times New Roman" w:hAnsi="Times New Roman" w:cs="Times New Roman"/>
          <w:b/>
          <w:bCs/>
          <w:sz w:val="28"/>
          <w:szCs w:val="28"/>
        </w:rPr>
      </w:pPr>
      <w:r w:rsidRPr="004662D9">
        <w:rPr>
          <w:rFonts w:ascii="Times New Roman" w:hAnsi="Times New Roman" w:cs="Times New Roman"/>
          <w:b/>
          <w:bCs/>
          <w:sz w:val="28"/>
          <w:szCs w:val="28"/>
        </w:rPr>
        <w:lastRenderedPageBreak/>
        <w:t>Data Availability Statement</w:t>
      </w:r>
    </w:p>
    <w:p w14:paraId="62FF19F3" w14:textId="77777777" w:rsidR="004662D9" w:rsidRPr="004662D9" w:rsidRDefault="004662D9" w:rsidP="004662D9">
      <w:pPr>
        <w:spacing w:line="312" w:lineRule="auto"/>
        <w:rPr>
          <w:rFonts w:ascii="Times New Roman" w:hAnsi="Times New Roman" w:cs="Times New Roman"/>
        </w:rPr>
      </w:pPr>
      <w:r w:rsidRPr="004662D9">
        <w:rPr>
          <w:rFonts w:ascii="Times New Roman" w:hAnsi="Times New Roman" w:cs="Times New Roman"/>
        </w:rPr>
        <w:t>All data used in this study are publicly available at no cost and require no application, registration, or institutional approval to access.</w:t>
      </w:r>
    </w:p>
    <w:p w14:paraId="6F9370B7" w14:textId="77777777" w:rsidR="004662D9" w:rsidRPr="004662D9" w:rsidRDefault="004662D9" w:rsidP="004662D9">
      <w:pPr>
        <w:spacing w:line="312" w:lineRule="auto"/>
        <w:rPr>
          <w:rFonts w:ascii="Times New Roman" w:hAnsi="Times New Roman" w:cs="Times New Roman"/>
        </w:rPr>
      </w:pPr>
      <w:r w:rsidRPr="004662D9">
        <w:rPr>
          <w:rFonts w:ascii="Times New Roman" w:hAnsi="Times New Roman" w:cs="Times New Roman"/>
        </w:rPr>
        <w:t xml:space="preserve">Long COVID GWAS summary statistics (Long COVID Host Genetics Initiative, Data Freeze 4, Wave 1) are available via the </w:t>
      </w:r>
      <w:proofErr w:type="spellStart"/>
      <w:r w:rsidRPr="004662D9">
        <w:rPr>
          <w:rFonts w:ascii="Times New Roman" w:hAnsi="Times New Roman" w:cs="Times New Roman"/>
        </w:rPr>
        <w:t>LocusZoom</w:t>
      </w:r>
      <w:proofErr w:type="spellEnd"/>
      <w:r w:rsidRPr="004662D9">
        <w:rPr>
          <w:rFonts w:ascii="Times New Roman" w:hAnsi="Times New Roman" w:cs="Times New Roman"/>
        </w:rPr>
        <w:t xml:space="preserve"> portal at </w:t>
      </w:r>
      <w:hyperlink r:id="rId14" w:history="1">
        <w:r w:rsidRPr="004662D9">
          <w:rPr>
            <w:rStyle w:val="Hyperlink"/>
            <w:rFonts w:ascii="Times New Roman" w:hAnsi="Times New Roman" w:cs="Times New Roman"/>
          </w:rPr>
          <w:t>https://my.locuszoom.org/gwas/91854/</w:t>
        </w:r>
      </w:hyperlink>
      <w:r w:rsidRPr="004662D9">
        <w:rPr>
          <w:rFonts w:ascii="Times New Roman" w:hAnsi="Times New Roman" w:cs="Times New Roman"/>
        </w:rPr>
        <w:t xml:space="preserve"> (access token: 723e672edf13478e817ca44b56c0c068). COVID-19 Host Genetics Initiative Release 7 summary statistics are available at </w:t>
      </w:r>
      <w:hyperlink r:id="rId15" w:history="1">
        <w:r w:rsidRPr="004662D9">
          <w:rPr>
            <w:rStyle w:val="Hyperlink"/>
            <w:rFonts w:ascii="Times New Roman" w:hAnsi="Times New Roman" w:cs="Times New Roman"/>
          </w:rPr>
          <w:t>https://www.covid19hg.org/results/r7/</w:t>
        </w:r>
      </w:hyperlink>
      <w:r w:rsidRPr="004662D9">
        <w:rPr>
          <w:rFonts w:ascii="Times New Roman" w:hAnsi="Times New Roman" w:cs="Times New Roman"/>
        </w:rPr>
        <w:t xml:space="preserve">. PBMC bulk RNA-sequencing data and pre-computed differential expression results are available from the NCBI Gene Expression Omnibus under accession number GSE224615 at </w:t>
      </w:r>
      <w:hyperlink r:id="rId16" w:history="1">
        <w:r w:rsidRPr="004662D9">
          <w:rPr>
            <w:rStyle w:val="Hyperlink"/>
            <w:rFonts w:ascii="Times New Roman" w:hAnsi="Times New Roman" w:cs="Times New Roman"/>
          </w:rPr>
          <w:t>https://www.ncbi.nlm.nih.gov/geo/query/acc.cgi?acc=GSE224615</w:t>
        </w:r>
      </w:hyperlink>
      <w:r w:rsidRPr="004662D9">
        <w:rPr>
          <w:rFonts w:ascii="Times New Roman" w:hAnsi="Times New Roman" w:cs="Times New Roman"/>
        </w:rPr>
        <w:t>. No patient-level or individually identifiable data were accessed in this study.</w:t>
      </w:r>
    </w:p>
    <w:p w14:paraId="06581CD6" w14:textId="003EC6C4" w:rsidR="004662D9" w:rsidRPr="004662D9" w:rsidRDefault="004662D9" w:rsidP="004662D9">
      <w:pPr>
        <w:spacing w:line="312" w:lineRule="auto"/>
        <w:rPr>
          <w:rFonts w:ascii="Times New Roman" w:hAnsi="Times New Roman" w:cs="Times New Roman"/>
          <w:sz w:val="28"/>
          <w:szCs w:val="28"/>
        </w:rPr>
      </w:pPr>
    </w:p>
    <w:p w14:paraId="7D56F70F" w14:textId="77777777" w:rsidR="004662D9" w:rsidRPr="004662D9" w:rsidRDefault="004662D9" w:rsidP="004662D9">
      <w:pPr>
        <w:spacing w:line="312" w:lineRule="auto"/>
        <w:rPr>
          <w:rFonts w:ascii="Times New Roman" w:hAnsi="Times New Roman" w:cs="Times New Roman"/>
          <w:b/>
          <w:bCs/>
          <w:sz w:val="28"/>
          <w:szCs w:val="28"/>
        </w:rPr>
      </w:pPr>
      <w:r w:rsidRPr="004662D9">
        <w:rPr>
          <w:rFonts w:ascii="Times New Roman" w:hAnsi="Times New Roman" w:cs="Times New Roman"/>
          <w:b/>
          <w:bCs/>
          <w:sz w:val="28"/>
          <w:szCs w:val="28"/>
        </w:rPr>
        <w:t>Code Availability Statement</w:t>
      </w:r>
    </w:p>
    <w:p w14:paraId="6C55AF3C" w14:textId="70BC3B60" w:rsidR="004662D9" w:rsidRDefault="004662D9" w:rsidP="004662D9">
      <w:pPr>
        <w:spacing w:line="312" w:lineRule="auto"/>
        <w:rPr>
          <w:rFonts w:ascii="Times New Roman" w:hAnsi="Times New Roman" w:cs="Times New Roman"/>
        </w:rPr>
      </w:pPr>
      <w:r w:rsidRPr="004662D9">
        <w:rPr>
          <w:rFonts w:ascii="Times New Roman" w:hAnsi="Times New Roman" w:cs="Times New Roman"/>
        </w:rPr>
        <w:t xml:space="preserve">The complete analytical pipeline reproducing all figures and tables in this manuscript is publicly available at </w:t>
      </w:r>
      <w:hyperlink r:id="rId17" w:history="1">
        <w:r w:rsidRPr="004662D9">
          <w:rPr>
            <w:rStyle w:val="Hyperlink"/>
            <w:rFonts w:ascii="Times New Roman" w:hAnsi="Times New Roman" w:cs="Times New Roman"/>
          </w:rPr>
          <w:t>https://github.com/kelyto30/longcovid-multiomics</w:t>
        </w:r>
      </w:hyperlink>
      <w:r w:rsidRPr="004662D9">
        <w:rPr>
          <w:rFonts w:ascii="Times New Roman" w:hAnsi="Times New Roman" w:cs="Times New Roman"/>
        </w:rPr>
        <w:t xml:space="preserve">. All analyses were conducted in R (v4.3.2) with Bioconductor (v3.18). Key packages include </w:t>
      </w:r>
      <w:proofErr w:type="spellStart"/>
      <w:proofErr w:type="gramStart"/>
      <w:r w:rsidRPr="004662D9">
        <w:rPr>
          <w:rFonts w:ascii="Times New Roman" w:hAnsi="Times New Roman" w:cs="Times New Roman"/>
        </w:rPr>
        <w:t>data.table</w:t>
      </w:r>
      <w:proofErr w:type="spellEnd"/>
      <w:proofErr w:type="gramEnd"/>
      <w:r w:rsidRPr="004662D9">
        <w:rPr>
          <w:rFonts w:ascii="Times New Roman" w:hAnsi="Times New Roman" w:cs="Times New Roman"/>
        </w:rPr>
        <w:t xml:space="preserve"> (v1.17.8), ggplot2 (v3.5.2), </w:t>
      </w:r>
      <w:proofErr w:type="spellStart"/>
      <w:r w:rsidRPr="004662D9">
        <w:rPr>
          <w:rFonts w:ascii="Times New Roman" w:hAnsi="Times New Roman" w:cs="Times New Roman"/>
        </w:rPr>
        <w:t>clusterProfiler</w:t>
      </w:r>
      <w:proofErr w:type="spellEnd"/>
      <w:r w:rsidRPr="004662D9">
        <w:rPr>
          <w:rFonts w:ascii="Times New Roman" w:hAnsi="Times New Roman" w:cs="Times New Roman"/>
        </w:rPr>
        <w:t xml:space="preserve"> (v4.10.1), </w:t>
      </w:r>
      <w:proofErr w:type="spellStart"/>
      <w:r w:rsidRPr="004662D9">
        <w:rPr>
          <w:rFonts w:ascii="Times New Roman" w:hAnsi="Times New Roman" w:cs="Times New Roman"/>
        </w:rPr>
        <w:t>EnhancedVolcano</w:t>
      </w:r>
      <w:proofErr w:type="spellEnd"/>
      <w:r w:rsidRPr="004662D9">
        <w:rPr>
          <w:rFonts w:ascii="Times New Roman" w:hAnsi="Times New Roman" w:cs="Times New Roman"/>
        </w:rPr>
        <w:t xml:space="preserve"> (v1.20.0), </w:t>
      </w:r>
      <w:proofErr w:type="spellStart"/>
      <w:r w:rsidRPr="004662D9">
        <w:rPr>
          <w:rFonts w:ascii="Times New Roman" w:hAnsi="Times New Roman" w:cs="Times New Roman"/>
        </w:rPr>
        <w:t>GEOquery</w:t>
      </w:r>
      <w:proofErr w:type="spellEnd"/>
      <w:r w:rsidRPr="004662D9">
        <w:rPr>
          <w:rFonts w:ascii="Times New Roman" w:hAnsi="Times New Roman" w:cs="Times New Roman"/>
        </w:rPr>
        <w:t xml:space="preserve">, </w:t>
      </w:r>
      <w:proofErr w:type="spellStart"/>
      <w:r w:rsidRPr="004662D9">
        <w:rPr>
          <w:rFonts w:ascii="Times New Roman" w:hAnsi="Times New Roman" w:cs="Times New Roman"/>
        </w:rPr>
        <w:t>org.Hs.eg.db</w:t>
      </w:r>
      <w:proofErr w:type="spellEnd"/>
      <w:r w:rsidRPr="004662D9">
        <w:rPr>
          <w:rFonts w:ascii="Times New Roman" w:hAnsi="Times New Roman" w:cs="Times New Roman"/>
        </w:rPr>
        <w:t xml:space="preserve">, </w:t>
      </w:r>
      <w:proofErr w:type="spellStart"/>
      <w:r w:rsidRPr="004662D9">
        <w:rPr>
          <w:rFonts w:ascii="Times New Roman" w:hAnsi="Times New Roman" w:cs="Times New Roman"/>
        </w:rPr>
        <w:t>biomaRt</w:t>
      </w:r>
      <w:proofErr w:type="spellEnd"/>
      <w:r w:rsidRPr="004662D9">
        <w:rPr>
          <w:rFonts w:ascii="Times New Roman" w:hAnsi="Times New Roman" w:cs="Times New Roman"/>
        </w:rPr>
        <w:t xml:space="preserve">, and </w:t>
      </w:r>
      <w:proofErr w:type="spellStart"/>
      <w:r w:rsidRPr="004662D9">
        <w:rPr>
          <w:rFonts w:ascii="Times New Roman" w:hAnsi="Times New Roman" w:cs="Times New Roman"/>
        </w:rPr>
        <w:t>GenomicRanges</w:t>
      </w:r>
      <w:proofErr w:type="spellEnd"/>
      <w:r w:rsidRPr="004662D9">
        <w:rPr>
          <w:rFonts w:ascii="Times New Roman" w:hAnsi="Times New Roman" w:cs="Times New Roman"/>
        </w:rPr>
        <w:t>. The repository includes a README with step-by-step instructions for full reproduction of all results from publicly available raw data.</w:t>
      </w:r>
    </w:p>
    <w:p w14:paraId="0FCBFB23" w14:textId="2880B2BC" w:rsidR="007133EC" w:rsidRPr="002D58D0" w:rsidRDefault="003A521C" w:rsidP="00ED5B59">
      <w:pPr>
        <w:pStyle w:val="Heading1"/>
        <w:spacing w:line="312" w:lineRule="auto"/>
        <w:rPr>
          <w:rFonts w:ascii="Times New Roman" w:hAnsi="Times New Roman" w:cs="Times New Roman"/>
        </w:rPr>
      </w:pPr>
      <w:r w:rsidRPr="002D58D0">
        <w:rPr>
          <w:rFonts w:ascii="Times New Roman" w:hAnsi="Times New Roman" w:cs="Times New Roman"/>
        </w:rPr>
        <w:t>Author Contributions</w:t>
      </w:r>
    </w:p>
    <w:p w14:paraId="612F8D20" w14:textId="77777777" w:rsidR="007133EC" w:rsidRPr="002D58D0" w:rsidRDefault="003A521C" w:rsidP="00ED5B59">
      <w:pPr>
        <w:pStyle w:val="Heading1"/>
        <w:spacing w:line="312" w:lineRule="auto"/>
        <w:rPr>
          <w:rFonts w:ascii="Times New Roman" w:hAnsi="Times New Roman" w:cs="Times New Roman"/>
        </w:rPr>
      </w:pPr>
      <w:r w:rsidRPr="002D58D0">
        <w:rPr>
          <w:rFonts w:ascii="Times New Roman" w:hAnsi="Times New Roman" w:cs="Times New Roman"/>
        </w:rPr>
        <w:t>Conflict of Interest</w:t>
      </w:r>
    </w:p>
    <w:p w14:paraId="7845DBEA" w14:textId="77777777"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color w:val="000000"/>
        </w:rPr>
        <w:t>The author declares no competing interests.</w:t>
      </w:r>
    </w:p>
    <w:p w14:paraId="2B12914D" w14:textId="77777777" w:rsidR="007133EC" w:rsidRPr="002D58D0" w:rsidRDefault="003A521C" w:rsidP="00ED5B59">
      <w:pPr>
        <w:pStyle w:val="Heading1"/>
        <w:spacing w:line="312" w:lineRule="auto"/>
        <w:rPr>
          <w:rFonts w:ascii="Times New Roman" w:hAnsi="Times New Roman" w:cs="Times New Roman"/>
        </w:rPr>
      </w:pPr>
      <w:r w:rsidRPr="002D58D0">
        <w:rPr>
          <w:rFonts w:ascii="Times New Roman" w:hAnsi="Times New Roman" w:cs="Times New Roman"/>
        </w:rPr>
        <w:t>Acknowledgements</w:t>
      </w:r>
    </w:p>
    <w:p w14:paraId="025D0307" w14:textId="0996D91F" w:rsidR="007133EC" w:rsidRPr="002D58D0" w:rsidRDefault="003A521C" w:rsidP="00ED5B59">
      <w:pPr>
        <w:spacing w:after="160" w:line="312" w:lineRule="auto"/>
        <w:jc w:val="both"/>
        <w:rPr>
          <w:rFonts w:ascii="Times New Roman" w:hAnsi="Times New Roman" w:cs="Times New Roman"/>
        </w:rPr>
      </w:pPr>
      <w:r w:rsidRPr="002D58D0">
        <w:rPr>
          <w:rFonts w:ascii="Times New Roman" w:hAnsi="Times New Roman" w:cs="Times New Roman"/>
          <w:color w:val="000000"/>
        </w:rPr>
        <w:t xml:space="preserve">The author thanks the Long COVID Host Genetics Initiative, the 23andMe research team, and the investigators of GSE224615 for making their data publicly available. </w:t>
      </w:r>
    </w:p>
    <w:p w14:paraId="1091CF17" w14:textId="77777777" w:rsidR="001C335D" w:rsidRPr="001C335D" w:rsidRDefault="003A521C" w:rsidP="001C335D">
      <w:pPr>
        <w:rPr>
          <w:rFonts w:ascii="Calibri" w:eastAsia="Calibri" w:hAnsi="Calibri" w:cs="Times New Roman"/>
          <w:kern w:val="2"/>
          <w:sz w:val="22"/>
          <w:szCs w:val="22"/>
          <w:highlight w:val="yellow"/>
          <w14:ligatures w14:val="standardContextual"/>
        </w:rPr>
      </w:pPr>
      <w:r w:rsidRPr="002D58D0">
        <w:rPr>
          <w:rFonts w:ascii="Times New Roman" w:hAnsi="Times New Roman" w:cs="Times New Roman"/>
        </w:rPr>
        <w:br/>
      </w:r>
      <w:r w:rsidR="001C335D" w:rsidRPr="001C335D">
        <w:rPr>
          <w:rFonts w:ascii="Calibri" w:eastAsia="Calibri" w:hAnsi="Calibri" w:cs="Times New Roman"/>
          <w:kern w:val="2"/>
          <w:sz w:val="22"/>
          <w:szCs w:val="22"/>
          <w:highlight w:val="yellow"/>
          <w14:ligatures w14:val="standardContextual"/>
        </w:rPr>
        <w:t>Disclaimer (Artificial intelligence)</w:t>
      </w:r>
    </w:p>
    <w:p w14:paraId="44C2548F" w14:textId="77777777" w:rsidR="001C335D" w:rsidRPr="001C335D" w:rsidRDefault="001C335D" w:rsidP="001C335D">
      <w:pPr>
        <w:spacing w:after="200" w:line="276" w:lineRule="auto"/>
        <w:rPr>
          <w:rFonts w:ascii="Calibri" w:eastAsia="Calibri" w:hAnsi="Calibri" w:cs="Times New Roman"/>
          <w:kern w:val="2"/>
          <w:sz w:val="22"/>
          <w:szCs w:val="22"/>
          <w:highlight w:val="yellow"/>
          <w14:ligatures w14:val="standardContextual"/>
        </w:rPr>
      </w:pPr>
      <w:r w:rsidRPr="001C335D">
        <w:rPr>
          <w:rFonts w:ascii="Calibri" w:eastAsia="Calibri" w:hAnsi="Calibri" w:cs="Times New Roman"/>
          <w:kern w:val="2"/>
          <w:sz w:val="22"/>
          <w:szCs w:val="22"/>
          <w:highlight w:val="yellow"/>
          <w14:ligatures w14:val="standardContextual"/>
        </w:rPr>
        <w:t>Author(s) hereby declare that NO generative AI technologies such as Large Language Models (</w:t>
      </w:r>
      <w:proofErr w:type="spellStart"/>
      <w:r w:rsidRPr="001C335D">
        <w:rPr>
          <w:rFonts w:ascii="Calibri" w:eastAsia="Calibri" w:hAnsi="Calibri" w:cs="Times New Roman"/>
          <w:kern w:val="2"/>
          <w:sz w:val="22"/>
          <w:szCs w:val="22"/>
          <w:highlight w:val="yellow"/>
          <w14:ligatures w14:val="standardContextual"/>
        </w:rPr>
        <w:t>ChatGPT</w:t>
      </w:r>
      <w:proofErr w:type="spellEnd"/>
      <w:r w:rsidRPr="001C335D">
        <w:rPr>
          <w:rFonts w:ascii="Calibri" w:eastAsia="Calibri" w:hAnsi="Calibri" w:cs="Times New Roman"/>
          <w:kern w:val="2"/>
          <w:sz w:val="22"/>
          <w:szCs w:val="22"/>
          <w:highlight w:val="yellow"/>
          <w14:ligatures w14:val="standardContextual"/>
        </w:rPr>
        <w:t xml:space="preserve">, COPILOT, etc.) and text-to-image generators have been used during the writing or editing of this manuscript. </w:t>
      </w:r>
    </w:p>
    <w:p w14:paraId="6E32DC6B" w14:textId="77777777" w:rsidR="001C335D" w:rsidRPr="001C335D" w:rsidRDefault="001C335D" w:rsidP="001C335D">
      <w:pPr>
        <w:spacing w:after="200" w:line="276" w:lineRule="auto"/>
        <w:rPr>
          <w:rFonts w:ascii="Calibri" w:eastAsia="Calibri" w:hAnsi="Calibri" w:cs="Times New Roman"/>
          <w:kern w:val="2"/>
          <w:sz w:val="22"/>
          <w:szCs w:val="22"/>
          <w14:ligatures w14:val="standardContextual"/>
        </w:rPr>
      </w:pPr>
    </w:p>
    <w:p w14:paraId="038D571B" w14:textId="77777777" w:rsidR="00687BD0" w:rsidRDefault="00687BD0" w:rsidP="00687BD0">
      <w:pPr>
        <w:spacing w:line="312" w:lineRule="auto"/>
        <w:rPr>
          <w:rFonts w:ascii="Times New Roman" w:hAnsi="Times New Roman" w:cs="Times New Roman"/>
        </w:rPr>
      </w:pPr>
      <w:bookmarkStart w:id="11" w:name="_GoBack"/>
      <w:bookmarkEnd w:id="11"/>
    </w:p>
    <w:p w14:paraId="7B36B79B" w14:textId="77777777" w:rsidR="00687BD0" w:rsidRDefault="00687BD0" w:rsidP="00687BD0">
      <w:pPr>
        <w:spacing w:line="312" w:lineRule="auto"/>
        <w:rPr>
          <w:rFonts w:ascii="Times New Roman" w:hAnsi="Times New Roman" w:cs="Times New Roman"/>
        </w:rPr>
      </w:pPr>
    </w:p>
    <w:p w14:paraId="56FEE174" w14:textId="77777777" w:rsidR="00687BD0" w:rsidRDefault="00687BD0" w:rsidP="00687BD0">
      <w:pPr>
        <w:spacing w:line="312" w:lineRule="auto"/>
        <w:rPr>
          <w:rFonts w:ascii="Times New Roman" w:hAnsi="Times New Roman" w:cs="Times New Roman"/>
        </w:rPr>
      </w:pPr>
    </w:p>
    <w:p w14:paraId="4DFA2686" w14:textId="77777777" w:rsidR="00687BD0" w:rsidRDefault="00687BD0" w:rsidP="00687BD0">
      <w:pPr>
        <w:spacing w:line="312" w:lineRule="auto"/>
        <w:rPr>
          <w:rFonts w:ascii="Times New Roman" w:hAnsi="Times New Roman" w:cs="Times New Roman"/>
        </w:rPr>
      </w:pPr>
    </w:p>
    <w:p w14:paraId="1BA48332" w14:textId="77777777" w:rsidR="00687BD0" w:rsidRDefault="00687BD0" w:rsidP="00687BD0">
      <w:pPr>
        <w:spacing w:line="312" w:lineRule="auto"/>
        <w:rPr>
          <w:rFonts w:ascii="Times New Roman" w:hAnsi="Times New Roman" w:cs="Times New Roman"/>
        </w:rPr>
      </w:pPr>
    </w:p>
    <w:p w14:paraId="798E1C41" w14:textId="10A4C19E" w:rsidR="00F52B70" w:rsidRPr="00687BD0" w:rsidRDefault="003A521C" w:rsidP="00687BD0">
      <w:pPr>
        <w:spacing w:line="312" w:lineRule="auto"/>
        <w:rPr>
          <w:rFonts w:ascii="Times New Roman" w:hAnsi="Times New Roman" w:cs="Times New Roman"/>
        </w:rPr>
      </w:pPr>
      <w:r w:rsidRPr="002D58D0">
        <w:rPr>
          <w:rFonts w:ascii="Times New Roman" w:hAnsi="Times New Roman" w:cs="Times New Roman"/>
        </w:rPr>
        <w:br/>
      </w:r>
      <w:r w:rsidR="00F52B70" w:rsidRPr="00687BD0">
        <w:rPr>
          <w:rFonts w:ascii="Times New Roman" w:hAnsi="Times New Roman" w:cs="Times New Roman"/>
          <w:b/>
          <w:bCs/>
        </w:rPr>
        <w:t>REFERENCES</w:t>
      </w:r>
    </w:p>
    <w:p w14:paraId="3C336118" w14:textId="77777777" w:rsidR="00687BD0" w:rsidRDefault="00687BD0" w:rsidP="00687BD0">
      <w:pPr>
        <w:pStyle w:val="Bibliography"/>
      </w:pPr>
    </w:p>
    <w:p w14:paraId="6F7B8B03" w14:textId="77777777" w:rsidR="00024284" w:rsidRPr="00024284" w:rsidRDefault="00F52B70" w:rsidP="009125D0">
      <w:pPr>
        <w:pStyle w:val="Bibliography"/>
        <w:numPr>
          <w:ilvl w:val="0"/>
          <w:numId w:val="2"/>
        </w:numPr>
        <w:rPr>
          <w:rFonts w:ascii="Times New Roman" w:hAnsi="Times New Roman" w:cs="Times New Roman"/>
        </w:rPr>
      </w:pPr>
      <w:r>
        <w:fldChar w:fldCharType="begin"/>
      </w:r>
      <w:r>
        <w:instrText xml:space="preserve"> ADDIN ZOTERO_BIBL {"uncited":[],"omitted":[],"custom":[]} CSL_BIBLIOGRAPHY </w:instrText>
      </w:r>
      <w:r>
        <w:fldChar w:fldCharType="separate"/>
      </w:r>
      <w:r w:rsidR="00024284" w:rsidRPr="00024284">
        <w:rPr>
          <w:rFonts w:ascii="Times New Roman" w:hAnsi="Times New Roman" w:cs="Times New Roman"/>
        </w:rPr>
        <w:t xml:space="preserve">Albornoz, E. A., Amarilla, A. A., Modhiran, N., Parker, S., Li, X. X., Wijesundara, D. K., Aguado, J., Zamora, A. P., McMillan, C. L. D., Liang, B., Peng, N. Y. G., Sng, J. D. J., Saima, F. T., Fung, J. N., Lee, J. D., Paramitha, D., Parry, R., Avumegah, M. S., Isaacs, A., … Woodruff, T. M. (2023). SARS-CoV-2 drives NLRP3 inflammasome activation in human microglia through spike protein. </w:t>
      </w:r>
      <w:r w:rsidR="00024284" w:rsidRPr="00024284">
        <w:rPr>
          <w:rFonts w:ascii="Times New Roman" w:hAnsi="Times New Roman" w:cs="Times New Roman"/>
          <w:i/>
          <w:iCs/>
        </w:rPr>
        <w:t>Molecular Psychiatry</w:t>
      </w:r>
      <w:r w:rsidR="00024284" w:rsidRPr="00024284">
        <w:rPr>
          <w:rFonts w:ascii="Times New Roman" w:hAnsi="Times New Roman" w:cs="Times New Roman"/>
        </w:rPr>
        <w:t xml:space="preserve">, </w:t>
      </w:r>
      <w:r w:rsidR="00024284" w:rsidRPr="00024284">
        <w:rPr>
          <w:rFonts w:ascii="Times New Roman" w:hAnsi="Times New Roman" w:cs="Times New Roman"/>
          <w:i/>
          <w:iCs/>
        </w:rPr>
        <w:t>28</w:t>
      </w:r>
      <w:r w:rsidR="00024284" w:rsidRPr="00024284">
        <w:rPr>
          <w:rFonts w:ascii="Times New Roman" w:hAnsi="Times New Roman" w:cs="Times New Roman"/>
        </w:rPr>
        <w:t>(7), 2878–2893. https://doi.org/10.1038/s41380-022-01831-0</w:t>
      </w:r>
    </w:p>
    <w:p w14:paraId="7190DF08"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Aracena, K. A., Nwankwo, G. C., Lee, C. T., Karnik, R., Ventura, I., Douglas, D., Udofia, I., Chen, M., Chelala, L., Im, H. K., Strek, M. E., &amp; Adegunsoye, A. (2025). Transcriptomic Profiling of Long COVID-19 in Patients with Interstitial Lung Disease Reveals Dysregulation of Mitochondrial Oxidative Phosphorylation. </w:t>
      </w:r>
      <w:r w:rsidRPr="00024284">
        <w:rPr>
          <w:rFonts w:ascii="Times New Roman" w:hAnsi="Times New Roman" w:cs="Times New Roman"/>
          <w:i/>
          <w:iCs/>
        </w:rPr>
        <w:t>American Journal of Respiratory Cell and Molecular Biology</w:t>
      </w:r>
      <w:r w:rsidRPr="00024284">
        <w:rPr>
          <w:rFonts w:ascii="Times New Roman" w:hAnsi="Times New Roman" w:cs="Times New Roman"/>
        </w:rPr>
        <w:t xml:space="preserve">, </w:t>
      </w:r>
      <w:r w:rsidRPr="00024284">
        <w:rPr>
          <w:rFonts w:ascii="Times New Roman" w:hAnsi="Times New Roman" w:cs="Times New Roman"/>
          <w:i/>
          <w:iCs/>
        </w:rPr>
        <w:t>73</w:t>
      </w:r>
      <w:r w:rsidRPr="00024284">
        <w:rPr>
          <w:rFonts w:ascii="Times New Roman" w:hAnsi="Times New Roman" w:cs="Times New Roman"/>
        </w:rPr>
        <w:t>(4), 634–637. https://doi.org/10.1165/rcmb.2024-0595LE</w:t>
      </w:r>
    </w:p>
    <w:p w14:paraId="5DC93A4E"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Blankestijn, J. M., Baalbaki, N., Bazdar, S., Beekers, I., Beijers, R. J. H. C. G., van den Bergh, J. P., Bloemsma, L. D., Cornelissen, M. E. B., Dekker, T., Duitman, J. W., Houweling, L., Jacobs, J. J. L., van der Lee, I., Linders, P. M. A., Noij, L. C. E., Nossent, E. J., van de Pol, M. A., Sondermeijer, B. M., Geelhoed, J. J. M., … P4O2 Consortium. (2024). Whole blood transcriptome in long-COVID patients reveals association with lung function and immune response. </w:t>
      </w:r>
      <w:r w:rsidRPr="00024284">
        <w:rPr>
          <w:rFonts w:ascii="Times New Roman" w:hAnsi="Times New Roman" w:cs="Times New Roman"/>
          <w:i/>
          <w:iCs/>
        </w:rPr>
        <w:t>The Journal of Allergy and Clinical Immunology</w:t>
      </w:r>
      <w:r w:rsidRPr="00024284">
        <w:rPr>
          <w:rFonts w:ascii="Times New Roman" w:hAnsi="Times New Roman" w:cs="Times New Roman"/>
        </w:rPr>
        <w:t xml:space="preserve">, </w:t>
      </w:r>
      <w:r w:rsidRPr="00024284">
        <w:rPr>
          <w:rFonts w:ascii="Times New Roman" w:hAnsi="Times New Roman" w:cs="Times New Roman"/>
          <w:i/>
          <w:iCs/>
        </w:rPr>
        <w:t>154</w:t>
      </w:r>
      <w:r w:rsidRPr="00024284">
        <w:rPr>
          <w:rFonts w:ascii="Times New Roman" w:hAnsi="Times New Roman" w:cs="Times New Roman"/>
        </w:rPr>
        <w:t>(3), 807–818. https://doi.org/10.1016/j.jaci.2024.04.032</w:t>
      </w:r>
    </w:p>
    <w:p w14:paraId="0BCE9AAE"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lastRenderedPageBreak/>
        <w:t xml:space="preserve">Böning, D., Bloch, W., Vogel, D., Steinach, M., &amp; Kuebler, W. M. (2024). Commentary: COVID-19 impairs oxygen delivery by altering red blood cell hematological, hemorheological, and oxygen transport properties. </w:t>
      </w:r>
      <w:r w:rsidRPr="00024284">
        <w:rPr>
          <w:rFonts w:ascii="Times New Roman" w:hAnsi="Times New Roman" w:cs="Times New Roman"/>
          <w:i/>
          <w:iCs/>
        </w:rPr>
        <w:t>Frontiers in Physiology</w:t>
      </w:r>
      <w:r w:rsidRPr="00024284">
        <w:rPr>
          <w:rFonts w:ascii="Times New Roman" w:hAnsi="Times New Roman" w:cs="Times New Roman"/>
        </w:rPr>
        <w:t xml:space="preserve">, </w:t>
      </w:r>
      <w:r w:rsidRPr="00024284">
        <w:rPr>
          <w:rFonts w:ascii="Times New Roman" w:hAnsi="Times New Roman" w:cs="Times New Roman"/>
          <w:i/>
          <w:iCs/>
        </w:rPr>
        <w:t>15</w:t>
      </w:r>
      <w:r w:rsidRPr="00024284">
        <w:rPr>
          <w:rFonts w:ascii="Times New Roman" w:hAnsi="Times New Roman" w:cs="Times New Roman"/>
        </w:rPr>
        <w:t>, 1426505. https://doi.org/10.3389/fphys.2024.1426505</w:t>
      </w:r>
    </w:p>
    <w:p w14:paraId="1010BE9C"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Cervia-Hasler, C., Brüningk, S. C., Hoch, T., Fan, B., Muzio, G., Thompson, R. C., Ceglarek, L., Meledin, R., Westermann, P., Emmenegger, M., Taeschler, P., Zurbuchen, Y., Pons, M., Menges, D., Ballouz, T., Cervia-Hasler, S., Adamo, S., Merad, M., Charney, A. W., … Boyman, O. (2024). Persistent complement dysregulation with signs of thromboinflammation in active Long Covid. </w:t>
      </w:r>
      <w:r w:rsidRPr="00024284">
        <w:rPr>
          <w:rFonts w:ascii="Times New Roman" w:hAnsi="Times New Roman" w:cs="Times New Roman"/>
          <w:i/>
          <w:iCs/>
        </w:rPr>
        <w:t>Science</w:t>
      </w:r>
      <w:r w:rsidRPr="00024284">
        <w:rPr>
          <w:rFonts w:ascii="Times New Roman" w:hAnsi="Times New Roman" w:cs="Times New Roman"/>
        </w:rPr>
        <w:t xml:space="preserve">, </w:t>
      </w:r>
      <w:r w:rsidRPr="00024284">
        <w:rPr>
          <w:rFonts w:ascii="Times New Roman" w:hAnsi="Times New Roman" w:cs="Times New Roman"/>
          <w:i/>
          <w:iCs/>
        </w:rPr>
        <w:t>383</w:t>
      </w:r>
      <w:r w:rsidRPr="00024284">
        <w:rPr>
          <w:rFonts w:ascii="Times New Roman" w:hAnsi="Times New Roman" w:cs="Times New Roman"/>
        </w:rPr>
        <w:t>(6680), eadg7942. https://doi.org/10.1126/science.adg7942</w:t>
      </w:r>
    </w:p>
    <w:p w14:paraId="6D6D1F64"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Chaudhary, N. S., Weldon, C. H., Nandakumar, P., Team, 23andMe Research, Holmes, M. V., &amp; Aslibekyan, S. (2024). </w:t>
      </w:r>
      <w:r w:rsidRPr="00024284">
        <w:rPr>
          <w:rFonts w:ascii="Times New Roman" w:hAnsi="Times New Roman" w:cs="Times New Roman"/>
          <w:i/>
          <w:iCs/>
        </w:rPr>
        <w:t>Multi-ancestry GWAS of Long COVID identifies immune-related loci and etiological links to chronic fatigue syndrome, fibromyalgia and depression</w:t>
      </w:r>
      <w:r w:rsidRPr="00024284">
        <w:rPr>
          <w:rFonts w:ascii="Times New Roman" w:hAnsi="Times New Roman" w:cs="Times New Roman"/>
        </w:rPr>
        <w:t xml:space="preserve"> (p. 2024.10.07.24315052). medRxiv. https://doi.org/10.1101/2024.10.07.24315052</w:t>
      </w:r>
    </w:p>
    <w:p w14:paraId="0E5A2C6D"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COVID-19 Host Genetics Initiative. (2021). Mapping the human genetic architecture of COVID-19. </w:t>
      </w:r>
      <w:r w:rsidRPr="00024284">
        <w:rPr>
          <w:rFonts w:ascii="Times New Roman" w:hAnsi="Times New Roman" w:cs="Times New Roman"/>
          <w:i/>
          <w:iCs/>
        </w:rPr>
        <w:t>Nature</w:t>
      </w:r>
      <w:r w:rsidRPr="00024284">
        <w:rPr>
          <w:rFonts w:ascii="Times New Roman" w:hAnsi="Times New Roman" w:cs="Times New Roman"/>
        </w:rPr>
        <w:t xml:space="preserve">, </w:t>
      </w:r>
      <w:r w:rsidRPr="00024284">
        <w:rPr>
          <w:rFonts w:ascii="Times New Roman" w:hAnsi="Times New Roman" w:cs="Times New Roman"/>
          <w:i/>
          <w:iCs/>
        </w:rPr>
        <w:t>600</w:t>
      </w:r>
      <w:r w:rsidRPr="00024284">
        <w:rPr>
          <w:rFonts w:ascii="Times New Roman" w:hAnsi="Times New Roman" w:cs="Times New Roman"/>
        </w:rPr>
        <w:t>(7889), 472–477. https://doi.org/10.1038/s41586-021-03767-x</w:t>
      </w:r>
    </w:p>
    <w:p w14:paraId="3467170F"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Davis, H. E., McCorkell, L., Vogel, J. M., &amp; Topol, E. J. (2023). Long COVID: Major findings, mechanisms and recommendations. </w:t>
      </w:r>
      <w:r w:rsidRPr="00024284">
        <w:rPr>
          <w:rFonts w:ascii="Times New Roman" w:hAnsi="Times New Roman" w:cs="Times New Roman"/>
          <w:i/>
          <w:iCs/>
        </w:rPr>
        <w:t>Nature Reviews. Microbiology</w:t>
      </w:r>
      <w:r w:rsidRPr="00024284">
        <w:rPr>
          <w:rFonts w:ascii="Times New Roman" w:hAnsi="Times New Roman" w:cs="Times New Roman"/>
        </w:rPr>
        <w:t xml:space="preserve">, </w:t>
      </w:r>
      <w:r w:rsidRPr="00024284">
        <w:rPr>
          <w:rFonts w:ascii="Times New Roman" w:hAnsi="Times New Roman" w:cs="Times New Roman"/>
          <w:i/>
          <w:iCs/>
        </w:rPr>
        <w:t>21</w:t>
      </w:r>
      <w:r w:rsidRPr="00024284">
        <w:rPr>
          <w:rFonts w:ascii="Times New Roman" w:hAnsi="Times New Roman" w:cs="Times New Roman"/>
        </w:rPr>
        <w:t>(3), 133–146. https://doi.org/10.1038/s41579-022-00846-2</w:t>
      </w:r>
    </w:p>
    <w:p w14:paraId="71EC5C89"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Farina, F., Picascia, S., Pisapia, L., Barba, P., Vitale, S., Franzese, A., Mozzillo, E., Gianfrani, C., &amp; Del Pozzo G, G. (2019). HLA-DQA1 and HLA-DQB1 Alleles, Conferring Susceptibility to Celiac Disease and Type 1 Diabetes, Are More Expressed Than Non-Predisposing Alleles and Are Coordinately Regulated. </w:t>
      </w:r>
      <w:r w:rsidRPr="00024284">
        <w:rPr>
          <w:rFonts w:ascii="Times New Roman" w:hAnsi="Times New Roman" w:cs="Times New Roman"/>
          <w:i/>
          <w:iCs/>
        </w:rPr>
        <w:t>Cells</w:t>
      </w:r>
      <w:r w:rsidRPr="00024284">
        <w:rPr>
          <w:rFonts w:ascii="Times New Roman" w:hAnsi="Times New Roman" w:cs="Times New Roman"/>
        </w:rPr>
        <w:t xml:space="preserve">, </w:t>
      </w:r>
      <w:r w:rsidRPr="00024284">
        <w:rPr>
          <w:rFonts w:ascii="Times New Roman" w:hAnsi="Times New Roman" w:cs="Times New Roman"/>
          <w:i/>
          <w:iCs/>
        </w:rPr>
        <w:t>8</w:t>
      </w:r>
      <w:r w:rsidRPr="00024284">
        <w:rPr>
          <w:rFonts w:ascii="Times New Roman" w:hAnsi="Times New Roman" w:cs="Times New Roman"/>
        </w:rPr>
        <w:t>(7), 751. https://doi.org/10.3390/cells8070751</w:t>
      </w:r>
    </w:p>
    <w:p w14:paraId="13A6D58E"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lastRenderedPageBreak/>
        <w:t xml:space="preserve">Fricke, F., Mai, F., Wossidlo, C., Steinbeck, F., Bergmann-Ewert, W., Kordt, M., Kraft, K., Müller, B., Reisinger, E. C., &amp; Müller-Hilke, B. (n.d.). Transcriptome analysis of classical blood cells reveals downregulation of pro-inflammatory genes in the classical monocytes of long COVID patients. </w:t>
      </w:r>
      <w:r w:rsidRPr="00024284">
        <w:rPr>
          <w:rFonts w:ascii="Times New Roman" w:hAnsi="Times New Roman" w:cs="Times New Roman"/>
          <w:i/>
          <w:iCs/>
        </w:rPr>
        <w:t>Frontiers in Immunology</w:t>
      </w:r>
      <w:r w:rsidRPr="00024284">
        <w:rPr>
          <w:rFonts w:ascii="Times New Roman" w:hAnsi="Times New Roman" w:cs="Times New Roman"/>
        </w:rPr>
        <w:t xml:space="preserve">, </w:t>
      </w:r>
      <w:r w:rsidRPr="00024284">
        <w:rPr>
          <w:rFonts w:ascii="Times New Roman" w:hAnsi="Times New Roman" w:cs="Times New Roman"/>
          <w:i/>
          <w:iCs/>
        </w:rPr>
        <w:t>16</w:t>
      </w:r>
      <w:r w:rsidRPr="00024284">
        <w:rPr>
          <w:rFonts w:ascii="Times New Roman" w:hAnsi="Times New Roman" w:cs="Times New Roman"/>
        </w:rPr>
        <w:t>, 1710783. https://doi.org/10.3389/fimmu.2025.1710783</w:t>
      </w:r>
    </w:p>
    <w:p w14:paraId="025B5DB7"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Gay-Mimbrera, J., Gómez-Arias, P. J., Álvarez-Heredia, P., Batista-Duharte, A., Rivera-Ruiz, I., Aguilar-Luque, M., Juan-Cencerrado, M., Mochón-Jiménez, C., Cebrián-García, Á., Andújar-Pulido, E., Pérez-Alegre, M., Pera, A., &amp; Ruano, J. (2025). Integrated single-cell chromatin and transcriptomic analyses of peripheral immune cells in patients with alopecia areata. </w:t>
      </w:r>
      <w:r w:rsidRPr="00024284">
        <w:rPr>
          <w:rFonts w:ascii="Times New Roman" w:hAnsi="Times New Roman" w:cs="Times New Roman"/>
          <w:i/>
          <w:iCs/>
        </w:rPr>
        <w:t>Frontiers in Immunology</w:t>
      </w:r>
      <w:r w:rsidRPr="00024284">
        <w:rPr>
          <w:rFonts w:ascii="Times New Roman" w:hAnsi="Times New Roman" w:cs="Times New Roman"/>
        </w:rPr>
        <w:t xml:space="preserve">, </w:t>
      </w:r>
      <w:r w:rsidRPr="00024284">
        <w:rPr>
          <w:rFonts w:ascii="Times New Roman" w:hAnsi="Times New Roman" w:cs="Times New Roman"/>
          <w:i/>
          <w:iCs/>
        </w:rPr>
        <w:t>16</w:t>
      </w:r>
      <w:r w:rsidRPr="00024284">
        <w:rPr>
          <w:rFonts w:ascii="Times New Roman" w:hAnsi="Times New Roman" w:cs="Times New Roman"/>
        </w:rPr>
        <w:t>. https://doi.org/10.3389/fimmu.2025.1565241</w:t>
      </w:r>
    </w:p>
    <w:p w14:paraId="0626E0A5"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Grau, M., Presche, A., Krüger, A.-L., Bloch, W., &amp; Haiduk, B. (2024). Red Blood Cell Morphology Is Associated with Altered Hemorheological Properties and Fatigue in Patients with Long COVID. </w:t>
      </w:r>
      <w:r w:rsidRPr="00024284">
        <w:rPr>
          <w:rFonts w:ascii="Times New Roman" w:hAnsi="Times New Roman" w:cs="Times New Roman"/>
          <w:i/>
          <w:iCs/>
        </w:rPr>
        <w:t>Biology</w:t>
      </w:r>
      <w:r w:rsidRPr="00024284">
        <w:rPr>
          <w:rFonts w:ascii="Times New Roman" w:hAnsi="Times New Roman" w:cs="Times New Roman"/>
        </w:rPr>
        <w:t xml:space="preserve">, </w:t>
      </w:r>
      <w:r w:rsidRPr="00024284">
        <w:rPr>
          <w:rFonts w:ascii="Times New Roman" w:hAnsi="Times New Roman" w:cs="Times New Roman"/>
          <w:i/>
          <w:iCs/>
        </w:rPr>
        <w:t>13</w:t>
      </w:r>
      <w:r w:rsidRPr="00024284">
        <w:rPr>
          <w:rFonts w:ascii="Times New Roman" w:hAnsi="Times New Roman" w:cs="Times New Roman"/>
        </w:rPr>
        <w:t>(11), 948. https://doi.org/10.3390/biology13110948</w:t>
      </w:r>
    </w:p>
    <w:p w14:paraId="1C84BF09"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Hanson, A. L., Mulè, M. P., Ruffieux, H., Mescia, F., Bergamaschi, L., Pelly, V. S., Turner, L., Kotagiri, P., Göttgens, B., Hess, C., Gleadall, N., Bradley, J. R., Nathan, J. A., Lyons, P. A., Drakesmith, H., &amp; Smith, K. G. C. (2024). Iron dysregulation and inflammatory stress erythropoiesis associates with long-term outcome of COVID-19. </w:t>
      </w:r>
      <w:r w:rsidRPr="00024284">
        <w:rPr>
          <w:rFonts w:ascii="Times New Roman" w:hAnsi="Times New Roman" w:cs="Times New Roman"/>
          <w:i/>
          <w:iCs/>
        </w:rPr>
        <w:t>Nature Immunology</w:t>
      </w:r>
      <w:r w:rsidRPr="00024284">
        <w:rPr>
          <w:rFonts w:ascii="Times New Roman" w:hAnsi="Times New Roman" w:cs="Times New Roman"/>
        </w:rPr>
        <w:t xml:space="preserve">, </w:t>
      </w:r>
      <w:r w:rsidRPr="00024284">
        <w:rPr>
          <w:rFonts w:ascii="Times New Roman" w:hAnsi="Times New Roman" w:cs="Times New Roman"/>
          <w:i/>
          <w:iCs/>
        </w:rPr>
        <w:t>25</w:t>
      </w:r>
      <w:r w:rsidRPr="00024284">
        <w:rPr>
          <w:rFonts w:ascii="Times New Roman" w:hAnsi="Times New Roman" w:cs="Times New Roman"/>
        </w:rPr>
        <w:t>(3), 471–482. https://doi.org/10.1038/s41590-024-01754-8</w:t>
      </w:r>
    </w:p>
    <w:p w14:paraId="2BA1835E"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Kallaste, A., Kisand, K., Aart, A., Salumets, A., Kisand, K., Peterson, P., &amp; Lember, M. (2025). Long COVID and Biomarker Dysregulation—A Shift Toward Immune Exhaustion? </w:t>
      </w:r>
      <w:r w:rsidRPr="00024284">
        <w:rPr>
          <w:rFonts w:ascii="Times New Roman" w:hAnsi="Times New Roman" w:cs="Times New Roman"/>
          <w:i/>
          <w:iCs/>
        </w:rPr>
        <w:t>Medicina</w:t>
      </w:r>
      <w:r w:rsidRPr="00024284">
        <w:rPr>
          <w:rFonts w:ascii="Times New Roman" w:hAnsi="Times New Roman" w:cs="Times New Roman"/>
        </w:rPr>
        <w:t xml:space="preserve">, </w:t>
      </w:r>
      <w:r w:rsidRPr="00024284">
        <w:rPr>
          <w:rFonts w:ascii="Times New Roman" w:hAnsi="Times New Roman" w:cs="Times New Roman"/>
          <w:i/>
          <w:iCs/>
        </w:rPr>
        <w:t>61</w:t>
      </w:r>
      <w:r w:rsidRPr="00024284">
        <w:rPr>
          <w:rFonts w:ascii="Times New Roman" w:hAnsi="Times New Roman" w:cs="Times New Roman"/>
        </w:rPr>
        <w:t>(6), 996. https://doi.org/10.3390/medicina61060996</w:t>
      </w:r>
    </w:p>
    <w:p w14:paraId="6E398633"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Lammi, V., Nakanishi, T., Jones, S. E., Andrews, S. J., Karjalainen, J., Cortés, B., O’Brien, H. E., Ochoa-Guzman, A., Fulton-Howard, B. E., Broberg, M., Haapaniemi, H. H., Kanai, M., </w:t>
      </w:r>
      <w:r w:rsidRPr="00024284">
        <w:rPr>
          <w:rFonts w:ascii="Times New Roman" w:hAnsi="Times New Roman" w:cs="Times New Roman"/>
        </w:rPr>
        <w:lastRenderedPageBreak/>
        <w:t xml:space="preserve">Pirinen, M., Schmidt, A., Mitchell, R. E., Mousas, A., Mangino, M., Huerta-Chagoya, A., Sinnott-Armstrong, N., … Ollila, H. M. (2025a). Genome-wide association study of long COVID. </w:t>
      </w:r>
      <w:r w:rsidRPr="00024284">
        <w:rPr>
          <w:rFonts w:ascii="Times New Roman" w:hAnsi="Times New Roman" w:cs="Times New Roman"/>
          <w:i/>
          <w:iCs/>
        </w:rPr>
        <w:t>Nature Genetics</w:t>
      </w:r>
      <w:r w:rsidRPr="00024284">
        <w:rPr>
          <w:rFonts w:ascii="Times New Roman" w:hAnsi="Times New Roman" w:cs="Times New Roman"/>
        </w:rPr>
        <w:t xml:space="preserve">, </w:t>
      </w:r>
      <w:r w:rsidRPr="00024284">
        <w:rPr>
          <w:rFonts w:ascii="Times New Roman" w:hAnsi="Times New Roman" w:cs="Times New Roman"/>
          <w:i/>
          <w:iCs/>
        </w:rPr>
        <w:t>57</w:t>
      </w:r>
      <w:r w:rsidRPr="00024284">
        <w:rPr>
          <w:rFonts w:ascii="Times New Roman" w:hAnsi="Times New Roman" w:cs="Times New Roman"/>
        </w:rPr>
        <w:t>(6), 1402–1417. https://doi.org/10.1038/s41588-025-02100-w</w:t>
      </w:r>
    </w:p>
    <w:p w14:paraId="2FDE3AF1"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Lammi, V., Nakanishi, T., Jones, S. E., Andrews, S. J., Karjalainen, J., Cortés, B., O’Brien, H. E., Ochoa-Guzman, A., Fulton-Howard, B. E., Broberg, M., Haapaniemi, H. H., Kanai, M., Pirinen, M., Schmidt, A., Mitchell, R. E., Mousas, A., Mangino, M., Huerta-Chagoya, A., Sinnott-Armstrong, N., … Ollila, H. M. (2025b). Genome-wide association study of long COVID. </w:t>
      </w:r>
      <w:r w:rsidRPr="00024284">
        <w:rPr>
          <w:rFonts w:ascii="Times New Roman" w:hAnsi="Times New Roman" w:cs="Times New Roman"/>
          <w:i/>
          <w:iCs/>
        </w:rPr>
        <w:t>Nature Genetics</w:t>
      </w:r>
      <w:r w:rsidRPr="00024284">
        <w:rPr>
          <w:rFonts w:ascii="Times New Roman" w:hAnsi="Times New Roman" w:cs="Times New Roman"/>
        </w:rPr>
        <w:t xml:space="preserve">, </w:t>
      </w:r>
      <w:r w:rsidRPr="00024284">
        <w:rPr>
          <w:rFonts w:ascii="Times New Roman" w:hAnsi="Times New Roman" w:cs="Times New Roman"/>
          <w:i/>
          <w:iCs/>
        </w:rPr>
        <w:t>57</w:t>
      </w:r>
      <w:r w:rsidRPr="00024284">
        <w:rPr>
          <w:rFonts w:ascii="Times New Roman" w:hAnsi="Times New Roman" w:cs="Times New Roman"/>
        </w:rPr>
        <w:t>(6), 1402–1417. https://doi.org/10.1038/s41588-025-02100-w</w:t>
      </w:r>
    </w:p>
    <w:p w14:paraId="7B87FAB3"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Lechuga, G. C., Morel, C. M., &amp; De-Simone, S. G. (2023). Hematological alterations associated with long COVID-19. </w:t>
      </w:r>
      <w:r w:rsidRPr="00024284">
        <w:rPr>
          <w:rFonts w:ascii="Times New Roman" w:hAnsi="Times New Roman" w:cs="Times New Roman"/>
          <w:i/>
          <w:iCs/>
        </w:rPr>
        <w:t>Frontiers in Physiology</w:t>
      </w:r>
      <w:r w:rsidRPr="00024284">
        <w:rPr>
          <w:rFonts w:ascii="Times New Roman" w:hAnsi="Times New Roman" w:cs="Times New Roman"/>
        </w:rPr>
        <w:t xml:space="preserve">, </w:t>
      </w:r>
      <w:r w:rsidRPr="00024284">
        <w:rPr>
          <w:rFonts w:ascii="Times New Roman" w:hAnsi="Times New Roman" w:cs="Times New Roman"/>
          <w:i/>
          <w:iCs/>
        </w:rPr>
        <w:t>14</w:t>
      </w:r>
      <w:r w:rsidRPr="00024284">
        <w:rPr>
          <w:rFonts w:ascii="Times New Roman" w:hAnsi="Times New Roman" w:cs="Times New Roman"/>
        </w:rPr>
        <w:t>. https://doi.org/10.3389/fphys.2023.1203472</w:t>
      </w:r>
    </w:p>
    <w:p w14:paraId="2AA9AC59"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Loktionov, A. V., Kobzeva, K. A., Karpenko, A. R., Sergeeva, V. A., Orlov, Y. L., &amp; Bushueva, O. Y. (2024). GWAS-significant loci and severe COVID-19: Analysis of associations, link with thromboinflammation syndrome, gene-gene, and gene-environmental interactions. </w:t>
      </w:r>
      <w:r w:rsidRPr="00024284">
        <w:rPr>
          <w:rFonts w:ascii="Times New Roman" w:hAnsi="Times New Roman" w:cs="Times New Roman"/>
          <w:i/>
          <w:iCs/>
        </w:rPr>
        <w:t>Frontiers in Genetics</w:t>
      </w:r>
      <w:r w:rsidRPr="00024284">
        <w:rPr>
          <w:rFonts w:ascii="Times New Roman" w:hAnsi="Times New Roman" w:cs="Times New Roman"/>
        </w:rPr>
        <w:t xml:space="preserve">, </w:t>
      </w:r>
      <w:r w:rsidRPr="00024284">
        <w:rPr>
          <w:rFonts w:ascii="Times New Roman" w:hAnsi="Times New Roman" w:cs="Times New Roman"/>
          <w:i/>
          <w:iCs/>
        </w:rPr>
        <w:t>15</w:t>
      </w:r>
      <w:r w:rsidRPr="00024284">
        <w:rPr>
          <w:rFonts w:ascii="Times New Roman" w:hAnsi="Times New Roman" w:cs="Times New Roman"/>
        </w:rPr>
        <w:t>, 1434681. https://doi.org/10.3389/fgene.2024.1434681</w:t>
      </w:r>
    </w:p>
    <w:p w14:paraId="4A45ADF8"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Lyudovyk, O., Kim, J. Y., Qualls, D., Hwee, M. A., Lin, Y.-H., Boutemine, S. R., Elhanati, Y., Solovyov, A., Douglas, M., Chen, E., Babady, N. E., Ramanathan, L., Vedantam, P., Bandlamudi, C., Gouma, S., Wong, P., Hensley, S. E., Greenbaum, B., Huang, A. C., &amp; Vardhana, S. A. (2022). Impaired humoral immunity is associated with prolonged COVID-19 despite robust CD8 T cell responses. </w:t>
      </w:r>
      <w:r w:rsidRPr="00024284">
        <w:rPr>
          <w:rFonts w:ascii="Times New Roman" w:hAnsi="Times New Roman" w:cs="Times New Roman"/>
          <w:i/>
          <w:iCs/>
        </w:rPr>
        <w:t>Cancer Cell</w:t>
      </w:r>
      <w:r w:rsidRPr="00024284">
        <w:rPr>
          <w:rFonts w:ascii="Times New Roman" w:hAnsi="Times New Roman" w:cs="Times New Roman"/>
        </w:rPr>
        <w:t xml:space="preserve">, </w:t>
      </w:r>
      <w:r w:rsidRPr="00024284">
        <w:rPr>
          <w:rFonts w:ascii="Times New Roman" w:hAnsi="Times New Roman" w:cs="Times New Roman"/>
          <w:i/>
          <w:iCs/>
        </w:rPr>
        <w:t>40</w:t>
      </w:r>
      <w:r w:rsidRPr="00024284">
        <w:rPr>
          <w:rFonts w:ascii="Times New Roman" w:hAnsi="Times New Roman" w:cs="Times New Roman"/>
        </w:rPr>
        <w:t>(7), 738-753.e5. https://doi.org/10.1016/j.ccell.2022.05.013</w:t>
      </w:r>
    </w:p>
    <w:p w14:paraId="6E2FE28D"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Maison, D. P., Khadka, V. S., Mohd-Ibrahim, I., Peluso, M. J., Henrich, T. J., Deng, Y., &amp; Gerschenson, M. (2025). Peripheral immune progression to long COVID is associated with </w:t>
      </w:r>
      <w:r w:rsidRPr="00024284">
        <w:rPr>
          <w:rFonts w:ascii="Times New Roman" w:hAnsi="Times New Roman" w:cs="Times New Roman"/>
        </w:rPr>
        <w:lastRenderedPageBreak/>
        <w:t xml:space="preserve">mitochondrial gene transcription: A meta-analysis. </w:t>
      </w:r>
      <w:r w:rsidRPr="00024284">
        <w:rPr>
          <w:rFonts w:ascii="Times New Roman" w:hAnsi="Times New Roman" w:cs="Times New Roman"/>
          <w:i/>
          <w:iCs/>
        </w:rPr>
        <w:t>Mitochondrion</w:t>
      </w:r>
      <w:r w:rsidRPr="00024284">
        <w:rPr>
          <w:rFonts w:ascii="Times New Roman" w:hAnsi="Times New Roman" w:cs="Times New Roman"/>
        </w:rPr>
        <w:t xml:space="preserve">, </w:t>
      </w:r>
      <w:r w:rsidRPr="00024284">
        <w:rPr>
          <w:rFonts w:ascii="Times New Roman" w:hAnsi="Times New Roman" w:cs="Times New Roman"/>
          <w:i/>
          <w:iCs/>
        </w:rPr>
        <w:t>85</w:t>
      </w:r>
      <w:r w:rsidRPr="00024284">
        <w:rPr>
          <w:rFonts w:ascii="Times New Roman" w:hAnsi="Times New Roman" w:cs="Times New Roman"/>
        </w:rPr>
        <w:t>, 102072. https://doi.org/10.1016/j.mito.2025.102072</w:t>
      </w:r>
    </w:p>
    <w:p w14:paraId="3E1324CC"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Makhluf, H., Madany, H., &amp; Kim, K. (2024). Long COVID: Long-Term Impact of SARS-CoV2. </w:t>
      </w:r>
      <w:r w:rsidRPr="00024284">
        <w:rPr>
          <w:rFonts w:ascii="Times New Roman" w:hAnsi="Times New Roman" w:cs="Times New Roman"/>
          <w:i/>
          <w:iCs/>
        </w:rPr>
        <w:t>Diagnostics</w:t>
      </w:r>
      <w:r w:rsidRPr="00024284">
        <w:rPr>
          <w:rFonts w:ascii="Times New Roman" w:hAnsi="Times New Roman" w:cs="Times New Roman"/>
        </w:rPr>
        <w:t xml:space="preserve">, </w:t>
      </w:r>
      <w:r w:rsidRPr="00024284">
        <w:rPr>
          <w:rFonts w:ascii="Times New Roman" w:hAnsi="Times New Roman" w:cs="Times New Roman"/>
          <w:i/>
          <w:iCs/>
        </w:rPr>
        <w:t>14</w:t>
      </w:r>
      <w:r w:rsidRPr="00024284">
        <w:rPr>
          <w:rFonts w:ascii="Times New Roman" w:hAnsi="Times New Roman" w:cs="Times New Roman"/>
        </w:rPr>
        <w:t>(7), 711. https://doi.org/10.3390/diagnostics14070711</w:t>
      </w:r>
    </w:p>
    <w:p w14:paraId="7F777D66"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Mallah, S. I., Ghorab, O. K., Al-Salmi, S., Abdellatif, O. S., Tharmaratnam, T., Iskandar, M. A., Sefen, J. A. N., Sidhu, P., Atallah, B., El-Lababidi, R., &amp; Al-Qahtani, M. (2021). COVID-19: Breaking down a global health crisis. </w:t>
      </w:r>
      <w:r w:rsidRPr="00024284">
        <w:rPr>
          <w:rFonts w:ascii="Times New Roman" w:hAnsi="Times New Roman" w:cs="Times New Roman"/>
          <w:i/>
          <w:iCs/>
        </w:rPr>
        <w:t>Annals of Clinical Microbiology and Antimicrobials</w:t>
      </w:r>
      <w:r w:rsidRPr="00024284">
        <w:rPr>
          <w:rFonts w:ascii="Times New Roman" w:hAnsi="Times New Roman" w:cs="Times New Roman"/>
        </w:rPr>
        <w:t xml:space="preserve">, </w:t>
      </w:r>
      <w:r w:rsidRPr="00024284">
        <w:rPr>
          <w:rFonts w:ascii="Times New Roman" w:hAnsi="Times New Roman" w:cs="Times New Roman"/>
          <w:i/>
          <w:iCs/>
        </w:rPr>
        <w:t>20</w:t>
      </w:r>
      <w:r w:rsidRPr="00024284">
        <w:rPr>
          <w:rFonts w:ascii="Times New Roman" w:hAnsi="Times New Roman" w:cs="Times New Roman"/>
        </w:rPr>
        <w:t>, 35. https://doi.org/10.1186/s12941-021-00438-7</w:t>
      </w:r>
    </w:p>
    <w:p w14:paraId="2612A359"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Mehandru, S., &amp; Merad, M. (2022). Pathological sequelae of long-haul COVID. </w:t>
      </w:r>
      <w:r w:rsidRPr="00024284">
        <w:rPr>
          <w:rFonts w:ascii="Times New Roman" w:hAnsi="Times New Roman" w:cs="Times New Roman"/>
          <w:i/>
          <w:iCs/>
        </w:rPr>
        <w:t>Nature Immunology</w:t>
      </w:r>
      <w:r w:rsidRPr="00024284">
        <w:rPr>
          <w:rFonts w:ascii="Times New Roman" w:hAnsi="Times New Roman" w:cs="Times New Roman"/>
        </w:rPr>
        <w:t xml:space="preserve">, </w:t>
      </w:r>
      <w:r w:rsidRPr="00024284">
        <w:rPr>
          <w:rFonts w:ascii="Times New Roman" w:hAnsi="Times New Roman" w:cs="Times New Roman"/>
          <w:i/>
          <w:iCs/>
        </w:rPr>
        <w:t>23</w:t>
      </w:r>
      <w:r w:rsidRPr="00024284">
        <w:rPr>
          <w:rFonts w:ascii="Times New Roman" w:hAnsi="Times New Roman" w:cs="Times New Roman"/>
        </w:rPr>
        <w:t>(2), 194–202. https://doi.org/10.1038/s41590-021-01104-y</w:t>
      </w:r>
    </w:p>
    <w:p w14:paraId="34115963"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Nalbandian, A., Sehgal, K., Gupta, A., Madhavan, M. V., McGroder, C., Stevens, J. S., Cook, J. R., Nordvig, A. S., Shalev, D., Sehrawat, T. S., Ahluwalia, N., Bikdeli, B., Dietz, D., Der-Nigoghossian, C., Liyanage-Don, N., Rosner, G. F., Bernstein, E. J., Mohan, S., Beckley, A. A., … Wan, E. Y. (2021). Post-acute COVID-19 syndrome. </w:t>
      </w:r>
      <w:r w:rsidRPr="00024284">
        <w:rPr>
          <w:rFonts w:ascii="Times New Roman" w:hAnsi="Times New Roman" w:cs="Times New Roman"/>
          <w:i/>
          <w:iCs/>
        </w:rPr>
        <w:t>Nature Medicine</w:t>
      </w:r>
      <w:r w:rsidRPr="00024284">
        <w:rPr>
          <w:rFonts w:ascii="Times New Roman" w:hAnsi="Times New Roman" w:cs="Times New Roman"/>
        </w:rPr>
        <w:t xml:space="preserve">, </w:t>
      </w:r>
      <w:r w:rsidRPr="00024284">
        <w:rPr>
          <w:rFonts w:ascii="Times New Roman" w:hAnsi="Times New Roman" w:cs="Times New Roman"/>
          <w:i/>
          <w:iCs/>
        </w:rPr>
        <w:t>27</w:t>
      </w:r>
      <w:r w:rsidRPr="00024284">
        <w:rPr>
          <w:rFonts w:ascii="Times New Roman" w:hAnsi="Times New Roman" w:cs="Times New Roman"/>
        </w:rPr>
        <w:t>(4), 601–615. https://doi.org/10.1038/s41591-021-01283-z</w:t>
      </w:r>
    </w:p>
    <w:p w14:paraId="189EEC74"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Pairo-Castineira, E., Clohisey, S., Klaric, L., Bretherick, A. D., Rawlik, K., Pasko, D., Walker, S., Parkinson, N., Fourman, M. H., Russell, C. D., Furniss, J., Richmond, A., Gountouna, E., Wrobel, N., Harrison, D., Wang, B., Wu, Y., Meynert, A., Griffiths, F., … Baillie, J. K. (2021). Genetic mechanisms of critical illness in COVID-19. </w:t>
      </w:r>
      <w:r w:rsidRPr="00024284">
        <w:rPr>
          <w:rFonts w:ascii="Times New Roman" w:hAnsi="Times New Roman" w:cs="Times New Roman"/>
          <w:i/>
          <w:iCs/>
        </w:rPr>
        <w:t>Nature</w:t>
      </w:r>
      <w:r w:rsidRPr="00024284">
        <w:rPr>
          <w:rFonts w:ascii="Times New Roman" w:hAnsi="Times New Roman" w:cs="Times New Roman"/>
        </w:rPr>
        <w:t xml:space="preserve">, </w:t>
      </w:r>
      <w:r w:rsidRPr="00024284">
        <w:rPr>
          <w:rFonts w:ascii="Times New Roman" w:hAnsi="Times New Roman" w:cs="Times New Roman"/>
          <w:i/>
          <w:iCs/>
        </w:rPr>
        <w:t>591</w:t>
      </w:r>
      <w:r w:rsidRPr="00024284">
        <w:rPr>
          <w:rFonts w:ascii="Times New Roman" w:hAnsi="Times New Roman" w:cs="Times New Roman"/>
        </w:rPr>
        <w:t>(7848), 92–98. https://doi.org/10.1038/s41586-020-03065-y</w:t>
      </w:r>
    </w:p>
    <w:p w14:paraId="23E1EE8A"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Parums, D. V. (2024). Long COVID or Post-Acute Sequelae of SARS-CoV-2 Infection (PASC) and the Urgent Need to Identify Diagnostic Biomarkers and Risk Factors. </w:t>
      </w:r>
      <w:r w:rsidRPr="00024284">
        <w:rPr>
          <w:rFonts w:ascii="Times New Roman" w:hAnsi="Times New Roman" w:cs="Times New Roman"/>
          <w:i/>
          <w:iCs/>
        </w:rPr>
        <w:t xml:space="preserve">Medical Science </w:t>
      </w:r>
      <w:r w:rsidRPr="00024284">
        <w:rPr>
          <w:rFonts w:ascii="Times New Roman" w:hAnsi="Times New Roman" w:cs="Times New Roman"/>
          <w:i/>
          <w:iCs/>
        </w:rPr>
        <w:lastRenderedPageBreak/>
        <w:t>Monitor : International Medical Journal of Experimental and Clinical Research</w:t>
      </w:r>
      <w:r w:rsidRPr="00024284">
        <w:rPr>
          <w:rFonts w:ascii="Times New Roman" w:hAnsi="Times New Roman" w:cs="Times New Roman"/>
        </w:rPr>
        <w:t xml:space="preserve">, </w:t>
      </w:r>
      <w:r w:rsidRPr="00024284">
        <w:rPr>
          <w:rFonts w:ascii="Times New Roman" w:hAnsi="Times New Roman" w:cs="Times New Roman"/>
          <w:i/>
          <w:iCs/>
        </w:rPr>
        <w:t>30</w:t>
      </w:r>
      <w:r w:rsidRPr="00024284">
        <w:rPr>
          <w:rFonts w:ascii="Times New Roman" w:hAnsi="Times New Roman" w:cs="Times New Roman"/>
        </w:rPr>
        <w:t>, e946512-1-e946512-7. https://doi.org/10.12659/MSM.946512</w:t>
      </w:r>
    </w:p>
    <w:p w14:paraId="2D88FA27"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Peluso, M. J., &amp; Deeks, S. G. (2024). Mechanisms of long COVID and the path toward therapeutics. </w:t>
      </w:r>
      <w:r w:rsidRPr="00024284">
        <w:rPr>
          <w:rFonts w:ascii="Times New Roman" w:hAnsi="Times New Roman" w:cs="Times New Roman"/>
          <w:i/>
          <w:iCs/>
        </w:rPr>
        <w:t>Cell</w:t>
      </w:r>
      <w:r w:rsidRPr="00024284">
        <w:rPr>
          <w:rFonts w:ascii="Times New Roman" w:hAnsi="Times New Roman" w:cs="Times New Roman"/>
        </w:rPr>
        <w:t xml:space="preserve">, </w:t>
      </w:r>
      <w:r w:rsidRPr="00024284">
        <w:rPr>
          <w:rFonts w:ascii="Times New Roman" w:hAnsi="Times New Roman" w:cs="Times New Roman"/>
          <w:i/>
          <w:iCs/>
        </w:rPr>
        <w:t>187</w:t>
      </w:r>
      <w:r w:rsidRPr="00024284">
        <w:rPr>
          <w:rFonts w:ascii="Times New Roman" w:hAnsi="Times New Roman" w:cs="Times New Roman"/>
        </w:rPr>
        <w:t>(20), 5500–5529. https://doi.org/10.1016/j.cell.2024.07.054</w:t>
      </w:r>
    </w:p>
    <w:p w14:paraId="7AF171B9"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Pinero, S., Li, X., Liu, L., Li, J., Lee, S. H., Winter, M., Nguyen, T., Zhang, J., &amp; Le, T. D. (2025). Integrative multi-omics framework for causal gene discovery in Long COVID. </w:t>
      </w:r>
      <w:r w:rsidRPr="00024284">
        <w:rPr>
          <w:rFonts w:ascii="Times New Roman" w:hAnsi="Times New Roman" w:cs="Times New Roman"/>
          <w:i/>
          <w:iCs/>
        </w:rPr>
        <w:t>PLOS Computational Biology</w:t>
      </w:r>
      <w:r w:rsidRPr="00024284">
        <w:rPr>
          <w:rFonts w:ascii="Times New Roman" w:hAnsi="Times New Roman" w:cs="Times New Roman"/>
        </w:rPr>
        <w:t xml:space="preserve">, </w:t>
      </w:r>
      <w:r w:rsidRPr="00024284">
        <w:rPr>
          <w:rFonts w:ascii="Times New Roman" w:hAnsi="Times New Roman" w:cs="Times New Roman"/>
          <w:i/>
          <w:iCs/>
        </w:rPr>
        <w:t>21</w:t>
      </w:r>
      <w:r w:rsidRPr="00024284">
        <w:rPr>
          <w:rFonts w:ascii="Times New Roman" w:hAnsi="Times New Roman" w:cs="Times New Roman"/>
        </w:rPr>
        <w:t>(12), e1013725. https://doi.org/10.1371/journal.pcbi.1013725</w:t>
      </w:r>
    </w:p>
    <w:p w14:paraId="1BA4B1F5"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i/>
          <w:iCs/>
        </w:rPr>
        <w:t>Post COVID-19 condition (long COVID)</w:t>
      </w:r>
      <w:r w:rsidRPr="00024284">
        <w:rPr>
          <w:rFonts w:ascii="Times New Roman" w:hAnsi="Times New Roman" w:cs="Times New Roman"/>
        </w:rPr>
        <w:t>. (n.d.). Retrieved May 3, 2026, from https://www.who.int/news-room/fact-sheets/detail/post-covid-19-condition-(long-covid)</w:t>
      </w:r>
    </w:p>
    <w:p w14:paraId="184BBF46"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Pour Mohammadi, S., Etesamipour, R., Mercado Romero, F., Noroozi Fashkhami, M., &amp; Peláez, I. (2025). Physical Symptoms and Neurocognitive Complaints in Long COVID: Associations with Gender, Age, Education, and Clinical Factors. </w:t>
      </w:r>
      <w:r w:rsidRPr="00024284">
        <w:rPr>
          <w:rFonts w:ascii="Times New Roman" w:hAnsi="Times New Roman" w:cs="Times New Roman"/>
          <w:i/>
          <w:iCs/>
        </w:rPr>
        <w:t>Brain Sciences</w:t>
      </w:r>
      <w:r w:rsidRPr="00024284">
        <w:rPr>
          <w:rFonts w:ascii="Times New Roman" w:hAnsi="Times New Roman" w:cs="Times New Roman"/>
        </w:rPr>
        <w:t xml:space="preserve">, </w:t>
      </w:r>
      <w:r w:rsidRPr="00024284">
        <w:rPr>
          <w:rFonts w:ascii="Times New Roman" w:hAnsi="Times New Roman" w:cs="Times New Roman"/>
          <w:i/>
          <w:iCs/>
        </w:rPr>
        <w:t>15</w:t>
      </w:r>
      <w:r w:rsidRPr="00024284">
        <w:rPr>
          <w:rFonts w:ascii="Times New Roman" w:hAnsi="Times New Roman" w:cs="Times New Roman"/>
        </w:rPr>
        <w:t>(11), 1180. https://doi.org/10.3390/brainsci15111180</w:t>
      </w:r>
    </w:p>
    <w:p w14:paraId="2CF5ADE8"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Rogers, S. C., Brummet, M., Safari, Z., Wang, Q., Rowden, T., Boyer, T., &amp; Doctor, A. (2023). COVID-19 impairs oxygen delivery by altering red blood cell hematological, hemorheological, and oxygen transport properties. </w:t>
      </w:r>
      <w:r w:rsidRPr="00024284">
        <w:rPr>
          <w:rFonts w:ascii="Times New Roman" w:hAnsi="Times New Roman" w:cs="Times New Roman"/>
          <w:i/>
          <w:iCs/>
        </w:rPr>
        <w:t>Frontiers in Physiology</w:t>
      </w:r>
      <w:r w:rsidRPr="00024284">
        <w:rPr>
          <w:rFonts w:ascii="Times New Roman" w:hAnsi="Times New Roman" w:cs="Times New Roman"/>
        </w:rPr>
        <w:t xml:space="preserve">, </w:t>
      </w:r>
      <w:r w:rsidRPr="00024284">
        <w:rPr>
          <w:rFonts w:ascii="Times New Roman" w:hAnsi="Times New Roman" w:cs="Times New Roman"/>
          <w:i/>
          <w:iCs/>
        </w:rPr>
        <w:t>14</w:t>
      </w:r>
      <w:r w:rsidRPr="00024284">
        <w:rPr>
          <w:rFonts w:ascii="Times New Roman" w:hAnsi="Times New Roman" w:cs="Times New Roman"/>
        </w:rPr>
        <w:t>, 1320697. https://doi.org/10.3389/fphys.2023.1320697</w:t>
      </w:r>
    </w:p>
    <w:p w14:paraId="681D7013"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Ross, J. A., Malone, P. K., &amp; Levy, S. (2022). The Impact of the Severe Acute Respiratory Syndrome Coronavirus 2 (SARS-CoV-2) Pandemic on Substance Use in the United States. </w:t>
      </w:r>
      <w:r w:rsidRPr="00024284">
        <w:rPr>
          <w:rFonts w:ascii="Times New Roman" w:hAnsi="Times New Roman" w:cs="Times New Roman"/>
          <w:i/>
          <w:iCs/>
        </w:rPr>
        <w:t>Clinical Infectious Diseases</w:t>
      </w:r>
      <w:r w:rsidRPr="00024284">
        <w:rPr>
          <w:rFonts w:ascii="Times New Roman" w:hAnsi="Times New Roman" w:cs="Times New Roman"/>
        </w:rPr>
        <w:t xml:space="preserve">, </w:t>
      </w:r>
      <w:r w:rsidRPr="00024284">
        <w:rPr>
          <w:rFonts w:ascii="Times New Roman" w:hAnsi="Times New Roman" w:cs="Times New Roman"/>
          <w:i/>
          <w:iCs/>
        </w:rPr>
        <w:t>75</w:t>
      </w:r>
      <w:r w:rsidRPr="00024284">
        <w:rPr>
          <w:rFonts w:ascii="Times New Roman" w:hAnsi="Times New Roman" w:cs="Times New Roman"/>
        </w:rPr>
        <w:t>(Supplement_1), S81–S85. https://doi.org/10.1093/cid/ciac311</w:t>
      </w:r>
    </w:p>
    <w:p w14:paraId="4C617E17"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Rossi, N., Benítez-Cruz, J., Marín-García, P., Azcárate, I. G., González-Escalada, A., Hervás, O. G., Alarcón, B., Regueiro, J. R., Bautista, J. M., &amp; Martinez-Quiles, N. (2025). Post-COVID syndrome patients show reduced anti-Spike antibodies compared to COVID-recovered controls, </w:t>
      </w:r>
      <w:r w:rsidRPr="00024284">
        <w:rPr>
          <w:rFonts w:ascii="Times New Roman" w:hAnsi="Times New Roman" w:cs="Times New Roman"/>
        </w:rPr>
        <w:lastRenderedPageBreak/>
        <w:t xml:space="preserve">but enhanced IgG4/IgG1 switch after the third vaccine dose. </w:t>
      </w:r>
      <w:r w:rsidRPr="00024284">
        <w:rPr>
          <w:rFonts w:ascii="Times New Roman" w:hAnsi="Times New Roman" w:cs="Times New Roman"/>
          <w:i/>
          <w:iCs/>
        </w:rPr>
        <w:t>Frontiers in Immunology</w:t>
      </w:r>
      <w:r w:rsidRPr="00024284">
        <w:rPr>
          <w:rFonts w:ascii="Times New Roman" w:hAnsi="Times New Roman" w:cs="Times New Roman"/>
        </w:rPr>
        <w:t xml:space="preserve">, </w:t>
      </w:r>
      <w:r w:rsidRPr="00024284">
        <w:rPr>
          <w:rFonts w:ascii="Times New Roman" w:hAnsi="Times New Roman" w:cs="Times New Roman"/>
          <w:i/>
          <w:iCs/>
        </w:rPr>
        <w:t>16</w:t>
      </w:r>
      <w:r w:rsidRPr="00024284">
        <w:rPr>
          <w:rFonts w:ascii="Times New Roman" w:hAnsi="Times New Roman" w:cs="Times New Roman"/>
        </w:rPr>
        <w:t>, 1670324. https://doi.org/10.3389/fimmu.2025.1670324</w:t>
      </w:r>
    </w:p>
    <w:p w14:paraId="532F157E"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Song, X., Song, W., Cui, L., Duong, T. Q., Pandy, R., Liu, H., Zhou, Q., Sun, J., Liu, Y., &amp; Li, T. (2024). A Comprehensive Review of the Global Epidemiology, Clinical Management, Socio-Economic Impacts, and National Responses to Long COVID with Future Research Directions. </w:t>
      </w:r>
      <w:r w:rsidRPr="00024284">
        <w:rPr>
          <w:rFonts w:ascii="Times New Roman" w:hAnsi="Times New Roman" w:cs="Times New Roman"/>
          <w:i/>
          <w:iCs/>
        </w:rPr>
        <w:t>Diagnostics</w:t>
      </w:r>
      <w:r w:rsidRPr="00024284">
        <w:rPr>
          <w:rFonts w:ascii="Times New Roman" w:hAnsi="Times New Roman" w:cs="Times New Roman"/>
        </w:rPr>
        <w:t xml:space="preserve">, </w:t>
      </w:r>
      <w:r w:rsidRPr="00024284">
        <w:rPr>
          <w:rFonts w:ascii="Times New Roman" w:hAnsi="Times New Roman" w:cs="Times New Roman"/>
          <w:i/>
          <w:iCs/>
        </w:rPr>
        <w:t>14</w:t>
      </w:r>
      <w:r w:rsidRPr="00024284">
        <w:rPr>
          <w:rFonts w:ascii="Times New Roman" w:hAnsi="Times New Roman" w:cs="Times New Roman"/>
        </w:rPr>
        <w:t>(11), 1168. https://doi.org/10.3390/diagnostics14111168</w:t>
      </w:r>
    </w:p>
    <w:p w14:paraId="50585425"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i/>
          <w:iCs/>
        </w:rPr>
        <w:t>T Cell Exhaustion in Cancer Immunotherapy: Heterogeneity, Mechanisms, and Therapeutic Opportunities—Yu—Advanced Science—Wiley Online Library</w:t>
      </w:r>
      <w:r w:rsidRPr="00024284">
        <w:rPr>
          <w:rFonts w:ascii="Times New Roman" w:hAnsi="Times New Roman" w:cs="Times New Roman"/>
        </w:rPr>
        <w:t>. (n.d.). Retrieved May 3, 2026, from https://advanced.onlinelibrary.wiley.com/doi/10.1002/advs.202520634</w:t>
      </w:r>
    </w:p>
    <w:p w14:paraId="67A0F352"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Taha, S., Bindayna, K., Aljishi, M., Sultan, A., &amp; Almansour, N. (2025). Transcriptomic Profiling Reveals Distinct Immune Dysregulation in Early-Stage Sepsis Patients. </w:t>
      </w:r>
      <w:r w:rsidRPr="00024284">
        <w:rPr>
          <w:rFonts w:ascii="Times New Roman" w:hAnsi="Times New Roman" w:cs="Times New Roman"/>
          <w:i/>
          <w:iCs/>
        </w:rPr>
        <w:t>International Journal of Molecular Sciences</w:t>
      </w:r>
      <w:r w:rsidRPr="00024284">
        <w:rPr>
          <w:rFonts w:ascii="Times New Roman" w:hAnsi="Times New Roman" w:cs="Times New Roman"/>
        </w:rPr>
        <w:t xml:space="preserve">, </w:t>
      </w:r>
      <w:r w:rsidRPr="00024284">
        <w:rPr>
          <w:rFonts w:ascii="Times New Roman" w:hAnsi="Times New Roman" w:cs="Times New Roman"/>
          <w:i/>
          <w:iCs/>
        </w:rPr>
        <w:t>26</w:t>
      </w:r>
      <w:r w:rsidRPr="00024284">
        <w:rPr>
          <w:rFonts w:ascii="Times New Roman" w:hAnsi="Times New Roman" w:cs="Times New Roman"/>
        </w:rPr>
        <w:t>(14), 6647. https://doi.org/10.3390/ijms26146647</w:t>
      </w:r>
    </w:p>
    <w:p w14:paraId="24A36F80"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Vogel, D. J., Formenti, F., &amp; Camporota, L. (2021). The increased hemoglobin oxygen affinity in COVID-19. </w:t>
      </w:r>
      <w:r w:rsidRPr="00024284">
        <w:rPr>
          <w:rFonts w:ascii="Times New Roman" w:hAnsi="Times New Roman" w:cs="Times New Roman"/>
          <w:i/>
          <w:iCs/>
        </w:rPr>
        <w:t>American Journal of Physiology. Lung Cellular and Molecular Physiology</w:t>
      </w:r>
      <w:r w:rsidRPr="00024284">
        <w:rPr>
          <w:rFonts w:ascii="Times New Roman" w:hAnsi="Times New Roman" w:cs="Times New Roman"/>
        </w:rPr>
        <w:t xml:space="preserve">, </w:t>
      </w:r>
      <w:r w:rsidRPr="00024284">
        <w:rPr>
          <w:rFonts w:ascii="Times New Roman" w:hAnsi="Times New Roman" w:cs="Times New Roman"/>
          <w:i/>
          <w:iCs/>
        </w:rPr>
        <w:t>321</w:t>
      </w:r>
      <w:r w:rsidRPr="00024284">
        <w:rPr>
          <w:rFonts w:ascii="Times New Roman" w:hAnsi="Times New Roman" w:cs="Times New Roman"/>
        </w:rPr>
        <w:t>(3), L637. https://doi.org/10.1152/ajplung.00280.2021</w:t>
      </w:r>
    </w:p>
    <w:p w14:paraId="2CF94BC1"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Yien, Y. Y., &amp; Perfetto, M. (2022). Regulation of Heme Synthesis by Mitochondrial Homeostasis Proteins. </w:t>
      </w:r>
      <w:r w:rsidRPr="00024284">
        <w:rPr>
          <w:rFonts w:ascii="Times New Roman" w:hAnsi="Times New Roman" w:cs="Times New Roman"/>
          <w:i/>
          <w:iCs/>
        </w:rPr>
        <w:t>Frontiers in Cell and Developmental Biology</w:t>
      </w:r>
      <w:r w:rsidRPr="00024284">
        <w:rPr>
          <w:rFonts w:ascii="Times New Roman" w:hAnsi="Times New Roman" w:cs="Times New Roman"/>
        </w:rPr>
        <w:t xml:space="preserve">, </w:t>
      </w:r>
      <w:r w:rsidRPr="00024284">
        <w:rPr>
          <w:rFonts w:ascii="Times New Roman" w:hAnsi="Times New Roman" w:cs="Times New Roman"/>
          <w:i/>
          <w:iCs/>
        </w:rPr>
        <w:t>10</w:t>
      </w:r>
      <w:r w:rsidRPr="00024284">
        <w:rPr>
          <w:rFonts w:ascii="Times New Roman" w:hAnsi="Times New Roman" w:cs="Times New Roman"/>
        </w:rPr>
        <w:t>. https://doi.org/10.3389/fcell.2022.895521</w:t>
      </w:r>
    </w:p>
    <w:p w14:paraId="72DC052D" w14:textId="77777777" w:rsidR="00024284" w:rsidRPr="00024284" w:rsidRDefault="00024284" w:rsidP="009125D0">
      <w:pPr>
        <w:pStyle w:val="Bibliography"/>
        <w:numPr>
          <w:ilvl w:val="0"/>
          <w:numId w:val="2"/>
        </w:numPr>
        <w:rPr>
          <w:rFonts w:ascii="Times New Roman" w:hAnsi="Times New Roman" w:cs="Times New Roman"/>
        </w:rPr>
      </w:pPr>
      <w:r w:rsidRPr="00024284">
        <w:rPr>
          <w:rFonts w:ascii="Times New Roman" w:hAnsi="Times New Roman" w:cs="Times New Roman"/>
        </w:rPr>
        <w:t xml:space="preserve">Yin, K., Peluso, M. J., Luo, X., Thomas, R., Shin, M.-G., Neidleman, J., Andrew, A., Young, K. C., Ma, T., Hoh, R., Anglin, K., Huang, B., Argueta, U., Lopez, M., Valdivieso, D., Asare, K., Deveau, T.-M., Munter, S. E., Ibrahim, R., … Roan, N. R. (2024). Long COVID manifests with T cell dysregulation, inflammation and an uncoordinated adaptive immune response to SARS-CoV-2. </w:t>
      </w:r>
      <w:r w:rsidRPr="00024284">
        <w:rPr>
          <w:rFonts w:ascii="Times New Roman" w:hAnsi="Times New Roman" w:cs="Times New Roman"/>
          <w:i/>
          <w:iCs/>
        </w:rPr>
        <w:t>Nature Immunology</w:t>
      </w:r>
      <w:r w:rsidRPr="00024284">
        <w:rPr>
          <w:rFonts w:ascii="Times New Roman" w:hAnsi="Times New Roman" w:cs="Times New Roman"/>
        </w:rPr>
        <w:t xml:space="preserve">, </w:t>
      </w:r>
      <w:r w:rsidRPr="00024284">
        <w:rPr>
          <w:rFonts w:ascii="Times New Roman" w:hAnsi="Times New Roman" w:cs="Times New Roman"/>
          <w:i/>
          <w:iCs/>
        </w:rPr>
        <w:t>25</w:t>
      </w:r>
      <w:r w:rsidRPr="00024284">
        <w:rPr>
          <w:rFonts w:ascii="Times New Roman" w:hAnsi="Times New Roman" w:cs="Times New Roman"/>
        </w:rPr>
        <w:t>(2), 218–225. https://doi.org/10.1038/s41590-023-01724-6</w:t>
      </w:r>
    </w:p>
    <w:p w14:paraId="4B8DD398" w14:textId="7DBF75EC" w:rsidR="007133EC" w:rsidRPr="002D58D0" w:rsidRDefault="00F52B70" w:rsidP="00024284">
      <w:pPr>
        <w:pStyle w:val="Bibliography"/>
        <w:rPr>
          <w:rFonts w:ascii="Times New Roman" w:hAnsi="Times New Roman" w:cs="Times New Roman"/>
        </w:rPr>
      </w:pPr>
      <w:r>
        <w:rPr>
          <w:rFonts w:ascii="Times New Roman" w:hAnsi="Times New Roman" w:cs="Times New Roman"/>
        </w:rPr>
        <w:lastRenderedPageBreak/>
        <w:fldChar w:fldCharType="end"/>
      </w:r>
    </w:p>
    <w:sectPr w:rsidR="007133EC" w:rsidRPr="002D58D0" w:rsidSect="002D58D0">
      <w:headerReference w:type="even" r:id="rId18"/>
      <w:headerReference w:type="default" r:id="rId19"/>
      <w:footerReference w:type="even" r:id="rId20"/>
      <w:footerReference w:type="default" r:id="rId21"/>
      <w:headerReference w:type="first" r:id="rId22"/>
      <w:footerReference w:type="first" r:id="rId23"/>
      <w:pgSz w:w="12240" w:h="15840"/>
      <w:pgMar w:top="1440" w:right="1080" w:bottom="1440" w:left="108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01C3FB" w14:textId="77777777" w:rsidR="000A24DD" w:rsidRDefault="000A24DD">
      <w:r>
        <w:separator/>
      </w:r>
    </w:p>
  </w:endnote>
  <w:endnote w:type="continuationSeparator" w:id="0">
    <w:p w14:paraId="3A0CF1DC" w14:textId="77777777" w:rsidR="000A24DD" w:rsidRDefault="000A2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11478113"/>
      <w:docPartObj>
        <w:docPartGallery w:val="Page Numbers (Bottom of Page)"/>
        <w:docPartUnique/>
      </w:docPartObj>
    </w:sdtPr>
    <w:sdtEndPr>
      <w:rPr>
        <w:rStyle w:val="PageNumber"/>
      </w:rPr>
    </w:sdtEndPr>
    <w:sdtContent>
      <w:p w14:paraId="1BE6639A" w14:textId="23B4FA7E" w:rsidR="002D58D0" w:rsidRDefault="002D58D0" w:rsidP="00DB42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E15E2A" w14:textId="77777777" w:rsidR="002D58D0" w:rsidRDefault="002D58D0" w:rsidP="002D58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10974371"/>
      <w:docPartObj>
        <w:docPartGallery w:val="Page Numbers (Bottom of Page)"/>
        <w:docPartUnique/>
      </w:docPartObj>
    </w:sdtPr>
    <w:sdtEndPr>
      <w:rPr>
        <w:rStyle w:val="PageNumber"/>
      </w:rPr>
    </w:sdtEndPr>
    <w:sdtContent>
      <w:p w14:paraId="1ADDF54A" w14:textId="4FFC975C" w:rsidR="002D58D0" w:rsidRDefault="002D58D0" w:rsidP="00DB42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6812281" w14:textId="05AD1F00" w:rsidR="007133EC" w:rsidRDefault="007133EC" w:rsidP="002D58D0">
    <w:pP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656A6" w14:textId="77777777" w:rsidR="001A494B" w:rsidRDefault="001A49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53A33" w14:textId="77777777" w:rsidR="000A24DD" w:rsidRDefault="000A24DD">
      <w:r>
        <w:separator/>
      </w:r>
    </w:p>
  </w:footnote>
  <w:footnote w:type="continuationSeparator" w:id="0">
    <w:p w14:paraId="69227508" w14:textId="77777777" w:rsidR="000A24DD" w:rsidRDefault="000A24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5E44C" w14:textId="3A293548" w:rsidR="001A494B" w:rsidRDefault="000A24DD">
    <w:pPr>
      <w:pStyle w:val="Header"/>
    </w:pPr>
    <w:r>
      <w:rPr>
        <w:noProof/>
      </w:rPr>
      <w:pict w14:anchorId="59EDD5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290524" o:spid="_x0000_s2051" type="#_x0000_t136" alt="" style="position:absolute;margin-left:0;margin-top:0;width:639.8pt;height:69.4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7C86B" w14:textId="365B1515" w:rsidR="001A494B" w:rsidRDefault="000A24DD">
    <w:pPr>
      <w:pStyle w:val="Header"/>
    </w:pPr>
    <w:r>
      <w:rPr>
        <w:noProof/>
      </w:rPr>
      <w:pict w14:anchorId="5F4492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290525" o:spid="_x0000_s2050" type="#_x0000_t136" alt="" style="position:absolute;margin-left:0;margin-top:0;width:639.8pt;height:69.4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A94F2" w14:textId="01E4F80B" w:rsidR="001A494B" w:rsidRDefault="000A24DD">
    <w:pPr>
      <w:pStyle w:val="Header"/>
    </w:pPr>
    <w:r>
      <w:rPr>
        <w:noProof/>
      </w:rPr>
      <w:pict w14:anchorId="480C75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290523" o:spid="_x0000_s2049" type="#_x0000_t136" alt="" style="position:absolute;margin-left:0;margin-top:0;width:639.8pt;height:69.4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1F4726"/>
    <w:multiLevelType w:val="hybridMultilevel"/>
    <w:tmpl w:val="85E8759E"/>
    <w:lvl w:ilvl="0" w:tplc="B1B4CAC4">
      <w:start w:val="1"/>
      <w:numFmt w:val="bullet"/>
      <w:lvlText w:val="●"/>
      <w:lvlJc w:val="left"/>
      <w:pPr>
        <w:ind w:left="720" w:hanging="360"/>
      </w:pPr>
    </w:lvl>
    <w:lvl w:ilvl="1" w:tplc="6F767466">
      <w:start w:val="1"/>
      <w:numFmt w:val="bullet"/>
      <w:lvlText w:val="○"/>
      <w:lvlJc w:val="left"/>
      <w:pPr>
        <w:ind w:left="1440" w:hanging="360"/>
      </w:pPr>
    </w:lvl>
    <w:lvl w:ilvl="2" w:tplc="FEDCDBAC">
      <w:start w:val="1"/>
      <w:numFmt w:val="bullet"/>
      <w:lvlText w:val="■"/>
      <w:lvlJc w:val="left"/>
      <w:pPr>
        <w:ind w:left="2160" w:hanging="360"/>
      </w:pPr>
    </w:lvl>
    <w:lvl w:ilvl="3" w:tplc="DBFE2D94">
      <w:start w:val="1"/>
      <w:numFmt w:val="bullet"/>
      <w:lvlText w:val="●"/>
      <w:lvlJc w:val="left"/>
      <w:pPr>
        <w:ind w:left="2880" w:hanging="360"/>
      </w:pPr>
    </w:lvl>
    <w:lvl w:ilvl="4" w:tplc="F16C6116">
      <w:start w:val="1"/>
      <w:numFmt w:val="bullet"/>
      <w:lvlText w:val="○"/>
      <w:lvlJc w:val="left"/>
      <w:pPr>
        <w:ind w:left="3600" w:hanging="360"/>
      </w:pPr>
    </w:lvl>
    <w:lvl w:ilvl="5" w:tplc="26BC3F8A">
      <w:start w:val="1"/>
      <w:numFmt w:val="bullet"/>
      <w:lvlText w:val="■"/>
      <w:lvlJc w:val="left"/>
      <w:pPr>
        <w:ind w:left="4320" w:hanging="360"/>
      </w:pPr>
    </w:lvl>
    <w:lvl w:ilvl="6" w:tplc="FE56D3E4">
      <w:start w:val="1"/>
      <w:numFmt w:val="bullet"/>
      <w:lvlText w:val="●"/>
      <w:lvlJc w:val="left"/>
      <w:pPr>
        <w:ind w:left="5040" w:hanging="360"/>
      </w:pPr>
    </w:lvl>
    <w:lvl w:ilvl="7" w:tplc="91B6752E">
      <w:start w:val="1"/>
      <w:numFmt w:val="bullet"/>
      <w:lvlText w:val="●"/>
      <w:lvlJc w:val="left"/>
      <w:pPr>
        <w:ind w:left="5760" w:hanging="360"/>
      </w:pPr>
    </w:lvl>
    <w:lvl w:ilvl="8" w:tplc="FBC088FE">
      <w:start w:val="1"/>
      <w:numFmt w:val="bullet"/>
      <w:lvlText w:val="●"/>
      <w:lvlJc w:val="left"/>
      <w:pPr>
        <w:ind w:left="6480" w:hanging="360"/>
      </w:pPr>
    </w:lvl>
  </w:abstractNum>
  <w:abstractNum w:abstractNumId="1" w15:restartNumberingAfterBreak="0">
    <w:nsid w:val="67B54EE0"/>
    <w:multiLevelType w:val="hybridMultilevel"/>
    <w:tmpl w:val="5114D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3EC"/>
    <w:rsid w:val="00024284"/>
    <w:rsid w:val="00045141"/>
    <w:rsid w:val="00063FDD"/>
    <w:rsid w:val="000A24DD"/>
    <w:rsid w:val="00155AE1"/>
    <w:rsid w:val="001A494B"/>
    <w:rsid w:val="001C335D"/>
    <w:rsid w:val="001D3836"/>
    <w:rsid w:val="001E0BCA"/>
    <w:rsid w:val="001E56E7"/>
    <w:rsid w:val="0022473D"/>
    <w:rsid w:val="002D58D0"/>
    <w:rsid w:val="002F37C8"/>
    <w:rsid w:val="00366C59"/>
    <w:rsid w:val="003A521C"/>
    <w:rsid w:val="003C6C9B"/>
    <w:rsid w:val="004662D9"/>
    <w:rsid w:val="0047752E"/>
    <w:rsid w:val="00595504"/>
    <w:rsid w:val="005C798C"/>
    <w:rsid w:val="005D41DE"/>
    <w:rsid w:val="00625A0C"/>
    <w:rsid w:val="006337E9"/>
    <w:rsid w:val="00687BD0"/>
    <w:rsid w:val="007133EC"/>
    <w:rsid w:val="00714C0A"/>
    <w:rsid w:val="007217C5"/>
    <w:rsid w:val="00722CCE"/>
    <w:rsid w:val="007942B4"/>
    <w:rsid w:val="007F6B66"/>
    <w:rsid w:val="0081482F"/>
    <w:rsid w:val="008C6CA4"/>
    <w:rsid w:val="009125D0"/>
    <w:rsid w:val="009458AB"/>
    <w:rsid w:val="00961116"/>
    <w:rsid w:val="00A47678"/>
    <w:rsid w:val="00B77A2E"/>
    <w:rsid w:val="00B95341"/>
    <w:rsid w:val="00BC71ED"/>
    <w:rsid w:val="00CF3927"/>
    <w:rsid w:val="00ED5B59"/>
    <w:rsid w:val="00EE0B48"/>
    <w:rsid w:val="00F52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FFA295"/>
  <w15:docId w15:val="{81F98D7F-DD81-BB41-A9FB-F61998FE7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5141"/>
  </w:style>
  <w:style w:type="paragraph" w:styleId="Heading1">
    <w:name w:val="heading 1"/>
    <w:uiPriority w:val="9"/>
    <w:qFormat/>
    <w:pPr>
      <w:spacing w:before="320" w:after="160"/>
      <w:outlineLvl w:val="0"/>
    </w:pPr>
    <w:rPr>
      <w:b/>
      <w:bCs/>
      <w:color w:val="1F3864"/>
      <w:sz w:val="32"/>
      <w:szCs w:val="32"/>
    </w:rPr>
  </w:style>
  <w:style w:type="paragraph" w:styleId="Heading2">
    <w:name w:val="heading 2"/>
    <w:uiPriority w:val="9"/>
    <w:unhideWhenUsed/>
    <w:qFormat/>
    <w:pPr>
      <w:spacing w:before="240" w:after="120"/>
      <w:outlineLvl w:val="1"/>
    </w:pPr>
    <w:rPr>
      <w:b/>
      <w:bCs/>
      <w:color w:val="2E5090"/>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Header">
    <w:name w:val="header"/>
    <w:basedOn w:val="Normal"/>
    <w:link w:val="HeaderChar"/>
    <w:uiPriority w:val="99"/>
    <w:unhideWhenUsed/>
    <w:rsid w:val="002D58D0"/>
    <w:pPr>
      <w:tabs>
        <w:tab w:val="center" w:pos="4680"/>
        <w:tab w:val="right" w:pos="9360"/>
      </w:tabs>
    </w:pPr>
  </w:style>
  <w:style w:type="character" w:customStyle="1" w:styleId="HeaderChar">
    <w:name w:val="Header Char"/>
    <w:basedOn w:val="DefaultParagraphFont"/>
    <w:link w:val="Header"/>
    <w:uiPriority w:val="99"/>
    <w:rsid w:val="002D58D0"/>
  </w:style>
  <w:style w:type="paragraph" w:styleId="Footer">
    <w:name w:val="footer"/>
    <w:basedOn w:val="Normal"/>
    <w:link w:val="FooterChar"/>
    <w:uiPriority w:val="99"/>
    <w:unhideWhenUsed/>
    <w:rsid w:val="002D58D0"/>
    <w:pPr>
      <w:tabs>
        <w:tab w:val="center" w:pos="4680"/>
        <w:tab w:val="right" w:pos="9360"/>
      </w:tabs>
    </w:pPr>
  </w:style>
  <w:style w:type="character" w:customStyle="1" w:styleId="FooterChar">
    <w:name w:val="Footer Char"/>
    <w:basedOn w:val="DefaultParagraphFont"/>
    <w:link w:val="Footer"/>
    <w:uiPriority w:val="99"/>
    <w:rsid w:val="002D58D0"/>
  </w:style>
  <w:style w:type="character" w:styleId="PageNumber">
    <w:name w:val="page number"/>
    <w:basedOn w:val="DefaultParagraphFont"/>
    <w:uiPriority w:val="99"/>
    <w:semiHidden/>
    <w:unhideWhenUsed/>
    <w:rsid w:val="002D58D0"/>
  </w:style>
  <w:style w:type="paragraph" w:styleId="Caption">
    <w:name w:val="caption"/>
    <w:basedOn w:val="Normal"/>
    <w:next w:val="Normal"/>
    <w:uiPriority w:val="35"/>
    <w:unhideWhenUsed/>
    <w:qFormat/>
    <w:rsid w:val="00EE0B48"/>
    <w:pPr>
      <w:spacing w:after="200"/>
    </w:pPr>
    <w:rPr>
      <w:i/>
      <w:iCs/>
      <w:color w:val="0E2841" w:themeColor="text2"/>
      <w:sz w:val="18"/>
      <w:szCs w:val="18"/>
    </w:rPr>
  </w:style>
  <w:style w:type="paragraph" w:styleId="Bibliography">
    <w:name w:val="Bibliography"/>
    <w:basedOn w:val="Normal"/>
    <w:next w:val="Normal"/>
    <w:uiPriority w:val="37"/>
    <w:unhideWhenUsed/>
    <w:rsid w:val="00F52B70"/>
    <w:pPr>
      <w:spacing w:line="480" w:lineRule="auto"/>
      <w:ind w:left="720" w:hanging="720"/>
    </w:pPr>
  </w:style>
  <w:style w:type="character" w:styleId="UnresolvedMention">
    <w:name w:val="Unresolved Mention"/>
    <w:basedOn w:val="DefaultParagraphFont"/>
    <w:uiPriority w:val="99"/>
    <w:semiHidden/>
    <w:unhideWhenUsed/>
    <w:rsid w:val="004662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56023">
      <w:bodyDiv w:val="1"/>
      <w:marLeft w:val="0"/>
      <w:marRight w:val="0"/>
      <w:marTop w:val="0"/>
      <w:marBottom w:val="0"/>
      <w:divBdr>
        <w:top w:val="none" w:sz="0" w:space="0" w:color="auto"/>
        <w:left w:val="none" w:sz="0" w:space="0" w:color="auto"/>
        <w:bottom w:val="none" w:sz="0" w:space="0" w:color="auto"/>
        <w:right w:val="none" w:sz="0" w:space="0" w:color="auto"/>
      </w:divBdr>
    </w:div>
    <w:div w:id="236206326">
      <w:bodyDiv w:val="1"/>
      <w:marLeft w:val="0"/>
      <w:marRight w:val="0"/>
      <w:marTop w:val="0"/>
      <w:marBottom w:val="0"/>
      <w:divBdr>
        <w:top w:val="none" w:sz="0" w:space="0" w:color="auto"/>
        <w:left w:val="none" w:sz="0" w:space="0" w:color="auto"/>
        <w:bottom w:val="none" w:sz="0" w:space="0" w:color="auto"/>
        <w:right w:val="none" w:sz="0" w:space="0" w:color="auto"/>
      </w:divBdr>
    </w:div>
    <w:div w:id="247428873">
      <w:bodyDiv w:val="1"/>
      <w:marLeft w:val="0"/>
      <w:marRight w:val="0"/>
      <w:marTop w:val="0"/>
      <w:marBottom w:val="0"/>
      <w:divBdr>
        <w:top w:val="none" w:sz="0" w:space="0" w:color="auto"/>
        <w:left w:val="none" w:sz="0" w:space="0" w:color="auto"/>
        <w:bottom w:val="none" w:sz="0" w:space="0" w:color="auto"/>
        <w:right w:val="none" w:sz="0" w:space="0" w:color="auto"/>
      </w:divBdr>
    </w:div>
    <w:div w:id="944003271">
      <w:bodyDiv w:val="1"/>
      <w:marLeft w:val="0"/>
      <w:marRight w:val="0"/>
      <w:marTop w:val="0"/>
      <w:marBottom w:val="0"/>
      <w:divBdr>
        <w:top w:val="none" w:sz="0" w:space="0" w:color="auto"/>
        <w:left w:val="none" w:sz="0" w:space="0" w:color="auto"/>
        <w:bottom w:val="none" w:sz="0" w:space="0" w:color="auto"/>
        <w:right w:val="none" w:sz="0" w:space="0" w:color="auto"/>
      </w:divBdr>
    </w:div>
    <w:div w:id="970747680">
      <w:bodyDiv w:val="1"/>
      <w:marLeft w:val="0"/>
      <w:marRight w:val="0"/>
      <w:marTop w:val="0"/>
      <w:marBottom w:val="0"/>
      <w:divBdr>
        <w:top w:val="none" w:sz="0" w:space="0" w:color="auto"/>
        <w:left w:val="none" w:sz="0" w:space="0" w:color="auto"/>
        <w:bottom w:val="none" w:sz="0" w:space="0" w:color="auto"/>
        <w:right w:val="none" w:sz="0" w:space="0" w:color="auto"/>
      </w:divBdr>
    </w:div>
    <w:div w:id="20554950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github.com/kelyto30/longcovid-multiomic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cbi.nlm.nih.gov/geo/query/acc.cgi?acc=GSE22461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ovid19hg.org/results/r7/"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y.locuszoom.org/gwas/91854/"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D3FBF-3CB4-4837-BCE7-06345F6FC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30</Pages>
  <Words>36139</Words>
  <Characters>205996</Characters>
  <Application>Microsoft Office Word</Application>
  <DocSecurity>0</DocSecurity>
  <Lines>1716</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1022</cp:lastModifiedBy>
  <cp:revision>10</cp:revision>
  <dcterms:created xsi:type="dcterms:W3CDTF">2026-03-31T01:38:00Z</dcterms:created>
  <dcterms:modified xsi:type="dcterms:W3CDTF">2026-05-05T09:34:00Z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zotero-version="9.0.1"&gt;&lt;session id="UyC2wBlW"/&gt;&lt;style id="http://www.zotero.org/styles/apa" locale="en-CA"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ies>
</file>