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BE51" w14:textId="674EBE17" w:rsidR="009559C4" w:rsidRDefault="00754E84" w:rsidP="009D59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Effect</w:t>
      </w:r>
      <w:r w:rsidRPr="009D6E79">
        <w:rPr>
          <w:rFonts w:ascii="Times New Roman" w:hAnsi="Times New Roman" w:cs="Times New Roman"/>
          <w:b/>
          <w:sz w:val="24"/>
          <w:szCs w:val="24"/>
        </w:rPr>
        <w:t xml:space="preserve"> </w:t>
      </w:r>
      <w:r>
        <w:rPr>
          <w:rFonts w:ascii="Times New Roman" w:hAnsi="Times New Roman" w:cs="Times New Roman"/>
          <w:b/>
          <w:sz w:val="24"/>
          <w:szCs w:val="24"/>
        </w:rPr>
        <w:t>o</w:t>
      </w:r>
      <w:r w:rsidRPr="009D6E79">
        <w:rPr>
          <w:rFonts w:ascii="Times New Roman" w:hAnsi="Times New Roman" w:cs="Times New Roman"/>
          <w:b/>
          <w:sz w:val="24"/>
          <w:szCs w:val="24"/>
        </w:rPr>
        <w:t xml:space="preserve">f </w:t>
      </w:r>
      <w:r>
        <w:rPr>
          <w:rFonts w:ascii="Times New Roman" w:hAnsi="Times New Roman" w:cs="Times New Roman"/>
          <w:b/>
          <w:sz w:val="24"/>
          <w:szCs w:val="24"/>
        </w:rPr>
        <w:t>Seed Source Selection on</w:t>
      </w:r>
      <w:r w:rsidRPr="009D6E79">
        <w:rPr>
          <w:rFonts w:ascii="Times New Roman" w:hAnsi="Times New Roman" w:cs="Times New Roman"/>
          <w:b/>
          <w:sz w:val="24"/>
          <w:szCs w:val="24"/>
        </w:rPr>
        <w:t xml:space="preserve"> Wheat Yield among Smallholder Farmers in Gedeo Zone, South Ethiopia</w:t>
      </w:r>
    </w:p>
    <w:p w14:paraId="4D5D0CE2" w14:textId="6F738F56" w:rsidR="00754E84" w:rsidRPr="00754E84" w:rsidRDefault="00754E84" w:rsidP="00754E84">
      <w:pPr>
        <w:spacing w:before="240" w:after="0" w:line="360" w:lineRule="auto"/>
        <w:jc w:val="both"/>
        <w:rPr>
          <w:rStyle w:val="Strong"/>
          <w:rFonts w:ascii="Times New Roman" w:hAnsi="Times New Roman" w:cs="Times New Roman"/>
          <w:bCs w:val="0"/>
          <w:sz w:val="24"/>
          <w:szCs w:val="24"/>
        </w:rPr>
      </w:pPr>
      <w:r w:rsidRPr="006E59CA">
        <w:rPr>
          <w:rFonts w:ascii="Times New Roman" w:hAnsi="Times New Roman" w:cs="Times New Roman"/>
          <w:b/>
          <w:sz w:val="24"/>
          <w:szCs w:val="24"/>
        </w:rPr>
        <w:t xml:space="preserve">Abstract </w:t>
      </w:r>
    </w:p>
    <w:p w14:paraId="05C4228E" w14:textId="77777777" w:rsidR="00BE0BE7" w:rsidRPr="00BE0BE7" w:rsidRDefault="00BE0BE7" w:rsidP="00BE0BE7">
      <w:pPr>
        <w:pStyle w:val="NormalWeb"/>
        <w:spacing w:before="0" w:beforeAutospacing="0" w:line="360" w:lineRule="auto"/>
        <w:jc w:val="both"/>
        <w:rPr>
          <w:i/>
        </w:rPr>
      </w:pPr>
      <w:r w:rsidRPr="00BE0BE7">
        <w:rPr>
          <w:i/>
        </w:rPr>
        <w:t xml:space="preserve">Ethiopia is among the leading wheat-producing countries in Sub-Saharan Africa; however, productivity among smallholder farmers remains low due to multiple structural constraints, of which seed insecurity is particularly critical. In response to limited availability of certified seed, many farmers rely on informal seed a source, which adversely affects yield performance. Meanwhile, extension efforts have largely emphasized area expansion rather than strengthening seed systems. Despite the economic implications, limited empirical evidence exists on the independent effect of seed source selection on wheat productivity. This study therefore examines the impact of seed source choice on wheat yield while holding other agronomic practices relatively constant and estimates the associated productivity loss. A cross-sectional survey of 203 households was conducted across four kebeles in Gedeo Zone using a multistage sampling technique. Data were collected through a structured questionnaire and analyzed using descriptive statistics and inferential methods. To address selection bias and estimate causal effects, a propensity score matching (PSM) approach was employed. The results reveal that farmers using certified seed from formal sources achieve, on average, an additional </w:t>
      </w:r>
      <w:r w:rsidRPr="00BE0BE7">
        <w:rPr>
          <w:bCs/>
          <w:i/>
        </w:rPr>
        <w:t>10.87 quintals per hectare</w:t>
      </w:r>
      <w:r w:rsidRPr="00BE0BE7">
        <w:rPr>
          <w:i/>
        </w:rPr>
        <w:t xml:space="preserve"> compared to those relying on informal seed systems. The estimated treatment effects are statistically significant across multiple matching algorithms, confirming the robustness of the findings. The study concludes that limited access to formal seed sources results in substantial productivity and economic losses for smallholder farmers, even under comparable production conditions. Strengthening seed system coordination and improving access to certified seed through integrated efforts by extension services and seed enterprises at regional, zonal, and woreda levels is therefore essential to enhance wheat productivity.</w:t>
      </w:r>
    </w:p>
    <w:p w14:paraId="506E5D01" w14:textId="77777777" w:rsidR="00754E84" w:rsidRPr="00225FFA" w:rsidRDefault="00754E84" w:rsidP="00754E84">
      <w:pPr>
        <w:spacing w:before="240" w:after="0"/>
        <w:jc w:val="both"/>
        <w:rPr>
          <w:rFonts w:ascii="Times New Roman" w:hAnsi="Times New Roman" w:cs="Times New Roman"/>
          <w:sz w:val="24"/>
          <w:szCs w:val="24"/>
        </w:rPr>
      </w:pPr>
      <w:r w:rsidRPr="00E13106">
        <w:rPr>
          <w:rFonts w:ascii="Times New Roman" w:hAnsi="Times New Roman" w:cs="Times New Roman"/>
          <w:b/>
          <w:i/>
          <w:color w:val="222222"/>
          <w:sz w:val="24"/>
          <w:szCs w:val="24"/>
          <w:shd w:val="clear" w:color="auto" w:fill="FFFFFF"/>
        </w:rPr>
        <w:t>Keywords:</w:t>
      </w:r>
      <w:r w:rsidRPr="00E13106">
        <w:rPr>
          <w:rFonts w:ascii="Times New Roman" w:hAnsi="Times New Roman" w:cs="Times New Roman"/>
          <w:i/>
          <w:color w:val="222222"/>
          <w:sz w:val="24"/>
          <w:szCs w:val="24"/>
          <w:shd w:val="clear" w:color="auto" w:fill="FFFFFF"/>
        </w:rPr>
        <w:t> </w:t>
      </w:r>
      <w:r w:rsidR="002175C7" w:rsidRPr="00225FFA">
        <w:rPr>
          <w:rFonts w:ascii="Times New Roman" w:hAnsi="Times New Roman" w:cs="Times New Roman"/>
          <w:sz w:val="24"/>
          <w:szCs w:val="24"/>
        </w:rPr>
        <w:t>Seed Source Choice, Improved Wheat Seed, Productivity, Propensity Score Matching, Smallholder Farmers</w:t>
      </w:r>
    </w:p>
    <w:p w14:paraId="34F2CAC7" w14:textId="77777777" w:rsidR="00754E84" w:rsidRDefault="008D45B6" w:rsidP="00754E84">
      <w:pPr>
        <w:pStyle w:val="NormalWeb"/>
      </w:pPr>
      <w:r>
        <w:rPr>
          <w:rStyle w:val="Strong"/>
        </w:rPr>
        <w:br w:type="column"/>
      </w:r>
      <w:r w:rsidR="00754E84">
        <w:rPr>
          <w:rStyle w:val="Strong"/>
        </w:rPr>
        <w:lastRenderedPageBreak/>
        <w:t>Introduction</w:t>
      </w:r>
    </w:p>
    <w:p w14:paraId="6159FED8" w14:textId="77777777" w:rsidR="00754E84" w:rsidRDefault="00754E84" w:rsidP="00754E84">
      <w:pPr>
        <w:pStyle w:val="NormalWeb"/>
        <w:spacing w:before="0" w:beforeAutospacing="0" w:line="360" w:lineRule="auto"/>
        <w:jc w:val="both"/>
      </w:pPr>
      <w:r>
        <w:t>Seed is a fundamental agricultural input that plays a central role in improving crop productivity, supporting sustainable agricultural development, and ensuring food security [1, 2]. Seed security refers to a condition in which farming households have continuous access to adequate quantities of good-quality seed at the right time and place for planting [3]. Achieving seed security contributes directly to household food security [4]. Conversely, seed insecurity is widely recognized as one of the major production challenges faced by smallholder farmers.</w:t>
      </w:r>
    </w:p>
    <w:p w14:paraId="54929A68" w14:textId="77777777" w:rsidR="00754E84" w:rsidRDefault="00754E84" w:rsidP="00754E84">
      <w:pPr>
        <w:pStyle w:val="NormalWeb"/>
        <w:spacing w:before="0" w:beforeAutospacing="0" w:line="360" w:lineRule="auto"/>
        <w:jc w:val="both"/>
      </w:pPr>
      <w:r>
        <w:t>In Ethiopia, seed insecurity has been extensively documented as a persistent constraint, drawing increasing research attention. Evidence from [5] shows that inadequate access to quality seed significantly undermines smallholder agricultural production. For example, [6] found that only 33 percent of the total wheat area in the country is planted with improved seed provided by public seed enterprises, while the remaining 67 percent relies on farmers’ own saved seed or supplies obtained from local markets. Similarly, [7] reported that in Northern Ethiopia only 39.6 percent of wheat seed is sourced from the formal sector, with the majority coming from informal sources. According to [8], despite major reforms in Ethiopia’s seed system, the sector still struggles to provide farmers with timely access to improved varieties. Furthermore, [9] noted that although improved seed is essential for enhancing productivity, a large proportion of farmers are unable to obtain good-quality seed when needed. Scholars generally agree that seed insecurity among smallholder farmers arises from policy gaps, weak institutional performance in seed organizations, and various socioeconomic characteristics of farming households.</w:t>
      </w:r>
    </w:p>
    <w:p w14:paraId="173A5DE0" w14:textId="77777777" w:rsidR="00754E84" w:rsidRDefault="00754E84" w:rsidP="00754E84">
      <w:pPr>
        <w:pStyle w:val="NormalWeb"/>
        <w:spacing w:before="0" w:beforeAutospacing="0" w:line="360" w:lineRule="auto"/>
        <w:jc w:val="both"/>
      </w:pPr>
      <w:r>
        <w:t>Since the 1970s, Ethiopia has introduced several institutional reforms in the seed sector, including the establishment of national regulatory bodies, public seed enterprises, and regional research and seed institutions. However, these reforms have not sufficiently resolved seed insecurity challenges, partly because policy frameworks have not been adequately revised to reflect farmers’ evolving conditions or to meet the growing demand for improved seed [10, 11, 12].</w:t>
      </w:r>
    </w:p>
    <w:p w14:paraId="353028E7" w14:textId="77777777" w:rsidR="00754E84" w:rsidRDefault="00754E84" w:rsidP="00754E84">
      <w:pPr>
        <w:pStyle w:val="NormalWeb"/>
        <w:spacing w:before="0" w:beforeAutospacing="0" w:line="360" w:lineRule="auto"/>
        <w:jc w:val="both"/>
      </w:pPr>
      <w:r>
        <w:t xml:space="preserve">Several studies also highlight that the limited functional capacity of seed organizations further contributes to seed insecurity. The seed distribution system frequently experiences shortages of </w:t>
      </w:r>
      <w:r>
        <w:lastRenderedPageBreak/>
        <w:t>quality seed, transportation challenges, and delays in delivery, forcing many farmers to rely on farm-saved seed or local markets [3, 6]. Weak coordination among stakeholders and limited private-sector involvement continue to restrict timely access to improved seed in adequate quantity and quality [8, 9].</w:t>
      </w:r>
    </w:p>
    <w:p w14:paraId="139DE72F" w14:textId="5190105C" w:rsidR="00754E84" w:rsidRDefault="00754E84" w:rsidP="00754E84">
      <w:pPr>
        <w:pStyle w:val="NormalWeb"/>
        <w:spacing w:before="0" w:beforeAutospacing="0" w:line="360" w:lineRule="auto"/>
        <w:jc w:val="both"/>
      </w:pPr>
      <w:r>
        <w:t>Farmers’ demographic, socioeconomic, and institutional characteristics also influence their access to and use of</w:t>
      </w:r>
      <w:r w:rsidR="003A1F65">
        <w:t xml:space="preserve"> formal seed sources</w:t>
      </w:r>
      <w:r>
        <w:t xml:space="preserve">. According to [13], long distances to seed supply centers, high transportation costs, poor road infrastructure, and inadequate storage facilities negatively affect farmers’ seed access. Moreover, [14, 15] noted that the limited availability of quality seed at the required time and place is a key factor behind the low adoption of improved crop varieties. Weak integration between research and extension systems further constrains the dissemination of information, technologies, and resources needed for effective seed utilization [16]. </w:t>
      </w:r>
      <w:r w:rsidR="00656741" w:rsidRPr="00DE2B5D">
        <w:t xml:space="preserve">According to </w:t>
      </w:r>
      <w:r w:rsidR="00DE2B5D" w:rsidRPr="00DE2B5D">
        <w:rPr>
          <w:rStyle w:val="whitespace-normal"/>
        </w:rPr>
        <w:t>[43]</w:t>
      </w:r>
      <w:r w:rsidR="00DE2B5D">
        <w:rPr>
          <w:rStyle w:val="whitespace-normal"/>
          <w:color w:val="FF0000"/>
        </w:rPr>
        <w:t xml:space="preserve"> </w:t>
      </w:r>
      <w:r w:rsidR="00656741">
        <w:t xml:space="preserve">the majority of farmers accessed wheat seed through informal seed sources, with 79% using their own saved seed, while 9% obtained seed from neighboring farmers and 3% sourced it from local traders or markets for wheat cultivation. </w:t>
      </w:r>
      <w:r>
        <w:t>Additionally, [9] found that many farmers continue to depend on saved seed because of strong trust in local landraces, while [7] showed that high seed prices, low quality, delayed availability, and limited access to credit remain major barriers to obtaining improved wheat seed from formal sources.</w:t>
      </w:r>
    </w:p>
    <w:p w14:paraId="2BBAB192" w14:textId="77777777" w:rsidR="00161161" w:rsidRPr="00161161" w:rsidRDefault="00161161" w:rsidP="00161161">
      <w:pPr>
        <w:pStyle w:val="NormalWeb"/>
        <w:spacing w:before="0" w:beforeAutospacing="0" w:line="360" w:lineRule="auto"/>
        <w:jc w:val="both"/>
      </w:pPr>
      <w:r w:rsidRPr="00161161">
        <w:t>Ethiopia ranks as one of the leading wheat-producing countries in Africa in terms of both cultivated area and total production. Wheat is grown by an estimated 4.7 million smallholder farmers, the majority of whom are located in the Oromia, Amhara, Southern Ethiopia, and Tigray regions [17, 18, 7]. As a major staple food and an important cash crop, wheat occupies a central position in national strategies aimed at enhancing food security and reducing dependence on imports [19]. Nevertheless, wheat production continues to be affected by persistent structural and institutional constraints, including low household purchasing power, limited access to agricultural credit, untimely seed distribution, poor seed quality, and an inadequate supply of improved varieties through formal seed delivery systems [20].</w:t>
      </w:r>
    </w:p>
    <w:p w14:paraId="343AEA0F" w14:textId="77777777" w:rsidR="00161161" w:rsidRPr="00161161" w:rsidRDefault="00161161" w:rsidP="00161161">
      <w:pPr>
        <w:pStyle w:val="NormalWeb"/>
        <w:spacing w:before="0" w:beforeAutospacing="0" w:line="360" w:lineRule="auto"/>
        <w:jc w:val="both"/>
      </w:pPr>
      <w:r w:rsidRPr="00161161">
        <w:t xml:space="preserve">Existing empirical studies in Ethiopia have predominantly examined the adoption of improved wheat varieties and their associated yield outcomes. In contrast, relatively little attention has been given to seed source selection as an independent factor influencing wheat productivity, </w:t>
      </w:r>
      <w:r w:rsidRPr="00161161">
        <w:lastRenderedPageBreak/>
        <w:t xml:space="preserve">particularly with respect to differences between formal and informal seed systems under smallholder farming conditions. In Southern </w:t>
      </w:r>
      <w:r w:rsidR="003A36A4" w:rsidRPr="00161161">
        <w:t>Ethiopia</w:t>
      </w:r>
      <w:r w:rsidRPr="00161161">
        <w:t xml:space="preserve"> and in the Gedeo Zone in particular, access to formal seed sources remains highly limited, despite favorable agroecological conditions for wheat cultivation. As a result, many farmers continue to rely on local or repeatedly recycled seed, which constrains yield performance [21]. Evidence from </w:t>
      </w:r>
      <w:proofErr w:type="spellStart"/>
      <w:r w:rsidRPr="00161161">
        <w:t>Gedeb</w:t>
      </w:r>
      <w:proofErr w:type="spellEnd"/>
      <w:r w:rsidRPr="00161161">
        <w:t xml:space="preserve"> Woreda indicates that the use of improved wheat varieties in combination with recommended nitrogen fertilizer rates can result in yields of up to 3.8 t/ha [22], revealing a substantial disparity between achievable yields and those realized at the farm level.</w:t>
      </w:r>
    </w:p>
    <w:p w14:paraId="533207E2" w14:textId="7046FEDC" w:rsidR="00161161" w:rsidRPr="00161161" w:rsidRDefault="00161161" w:rsidP="00161161">
      <w:pPr>
        <w:pStyle w:val="NormalWeb"/>
        <w:spacing w:before="0" w:beforeAutospacing="0" w:line="360" w:lineRule="auto"/>
        <w:jc w:val="both"/>
      </w:pPr>
      <w:r w:rsidRPr="00161161">
        <w:t xml:space="preserve">Despite this, empirical evidence that quantitatively distinguishes the yield effects associated with different wheat seed sources, separate from varietal attributes, remains scarce. Moreover, limited research has examined the household-level socio-economic factors that influence farmers’ decisions regarding seed source selection. This knowledge gap is particularly evident in the highland areas of Southern Ethiopia, where informal seed exchange systems continue to dominate wheat seed supply. By systematically comparing wheat yield outcomes between users of formal and informal seed sources and analyzing the determinants of seed source choice, this study contributes new empirical evidence on the role of seed system characteristics in shaping productivity outcomes beyond varietal adoption alone. Such evidence is critical for informing targeted seed system interventions and policy measures aimed at improving wheat productivity and strengthening seed supply systems in </w:t>
      </w:r>
      <w:r>
        <w:t>the study area.</w:t>
      </w:r>
      <w:r w:rsidR="00BD5030">
        <w:t xml:space="preserve"> </w:t>
      </w:r>
      <w:r w:rsidR="005B139B">
        <w:t>Additionally, t</w:t>
      </w:r>
      <w:r w:rsidR="00BD5030">
        <w:t>his manuscript addresses an important issue related to agricultural productivity and seed system efficiency among smallholder wheat farmers in Ethiopia. The study provides valuable empirical evidence on the impact of formal versus informal seed sources on wheat yield using a robust econometric approach based on propensity score matching. The findings are highly relevant to policymakers, agricultural extension agencies, and researchers working in the areas of seed systems, rural development, and food security. Moreover, the study has practical significance for improving sustainable agricultural productivity and strengthening institutional seed supply mechanisms in developing economies.</w:t>
      </w:r>
    </w:p>
    <w:p w14:paraId="4165390D" w14:textId="77777777" w:rsidR="003A0E02" w:rsidRPr="006E59CA" w:rsidRDefault="003A0E02" w:rsidP="003A0E02">
      <w:pPr>
        <w:pStyle w:val="Heading1"/>
        <w:jc w:val="both"/>
        <w:rPr>
          <w:rFonts w:cs="Times New Roman"/>
          <w:szCs w:val="24"/>
        </w:rPr>
      </w:pPr>
      <w:bookmarkStart w:id="0" w:name="_Toc153143357"/>
      <w:r w:rsidRPr="006E59CA">
        <w:rPr>
          <w:rFonts w:cs="Times New Roman"/>
          <w:szCs w:val="24"/>
        </w:rPr>
        <w:lastRenderedPageBreak/>
        <w:t>RESEARCH METHODOLOGY</w:t>
      </w:r>
      <w:bookmarkEnd w:id="0"/>
      <w:r w:rsidRPr="006E59CA">
        <w:rPr>
          <w:rFonts w:cs="Times New Roman"/>
          <w:szCs w:val="24"/>
        </w:rPr>
        <w:t xml:space="preserve">  </w:t>
      </w:r>
    </w:p>
    <w:p w14:paraId="634A7A4B" w14:textId="77777777" w:rsidR="003A0E02" w:rsidRDefault="003A0E02" w:rsidP="003A0E02">
      <w:pPr>
        <w:pStyle w:val="Heading2"/>
        <w:jc w:val="both"/>
        <w:rPr>
          <w:rFonts w:cs="Times New Roman"/>
          <w:szCs w:val="24"/>
        </w:rPr>
      </w:pPr>
      <w:bookmarkStart w:id="1" w:name="_Toc153143358"/>
      <w:r w:rsidRPr="006E59CA">
        <w:rPr>
          <w:rFonts w:cs="Times New Roman"/>
          <w:szCs w:val="24"/>
        </w:rPr>
        <w:t>Description of the Study Area</w:t>
      </w:r>
      <w:bookmarkEnd w:id="1"/>
    </w:p>
    <w:p w14:paraId="3B426F88" w14:textId="77777777" w:rsidR="003A0E02" w:rsidRDefault="003A0E02" w:rsidP="003A0E02">
      <w:pPr>
        <w:pStyle w:val="NormalWeb"/>
        <w:spacing w:before="0" w:beforeAutospacing="0" w:line="360" w:lineRule="auto"/>
        <w:jc w:val="both"/>
      </w:pPr>
      <w:r>
        <w:t xml:space="preserve">The study was carried out in the Gedeo Zone of Southern Ethiopia, a highland area situated around 6° N latitude and 38° E longitude (Fig. 1). The zone, which extends along the Addis Ababa–Moyale highway, covers approximately 1,347 km² and is predominantly rural. It experiences a sub-humid tropical climate with bimodal rainfall patterns ranging from about 1,200 to 1,800 mm per year. Gedeo encompasses three principal </w:t>
      </w:r>
      <w:proofErr w:type="spellStart"/>
      <w:r>
        <w:t>agro</w:t>
      </w:r>
      <w:proofErr w:type="spellEnd"/>
      <w:r>
        <w:t>-ecological zones;</w:t>
      </w:r>
      <w:r w:rsidR="0061430A">
        <w:t xml:space="preserve"> </w:t>
      </w:r>
      <w:r>
        <w:t xml:space="preserve">Dega, </w:t>
      </w:r>
      <w:proofErr w:type="spellStart"/>
      <w:r>
        <w:t>Woyna</w:t>
      </w:r>
      <w:proofErr w:type="spellEnd"/>
      <w:r>
        <w:t xml:space="preserve"> Dega, and Kola which support a wide range of agricultural activities [23].</w:t>
      </w:r>
    </w:p>
    <w:p w14:paraId="7EBD778A" w14:textId="77777777" w:rsidR="003A0E02" w:rsidRDefault="003A0E02" w:rsidP="003A0E02">
      <w:pPr>
        <w:pStyle w:val="NormalWeb"/>
        <w:spacing w:before="0" w:beforeAutospacing="0" w:line="360" w:lineRule="auto"/>
        <w:jc w:val="both"/>
      </w:pPr>
      <w:r>
        <w:t xml:space="preserve">The zone is particularly renowned for its long-established indigenous agroforestry system, which remains central to local livelihoods. This system combines trees, shrubs, and multiple crop types to sustain high population density and diversified farming. Farmers commonly cultivate maize, </w:t>
      </w:r>
      <w:proofErr w:type="spellStart"/>
      <w:r>
        <w:t>enset</w:t>
      </w:r>
      <w:proofErr w:type="spellEnd"/>
      <w:r>
        <w:t>, coffee, fruit crops, and vegetables, while also engaging in livestock rearing [24, 25, and 26].</w:t>
      </w:r>
    </w:p>
    <w:p w14:paraId="459FDFBF" w14:textId="77777777" w:rsidR="003A0E02" w:rsidRDefault="003A0E02" w:rsidP="003A0E02">
      <w:pPr>
        <w:pStyle w:val="NormalWeb"/>
        <w:spacing w:before="0" w:beforeAutospacing="0" w:line="360" w:lineRule="auto"/>
        <w:jc w:val="both"/>
      </w:pPr>
      <w:r>
        <w:t xml:space="preserve">Wheat production occurs in several </w:t>
      </w:r>
      <w:r w:rsidR="00BA122F">
        <w:t>woreda</w:t>
      </w:r>
      <w:r>
        <w:t xml:space="preserve"> within the zone; however, its productivity is limited by inadequate access to improved seed. Reports from district agricultural offices show that only a small share of wheat farmland is planted with improved varieties, resulting in notable yield disparities between households that use certified seed and those that rely on local or recycled seed sources [27].</w:t>
      </w:r>
    </w:p>
    <w:p w14:paraId="21576A8B" w14:textId="77777777" w:rsidR="003A0E02" w:rsidRDefault="003A0E02" w:rsidP="00BA122F">
      <w:pPr>
        <w:pStyle w:val="NormalWeb"/>
        <w:spacing w:before="0" w:beforeAutospacing="0" w:after="0" w:afterAutospacing="0" w:line="360" w:lineRule="auto"/>
        <w:jc w:val="both"/>
      </w:pPr>
      <w:r>
        <w:rPr>
          <w:rStyle w:val="Strong"/>
        </w:rPr>
        <w:t>Research Design</w:t>
      </w:r>
    </w:p>
    <w:p w14:paraId="319F2D44" w14:textId="77777777" w:rsidR="003A0E02" w:rsidRDefault="003A0E02" w:rsidP="003A0E02">
      <w:pPr>
        <w:pStyle w:val="NormalWeb"/>
        <w:spacing w:before="0" w:beforeAutospacing="0" w:line="360" w:lineRule="auto"/>
        <w:jc w:val="both"/>
      </w:pPr>
      <w:r>
        <w:t>A cross-sectional research design was employed, integrating quantitative and qualitative approaches. Data were collected once from all selected respondents over a four-week period.</w:t>
      </w:r>
    </w:p>
    <w:p w14:paraId="42984A37" w14:textId="77777777" w:rsidR="003A0E02" w:rsidRDefault="003A0E02" w:rsidP="00BA122F">
      <w:pPr>
        <w:pStyle w:val="NormalWeb"/>
        <w:spacing w:before="0" w:beforeAutospacing="0" w:after="0" w:afterAutospacing="0" w:line="360" w:lineRule="auto"/>
        <w:jc w:val="both"/>
      </w:pPr>
      <w:r>
        <w:rPr>
          <w:rStyle w:val="Strong"/>
        </w:rPr>
        <w:t>Sampling Procedure and Sample Size Determination</w:t>
      </w:r>
    </w:p>
    <w:p w14:paraId="676408E1" w14:textId="77777777" w:rsidR="003A0E02" w:rsidRDefault="003A0E02" w:rsidP="003A0E02">
      <w:pPr>
        <w:pStyle w:val="NormalWeb"/>
        <w:spacing w:before="0" w:beforeAutospacing="0" w:line="360" w:lineRule="auto"/>
        <w:jc w:val="both"/>
      </w:pPr>
      <w:r>
        <w:t>A multistage sampling method combining probability and non-probability techniques was applied. In the first stage, the Gedeo Zone and two woredas—</w:t>
      </w:r>
      <w:proofErr w:type="spellStart"/>
      <w:r>
        <w:t>Gedeb</w:t>
      </w:r>
      <w:proofErr w:type="spellEnd"/>
      <w:r>
        <w:t xml:space="preserve"> and </w:t>
      </w:r>
      <w:proofErr w:type="spellStart"/>
      <w:r>
        <w:t>Choriso</w:t>
      </w:r>
      <w:proofErr w:type="spellEnd"/>
      <w:r>
        <w:t xml:space="preserve">—were purposively selected based on the mandate of the supporting institutions and the woredas’ relatively high suitability for wheat production. In the second stage, two kebeles were randomly selected from each woreda: </w:t>
      </w:r>
      <w:proofErr w:type="spellStart"/>
      <w:r>
        <w:t>Gubeta</w:t>
      </w:r>
      <w:proofErr w:type="spellEnd"/>
      <w:r>
        <w:t xml:space="preserve"> and </w:t>
      </w:r>
      <w:proofErr w:type="spellStart"/>
      <w:r>
        <w:t>Galcha</w:t>
      </w:r>
      <w:proofErr w:type="spellEnd"/>
      <w:r>
        <w:t xml:space="preserve"> from </w:t>
      </w:r>
      <w:proofErr w:type="spellStart"/>
      <w:r>
        <w:t>Gedeb</w:t>
      </w:r>
      <w:proofErr w:type="spellEnd"/>
      <w:r>
        <w:t xml:space="preserve">, and </w:t>
      </w:r>
      <w:proofErr w:type="spellStart"/>
      <w:r>
        <w:t>Dibadinbe</w:t>
      </w:r>
      <w:proofErr w:type="spellEnd"/>
      <w:r>
        <w:t xml:space="preserve"> and </w:t>
      </w:r>
      <w:proofErr w:type="spellStart"/>
      <w:r>
        <w:t>Gubeta</w:t>
      </w:r>
      <w:proofErr w:type="spellEnd"/>
      <w:r>
        <w:t xml:space="preserve"> </w:t>
      </w:r>
      <w:proofErr w:type="spellStart"/>
      <w:r>
        <w:t>Qabata</w:t>
      </w:r>
      <w:proofErr w:type="spellEnd"/>
      <w:r>
        <w:t xml:space="preserve"> from </w:t>
      </w:r>
      <w:proofErr w:type="spellStart"/>
      <w:r>
        <w:t>Choriso</w:t>
      </w:r>
      <w:proofErr w:type="spellEnd"/>
      <w:r>
        <w:t xml:space="preserve">. These kebeles were chosen after consultations with woreda agricultural experts regarding their wheat production potential. In the final stage, the sample size was determined </w:t>
      </w:r>
      <w:r>
        <w:lastRenderedPageBreak/>
        <w:t xml:space="preserve">using Yamane’s formula. Out of the 412 wheat-producing households in the four kebeles, a total of 203 households were proportionally selected, including both users and non-users of </w:t>
      </w:r>
      <w:r w:rsidR="00F566D0">
        <w:t xml:space="preserve">formal </w:t>
      </w:r>
      <w:r>
        <w:t>seed sources (Table 1).</w:t>
      </w:r>
    </w:p>
    <w:p w14:paraId="03B584F8" w14:textId="77777777" w:rsidR="002B0D99" w:rsidRPr="006E59CA" w:rsidRDefault="002B0D99" w:rsidP="002B0D99">
      <w:pPr>
        <w:spacing w:before="120" w:after="240" w:line="360" w:lineRule="auto"/>
        <w:jc w:val="both"/>
        <w:rPr>
          <w:rFonts w:ascii="Times New Roman" w:eastAsiaTheme="minorEastAsia" w:hAnsi="Times New Roman" w:cs="Times New Roman"/>
          <w:color w:val="252525"/>
          <w:sz w:val="24"/>
          <w:szCs w:val="24"/>
        </w:rPr>
      </w:pPr>
      <m:oMathPara>
        <m:oMathParaPr>
          <m:jc m:val="left"/>
        </m:oMathParaPr>
        <m:oMath>
          <m:r>
            <w:rPr>
              <w:rFonts w:ascii="Cambria Math" w:eastAsiaTheme="minorEastAsia" w:hAnsi="Cambria Math" w:cs="Times New Roman"/>
              <w:color w:val="252525"/>
              <w:sz w:val="24"/>
              <w:szCs w:val="24"/>
            </w:rPr>
            <m:t>n=</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N</m:t>
              </m:r>
            </m:num>
            <m:den>
              <m:r>
                <w:rPr>
                  <w:rFonts w:ascii="Cambria Math" w:eastAsiaTheme="minorEastAsia" w:hAnsi="Cambria Math" w:cs="Times New Roman"/>
                  <w:color w:val="252525"/>
                  <w:sz w:val="24"/>
                  <w:szCs w:val="24"/>
                </w:rPr>
                <m:t>1+N</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e</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412</m:t>
              </m:r>
            </m:num>
            <m:den>
              <m:r>
                <w:rPr>
                  <w:rFonts w:ascii="Cambria Math" w:eastAsiaTheme="minorEastAsia" w:hAnsi="Cambria Math" w:cs="Times New Roman"/>
                  <w:color w:val="252525"/>
                  <w:sz w:val="24"/>
                  <w:szCs w:val="24"/>
                </w:rPr>
                <m:t>1+412</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0.05</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=203</m:t>
          </m:r>
        </m:oMath>
      </m:oMathPara>
    </w:p>
    <w:p w14:paraId="65BAE0C7"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w:r w:rsidRPr="006E59CA">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N</m:t>
        </m:r>
      </m:oMath>
      <w:r w:rsidRPr="006E59CA">
        <w:rPr>
          <w:rFonts w:ascii="Times New Roman" w:eastAsia="Times New Roman" w:hAnsi="Times New Roman" w:cs="Times New Roman"/>
          <w:sz w:val="24"/>
          <w:szCs w:val="24"/>
        </w:rPr>
        <w:t xml:space="preserve"> =is the total population size (in this case wheat producer farmers in four sample kebele),</w:t>
      </w:r>
    </w:p>
    <w:p w14:paraId="4D4E2575"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oMath>
      <w:r w:rsidRPr="006E59CA">
        <w:rPr>
          <w:rFonts w:ascii="Times New Roman" w:eastAsia="Times New Roman" w:hAnsi="Times New Roman" w:cs="Times New Roman"/>
          <w:sz w:val="24"/>
          <w:szCs w:val="24"/>
        </w:rPr>
        <w:t xml:space="preserve"> =is the level of precision (0.05 at 95% confidence level)</w:t>
      </w:r>
    </w:p>
    <w:p w14:paraId="49FFDA50"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Pr="006E59CA">
        <w:rPr>
          <w:rFonts w:ascii="Times New Roman" w:eastAsia="Times New Roman" w:hAnsi="Times New Roman" w:cs="Times New Roman"/>
          <w:sz w:val="24"/>
          <w:szCs w:val="24"/>
        </w:rPr>
        <w:t xml:space="preserve">= is the total sample size selected from four sample kebele </w:t>
      </w:r>
    </w:p>
    <w:p w14:paraId="7766FC9C" w14:textId="77777777" w:rsidR="00587CB3" w:rsidRDefault="00587CB3" w:rsidP="002B0D99">
      <w:pPr>
        <w:spacing w:before="100" w:beforeAutospacing="1" w:after="0" w:line="360" w:lineRule="auto"/>
        <w:jc w:val="both"/>
        <w:rPr>
          <w:rFonts w:ascii="Times New Roman" w:eastAsia="Times New Roman" w:hAnsi="Times New Roman" w:cs="Times New Roman"/>
          <w:b/>
          <w:bCs/>
          <w:sz w:val="24"/>
          <w:szCs w:val="24"/>
        </w:rPr>
      </w:pPr>
    </w:p>
    <w:p w14:paraId="44F5ECCD" w14:textId="77777777" w:rsidR="00587CB3" w:rsidRDefault="00587CB3" w:rsidP="002B0D99">
      <w:pPr>
        <w:spacing w:before="100" w:beforeAutospacing="1" w:after="0" w:line="360" w:lineRule="auto"/>
        <w:jc w:val="both"/>
        <w:rPr>
          <w:rFonts w:ascii="Times New Roman" w:eastAsia="Times New Roman" w:hAnsi="Times New Roman" w:cs="Times New Roman"/>
          <w:b/>
          <w:bCs/>
          <w:sz w:val="24"/>
          <w:szCs w:val="24"/>
        </w:rPr>
      </w:pPr>
    </w:p>
    <w:p w14:paraId="298A3F54"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Data Collection Method</w:t>
      </w:r>
    </w:p>
    <w:p w14:paraId="37AC3E9A"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Type and Source of Data</w:t>
      </w:r>
    </w:p>
    <w:p w14:paraId="65EA5F8D"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The study relied on both quantitative and qualitative data obtained from primary and secondary sources. Primary data were collected through household surveys administered in the selected kebeles of </w:t>
      </w:r>
      <w:proofErr w:type="spellStart"/>
      <w:r w:rsidRPr="002B0D99">
        <w:rPr>
          <w:rFonts w:ascii="Times New Roman" w:eastAsia="Times New Roman" w:hAnsi="Times New Roman" w:cs="Times New Roman"/>
          <w:sz w:val="24"/>
          <w:szCs w:val="24"/>
        </w:rPr>
        <w:t>Gubeta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Galcha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Dibadinbe</w:t>
      </w:r>
      <w:proofErr w:type="spellEnd"/>
      <w:r w:rsidRPr="002B0D99">
        <w:rPr>
          <w:rFonts w:ascii="Times New Roman" w:eastAsia="Times New Roman" w:hAnsi="Times New Roman" w:cs="Times New Roman"/>
          <w:sz w:val="24"/>
          <w:szCs w:val="24"/>
        </w:rPr>
        <w:t xml:space="preserve">, and </w:t>
      </w:r>
      <w:proofErr w:type="spellStart"/>
      <w:r w:rsidRPr="002B0D99">
        <w:rPr>
          <w:rFonts w:ascii="Times New Roman" w:eastAsia="Times New Roman" w:hAnsi="Times New Roman" w:cs="Times New Roman"/>
          <w:sz w:val="24"/>
          <w:szCs w:val="24"/>
        </w:rPr>
        <w:t>Gubeta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Qabata</w:t>
      </w:r>
      <w:proofErr w:type="spellEnd"/>
      <w:r w:rsidRPr="002B0D99">
        <w:rPr>
          <w:rFonts w:ascii="Times New Roman" w:eastAsia="Times New Roman" w:hAnsi="Times New Roman" w:cs="Times New Roman"/>
          <w:sz w:val="24"/>
          <w:szCs w:val="24"/>
        </w:rPr>
        <w:t>. Secondary data were gathered from annual reports produced by woreda and zonal agricultural bureaus, as well as from published literature obtained through both print and online sources.</w:t>
      </w:r>
    </w:p>
    <w:p w14:paraId="6B609A9B"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Data Collection Techniques</w:t>
      </w:r>
    </w:p>
    <w:p w14:paraId="74182C35"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Household Survey</w:t>
      </w:r>
    </w:p>
    <w:p w14:paraId="5E64EFDA"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The household survey was used to generate quantitative information on socioecono</w:t>
      </w:r>
      <w:r>
        <w:rPr>
          <w:rFonts w:ascii="Times New Roman" w:eastAsia="Times New Roman" w:hAnsi="Times New Roman" w:cs="Times New Roman"/>
          <w:sz w:val="24"/>
          <w:szCs w:val="24"/>
        </w:rPr>
        <w:t xml:space="preserve">mic and demographic attributes and </w:t>
      </w:r>
      <w:r w:rsidRPr="002B0D99">
        <w:rPr>
          <w:rFonts w:ascii="Times New Roman" w:eastAsia="Times New Roman" w:hAnsi="Times New Roman" w:cs="Times New Roman"/>
          <w:sz w:val="24"/>
          <w:szCs w:val="24"/>
        </w:rPr>
        <w:t xml:space="preserve">institutional conditions. A semi structured questionnaire served as the main instrument for data collection. Four trained enumerators from the Hawassa Agricultural Research Center conducted the interviews, two of whom held MSc degrees while the remaining two held BSc degrees. All enumerators possessed more than three years of field data collection experience. Interviews were administered through face to face interactions in Amharic and the local language, </w:t>
      </w:r>
      <w:proofErr w:type="spellStart"/>
      <w:r w:rsidRPr="002B0D99">
        <w:rPr>
          <w:rFonts w:ascii="Times New Roman" w:eastAsia="Times New Roman" w:hAnsi="Times New Roman" w:cs="Times New Roman"/>
          <w:sz w:val="24"/>
          <w:szCs w:val="24"/>
        </w:rPr>
        <w:t>Gedeogna</w:t>
      </w:r>
      <w:proofErr w:type="spellEnd"/>
      <w:r w:rsidRPr="002B0D99">
        <w:rPr>
          <w:rFonts w:ascii="Times New Roman" w:eastAsia="Times New Roman" w:hAnsi="Times New Roman" w:cs="Times New Roman"/>
          <w:sz w:val="24"/>
          <w:szCs w:val="24"/>
        </w:rPr>
        <w:t>, with the sampled wheat farming households.</w:t>
      </w:r>
    </w:p>
    <w:p w14:paraId="61526F1C"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lastRenderedPageBreak/>
        <w:t>Document Review</w:t>
      </w:r>
    </w:p>
    <w:p w14:paraId="327D7B1C"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Secondary data were obtained through the systematic review of unpublished and published documents. Unpublished sources included annual reports from the agricultural offices of </w:t>
      </w:r>
      <w:proofErr w:type="spellStart"/>
      <w:r w:rsidRPr="002B0D99">
        <w:rPr>
          <w:rFonts w:ascii="Times New Roman" w:eastAsia="Times New Roman" w:hAnsi="Times New Roman" w:cs="Times New Roman"/>
          <w:sz w:val="24"/>
          <w:szCs w:val="24"/>
        </w:rPr>
        <w:t>Gedeb</w:t>
      </w:r>
      <w:proofErr w:type="spellEnd"/>
      <w:r w:rsidRPr="002B0D99">
        <w:rPr>
          <w:rFonts w:ascii="Times New Roman" w:eastAsia="Times New Roman" w:hAnsi="Times New Roman" w:cs="Times New Roman"/>
          <w:sz w:val="24"/>
          <w:szCs w:val="24"/>
        </w:rPr>
        <w:t xml:space="preserve"> and </w:t>
      </w:r>
      <w:proofErr w:type="spellStart"/>
      <w:r w:rsidRPr="002B0D99">
        <w:rPr>
          <w:rFonts w:ascii="Times New Roman" w:eastAsia="Times New Roman" w:hAnsi="Times New Roman" w:cs="Times New Roman"/>
          <w:sz w:val="24"/>
          <w:szCs w:val="24"/>
        </w:rPr>
        <w:t>Choriso</w:t>
      </w:r>
      <w:proofErr w:type="spellEnd"/>
      <w:r w:rsidRPr="002B0D99">
        <w:rPr>
          <w:rFonts w:ascii="Times New Roman" w:eastAsia="Times New Roman" w:hAnsi="Times New Roman" w:cs="Times New Roman"/>
          <w:sz w:val="24"/>
          <w:szCs w:val="24"/>
        </w:rPr>
        <w:t xml:space="preserve"> woredas and from the Gedeo Zone Agricultural Development Office. Published sources consisted of journal articles, books, and theses. The review focused on wheat seed supply systems and the constraints farmers encounter in adopting improved wheat varieties. This document review was carried out concurrently with study planning, field data collection, and report preparation.</w:t>
      </w:r>
    </w:p>
    <w:p w14:paraId="12E8B744"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Methods of Data Analysis</w:t>
      </w:r>
    </w:p>
    <w:p w14:paraId="04CB7A3B" w14:textId="77777777" w:rsidR="002B0D99" w:rsidRPr="002B0D99" w:rsidRDefault="002B0D99" w:rsidP="00AA3C0C">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After data collection, the dataset underwent entry, cleaning, management, and analysis. Descriptive and inferential statistical methods, together with econometric modeling, were applied.</w:t>
      </w:r>
    </w:p>
    <w:p w14:paraId="0D1CEAB3"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Descriptive statistics, including mean, frequency, standard deviation, and percentage, were used to summarize the demographic and socioeconomic characteristics of the respondents. Inferential methods were employed to examine relationships and differences between groups. The chi square test was applied to assess associations between wheat seed source and categorical variables, and the t test was used to compare mean values of continuous variables between farmers using formal seed sources and those relying on informal sources.</w:t>
      </w:r>
    </w:p>
    <w:p w14:paraId="29649086"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The study employed the propensity score matching model to estimate the effect of improved wheat seed on household wheat productivity. Propensity scores were generated using the probit model based on observable covariates. Although productivity differences can be compared through simple descriptive statistics, such comparisons do not provide causal estimates. The </w:t>
      </w:r>
      <w:r w:rsidR="00B248D0">
        <w:rPr>
          <w:rFonts w:ascii="Times New Roman" w:eastAsia="Times New Roman" w:hAnsi="Times New Roman" w:cs="Times New Roman"/>
          <w:sz w:val="24"/>
          <w:szCs w:val="24"/>
        </w:rPr>
        <w:t>use</w:t>
      </w:r>
      <w:r w:rsidRPr="002B0D99">
        <w:rPr>
          <w:rFonts w:ascii="Times New Roman" w:eastAsia="Times New Roman" w:hAnsi="Times New Roman" w:cs="Times New Roman"/>
          <w:sz w:val="24"/>
          <w:szCs w:val="24"/>
        </w:rPr>
        <w:t xml:space="preserve"> of </w:t>
      </w:r>
      <w:r w:rsidR="00B248D0">
        <w:rPr>
          <w:rFonts w:ascii="Times New Roman" w:eastAsia="Times New Roman" w:hAnsi="Times New Roman" w:cs="Times New Roman"/>
          <w:sz w:val="24"/>
          <w:szCs w:val="24"/>
        </w:rPr>
        <w:t>formal </w:t>
      </w:r>
      <w:r w:rsidRPr="002B0D99">
        <w:rPr>
          <w:rFonts w:ascii="Times New Roman" w:eastAsia="Times New Roman" w:hAnsi="Times New Roman" w:cs="Times New Roman"/>
          <w:sz w:val="24"/>
          <w:szCs w:val="24"/>
        </w:rPr>
        <w:t xml:space="preserve">seed is influenced by farmers’ socioeconomic, demographic, and institutional attributes, which introduces endogeneity. Therefore, an appropriate econometric approach is needed to identify the true impact of </w:t>
      </w:r>
      <w:r w:rsidR="000E59D1">
        <w:rPr>
          <w:rFonts w:ascii="Times New Roman" w:eastAsia="Times New Roman" w:hAnsi="Times New Roman" w:cs="Times New Roman"/>
          <w:sz w:val="24"/>
          <w:szCs w:val="24"/>
        </w:rPr>
        <w:t>formal seed</w:t>
      </w:r>
      <w:r w:rsidRPr="002B0D99">
        <w:rPr>
          <w:rFonts w:ascii="Times New Roman" w:eastAsia="Times New Roman" w:hAnsi="Times New Roman" w:cs="Times New Roman"/>
          <w:sz w:val="24"/>
          <w:szCs w:val="24"/>
        </w:rPr>
        <w:t xml:space="preserve"> </w:t>
      </w:r>
      <w:r w:rsidR="000E59D1">
        <w:rPr>
          <w:rFonts w:ascii="Times New Roman" w:eastAsia="Times New Roman" w:hAnsi="Times New Roman" w:cs="Times New Roman"/>
          <w:sz w:val="24"/>
          <w:szCs w:val="24"/>
        </w:rPr>
        <w:t xml:space="preserve">source </w:t>
      </w:r>
      <w:r w:rsidRPr="002B0D99">
        <w:rPr>
          <w:rFonts w:ascii="Times New Roman" w:eastAsia="Times New Roman" w:hAnsi="Times New Roman" w:cs="Times New Roman"/>
          <w:sz w:val="24"/>
          <w:szCs w:val="24"/>
        </w:rPr>
        <w:t>use.</w:t>
      </w:r>
    </w:p>
    <w:p w14:paraId="120920B3"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Methods such as the difference in difference technique require </w:t>
      </w:r>
      <w:r w:rsidR="000D4D00" w:rsidRPr="002B0D99">
        <w:rPr>
          <w:rFonts w:ascii="Times New Roman" w:eastAsia="Times New Roman" w:hAnsi="Times New Roman" w:cs="Times New Roman"/>
          <w:sz w:val="24"/>
          <w:szCs w:val="24"/>
        </w:rPr>
        <w:t>multiyear</w:t>
      </w:r>
      <w:r w:rsidRPr="002B0D99">
        <w:rPr>
          <w:rFonts w:ascii="Times New Roman" w:eastAsia="Times New Roman" w:hAnsi="Times New Roman" w:cs="Times New Roman"/>
          <w:sz w:val="24"/>
          <w:szCs w:val="24"/>
        </w:rPr>
        <w:t xml:space="preserve"> yield records for individual farmers, which were not available at either the kebele or household level. To address this limitation, the study evaluated productivity differences between </w:t>
      </w:r>
      <w:r w:rsidR="00392D88">
        <w:rPr>
          <w:rFonts w:ascii="Times New Roman" w:eastAsia="Times New Roman" w:hAnsi="Times New Roman" w:cs="Times New Roman"/>
          <w:sz w:val="24"/>
          <w:szCs w:val="24"/>
        </w:rPr>
        <w:t>formal</w:t>
      </w:r>
      <w:r w:rsidRPr="002B0D99">
        <w:rPr>
          <w:rFonts w:ascii="Times New Roman" w:eastAsia="Times New Roman" w:hAnsi="Times New Roman" w:cs="Times New Roman"/>
          <w:sz w:val="24"/>
          <w:szCs w:val="24"/>
        </w:rPr>
        <w:t xml:space="preserve"> seed </w:t>
      </w:r>
      <w:r w:rsidR="00392D88">
        <w:rPr>
          <w:rFonts w:ascii="Times New Roman" w:eastAsia="Times New Roman" w:hAnsi="Times New Roman" w:cs="Times New Roman"/>
          <w:sz w:val="24"/>
          <w:szCs w:val="24"/>
        </w:rPr>
        <w:t xml:space="preserve">source </w:t>
      </w:r>
      <w:r w:rsidRPr="002B0D99">
        <w:rPr>
          <w:rFonts w:ascii="Times New Roman" w:eastAsia="Times New Roman" w:hAnsi="Times New Roman" w:cs="Times New Roman"/>
          <w:sz w:val="24"/>
          <w:szCs w:val="24"/>
        </w:rPr>
        <w:t xml:space="preserve">users </w:t>
      </w:r>
      <w:r w:rsidRPr="002B0D99">
        <w:rPr>
          <w:rFonts w:ascii="Times New Roman" w:eastAsia="Times New Roman" w:hAnsi="Times New Roman" w:cs="Times New Roman"/>
          <w:sz w:val="24"/>
          <w:szCs w:val="24"/>
        </w:rPr>
        <w:lastRenderedPageBreak/>
        <w:t xml:space="preserve">and </w:t>
      </w:r>
      <w:r w:rsidR="00392D88" w:rsidRPr="002B0D99">
        <w:rPr>
          <w:rFonts w:ascii="Times New Roman" w:eastAsia="Times New Roman" w:hAnsi="Times New Roman" w:cs="Times New Roman"/>
          <w:sz w:val="24"/>
          <w:szCs w:val="24"/>
        </w:rPr>
        <w:t>non-users</w:t>
      </w:r>
      <w:r w:rsidRPr="002B0D99">
        <w:rPr>
          <w:rFonts w:ascii="Times New Roman" w:eastAsia="Times New Roman" w:hAnsi="Times New Roman" w:cs="Times New Roman"/>
          <w:sz w:val="24"/>
          <w:szCs w:val="24"/>
        </w:rPr>
        <w:t xml:space="preserve"> under comparable conditions, with seed source being the only distinguishing factor. Propensity score matching was used for this purpose, comparing wheat yields of households that obtained improved seed from formal sources with those relying on seed from informal channels.</w:t>
      </w:r>
    </w:p>
    <w:p w14:paraId="03383977"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In this framework, farmers using improved wheat seed represent the treatment group, while those using locally sourced seed constitute the control group. These two groups cannot be directly compared because differences in outcomes may arise even in the absence of treatment due to </w:t>
      </w:r>
      <w:r w:rsidR="00392D88"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bias. Establishing comparability is therefore essential before constructing the counterfactual. The concept of propensity score matching introduced by earlier scholars demonstrates that the bias caused by </w:t>
      </w:r>
      <w:r w:rsidR="00392D88"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can be reduced by matching treated and untreated individuals on the basis of their propensity scores.</w:t>
      </w:r>
    </w:p>
    <w:p w14:paraId="1F0133D1" w14:textId="77777777" w:rsid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In the context of this study, </w:t>
      </w:r>
      <w:r w:rsidR="005A29A9"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arises because the use of improved wheat seed distributed through formal sources is not random. Farmers who access improved seed may differ systematically from those using local seed in terms of socioeconomic characteristics, location, and other factors that influence productivity. Propensity score matching addresses this bias by estimating the probability of treatment using a probit model and matching each improved seed user with one or more non users who share similar observable characteristics. The model then estimates the average productivity difference between the two groups.</w:t>
      </w:r>
    </w:p>
    <w:p w14:paraId="0C2DAB81" w14:textId="77777777" w:rsidR="005A29A9" w:rsidRPr="002B0D99" w:rsidRDefault="005A29A9" w:rsidP="002B0D99">
      <w:pPr>
        <w:spacing w:before="100" w:beforeAutospacing="1" w:after="0" w:line="360" w:lineRule="auto"/>
        <w:jc w:val="both"/>
        <w:rPr>
          <w:rFonts w:ascii="Times New Roman" w:eastAsia="Times New Roman" w:hAnsi="Times New Roman" w:cs="Times New Roman"/>
          <w:sz w:val="24"/>
          <w:szCs w:val="24"/>
        </w:rPr>
      </w:pPr>
      <w:r w:rsidRPr="006E59CA">
        <w:rPr>
          <w:rFonts w:ascii="Times New Roman" w:hAnsi="Times New Roman" w:cs="Times New Roman"/>
          <w:noProof/>
          <w:sz w:val="24"/>
          <w:szCs w:val="24"/>
        </w:rPr>
        <w:drawing>
          <wp:inline distT="0" distB="0" distL="0" distR="0" wp14:anchorId="288D9C1E" wp14:editId="5BAAF4C7">
            <wp:extent cx="4905375" cy="4000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05375" cy="400050"/>
                    </a:xfrm>
                    <a:prstGeom prst="rect">
                      <a:avLst/>
                    </a:prstGeom>
                  </pic:spPr>
                </pic:pic>
              </a:graphicData>
            </a:graphic>
          </wp:inline>
        </w:drawing>
      </w:r>
    </w:p>
    <w:p w14:paraId="4F191E6C" w14:textId="77777777" w:rsidR="005A29A9" w:rsidRPr="005A29A9" w:rsidRDefault="005A29A9" w:rsidP="005A29A9">
      <w:pPr>
        <w:spacing w:before="240" w:after="0" w:line="360" w:lineRule="auto"/>
        <w:jc w:val="both"/>
        <w:rPr>
          <w:rFonts w:ascii="Times New Roman" w:eastAsia="Calibri" w:hAnsi="Times New Roman" w:cs="Times New Roman"/>
          <w:sz w:val="24"/>
          <w:szCs w:val="24"/>
        </w:rPr>
      </w:pPr>
      <w:r w:rsidRPr="005A29A9">
        <w:rPr>
          <w:rFonts w:ascii="Times New Roman" w:eastAsia="Calibri" w:hAnsi="Times New Roman" w:cs="Times New Roman"/>
          <w:bCs/>
          <w:color w:val="000000"/>
          <w:sz w:val="24"/>
          <w:szCs w:val="24"/>
        </w:rPr>
        <w:t>Where, Y</w:t>
      </w:r>
      <w:r w:rsidRPr="005A29A9">
        <w:rPr>
          <w:rFonts w:ascii="Times New Roman" w:eastAsia="Calibri" w:hAnsi="Times New Roman" w:cs="Times New Roman"/>
          <w:bCs/>
          <w:color w:val="000000"/>
          <w:sz w:val="24"/>
          <w:szCs w:val="24"/>
          <w:vertAlign w:val="subscript"/>
        </w:rPr>
        <w:t>i</w:t>
      </w:r>
      <w:r w:rsidRPr="005A29A9">
        <w:rPr>
          <w:rFonts w:ascii="Times New Roman" w:eastAsia="Calibri" w:hAnsi="Times New Roman" w:cs="Times New Roman"/>
          <w:bCs/>
          <w:color w:val="000000"/>
          <w:sz w:val="24"/>
          <w:szCs w:val="24"/>
          <w:vertAlign w:val="superscript"/>
        </w:rPr>
        <w:t xml:space="preserve">* </w:t>
      </w:r>
      <w:r w:rsidRPr="005A29A9">
        <w:rPr>
          <w:rFonts w:ascii="Times New Roman" w:eastAsia="Calibri" w:hAnsi="Times New Roman" w:cs="Times New Roman"/>
          <w:bCs/>
          <w:color w:val="000000"/>
          <w:sz w:val="24"/>
          <w:szCs w:val="24"/>
        </w:rPr>
        <w:t>is a latent variable representing farmers’ decision to use improved wheat seed from formal seed sources, Yi</w:t>
      </w:r>
      <w:r w:rsidRPr="005A29A9">
        <w:rPr>
          <w:rFonts w:ascii="Times New Roman" w:eastAsia="Calibri" w:hAnsi="Times New Roman" w:cs="Times New Roman"/>
          <w:bCs/>
          <w:color w:val="000000"/>
          <w:sz w:val="24"/>
          <w:szCs w:val="24"/>
          <w:vertAlign w:val="subscript"/>
        </w:rPr>
        <w:t xml:space="preserve"> </w:t>
      </w:r>
      <w:r w:rsidRPr="005A29A9">
        <w:rPr>
          <w:rFonts w:ascii="Times New Roman" w:eastAsia="Calibri" w:hAnsi="Times New Roman" w:cs="Times New Roman"/>
          <w:bCs/>
          <w:color w:val="000000"/>
          <w:sz w:val="24"/>
          <w:szCs w:val="24"/>
        </w:rPr>
        <w:t>is the observed status of using improved seed from formal sources by each farmer, and X is an explanatory variable that includes farmer and farm characteristics (socio-economic, demographic and institutional), β is a parameter to be estimated and</w:t>
      </w:r>
      <w:r w:rsidRPr="005A29A9">
        <w:rPr>
          <w:rFonts w:ascii="Times New Roman" w:eastAsia="Calibri" w:hAnsi="Times New Roman" w:cs="Times New Roman"/>
          <w:b/>
          <w:bCs/>
          <w:color w:val="000000"/>
          <w:sz w:val="24"/>
          <w:szCs w:val="24"/>
        </w:rPr>
        <w:t xml:space="preserve"> </w:t>
      </w:r>
      <w:proofErr w:type="spellStart"/>
      <w:r w:rsidRPr="005A29A9">
        <w:rPr>
          <w:rFonts w:ascii="Times New Roman" w:eastAsia="Calibri" w:hAnsi="Times New Roman" w:cs="Times New Roman"/>
          <w:sz w:val="24"/>
          <w:szCs w:val="24"/>
        </w:rPr>
        <w:t>ui</w:t>
      </w:r>
      <w:proofErr w:type="spellEnd"/>
      <w:r w:rsidRPr="005A29A9">
        <w:rPr>
          <w:rFonts w:ascii="Times New Roman" w:eastAsia="Calibri" w:hAnsi="Times New Roman" w:cs="Times New Roman"/>
          <w:sz w:val="24"/>
          <w:szCs w:val="24"/>
        </w:rPr>
        <w:t xml:space="preserve"> is a normally distributed error term.</w:t>
      </w:r>
    </w:p>
    <w:p w14:paraId="11B0F5AC" w14:textId="77777777" w:rsidR="005A29A9" w:rsidRDefault="005A29A9" w:rsidP="005A29A9">
      <w:pPr>
        <w:pStyle w:val="NormalWeb"/>
        <w:spacing w:line="360" w:lineRule="auto"/>
        <w:jc w:val="both"/>
      </w:pPr>
      <w:r>
        <w:t xml:space="preserve">After estimating the propensity scores, matching procedures were applied to pair each farmer who used improved wheat seed with farmers who used local seed but had similar propensity scores. Four matching algorithms were initially tested, namely nearest </w:t>
      </w:r>
      <w:proofErr w:type="spellStart"/>
      <w:r>
        <w:t>neighbour</w:t>
      </w:r>
      <w:proofErr w:type="spellEnd"/>
      <w:r>
        <w:t xml:space="preserve">, stratification, </w:t>
      </w:r>
      <w:r>
        <w:lastRenderedPageBreak/>
        <w:t>radius, and kernel matching. Based on the significance of the t statistics and the number of treatment and control observations retained in each method, three algorithms were selected for the final analysis. Radius matching was excluded because it removed a large portion of the treatment and control samples.</w:t>
      </w:r>
    </w:p>
    <w:p w14:paraId="4CCD7231" w14:textId="77777777" w:rsidR="005A29A9" w:rsidRDefault="005A29A9" w:rsidP="005A29A9">
      <w:pPr>
        <w:pStyle w:val="NormalWeb"/>
        <w:spacing w:line="360" w:lineRule="auto"/>
        <w:jc w:val="both"/>
      </w:pPr>
      <w:r>
        <w:t>The next requirement in the analysis was to confirm the balancing property of the matched sample. This property ensures that farmers in the common support region share similar distributions of observable characteristics, regardless of whether they used improved or local wheat seed [32]. The balancing tests indicated that the matched samples met this requirement, allowing the analysis to proceed.</w:t>
      </w:r>
    </w:p>
    <w:p w14:paraId="00A2B02D" w14:textId="77777777" w:rsidR="005A29A9" w:rsidRDefault="005A29A9" w:rsidP="005A29A9">
      <w:pPr>
        <w:pStyle w:val="NormalWeb"/>
        <w:spacing w:line="360" w:lineRule="auto"/>
        <w:jc w:val="both"/>
      </w:pPr>
      <w:r>
        <w:t xml:space="preserve">The study then assessed the existence of adequate common support and sufficient overlap between </w:t>
      </w:r>
      <w:r w:rsidR="00A53FB4">
        <w:t xml:space="preserve">formal </w:t>
      </w:r>
      <w:r>
        <w:t xml:space="preserve">seed </w:t>
      </w:r>
      <w:r w:rsidR="00A53FB4">
        <w:t xml:space="preserve">source </w:t>
      </w:r>
      <w:r>
        <w:t>users and local seed users. This was examined by comparing descriptive statistics, including the mean, minimum, and maximum values of the propensity scores, and by inspecting the kernel density distribution. The results confirmed adequate overlap and a clearly defined common support region.</w:t>
      </w:r>
    </w:p>
    <w:p w14:paraId="7C4D50D0" w14:textId="77777777" w:rsidR="005A29A9" w:rsidRDefault="005A29A9" w:rsidP="005A29A9">
      <w:pPr>
        <w:pStyle w:val="NormalWeb"/>
        <w:spacing w:line="360" w:lineRule="auto"/>
        <w:jc w:val="both"/>
      </w:pPr>
      <w:r>
        <w:t>The final step involved estimating the causal effect of using improved wheat seed obtained from formal seed sources on wheat yield. This effect was measured using the average treatment effect on the treated, also known as the ATT. The ATT represents the mean difference in wheat productivity between the treatment group and a comparable control group matched on propensity scores and located within the common support region.</w:t>
      </w:r>
    </w:p>
    <w:p w14:paraId="3D222AAF" w14:textId="77777777" w:rsidR="005A29A9" w:rsidRDefault="005A29A9" w:rsidP="005A29A9">
      <w:pPr>
        <w:pStyle w:val="NormalWeb"/>
        <w:spacing w:line="360" w:lineRule="auto"/>
        <w:jc w:val="both"/>
      </w:pPr>
      <w:r>
        <w:t xml:space="preserve">The analytical framework for this study was based on utility maximization theory. Wheat producers are assumed to choose a seed source that maximizes their expected utility. Let U1i represent the utility that the </w:t>
      </w:r>
      <w:proofErr w:type="spellStart"/>
      <w:r>
        <w:t>ith</w:t>
      </w:r>
      <w:proofErr w:type="spellEnd"/>
      <w:r>
        <w:t xml:space="preserve"> farmer derives from using improved wheat seed from a formal source, and U2i represent the utility from using local wheat seed from an informal source. The utility functions depend on farmer specific characteristics, expressed as X (for example age, sex, or land size), and a random disturbance term with a mean of zero:</w:t>
      </w:r>
    </w:p>
    <w:p w14:paraId="62CC48F9" w14:textId="77777777" w:rsidR="005A29A9" w:rsidRDefault="005A29A9" w:rsidP="005A29A9">
      <w:pPr>
        <w:pStyle w:val="NormalWeb"/>
        <w:spacing w:line="360" w:lineRule="auto"/>
        <w:jc w:val="both"/>
      </w:pPr>
      <w:r>
        <w:t>U</w:t>
      </w:r>
      <w:r>
        <w:rPr>
          <w:rStyle w:val="Emphasis"/>
        </w:rPr>
        <w:t>1i = β1Xi + €i1, where U</w:t>
      </w:r>
      <w:r>
        <w:t>1i is the latent utility associated with using improved seed</w:t>
      </w:r>
      <w:r>
        <w:br/>
        <w:t>U</w:t>
      </w:r>
      <w:r>
        <w:rPr>
          <w:rStyle w:val="Emphasis"/>
        </w:rPr>
        <w:t>2i = β2Xi + €i2, where U</w:t>
      </w:r>
      <w:r>
        <w:t>2i is the latent utility associated with using local seed</w:t>
      </w:r>
    </w:p>
    <w:p w14:paraId="52186AA6" w14:textId="77777777" w:rsidR="005A29A9" w:rsidRDefault="005A29A9" w:rsidP="005A29A9">
      <w:pPr>
        <w:pStyle w:val="NormalWeb"/>
        <w:spacing w:line="360" w:lineRule="auto"/>
        <w:jc w:val="both"/>
      </w:pPr>
      <w:r>
        <w:lastRenderedPageBreak/>
        <w:t xml:space="preserve">Because these utilities are unobservable, the </w:t>
      </w:r>
      <w:proofErr w:type="spellStart"/>
      <w:r>
        <w:t>ith</w:t>
      </w:r>
      <w:proofErr w:type="spellEnd"/>
      <w:r>
        <w:t xml:space="preserve"> farmer selects improved wheat seed if U1i is greater than U2i.</w:t>
      </w:r>
    </w:p>
    <w:p w14:paraId="0DC03541" w14:textId="77777777" w:rsidR="005A29A9" w:rsidRDefault="005A29A9" w:rsidP="005A29A9">
      <w:pPr>
        <w:pStyle w:val="NormalWeb"/>
        <w:spacing w:line="360" w:lineRule="auto"/>
        <w:jc w:val="both"/>
      </w:pPr>
      <w:r>
        <w:t>The difference between these two utilities, expressed as AU = U</w:t>
      </w:r>
      <w:r>
        <w:rPr>
          <w:rStyle w:val="Emphasis"/>
        </w:rPr>
        <w:t>1i − U</w:t>
      </w:r>
      <w:r>
        <w:t xml:space="preserve">2i, cannot be directly measured. In this study, the difference is represented by the gain in wheat productivity associated with using </w:t>
      </w:r>
      <w:r w:rsidR="00787C97">
        <w:t>formal </w:t>
      </w:r>
      <w:r>
        <w:t>seed</w:t>
      </w:r>
      <w:r w:rsidR="00787C97">
        <w:t xml:space="preserve"> sources</w:t>
      </w:r>
      <w:r>
        <w:t>, which corresponds to the ATT. Formally:</w:t>
      </w:r>
    </w:p>
    <w:p w14:paraId="21C7B503" w14:textId="77777777" w:rsidR="005A29A9" w:rsidRDefault="005A29A9" w:rsidP="005A29A9">
      <w:pPr>
        <w:pStyle w:val="NormalWeb"/>
        <w:spacing w:line="360" w:lineRule="auto"/>
        <w:jc w:val="both"/>
      </w:pPr>
      <w:r>
        <w:t>ATT = </w:t>
      </w:r>
      <w:r w:rsidR="00066022">
        <w:t>E(</w:t>
      </w:r>
      <w:r>
        <w:t>Y1|D=1)</w:t>
      </w:r>
      <w:r>
        <w:br/>
        <w:t xml:space="preserve">This is the expected wheat productivity for farmers who used </w:t>
      </w:r>
      <w:r w:rsidR="00787C97">
        <w:t xml:space="preserve">formal </w:t>
      </w:r>
      <w:r>
        <w:t>seed</w:t>
      </w:r>
      <w:r w:rsidR="00787C97">
        <w:t xml:space="preserve"> </w:t>
      </w:r>
      <w:proofErr w:type="gramStart"/>
      <w:r w:rsidR="00787C97">
        <w:t xml:space="preserve">sources </w:t>
      </w:r>
      <w:r>
        <w:t>.</w:t>
      </w:r>
      <w:proofErr w:type="gramEnd"/>
    </w:p>
    <w:p w14:paraId="057808FD" w14:textId="77777777" w:rsidR="005A29A9" w:rsidRDefault="004E4D88" w:rsidP="005A29A9">
      <w:pPr>
        <w:pStyle w:val="NormalWeb"/>
        <w:spacing w:line="360" w:lineRule="auto"/>
        <w:jc w:val="both"/>
      </w:pPr>
      <w:r>
        <w:t>ATU = </w:t>
      </w:r>
      <w:proofErr w:type="gramStart"/>
      <w:r>
        <w:t>E(</w:t>
      </w:r>
      <w:proofErr w:type="gramEnd"/>
      <w:r>
        <w:t>Y0 | D =</w:t>
      </w:r>
      <w:r w:rsidR="005A29A9">
        <w:t>0)</w:t>
      </w:r>
      <w:r w:rsidR="005A29A9">
        <w:br/>
        <w:t>This is the expected wheat productivity for farmers who used local seed.</w:t>
      </w:r>
    </w:p>
    <w:p w14:paraId="68FD7DAB" w14:textId="77777777" w:rsidR="005A29A9" w:rsidRDefault="005A29A9" w:rsidP="005A29A9">
      <w:pPr>
        <w:pStyle w:val="NormalWeb"/>
        <w:spacing w:line="360" w:lineRule="auto"/>
        <w:jc w:val="both"/>
      </w:pPr>
      <w:r>
        <w:t xml:space="preserve">The average effect of </w:t>
      </w:r>
      <w:r w:rsidR="00787C97">
        <w:t>formal </w:t>
      </w:r>
      <w:r>
        <w:t xml:space="preserve">seed </w:t>
      </w:r>
      <w:r w:rsidR="00787C97">
        <w:t xml:space="preserve">sources </w:t>
      </w:r>
      <w:r>
        <w:t>use on farmers is expressed as:</w:t>
      </w:r>
    </w:p>
    <w:p w14:paraId="5FCAE5F5" w14:textId="77777777" w:rsidR="005A29A9" w:rsidRDefault="005A29A9" w:rsidP="00066022">
      <w:pPr>
        <w:pStyle w:val="NormalWeb"/>
        <w:spacing w:before="0" w:beforeAutospacing="0" w:line="360" w:lineRule="auto"/>
        <w:jc w:val="both"/>
      </w:pPr>
      <w:r>
        <w:t xml:space="preserve">ATT = </w:t>
      </w:r>
      <w:r w:rsidR="00066022">
        <w:t>E (</w:t>
      </w:r>
      <w:r>
        <w:t xml:space="preserve">Y1 | D = 1) − </w:t>
      </w:r>
      <w:r w:rsidR="00066022">
        <w:t>E (</w:t>
      </w:r>
      <w:r>
        <w:t>Y0 | D = 0)</w:t>
      </w:r>
    </w:p>
    <w:p w14:paraId="05E4C3DF" w14:textId="77777777" w:rsidR="005A29A9" w:rsidRDefault="005A29A9" w:rsidP="005A29A9">
      <w:pPr>
        <w:pStyle w:val="NormalWeb"/>
        <w:spacing w:line="360" w:lineRule="auto"/>
        <w:jc w:val="both"/>
      </w:pPr>
      <w:r>
        <w:t xml:space="preserve">Here, Y1 and Y0 denote the average wheat yield in quintals per hectare for </w:t>
      </w:r>
      <w:r w:rsidR="00787C97">
        <w:t>formal seed source</w:t>
      </w:r>
      <w:r>
        <w:t xml:space="preserve"> users and local seed users respectively. The variable D represents treatment status and takes the value of one when a farmer uses improved wheat seed from a formal source and zero when the farmer relies on local seed from an informal source.</w:t>
      </w:r>
    </w:p>
    <w:p w14:paraId="343AE9A6" w14:textId="77777777" w:rsidR="00066022" w:rsidRPr="00066022" w:rsidRDefault="00066022" w:rsidP="00066022">
      <w:pPr>
        <w:keepNext/>
        <w:keepLines/>
        <w:spacing w:after="0" w:line="360" w:lineRule="auto"/>
        <w:jc w:val="both"/>
        <w:outlineLvl w:val="0"/>
        <w:rPr>
          <w:rFonts w:ascii="Times New Roman" w:eastAsia="Times New Roman" w:hAnsi="Times New Roman" w:cs="Times New Roman"/>
          <w:b/>
          <w:color w:val="000000"/>
          <w:sz w:val="24"/>
          <w:szCs w:val="24"/>
        </w:rPr>
      </w:pPr>
      <w:r w:rsidRPr="00066022">
        <w:rPr>
          <w:rFonts w:ascii="TimesNewRomanPS-BoldMT" w:eastAsia="Times New Roman" w:hAnsi="TimesNewRomanPS-BoldMT" w:cs="Times New Roman"/>
          <w:b/>
          <w:bCs/>
          <w:sz w:val="28"/>
          <w:szCs w:val="24"/>
        </w:rPr>
        <w:t xml:space="preserve">RESULT AND DISCUSSION </w:t>
      </w:r>
      <w:r w:rsidRPr="00066022">
        <w:rPr>
          <w:rFonts w:ascii="Times New Roman" w:eastAsia="Times New Roman" w:hAnsi="Times New Roman" w:cs="Times New Roman"/>
          <w:b/>
          <w:color w:val="000000"/>
          <w:sz w:val="24"/>
          <w:szCs w:val="24"/>
        </w:rPr>
        <w:t xml:space="preserve"> </w:t>
      </w:r>
    </w:p>
    <w:p w14:paraId="53226284" w14:textId="77777777" w:rsidR="00B6042D" w:rsidRPr="00B6042D" w:rsidRDefault="00B6042D" w:rsidP="00B6042D">
      <w:pPr>
        <w:spacing w:before="100" w:beforeAutospacing="1" w:after="100" w:afterAutospacing="1" w:line="240" w:lineRule="auto"/>
        <w:outlineLvl w:val="2"/>
        <w:rPr>
          <w:rFonts w:ascii="Times New Roman" w:eastAsia="Times New Roman" w:hAnsi="Times New Roman" w:cs="Times New Roman"/>
          <w:b/>
          <w:bCs/>
          <w:sz w:val="27"/>
          <w:szCs w:val="27"/>
        </w:rPr>
      </w:pPr>
      <w:r w:rsidRPr="00B6042D">
        <w:rPr>
          <w:rFonts w:ascii="Times New Roman" w:eastAsia="Times New Roman" w:hAnsi="Times New Roman" w:cs="Times New Roman"/>
          <w:b/>
          <w:bCs/>
          <w:sz w:val="27"/>
          <w:szCs w:val="27"/>
        </w:rPr>
        <w:t>Data description</w:t>
      </w:r>
    </w:p>
    <w:p w14:paraId="692A3A4B" w14:textId="77777777" w:rsidR="00B6042D" w:rsidRDefault="00B6042D" w:rsidP="00B6042D">
      <w:pPr>
        <w:spacing w:before="100" w:beforeAutospacing="1" w:after="100" w:afterAutospacing="1" w:line="360" w:lineRule="auto"/>
        <w:jc w:val="both"/>
        <w:rPr>
          <w:rFonts w:ascii="Times New Roman" w:eastAsia="Times New Roman" w:hAnsi="Times New Roman" w:cs="Times New Roman"/>
          <w:sz w:val="24"/>
          <w:szCs w:val="24"/>
        </w:rPr>
      </w:pPr>
      <w:r w:rsidRPr="00B6042D">
        <w:rPr>
          <w:rFonts w:ascii="Times New Roman" w:eastAsia="Times New Roman" w:hAnsi="Times New Roman" w:cs="Times New Roman"/>
          <w:sz w:val="24"/>
          <w:szCs w:val="24"/>
        </w:rPr>
        <w:t xml:space="preserve">This chapter presents the socio economic and demographic characteristics of the sampled households and analyzes the effect of different wheat seed sources on grain yield. It highlights major associations and </w:t>
      </w:r>
      <w:r w:rsidR="00E373E4" w:rsidRPr="00B6042D">
        <w:rPr>
          <w:rFonts w:ascii="Times New Roman" w:eastAsia="Times New Roman" w:hAnsi="Times New Roman" w:cs="Times New Roman"/>
          <w:sz w:val="24"/>
          <w:szCs w:val="24"/>
        </w:rPr>
        <w:t>means</w:t>
      </w:r>
      <w:r w:rsidRPr="00B6042D">
        <w:rPr>
          <w:rFonts w:ascii="Times New Roman" w:eastAsia="Times New Roman" w:hAnsi="Times New Roman" w:cs="Times New Roman"/>
          <w:sz w:val="24"/>
          <w:szCs w:val="24"/>
        </w:rPr>
        <w:t xml:space="preserve"> differences between farmers using f</w:t>
      </w:r>
      <w:r w:rsidR="00E373E4">
        <w:rPr>
          <w:rFonts w:ascii="Times New Roman" w:eastAsia="Times New Roman" w:hAnsi="Times New Roman" w:cs="Times New Roman"/>
          <w:sz w:val="24"/>
          <w:szCs w:val="24"/>
        </w:rPr>
        <w:t>ormal and informal seed sources (Table 2 and </w:t>
      </w:r>
      <w:r w:rsidRPr="00B6042D">
        <w:rPr>
          <w:rFonts w:ascii="Times New Roman" w:eastAsia="Times New Roman" w:hAnsi="Times New Roman" w:cs="Times New Roman"/>
          <w:sz w:val="24"/>
          <w:szCs w:val="24"/>
        </w:rPr>
        <w:t>Ta</w:t>
      </w:r>
      <w:r w:rsidR="00E373E4">
        <w:rPr>
          <w:rFonts w:ascii="Times New Roman" w:eastAsia="Times New Roman" w:hAnsi="Times New Roman" w:cs="Times New Roman"/>
          <w:sz w:val="24"/>
          <w:szCs w:val="24"/>
        </w:rPr>
        <w:t>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 xml:space="preserve">Among the categorical variables, only the social position of the household head exhibited a statistically significant association with the choice of seed source. Households whose heads held leadership or socially recognized roles were more likely to obtain seed from formal channels (Table 2). Among the continuous variables, age, educational attainment, total landholding, land </w:t>
      </w:r>
      <w:r w:rsidRPr="00B6042D">
        <w:rPr>
          <w:rFonts w:ascii="Times New Roman" w:eastAsia="Times New Roman" w:hAnsi="Times New Roman" w:cs="Times New Roman"/>
          <w:sz w:val="24"/>
          <w:szCs w:val="24"/>
        </w:rPr>
        <w:lastRenderedPageBreak/>
        <w:t>allocated to wheat, livestock ownership, total household income and</w:t>
      </w:r>
      <w:r w:rsidR="00E373E4">
        <w:rPr>
          <w:rFonts w:ascii="Times New Roman" w:eastAsia="Times New Roman" w:hAnsi="Times New Roman" w:cs="Times New Roman"/>
          <w:sz w:val="24"/>
          <w:szCs w:val="24"/>
        </w:rPr>
        <w:t xml:space="preserve"> frequency of extension contact showed significant mean </w:t>
      </w:r>
      <w:r w:rsidRPr="00B6042D">
        <w:rPr>
          <w:rFonts w:ascii="Times New Roman" w:eastAsia="Times New Roman" w:hAnsi="Times New Roman" w:cs="Times New Roman"/>
          <w:sz w:val="24"/>
          <w:szCs w:val="24"/>
        </w:rPr>
        <w:t>difference</w:t>
      </w:r>
      <w:r w:rsidR="00E373E4">
        <w:rPr>
          <w:rFonts w:ascii="Times New Roman" w:eastAsia="Times New Roman" w:hAnsi="Times New Roman" w:cs="Times New Roman"/>
          <w:sz w:val="24"/>
          <w:szCs w:val="24"/>
        </w:rPr>
        <w:t>s between the two groups (Table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Overall, users of formal seed sources were younger, more educated and relatively better endowed with resources. They cultivated larger plots, earned highe</w:t>
      </w:r>
      <w:r w:rsidR="00F57459">
        <w:rPr>
          <w:rFonts w:ascii="Times New Roman" w:eastAsia="Times New Roman" w:hAnsi="Times New Roman" w:cs="Times New Roman"/>
          <w:sz w:val="24"/>
          <w:szCs w:val="24"/>
        </w:rPr>
        <w:t>r incomes, owned more livestock and interacted more </w:t>
      </w:r>
      <w:r w:rsidRPr="00B6042D">
        <w:rPr>
          <w:rFonts w:ascii="Times New Roman" w:eastAsia="Times New Roman" w:hAnsi="Times New Roman" w:cs="Times New Roman"/>
          <w:sz w:val="24"/>
          <w:szCs w:val="24"/>
        </w:rPr>
        <w:t>freque</w:t>
      </w:r>
      <w:r w:rsidR="00F57459">
        <w:rPr>
          <w:rFonts w:ascii="Times New Roman" w:eastAsia="Times New Roman" w:hAnsi="Times New Roman" w:cs="Times New Roman"/>
          <w:sz w:val="24"/>
          <w:szCs w:val="24"/>
        </w:rPr>
        <w:t>ntly with extension agents (Table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These results show that household assets, socio economic standing and</w:t>
      </w:r>
      <w:r w:rsidR="00BB4ACB">
        <w:rPr>
          <w:rFonts w:ascii="Times New Roman" w:eastAsia="Times New Roman" w:hAnsi="Times New Roman" w:cs="Times New Roman"/>
          <w:sz w:val="24"/>
          <w:szCs w:val="24"/>
        </w:rPr>
        <w:t xml:space="preserve"> access to information strongly </w:t>
      </w:r>
      <w:r w:rsidRPr="00B6042D">
        <w:rPr>
          <w:rFonts w:ascii="Times New Roman" w:eastAsia="Times New Roman" w:hAnsi="Times New Roman" w:cs="Times New Roman"/>
          <w:sz w:val="24"/>
          <w:szCs w:val="24"/>
        </w:rPr>
        <w:t>influence seed source decisions. Understanding these determinants is essential for formulating interventions that enhance the uptake of formal seed sources among smallholder farmers.</w:t>
      </w:r>
    </w:p>
    <w:p w14:paraId="140B2F02" w14:textId="77777777" w:rsidR="006242FB" w:rsidRPr="006242FB" w:rsidRDefault="006242FB" w:rsidP="006242FB">
      <w:pPr>
        <w:spacing w:before="100" w:beforeAutospacing="1" w:after="0" w:line="240" w:lineRule="auto"/>
        <w:outlineLvl w:val="2"/>
        <w:rPr>
          <w:rFonts w:ascii="Times New Roman" w:eastAsia="Times New Roman" w:hAnsi="Times New Roman" w:cs="Times New Roman"/>
          <w:b/>
          <w:bCs/>
          <w:sz w:val="24"/>
          <w:szCs w:val="24"/>
        </w:rPr>
      </w:pPr>
      <w:r w:rsidRPr="006242FB">
        <w:rPr>
          <w:rFonts w:ascii="Times New Roman" w:eastAsia="Times New Roman" w:hAnsi="Times New Roman" w:cs="Times New Roman"/>
          <w:b/>
          <w:bCs/>
          <w:sz w:val="24"/>
          <w:szCs w:val="24"/>
        </w:rPr>
        <w:t>Impact of</w:t>
      </w:r>
      <w:r w:rsidRPr="009211EC">
        <w:rPr>
          <w:rFonts w:ascii="Times New Roman" w:eastAsia="Times New Roman" w:hAnsi="Times New Roman" w:cs="Times New Roman"/>
          <w:b/>
          <w:bCs/>
          <w:sz w:val="24"/>
          <w:szCs w:val="24"/>
        </w:rPr>
        <w:t xml:space="preserve"> formal seed sources </w:t>
      </w:r>
      <w:r w:rsidRPr="006242FB">
        <w:rPr>
          <w:rFonts w:ascii="Times New Roman" w:eastAsia="Times New Roman" w:hAnsi="Times New Roman" w:cs="Times New Roman"/>
          <w:b/>
          <w:bCs/>
          <w:sz w:val="24"/>
          <w:szCs w:val="24"/>
        </w:rPr>
        <w:t xml:space="preserve">on </w:t>
      </w:r>
      <w:r w:rsidRPr="009211EC">
        <w:rPr>
          <w:rFonts w:ascii="Times New Roman" w:eastAsia="Times New Roman" w:hAnsi="Times New Roman" w:cs="Times New Roman"/>
          <w:b/>
          <w:bCs/>
          <w:sz w:val="24"/>
          <w:szCs w:val="24"/>
        </w:rPr>
        <w:t xml:space="preserve">wheat </w:t>
      </w:r>
      <w:r w:rsidRPr="006242FB">
        <w:rPr>
          <w:rFonts w:ascii="Times New Roman" w:eastAsia="Times New Roman" w:hAnsi="Times New Roman" w:cs="Times New Roman"/>
          <w:b/>
          <w:bCs/>
          <w:sz w:val="24"/>
          <w:szCs w:val="24"/>
        </w:rPr>
        <w:t>Productivity</w:t>
      </w:r>
    </w:p>
    <w:p w14:paraId="0C171873" w14:textId="77777777" w:rsidR="006242FB" w:rsidRPr="009211EC" w:rsidRDefault="006242FB" w:rsidP="006242FB">
      <w:pPr>
        <w:spacing w:after="0" w:line="240" w:lineRule="auto"/>
        <w:outlineLvl w:val="2"/>
        <w:rPr>
          <w:rFonts w:ascii="Times New Roman" w:eastAsia="Times New Roman" w:hAnsi="Times New Roman" w:cs="Times New Roman"/>
          <w:b/>
          <w:bCs/>
          <w:sz w:val="24"/>
          <w:szCs w:val="24"/>
        </w:rPr>
      </w:pPr>
    </w:p>
    <w:p w14:paraId="6D11BA82" w14:textId="77777777" w:rsidR="006242FB" w:rsidRPr="006242FB" w:rsidRDefault="006242FB" w:rsidP="006242FB">
      <w:pPr>
        <w:spacing w:after="0" w:line="240" w:lineRule="auto"/>
        <w:outlineLvl w:val="2"/>
        <w:rPr>
          <w:rFonts w:ascii="Times New Roman" w:eastAsia="Times New Roman" w:hAnsi="Times New Roman" w:cs="Times New Roman"/>
          <w:b/>
          <w:bCs/>
          <w:sz w:val="24"/>
          <w:szCs w:val="24"/>
        </w:rPr>
      </w:pPr>
      <w:r w:rsidRPr="006242FB">
        <w:rPr>
          <w:rFonts w:ascii="Times New Roman" w:eastAsia="Times New Roman" w:hAnsi="Times New Roman" w:cs="Times New Roman"/>
          <w:b/>
          <w:bCs/>
          <w:sz w:val="24"/>
          <w:szCs w:val="24"/>
        </w:rPr>
        <w:t xml:space="preserve">Factors affecting farmers’ use of </w:t>
      </w:r>
      <w:r w:rsidRPr="009211EC">
        <w:rPr>
          <w:rFonts w:ascii="Times New Roman" w:eastAsia="Times New Roman" w:hAnsi="Times New Roman" w:cs="Times New Roman"/>
          <w:b/>
          <w:bCs/>
          <w:sz w:val="24"/>
          <w:szCs w:val="24"/>
        </w:rPr>
        <w:t xml:space="preserve">formal seed sources </w:t>
      </w:r>
    </w:p>
    <w:p w14:paraId="5C2CF90C" w14:textId="77777777" w:rsidR="006242FB" w:rsidRPr="006242FB" w:rsidRDefault="006242FB" w:rsidP="006242FB">
      <w:pPr>
        <w:spacing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sz w:val="24"/>
          <w:szCs w:val="24"/>
        </w:rPr>
        <w:t>Before estimating the productivity effect of wheat seed obtained from formal sources compared with seed obtained from informal sources, a probit regression model was used to identify how selected covariates influence a farmer’s likelihood of using improved whea</w:t>
      </w:r>
      <w:r w:rsidR="009211EC">
        <w:rPr>
          <w:rFonts w:ascii="Times New Roman" w:eastAsia="Times New Roman" w:hAnsi="Times New Roman" w:cs="Times New Roman"/>
          <w:sz w:val="24"/>
          <w:szCs w:val="24"/>
        </w:rPr>
        <w:t>t seed. The probit model (Table </w:t>
      </w:r>
      <w:r w:rsidRPr="006242FB">
        <w:rPr>
          <w:rFonts w:ascii="Times New Roman" w:eastAsia="Times New Roman" w:hAnsi="Times New Roman" w:cs="Times New Roman"/>
          <w:sz w:val="24"/>
          <w:szCs w:val="24"/>
        </w:rPr>
        <w:t>4) included twelve explanatory variables, of which five were statistically significant at the 1, 5 and 10 percent levels. Education, social position and extension contact positively influenced the use of formal seed sources, whereas limited seed quantity and greater market distance reduced the likelihood of obtaining seed from formal suppliers (Table 4).</w:t>
      </w:r>
      <w:r w:rsidRPr="006242FB">
        <w:rPr>
          <w:rFonts w:ascii="Times New Roman" w:eastAsia="Times New Roman" w:hAnsi="Times New Roman" w:cs="Times New Roman"/>
          <w:sz w:val="24"/>
          <w:szCs w:val="24"/>
        </w:rPr>
        <w:br/>
        <w:t>The model diagnostics confirmed a good fit. The likelihood ratio chi square value of 131.55 with a p value of 0.0000 (Table 4) shows that the overall model is statistically significant compared to a null model. The pseudo R squared value of 0.5622 indicates that 56.22 percent of the variation in the use of formally sourced wheat seed is explained by the included covariates, demonstrating that the model is properly specified (Table 4).</w:t>
      </w:r>
    </w:p>
    <w:p w14:paraId="445B29E2"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Education level:</w:t>
      </w:r>
      <w:r w:rsidRPr="006242FB">
        <w:rPr>
          <w:rFonts w:ascii="Times New Roman" w:eastAsia="Times New Roman" w:hAnsi="Times New Roman" w:cs="Times New Roman"/>
          <w:sz w:val="24"/>
          <w:szCs w:val="24"/>
        </w:rPr>
        <w:t xml:space="preserve"> Education significantly and positively influences the use of formally sourced wheat seed at the 1 percent significance level. A one year increase in education raises the probability of adopting improved wheat seed by 25.7 percent, holding all other variables constant. This effect is likely related to improved access to information among more educated farmers. This result supports the finding of [32], which notes that better educated households are more likely to adopt improved bread wheat technologies.</w:t>
      </w:r>
    </w:p>
    <w:p w14:paraId="7862ABD9"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lastRenderedPageBreak/>
        <w:t>Social position:</w:t>
      </w:r>
      <w:r w:rsidRPr="006242FB">
        <w:rPr>
          <w:rFonts w:ascii="Times New Roman" w:eastAsia="Times New Roman" w:hAnsi="Times New Roman" w:cs="Times New Roman"/>
          <w:sz w:val="24"/>
          <w:szCs w:val="24"/>
        </w:rPr>
        <w:t xml:space="preserve"> The social position of the household head significantly increases the likelihood of using formally sourced wheat seed at the 5 percent significance level. Compared with household heads </w:t>
      </w:r>
      <w:r w:rsidR="00BE5045" w:rsidRPr="006242FB">
        <w:rPr>
          <w:rFonts w:ascii="Times New Roman" w:eastAsia="Times New Roman" w:hAnsi="Times New Roman" w:cs="Times New Roman"/>
          <w:sz w:val="24"/>
          <w:szCs w:val="24"/>
        </w:rPr>
        <w:t>that</w:t>
      </w:r>
      <w:r w:rsidRPr="006242FB">
        <w:rPr>
          <w:rFonts w:ascii="Times New Roman" w:eastAsia="Times New Roman" w:hAnsi="Times New Roman" w:cs="Times New Roman"/>
          <w:sz w:val="24"/>
          <w:szCs w:val="24"/>
        </w:rPr>
        <w:t xml:space="preserve"> do not hold leadership or recognized roles in the community, those with social positions are 29.2 percent more likely to use </w:t>
      </w:r>
      <w:r w:rsidR="00033D29">
        <w:rPr>
          <w:rFonts w:ascii="Times New Roman" w:eastAsia="Times New Roman" w:hAnsi="Times New Roman" w:cs="Times New Roman"/>
          <w:sz w:val="24"/>
          <w:szCs w:val="24"/>
        </w:rPr>
        <w:t xml:space="preserve">formal </w:t>
      </w:r>
      <w:r w:rsidRPr="006242FB">
        <w:rPr>
          <w:rFonts w:ascii="Times New Roman" w:eastAsia="Times New Roman" w:hAnsi="Times New Roman" w:cs="Times New Roman"/>
          <w:sz w:val="24"/>
          <w:szCs w:val="24"/>
        </w:rPr>
        <w:t>seed</w:t>
      </w:r>
      <w:r w:rsidR="00033D29">
        <w:rPr>
          <w:rFonts w:ascii="Times New Roman" w:eastAsia="Times New Roman" w:hAnsi="Times New Roman" w:cs="Times New Roman"/>
          <w:sz w:val="24"/>
          <w:szCs w:val="24"/>
        </w:rPr>
        <w:t xml:space="preserve"> sources</w:t>
      </w:r>
      <w:r w:rsidRPr="006242FB">
        <w:rPr>
          <w:rFonts w:ascii="Times New Roman" w:eastAsia="Times New Roman" w:hAnsi="Times New Roman" w:cs="Times New Roman"/>
          <w:sz w:val="24"/>
          <w:szCs w:val="24"/>
        </w:rPr>
        <w:t>. This may reflect greater access to information and training opportunities. This finding aligns with [33], which reports that participation in social organizations strengthens information sharing and enhances the adoption of improved wheat technologies.</w:t>
      </w:r>
    </w:p>
    <w:p w14:paraId="7C67A17C"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Seed market distance:</w:t>
      </w:r>
      <w:r w:rsidRPr="006242FB">
        <w:rPr>
          <w:rFonts w:ascii="Times New Roman" w:eastAsia="Times New Roman" w:hAnsi="Times New Roman" w:cs="Times New Roman"/>
          <w:sz w:val="24"/>
          <w:szCs w:val="24"/>
        </w:rPr>
        <w:t xml:space="preserve"> The distance to the seed distribution center significantly and negatively affects the use of improved wheat seed at the 10 percent significance level. A one </w:t>
      </w:r>
      <w:proofErr w:type="spellStart"/>
      <w:r w:rsidRPr="006242FB">
        <w:rPr>
          <w:rFonts w:ascii="Times New Roman" w:eastAsia="Times New Roman" w:hAnsi="Times New Roman" w:cs="Times New Roman"/>
          <w:sz w:val="24"/>
          <w:szCs w:val="24"/>
        </w:rPr>
        <w:t>kilometre</w:t>
      </w:r>
      <w:proofErr w:type="spellEnd"/>
      <w:r w:rsidRPr="006242FB">
        <w:rPr>
          <w:rFonts w:ascii="Times New Roman" w:eastAsia="Times New Roman" w:hAnsi="Times New Roman" w:cs="Times New Roman"/>
          <w:sz w:val="24"/>
          <w:szCs w:val="24"/>
        </w:rPr>
        <w:t xml:space="preserve"> increase in distance reduces the probability of </w:t>
      </w:r>
      <w:r w:rsidR="00033D29">
        <w:rPr>
          <w:rFonts w:ascii="Times New Roman" w:eastAsia="Times New Roman" w:hAnsi="Times New Roman" w:cs="Times New Roman"/>
          <w:sz w:val="24"/>
          <w:szCs w:val="24"/>
        </w:rPr>
        <w:t xml:space="preserve">formal seed sources by 21.7 percent. </w:t>
      </w:r>
      <w:r w:rsidR="00033D29" w:rsidRPr="006242FB">
        <w:rPr>
          <w:rFonts w:ascii="Times New Roman" w:eastAsia="Times New Roman" w:hAnsi="Times New Roman" w:cs="Times New Roman"/>
          <w:sz w:val="24"/>
          <w:szCs w:val="24"/>
        </w:rPr>
        <w:t>Longer</w:t>
      </w:r>
      <w:r w:rsidRPr="006242FB">
        <w:rPr>
          <w:rFonts w:ascii="Times New Roman" w:eastAsia="Times New Roman" w:hAnsi="Times New Roman" w:cs="Times New Roman"/>
          <w:sz w:val="24"/>
          <w:szCs w:val="24"/>
        </w:rPr>
        <w:t xml:space="preserve"> distances increase transaction costs, leading farmers to prefer seed sources located nearby. This result is consistent with [33], which found that greater market distance decreases the probability of adopting wheat technology packages.</w:t>
      </w:r>
    </w:p>
    <w:p w14:paraId="2EAB036A"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Seed quantity:</w:t>
      </w:r>
      <w:r w:rsidRPr="006242FB">
        <w:rPr>
          <w:rFonts w:ascii="Times New Roman" w:eastAsia="Times New Roman" w:hAnsi="Times New Roman" w:cs="Times New Roman"/>
          <w:sz w:val="24"/>
          <w:szCs w:val="24"/>
        </w:rPr>
        <w:t xml:space="preserve"> A shortage of seed supply significantly reduces the likelihood of using improved wheat seed at the 10 percent significance level. A one unit reduction in seed quantity decreases the probability of usi</w:t>
      </w:r>
      <w:r w:rsidR="004D624F">
        <w:rPr>
          <w:rFonts w:ascii="Times New Roman" w:eastAsia="Times New Roman" w:hAnsi="Times New Roman" w:cs="Times New Roman"/>
          <w:sz w:val="24"/>
          <w:szCs w:val="24"/>
        </w:rPr>
        <w:t xml:space="preserve">ng </w:t>
      </w:r>
      <w:r w:rsidR="00201C45">
        <w:rPr>
          <w:rFonts w:ascii="Times New Roman" w:eastAsia="Times New Roman" w:hAnsi="Times New Roman" w:cs="Times New Roman"/>
          <w:sz w:val="24"/>
          <w:szCs w:val="24"/>
        </w:rPr>
        <w:t>formal seed source</w:t>
      </w:r>
      <w:r w:rsidR="00BC7824">
        <w:rPr>
          <w:rFonts w:ascii="Times New Roman" w:eastAsia="Times New Roman" w:hAnsi="Times New Roman" w:cs="Times New Roman"/>
          <w:sz w:val="24"/>
          <w:szCs w:val="24"/>
        </w:rPr>
        <w:t>s</w:t>
      </w:r>
      <w:r w:rsidR="004D624F">
        <w:rPr>
          <w:rFonts w:ascii="Times New Roman" w:eastAsia="Times New Roman" w:hAnsi="Times New Roman" w:cs="Times New Roman"/>
          <w:sz w:val="24"/>
          <w:szCs w:val="24"/>
        </w:rPr>
        <w:t xml:space="preserve"> by 56 percent</w:t>
      </w:r>
      <w:r w:rsidRPr="006242FB">
        <w:rPr>
          <w:rFonts w:ascii="Times New Roman" w:eastAsia="Times New Roman" w:hAnsi="Times New Roman" w:cs="Times New Roman"/>
          <w:sz w:val="24"/>
          <w:szCs w:val="24"/>
        </w:rPr>
        <w:t>. This agrees with [34], which observed that farmers intending to adopt new varieties often fail to do so because of seed access constraints.</w:t>
      </w:r>
    </w:p>
    <w:p w14:paraId="71AECC9A" w14:textId="77777777" w:rsidR="006242FB" w:rsidRPr="006242FB" w:rsidRDefault="006242FB" w:rsidP="002477BE">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Extension contact:</w:t>
      </w:r>
      <w:r w:rsidRPr="006242FB">
        <w:rPr>
          <w:rFonts w:ascii="Times New Roman" w:eastAsia="Times New Roman" w:hAnsi="Times New Roman" w:cs="Times New Roman"/>
          <w:sz w:val="24"/>
          <w:szCs w:val="24"/>
        </w:rPr>
        <w:t xml:space="preserve"> Frequency of extension contact has a positive and significant effect at the 1 percent significance level. A one unit increase in extension contact raises the likelihood of using improved wheat seed from formal sources by 17.6 percent, assuming other variables remain constant. This implies that regular interaction with extension agents increases awareness of the benefits of </w:t>
      </w:r>
      <w:r w:rsidR="00BC7824">
        <w:rPr>
          <w:rFonts w:ascii="Times New Roman" w:eastAsia="Times New Roman" w:hAnsi="Times New Roman" w:cs="Times New Roman"/>
          <w:sz w:val="24"/>
          <w:szCs w:val="24"/>
        </w:rPr>
        <w:t>formal seed</w:t>
      </w:r>
      <w:r w:rsidRPr="006242FB">
        <w:rPr>
          <w:rFonts w:ascii="Times New Roman" w:eastAsia="Times New Roman" w:hAnsi="Times New Roman" w:cs="Times New Roman"/>
          <w:sz w:val="24"/>
          <w:szCs w:val="24"/>
        </w:rPr>
        <w:t>. This result supports the findings of [32], which state that farmers with frequent extension contact are more likely to adopt improved bread wheat technologies.</w:t>
      </w:r>
    </w:p>
    <w:p w14:paraId="59EC1AA4" w14:textId="77777777" w:rsidR="006242FB" w:rsidRPr="00C64B96" w:rsidRDefault="006242FB" w:rsidP="002477BE">
      <w:pPr>
        <w:spacing w:before="100" w:beforeAutospacing="1" w:after="0" w:line="240" w:lineRule="auto"/>
        <w:outlineLvl w:val="2"/>
        <w:rPr>
          <w:rFonts w:ascii="Times New Roman" w:eastAsia="Times New Roman" w:hAnsi="Times New Roman" w:cs="Times New Roman"/>
          <w:b/>
          <w:bCs/>
          <w:sz w:val="24"/>
          <w:szCs w:val="24"/>
        </w:rPr>
      </w:pPr>
      <w:r w:rsidRPr="00C64B96">
        <w:rPr>
          <w:rFonts w:ascii="Times New Roman" w:eastAsia="Times New Roman" w:hAnsi="Times New Roman" w:cs="Times New Roman"/>
          <w:b/>
          <w:bCs/>
          <w:sz w:val="24"/>
          <w:szCs w:val="24"/>
        </w:rPr>
        <w:t>Overlap and common support regions</w:t>
      </w:r>
    </w:p>
    <w:p w14:paraId="593BB217" w14:textId="24182BD8" w:rsidR="004E5309" w:rsidRPr="00656741" w:rsidRDefault="006242FB" w:rsidP="00656741">
      <w:pPr>
        <w:spacing w:after="100" w:afterAutospacing="1" w:line="360" w:lineRule="auto"/>
        <w:jc w:val="both"/>
        <w:rPr>
          <w:rFonts w:ascii="Times New Roman" w:eastAsia="Times New Roman" w:hAnsi="Times New Roman" w:cs="Times New Roman"/>
          <w:sz w:val="24"/>
          <w:szCs w:val="24"/>
        </w:rPr>
      </w:pPr>
      <w:r w:rsidRPr="004E5309">
        <w:rPr>
          <w:rFonts w:ascii="Times New Roman" w:eastAsia="Times New Roman" w:hAnsi="Times New Roman" w:cs="Times New Roman"/>
          <w:sz w:val="24"/>
          <w:szCs w:val="24"/>
        </w:rPr>
        <w:t xml:space="preserve">After estimating the propensity scores, the next step was to assess whether sufficient common support existed between users of improved wheat seed and users of local seed. Adequate overlap in propensity scores is essential to avoid biased impact estimates. As indicated in Table 5, the predicted propensity scores for </w:t>
      </w:r>
      <w:r w:rsidR="00D92D61" w:rsidRPr="004E5309">
        <w:rPr>
          <w:rFonts w:ascii="Times New Roman" w:eastAsia="Times New Roman" w:hAnsi="Times New Roman" w:cs="Times New Roman"/>
          <w:sz w:val="24"/>
          <w:szCs w:val="24"/>
        </w:rPr>
        <w:t>formal seed source</w:t>
      </w:r>
      <w:r w:rsidRPr="004E5309">
        <w:rPr>
          <w:rFonts w:ascii="Times New Roman" w:eastAsia="Times New Roman" w:hAnsi="Times New Roman" w:cs="Times New Roman"/>
          <w:sz w:val="24"/>
          <w:szCs w:val="24"/>
        </w:rPr>
        <w:t xml:space="preserve"> users ranged from 0.048783 to 1, with a mean </w:t>
      </w:r>
      <w:r w:rsidRPr="004E5309">
        <w:rPr>
          <w:rFonts w:ascii="Times New Roman" w:eastAsia="Times New Roman" w:hAnsi="Times New Roman" w:cs="Times New Roman"/>
          <w:sz w:val="24"/>
          <w:szCs w:val="24"/>
        </w:rPr>
        <w:lastRenderedPageBreak/>
        <w:t>of 0.7980889. For local seed users, the scores ranged from 0.00008</w:t>
      </w:r>
      <w:r w:rsidR="004E5309" w:rsidRPr="004E5309">
        <w:rPr>
          <w:rFonts w:ascii="Times New Roman" w:eastAsia="Times New Roman" w:hAnsi="Times New Roman" w:cs="Times New Roman"/>
          <w:sz w:val="24"/>
          <w:szCs w:val="24"/>
        </w:rPr>
        <w:t>69 to 0.9478141, with a mean of </w:t>
      </w:r>
      <w:r w:rsidRPr="004E5309">
        <w:rPr>
          <w:rFonts w:ascii="Times New Roman" w:eastAsia="Times New Roman" w:hAnsi="Times New Roman" w:cs="Times New Roman"/>
          <w:sz w:val="24"/>
          <w:szCs w:val="24"/>
        </w:rPr>
        <w:t>0.185334.</w:t>
      </w:r>
      <w:r w:rsidRPr="006242FB">
        <w:rPr>
          <w:rFonts w:ascii="Times New Roman" w:eastAsia="Times New Roman" w:hAnsi="Times New Roman" w:cs="Times New Roman"/>
          <w:sz w:val="24"/>
          <w:szCs w:val="24"/>
        </w:rPr>
        <w:br/>
        <w:t>Comparison of the minimum and maximum scores for both groups identified the common support region as 0.048783 to 0.9478141. Households with propensity scores outside this range were excluded from matching. Based on this criterion, 73 of the 203 households (35.96 percent) fell outside the support region. This shows that the overlap requireme</w:t>
      </w:r>
      <w:r w:rsidR="002619AC">
        <w:rPr>
          <w:rFonts w:ascii="Times New Roman" w:eastAsia="Times New Roman" w:hAnsi="Times New Roman" w:cs="Times New Roman"/>
          <w:sz w:val="24"/>
          <w:szCs w:val="24"/>
        </w:rPr>
        <w:t>nt is satisfactorily met (Table </w:t>
      </w:r>
      <w:r w:rsidRPr="006242FB">
        <w:rPr>
          <w:rFonts w:ascii="Times New Roman" w:eastAsia="Times New Roman" w:hAnsi="Times New Roman" w:cs="Times New Roman"/>
          <w:sz w:val="24"/>
          <w:szCs w:val="24"/>
        </w:rPr>
        <w:t>5).</w:t>
      </w:r>
      <w:r w:rsidRPr="006242FB">
        <w:rPr>
          <w:rFonts w:ascii="Times New Roman" w:eastAsia="Times New Roman" w:hAnsi="Times New Roman" w:cs="Times New Roman"/>
          <w:sz w:val="24"/>
          <w:szCs w:val="24"/>
        </w:rPr>
        <w:br/>
        <w:t xml:space="preserve">The density plot of propensity scores (Figure 2) further illustrates adequate overlap. The distribution of scores for </w:t>
      </w:r>
      <w:r w:rsidR="004E5309">
        <w:rPr>
          <w:rFonts w:ascii="Times New Roman" w:eastAsia="Times New Roman" w:hAnsi="Times New Roman" w:cs="Times New Roman"/>
          <w:sz w:val="24"/>
          <w:szCs w:val="24"/>
        </w:rPr>
        <w:t>formal</w:t>
      </w:r>
      <w:r w:rsidRPr="006242FB">
        <w:rPr>
          <w:rFonts w:ascii="Times New Roman" w:eastAsia="Times New Roman" w:hAnsi="Times New Roman" w:cs="Times New Roman"/>
          <w:sz w:val="24"/>
          <w:szCs w:val="24"/>
        </w:rPr>
        <w:t xml:space="preserve"> seed </w:t>
      </w:r>
      <w:r w:rsidR="004E5309">
        <w:rPr>
          <w:rFonts w:ascii="Times New Roman" w:eastAsia="Times New Roman" w:hAnsi="Times New Roman" w:cs="Times New Roman"/>
          <w:sz w:val="24"/>
          <w:szCs w:val="24"/>
        </w:rPr>
        <w:t xml:space="preserve">source </w:t>
      </w:r>
      <w:r w:rsidRPr="006242FB">
        <w:rPr>
          <w:rFonts w:ascii="Times New Roman" w:eastAsia="Times New Roman" w:hAnsi="Times New Roman" w:cs="Times New Roman"/>
          <w:sz w:val="24"/>
          <w:szCs w:val="24"/>
        </w:rPr>
        <w:t>users and local seed users satisfies the common support condition. Households within the treated support region found appropriate matches among local seed users, whereas households outside this region lacked suitable matches and were thus not included in ATT estimation.</w:t>
      </w:r>
    </w:p>
    <w:p w14:paraId="622BF226" w14:textId="68D73BA6" w:rsidR="002477BE" w:rsidRPr="00A14DCD" w:rsidRDefault="00656741" w:rsidP="00E03257">
      <w:pPr>
        <w:spacing w:before="100" w:beforeAutospacing="1"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Effect </w:t>
      </w:r>
      <w:r w:rsidRPr="00A14DCD">
        <w:rPr>
          <w:rFonts w:ascii="Times New Roman" w:eastAsia="Times New Roman" w:hAnsi="Times New Roman" w:cs="Times New Roman"/>
          <w:b/>
          <w:bCs/>
          <w:sz w:val="24"/>
          <w:szCs w:val="24"/>
        </w:rPr>
        <w:t>(</w:t>
      </w:r>
      <w:r w:rsidR="002477BE" w:rsidRPr="00A14DCD">
        <w:rPr>
          <w:rFonts w:ascii="Times New Roman" w:eastAsia="Times New Roman" w:hAnsi="Times New Roman" w:cs="Times New Roman"/>
          <w:b/>
          <w:bCs/>
          <w:sz w:val="24"/>
          <w:szCs w:val="24"/>
        </w:rPr>
        <w:t xml:space="preserve">ATT) of </w:t>
      </w:r>
      <w:r w:rsidR="003A3FF3" w:rsidRPr="00A14DCD">
        <w:rPr>
          <w:rFonts w:ascii="Times New Roman" w:eastAsia="Times New Roman" w:hAnsi="Times New Roman" w:cs="Times New Roman"/>
          <w:b/>
          <w:bCs/>
          <w:sz w:val="24"/>
          <w:szCs w:val="24"/>
        </w:rPr>
        <w:t>formal seed source</w:t>
      </w:r>
      <w:r w:rsidR="002477BE" w:rsidRPr="00A14DCD">
        <w:rPr>
          <w:rFonts w:ascii="Times New Roman" w:eastAsia="Times New Roman" w:hAnsi="Times New Roman" w:cs="Times New Roman"/>
          <w:b/>
          <w:bCs/>
          <w:sz w:val="24"/>
          <w:szCs w:val="24"/>
        </w:rPr>
        <w:t xml:space="preserve"> use on productivity</w:t>
      </w:r>
    </w:p>
    <w:p w14:paraId="4AF574D2" w14:textId="77777777" w:rsidR="002477BE" w:rsidRPr="00A14DCD" w:rsidRDefault="002477BE" w:rsidP="00E03257">
      <w:pPr>
        <w:spacing w:after="100" w:afterAutospacing="1"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 xml:space="preserve">After estimating the propensity scores, matching was undertaken between farmers using improved wheat seed from formal sources and those using local seed from informal sources. Four matching algorithms were applied: nearest neighbor, radius, stratification and kernel matching. Three algorithms were retained for final analysis because radius matching dropped a substantial number of observations and produced an insignificant t value </w:t>
      </w:r>
      <w:r w:rsidR="00E03257">
        <w:rPr>
          <w:rFonts w:ascii="Times New Roman" w:eastAsia="Times New Roman" w:hAnsi="Times New Roman" w:cs="Times New Roman"/>
          <w:sz w:val="24"/>
          <w:szCs w:val="24"/>
        </w:rPr>
        <w:t>(Table 6). Productivity effects were estimated </w:t>
      </w:r>
      <w:r w:rsidRPr="00A14DCD">
        <w:rPr>
          <w:rFonts w:ascii="Times New Roman" w:eastAsia="Times New Roman" w:hAnsi="Times New Roman" w:cs="Times New Roman"/>
          <w:sz w:val="24"/>
          <w:szCs w:val="24"/>
        </w:rPr>
        <w:t>usi</w:t>
      </w:r>
      <w:r w:rsidR="00E03257">
        <w:rPr>
          <w:rFonts w:ascii="Times New Roman" w:eastAsia="Times New Roman" w:hAnsi="Times New Roman" w:cs="Times New Roman"/>
          <w:sz w:val="24"/>
          <w:szCs w:val="24"/>
        </w:rPr>
        <w:t>ng 2023 yield </w:t>
      </w:r>
      <w:r w:rsidRPr="00A14DCD">
        <w:rPr>
          <w:rFonts w:ascii="Times New Roman" w:eastAsia="Times New Roman" w:hAnsi="Times New Roman" w:cs="Times New Roman"/>
          <w:sz w:val="24"/>
          <w:szCs w:val="24"/>
        </w:rPr>
        <w:t>data.</w:t>
      </w:r>
      <w:r w:rsidRPr="00A14DCD">
        <w:rPr>
          <w:rFonts w:ascii="Times New Roman" w:eastAsia="Times New Roman" w:hAnsi="Times New Roman" w:cs="Times New Roman"/>
          <w:sz w:val="24"/>
          <w:szCs w:val="24"/>
        </w:rPr>
        <w:br/>
        <w:t>The ATT estimates from all retained algorithms are statistically significant at the 1 percent level. ATT values range from 9.903 to 11.845 quintals per hectare. The combined results (Table 6) show that farmers using improved wheat seed obtain, on average, an additional 10.87 quintals of wheat per hectare relative to those using local seed. The t test results confirm strong statistical significance, indicating that improved seed from formal sources substantially enhances wheat productivity.</w:t>
      </w:r>
      <w:r w:rsidRPr="00A14DCD">
        <w:rPr>
          <w:rFonts w:ascii="Times New Roman" w:eastAsia="Times New Roman" w:hAnsi="Times New Roman" w:cs="Times New Roman"/>
          <w:sz w:val="24"/>
          <w:szCs w:val="24"/>
        </w:rPr>
        <w:br/>
        <w:t xml:space="preserve">These findings are in line with earlier studies. [35] </w:t>
      </w:r>
      <w:r w:rsidR="00E03257" w:rsidRPr="00A14DCD">
        <w:rPr>
          <w:rFonts w:ascii="Times New Roman" w:eastAsia="Times New Roman" w:hAnsi="Times New Roman" w:cs="Times New Roman"/>
          <w:sz w:val="24"/>
          <w:szCs w:val="24"/>
        </w:rPr>
        <w:t>Reported</w:t>
      </w:r>
      <w:r w:rsidRPr="00A14DCD">
        <w:rPr>
          <w:rFonts w:ascii="Times New Roman" w:eastAsia="Times New Roman" w:hAnsi="Times New Roman" w:cs="Times New Roman"/>
          <w:sz w:val="24"/>
          <w:szCs w:val="24"/>
        </w:rPr>
        <w:t xml:space="preserve"> that adopters of improved wheat varieties achieve 30 to 38 percent higher productivity. [36] </w:t>
      </w:r>
      <w:r w:rsidR="00E03257" w:rsidRPr="00A14DCD">
        <w:rPr>
          <w:rFonts w:ascii="Times New Roman" w:eastAsia="Times New Roman" w:hAnsi="Times New Roman" w:cs="Times New Roman"/>
          <w:sz w:val="24"/>
          <w:szCs w:val="24"/>
        </w:rPr>
        <w:t>Found</w:t>
      </w:r>
      <w:r w:rsidRPr="00A14DCD">
        <w:rPr>
          <w:rFonts w:ascii="Times New Roman" w:eastAsia="Times New Roman" w:hAnsi="Times New Roman" w:cs="Times New Roman"/>
          <w:sz w:val="24"/>
          <w:szCs w:val="24"/>
        </w:rPr>
        <w:t xml:space="preserve"> that improved seed users produce about 35 percent more per hectare. [37] </w:t>
      </w:r>
      <w:r w:rsidR="00E03257" w:rsidRPr="00A14DCD">
        <w:rPr>
          <w:rFonts w:ascii="Times New Roman" w:eastAsia="Times New Roman" w:hAnsi="Times New Roman" w:cs="Times New Roman"/>
          <w:sz w:val="24"/>
          <w:szCs w:val="24"/>
        </w:rPr>
        <w:t>Observed</w:t>
      </w:r>
      <w:r w:rsidRPr="00A14DCD">
        <w:rPr>
          <w:rFonts w:ascii="Times New Roman" w:eastAsia="Times New Roman" w:hAnsi="Times New Roman" w:cs="Times New Roman"/>
          <w:sz w:val="24"/>
          <w:szCs w:val="24"/>
        </w:rPr>
        <w:t xml:space="preserve"> productivity gains of 10 to 11 quintals per hectare among improved seed adopters. [38] </w:t>
      </w:r>
      <w:r w:rsidR="00E03257" w:rsidRPr="00A14DCD">
        <w:rPr>
          <w:rFonts w:ascii="Times New Roman" w:eastAsia="Times New Roman" w:hAnsi="Times New Roman" w:cs="Times New Roman"/>
          <w:sz w:val="24"/>
          <w:szCs w:val="24"/>
        </w:rPr>
        <w:t>Noted</w:t>
      </w:r>
      <w:r w:rsidRPr="00A14DCD">
        <w:rPr>
          <w:rFonts w:ascii="Times New Roman" w:eastAsia="Times New Roman" w:hAnsi="Times New Roman" w:cs="Times New Roman"/>
          <w:sz w:val="24"/>
          <w:szCs w:val="24"/>
        </w:rPr>
        <w:t xml:space="preserve"> yield gains of 14 quintals per hectare on marginal lands. [39] </w:t>
      </w:r>
      <w:r w:rsidR="00E03257" w:rsidRPr="00A14DCD">
        <w:rPr>
          <w:rFonts w:ascii="Times New Roman" w:eastAsia="Times New Roman" w:hAnsi="Times New Roman" w:cs="Times New Roman"/>
          <w:sz w:val="24"/>
          <w:szCs w:val="24"/>
        </w:rPr>
        <w:t>Documented</w:t>
      </w:r>
      <w:r w:rsidRPr="00A14DCD">
        <w:rPr>
          <w:rFonts w:ascii="Times New Roman" w:eastAsia="Times New Roman" w:hAnsi="Times New Roman" w:cs="Times New Roman"/>
          <w:sz w:val="24"/>
          <w:szCs w:val="24"/>
        </w:rPr>
        <w:t xml:space="preserve"> an average productivity increase of 16.62 quintals per hectare </w:t>
      </w:r>
      <w:r w:rsidRPr="00A14DCD">
        <w:rPr>
          <w:rFonts w:ascii="Times New Roman" w:eastAsia="Times New Roman" w:hAnsi="Times New Roman" w:cs="Times New Roman"/>
          <w:sz w:val="24"/>
          <w:szCs w:val="24"/>
        </w:rPr>
        <w:lastRenderedPageBreak/>
        <w:t xml:space="preserve">for rust resistant varieties. [40] </w:t>
      </w:r>
      <w:r w:rsidR="00E03257" w:rsidRPr="00A14DCD">
        <w:rPr>
          <w:rFonts w:ascii="Times New Roman" w:eastAsia="Times New Roman" w:hAnsi="Times New Roman" w:cs="Times New Roman"/>
          <w:sz w:val="24"/>
          <w:szCs w:val="24"/>
        </w:rPr>
        <w:t>Showed</w:t>
      </w:r>
      <w:r w:rsidRPr="00A14DCD">
        <w:rPr>
          <w:rFonts w:ascii="Times New Roman" w:eastAsia="Times New Roman" w:hAnsi="Times New Roman" w:cs="Times New Roman"/>
          <w:sz w:val="24"/>
          <w:szCs w:val="24"/>
        </w:rPr>
        <w:t xml:space="preserve"> that full adopters achieve 61 to 67 percent higher productivity than </w:t>
      </w:r>
      <w:r w:rsidR="00E03257" w:rsidRPr="00A14DCD">
        <w:rPr>
          <w:rFonts w:ascii="Times New Roman" w:eastAsia="Times New Roman" w:hAnsi="Times New Roman" w:cs="Times New Roman"/>
          <w:sz w:val="24"/>
          <w:szCs w:val="24"/>
        </w:rPr>
        <w:t>non-adopters</w:t>
      </w:r>
      <w:r w:rsidRPr="00A14DCD">
        <w:rPr>
          <w:rFonts w:ascii="Times New Roman" w:eastAsia="Times New Roman" w:hAnsi="Times New Roman" w:cs="Times New Roman"/>
          <w:sz w:val="24"/>
          <w:szCs w:val="24"/>
        </w:rPr>
        <w:t xml:space="preserve">. [41] </w:t>
      </w:r>
      <w:r w:rsidR="00E03257" w:rsidRPr="00A14DCD">
        <w:rPr>
          <w:rFonts w:ascii="Times New Roman" w:eastAsia="Times New Roman" w:hAnsi="Times New Roman" w:cs="Times New Roman"/>
          <w:sz w:val="24"/>
          <w:szCs w:val="24"/>
        </w:rPr>
        <w:t>Estimated</w:t>
      </w:r>
      <w:r w:rsidRPr="00A14DCD">
        <w:rPr>
          <w:rFonts w:ascii="Times New Roman" w:eastAsia="Times New Roman" w:hAnsi="Times New Roman" w:cs="Times New Roman"/>
          <w:sz w:val="24"/>
          <w:szCs w:val="24"/>
        </w:rPr>
        <w:t xml:space="preserve"> a gain of 0.63 tons per hectare, while [42] reported that farmers sourcing seed from formal channels consistently achieve higher yields than those relying on informal sources.</w:t>
      </w:r>
    </w:p>
    <w:p w14:paraId="458F6E09" w14:textId="77777777" w:rsidR="002477BE" w:rsidRPr="00A14DCD" w:rsidRDefault="002477BE" w:rsidP="00A14DCD">
      <w:pPr>
        <w:spacing w:before="100" w:beforeAutospacing="1" w:after="0" w:line="360" w:lineRule="auto"/>
        <w:jc w:val="both"/>
        <w:outlineLvl w:val="2"/>
        <w:rPr>
          <w:rFonts w:ascii="Times New Roman" w:eastAsia="Times New Roman" w:hAnsi="Times New Roman" w:cs="Times New Roman"/>
          <w:b/>
          <w:bCs/>
          <w:sz w:val="24"/>
          <w:szCs w:val="24"/>
        </w:rPr>
      </w:pPr>
      <w:r w:rsidRPr="00A14DCD">
        <w:rPr>
          <w:rFonts w:ascii="Times New Roman" w:eastAsia="Times New Roman" w:hAnsi="Times New Roman" w:cs="Times New Roman"/>
          <w:b/>
          <w:bCs/>
          <w:sz w:val="24"/>
          <w:szCs w:val="24"/>
        </w:rPr>
        <w:t>Simulation based sensitivity analysis for Estimator</w:t>
      </w:r>
    </w:p>
    <w:p w14:paraId="2A7D2FA1" w14:textId="77777777" w:rsidR="002477BE" w:rsidRPr="00A14DCD" w:rsidRDefault="002477BE" w:rsidP="00A14DCD">
      <w:pPr>
        <w:spacing w:after="0"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 xml:space="preserve">When unobserved variables influence both treatment assignment and the outcome, hidden bias may arise, reducing the robustness of matching estimators [30]. To assess this possibility, a simulation based sensitivity analysis was conducted using the </w:t>
      </w:r>
      <w:proofErr w:type="spellStart"/>
      <w:r w:rsidRPr="00A14DCD">
        <w:rPr>
          <w:rFonts w:ascii="Times New Roman" w:eastAsia="Times New Roman" w:hAnsi="Times New Roman" w:cs="Times New Roman"/>
          <w:sz w:val="24"/>
          <w:szCs w:val="24"/>
        </w:rPr>
        <w:t>Sensatt</w:t>
      </w:r>
      <w:proofErr w:type="spellEnd"/>
      <w:r w:rsidRPr="00A14DCD">
        <w:rPr>
          <w:rFonts w:ascii="Times New Roman" w:eastAsia="Times New Roman" w:hAnsi="Times New Roman" w:cs="Times New Roman"/>
          <w:sz w:val="24"/>
          <w:szCs w:val="24"/>
        </w:rPr>
        <w:t xml:space="preserve"> package. The baseline ATT was compared with simulated ATT values generated under </w:t>
      </w:r>
      <w:r w:rsidR="00E03257">
        <w:rPr>
          <w:rFonts w:ascii="Times New Roman" w:eastAsia="Times New Roman" w:hAnsi="Times New Roman" w:cs="Times New Roman"/>
          <w:sz w:val="24"/>
          <w:szCs w:val="24"/>
        </w:rPr>
        <w:t>the assumption of a confounding </w:t>
      </w:r>
      <w:r w:rsidRPr="00A14DCD">
        <w:rPr>
          <w:rFonts w:ascii="Times New Roman" w:eastAsia="Times New Roman" w:hAnsi="Times New Roman" w:cs="Times New Roman"/>
          <w:sz w:val="24"/>
          <w:szCs w:val="24"/>
        </w:rPr>
        <w:t>variable.</w:t>
      </w:r>
      <w:r w:rsidRPr="00A14DCD">
        <w:rPr>
          <w:rFonts w:ascii="Times New Roman" w:eastAsia="Times New Roman" w:hAnsi="Times New Roman" w:cs="Times New Roman"/>
          <w:sz w:val="24"/>
          <w:szCs w:val="24"/>
        </w:rPr>
        <w:br/>
        <w:t xml:space="preserve">As indicated in Table 7, the simulated confounder (U) explains 1.123 percent, 6 percent, 10.3 percent and 11.4 percent of the baseline ATT for the algorithms </w:t>
      </w:r>
      <w:proofErr w:type="spellStart"/>
      <w:r w:rsidRPr="00A14DCD">
        <w:rPr>
          <w:rFonts w:ascii="Times New Roman" w:eastAsia="Times New Roman" w:hAnsi="Times New Roman" w:cs="Times New Roman"/>
          <w:sz w:val="24"/>
          <w:szCs w:val="24"/>
        </w:rPr>
        <w:t>attr</w:t>
      </w:r>
      <w:proofErr w:type="spellEnd"/>
      <w:r w:rsidRPr="00A14DCD">
        <w:rPr>
          <w:rFonts w:ascii="Times New Roman" w:eastAsia="Times New Roman" w:hAnsi="Times New Roman" w:cs="Times New Roman"/>
          <w:sz w:val="24"/>
          <w:szCs w:val="24"/>
        </w:rPr>
        <w:t xml:space="preserve">, </w:t>
      </w:r>
      <w:proofErr w:type="spellStart"/>
      <w:r w:rsidRPr="00A14DCD">
        <w:rPr>
          <w:rFonts w:ascii="Times New Roman" w:eastAsia="Times New Roman" w:hAnsi="Times New Roman" w:cs="Times New Roman"/>
          <w:sz w:val="24"/>
          <w:szCs w:val="24"/>
        </w:rPr>
        <w:t>attk</w:t>
      </w:r>
      <w:proofErr w:type="spellEnd"/>
      <w:r w:rsidRPr="00A14DCD">
        <w:rPr>
          <w:rFonts w:ascii="Times New Roman" w:eastAsia="Times New Roman" w:hAnsi="Times New Roman" w:cs="Times New Roman"/>
          <w:sz w:val="24"/>
          <w:szCs w:val="24"/>
        </w:rPr>
        <w:t xml:space="preserve">, </w:t>
      </w:r>
      <w:proofErr w:type="spellStart"/>
      <w:r w:rsidRPr="00A14DCD">
        <w:rPr>
          <w:rFonts w:ascii="Times New Roman" w:eastAsia="Times New Roman" w:hAnsi="Times New Roman" w:cs="Times New Roman"/>
          <w:sz w:val="24"/>
          <w:szCs w:val="24"/>
        </w:rPr>
        <w:t>attnw</w:t>
      </w:r>
      <w:proofErr w:type="spellEnd"/>
      <w:r w:rsidRPr="00A14DCD">
        <w:rPr>
          <w:rFonts w:ascii="Times New Roman" w:eastAsia="Times New Roman" w:hAnsi="Times New Roman" w:cs="Times New Roman"/>
          <w:sz w:val="24"/>
          <w:szCs w:val="24"/>
        </w:rPr>
        <w:t xml:space="preserve"> and </w:t>
      </w:r>
      <w:proofErr w:type="spellStart"/>
      <w:r w:rsidRPr="00A14DCD">
        <w:rPr>
          <w:rFonts w:ascii="Times New Roman" w:eastAsia="Times New Roman" w:hAnsi="Times New Roman" w:cs="Times New Roman"/>
          <w:sz w:val="24"/>
          <w:szCs w:val="24"/>
        </w:rPr>
        <w:t>attnd</w:t>
      </w:r>
      <w:proofErr w:type="spellEnd"/>
      <w:r w:rsidRPr="00A14DCD">
        <w:rPr>
          <w:rFonts w:ascii="Times New Roman" w:eastAsia="Times New Roman" w:hAnsi="Times New Roman" w:cs="Times New Roman"/>
          <w:sz w:val="24"/>
          <w:szCs w:val="24"/>
        </w:rPr>
        <w:t xml:space="preserve">, respectively. This suggests that the observed productivity difference between </w:t>
      </w:r>
      <w:r w:rsidR="00A14DCD" w:rsidRPr="00A14DCD">
        <w:rPr>
          <w:rFonts w:ascii="Times New Roman" w:eastAsia="Times New Roman" w:hAnsi="Times New Roman" w:cs="Times New Roman"/>
          <w:sz w:val="24"/>
          <w:szCs w:val="24"/>
        </w:rPr>
        <w:t xml:space="preserve">formal </w:t>
      </w:r>
      <w:r w:rsidRPr="00A14DCD">
        <w:rPr>
          <w:rFonts w:ascii="Times New Roman" w:eastAsia="Times New Roman" w:hAnsi="Times New Roman" w:cs="Times New Roman"/>
          <w:sz w:val="24"/>
          <w:szCs w:val="24"/>
        </w:rPr>
        <w:t xml:space="preserve">seed </w:t>
      </w:r>
      <w:r w:rsidR="00A14DCD" w:rsidRPr="00A14DCD">
        <w:rPr>
          <w:rFonts w:ascii="Times New Roman" w:eastAsia="Times New Roman" w:hAnsi="Times New Roman" w:cs="Times New Roman"/>
          <w:sz w:val="24"/>
          <w:szCs w:val="24"/>
        </w:rPr>
        <w:t xml:space="preserve">source </w:t>
      </w:r>
      <w:r w:rsidRPr="00A14DCD">
        <w:rPr>
          <w:rFonts w:ascii="Times New Roman" w:eastAsia="Times New Roman" w:hAnsi="Times New Roman" w:cs="Times New Roman"/>
          <w:sz w:val="24"/>
          <w:szCs w:val="24"/>
        </w:rPr>
        <w:t>users and local seed users is largely attributable to the type of seed used. The influence of other unobserved factors is minimal and does not alter the interpretation of the treatment effect. The results therefore confirm the robustness of the matching estimators.</w:t>
      </w:r>
    </w:p>
    <w:p w14:paraId="1F98FD98" w14:textId="77777777" w:rsidR="002477BE" w:rsidRPr="00A14DCD" w:rsidRDefault="002477BE" w:rsidP="00A14DCD">
      <w:pPr>
        <w:spacing w:before="100" w:beforeAutospacing="1" w:after="0" w:line="360" w:lineRule="auto"/>
        <w:jc w:val="both"/>
        <w:outlineLvl w:val="2"/>
        <w:rPr>
          <w:rFonts w:ascii="Times New Roman" w:eastAsia="Times New Roman" w:hAnsi="Times New Roman" w:cs="Times New Roman"/>
          <w:b/>
          <w:bCs/>
          <w:sz w:val="24"/>
          <w:szCs w:val="24"/>
        </w:rPr>
      </w:pPr>
      <w:r w:rsidRPr="00A14DCD">
        <w:rPr>
          <w:rFonts w:ascii="Times New Roman" w:eastAsia="Times New Roman" w:hAnsi="Times New Roman" w:cs="Times New Roman"/>
          <w:b/>
          <w:bCs/>
          <w:sz w:val="24"/>
          <w:szCs w:val="24"/>
        </w:rPr>
        <w:t>Conclusion and Recommendations</w:t>
      </w:r>
    </w:p>
    <w:p w14:paraId="4B457C58" w14:textId="77777777" w:rsidR="002477BE" w:rsidRPr="00A14DCD" w:rsidRDefault="002477BE" w:rsidP="00A14DCD">
      <w:pPr>
        <w:spacing w:after="100" w:afterAutospacing="1"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This study examined seed source choices and their impact on the productivity of smallholder wheat producers using statistical and econometric approaches. The findings lead to the following conclusions.</w:t>
      </w:r>
      <w:r w:rsidRPr="00A14DCD">
        <w:rPr>
          <w:rFonts w:ascii="Times New Roman" w:eastAsia="Times New Roman" w:hAnsi="Times New Roman" w:cs="Times New Roman"/>
          <w:sz w:val="24"/>
          <w:szCs w:val="24"/>
        </w:rPr>
        <w:br/>
        <w:t>Farmers obtain wheat seed from both formal and informal sources. Even though farmers using either seed source follow generally similar agronomic practices, a clear productivity difference exists. The PSM model shows that farmers using seed from formal source</w:t>
      </w:r>
      <w:r w:rsidR="008E13DF">
        <w:rPr>
          <w:rFonts w:ascii="Times New Roman" w:eastAsia="Times New Roman" w:hAnsi="Times New Roman" w:cs="Times New Roman"/>
          <w:sz w:val="24"/>
          <w:szCs w:val="24"/>
        </w:rPr>
        <w:t>s gain, on average, 11 quintals more wheat </w:t>
      </w:r>
      <w:r w:rsidRPr="00A14DCD">
        <w:rPr>
          <w:rFonts w:ascii="Times New Roman" w:eastAsia="Times New Roman" w:hAnsi="Times New Roman" w:cs="Times New Roman"/>
          <w:sz w:val="24"/>
          <w:szCs w:val="24"/>
        </w:rPr>
        <w:t>pe</w:t>
      </w:r>
      <w:r w:rsidR="008E13DF">
        <w:rPr>
          <w:rFonts w:ascii="Times New Roman" w:eastAsia="Times New Roman" w:hAnsi="Times New Roman" w:cs="Times New Roman"/>
          <w:sz w:val="24"/>
          <w:szCs w:val="24"/>
        </w:rPr>
        <w:t>r hectare than those using informal seed </w:t>
      </w:r>
      <w:r w:rsidRPr="00A14DCD">
        <w:rPr>
          <w:rFonts w:ascii="Times New Roman" w:eastAsia="Times New Roman" w:hAnsi="Times New Roman" w:cs="Times New Roman"/>
          <w:sz w:val="24"/>
          <w:szCs w:val="24"/>
        </w:rPr>
        <w:t>sources.</w:t>
      </w:r>
      <w:r w:rsidRPr="00A14DCD">
        <w:rPr>
          <w:rFonts w:ascii="Times New Roman" w:eastAsia="Times New Roman" w:hAnsi="Times New Roman" w:cs="Times New Roman"/>
          <w:sz w:val="24"/>
          <w:szCs w:val="24"/>
        </w:rPr>
        <w:br/>
        <w:t>To ensure that smallholder farmers fully benefit from the potential economic gains associated with improved seed</w:t>
      </w:r>
      <w:r w:rsidR="003A3FF3" w:rsidRPr="00A14DCD">
        <w:rPr>
          <w:rFonts w:ascii="Times New Roman" w:eastAsia="Times New Roman" w:hAnsi="Times New Roman" w:cs="Times New Roman"/>
          <w:sz w:val="24"/>
          <w:szCs w:val="24"/>
        </w:rPr>
        <w:t xml:space="preserve"> sources from formal </w:t>
      </w:r>
      <w:r w:rsidR="00A14DCD" w:rsidRPr="00A14DCD">
        <w:rPr>
          <w:rFonts w:ascii="Times New Roman" w:eastAsia="Times New Roman" w:hAnsi="Times New Roman" w:cs="Times New Roman"/>
          <w:sz w:val="24"/>
          <w:szCs w:val="24"/>
        </w:rPr>
        <w:t xml:space="preserve">seed </w:t>
      </w:r>
      <w:r w:rsidR="008E13DF" w:rsidRPr="00A14DCD">
        <w:rPr>
          <w:rFonts w:ascii="Times New Roman" w:eastAsia="Times New Roman" w:hAnsi="Times New Roman" w:cs="Times New Roman"/>
          <w:sz w:val="24"/>
          <w:szCs w:val="24"/>
        </w:rPr>
        <w:t>sources;</w:t>
      </w:r>
      <w:r w:rsidRPr="00A14DCD">
        <w:rPr>
          <w:rFonts w:ascii="Times New Roman" w:eastAsia="Times New Roman" w:hAnsi="Times New Roman" w:cs="Times New Roman"/>
          <w:sz w:val="24"/>
          <w:szCs w:val="24"/>
        </w:rPr>
        <w:t xml:space="preserve"> regional, zonal and woreda level extension services and seed enterprises should prioritize enhancing access to improved wheat seed. Strengthening communication and coordination among seed system actors is critical. Policymakers should also establish a supportive policy framework that encourages the entry of </w:t>
      </w:r>
      <w:r w:rsidRPr="00A14DCD">
        <w:rPr>
          <w:rFonts w:ascii="Times New Roman" w:eastAsia="Times New Roman" w:hAnsi="Times New Roman" w:cs="Times New Roman"/>
          <w:sz w:val="24"/>
          <w:szCs w:val="24"/>
        </w:rPr>
        <w:lastRenderedPageBreak/>
        <w:t>new seed enterprises and expands the capacity of existing enterprises through structural reallocation at zonal and woreda levels.</w:t>
      </w:r>
    </w:p>
    <w:p w14:paraId="43C02ACA" w14:textId="77777777" w:rsidR="00F30BBE" w:rsidRPr="00F30BBE" w:rsidRDefault="00B4558F" w:rsidP="00F30BBE">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column"/>
      </w:r>
      <w:r w:rsidR="00F30BBE" w:rsidRPr="00F30BBE">
        <w:rPr>
          <w:rFonts w:ascii="Times New Roman" w:eastAsia="Calibri" w:hAnsi="Times New Roman" w:cs="Times New Roman"/>
          <w:b/>
          <w:sz w:val="24"/>
          <w:szCs w:val="24"/>
        </w:rPr>
        <w:lastRenderedPageBreak/>
        <w:t>Disclaimer</w:t>
      </w:r>
    </w:p>
    <w:p w14:paraId="3E3653A9" w14:textId="77777777" w:rsidR="000572FE" w:rsidRDefault="00F30BBE" w:rsidP="00F30BBE">
      <w:pPr>
        <w:spacing w:after="160" w:line="360" w:lineRule="auto"/>
        <w:jc w:val="both"/>
        <w:rPr>
          <w:rFonts w:ascii="Times New Roman" w:eastAsia="Calibri" w:hAnsi="Times New Roman" w:cs="Times New Roman"/>
          <w:b/>
          <w:sz w:val="24"/>
          <w:szCs w:val="24"/>
        </w:rPr>
      </w:pPr>
      <w:r w:rsidRPr="00F30BBE">
        <w:rPr>
          <w:rFonts w:ascii="Times New Roman" w:eastAsia="Calibri" w:hAnsi="Times New Roman" w:cs="Times New Roman"/>
          <w:sz w:val="24"/>
          <w:szCs w:val="24"/>
        </w:rPr>
        <w:t>This manuscript constitutes one objective of my thesis work. In accordance with university regulations, all components of the thesis have been deposited in the online repository of Hawassa University. In addition, this research was supported by the Ethiopia–Netherlands Seed Project, which also requires the thesis to be deposited in its online repository. We therefore wish to clarify that the materials available in these online repositories are thesis reports and not formal publications. Consequently, their availability should not be considered as prior or overlapping publication.</w:t>
      </w:r>
      <w:r w:rsidRPr="00F30BBE">
        <w:rPr>
          <w:rFonts w:ascii="Times New Roman" w:eastAsia="Calibri" w:hAnsi="Times New Roman" w:cs="Times New Roman"/>
          <w:b/>
          <w:sz w:val="24"/>
          <w:szCs w:val="24"/>
        </w:rPr>
        <w:t xml:space="preserve"> </w:t>
      </w:r>
    </w:p>
    <w:p w14:paraId="428A9BB5" w14:textId="77777777" w:rsidR="000572FE" w:rsidRDefault="000572FE" w:rsidP="000572FE">
      <w:pPr>
        <w:spacing w:after="0" w:line="360" w:lineRule="auto"/>
        <w:jc w:val="both"/>
        <w:rPr>
          <w:rFonts w:ascii="Times New Roman" w:eastAsia="Calibri" w:hAnsi="Times New Roman" w:cs="Times New Roman"/>
          <w:b/>
          <w:sz w:val="24"/>
          <w:szCs w:val="24"/>
        </w:rPr>
      </w:pPr>
    </w:p>
    <w:p w14:paraId="5A844525"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Data availability</w:t>
      </w:r>
    </w:p>
    <w:p w14:paraId="1F5D86D8" w14:textId="77777777" w:rsidR="000572FE" w:rsidRPr="004C6464" w:rsidRDefault="000572FE" w:rsidP="000572FE">
      <w:pPr>
        <w:spacing w:after="0" w:line="360" w:lineRule="auto"/>
        <w:jc w:val="both"/>
        <w:rPr>
          <w:rFonts w:ascii="Calibri" w:eastAsia="Calibri" w:hAnsi="Calibri" w:cs="Times New Roman"/>
        </w:rPr>
      </w:pPr>
      <w:r w:rsidRPr="004C6464">
        <w:rPr>
          <w:rFonts w:ascii="Times New Roman" w:eastAsia="Calibri" w:hAnsi="Times New Roman" w:cs="Times New Roman"/>
          <w:sz w:val="24"/>
          <w:szCs w:val="24"/>
        </w:rPr>
        <w:t>The author declares that all collected data were used for analysis and are currently in my possession. The data will be made available through the corresponding author upon request</w:t>
      </w:r>
      <w:r w:rsidRPr="004C6464">
        <w:rPr>
          <w:rFonts w:ascii="Calibri" w:eastAsia="Calibri" w:hAnsi="Calibri" w:cs="Times New Roman"/>
        </w:rPr>
        <w:t>.</w:t>
      </w:r>
    </w:p>
    <w:p w14:paraId="2DA207D2"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Ethics and consent to participate</w:t>
      </w:r>
    </w:p>
    <w:p w14:paraId="3C12C407"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I hereby declare that this is my original work and has not been presented or published in any other journal. All sources of material used in this work have been properly acknowledged. I also confirm that the study, including its data sources and the publication of this research, was approved by the Ethical Committee of the Sidama Agricultural Research Institute, the Director of Agricultural Technology Transfer, and the Coordinator of the Communication Research Work Process, under reference number SIRARI/2024/025. In addition, informed oral consent was obtained from all respondents during the data collection process</w:t>
      </w:r>
    </w:p>
    <w:p w14:paraId="36F717FC"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Consent of publication </w:t>
      </w:r>
    </w:p>
    <w:p w14:paraId="405FF76A"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Not applicable</w:t>
      </w:r>
    </w:p>
    <w:p w14:paraId="3CA36152"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Competing interesting </w:t>
      </w:r>
    </w:p>
    <w:p w14:paraId="62D94906"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The author declares that there is no competing interest</w:t>
      </w:r>
    </w:p>
    <w:p w14:paraId="44D35AE6"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Clinical trial number</w:t>
      </w:r>
    </w:p>
    <w:p w14:paraId="7B52FCB9"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Not applicable</w:t>
      </w:r>
    </w:p>
    <w:p w14:paraId="3038B578" w14:textId="77777777" w:rsidR="00BD5030" w:rsidRDefault="00BD503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9B636E0" w14:textId="2CE38A2D" w:rsidR="004C6464" w:rsidRPr="004C6464" w:rsidRDefault="004C6464" w:rsidP="00F30BBE">
      <w:pPr>
        <w:spacing w:after="16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lastRenderedPageBreak/>
        <w:t xml:space="preserve">References </w:t>
      </w:r>
    </w:p>
    <w:p w14:paraId="1E63F7FC"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1.Leake, G., &amp; Adam, B. (2015). Factors determining the allocation of land for improved wheat variety by smallholder farmers of northern Ethiopia. </w:t>
      </w:r>
      <w:r w:rsidRPr="004C6464">
        <w:rPr>
          <w:rFonts w:ascii="Times New Roman" w:eastAsia="Calibri" w:hAnsi="Times New Roman" w:cs="Times New Roman"/>
          <w:i/>
          <w:iCs/>
          <w:noProof/>
          <w:sz w:val="24"/>
          <w:szCs w:val="24"/>
        </w:rPr>
        <w:t>Journal of Development and Agricultural Economics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7</w:t>
      </w:r>
      <w:r w:rsidRPr="004C6464">
        <w:rPr>
          <w:rFonts w:ascii="Times New Roman" w:eastAsia="Calibri" w:hAnsi="Times New Roman" w:cs="Times New Roman"/>
          <w:noProof/>
          <w:sz w:val="24"/>
          <w:szCs w:val="24"/>
        </w:rPr>
        <w:t>(3), 105–112. https://doi.org/10.5897/jdae2014.0621</w:t>
      </w:r>
    </w:p>
    <w:p w14:paraId="7C2D3265"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2.Meselu, Y. K. (2019). A review on the seed sector of Ethiopia: prospects and challenges of faba bean seed supply. </w:t>
      </w:r>
      <w:r w:rsidRPr="004C6464">
        <w:rPr>
          <w:rFonts w:ascii="Times New Roman" w:eastAsia="Calibri" w:hAnsi="Times New Roman" w:cs="Times New Roman"/>
          <w:i/>
          <w:iCs/>
          <w:noProof/>
          <w:sz w:val="24"/>
          <w:szCs w:val="24"/>
        </w:rPr>
        <w:t>South Asian Journal of Development Research</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1</w:t>
      </w:r>
      <w:r w:rsidRPr="004C6464">
        <w:rPr>
          <w:rFonts w:ascii="Times New Roman" w:eastAsia="Calibri" w:hAnsi="Times New Roman" w:cs="Times New Roman"/>
          <w:noProof/>
          <w:sz w:val="24"/>
          <w:szCs w:val="24"/>
        </w:rPr>
        <w:t>(1), 44–54.</w:t>
      </w:r>
    </w:p>
    <w:p w14:paraId="6CF34134"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3.Sperling, L. (2008). </w:t>
      </w:r>
      <w:r w:rsidRPr="004C6464">
        <w:rPr>
          <w:rFonts w:ascii="Times New Roman" w:eastAsia="Calibri" w:hAnsi="Times New Roman" w:cs="Times New Roman"/>
          <w:i/>
          <w:iCs/>
          <w:noProof/>
          <w:sz w:val="24"/>
          <w:szCs w:val="24"/>
        </w:rPr>
        <w:t>When disaster strikes: a guide to assessing seed system security</w:t>
      </w:r>
      <w:r w:rsidRPr="004C6464">
        <w:rPr>
          <w:rFonts w:ascii="Times New Roman" w:eastAsia="Calibri" w:hAnsi="Times New Roman" w:cs="Times New Roman"/>
          <w:noProof/>
          <w:sz w:val="24"/>
          <w:szCs w:val="24"/>
        </w:rPr>
        <w:t xml:space="preserve"> (Issue 363). CIAT.</w:t>
      </w:r>
    </w:p>
    <w:p w14:paraId="4B19531D"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4.McGuire, S., &amp; Sperling, L. (2011). The links between food security and seed security: facts and fiction that guide response. </w:t>
      </w:r>
      <w:r w:rsidRPr="004C6464">
        <w:rPr>
          <w:rFonts w:ascii="Times New Roman" w:eastAsia="Calibri" w:hAnsi="Times New Roman" w:cs="Times New Roman"/>
          <w:i/>
          <w:iCs/>
          <w:noProof/>
          <w:sz w:val="24"/>
          <w:szCs w:val="24"/>
        </w:rPr>
        <w:t>Development in Practice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21</w:t>
      </w:r>
      <w:r w:rsidRPr="004C6464">
        <w:rPr>
          <w:rFonts w:ascii="Times New Roman" w:eastAsia="Calibri" w:hAnsi="Times New Roman" w:cs="Times New Roman"/>
          <w:noProof/>
          <w:sz w:val="24"/>
          <w:szCs w:val="24"/>
        </w:rPr>
        <w:t>(4–5), 493–508.</w:t>
      </w:r>
    </w:p>
    <w:p w14:paraId="259656AE" w14:textId="77777777" w:rsidR="004C6464" w:rsidRPr="004C6464" w:rsidRDefault="004C6464" w:rsidP="004C6464">
      <w:pPr>
        <w:spacing w:after="160" w:line="240" w:lineRule="auto"/>
        <w:ind w:left="785" w:hangingChars="327" w:hanging="785"/>
        <w:rPr>
          <w:rFonts w:ascii="Times New Roman" w:eastAsia="Calibri" w:hAnsi="Times New Roman" w:cs="Times New Roman"/>
          <w:sz w:val="24"/>
          <w:szCs w:val="24"/>
        </w:rPr>
      </w:pPr>
      <w:r w:rsidRPr="004C6464">
        <w:rPr>
          <w:rFonts w:ascii="Times New Roman" w:eastAsia="Calibri" w:hAnsi="Times New Roman" w:cs="Times New Roman"/>
          <w:noProof/>
          <w:sz w:val="24"/>
          <w:szCs w:val="24"/>
        </w:rPr>
        <w:t>5.</w:t>
      </w:r>
      <w:proofErr w:type="spellStart"/>
      <w:r w:rsidRPr="004C6464">
        <w:rPr>
          <w:rFonts w:ascii="Times New Roman" w:eastAsia="Calibri" w:hAnsi="Times New Roman" w:cs="Times New Roman"/>
          <w:sz w:val="24"/>
          <w:szCs w:val="24"/>
        </w:rPr>
        <w:t>Westengen</w:t>
      </w:r>
      <w:proofErr w:type="spellEnd"/>
      <w:r w:rsidRPr="004C6464">
        <w:rPr>
          <w:rFonts w:ascii="Times New Roman" w:eastAsia="Calibri" w:hAnsi="Times New Roman" w:cs="Times New Roman"/>
          <w:sz w:val="24"/>
          <w:szCs w:val="24"/>
        </w:rPr>
        <w:t xml:space="preserve">, O. T., Dalle, S. P., &amp; </w:t>
      </w:r>
      <w:proofErr w:type="spellStart"/>
      <w:r w:rsidRPr="004C6464">
        <w:rPr>
          <w:rFonts w:ascii="Times New Roman" w:eastAsia="Calibri" w:hAnsi="Times New Roman" w:cs="Times New Roman"/>
          <w:sz w:val="24"/>
          <w:szCs w:val="24"/>
        </w:rPr>
        <w:t>Mulesa</w:t>
      </w:r>
      <w:proofErr w:type="spellEnd"/>
      <w:r w:rsidRPr="004C6464">
        <w:rPr>
          <w:rFonts w:ascii="Times New Roman" w:eastAsia="Calibri" w:hAnsi="Times New Roman" w:cs="Times New Roman"/>
          <w:sz w:val="24"/>
          <w:szCs w:val="24"/>
        </w:rPr>
        <w:t xml:space="preserve">, T. H. (2023). Navigating toward resilient and </w:t>
      </w:r>
      <w:proofErr w:type="gramStart"/>
      <w:r w:rsidRPr="004C6464">
        <w:rPr>
          <w:rFonts w:ascii="Times New Roman" w:eastAsia="Calibri" w:hAnsi="Times New Roman" w:cs="Times New Roman"/>
          <w:sz w:val="24"/>
          <w:szCs w:val="24"/>
        </w:rPr>
        <w:t>inclusive  seed</w:t>
      </w:r>
      <w:proofErr w:type="gramEnd"/>
      <w:r w:rsidRPr="004C6464">
        <w:rPr>
          <w:rFonts w:ascii="Times New Roman" w:eastAsia="Calibri" w:hAnsi="Times New Roman" w:cs="Times New Roman"/>
          <w:sz w:val="24"/>
          <w:szCs w:val="24"/>
        </w:rPr>
        <w:t xml:space="preserve"> systems. Proceedings of the National Academy of Sciences, 120(14), e221877712</w:t>
      </w:r>
    </w:p>
    <w:p w14:paraId="13880E3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6. Wosene Minwagaw, G., &amp; Gobie Ejigu, W. (2021). Determinants of Seed Distribution System: The Case of Womberma District, North West Ethiopia. </w:t>
      </w:r>
      <w:r w:rsidRPr="004C6464">
        <w:rPr>
          <w:rFonts w:ascii="Times New Roman" w:eastAsia="Calibri" w:hAnsi="Times New Roman" w:cs="Times New Roman"/>
          <w:i/>
          <w:iCs/>
          <w:noProof/>
          <w:sz w:val="24"/>
          <w:szCs w:val="24"/>
        </w:rPr>
        <w:t>Advances in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2021</w:t>
      </w:r>
      <w:r w:rsidRPr="004C6464">
        <w:rPr>
          <w:rFonts w:ascii="Times New Roman" w:eastAsia="Calibri" w:hAnsi="Times New Roman" w:cs="Times New Roman"/>
          <w:noProof/>
          <w:sz w:val="24"/>
          <w:szCs w:val="24"/>
        </w:rPr>
        <w:t>, 1–9.</w:t>
      </w:r>
    </w:p>
    <w:p w14:paraId="6595B52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7.</w:t>
      </w:r>
      <w:r w:rsidRPr="004C6464">
        <w:rPr>
          <w:rFonts w:ascii="Times New Roman" w:eastAsia="Calibri" w:hAnsi="Times New Roman" w:cs="Times New Roman"/>
          <w:noProof/>
          <w:sz w:val="24"/>
          <w:szCs w:val="24"/>
        </w:rPr>
        <w:t xml:space="preserve"> Yitayew, Y. A., Sisay, D. T., &amp; Ayalew, D. (2023). Sources of bread wheat (Triticum aestivum L.) seed in northwest Ethiopia. </w:t>
      </w:r>
      <w:r w:rsidRPr="004C6464">
        <w:rPr>
          <w:rFonts w:ascii="Times New Roman" w:eastAsia="Calibri" w:hAnsi="Times New Roman" w:cs="Times New Roman"/>
          <w:i/>
          <w:iCs/>
          <w:noProof/>
          <w:sz w:val="24"/>
          <w:szCs w:val="24"/>
        </w:rPr>
        <w:t>Discover Sustainability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4</w:t>
      </w:r>
      <w:r w:rsidRPr="004C6464">
        <w:rPr>
          <w:rFonts w:ascii="Times New Roman" w:eastAsia="Calibri" w:hAnsi="Times New Roman" w:cs="Times New Roman"/>
          <w:noProof/>
          <w:sz w:val="24"/>
          <w:szCs w:val="24"/>
        </w:rPr>
        <w:t>(1). https://doi.org/10.1007/s43621-023-00118-w</w:t>
      </w:r>
    </w:p>
    <w:p w14:paraId="3B54B32D"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8.</w:t>
      </w:r>
      <w:r w:rsidRPr="004C6464">
        <w:rPr>
          <w:rFonts w:ascii="Times New Roman" w:eastAsia="Calibri" w:hAnsi="Times New Roman" w:cs="Times New Roman"/>
          <w:noProof/>
          <w:sz w:val="24"/>
          <w:szCs w:val="24"/>
        </w:rPr>
        <w:t xml:space="preserve"> Teressa, T. (2019). Demand and Supply Status of Improved Seed and Factor Governing It in Ethiopia. </w:t>
      </w:r>
      <w:r w:rsidRPr="004C6464">
        <w:rPr>
          <w:rFonts w:ascii="Times New Roman" w:eastAsia="Calibri" w:hAnsi="Times New Roman" w:cs="Times New Roman"/>
          <w:i/>
          <w:iCs/>
          <w:noProof/>
          <w:sz w:val="24"/>
          <w:szCs w:val="24"/>
        </w:rPr>
        <w:t>Journal of Biology, Agriculture and Healthcare</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9</w:t>
      </w:r>
      <w:r w:rsidRPr="004C6464">
        <w:rPr>
          <w:rFonts w:ascii="Times New Roman" w:eastAsia="Calibri" w:hAnsi="Times New Roman" w:cs="Times New Roman"/>
          <w:noProof/>
          <w:sz w:val="24"/>
          <w:szCs w:val="24"/>
        </w:rPr>
        <w:t>(3), 33 39. https://doi.org/10.7176/jbah/9-3-04</w:t>
      </w:r>
    </w:p>
    <w:p w14:paraId="3B6A9CCA"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9.</w:t>
      </w:r>
      <w:r w:rsidRPr="004C6464">
        <w:rPr>
          <w:rFonts w:ascii="Times New Roman" w:eastAsia="Calibri" w:hAnsi="Times New Roman" w:cs="Times New Roman"/>
          <w:noProof/>
          <w:sz w:val="24"/>
          <w:szCs w:val="24"/>
        </w:rPr>
        <w:t xml:space="preserve">   Amare  Tesfaw, H. (2015). Dynamics of Formal Seed Utilization and Use Intensity: Evidence from Wheat Growers in East Gojjam Province, Northwestern Ethiopia. </w:t>
      </w:r>
      <w:r w:rsidRPr="004C6464">
        <w:rPr>
          <w:rFonts w:ascii="Times New Roman" w:eastAsia="Calibri" w:hAnsi="Times New Roman" w:cs="Times New Roman"/>
          <w:i/>
          <w:iCs/>
          <w:noProof/>
          <w:sz w:val="24"/>
          <w:szCs w:val="24"/>
        </w:rPr>
        <w:t>International Journal of Economics &amp; Management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04</w:t>
      </w:r>
      <w:r w:rsidRPr="004C6464">
        <w:rPr>
          <w:rFonts w:ascii="Times New Roman" w:eastAsia="Calibri" w:hAnsi="Times New Roman" w:cs="Times New Roman"/>
          <w:noProof/>
          <w:sz w:val="24"/>
          <w:szCs w:val="24"/>
        </w:rPr>
        <w:t xml:space="preserve">(05). </w:t>
      </w:r>
      <w:hyperlink r:id="rId7" w:history="1">
        <w:r w:rsidRPr="004C6464">
          <w:rPr>
            <w:rFonts w:ascii="Times New Roman" w:eastAsia="Calibri" w:hAnsi="Times New Roman" w:cs="Times New Roman"/>
            <w:noProof/>
            <w:color w:val="0563C1"/>
            <w:sz w:val="24"/>
            <w:szCs w:val="24"/>
            <w:u w:val="single"/>
          </w:rPr>
          <w:t>https://doi.org/10.4172/2162-6359.1000247</w:t>
        </w:r>
      </w:hyperlink>
    </w:p>
    <w:p w14:paraId="040DCA4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10. Tesfaye, H., Baye, B., Eyob, B., Kaleb, K., Daniel, H., &amp; Fitsum, D. (2018). Impact of 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2014BD1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11. Abebe, A., &amp; Lijalem, K. (2011). Recent development in seed systems of Ethiopia: Empowering Farmers’ Innovation - Improving Farmers. </w:t>
      </w:r>
      <w:r w:rsidRPr="004C6464">
        <w:rPr>
          <w:rFonts w:ascii="Times New Roman" w:eastAsia="Calibri" w:hAnsi="Times New Roman" w:cs="Times New Roman"/>
          <w:i/>
          <w:iCs/>
          <w:noProof/>
          <w:sz w:val="24"/>
          <w:szCs w:val="24"/>
        </w:rPr>
        <w:t>International Conference on Sustainable Seed System in Ethiopia</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Series No.</w:t>
      </w:r>
      <w:r w:rsidRPr="004C6464">
        <w:rPr>
          <w:rFonts w:ascii="Times New Roman" w:eastAsia="Calibri" w:hAnsi="Times New Roman" w:cs="Times New Roman"/>
          <w:noProof/>
          <w:sz w:val="24"/>
          <w:szCs w:val="24"/>
        </w:rPr>
        <w:t>(1), 1–93.</w:t>
      </w:r>
    </w:p>
    <w:p w14:paraId="56A5D10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12.Kifle, T., Tolossa, D., Shibru, A., &amp; Alemu, D. (2022). Analysis of Seed System Actors: Roles, Responsibilities, and Linkages in Central Ethiopia. </w:t>
      </w:r>
      <w:r w:rsidRPr="004C6464">
        <w:rPr>
          <w:rFonts w:ascii="Times New Roman" w:eastAsia="Calibri" w:hAnsi="Times New Roman" w:cs="Times New Roman"/>
          <w:i/>
          <w:iCs/>
          <w:noProof/>
          <w:sz w:val="24"/>
          <w:szCs w:val="24"/>
        </w:rPr>
        <w:t>Ethiopian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32</w:t>
      </w:r>
      <w:r w:rsidRPr="004C6464">
        <w:rPr>
          <w:rFonts w:ascii="Times New Roman" w:eastAsia="Calibri" w:hAnsi="Times New Roman" w:cs="Times New Roman"/>
          <w:noProof/>
          <w:sz w:val="24"/>
          <w:szCs w:val="24"/>
        </w:rPr>
        <w:t>(2), 71–97.</w:t>
      </w:r>
    </w:p>
    <w:p w14:paraId="3251A91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13.Abraha, B., &amp; Yohannes, G. (2013). The role of seed priming in improving seedling growth of maize (Zea mays L.) under salt stress at field conditions. </w:t>
      </w:r>
      <w:r w:rsidRPr="004C6464">
        <w:rPr>
          <w:rFonts w:ascii="Times New Roman" w:eastAsia="Calibri" w:hAnsi="Times New Roman" w:cs="Times New Roman"/>
          <w:i/>
          <w:iCs/>
          <w:noProof/>
          <w:sz w:val="24"/>
          <w:szCs w:val="24"/>
        </w:rPr>
        <w:t>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4</w:t>
      </w:r>
      <w:r w:rsidRPr="004C6464">
        <w:rPr>
          <w:rFonts w:ascii="Times New Roman" w:eastAsia="Calibri" w:hAnsi="Times New Roman" w:cs="Times New Roman"/>
          <w:noProof/>
          <w:sz w:val="24"/>
          <w:szCs w:val="24"/>
        </w:rPr>
        <w:t>(12), 666–672.</w:t>
      </w:r>
    </w:p>
    <w:p w14:paraId="01D03771"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14. Sperling, L., Boettiger, S., &amp; Barker, I. (2013). Integrating seed systems. </w:t>
      </w:r>
      <w:r w:rsidRPr="004C6464">
        <w:rPr>
          <w:rFonts w:ascii="Times New Roman" w:eastAsia="Calibri" w:hAnsi="Times New Roman" w:cs="Times New Roman"/>
          <w:i/>
          <w:iCs/>
          <w:noProof/>
          <w:sz w:val="24"/>
          <w:szCs w:val="24"/>
        </w:rPr>
        <w:t>Planning for Scale Brief</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w:t>
      </w:r>
      <w:r w:rsidRPr="004C6464">
        <w:rPr>
          <w:rFonts w:ascii="Times New Roman" w:eastAsia="Calibri" w:hAnsi="Times New Roman" w:cs="Times New Roman"/>
          <w:noProof/>
          <w:sz w:val="24"/>
          <w:szCs w:val="24"/>
        </w:rPr>
        <w:t>.</w:t>
      </w:r>
    </w:p>
    <w:p w14:paraId="2BEB8EF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15. Jilito, M. F., &amp; Wedajo, D. Y. (2020). Trends and challenges in improved agricultural inputs use by smallholder farmers in Ethiopia: A review. </w:t>
      </w:r>
      <w:r w:rsidRPr="004C6464">
        <w:rPr>
          <w:rFonts w:ascii="Times New Roman" w:eastAsia="Calibri" w:hAnsi="Times New Roman" w:cs="Times New Roman"/>
          <w:i/>
          <w:iCs/>
          <w:noProof/>
          <w:sz w:val="24"/>
          <w:szCs w:val="24"/>
        </w:rPr>
        <w:t>Turkish Journal of Agriculture-Food Science and Technology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(11), 2286–2292.</w:t>
      </w:r>
    </w:p>
    <w:p w14:paraId="06D96EC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16. Tesfaye, H., Baye, B., Eyob, B., Kaleb, K., Daniel, H., &amp; Fitsum, D. (2018). Impact of </w:t>
      </w:r>
      <w:r w:rsidRPr="004C6464">
        <w:rPr>
          <w:rFonts w:ascii="Times New Roman" w:eastAsia="Calibri" w:hAnsi="Times New Roman" w:cs="Times New Roman"/>
          <w:noProof/>
          <w:sz w:val="24"/>
          <w:szCs w:val="24"/>
        </w:rPr>
        <w:lastRenderedPageBreak/>
        <w:t xml:space="preserve">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5E7CBF1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17. Yirga, C., Atnafe, Y., &amp; Awhassan, A. (2015). A Multivariate Analysis of Factors Affecting Adoption of Improved Varieties of Multiple Crops: A Case Study from Ethiopian Highlands A Multivariate Analysis of Factors Affecting Adoption of Improved Varieties [30]. </w:t>
      </w:r>
      <w:r w:rsidRPr="004C6464">
        <w:rPr>
          <w:rFonts w:ascii="Times New Roman" w:eastAsia="Calibri" w:hAnsi="Times New Roman" w:cs="Times New Roman"/>
          <w:i/>
          <w:iCs/>
          <w:noProof/>
          <w:sz w:val="24"/>
          <w:szCs w:val="24"/>
        </w:rPr>
        <w:t>Ethiopian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25</w:t>
      </w:r>
      <w:r w:rsidRPr="004C6464">
        <w:rPr>
          <w:rFonts w:ascii="Times New Roman" w:eastAsia="Calibri" w:hAnsi="Times New Roman" w:cs="Times New Roman"/>
          <w:noProof/>
          <w:sz w:val="24"/>
          <w:szCs w:val="24"/>
        </w:rPr>
        <w:t>(2), 29–45.</w:t>
      </w:r>
    </w:p>
    <w:p w14:paraId="72BB783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18. Abate, G. T., Bernard, T., de Brauw, A., &amp; Minot, N. (2018). The impact of the use of new technologies on farmers’ wheat yield in Ethiopia: evidence from a randomized control trial. </w:t>
      </w:r>
      <w:r w:rsidRPr="004C6464">
        <w:rPr>
          <w:rFonts w:ascii="Times New Roman" w:eastAsia="Calibri" w:hAnsi="Times New Roman" w:cs="Times New Roman"/>
          <w:i/>
          <w:iCs/>
          <w:noProof/>
          <w:sz w:val="24"/>
          <w:szCs w:val="24"/>
        </w:rPr>
        <w:t>Agricultural Economics (United Kingdom)</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49</w:t>
      </w:r>
      <w:r w:rsidRPr="004C6464">
        <w:rPr>
          <w:rFonts w:ascii="Times New Roman" w:eastAsia="Calibri" w:hAnsi="Times New Roman" w:cs="Times New Roman"/>
          <w:noProof/>
          <w:sz w:val="24"/>
          <w:szCs w:val="24"/>
        </w:rPr>
        <w:t>(4), 409–421. https://doi.org/10.1111/agec.12425</w:t>
      </w:r>
    </w:p>
    <w:p w14:paraId="1CFF01C3"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19. Mengistu, M. (2021). Review on the Determinants of the Market Supply of Wheat in Ethiopia.</w:t>
      </w:r>
      <w:r w:rsidRPr="004C6464">
        <w:rPr>
          <w:rFonts w:ascii="Times New Roman" w:eastAsia="Calibri" w:hAnsi="Times New Roman" w:cs="Times New Roman"/>
          <w:i/>
          <w:iCs/>
          <w:noProof/>
          <w:sz w:val="24"/>
          <w:szCs w:val="24"/>
        </w:rPr>
        <w:t>International Journal of Business and Economics Research</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10</w:t>
      </w:r>
      <w:r w:rsidRPr="004C6464">
        <w:rPr>
          <w:rFonts w:ascii="Times New Roman" w:eastAsia="Calibri" w:hAnsi="Times New Roman" w:cs="Times New Roman"/>
          <w:noProof/>
          <w:sz w:val="24"/>
          <w:szCs w:val="24"/>
        </w:rPr>
        <w:t>(3), 94. </w:t>
      </w:r>
      <w:hyperlink r:id="rId8" w:history="1">
        <w:r w:rsidRPr="004C6464">
          <w:rPr>
            <w:rFonts w:ascii="Times New Roman" w:eastAsia="Calibri" w:hAnsi="Times New Roman" w:cs="Times New Roman"/>
            <w:noProof/>
            <w:color w:val="0563C1"/>
            <w:sz w:val="24"/>
            <w:szCs w:val="24"/>
            <w:u w:val="single"/>
          </w:rPr>
          <w:t>https://doi.org/10.11648/j.ijber.20211003.12</w:t>
        </w:r>
      </w:hyperlink>
    </w:p>
    <w:p w14:paraId="7DF3696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20. Anteneh, A., &amp; Asrat, D. (2020). Wheat production and marketing in Ethiopia: Review study. In </w:t>
      </w:r>
      <w:r w:rsidRPr="004C6464">
        <w:rPr>
          <w:rFonts w:ascii="Times New Roman" w:eastAsia="Calibri" w:hAnsi="Times New Roman" w:cs="Times New Roman"/>
          <w:i/>
          <w:iCs/>
          <w:noProof/>
          <w:sz w:val="24"/>
          <w:szCs w:val="24"/>
        </w:rPr>
        <w:t>Cogent Food and B Agriculture</w:t>
      </w:r>
      <w:r w:rsidRPr="004C6464">
        <w:rPr>
          <w:rFonts w:ascii="Times New Roman" w:eastAsia="Calibri" w:hAnsi="Times New Roman" w:cs="Times New Roman"/>
          <w:noProof/>
          <w:sz w:val="24"/>
          <w:szCs w:val="24"/>
        </w:rPr>
        <w:t> (Vol. 6, Issue 1). https://doi.org/10.1080/23311932.2020.1778893</w:t>
      </w:r>
    </w:p>
    <w:p w14:paraId="7E1EC2BE" w14:textId="77777777"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r w:rsidRPr="004C6464">
        <w:rPr>
          <w:rFonts w:ascii="Times New Roman" w:eastAsia="Calibri" w:hAnsi="Times New Roman" w:cs="Times New Roman"/>
          <w:noProof/>
          <w:sz w:val="24"/>
          <w:szCs w:val="24"/>
        </w:rPr>
        <w:t>21.</w:t>
      </w:r>
      <w:r w:rsidRPr="004C6464">
        <w:rPr>
          <w:rFonts w:ascii="Times New Roman" w:eastAsia="Calibri" w:hAnsi="Times New Roman" w:cs="Times New Roman"/>
          <w:sz w:val="24"/>
          <w:szCs w:val="24"/>
        </w:rPr>
        <w:t xml:space="preserve"> Bekele, M., &amp; Worku, Z. (2025). Determinants of smallholder farmers’ wheat seed source choices inGedeo Zone Southern Ethiopia.Discover </w:t>
      </w:r>
      <w:proofErr w:type="gramStart"/>
      <w:r w:rsidRPr="004C6464">
        <w:rPr>
          <w:rFonts w:ascii="Times New Roman" w:eastAsia="Calibri" w:hAnsi="Times New Roman" w:cs="Times New Roman"/>
          <w:sz w:val="24"/>
          <w:szCs w:val="24"/>
        </w:rPr>
        <w:t>Agriculture,(</w:t>
      </w:r>
      <w:proofErr w:type="gramEnd"/>
      <w:r w:rsidRPr="004C6464">
        <w:rPr>
          <w:rFonts w:ascii="Times New Roman" w:eastAsia="Calibri" w:hAnsi="Times New Roman" w:cs="Times New Roman"/>
          <w:sz w:val="24"/>
          <w:szCs w:val="24"/>
        </w:rPr>
        <w:t>204). [https://doi.org/10.1007/s44279-025-00378-2](</w:t>
      </w:r>
      <w:hyperlink r:id="rId9" w:history="1">
        <w:r w:rsidRPr="004C6464">
          <w:rPr>
            <w:rFonts w:ascii="Times New Roman" w:eastAsia="Calibri" w:hAnsi="Times New Roman" w:cs="Times New Roman"/>
            <w:color w:val="0563C1"/>
            <w:sz w:val="24"/>
            <w:szCs w:val="24"/>
            <w:u w:val="single"/>
          </w:rPr>
          <w:t>https://doi.org/10.1007/s44279-025-00378-2</w:t>
        </w:r>
      </w:hyperlink>
      <w:r w:rsidRPr="004C6464">
        <w:rPr>
          <w:rFonts w:ascii="Times New Roman" w:eastAsia="Calibri" w:hAnsi="Times New Roman" w:cs="Times New Roman"/>
          <w:sz w:val="24"/>
          <w:szCs w:val="24"/>
        </w:rPr>
        <w:t>)</w:t>
      </w:r>
    </w:p>
    <w:p w14:paraId="7D21F3D2" w14:textId="77777777"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22. </w:t>
      </w:r>
      <w:proofErr w:type="spellStart"/>
      <w:r w:rsidRPr="004C6464">
        <w:rPr>
          <w:rFonts w:ascii="Times New Roman" w:eastAsia="Calibri" w:hAnsi="Times New Roman" w:cs="Times New Roman"/>
          <w:sz w:val="24"/>
          <w:szCs w:val="24"/>
        </w:rPr>
        <w:t>Mogiso</w:t>
      </w:r>
      <w:proofErr w:type="spellEnd"/>
      <w:r w:rsidRPr="004C6464">
        <w:rPr>
          <w:rFonts w:ascii="Times New Roman" w:eastAsia="Calibri" w:hAnsi="Times New Roman" w:cs="Times New Roman"/>
          <w:sz w:val="24"/>
          <w:szCs w:val="24"/>
        </w:rPr>
        <w:t xml:space="preserve">, M., &amp; Tadele, T. (2025). Evaluation of wheat (Triticum aestivum L.) varieties and nitrogen fertilizer rates on yield performance and profitability at </w:t>
      </w:r>
      <w:proofErr w:type="spellStart"/>
      <w:r w:rsidRPr="004C6464">
        <w:rPr>
          <w:rFonts w:ascii="Times New Roman" w:eastAsia="Calibri" w:hAnsi="Times New Roman" w:cs="Times New Roman"/>
          <w:sz w:val="24"/>
          <w:szCs w:val="24"/>
        </w:rPr>
        <w:t>Gedeb</w:t>
      </w:r>
      <w:proofErr w:type="spellEnd"/>
      <w:r w:rsidRPr="004C6464">
        <w:rPr>
          <w:rFonts w:ascii="Times New Roman" w:eastAsia="Calibri" w:hAnsi="Times New Roman" w:cs="Times New Roman"/>
          <w:sz w:val="24"/>
          <w:szCs w:val="24"/>
        </w:rPr>
        <w:t>, Gedeo Zone, South Ethiopia Region.</w:t>
      </w:r>
    </w:p>
    <w:p w14:paraId="1A93C8C9"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23.Mebrate, A., Kippie, T., Zeray, N., &amp; Haile, G. (2022). Selected physical and chemical properties of soil under different agroecological zones in Gedeo Zone, Southern Ethiopia. </w:t>
      </w:r>
      <w:r w:rsidRPr="004C6464">
        <w:rPr>
          <w:rFonts w:ascii="Times New Roman" w:eastAsia="Calibri" w:hAnsi="Times New Roman" w:cs="Times New Roman"/>
          <w:i/>
          <w:iCs/>
          <w:noProof/>
          <w:sz w:val="24"/>
          <w:szCs w:val="24"/>
        </w:rPr>
        <w:t>Heliyon</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(12).</w:t>
      </w:r>
    </w:p>
    <w:p w14:paraId="328A867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24. Kanshie, T. K. (2002). </w:t>
      </w:r>
      <w:r w:rsidRPr="004C6464">
        <w:rPr>
          <w:rFonts w:ascii="Times New Roman" w:eastAsia="Calibri" w:hAnsi="Times New Roman" w:cs="Times New Roman"/>
          <w:i/>
          <w:iCs/>
          <w:noProof/>
          <w:sz w:val="24"/>
          <w:szCs w:val="24"/>
        </w:rPr>
        <w:t>Five thousand years of sustainability?: a case study on Gedeo land use (Southern Ethiopia)</w:t>
      </w:r>
      <w:r w:rsidRPr="004C6464">
        <w:rPr>
          <w:rFonts w:ascii="Times New Roman" w:eastAsia="Calibri" w:hAnsi="Times New Roman" w:cs="Times New Roman"/>
          <w:noProof/>
          <w:sz w:val="24"/>
          <w:szCs w:val="24"/>
        </w:rPr>
        <w:t>. Wageningen University and Research.</w:t>
      </w:r>
    </w:p>
    <w:p w14:paraId="0756171F"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25. Degefa, S. (2016). Home garden agroforestry practices in the Gedeo zone, Ethiopia: a sustainable land management system for socio-ecological benefits. </w:t>
      </w:r>
      <w:r w:rsidRPr="004C6464">
        <w:rPr>
          <w:rFonts w:ascii="Times New Roman" w:eastAsia="Calibri" w:hAnsi="Times New Roman" w:cs="Times New Roman"/>
          <w:i/>
          <w:iCs/>
          <w:noProof/>
          <w:sz w:val="24"/>
          <w:szCs w:val="24"/>
        </w:rPr>
        <w:t>Socio-Ecological Production Landscapes and Seascapes (SEPLS) in Africa</w:t>
      </w:r>
      <w:r w:rsidRPr="004C6464">
        <w:rPr>
          <w:rFonts w:ascii="Times New Roman" w:eastAsia="Calibri" w:hAnsi="Times New Roman" w:cs="Times New Roman"/>
          <w:noProof/>
          <w:sz w:val="24"/>
          <w:szCs w:val="24"/>
        </w:rPr>
        <w:t>, 2</w:t>
      </w:r>
    </w:p>
    <w:p w14:paraId="0CC1AC19"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26. Maru, Y., Gebrekirstos, A., &amp; Haile, G. (2020). Indigenous ways of environmental protection in Gedeo community, Southern Ethiopia: A socio-ecological perspective. </w:t>
      </w:r>
      <w:r w:rsidRPr="004C6464">
        <w:rPr>
          <w:rFonts w:ascii="Times New Roman" w:eastAsia="Calibri" w:hAnsi="Times New Roman" w:cs="Times New Roman"/>
          <w:i/>
          <w:iCs/>
          <w:noProof/>
          <w:sz w:val="24"/>
          <w:szCs w:val="24"/>
        </w:rPr>
        <w:t>Cogent Food &amp;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w:t>
      </w:r>
      <w:r w:rsidRPr="004C6464">
        <w:rPr>
          <w:rFonts w:ascii="Times New Roman" w:eastAsia="Calibri" w:hAnsi="Times New Roman" w:cs="Times New Roman"/>
          <w:noProof/>
          <w:sz w:val="24"/>
          <w:szCs w:val="24"/>
        </w:rPr>
        <w:t>(1), 1766732.</w:t>
      </w:r>
    </w:p>
    <w:p w14:paraId="7CF3F88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Times New Roman" w:hAnsi="Times New Roman" w:cs="Times New Roman"/>
          <w:sz w:val="24"/>
          <w:szCs w:val="24"/>
        </w:rPr>
        <w:t xml:space="preserve">27. </w:t>
      </w:r>
      <w:proofErr w:type="spellStart"/>
      <w:r w:rsidRPr="004C6464">
        <w:rPr>
          <w:rFonts w:ascii="Times New Roman" w:eastAsia="Times New Roman" w:hAnsi="Times New Roman" w:cs="Times New Roman"/>
          <w:sz w:val="24"/>
          <w:szCs w:val="24"/>
        </w:rPr>
        <w:t>Gedeb</w:t>
      </w:r>
      <w:proofErr w:type="spellEnd"/>
      <w:r w:rsidRPr="004C6464">
        <w:rPr>
          <w:rFonts w:ascii="Times New Roman" w:eastAsia="Times New Roman" w:hAnsi="Times New Roman" w:cs="Times New Roman"/>
          <w:sz w:val="24"/>
          <w:szCs w:val="24"/>
        </w:rPr>
        <w:t xml:space="preserve"> and </w:t>
      </w:r>
      <w:proofErr w:type="spellStart"/>
      <w:r w:rsidRPr="004C6464">
        <w:rPr>
          <w:rFonts w:ascii="Times New Roman" w:eastAsia="Times New Roman" w:hAnsi="Times New Roman" w:cs="Times New Roman"/>
          <w:sz w:val="24"/>
          <w:szCs w:val="24"/>
        </w:rPr>
        <w:t>Choriso</w:t>
      </w:r>
      <w:proofErr w:type="spellEnd"/>
      <w:r w:rsidRPr="004C6464">
        <w:rPr>
          <w:rFonts w:ascii="Times New Roman" w:eastAsia="Times New Roman" w:hAnsi="Times New Roman" w:cs="Times New Roman"/>
          <w:sz w:val="24"/>
          <w:szCs w:val="24"/>
        </w:rPr>
        <w:t xml:space="preserve"> Woreda Agricultural Development Offices annual unpublished report (2022).agricultural productivity and yield estimation</w:t>
      </w:r>
    </w:p>
    <w:p w14:paraId="3692046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28. Munyi, P., &amp; De Jonge, B. (2015). Seed systems support in Kenya: consideration for an integrated seed sector development approach. </w:t>
      </w:r>
      <w:r w:rsidRPr="004C6464">
        <w:rPr>
          <w:rFonts w:ascii="Times New Roman" w:eastAsia="Calibri" w:hAnsi="Times New Roman" w:cs="Times New Roman"/>
          <w:i/>
          <w:iCs/>
          <w:noProof/>
          <w:sz w:val="24"/>
          <w:szCs w:val="24"/>
        </w:rPr>
        <w:t>Journal of Sustainable Development</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(2), 161.</w:t>
      </w:r>
    </w:p>
    <w:p w14:paraId="1AC071B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29. Caliendo, M., &amp; Kopeinig, S. (2008). Some practical guidance for the implementation of propensity score matching. </w:t>
      </w:r>
      <w:r w:rsidRPr="004C6464">
        <w:rPr>
          <w:rFonts w:ascii="Times New Roman" w:eastAsia="Calibri" w:hAnsi="Times New Roman" w:cs="Times New Roman"/>
          <w:i/>
          <w:iCs/>
          <w:noProof/>
          <w:sz w:val="24"/>
          <w:szCs w:val="24"/>
        </w:rPr>
        <w:t>Journal of Economic Surveys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22</w:t>
      </w:r>
      <w:r w:rsidRPr="004C6464">
        <w:rPr>
          <w:rFonts w:ascii="Times New Roman" w:eastAsia="Calibri" w:hAnsi="Times New Roman" w:cs="Times New Roman"/>
          <w:noProof/>
          <w:sz w:val="24"/>
          <w:szCs w:val="24"/>
        </w:rPr>
        <w:t>(1), 31–72.</w:t>
      </w:r>
    </w:p>
    <w:p w14:paraId="63D6273B"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30.Rosenbaum, P. R., &amp; Rubin, D. B. (1983). The central role of the propensity score in observational studies for causal impacts. </w:t>
      </w:r>
      <w:r w:rsidRPr="004C6464">
        <w:rPr>
          <w:rFonts w:ascii="Times New Roman" w:eastAsia="Calibri" w:hAnsi="Times New Roman" w:cs="Times New Roman"/>
          <w:i/>
          <w:iCs/>
          <w:noProof/>
          <w:sz w:val="24"/>
          <w:szCs w:val="24"/>
        </w:rPr>
        <w:t>Biometrika</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70</w:t>
      </w:r>
      <w:r w:rsidRPr="004C6464">
        <w:rPr>
          <w:rFonts w:ascii="Times New Roman" w:eastAsia="Calibri" w:hAnsi="Times New Roman" w:cs="Times New Roman"/>
          <w:noProof/>
          <w:sz w:val="24"/>
          <w:szCs w:val="24"/>
        </w:rPr>
        <w:t>(1), 41–55.</w:t>
      </w:r>
    </w:p>
    <w:p w14:paraId="29ABE86A" w14:textId="77777777" w:rsidR="004C6464" w:rsidRPr="004C6464" w:rsidRDefault="004C6464" w:rsidP="004C6464">
      <w:pPr>
        <w:widowControl w:val="0"/>
        <w:autoSpaceDE w:val="0"/>
        <w:autoSpaceDN w:val="0"/>
        <w:adjustRightInd w:val="0"/>
        <w:spacing w:after="0" w:line="240" w:lineRule="auto"/>
        <w:ind w:left="785" w:hangingChars="327" w:hanging="785"/>
        <w:jc w:val="center"/>
        <w:rPr>
          <w:rFonts w:ascii="Times New Roman" w:eastAsia="Calibri" w:hAnsi="Times New Roman" w:cs="Times New Roman"/>
          <w:noProof/>
          <w:sz w:val="24"/>
          <w:szCs w:val="24"/>
        </w:rPr>
      </w:pPr>
    </w:p>
    <w:p w14:paraId="42FFE627"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lastRenderedPageBreak/>
        <w:t xml:space="preserve">31. Villano, R., Bravo‐Ureta, B., Solís, D., &amp; Fleming, E. (2015). Modern rice technologies and productivity in the Philippines: disentangling technology from managerial gaps. </w:t>
      </w:r>
      <w:r w:rsidRPr="004C6464">
        <w:rPr>
          <w:rFonts w:ascii="Times New Roman" w:eastAsia="Calibri" w:hAnsi="Times New Roman" w:cs="Times New Roman"/>
          <w:i/>
          <w:iCs/>
          <w:noProof/>
          <w:sz w:val="24"/>
          <w:szCs w:val="24"/>
        </w:rPr>
        <w:t>Journal of Agricultural Economics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66</w:t>
      </w:r>
      <w:r w:rsidRPr="004C6464">
        <w:rPr>
          <w:rFonts w:ascii="Times New Roman" w:eastAsia="Calibri" w:hAnsi="Times New Roman" w:cs="Times New Roman"/>
          <w:noProof/>
          <w:sz w:val="24"/>
          <w:szCs w:val="24"/>
        </w:rPr>
        <w:t>(1), 129–154.</w:t>
      </w:r>
    </w:p>
    <w:p w14:paraId="6E2D301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32.</w:t>
      </w:r>
      <w:r w:rsidRPr="004C6464">
        <w:rPr>
          <w:rFonts w:ascii="Times New Roman" w:eastAsia="Calibri" w:hAnsi="Times New Roman" w:cs="Times New Roman"/>
          <w:color w:val="222222"/>
          <w:sz w:val="24"/>
          <w:szCs w:val="24"/>
          <w:shd w:val="clear" w:color="auto" w:fill="FFFFFF"/>
        </w:rPr>
        <w:t xml:space="preserve"> </w:t>
      </w:r>
      <w:proofErr w:type="spellStart"/>
      <w:r w:rsidRPr="004C6464">
        <w:rPr>
          <w:rFonts w:ascii="Times New Roman" w:eastAsia="Calibri" w:hAnsi="Times New Roman" w:cs="Times New Roman"/>
          <w:color w:val="222222"/>
          <w:sz w:val="24"/>
          <w:szCs w:val="24"/>
          <w:shd w:val="clear" w:color="auto" w:fill="FFFFFF"/>
        </w:rPr>
        <w:t>Siyum</w:t>
      </w:r>
      <w:proofErr w:type="spellEnd"/>
      <w:r w:rsidRPr="004C6464">
        <w:rPr>
          <w:rFonts w:ascii="Times New Roman" w:eastAsia="Calibri" w:hAnsi="Times New Roman" w:cs="Times New Roman"/>
          <w:color w:val="222222"/>
          <w:sz w:val="24"/>
          <w:szCs w:val="24"/>
          <w:shd w:val="clear" w:color="auto" w:fill="FFFFFF"/>
        </w:rPr>
        <w:t xml:space="preserve">, N., </w:t>
      </w:r>
      <w:proofErr w:type="spellStart"/>
      <w:r w:rsidRPr="004C6464">
        <w:rPr>
          <w:rFonts w:ascii="Times New Roman" w:eastAsia="Calibri" w:hAnsi="Times New Roman" w:cs="Times New Roman"/>
          <w:color w:val="222222"/>
          <w:sz w:val="24"/>
          <w:szCs w:val="24"/>
          <w:shd w:val="clear" w:color="auto" w:fill="FFFFFF"/>
        </w:rPr>
        <w:t>Giziew</w:t>
      </w:r>
      <w:proofErr w:type="spellEnd"/>
      <w:r w:rsidRPr="004C6464">
        <w:rPr>
          <w:rFonts w:ascii="Times New Roman" w:eastAsia="Calibri" w:hAnsi="Times New Roman" w:cs="Times New Roman"/>
          <w:color w:val="222222"/>
          <w:sz w:val="24"/>
          <w:szCs w:val="24"/>
          <w:shd w:val="clear" w:color="auto" w:fill="FFFFFF"/>
        </w:rPr>
        <w:t xml:space="preserve">, A., &amp; Abebe, A. (2022). Factors influencing adoption of improved bread wheat technologies in Ethiopia: empirical evidence from </w:t>
      </w:r>
      <w:proofErr w:type="spellStart"/>
      <w:r w:rsidRPr="004C6464">
        <w:rPr>
          <w:rFonts w:ascii="Times New Roman" w:eastAsia="Calibri" w:hAnsi="Times New Roman" w:cs="Times New Roman"/>
          <w:color w:val="222222"/>
          <w:sz w:val="24"/>
          <w:szCs w:val="24"/>
          <w:shd w:val="clear" w:color="auto" w:fill="FFFFFF"/>
        </w:rPr>
        <w:t>Meket</w:t>
      </w:r>
      <w:proofErr w:type="spellEnd"/>
      <w:r w:rsidRPr="004C6464">
        <w:rPr>
          <w:rFonts w:ascii="Times New Roman" w:eastAsia="Calibri" w:hAnsi="Times New Roman" w:cs="Times New Roman"/>
          <w:color w:val="222222"/>
          <w:sz w:val="24"/>
          <w:szCs w:val="24"/>
          <w:shd w:val="clear" w:color="auto" w:fill="FFFFFF"/>
        </w:rPr>
        <w:t xml:space="preserve"> district. </w:t>
      </w:r>
      <w:proofErr w:type="spellStart"/>
      <w:r w:rsidRPr="004C6464">
        <w:rPr>
          <w:rFonts w:ascii="Times New Roman" w:eastAsia="Calibri" w:hAnsi="Times New Roman" w:cs="Times New Roman"/>
          <w:i/>
          <w:iCs/>
          <w:color w:val="222222"/>
          <w:sz w:val="24"/>
          <w:szCs w:val="24"/>
          <w:shd w:val="clear" w:color="auto" w:fill="FFFFFF"/>
        </w:rPr>
        <w:t>Heliyon</w:t>
      </w:r>
      <w:proofErr w:type="spellEnd"/>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8</w:t>
      </w:r>
      <w:r w:rsidRPr="004C6464">
        <w:rPr>
          <w:rFonts w:ascii="Times New Roman" w:eastAsia="Calibri" w:hAnsi="Times New Roman" w:cs="Times New Roman"/>
          <w:color w:val="222222"/>
          <w:sz w:val="24"/>
          <w:szCs w:val="24"/>
          <w:shd w:val="clear" w:color="auto" w:fill="FFFFFF"/>
        </w:rPr>
        <w:t>(2).</w:t>
      </w:r>
    </w:p>
    <w:p w14:paraId="569BF9D0" w14:textId="77777777" w:rsidR="004C6464" w:rsidRPr="004C6464" w:rsidRDefault="004C6464" w:rsidP="004C6464">
      <w:pPr>
        <w:spacing w:after="0" w:line="240" w:lineRule="auto"/>
        <w:ind w:left="785" w:hangingChars="327" w:hanging="785"/>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sz w:val="24"/>
          <w:szCs w:val="24"/>
        </w:rPr>
        <w:t>33.</w:t>
      </w:r>
      <w:r w:rsidRPr="004C6464">
        <w:rPr>
          <w:rFonts w:ascii="Times New Roman" w:eastAsia="Calibri" w:hAnsi="Times New Roman" w:cs="Times New Roman"/>
          <w:color w:val="222222"/>
          <w:sz w:val="24"/>
          <w:szCs w:val="24"/>
          <w:shd w:val="clear" w:color="auto" w:fill="FFFFFF"/>
        </w:rPr>
        <w:t xml:space="preserve"> </w:t>
      </w:r>
      <w:proofErr w:type="spellStart"/>
      <w:r w:rsidRPr="004C6464">
        <w:rPr>
          <w:rFonts w:ascii="Times New Roman" w:eastAsia="Calibri" w:hAnsi="Times New Roman" w:cs="Times New Roman"/>
          <w:color w:val="222222"/>
          <w:sz w:val="24"/>
          <w:szCs w:val="24"/>
          <w:shd w:val="clear" w:color="auto" w:fill="FFFFFF"/>
        </w:rPr>
        <w:t>Atinafu</w:t>
      </w:r>
      <w:proofErr w:type="spellEnd"/>
      <w:r w:rsidRPr="004C6464">
        <w:rPr>
          <w:rFonts w:ascii="Times New Roman" w:eastAsia="Calibri" w:hAnsi="Times New Roman" w:cs="Times New Roman"/>
          <w:color w:val="222222"/>
          <w:sz w:val="24"/>
          <w:szCs w:val="24"/>
          <w:shd w:val="clear" w:color="auto" w:fill="FFFFFF"/>
        </w:rPr>
        <w:t xml:space="preserve">, A., </w:t>
      </w:r>
      <w:proofErr w:type="spellStart"/>
      <w:r w:rsidRPr="004C6464">
        <w:rPr>
          <w:rFonts w:ascii="Times New Roman" w:eastAsia="Calibri" w:hAnsi="Times New Roman" w:cs="Times New Roman"/>
          <w:color w:val="222222"/>
          <w:sz w:val="24"/>
          <w:szCs w:val="24"/>
          <w:shd w:val="clear" w:color="auto" w:fill="FFFFFF"/>
        </w:rPr>
        <w:t>Lejebo</w:t>
      </w:r>
      <w:proofErr w:type="spellEnd"/>
      <w:r w:rsidRPr="004C6464">
        <w:rPr>
          <w:rFonts w:ascii="Times New Roman" w:eastAsia="Calibri" w:hAnsi="Times New Roman" w:cs="Times New Roman"/>
          <w:color w:val="222222"/>
          <w:sz w:val="24"/>
          <w:szCs w:val="24"/>
          <w:shd w:val="clear" w:color="auto" w:fill="FFFFFF"/>
        </w:rPr>
        <w:t>, M., &amp; Alemu, A. (2022). Adoption of improved wheat production technology in Gorche district, Ethiopia. </w:t>
      </w:r>
      <w:r w:rsidRPr="004C6464">
        <w:rPr>
          <w:rFonts w:ascii="Times New Roman" w:eastAsia="Calibri" w:hAnsi="Times New Roman" w:cs="Times New Roman"/>
          <w:i/>
          <w:iCs/>
          <w:color w:val="222222"/>
          <w:sz w:val="24"/>
          <w:szCs w:val="24"/>
          <w:shd w:val="clear" w:color="auto" w:fill="FFFFFF"/>
        </w:rPr>
        <w:t>Agriculture &amp; Food Security</w:t>
      </w:r>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11</w:t>
      </w:r>
      <w:r w:rsidRPr="004C6464">
        <w:rPr>
          <w:rFonts w:ascii="Times New Roman" w:eastAsia="Calibri" w:hAnsi="Times New Roman" w:cs="Times New Roman"/>
          <w:color w:val="222222"/>
          <w:sz w:val="24"/>
          <w:szCs w:val="24"/>
          <w:shd w:val="clear" w:color="auto" w:fill="FFFFFF"/>
        </w:rPr>
        <w:t>(1), 3.</w:t>
      </w:r>
    </w:p>
    <w:p w14:paraId="38CB97C6" w14:textId="77777777" w:rsidR="004C6464" w:rsidRPr="004C6464" w:rsidRDefault="004C6464" w:rsidP="004C6464">
      <w:pPr>
        <w:spacing w:after="0" w:line="240" w:lineRule="auto"/>
        <w:ind w:left="785" w:hangingChars="327" w:hanging="785"/>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sz w:val="24"/>
          <w:szCs w:val="24"/>
        </w:rPr>
        <w:t>34.</w:t>
      </w:r>
      <w:r w:rsidRPr="004C6464">
        <w:rPr>
          <w:rFonts w:ascii="Times New Roman" w:eastAsia="Calibri" w:hAnsi="Times New Roman" w:cs="Times New Roman"/>
          <w:color w:val="222222"/>
          <w:sz w:val="24"/>
          <w:szCs w:val="24"/>
          <w:shd w:val="clear" w:color="auto" w:fill="FFFFFF"/>
        </w:rPr>
        <w:t xml:space="preserve"> Shiferaw, B. A., Kebede, T. A., &amp; You, L. (2008). Technology adoption under seed access constraints and the economic impacts of improved </w:t>
      </w:r>
      <w:proofErr w:type="spellStart"/>
      <w:r w:rsidRPr="004C6464">
        <w:rPr>
          <w:rFonts w:ascii="Times New Roman" w:eastAsia="Calibri" w:hAnsi="Times New Roman" w:cs="Times New Roman"/>
          <w:color w:val="222222"/>
          <w:sz w:val="24"/>
          <w:szCs w:val="24"/>
          <w:shd w:val="clear" w:color="auto" w:fill="FFFFFF"/>
        </w:rPr>
        <w:t>pigeonpea</w:t>
      </w:r>
      <w:proofErr w:type="spellEnd"/>
      <w:r w:rsidRPr="004C6464">
        <w:rPr>
          <w:rFonts w:ascii="Times New Roman" w:eastAsia="Calibri" w:hAnsi="Times New Roman" w:cs="Times New Roman"/>
          <w:color w:val="222222"/>
          <w:sz w:val="24"/>
          <w:szCs w:val="24"/>
          <w:shd w:val="clear" w:color="auto" w:fill="FFFFFF"/>
        </w:rPr>
        <w:t xml:space="preserve"> varieties in Tanzania. </w:t>
      </w:r>
      <w:r w:rsidRPr="004C6464">
        <w:rPr>
          <w:rFonts w:ascii="Times New Roman" w:eastAsia="Calibri" w:hAnsi="Times New Roman" w:cs="Times New Roman"/>
          <w:i/>
          <w:iCs/>
          <w:color w:val="222222"/>
          <w:sz w:val="24"/>
          <w:szCs w:val="24"/>
          <w:shd w:val="clear" w:color="auto" w:fill="FFFFFF"/>
        </w:rPr>
        <w:t>Agricultural Economics</w:t>
      </w:r>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39</w:t>
      </w:r>
      <w:r w:rsidRPr="004C6464">
        <w:rPr>
          <w:rFonts w:ascii="Times New Roman" w:eastAsia="Calibri" w:hAnsi="Times New Roman" w:cs="Times New Roman"/>
          <w:color w:val="222222"/>
          <w:sz w:val="24"/>
          <w:szCs w:val="24"/>
          <w:shd w:val="clear" w:color="auto" w:fill="FFFFFF"/>
        </w:rPr>
        <w:t>(3), 309-323.</w:t>
      </w:r>
    </w:p>
    <w:p w14:paraId="758A606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35.</w:t>
      </w:r>
      <w:r w:rsidRPr="004C6464">
        <w:rPr>
          <w:rFonts w:ascii="Times New Roman" w:eastAsia="Calibri" w:hAnsi="Times New Roman" w:cs="Times New Roman"/>
          <w:noProof/>
          <w:sz w:val="24"/>
          <w:szCs w:val="24"/>
        </w:rPr>
        <w:t xml:space="preserve"> Tesfaye, H., Baye, B., Eyob, B., Kaleb, K., Daniel, H., &amp; Fitsum, D. (2018). Impact of 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58A0D7E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36.</w:t>
      </w:r>
      <w:r w:rsidRPr="004C6464">
        <w:rPr>
          <w:rFonts w:ascii="Times New Roman" w:eastAsia="Calibri" w:hAnsi="Times New Roman" w:cs="Times New Roman"/>
          <w:noProof/>
          <w:sz w:val="24"/>
          <w:szCs w:val="24"/>
        </w:rPr>
        <w:t xml:space="preserve"> Tarekegn, K., &amp; Mogiso, M. (2020). Assessment of improved crop seed utilization status in selected districts of Southwestern Ethiopia. </w:t>
      </w:r>
      <w:r w:rsidRPr="004C6464">
        <w:rPr>
          <w:rFonts w:ascii="Times New Roman" w:eastAsia="Calibri" w:hAnsi="Times New Roman" w:cs="Times New Roman"/>
          <w:i/>
          <w:iCs/>
          <w:noProof/>
          <w:sz w:val="24"/>
          <w:szCs w:val="24"/>
        </w:rPr>
        <w:t>Cogent Food and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w:t>
      </w:r>
      <w:r w:rsidRPr="004C6464">
        <w:rPr>
          <w:rFonts w:ascii="Times New Roman" w:eastAsia="Calibri" w:hAnsi="Times New Roman" w:cs="Times New Roman"/>
          <w:noProof/>
          <w:sz w:val="24"/>
          <w:szCs w:val="24"/>
        </w:rPr>
        <w:t>(1). https://doi.org/10.1080/23311932.2020.1816252</w:t>
      </w:r>
    </w:p>
    <w:p w14:paraId="2D86E72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37.</w:t>
      </w:r>
      <w:r w:rsidRPr="004C6464">
        <w:rPr>
          <w:rFonts w:ascii="Times New Roman" w:eastAsia="Calibri" w:hAnsi="Times New Roman" w:cs="Times New Roman"/>
          <w:noProof/>
          <w:sz w:val="24"/>
          <w:szCs w:val="24"/>
        </w:rPr>
        <w:t xml:space="preserve"> Tesfaye, S., Bedada, B., &amp; Mesay, Y. (2016). Impact of improved wheat technology adoption on productivity and income in Ethiopia. </w:t>
      </w:r>
      <w:r w:rsidRPr="004C6464">
        <w:rPr>
          <w:rFonts w:ascii="Times New Roman" w:eastAsia="Calibri" w:hAnsi="Times New Roman" w:cs="Times New Roman"/>
          <w:i/>
          <w:iCs/>
          <w:noProof/>
          <w:sz w:val="24"/>
          <w:szCs w:val="24"/>
        </w:rPr>
        <w:t>African Crop Science Journal</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24</w:t>
      </w:r>
      <w:r w:rsidRPr="004C6464">
        <w:rPr>
          <w:rFonts w:ascii="Times New Roman" w:eastAsia="Calibri" w:hAnsi="Times New Roman" w:cs="Times New Roman"/>
          <w:noProof/>
          <w:sz w:val="24"/>
          <w:szCs w:val="24"/>
        </w:rPr>
        <w:t>(1), 127. https://doi.org/10.4314/acsj.v24i1.14s</w:t>
      </w:r>
    </w:p>
    <w:p w14:paraId="2B5F564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38.</w:t>
      </w:r>
      <w:r w:rsidRPr="004C6464">
        <w:rPr>
          <w:rFonts w:ascii="Times New Roman" w:eastAsia="Calibri" w:hAnsi="Times New Roman" w:cs="Times New Roman"/>
          <w:noProof/>
          <w:sz w:val="24"/>
          <w:szCs w:val="24"/>
        </w:rPr>
        <w:t xml:space="preserve"> Hagos, B. G., &amp; Hadush, M. (2017). Does Improved Wheat Seed Adoption Benefit Farmers? Empirical Evidence from Southern Tigrai, Ethiopia. </w:t>
      </w:r>
      <w:r w:rsidRPr="004C6464">
        <w:rPr>
          <w:rFonts w:ascii="Times New Roman" w:eastAsia="Calibri" w:hAnsi="Times New Roman" w:cs="Times New Roman"/>
          <w:i/>
          <w:iCs/>
          <w:noProof/>
          <w:sz w:val="24"/>
          <w:szCs w:val="24"/>
        </w:rPr>
        <w:t>Journal of Agriculture and Crops ISSN</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w:t>
      </w:r>
      <w:r w:rsidRPr="004C6464">
        <w:rPr>
          <w:rFonts w:ascii="Times New Roman" w:eastAsia="Calibri" w:hAnsi="Times New Roman" w:cs="Times New Roman"/>
          <w:noProof/>
          <w:sz w:val="24"/>
          <w:szCs w:val="24"/>
        </w:rPr>
        <w:t xml:space="preserve">(1), 2412–6381. </w:t>
      </w:r>
      <w:hyperlink r:id="rId10" w:history="1">
        <w:r w:rsidRPr="004C6464">
          <w:rPr>
            <w:rFonts w:ascii="Times New Roman" w:eastAsia="Calibri" w:hAnsi="Times New Roman" w:cs="Times New Roman"/>
            <w:noProof/>
            <w:color w:val="0563C1"/>
            <w:sz w:val="24"/>
            <w:szCs w:val="24"/>
            <w:u w:val="single"/>
          </w:rPr>
          <w:t>http://arpgweb.com/?ic=journal&amp;journal=14&amp;info=aims</w:t>
        </w:r>
      </w:hyperlink>
    </w:p>
    <w:p w14:paraId="037EC79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39. Melkamu, K., Seyoum, A., &amp; Eshetu, S. (2022). Heliyon Training at farmers training centers and its impact on crop productivity and households ’ income in Ethiopia : A propensity score matching ( PSM ) Analysis. </w:t>
      </w:r>
      <w:r w:rsidRPr="004C6464">
        <w:rPr>
          <w:rFonts w:ascii="Times New Roman" w:eastAsia="Calibri" w:hAnsi="Times New Roman" w:cs="Times New Roman"/>
          <w:i/>
          <w:iCs/>
          <w:noProof/>
          <w:sz w:val="24"/>
          <w:szCs w:val="24"/>
        </w:rPr>
        <w:t>Heliyon</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(April), e09837. https://doi.org/10.1016/j.heliyon.2022.e09837</w:t>
      </w:r>
    </w:p>
    <w:p w14:paraId="31BB390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40. Belay, B. (2020). </w:t>
      </w:r>
      <w:r w:rsidRPr="004C6464">
        <w:rPr>
          <w:rFonts w:ascii="Times New Roman" w:eastAsia="Calibri" w:hAnsi="Times New Roman" w:cs="Times New Roman"/>
          <w:i/>
          <w:iCs/>
          <w:noProof/>
          <w:sz w:val="24"/>
          <w:szCs w:val="24"/>
        </w:rPr>
        <w:t>Impact of Improved Wheat Technology Package Adoption on Productivity in Oromia Regional State, Ethiopia * Baye Belay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10</w:t>
      </w:r>
      <w:r w:rsidRPr="004C6464">
        <w:rPr>
          <w:rFonts w:ascii="Times New Roman" w:eastAsia="Calibri" w:hAnsi="Times New Roman" w:cs="Times New Roman"/>
          <w:noProof/>
          <w:sz w:val="24"/>
          <w:szCs w:val="24"/>
        </w:rPr>
        <w:t>(2), 103–113.</w:t>
      </w:r>
    </w:p>
    <w:p w14:paraId="7688A21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41. Zeleke, B. D., Geleto, A. K., Asefa, S., &amp; Hussien, H. (2022). </w:t>
      </w:r>
      <w:r w:rsidRPr="004C6464">
        <w:rPr>
          <w:rFonts w:ascii="Times New Roman" w:eastAsia="Calibri" w:hAnsi="Times New Roman" w:cs="Times New Roman"/>
          <w:i/>
          <w:iCs/>
          <w:noProof/>
          <w:sz w:val="24"/>
          <w:szCs w:val="24"/>
        </w:rPr>
        <w:t>Agricultural Economics Research, Policy and Practice in Southern Africa Adoption and impact of improved wheat varieties on productivity and welfare among smallholder farmers in the Arsi Highland of Ethiopia</w:t>
      </w:r>
      <w:r w:rsidRPr="004C6464">
        <w:rPr>
          <w:rFonts w:ascii="Times New Roman" w:eastAsia="Calibri" w:hAnsi="Times New Roman" w:cs="Times New Roman"/>
          <w:noProof/>
          <w:sz w:val="24"/>
          <w:szCs w:val="24"/>
        </w:rPr>
        <w:t>. https://doi.org/10.1080/03031853.2022.2044359</w:t>
      </w:r>
    </w:p>
    <w:p w14:paraId="72BECADB"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42.Habte, E., Yirga, C., Jaleta, M., Tesfaye, K., Bekele, A., &amp; Erenstein, O. (2023). Wheat seed demand assessment assisted by genotyping in Ethiopia. </w:t>
      </w:r>
      <w:r w:rsidRPr="004C6464">
        <w:rPr>
          <w:rFonts w:ascii="Times New Roman" w:eastAsia="Calibri" w:hAnsi="Times New Roman" w:cs="Times New Roman"/>
          <w:i/>
          <w:iCs/>
          <w:noProof/>
          <w:sz w:val="24"/>
          <w:szCs w:val="24"/>
        </w:rPr>
        <w:t>Experimental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59</w:t>
      </w:r>
      <w:r w:rsidRPr="004C6464">
        <w:rPr>
          <w:rFonts w:ascii="Times New Roman" w:eastAsia="Calibri" w:hAnsi="Times New Roman" w:cs="Times New Roman"/>
          <w:noProof/>
          <w:sz w:val="24"/>
          <w:szCs w:val="24"/>
        </w:rPr>
        <w:t>, e8.</w:t>
      </w:r>
    </w:p>
    <w:p w14:paraId="656712CF" w14:textId="77777777" w:rsidR="005471F4" w:rsidRPr="005471F4" w:rsidRDefault="00656741" w:rsidP="005471F4">
      <w:pPr>
        <w:rPr>
          <w:rFonts w:ascii="Times New Roman" w:hAnsi="Times New Roman" w:cs="Times New Roman"/>
          <w:sz w:val="24"/>
          <w:szCs w:val="24"/>
          <w:lang w:val="en-GB"/>
        </w:rPr>
      </w:pPr>
      <w:r>
        <w:rPr>
          <w:rFonts w:ascii="Times New Roman" w:eastAsia="Calibri" w:hAnsi="Times New Roman" w:cs="Times New Roman"/>
          <w:sz w:val="24"/>
          <w:szCs w:val="24"/>
        </w:rPr>
        <w:t xml:space="preserve">43. </w:t>
      </w:r>
      <w:r w:rsidR="005471F4" w:rsidRPr="005471F4">
        <w:rPr>
          <w:rFonts w:ascii="Times New Roman" w:hAnsi="Times New Roman" w:cs="Times New Roman"/>
          <w:sz w:val="24"/>
          <w:szCs w:val="24"/>
          <w:lang w:val="en-GB"/>
        </w:rPr>
        <w:t xml:space="preserve">Bishaw, Z., </w:t>
      </w:r>
      <w:proofErr w:type="spellStart"/>
      <w:r w:rsidR="005471F4" w:rsidRPr="005471F4">
        <w:rPr>
          <w:rFonts w:ascii="Times New Roman" w:hAnsi="Times New Roman" w:cs="Times New Roman"/>
          <w:sz w:val="24"/>
          <w:szCs w:val="24"/>
          <w:lang w:val="en-GB"/>
        </w:rPr>
        <w:t>Struik</w:t>
      </w:r>
      <w:proofErr w:type="spellEnd"/>
      <w:r w:rsidR="005471F4" w:rsidRPr="005471F4">
        <w:rPr>
          <w:rFonts w:ascii="Times New Roman" w:hAnsi="Times New Roman" w:cs="Times New Roman"/>
          <w:sz w:val="24"/>
          <w:szCs w:val="24"/>
          <w:lang w:val="en-GB"/>
        </w:rPr>
        <w:t>, P. C., &amp; Van Gastel, A. G. (2010). Wheat seed system in Ethiopia: Farmers' varietal perception, seed sources, and seed management. Journal of New Seeds, 11(4), 281-327.</w:t>
      </w:r>
    </w:p>
    <w:p w14:paraId="1C791B7D" w14:textId="0253D6E0"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p>
    <w:p w14:paraId="6D203B7C"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08970347"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24657EC1"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3EC2378F" w14:textId="77777777" w:rsidR="004C6464" w:rsidRPr="004C6464" w:rsidRDefault="004C6464" w:rsidP="004C6464">
      <w:pPr>
        <w:keepNext/>
        <w:spacing w:line="240" w:lineRule="auto"/>
        <w:jc w:val="both"/>
        <w:rPr>
          <w:rFonts w:ascii="Times New Roman" w:eastAsia="Calibri" w:hAnsi="Times New Roman" w:cs="Times New Roman"/>
          <w:i/>
          <w:iCs/>
          <w:sz w:val="24"/>
          <w:szCs w:val="24"/>
        </w:rPr>
      </w:pPr>
      <w:bookmarkStart w:id="2" w:name="_Toc144256816"/>
      <w:r w:rsidRPr="004C6464">
        <w:rPr>
          <w:rFonts w:ascii="Times New Roman" w:eastAsia="Calibri" w:hAnsi="Times New Roman" w:cs="Times New Roman"/>
          <w:b/>
          <w:i/>
          <w:iCs/>
          <w:sz w:val="24"/>
          <w:szCs w:val="24"/>
        </w:rPr>
        <w:t xml:space="preserve">Table 1: </w:t>
      </w:r>
      <w:r w:rsidRPr="004C6464">
        <w:rPr>
          <w:rFonts w:ascii="Times New Roman" w:eastAsia="Calibri" w:hAnsi="Times New Roman" w:cs="Times New Roman"/>
          <w:i/>
          <w:iCs/>
          <w:sz w:val="24"/>
          <w:szCs w:val="24"/>
        </w:rPr>
        <w:t>Distribution of study household by kebeles</w:t>
      </w:r>
      <w:bookmarkEnd w:id="2"/>
    </w:p>
    <w:tbl>
      <w:tblPr>
        <w:tblStyle w:val="TableGrid1"/>
        <w:tblW w:w="109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1691"/>
        <w:gridCol w:w="808"/>
        <w:gridCol w:w="977"/>
        <w:gridCol w:w="3215"/>
        <w:gridCol w:w="3240"/>
      </w:tblGrid>
      <w:tr w:rsidR="004C6464" w:rsidRPr="004C6464" w14:paraId="0E01817E" w14:textId="77777777" w:rsidTr="00B248D0">
        <w:trPr>
          <w:trHeight w:val="593"/>
          <w:jc w:val="center"/>
        </w:trPr>
        <w:tc>
          <w:tcPr>
            <w:tcW w:w="1044" w:type="dxa"/>
            <w:tcBorders>
              <w:bottom w:val="single" w:sz="4" w:space="0" w:color="auto"/>
            </w:tcBorders>
          </w:tcPr>
          <w:p w14:paraId="3BDA2D36" w14:textId="77777777" w:rsidR="004C6464" w:rsidRPr="004C6464" w:rsidRDefault="004C6464" w:rsidP="008E13DF">
            <w:pPr>
              <w:spacing w:line="259"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Woreda </w:t>
            </w:r>
          </w:p>
        </w:tc>
        <w:tc>
          <w:tcPr>
            <w:tcW w:w="1691" w:type="dxa"/>
            <w:tcBorders>
              <w:bottom w:val="single" w:sz="4" w:space="0" w:color="auto"/>
            </w:tcBorders>
          </w:tcPr>
          <w:p w14:paraId="3C05364D" w14:textId="77777777" w:rsidR="004C6464" w:rsidRPr="004C6464" w:rsidRDefault="004C6464" w:rsidP="008E13DF">
            <w:pPr>
              <w:spacing w:line="259"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Kebele</w:t>
            </w:r>
          </w:p>
        </w:tc>
        <w:tc>
          <w:tcPr>
            <w:tcW w:w="808" w:type="dxa"/>
            <w:tcBorders>
              <w:bottom w:val="single" w:sz="4" w:space="0" w:color="auto"/>
            </w:tcBorders>
          </w:tcPr>
          <w:p w14:paraId="2F00FEF7"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Total HH</w:t>
            </w:r>
            <w:r w:rsidRPr="004C6464">
              <w:rPr>
                <w:rFonts w:ascii="Times New Roman" w:eastAsia="Times New Roman" w:hAnsi="Times New Roman" w:cs="Times New Roman"/>
                <w:b/>
                <w:sz w:val="24"/>
                <w:szCs w:val="24"/>
                <w:vertAlign w:val="superscript"/>
              </w:rPr>
              <w:t>*</w:t>
            </w:r>
          </w:p>
        </w:tc>
        <w:tc>
          <w:tcPr>
            <w:tcW w:w="977" w:type="dxa"/>
            <w:tcBorders>
              <w:bottom w:val="single" w:sz="4" w:space="0" w:color="auto"/>
            </w:tcBorders>
          </w:tcPr>
          <w:p w14:paraId="54421F26"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w:t>
            </w:r>
            <w:r w:rsidRPr="004C6464">
              <w:rPr>
                <w:rFonts w:ascii="Times New Roman" w:eastAsia="Times New Roman" w:hAnsi="Times New Roman" w:cs="Times New Roman"/>
                <w:b/>
                <w:sz w:val="24"/>
                <w:szCs w:val="24"/>
                <w:vertAlign w:val="superscript"/>
              </w:rPr>
              <w:t>**</w:t>
            </w:r>
          </w:p>
        </w:tc>
        <w:tc>
          <w:tcPr>
            <w:tcW w:w="3215" w:type="dxa"/>
            <w:tcBorders>
              <w:bottom w:val="single" w:sz="4" w:space="0" w:color="auto"/>
            </w:tcBorders>
          </w:tcPr>
          <w:p w14:paraId="07B1D158"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 from Strata-1 (formal seed sources users)</w:t>
            </w:r>
          </w:p>
        </w:tc>
        <w:tc>
          <w:tcPr>
            <w:tcW w:w="3240" w:type="dxa"/>
            <w:tcBorders>
              <w:bottom w:val="single" w:sz="4" w:space="0" w:color="auto"/>
            </w:tcBorders>
            <w:vAlign w:val="center"/>
          </w:tcPr>
          <w:p w14:paraId="4BB8DCF5"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 from strata-2 (informal seed sources users)</w:t>
            </w:r>
          </w:p>
        </w:tc>
      </w:tr>
      <w:tr w:rsidR="004C6464" w:rsidRPr="004C6464" w14:paraId="47409C43" w14:textId="77777777" w:rsidTr="00B248D0">
        <w:trPr>
          <w:jc w:val="center"/>
        </w:trPr>
        <w:tc>
          <w:tcPr>
            <w:tcW w:w="1044" w:type="dxa"/>
            <w:tcBorders>
              <w:top w:val="single" w:sz="4" w:space="0" w:color="auto"/>
            </w:tcBorders>
          </w:tcPr>
          <w:p w14:paraId="6AD1741F"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Gedeb</w:t>
            </w:r>
            <w:proofErr w:type="spellEnd"/>
            <w:r w:rsidRPr="004C6464">
              <w:rPr>
                <w:rFonts w:ascii="Times New Roman" w:eastAsia="Calibri" w:hAnsi="Times New Roman" w:cs="Times New Roman"/>
                <w:sz w:val="24"/>
                <w:szCs w:val="24"/>
              </w:rPr>
              <w:t xml:space="preserve"> </w:t>
            </w:r>
          </w:p>
        </w:tc>
        <w:tc>
          <w:tcPr>
            <w:tcW w:w="1691" w:type="dxa"/>
            <w:tcBorders>
              <w:top w:val="single" w:sz="4" w:space="0" w:color="auto"/>
            </w:tcBorders>
          </w:tcPr>
          <w:p w14:paraId="0060AFB1"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Gubeta</w:t>
            </w:r>
            <w:proofErr w:type="spellEnd"/>
            <w:r w:rsidRPr="004C6464">
              <w:rPr>
                <w:rFonts w:ascii="Times New Roman" w:eastAsia="Calibri" w:hAnsi="Times New Roman" w:cs="Times New Roman"/>
                <w:sz w:val="24"/>
                <w:szCs w:val="24"/>
              </w:rPr>
              <w:t xml:space="preserve"> </w:t>
            </w:r>
          </w:p>
        </w:tc>
        <w:tc>
          <w:tcPr>
            <w:tcW w:w="808" w:type="dxa"/>
            <w:tcBorders>
              <w:top w:val="single" w:sz="4" w:space="0" w:color="auto"/>
            </w:tcBorders>
          </w:tcPr>
          <w:p w14:paraId="1840D878"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83</w:t>
            </w:r>
          </w:p>
        </w:tc>
        <w:tc>
          <w:tcPr>
            <w:tcW w:w="977" w:type="dxa"/>
            <w:tcBorders>
              <w:top w:val="single" w:sz="4" w:space="0" w:color="auto"/>
            </w:tcBorders>
          </w:tcPr>
          <w:p w14:paraId="0ABD2BCC"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w:t>
            </w:r>
          </w:p>
        </w:tc>
        <w:tc>
          <w:tcPr>
            <w:tcW w:w="3215" w:type="dxa"/>
            <w:tcBorders>
              <w:top w:val="single" w:sz="4" w:space="0" w:color="auto"/>
            </w:tcBorders>
          </w:tcPr>
          <w:p w14:paraId="1645D56F"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w:t>
            </w:r>
          </w:p>
        </w:tc>
        <w:tc>
          <w:tcPr>
            <w:tcW w:w="3240" w:type="dxa"/>
            <w:tcBorders>
              <w:top w:val="single" w:sz="4" w:space="0" w:color="auto"/>
            </w:tcBorders>
          </w:tcPr>
          <w:p w14:paraId="1019C25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r>
      <w:tr w:rsidR="004C6464" w:rsidRPr="004C6464" w14:paraId="549D477E" w14:textId="77777777" w:rsidTr="00B248D0">
        <w:trPr>
          <w:jc w:val="center"/>
        </w:trPr>
        <w:tc>
          <w:tcPr>
            <w:tcW w:w="1044" w:type="dxa"/>
          </w:tcPr>
          <w:p w14:paraId="14B78586"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1691" w:type="dxa"/>
          </w:tcPr>
          <w:p w14:paraId="5F8A20CC"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Galcha</w:t>
            </w:r>
            <w:proofErr w:type="spellEnd"/>
            <w:r w:rsidRPr="004C6464">
              <w:rPr>
                <w:rFonts w:ascii="Times New Roman" w:eastAsia="Calibri" w:hAnsi="Times New Roman" w:cs="Times New Roman"/>
                <w:sz w:val="24"/>
                <w:szCs w:val="24"/>
              </w:rPr>
              <w:t xml:space="preserve"> </w:t>
            </w:r>
          </w:p>
        </w:tc>
        <w:tc>
          <w:tcPr>
            <w:tcW w:w="808" w:type="dxa"/>
          </w:tcPr>
          <w:p w14:paraId="5119180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109</w:t>
            </w:r>
          </w:p>
        </w:tc>
        <w:tc>
          <w:tcPr>
            <w:tcW w:w="977" w:type="dxa"/>
          </w:tcPr>
          <w:p w14:paraId="4ABB062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54</w:t>
            </w:r>
          </w:p>
        </w:tc>
        <w:tc>
          <w:tcPr>
            <w:tcW w:w="3215" w:type="dxa"/>
          </w:tcPr>
          <w:p w14:paraId="03E6EE1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23</w:t>
            </w:r>
          </w:p>
        </w:tc>
        <w:tc>
          <w:tcPr>
            <w:tcW w:w="3240" w:type="dxa"/>
          </w:tcPr>
          <w:p w14:paraId="4D47BFFE"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0B8EAA6D" w14:textId="77777777" w:rsidTr="00B248D0">
        <w:trPr>
          <w:jc w:val="center"/>
        </w:trPr>
        <w:tc>
          <w:tcPr>
            <w:tcW w:w="1044" w:type="dxa"/>
          </w:tcPr>
          <w:p w14:paraId="30CC8CE8"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Churiso</w:t>
            </w:r>
            <w:proofErr w:type="spellEnd"/>
            <w:r w:rsidRPr="004C6464">
              <w:rPr>
                <w:rFonts w:ascii="Times New Roman" w:eastAsia="Calibri" w:hAnsi="Times New Roman" w:cs="Times New Roman"/>
                <w:sz w:val="24"/>
                <w:szCs w:val="24"/>
              </w:rPr>
              <w:t xml:space="preserve"> </w:t>
            </w:r>
          </w:p>
        </w:tc>
        <w:tc>
          <w:tcPr>
            <w:tcW w:w="1691" w:type="dxa"/>
          </w:tcPr>
          <w:p w14:paraId="32467BD8"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Dibadinbe</w:t>
            </w:r>
            <w:proofErr w:type="spellEnd"/>
            <w:r w:rsidRPr="004C6464">
              <w:rPr>
                <w:rFonts w:ascii="Times New Roman" w:eastAsia="Calibri" w:hAnsi="Times New Roman" w:cs="Times New Roman"/>
                <w:sz w:val="24"/>
                <w:szCs w:val="24"/>
              </w:rPr>
              <w:t xml:space="preserve"> </w:t>
            </w:r>
          </w:p>
        </w:tc>
        <w:tc>
          <w:tcPr>
            <w:tcW w:w="808" w:type="dxa"/>
          </w:tcPr>
          <w:p w14:paraId="5509E5F5"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108</w:t>
            </w:r>
          </w:p>
        </w:tc>
        <w:tc>
          <w:tcPr>
            <w:tcW w:w="977" w:type="dxa"/>
          </w:tcPr>
          <w:p w14:paraId="77C7D5B2"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53</w:t>
            </w:r>
          </w:p>
        </w:tc>
        <w:tc>
          <w:tcPr>
            <w:tcW w:w="3215" w:type="dxa"/>
          </w:tcPr>
          <w:p w14:paraId="485E0ADE"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22</w:t>
            </w:r>
          </w:p>
        </w:tc>
        <w:tc>
          <w:tcPr>
            <w:tcW w:w="3240" w:type="dxa"/>
          </w:tcPr>
          <w:p w14:paraId="5AD3D49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1DB19005" w14:textId="77777777" w:rsidTr="00B248D0">
        <w:trPr>
          <w:jc w:val="center"/>
        </w:trPr>
        <w:tc>
          <w:tcPr>
            <w:tcW w:w="1044" w:type="dxa"/>
            <w:tcBorders>
              <w:bottom w:val="single" w:sz="4" w:space="0" w:color="auto"/>
            </w:tcBorders>
          </w:tcPr>
          <w:p w14:paraId="7B2CD2B6"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1691" w:type="dxa"/>
            <w:tcBorders>
              <w:bottom w:val="single" w:sz="4" w:space="0" w:color="auto"/>
            </w:tcBorders>
          </w:tcPr>
          <w:p w14:paraId="019C9C6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Kabeta </w:t>
            </w:r>
            <w:proofErr w:type="spellStart"/>
            <w:r w:rsidRPr="004C6464">
              <w:rPr>
                <w:rFonts w:ascii="Times New Roman" w:eastAsia="Calibri" w:hAnsi="Times New Roman" w:cs="Times New Roman"/>
                <w:sz w:val="24"/>
                <w:szCs w:val="24"/>
              </w:rPr>
              <w:t>Gubeta</w:t>
            </w:r>
            <w:proofErr w:type="spellEnd"/>
          </w:p>
        </w:tc>
        <w:tc>
          <w:tcPr>
            <w:tcW w:w="808" w:type="dxa"/>
            <w:tcBorders>
              <w:bottom w:val="single" w:sz="4" w:space="0" w:color="auto"/>
            </w:tcBorders>
          </w:tcPr>
          <w:p w14:paraId="702836A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112</w:t>
            </w:r>
          </w:p>
        </w:tc>
        <w:tc>
          <w:tcPr>
            <w:tcW w:w="977" w:type="dxa"/>
            <w:tcBorders>
              <w:bottom w:val="single" w:sz="4" w:space="0" w:color="auto"/>
            </w:tcBorders>
          </w:tcPr>
          <w:p w14:paraId="51C4FFA7"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55</w:t>
            </w:r>
          </w:p>
        </w:tc>
        <w:tc>
          <w:tcPr>
            <w:tcW w:w="3215" w:type="dxa"/>
            <w:tcBorders>
              <w:bottom w:val="single" w:sz="4" w:space="0" w:color="auto"/>
            </w:tcBorders>
          </w:tcPr>
          <w:p w14:paraId="0D909964"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c>
          <w:tcPr>
            <w:tcW w:w="3240" w:type="dxa"/>
            <w:tcBorders>
              <w:bottom w:val="single" w:sz="4" w:space="0" w:color="auto"/>
            </w:tcBorders>
          </w:tcPr>
          <w:p w14:paraId="7F593E22"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143089E9" w14:textId="77777777" w:rsidTr="00B248D0">
        <w:trPr>
          <w:jc w:val="center"/>
        </w:trPr>
        <w:tc>
          <w:tcPr>
            <w:tcW w:w="1044" w:type="dxa"/>
            <w:tcBorders>
              <w:top w:val="single" w:sz="4" w:space="0" w:color="auto"/>
            </w:tcBorders>
          </w:tcPr>
          <w:p w14:paraId="3FEED86C"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Total</w:t>
            </w:r>
          </w:p>
        </w:tc>
        <w:tc>
          <w:tcPr>
            <w:tcW w:w="1691" w:type="dxa"/>
            <w:tcBorders>
              <w:top w:val="single" w:sz="4" w:space="0" w:color="auto"/>
            </w:tcBorders>
          </w:tcPr>
          <w:p w14:paraId="48F18173"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808" w:type="dxa"/>
            <w:tcBorders>
              <w:top w:val="single" w:sz="4" w:space="0" w:color="auto"/>
            </w:tcBorders>
          </w:tcPr>
          <w:p w14:paraId="73FFE6ED"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412</w:t>
            </w:r>
          </w:p>
        </w:tc>
        <w:tc>
          <w:tcPr>
            <w:tcW w:w="977" w:type="dxa"/>
            <w:tcBorders>
              <w:top w:val="single" w:sz="4" w:space="0" w:color="auto"/>
            </w:tcBorders>
          </w:tcPr>
          <w:p w14:paraId="3B4AFD3F"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203</w:t>
            </w:r>
          </w:p>
        </w:tc>
        <w:tc>
          <w:tcPr>
            <w:tcW w:w="3215" w:type="dxa"/>
            <w:tcBorders>
              <w:top w:val="single" w:sz="4" w:space="0" w:color="auto"/>
            </w:tcBorders>
          </w:tcPr>
          <w:p w14:paraId="46E22A2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w:t>
            </w:r>
          </w:p>
        </w:tc>
        <w:tc>
          <w:tcPr>
            <w:tcW w:w="3240" w:type="dxa"/>
            <w:tcBorders>
              <w:top w:val="single" w:sz="4" w:space="0" w:color="auto"/>
            </w:tcBorders>
          </w:tcPr>
          <w:p w14:paraId="6D7748CB"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117</w:t>
            </w:r>
          </w:p>
        </w:tc>
      </w:tr>
    </w:tbl>
    <w:p w14:paraId="2527745B" w14:textId="77777777" w:rsidR="004C6464" w:rsidRPr="004C6464" w:rsidRDefault="004C6464" w:rsidP="004C6464">
      <w:pPr>
        <w:spacing w:before="120" w:after="120" w:line="360" w:lineRule="auto"/>
        <w:jc w:val="both"/>
        <w:rPr>
          <w:rFonts w:ascii="Times New Roman" w:eastAsia="Calibri" w:hAnsi="Times New Roman" w:cs="Times New Roman"/>
          <w:i/>
          <w:sz w:val="24"/>
          <w:szCs w:val="24"/>
        </w:rPr>
      </w:pPr>
      <w:r w:rsidRPr="004C6464">
        <w:rPr>
          <w:rFonts w:ascii="Times New Roman" w:eastAsia="Calibri" w:hAnsi="Times New Roman" w:cs="Times New Roman"/>
          <w:b/>
          <w:i/>
          <w:sz w:val="24"/>
          <w:szCs w:val="24"/>
        </w:rPr>
        <w:t xml:space="preserve"> Source: </w:t>
      </w:r>
      <w:r w:rsidRPr="004C6464">
        <w:rPr>
          <w:rFonts w:ascii="Times New Roman" w:eastAsia="Calibri" w:hAnsi="Times New Roman" w:cs="Times New Roman"/>
          <w:i/>
          <w:sz w:val="24"/>
          <w:szCs w:val="24"/>
        </w:rPr>
        <w:t xml:space="preserve">* kebele administration HH register book; ** own computation in proportion to population </w:t>
      </w:r>
    </w:p>
    <w:p w14:paraId="75A79030" w14:textId="77777777" w:rsidR="004C6464" w:rsidRPr="004C6464" w:rsidRDefault="004C6464" w:rsidP="004C6464">
      <w:pPr>
        <w:keepNext/>
        <w:spacing w:line="240" w:lineRule="auto"/>
        <w:jc w:val="both"/>
        <w:rPr>
          <w:rFonts w:ascii="Times New Roman" w:eastAsia="Calibri" w:hAnsi="Times New Roman" w:cs="Times New Roman"/>
          <w:b/>
          <w:i/>
          <w:iCs/>
          <w:sz w:val="24"/>
          <w:szCs w:val="24"/>
        </w:rPr>
      </w:pPr>
      <w:r w:rsidRPr="004C6464">
        <w:rPr>
          <w:rFonts w:ascii="Times New Roman" w:eastAsia="Calibri" w:hAnsi="Times New Roman" w:cs="Times New Roman"/>
          <w:b/>
          <w:i/>
          <w:iCs/>
          <w:sz w:val="24"/>
          <w:szCs w:val="24"/>
        </w:rPr>
        <w:t>Table _2</w:t>
      </w:r>
      <w:r w:rsidRPr="004C6464">
        <w:rPr>
          <w:rFonts w:ascii="Times New Roman" w:eastAsia="Calibri" w:hAnsi="Times New Roman" w:cs="Times New Roman"/>
          <w:i/>
          <w:iCs/>
          <w:sz w:val="24"/>
          <w:szCs w:val="24"/>
        </w:rPr>
        <w:t>: Respondents' demographic characteristics, n=203</w:t>
      </w:r>
    </w:p>
    <w:tbl>
      <w:tblPr>
        <w:tblStyle w:val="TableGrid1"/>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67"/>
        <w:gridCol w:w="1925"/>
        <w:gridCol w:w="1211"/>
        <w:gridCol w:w="1414"/>
        <w:gridCol w:w="1691"/>
        <w:gridCol w:w="964"/>
      </w:tblGrid>
      <w:tr w:rsidR="004C6464" w:rsidRPr="004C6464" w14:paraId="3EC6A0ED" w14:textId="77777777" w:rsidTr="00B248D0">
        <w:trPr>
          <w:trHeight w:val="206"/>
          <w:jc w:val="center"/>
        </w:trPr>
        <w:tc>
          <w:tcPr>
            <w:tcW w:w="1918" w:type="dxa"/>
            <w:vMerge w:val="restart"/>
            <w:tcBorders>
              <w:top w:val="single" w:sz="4" w:space="0" w:color="auto"/>
            </w:tcBorders>
          </w:tcPr>
          <w:p w14:paraId="38536611" w14:textId="77777777" w:rsidR="004C6464" w:rsidRPr="004C6464" w:rsidRDefault="004C6464" w:rsidP="008E13DF">
            <w:pPr>
              <w:jc w:val="both"/>
              <w:rPr>
                <w:rFonts w:ascii="Times New Roman" w:eastAsia="Calibri" w:hAnsi="Times New Roman" w:cs="Times New Roman"/>
                <w:b/>
                <w:sz w:val="24"/>
                <w:szCs w:val="24"/>
              </w:rPr>
            </w:pPr>
          </w:p>
          <w:p w14:paraId="727F71EA" w14:textId="77777777" w:rsidR="004C6464" w:rsidRPr="004C6464" w:rsidRDefault="004C6464" w:rsidP="008E13DF">
            <w:pPr>
              <w:jc w:val="both"/>
              <w:rPr>
                <w:rFonts w:ascii="Times New Roman" w:eastAsia="Calibri" w:hAnsi="Times New Roman" w:cs="Times New Roman"/>
                <w:b/>
                <w:sz w:val="24"/>
                <w:szCs w:val="24"/>
              </w:rPr>
            </w:pPr>
          </w:p>
          <w:p w14:paraId="1E4212C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Variables </w:t>
            </w:r>
          </w:p>
        </w:tc>
        <w:tc>
          <w:tcPr>
            <w:tcW w:w="5417" w:type="dxa"/>
            <w:gridSpan w:val="4"/>
            <w:tcBorders>
              <w:top w:val="single" w:sz="4" w:space="0" w:color="auto"/>
            </w:tcBorders>
          </w:tcPr>
          <w:p w14:paraId="67D60339"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Wheat seed source</w:t>
            </w:r>
          </w:p>
        </w:tc>
        <w:tc>
          <w:tcPr>
            <w:tcW w:w="1691" w:type="dxa"/>
            <w:vMerge w:val="restart"/>
            <w:tcBorders>
              <w:top w:val="single" w:sz="4" w:space="0" w:color="auto"/>
            </w:tcBorders>
          </w:tcPr>
          <w:p w14:paraId="184699BF" w14:textId="77777777" w:rsidR="004C6464" w:rsidRPr="004C6464" w:rsidRDefault="004C6464" w:rsidP="008E13DF">
            <w:pPr>
              <w:jc w:val="both"/>
              <w:rPr>
                <w:rFonts w:ascii="Times New Roman" w:eastAsia="Calibri" w:hAnsi="Times New Roman" w:cs="Times New Roman"/>
                <w:b/>
                <w:sz w:val="24"/>
                <w:szCs w:val="24"/>
              </w:rPr>
            </w:pPr>
          </w:p>
          <w:p w14:paraId="6784E769" w14:textId="77777777" w:rsidR="004C6464" w:rsidRPr="004C6464" w:rsidRDefault="004C6464" w:rsidP="008E13DF">
            <w:pPr>
              <w:jc w:val="both"/>
              <w:rPr>
                <w:rFonts w:ascii="Times New Roman" w:eastAsia="Calibri" w:hAnsi="Times New Roman" w:cs="Times New Roman"/>
                <w:b/>
                <w:sz w:val="24"/>
                <w:szCs w:val="24"/>
              </w:rPr>
            </w:pPr>
          </w:p>
          <w:p w14:paraId="70AE9BB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Chi</w:t>
            </w:r>
            <w:r w:rsidRPr="004C6464">
              <w:rPr>
                <w:rFonts w:ascii="Times New Roman" w:eastAsia="Calibri" w:hAnsi="Times New Roman" w:cs="Times New Roman"/>
                <w:b/>
                <w:sz w:val="24"/>
                <w:szCs w:val="24"/>
                <w:vertAlign w:val="superscript"/>
              </w:rPr>
              <w:t>2</w:t>
            </w:r>
            <w:r w:rsidRPr="004C6464">
              <w:rPr>
                <w:rFonts w:ascii="Times New Roman" w:eastAsia="Calibri" w:hAnsi="Times New Roman" w:cs="Times New Roman"/>
                <w:b/>
                <w:sz w:val="24"/>
                <w:szCs w:val="24"/>
              </w:rPr>
              <w:t>(1)-test</w:t>
            </w:r>
          </w:p>
        </w:tc>
        <w:tc>
          <w:tcPr>
            <w:tcW w:w="964" w:type="dxa"/>
            <w:vMerge w:val="restart"/>
            <w:tcBorders>
              <w:top w:val="single" w:sz="4" w:space="0" w:color="auto"/>
            </w:tcBorders>
          </w:tcPr>
          <w:p w14:paraId="7599470C" w14:textId="77777777" w:rsidR="004C6464" w:rsidRPr="004C6464" w:rsidRDefault="004C6464" w:rsidP="008E13DF">
            <w:pPr>
              <w:jc w:val="both"/>
              <w:rPr>
                <w:rFonts w:ascii="Times New Roman" w:eastAsia="Calibri" w:hAnsi="Times New Roman" w:cs="Times New Roman"/>
                <w:b/>
                <w:sz w:val="24"/>
                <w:szCs w:val="24"/>
              </w:rPr>
            </w:pPr>
          </w:p>
          <w:p w14:paraId="144789C7" w14:textId="77777777" w:rsidR="004C6464" w:rsidRPr="004C6464" w:rsidRDefault="004C6464" w:rsidP="008E13DF">
            <w:pPr>
              <w:jc w:val="both"/>
              <w:rPr>
                <w:rFonts w:ascii="Times New Roman" w:eastAsia="Calibri" w:hAnsi="Times New Roman" w:cs="Times New Roman"/>
                <w:b/>
                <w:sz w:val="24"/>
                <w:szCs w:val="24"/>
              </w:rPr>
            </w:pPr>
          </w:p>
          <w:p w14:paraId="177D58D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P</w:t>
            </w:r>
          </w:p>
        </w:tc>
      </w:tr>
      <w:tr w:rsidR="004C6464" w:rsidRPr="004C6464" w14:paraId="6E9381FF" w14:textId="77777777" w:rsidTr="00B248D0">
        <w:trPr>
          <w:trHeight w:val="531"/>
          <w:jc w:val="center"/>
        </w:trPr>
        <w:tc>
          <w:tcPr>
            <w:tcW w:w="1918" w:type="dxa"/>
            <w:vMerge/>
          </w:tcPr>
          <w:p w14:paraId="651875FE" w14:textId="77777777" w:rsidR="004C6464" w:rsidRPr="004C6464" w:rsidRDefault="004C6464" w:rsidP="008E13DF">
            <w:pPr>
              <w:jc w:val="both"/>
              <w:rPr>
                <w:rFonts w:ascii="Times New Roman" w:eastAsia="Calibri" w:hAnsi="Times New Roman" w:cs="Times New Roman"/>
                <w:b/>
                <w:sz w:val="24"/>
                <w:szCs w:val="24"/>
              </w:rPr>
            </w:pPr>
          </w:p>
        </w:tc>
        <w:tc>
          <w:tcPr>
            <w:tcW w:w="2792" w:type="dxa"/>
            <w:gridSpan w:val="2"/>
            <w:tcBorders>
              <w:bottom w:val="single" w:sz="4" w:space="0" w:color="auto"/>
            </w:tcBorders>
          </w:tcPr>
          <w:p w14:paraId="76737F91"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Informal source user              (n=117)</w:t>
            </w:r>
          </w:p>
        </w:tc>
        <w:tc>
          <w:tcPr>
            <w:tcW w:w="2625" w:type="dxa"/>
            <w:gridSpan w:val="2"/>
            <w:tcBorders>
              <w:bottom w:val="single" w:sz="4" w:space="0" w:color="auto"/>
            </w:tcBorders>
          </w:tcPr>
          <w:p w14:paraId="47F1C5E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Formal source user(n=86)</w:t>
            </w:r>
          </w:p>
        </w:tc>
        <w:tc>
          <w:tcPr>
            <w:tcW w:w="1691" w:type="dxa"/>
            <w:vMerge/>
            <w:tcBorders>
              <w:bottom w:val="single" w:sz="4" w:space="0" w:color="auto"/>
            </w:tcBorders>
          </w:tcPr>
          <w:p w14:paraId="2141FBDF" w14:textId="77777777" w:rsidR="004C6464" w:rsidRPr="004C6464" w:rsidRDefault="004C6464" w:rsidP="008E13DF">
            <w:pPr>
              <w:jc w:val="both"/>
              <w:rPr>
                <w:rFonts w:ascii="Times New Roman" w:eastAsia="Calibri" w:hAnsi="Times New Roman" w:cs="Times New Roman"/>
                <w:sz w:val="24"/>
                <w:szCs w:val="24"/>
              </w:rPr>
            </w:pPr>
          </w:p>
        </w:tc>
        <w:tc>
          <w:tcPr>
            <w:tcW w:w="964" w:type="dxa"/>
            <w:vMerge/>
            <w:tcBorders>
              <w:bottom w:val="single" w:sz="4" w:space="0" w:color="auto"/>
            </w:tcBorders>
          </w:tcPr>
          <w:p w14:paraId="7B686264"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5C6A7C35" w14:textId="77777777" w:rsidTr="00B248D0">
        <w:trPr>
          <w:trHeight w:val="260"/>
          <w:jc w:val="center"/>
        </w:trPr>
        <w:tc>
          <w:tcPr>
            <w:tcW w:w="1918" w:type="dxa"/>
          </w:tcPr>
          <w:p w14:paraId="2BEF149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Sex</w:t>
            </w:r>
          </w:p>
        </w:tc>
        <w:tc>
          <w:tcPr>
            <w:tcW w:w="867" w:type="dxa"/>
            <w:tcBorders>
              <w:top w:val="single" w:sz="4" w:space="0" w:color="auto"/>
            </w:tcBorders>
          </w:tcPr>
          <w:p w14:paraId="0DF5AF9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Freq.</w:t>
            </w:r>
          </w:p>
        </w:tc>
        <w:tc>
          <w:tcPr>
            <w:tcW w:w="1925" w:type="dxa"/>
            <w:tcBorders>
              <w:top w:val="single" w:sz="4" w:space="0" w:color="auto"/>
            </w:tcBorders>
          </w:tcPr>
          <w:p w14:paraId="255CDE7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per cent</w:t>
            </w:r>
          </w:p>
        </w:tc>
        <w:tc>
          <w:tcPr>
            <w:tcW w:w="1211" w:type="dxa"/>
            <w:tcBorders>
              <w:top w:val="single" w:sz="4" w:space="0" w:color="auto"/>
            </w:tcBorders>
          </w:tcPr>
          <w:p w14:paraId="76CF22B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Freq.</w:t>
            </w:r>
          </w:p>
        </w:tc>
        <w:tc>
          <w:tcPr>
            <w:tcW w:w="1414" w:type="dxa"/>
            <w:tcBorders>
              <w:top w:val="single" w:sz="4" w:space="0" w:color="auto"/>
            </w:tcBorders>
          </w:tcPr>
          <w:p w14:paraId="0373BC1F"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per cent</w:t>
            </w:r>
          </w:p>
        </w:tc>
        <w:tc>
          <w:tcPr>
            <w:tcW w:w="1691" w:type="dxa"/>
            <w:tcBorders>
              <w:top w:val="single" w:sz="4" w:space="0" w:color="auto"/>
            </w:tcBorders>
          </w:tcPr>
          <w:p w14:paraId="0A04ABA2" w14:textId="77777777" w:rsidR="004C6464" w:rsidRPr="004C6464" w:rsidRDefault="004C6464" w:rsidP="008E13DF">
            <w:pPr>
              <w:jc w:val="both"/>
              <w:rPr>
                <w:rFonts w:ascii="Times New Roman" w:eastAsia="Calibri" w:hAnsi="Times New Roman" w:cs="Times New Roman"/>
                <w:sz w:val="24"/>
                <w:szCs w:val="24"/>
              </w:rPr>
            </w:pPr>
          </w:p>
        </w:tc>
        <w:tc>
          <w:tcPr>
            <w:tcW w:w="964" w:type="dxa"/>
            <w:tcBorders>
              <w:top w:val="single" w:sz="4" w:space="0" w:color="auto"/>
            </w:tcBorders>
          </w:tcPr>
          <w:p w14:paraId="70392C6E"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343E8D40" w14:textId="77777777" w:rsidTr="00B248D0">
        <w:trPr>
          <w:trHeight w:val="225"/>
          <w:jc w:val="center"/>
        </w:trPr>
        <w:tc>
          <w:tcPr>
            <w:tcW w:w="1918" w:type="dxa"/>
          </w:tcPr>
          <w:p w14:paraId="7C2BEE0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Female(n=41)</w:t>
            </w:r>
          </w:p>
        </w:tc>
        <w:tc>
          <w:tcPr>
            <w:tcW w:w="867" w:type="dxa"/>
          </w:tcPr>
          <w:p w14:paraId="3C571DD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c>
          <w:tcPr>
            <w:tcW w:w="1925" w:type="dxa"/>
          </w:tcPr>
          <w:p w14:paraId="751FB94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58.5</w:t>
            </w:r>
          </w:p>
        </w:tc>
        <w:tc>
          <w:tcPr>
            <w:tcW w:w="1211" w:type="dxa"/>
          </w:tcPr>
          <w:p w14:paraId="5D130D1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w:t>
            </w:r>
          </w:p>
        </w:tc>
        <w:tc>
          <w:tcPr>
            <w:tcW w:w="1414" w:type="dxa"/>
          </w:tcPr>
          <w:p w14:paraId="3EEB005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41.5</w:t>
            </w:r>
          </w:p>
        </w:tc>
        <w:tc>
          <w:tcPr>
            <w:tcW w:w="1691" w:type="dxa"/>
          </w:tcPr>
          <w:p w14:paraId="58796F5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0.0171   </w:t>
            </w:r>
          </w:p>
        </w:tc>
        <w:tc>
          <w:tcPr>
            <w:tcW w:w="964" w:type="dxa"/>
          </w:tcPr>
          <w:p w14:paraId="45B10CA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0.896</w:t>
            </w:r>
          </w:p>
        </w:tc>
      </w:tr>
      <w:tr w:rsidR="004C6464" w:rsidRPr="004C6464" w14:paraId="5347E90F" w14:textId="77777777" w:rsidTr="00B248D0">
        <w:trPr>
          <w:trHeight w:val="243"/>
          <w:jc w:val="center"/>
        </w:trPr>
        <w:tc>
          <w:tcPr>
            <w:tcW w:w="1918" w:type="dxa"/>
          </w:tcPr>
          <w:p w14:paraId="5EBDA76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Male(=162)</w:t>
            </w:r>
          </w:p>
        </w:tc>
        <w:tc>
          <w:tcPr>
            <w:tcW w:w="867" w:type="dxa"/>
          </w:tcPr>
          <w:p w14:paraId="2CCB8AA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93</w:t>
            </w:r>
          </w:p>
        </w:tc>
        <w:tc>
          <w:tcPr>
            <w:tcW w:w="1925" w:type="dxa"/>
          </w:tcPr>
          <w:p w14:paraId="17942FD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57.4</w:t>
            </w:r>
          </w:p>
        </w:tc>
        <w:tc>
          <w:tcPr>
            <w:tcW w:w="1211" w:type="dxa"/>
          </w:tcPr>
          <w:p w14:paraId="2AFD3EC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69</w:t>
            </w:r>
          </w:p>
        </w:tc>
        <w:tc>
          <w:tcPr>
            <w:tcW w:w="1414" w:type="dxa"/>
          </w:tcPr>
          <w:p w14:paraId="505D233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42.6</w:t>
            </w:r>
          </w:p>
        </w:tc>
        <w:tc>
          <w:tcPr>
            <w:tcW w:w="1691" w:type="dxa"/>
          </w:tcPr>
          <w:p w14:paraId="201BE7AB"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69934EEE"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5A320B45" w14:textId="77777777" w:rsidTr="00B248D0">
        <w:trPr>
          <w:trHeight w:val="279"/>
          <w:jc w:val="center"/>
        </w:trPr>
        <w:tc>
          <w:tcPr>
            <w:tcW w:w="1918" w:type="dxa"/>
          </w:tcPr>
          <w:p w14:paraId="08C4D42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Marital status </w:t>
            </w:r>
          </w:p>
        </w:tc>
        <w:tc>
          <w:tcPr>
            <w:tcW w:w="867" w:type="dxa"/>
          </w:tcPr>
          <w:p w14:paraId="020C48CC" w14:textId="77777777" w:rsidR="004C6464" w:rsidRPr="004C6464" w:rsidRDefault="004C6464" w:rsidP="008E13DF">
            <w:pPr>
              <w:jc w:val="both"/>
              <w:rPr>
                <w:rFonts w:ascii="Times New Roman" w:eastAsia="Calibri" w:hAnsi="Times New Roman" w:cs="Times New Roman"/>
                <w:sz w:val="24"/>
                <w:szCs w:val="24"/>
              </w:rPr>
            </w:pPr>
          </w:p>
        </w:tc>
        <w:tc>
          <w:tcPr>
            <w:tcW w:w="1925" w:type="dxa"/>
          </w:tcPr>
          <w:p w14:paraId="2C515F0D" w14:textId="77777777" w:rsidR="004C6464" w:rsidRPr="004C6464" w:rsidRDefault="004C6464" w:rsidP="008E13DF">
            <w:pPr>
              <w:jc w:val="both"/>
              <w:rPr>
                <w:rFonts w:ascii="Times New Roman" w:eastAsia="Calibri" w:hAnsi="Times New Roman" w:cs="Times New Roman"/>
                <w:sz w:val="24"/>
                <w:szCs w:val="24"/>
              </w:rPr>
            </w:pPr>
          </w:p>
        </w:tc>
        <w:tc>
          <w:tcPr>
            <w:tcW w:w="1211" w:type="dxa"/>
          </w:tcPr>
          <w:p w14:paraId="48B83E41" w14:textId="77777777" w:rsidR="004C6464" w:rsidRPr="004C6464" w:rsidRDefault="004C6464" w:rsidP="008E13DF">
            <w:pPr>
              <w:jc w:val="both"/>
              <w:rPr>
                <w:rFonts w:ascii="Times New Roman" w:eastAsia="Calibri" w:hAnsi="Times New Roman" w:cs="Times New Roman"/>
                <w:sz w:val="24"/>
                <w:szCs w:val="24"/>
              </w:rPr>
            </w:pPr>
          </w:p>
        </w:tc>
        <w:tc>
          <w:tcPr>
            <w:tcW w:w="1414" w:type="dxa"/>
          </w:tcPr>
          <w:p w14:paraId="5F392DDC" w14:textId="77777777" w:rsidR="004C6464" w:rsidRPr="004C6464" w:rsidRDefault="004C6464" w:rsidP="008E13DF">
            <w:pPr>
              <w:jc w:val="both"/>
              <w:rPr>
                <w:rFonts w:ascii="Times New Roman" w:eastAsia="Calibri" w:hAnsi="Times New Roman" w:cs="Times New Roman"/>
                <w:sz w:val="24"/>
                <w:szCs w:val="24"/>
              </w:rPr>
            </w:pPr>
          </w:p>
        </w:tc>
        <w:tc>
          <w:tcPr>
            <w:tcW w:w="1691" w:type="dxa"/>
          </w:tcPr>
          <w:p w14:paraId="2FA1407E"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5833E702"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1247C19A" w14:textId="77777777" w:rsidTr="00B248D0">
        <w:trPr>
          <w:trHeight w:val="225"/>
          <w:jc w:val="center"/>
        </w:trPr>
        <w:tc>
          <w:tcPr>
            <w:tcW w:w="1918" w:type="dxa"/>
          </w:tcPr>
          <w:p w14:paraId="4CE7443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Married (n=186)</w:t>
            </w:r>
          </w:p>
        </w:tc>
        <w:tc>
          <w:tcPr>
            <w:tcW w:w="867" w:type="dxa"/>
          </w:tcPr>
          <w:p w14:paraId="5F30A5E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104</w:t>
            </w:r>
          </w:p>
        </w:tc>
        <w:tc>
          <w:tcPr>
            <w:tcW w:w="1925" w:type="dxa"/>
          </w:tcPr>
          <w:p w14:paraId="68598A6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55.914</w:t>
            </w:r>
          </w:p>
        </w:tc>
        <w:tc>
          <w:tcPr>
            <w:tcW w:w="1211" w:type="dxa"/>
          </w:tcPr>
          <w:p w14:paraId="4E1F521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82</w:t>
            </w:r>
          </w:p>
        </w:tc>
        <w:tc>
          <w:tcPr>
            <w:tcW w:w="1414" w:type="dxa"/>
          </w:tcPr>
          <w:p w14:paraId="229CC01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44.08</w:t>
            </w:r>
          </w:p>
        </w:tc>
        <w:tc>
          <w:tcPr>
            <w:tcW w:w="1691" w:type="dxa"/>
          </w:tcPr>
          <w:p w14:paraId="7282826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3.0607</w:t>
            </w:r>
          </w:p>
        </w:tc>
        <w:tc>
          <w:tcPr>
            <w:tcW w:w="964" w:type="dxa"/>
          </w:tcPr>
          <w:p w14:paraId="13D29FC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0.216</w:t>
            </w:r>
          </w:p>
        </w:tc>
      </w:tr>
      <w:tr w:rsidR="004C6464" w:rsidRPr="004C6464" w14:paraId="63C06509" w14:textId="77777777" w:rsidTr="00B248D0">
        <w:trPr>
          <w:trHeight w:val="225"/>
          <w:jc w:val="center"/>
        </w:trPr>
        <w:tc>
          <w:tcPr>
            <w:tcW w:w="1918" w:type="dxa"/>
          </w:tcPr>
          <w:p w14:paraId="65DAE8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Divorced (n=11)</w:t>
            </w:r>
          </w:p>
        </w:tc>
        <w:tc>
          <w:tcPr>
            <w:tcW w:w="867" w:type="dxa"/>
          </w:tcPr>
          <w:p w14:paraId="1A17EDC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9</w:t>
            </w:r>
          </w:p>
        </w:tc>
        <w:tc>
          <w:tcPr>
            <w:tcW w:w="1925" w:type="dxa"/>
          </w:tcPr>
          <w:p w14:paraId="230A61A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81.81</w:t>
            </w:r>
          </w:p>
        </w:tc>
        <w:tc>
          <w:tcPr>
            <w:tcW w:w="1211" w:type="dxa"/>
          </w:tcPr>
          <w:p w14:paraId="60514CD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2</w:t>
            </w:r>
          </w:p>
        </w:tc>
        <w:tc>
          <w:tcPr>
            <w:tcW w:w="1414" w:type="dxa"/>
          </w:tcPr>
          <w:p w14:paraId="29FE842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18.18</w:t>
            </w:r>
          </w:p>
        </w:tc>
        <w:tc>
          <w:tcPr>
            <w:tcW w:w="1691" w:type="dxa"/>
          </w:tcPr>
          <w:p w14:paraId="24211CD8"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255C5F4A"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06E8B367" w14:textId="77777777" w:rsidTr="00B248D0">
        <w:trPr>
          <w:trHeight w:val="216"/>
          <w:jc w:val="center"/>
        </w:trPr>
        <w:tc>
          <w:tcPr>
            <w:tcW w:w="1918" w:type="dxa"/>
          </w:tcPr>
          <w:p w14:paraId="66F0EB3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Widowed (n=6)</w:t>
            </w:r>
          </w:p>
        </w:tc>
        <w:tc>
          <w:tcPr>
            <w:tcW w:w="867" w:type="dxa"/>
          </w:tcPr>
          <w:p w14:paraId="437CEB8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4</w:t>
            </w:r>
          </w:p>
        </w:tc>
        <w:tc>
          <w:tcPr>
            <w:tcW w:w="1925" w:type="dxa"/>
          </w:tcPr>
          <w:p w14:paraId="2A659E7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66.67</w:t>
            </w:r>
          </w:p>
        </w:tc>
        <w:tc>
          <w:tcPr>
            <w:tcW w:w="1211" w:type="dxa"/>
          </w:tcPr>
          <w:p w14:paraId="177D536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2</w:t>
            </w:r>
          </w:p>
        </w:tc>
        <w:tc>
          <w:tcPr>
            <w:tcW w:w="1414" w:type="dxa"/>
          </w:tcPr>
          <w:p w14:paraId="3DF5B99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33.33</w:t>
            </w:r>
          </w:p>
        </w:tc>
        <w:tc>
          <w:tcPr>
            <w:tcW w:w="1691" w:type="dxa"/>
          </w:tcPr>
          <w:p w14:paraId="16DE870B"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71EF5DA7"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0AD1A350" w14:textId="77777777" w:rsidTr="00B248D0">
        <w:trPr>
          <w:trHeight w:val="189"/>
          <w:jc w:val="center"/>
        </w:trPr>
        <w:tc>
          <w:tcPr>
            <w:tcW w:w="1918" w:type="dxa"/>
          </w:tcPr>
          <w:p w14:paraId="283720E7"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b/>
                <w:sz w:val="24"/>
                <w:szCs w:val="24"/>
              </w:rPr>
              <w:t xml:space="preserve">Social position  </w:t>
            </w:r>
          </w:p>
        </w:tc>
        <w:tc>
          <w:tcPr>
            <w:tcW w:w="867" w:type="dxa"/>
          </w:tcPr>
          <w:p w14:paraId="65F61761"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925" w:type="dxa"/>
          </w:tcPr>
          <w:p w14:paraId="2CEBDFCC"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211" w:type="dxa"/>
          </w:tcPr>
          <w:p w14:paraId="6FF55CBD"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414" w:type="dxa"/>
          </w:tcPr>
          <w:p w14:paraId="32F3B160"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691" w:type="dxa"/>
          </w:tcPr>
          <w:p w14:paraId="49E88D4F" w14:textId="77777777" w:rsidR="004C6464" w:rsidRPr="004C6464" w:rsidRDefault="004C6464" w:rsidP="008E13DF">
            <w:pPr>
              <w:jc w:val="both"/>
              <w:rPr>
                <w:rFonts w:ascii="Times New Roman" w:eastAsia="Calibri" w:hAnsi="Times New Roman" w:cs="Times New Roman"/>
                <w:sz w:val="24"/>
                <w:szCs w:val="24"/>
                <w:highlight w:val="black"/>
              </w:rPr>
            </w:pPr>
          </w:p>
        </w:tc>
        <w:tc>
          <w:tcPr>
            <w:tcW w:w="964" w:type="dxa"/>
          </w:tcPr>
          <w:p w14:paraId="7981FCF1" w14:textId="77777777" w:rsidR="004C6464" w:rsidRPr="004C6464" w:rsidRDefault="004C6464" w:rsidP="008E13DF">
            <w:pPr>
              <w:jc w:val="both"/>
              <w:rPr>
                <w:rFonts w:ascii="Times New Roman" w:eastAsia="Calibri" w:hAnsi="Times New Roman" w:cs="Times New Roman"/>
                <w:sz w:val="24"/>
                <w:szCs w:val="24"/>
                <w:highlight w:val="black"/>
              </w:rPr>
            </w:pPr>
          </w:p>
        </w:tc>
      </w:tr>
      <w:tr w:rsidR="004C6464" w:rsidRPr="004C6464" w14:paraId="28B8906E" w14:textId="77777777" w:rsidTr="00B248D0">
        <w:trPr>
          <w:trHeight w:val="189"/>
          <w:jc w:val="center"/>
        </w:trPr>
        <w:tc>
          <w:tcPr>
            <w:tcW w:w="1918" w:type="dxa"/>
          </w:tcPr>
          <w:p w14:paraId="2772EDFC"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Yes (n=115)</w:t>
            </w:r>
          </w:p>
        </w:tc>
        <w:tc>
          <w:tcPr>
            <w:tcW w:w="867" w:type="dxa"/>
          </w:tcPr>
          <w:p w14:paraId="7F209FAE"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52</w:t>
            </w:r>
          </w:p>
        </w:tc>
        <w:tc>
          <w:tcPr>
            <w:tcW w:w="1925" w:type="dxa"/>
          </w:tcPr>
          <w:p w14:paraId="219ACCD3"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45.22</w:t>
            </w:r>
          </w:p>
        </w:tc>
        <w:tc>
          <w:tcPr>
            <w:tcW w:w="1211" w:type="dxa"/>
          </w:tcPr>
          <w:p w14:paraId="4AB082C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63</w:t>
            </w:r>
          </w:p>
        </w:tc>
        <w:tc>
          <w:tcPr>
            <w:tcW w:w="1414" w:type="dxa"/>
          </w:tcPr>
          <w:p w14:paraId="709715F7"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54.78</w:t>
            </w:r>
          </w:p>
        </w:tc>
        <w:tc>
          <w:tcPr>
            <w:tcW w:w="1691" w:type="dxa"/>
          </w:tcPr>
          <w:p w14:paraId="6F328B9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16.7544</w:t>
            </w:r>
          </w:p>
        </w:tc>
        <w:tc>
          <w:tcPr>
            <w:tcW w:w="964" w:type="dxa"/>
          </w:tcPr>
          <w:p w14:paraId="0122A24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r w:rsidR="004C6464" w:rsidRPr="004C6464" w14:paraId="4AB5E3D5" w14:textId="77777777" w:rsidTr="00B248D0">
        <w:trPr>
          <w:trHeight w:val="68"/>
          <w:jc w:val="center"/>
        </w:trPr>
        <w:tc>
          <w:tcPr>
            <w:tcW w:w="1918" w:type="dxa"/>
            <w:tcBorders>
              <w:bottom w:val="single" w:sz="4" w:space="0" w:color="auto"/>
            </w:tcBorders>
          </w:tcPr>
          <w:p w14:paraId="4B89917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No (n=88)</w:t>
            </w:r>
          </w:p>
        </w:tc>
        <w:tc>
          <w:tcPr>
            <w:tcW w:w="867" w:type="dxa"/>
            <w:tcBorders>
              <w:bottom w:val="single" w:sz="4" w:space="0" w:color="auto"/>
            </w:tcBorders>
          </w:tcPr>
          <w:p w14:paraId="779F89B1"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65</w:t>
            </w:r>
          </w:p>
        </w:tc>
        <w:tc>
          <w:tcPr>
            <w:tcW w:w="1925" w:type="dxa"/>
            <w:tcBorders>
              <w:bottom w:val="single" w:sz="4" w:space="0" w:color="auto"/>
            </w:tcBorders>
          </w:tcPr>
          <w:p w14:paraId="3E7237A6"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73.86</w:t>
            </w:r>
          </w:p>
        </w:tc>
        <w:tc>
          <w:tcPr>
            <w:tcW w:w="1211" w:type="dxa"/>
            <w:tcBorders>
              <w:bottom w:val="single" w:sz="4" w:space="0" w:color="auto"/>
            </w:tcBorders>
          </w:tcPr>
          <w:p w14:paraId="3ECDA7F5"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23</w:t>
            </w:r>
          </w:p>
        </w:tc>
        <w:tc>
          <w:tcPr>
            <w:tcW w:w="1414" w:type="dxa"/>
            <w:tcBorders>
              <w:bottom w:val="single" w:sz="4" w:space="0" w:color="auto"/>
            </w:tcBorders>
          </w:tcPr>
          <w:p w14:paraId="72B134D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26.14</w:t>
            </w:r>
          </w:p>
        </w:tc>
        <w:tc>
          <w:tcPr>
            <w:tcW w:w="1691" w:type="dxa"/>
            <w:tcBorders>
              <w:bottom w:val="single" w:sz="4" w:space="0" w:color="auto"/>
            </w:tcBorders>
          </w:tcPr>
          <w:p w14:paraId="13464B2C" w14:textId="77777777" w:rsidR="004C6464" w:rsidRPr="004C6464" w:rsidRDefault="004C6464" w:rsidP="008E13DF">
            <w:pPr>
              <w:jc w:val="both"/>
              <w:rPr>
                <w:rFonts w:ascii="Times New Roman" w:eastAsia="Calibri" w:hAnsi="Times New Roman" w:cs="Times New Roman"/>
                <w:sz w:val="24"/>
                <w:szCs w:val="24"/>
              </w:rPr>
            </w:pPr>
          </w:p>
        </w:tc>
        <w:tc>
          <w:tcPr>
            <w:tcW w:w="964" w:type="dxa"/>
            <w:tcBorders>
              <w:bottom w:val="single" w:sz="4" w:space="0" w:color="auto"/>
            </w:tcBorders>
          </w:tcPr>
          <w:p w14:paraId="0ABE89B7" w14:textId="77777777" w:rsidR="004C6464" w:rsidRPr="004C6464" w:rsidRDefault="004C6464" w:rsidP="008E13DF">
            <w:pPr>
              <w:jc w:val="both"/>
              <w:rPr>
                <w:rFonts w:ascii="Times New Roman" w:eastAsia="Calibri" w:hAnsi="Times New Roman" w:cs="Times New Roman"/>
                <w:sz w:val="24"/>
                <w:szCs w:val="24"/>
              </w:rPr>
            </w:pPr>
          </w:p>
        </w:tc>
      </w:tr>
    </w:tbl>
    <w:p w14:paraId="3EF23E9E" w14:textId="77777777" w:rsidR="004C6464" w:rsidRPr="004C6464" w:rsidRDefault="004C6464" w:rsidP="004C6464">
      <w:pPr>
        <w:spacing w:before="120" w:after="12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Source:</w:t>
      </w:r>
      <w:r w:rsidRPr="004C6464">
        <w:rPr>
          <w:rFonts w:ascii="Times New Roman" w:eastAsia="Calibri" w:hAnsi="Times New Roman" w:cs="Times New Roman"/>
          <w:sz w:val="24"/>
          <w:szCs w:val="24"/>
        </w:rPr>
        <w:t xml:space="preserve"> field survey data (2024)</w:t>
      </w:r>
    </w:p>
    <w:p w14:paraId="6E58FDE0" w14:textId="77777777" w:rsidR="004C6464" w:rsidRPr="004C6464" w:rsidRDefault="004C6464" w:rsidP="004C6464">
      <w:pPr>
        <w:spacing w:after="16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br w:type="column"/>
      </w:r>
      <w:r w:rsidRPr="004C6464">
        <w:rPr>
          <w:rFonts w:ascii="Times New Roman" w:eastAsia="Calibri" w:hAnsi="Times New Roman" w:cs="Times New Roman"/>
          <w:b/>
          <w:sz w:val="24"/>
          <w:szCs w:val="24"/>
        </w:rPr>
        <w:lastRenderedPageBreak/>
        <w:t xml:space="preserve">Table _3: </w:t>
      </w:r>
      <w:r w:rsidRPr="004C6464">
        <w:rPr>
          <w:rFonts w:ascii="Times New Roman" w:eastAsia="Calibri" w:hAnsi="Times New Roman" w:cs="Times New Roman"/>
          <w:sz w:val="24"/>
          <w:szCs w:val="24"/>
        </w:rPr>
        <w:t>Respondents socio-economic characteristics, n=203</w:t>
      </w:r>
    </w:p>
    <w:tbl>
      <w:tblPr>
        <w:tblStyle w:val="TableGrid1"/>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440"/>
        <w:gridCol w:w="1260"/>
        <w:gridCol w:w="1350"/>
        <w:gridCol w:w="900"/>
        <w:gridCol w:w="1620"/>
        <w:gridCol w:w="1260"/>
        <w:gridCol w:w="990"/>
      </w:tblGrid>
      <w:tr w:rsidR="004C6464" w:rsidRPr="004C6464" w14:paraId="028C7C89" w14:textId="77777777" w:rsidTr="00B248D0">
        <w:trPr>
          <w:trHeight w:val="60"/>
          <w:jc w:val="center"/>
        </w:trPr>
        <w:tc>
          <w:tcPr>
            <w:tcW w:w="1620" w:type="dxa"/>
            <w:vMerge w:val="restart"/>
            <w:tcBorders>
              <w:top w:val="single" w:sz="4" w:space="0" w:color="auto"/>
            </w:tcBorders>
          </w:tcPr>
          <w:p w14:paraId="67106957" w14:textId="77777777" w:rsidR="004C6464" w:rsidRPr="004C6464" w:rsidRDefault="004C6464" w:rsidP="008E13DF">
            <w:pPr>
              <w:jc w:val="both"/>
              <w:rPr>
                <w:rFonts w:ascii="Times New Roman" w:eastAsia="Calibri" w:hAnsi="Times New Roman" w:cs="Times New Roman"/>
                <w:b/>
                <w:sz w:val="24"/>
                <w:szCs w:val="24"/>
              </w:rPr>
            </w:pPr>
          </w:p>
          <w:p w14:paraId="7BA62F41" w14:textId="77777777" w:rsidR="004C6464" w:rsidRPr="004C6464" w:rsidRDefault="004C6464" w:rsidP="008E13DF">
            <w:pPr>
              <w:jc w:val="both"/>
              <w:rPr>
                <w:rFonts w:ascii="Times New Roman" w:eastAsia="Calibri" w:hAnsi="Times New Roman" w:cs="Times New Roman"/>
                <w:b/>
                <w:sz w:val="24"/>
                <w:szCs w:val="24"/>
              </w:rPr>
            </w:pPr>
          </w:p>
          <w:p w14:paraId="316FCC19" w14:textId="77777777" w:rsidR="004C6464" w:rsidRPr="004C6464" w:rsidRDefault="004C6464" w:rsidP="008E13DF">
            <w:pPr>
              <w:jc w:val="both"/>
              <w:rPr>
                <w:rFonts w:ascii="Times New Roman" w:eastAsia="Calibri" w:hAnsi="Times New Roman" w:cs="Times New Roman"/>
                <w:b/>
                <w:sz w:val="24"/>
                <w:szCs w:val="24"/>
              </w:rPr>
            </w:pPr>
          </w:p>
          <w:p w14:paraId="28F59BBF"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Variables</w:t>
            </w:r>
          </w:p>
        </w:tc>
        <w:tc>
          <w:tcPr>
            <w:tcW w:w="1440" w:type="dxa"/>
            <w:vMerge w:val="restart"/>
            <w:tcBorders>
              <w:top w:val="single" w:sz="4" w:space="0" w:color="auto"/>
            </w:tcBorders>
          </w:tcPr>
          <w:p w14:paraId="7164BEDB" w14:textId="77777777" w:rsidR="004C6464" w:rsidRPr="004C6464" w:rsidRDefault="004C6464" w:rsidP="008E13DF">
            <w:pPr>
              <w:jc w:val="both"/>
              <w:rPr>
                <w:rFonts w:ascii="Times New Roman" w:eastAsia="Calibri" w:hAnsi="Times New Roman" w:cs="Times New Roman"/>
                <w:b/>
                <w:sz w:val="24"/>
                <w:szCs w:val="24"/>
              </w:rPr>
            </w:pPr>
          </w:p>
          <w:p w14:paraId="40FADAE8"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Combined  mean</w:t>
            </w:r>
          </w:p>
        </w:tc>
        <w:tc>
          <w:tcPr>
            <w:tcW w:w="5130" w:type="dxa"/>
            <w:gridSpan w:val="4"/>
            <w:tcBorders>
              <w:top w:val="single" w:sz="4" w:space="0" w:color="auto"/>
            </w:tcBorders>
          </w:tcPr>
          <w:p w14:paraId="72ACE02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Wheat seed  source </w:t>
            </w:r>
          </w:p>
        </w:tc>
        <w:tc>
          <w:tcPr>
            <w:tcW w:w="1260" w:type="dxa"/>
            <w:vMerge w:val="restart"/>
            <w:tcBorders>
              <w:top w:val="single" w:sz="4" w:space="0" w:color="auto"/>
            </w:tcBorders>
          </w:tcPr>
          <w:p w14:paraId="6D202B41" w14:textId="77777777" w:rsidR="004C6464" w:rsidRPr="004C6464" w:rsidRDefault="004C6464" w:rsidP="008E13DF">
            <w:pPr>
              <w:jc w:val="both"/>
              <w:rPr>
                <w:rFonts w:ascii="Times New Roman" w:eastAsia="Calibri" w:hAnsi="Times New Roman" w:cs="Times New Roman"/>
                <w:b/>
                <w:sz w:val="24"/>
                <w:szCs w:val="24"/>
              </w:rPr>
            </w:pPr>
          </w:p>
          <w:p w14:paraId="06285CD2" w14:textId="77777777" w:rsidR="004C6464" w:rsidRPr="004C6464" w:rsidRDefault="004C6464" w:rsidP="008E13DF">
            <w:pPr>
              <w:jc w:val="both"/>
              <w:rPr>
                <w:rFonts w:ascii="Times New Roman" w:eastAsia="Calibri" w:hAnsi="Times New Roman" w:cs="Times New Roman"/>
                <w:b/>
                <w:sz w:val="24"/>
                <w:szCs w:val="24"/>
              </w:rPr>
            </w:pPr>
          </w:p>
          <w:p w14:paraId="557D8FA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 diff</w:t>
            </w:r>
          </w:p>
        </w:tc>
        <w:tc>
          <w:tcPr>
            <w:tcW w:w="990" w:type="dxa"/>
            <w:vMerge w:val="restart"/>
            <w:tcBorders>
              <w:top w:val="single" w:sz="4" w:space="0" w:color="auto"/>
            </w:tcBorders>
          </w:tcPr>
          <w:p w14:paraId="4CFD99D7" w14:textId="77777777" w:rsidR="004C6464" w:rsidRPr="004C6464" w:rsidRDefault="004C6464" w:rsidP="008E13DF">
            <w:pPr>
              <w:jc w:val="both"/>
              <w:rPr>
                <w:rFonts w:ascii="Times New Roman" w:eastAsia="Calibri" w:hAnsi="Times New Roman" w:cs="Times New Roman"/>
                <w:b/>
                <w:sz w:val="24"/>
                <w:szCs w:val="24"/>
              </w:rPr>
            </w:pPr>
          </w:p>
          <w:p w14:paraId="3803BD93"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P-value</w:t>
            </w:r>
          </w:p>
        </w:tc>
      </w:tr>
      <w:tr w:rsidR="004C6464" w:rsidRPr="004C6464" w14:paraId="45CE4FD8" w14:textId="77777777" w:rsidTr="00B248D0">
        <w:trPr>
          <w:trHeight w:val="593"/>
          <w:jc w:val="center"/>
        </w:trPr>
        <w:tc>
          <w:tcPr>
            <w:tcW w:w="1620" w:type="dxa"/>
            <w:vMerge/>
          </w:tcPr>
          <w:p w14:paraId="629235DC" w14:textId="77777777" w:rsidR="004C6464" w:rsidRPr="004C6464" w:rsidRDefault="004C6464" w:rsidP="008E13DF">
            <w:pPr>
              <w:jc w:val="both"/>
              <w:rPr>
                <w:rFonts w:ascii="Times New Roman" w:eastAsia="Calibri" w:hAnsi="Times New Roman" w:cs="Times New Roman"/>
                <w:b/>
                <w:sz w:val="24"/>
                <w:szCs w:val="24"/>
              </w:rPr>
            </w:pPr>
          </w:p>
        </w:tc>
        <w:tc>
          <w:tcPr>
            <w:tcW w:w="1440" w:type="dxa"/>
            <w:vMerge/>
          </w:tcPr>
          <w:p w14:paraId="1E292B91" w14:textId="77777777" w:rsidR="004C6464" w:rsidRPr="004C6464" w:rsidRDefault="004C6464" w:rsidP="008E13DF">
            <w:pPr>
              <w:jc w:val="both"/>
              <w:rPr>
                <w:rFonts w:ascii="Times New Roman" w:eastAsia="Calibri" w:hAnsi="Times New Roman" w:cs="Times New Roman"/>
                <w:b/>
                <w:sz w:val="24"/>
                <w:szCs w:val="24"/>
              </w:rPr>
            </w:pPr>
          </w:p>
        </w:tc>
        <w:tc>
          <w:tcPr>
            <w:tcW w:w="2610" w:type="dxa"/>
            <w:gridSpan w:val="2"/>
          </w:tcPr>
          <w:p w14:paraId="2C7920B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Informal seed source user (n=117)</w:t>
            </w:r>
          </w:p>
        </w:tc>
        <w:tc>
          <w:tcPr>
            <w:tcW w:w="2520" w:type="dxa"/>
            <w:gridSpan w:val="2"/>
          </w:tcPr>
          <w:p w14:paraId="3DE8A11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Formal  seed  source user  (n=86)</w:t>
            </w:r>
          </w:p>
        </w:tc>
        <w:tc>
          <w:tcPr>
            <w:tcW w:w="1260" w:type="dxa"/>
            <w:vMerge/>
          </w:tcPr>
          <w:p w14:paraId="2078A0F6" w14:textId="77777777" w:rsidR="004C6464" w:rsidRPr="004C6464" w:rsidRDefault="004C6464" w:rsidP="008E13DF">
            <w:pPr>
              <w:jc w:val="both"/>
              <w:rPr>
                <w:rFonts w:ascii="Times New Roman" w:eastAsia="Calibri" w:hAnsi="Times New Roman" w:cs="Times New Roman"/>
                <w:b/>
                <w:sz w:val="24"/>
                <w:szCs w:val="24"/>
              </w:rPr>
            </w:pPr>
          </w:p>
        </w:tc>
        <w:tc>
          <w:tcPr>
            <w:tcW w:w="990" w:type="dxa"/>
            <w:vMerge/>
          </w:tcPr>
          <w:p w14:paraId="4EC3BA49" w14:textId="77777777" w:rsidR="004C6464" w:rsidRPr="004C6464" w:rsidRDefault="004C6464" w:rsidP="008E13DF">
            <w:pPr>
              <w:jc w:val="both"/>
              <w:rPr>
                <w:rFonts w:ascii="Times New Roman" w:eastAsia="Calibri" w:hAnsi="Times New Roman" w:cs="Times New Roman"/>
                <w:b/>
                <w:sz w:val="24"/>
                <w:szCs w:val="24"/>
              </w:rPr>
            </w:pPr>
          </w:p>
        </w:tc>
      </w:tr>
      <w:tr w:rsidR="004C6464" w:rsidRPr="004C6464" w14:paraId="7BD67DFB" w14:textId="77777777" w:rsidTr="008E13DF">
        <w:trPr>
          <w:trHeight w:val="261"/>
          <w:jc w:val="center"/>
        </w:trPr>
        <w:tc>
          <w:tcPr>
            <w:tcW w:w="1620" w:type="dxa"/>
            <w:vMerge/>
            <w:tcBorders>
              <w:bottom w:val="single" w:sz="4" w:space="0" w:color="auto"/>
            </w:tcBorders>
          </w:tcPr>
          <w:p w14:paraId="16D9FCB2" w14:textId="77777777" w:rsidR="004C6464" w:rsidRPr="004C6464" w:rsidRDefault="004C6464" w:rsidP="008E13DF">
            <w:pPr>
              <w:jc w:val="both"/>
              <w:rPr>
                <w:rFonts w:ascii="Times New Roman" w:eastAsia="Calibri" w:hAnsi="Times New Roman" w:cs="Times New Roman"/>
                <w:b/>
                <w:sz w:val="24"/>
                <w:szCs w:val="24"/>
              </w:rPr>
            </w:pPr>
          </w:p>
        </w:tc>
        <w:tc>
          <w:tcPr>
            <w:tcW w:w="1440" w:type="dxa"/>
            <w:vMerge/>
            <w:tcBorders>
              <w:bottom w:val="single" w:sz="4" w:space="0" w:color="auto"/>
            </w:tcBorders>
          </w:tcPr>
          <w:p w14:paraId="43BFE95E" w14:textId="77777777" w:rsidR="004C6464" w:rsidRPr="004C6464" w:rsidRDefault="004C6464" w:rsidP="008E13DF">
            <w:pPr>
              <w:jc w:val="both"/>
              <w:rPr>
                <w:rFonts w:ascii="Times New Roman" w:eastAsia="Calibri" w:hAnsi="Times New Roman" w:cs="Times New Roman"/>
                <w:b/>
                <w:sz w:val="24"/>
                <w:szCs w:val="24"/>
              </w:rPr>
            </w:pPr>
          </w:p>
        </w:tc>
        <w:tc>
          <w:tcPr>
            <w:tcW w:w="1260" w:type="dxa"/>
            <w:tcBorders>
              <w:bottom w:val="single" w:sz="4" w:space="0" w:color="auto"/>
            </w:tcBorders>
          </w:tcPr>
          <w:p w14:paraId="34689789"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w:t>
            </w:r>
          </w:p>
        </w:tc>
        <w:tc>
          <w:tcPr>
            <w:tcW w:w="1350" w:type="dxa"/>
            <w:tcBorders>
              <w:bottom w:val="single" w:sz="4" w:space="0" w:color="auto"/>
            </w:tcBorders>
          </w:tcPr>
          <w:p w14:paraId="2B8A3B3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Std. Err.</w:t>
            </w:r>
          </w:p>
        </w:tc>
        <w:tc>
          <w:tcPr>
            <w:tcW w:w="900" w:type="dxa"/>
            <w:tcBorders>
              <w:bottom w:val="single" w:sz="4" w:space="0" w:color="auto"/>
            </w:tcBorders>
          </w:tcPr>
          <w:p w14:paraId="710D60C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w:t>
            </w:r>
          </w:p>
        </w:tc>
        <w:tc>
          <w:tcPr>
            <w:tcW w:w="1620" w:type="dxa"/>
            <w:tcBorders>
              <w:bottom w:val="single" w:sz="4" w:space="0" w:color="auto"/>
            </w:tcBorders>
          </w:tcPr>
          <w:p w14:paraId="2947737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Std. Err.</w:t>
            </w:r>
          </w:p>
        </w:tc>
        <w:tc>
          <w:tcPr>
            <w:tcW w:w="1260" w:type="dxa"/>
            <w:tcBorders>
              <w:bottom w:val="single" w:sz="4" w:space="0" w:color="auto"/>
            </w:tcBorders>
          </w:tcPr>
          <w:p w14:paraId="352456F2" w14:textId="77777777" w:rsidR="004C6464" w:rsidRPr="004C6464" w:rsidRDefault="004C6464" w:rsidP="008E13DF">
            <w:pPr>
              <w:jc w:val="both"/>
              <w:rPr>
                <w:rFonts w:ascii="Times New Roman" w:eastAsia="Calibri" w:hAnsi="Times New Roman" w:cs="Times New Roman"/>
                <w:sz w:val="24"/>
                <w:szCs w:val="24"/>
              </w:rPr>
            </w:pPr>
          </w:p>
        </w:tc>
        <w:tc>
          <w:tcPr>
            <w:tcW w:w="990" w:type="dxa"/>
            <w:tcBorders>
              <w:bottom w:val="single" w:sz="4" w:space="0" w:color="auto"/>
            </w:tcBorders>
          </w:tcPr>
          <w:p w14:paraId="4E2851C9"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4948A256" w14:textId="77777777" w:rsidTr="00B248D0">
        <w:trPr>
          <w:trHeight w:val="279"/>
          <w:jc w:val="center"/>
        </w:trPr>
        <w:tc>
          <w:tcPr>
            <w:tcW w:w="1620" w:type="dxa"/>
            <w:tcBorders>
              <w:top w:val="single" w:sz="4" w:space="0" w:color="auto"/>
            </w:tcBorders>
          </w:tcPr>
          <w:p w14:paraId="6EAC10F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Age</w:t>
            </w:r>
          </w:p>
        </w:tc>
        <w:tc>
          <w:tcPr>
            <w:tcW w:w="1440" w:type="dxa"/>
            <w:tcBorders>
              <w:top w:val="single" w:sz="4" w:space="0" w:color="auto"/>
            </w:tcBorders>
          </w:tcPr>
          <w:p w14:paraId="5A13236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40.6</w:t>
            </w:r>
          </w:p>
        </w:tc>
        <w:tc>
          <w:tcPr>
            <w:tcW w:w="1260" w:type="dxa"/>
            <w:tcBorders>
              <w:top w:val="single" w:sz="4" w:space="0" w:color="auto"/>
            </w:tcBorders>
          </w:tcPr>
          <w:p w14:paraId="2B41FA4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w:t>
            </w:r>
          </w:p>
        </w:tc>
        <w:tc>
          <w:tcPr>
            <w:tcW w:w="1350" w:type="dxa"/>
            <w:tcBorders>
              <w:top w:val="single" w:sz="4" w:space="0" w:color="auto"/>
            </w:tcBorders>
          </w:tcPr>
          <w:p w14:paraId="1D2ABFF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.9646369</w:t>
            </w:r>
          </w:p>
        </w:tc>
        <w:tc>
          <w:tcPr>
            <w:tcW w:w="900" w:type="dxa"/>
            <w:tcBorders>
              <w:top w:val="single" w:sz="4" w:space="0" w:color="auto"/>
            </w:tcBorders>
          </w:tcPr>
          <w:p w14:paraId="0C14637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39.8</w:t>
            </w:r>
          </w:p>
        </w:tc>
        <w:tc>
          <w:tcPr>
            <w:tcW w:w="1620" w:type="dxa"/>
            <w:tcBorders>
              <w:top w:val="single" w:sz="4" w:space="0" w:color="auto"/>
            </w:tcBorders>
          </w:tcPr>
          <w:p w14:paraId="0537BCA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.9680817</w:t>
            </w:r>
          </w:p>
        </w:tc>
        <w:tc>
          <w:tcPr>
            <w:tcW w:w="1260" w:type="dxa"/>
            <w:tcBorders>
              <w:top w:val="single" w:sz="4" w:space="0" w:color="auto"/>
            </w:tcBorders>
          </w:tcPr>
          <w:p w14:paraId="464DC51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1.35</w:t>
            </w:r>
          </w:p>
        </w:tc>
        <w:tc>
          <w:tcPr>
            <w:tcW w:w="990" w:type="dxa"/>
            <w:tcBorders>
              <w:top w:val="single" w:sz="4" w:space="0" w:color="auto"/>
            </w:tcBorders>
          </w:tcPr>
          <w:p w14:paraId="308DC198" w14:textId="77777777" w:rsidR="004C6464" w:rsidRPr="004C6464" w:rsidRDefault="004C6464" w:rsidP="008E13DF">
            <w:pPr>
              <w:jc w:val="both"/>
              <w:rPr>
                <w:rFonts w:ascii="Times New Roman" w:eastAsia="Calibri" w:hAnsi="Times New Roman" w:cs="Times New Roman"/>
                <w:sz w:val="24"/>
                <w:szCs w:val="24"/>
                <w:vertAlign w:val="superscript"/>
              </w:rPr>
            </w:pPr>
            <w:r w:rsidRPr="004C6464">
              <w:rPr>
                <w:rFonts w:ascii="Times New Roman" w:eastAsia="Calibri" w:hAnsi="Times New Roman" w:cs="Times New Roman"/>
                <w:sz w:val="24"/>
                <w:szCs w:val="24"/>
              </w:rPr>
              <w:t>0.001</w:t>
            </w:r>
            <w:r w:rsidRPr="004C6464">
              <w:rPr>
                <w:rFonts w:ascii="Times New Roman" w:eastAsia="Calibri" w:hAnsi="Times New Roman" w:cs="Times New Roman"/>
                <w:sz w:val="24"/>
                <w:szCs w:val="24"/>
                <w:vertAlign w:val="superscript"/>
              </w:rPr>
              <w:t xml:space="preserve"> </w:t>
            </w:r>
          </w:p>
        </w:tc>
      </w:tr>
      <w:tr w:rsidR="004C6464" w:rsidRPr="004C6464" w14:paraId="0FE57208" w14:textId="77777777" w:rsidTr="00B248D0">
        <w:trPr>
          <w:trHeight w:val="219"/>
          <w:jc w:val="center"/>
        </w:trPr>
        <w:tc>
          <w:tcPr>
            <w:tcW w:w="1620" w:type="dxa"/>
          </w:tcPr>
          <w:p w14:paraId="028886F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Family size</w:t>
            </w:r>
          </w:p>
        </w:tc>
        <w:tc>
          <w:tcPr>
            <w:tcW w:w="1440" w:type="dxa"/>
          </w:tcPr>
          <w:p w14:paraId="4AAECE1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260" w:type="dxa"/>
          </w:tcPr>
          <w:p w14:paraId="2F25BEE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350" w:type="dxa"/>
          </w:tcPr>
          <w:p w14:paraId="5618526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.2351753</w:t>
            </w:r>
          </w:p>
        </w:tc>
        <w:tc>
          <w:tcPr>
            <w:tcW w:w="900" w:type="dxa"/>
          </w:tcPr>
          <w:p w14:paraId="7E1EB1C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620" w:type="dxa"/>
          </w:tcPr>
          <w:p w14:paraId="7A980AF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.2570082</w:t>
            </w:r>
          </w:p>
        </w:tc>
        <w:tc>
          <w:tcPr>
            <w:tcW w:w="1260" w:type="dxa"/>
          </w:tcPr>
          <w:p w14:paraId="35EAA67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.0829</w:t>
            </w:r>
          </w:p>
        </w:tc>
        <w:tc>
          <w:tcPr>
            <w:tcW w:w="990" w:type="dxa"/>
          </w:tcPr>
          <w:p w14:paraId="0601D8C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.814</w:t>
            </w:r>
          </w:p>
        </w:tc>
      </w:tr>
      <w:tr w:rsidR="004C6464" w:rsidRPr="004C6464" w14:paraId="2B09768A" w14:textId="77777777" w:rsidTr="008E13DF">
        <w:trPr>
          <w:trHeight w:val="225"/>
          <w:jc w:val="center"/>
        </w:trPr>
        <w:tc>
          <w:tcPr>
            <w:tcW w:w="1620" w:type="dxa"/>
          </w:tcPr>
          <w:p w14:paraId="7054516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Education</w:t>
            </w:r>
          </w:p>
        </w:tc>
        <w:tc>
          <w:tcPr>
            <w:tcW w:w="1440" w:type="dxa"/>
          </w:tcPr>
          <w:p w14:paraId="6DC4CF7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5.24</w:t>
            </w:r>
          </w:p>
        </w:tc>
        <w:tc>
          <w:tcPr>
            <w:tcW w:w="1260" w:type="dxa"/>
          </w:tcPr>
          <w:p w14:paraId="3257CE4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4.025</w:t>
            </w:r>
          </w:p>
        </w:tc>
        <w:tc>
          <w:tcPr>
            <w:tcW w:w="1350" w:type="dxa"/>
          </w:tcPr>
          <w:p w14:paraId="6D91C06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.3891131</w:t>
            </w:r>
          </w:p>
        </w:tc>
        <w:tc>
          <w:tcPr>
            <w:tcW w:w="900" w:type="dxa"/>
          </w:tcPr>
          <w:p w14:paraId="0B9003B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6.88</w:t>
            </w:r>
          </w:p>
        </w:tc>
        <w:tc>
          <w:tcPr>
            <w:tcW w:w="1620" w:type="dxa"/>
          </w:tcPr>
          <w:p w14:paraId="2EEC6A7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.4623791</w:t>
            </w:r>
          </w:p>
        </w:tc>
        <w:tc>
          <w:tcPr>
            <w:tcW w:w="1260" w:type="dxa"/>
          </w:tcPr>
          <w:p w14:paraId="3EBD13E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2.86</w:t>
            </w:r>
          </w:p>
        </w:tc>
        <w:tc>
          <w:tcPr>
            <w:tcW w:w="990" w:type="dxa"/>
          </w:tcPr>
          <w:p w14:paraId="76B2238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r w:rsidR="004C6464" w:rsidRPr="004C6464" w14:paraId="763C5088" w14:textId="77777777" w:rsidTr="008E13DF">
        <w:trPr>
          <w:trHeight w:val="279"/>
          <w:jc w:val="center"/>
        </w:trPr>
        <w:tc>
          <w:tcPr>
            <w:tcW w:w="1620" w:type="dxa"/>
          </w:tcPr>
          <w:p w14:paraId="25156214" w14:textId="77777777" w:rsidR="004C6464" w:rsidRPr="004C6464" w:rsidRDefault="004C6464" w:rsidP="008E13DF">
            <w:pPr>
              <w:jc w:val="both"/>
              <w:rPr>
                <w:rFonts w:ascii="Times New Roman" w:eastAsia="Calibri" w:hAnsi="Times New Roman" w:cs="Times New Roman"/>
                <w:sz w:val="24"/>
                <w:szCs w:val="24"/>
              </w:rPr>
            </w:pPr>
            <w:proofErr w:type="spellStart"/>
            <w:r w:rsidRPr="004C6464">
              <w:rPr>
                <w:rFonts w:ascii="Times New Roman" w:eastAsia="Times New Roman" w:hAnsi="Times New Roman" w:cs="Times New Roman"/>
                <w:sz w:val="24"/>
                <w:szCs w:val="24"/>
              </w:rPr>
              <w:t>Farmexpernce</w:t>
            </w:r>
            <w:proofErr w:type="spellEnd"/>
          </w:p>
        </w:tc>
        <w:tc>
          <w:tcPr>
            <w:tcW w:w="1440" w:type="dxa"/>
          </w:tcPr>
          <w:p w14:paraId="406059D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2.86</w:t>
            </w:r>
          </w:p>
        </w:tc>
        <w:tc>
          <w:tcPr>
            <w:tcW w:w="1260" w:type="dxa"/>
          </w:tcPr>
          <w:p w14:paraId="4B63F01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18.205</w:t>
            </w:r>
          </w:p>
        </w:tc>
        <w:tc>
          <w:tcPr>
            <w:tcW w:w="1350" w:type="dxa"/>
          </w:tcPr>
          <w:p w14:paraId="53FD76E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.6810494</w:t>
            </w:r>
          </w:p>
        </w:tc>
        <w:tc>
          <w:tcPr>
            <w:tcW w:w="900" w:type="dxa"/>
          </w:tcPr>
          <w:p w14:paraId="3DC7FEC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17.3</w:t>
            </w:r>
          </w:p>
        </w:tc>
        <w:tc>
          <w:tcPr>
            <w:tcW w:w="1620" w:type="dxa"/>
          </w:tcPr>
          <w:p w14:paraId="3C86A16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.6561527</w:t>
            </w:r>
          </w:p>
        </w:tc>
        <w:tc>
          <w:tcPr>
            <w:tcW w:w="1260" w:type="dxa"/>
          </w:tcPr>
          <w:p w14:paraId="13EA458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.8679</w:t>
            </w:r>
          </w:p>
        </w:tc>
        <w:tc>
          <w:tcPr>
            <w:tcW w:w="990" w:type="dxa"/>
          </w:tcPr>
          <w:p w14:paraId="1D7A41D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.3735</w:t>
            </w:r>
          </w:p>
        </w:tc>
      </w:tr>
      <w:tr w:rsidR="004C6464" w:rsidRPr="004C6464" w14:paraId="2F214CBF" w14:textId="77777777" w:rsidTr="008E13DF">
        <w:trPr>
          <w:trHeight w:val="216"/>
          <w:jc w:val="center"/>
        </w:trPr>
        <w:tc>
          <w:tcPr>
            <w:tcW w:w="1620" w:type="dxa"/>
          </w:tcPr>
          <w:p w14:paraId="02EA6E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Landholding</w:t>
            </w:r>
          </w:p>
        </w:tc>
        <w:tc>
          <w:tcPr>
            <w:tcW w:w="1440" w:type="dxa"/>
          </w:tcPr>
          <w:p w14:paraId="769F64C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1.72</w:t>
            </w:r>
          </w:p>
        </w:tc>
        <w:tc>
          <w:tcPr>
            <w:tcW w:w="1260" w:type="dxa"/>
          </w:tcPr>
          <w:p w14:paraId="5BEAB69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1.5525</w:t>
            </w:r>
          </w:p>
        </w:tc>
        <w:tc>
          <w:tcPr>
            <w:tcW w:w="1350" w:type="dxa"/>
          </w:tcPr>
          <w:p w14:paraId="566B663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.0782896</w:t>
            </w:r>
          </w:p>
        </w:tc>
        <w:tc>
          <w:tcPr>
            <w:tcW w:w="900" w:type="dxa"/>
          </w:tcPr>
          <w:p w14:paraId="713C4D8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1.942</w:t>
            </w:r>
          </w:p>
        </w:tc>
        <w:tc>
          <w:tcPr>
            <w:tcW w:w="1620" w:type="dxa"/>
          </w:tcPr>
          <w:p w14:paraId="3176105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.0903537</w:t>
            </w:r>
          </w:p>
        </w:tc>
        <w:tc>
          <w:tcPr>
            <w:tcW w:w="1260" w:type="dxa"/>
          </w:tcPr>
          <w:p w14:paraId="195D1E7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.3893528</w:t>
            </w:r>
          </w:p>
        </w:tc>
        <w:tc>
          <w:tcPr>
            <w:tcW w:w="990" w:type="dxa"/>
          </w:tcPr>
          <w:p w14:paraId="24676F3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.0015</w:t>
            </w:r>
          </w:p>
        </w:tc>
      </w:tr>
      <w:tr w:rsidR="004C6464" w:rsidRPr="004C6464" w14:paraId="3A10E7DC" w14:textId="77777777" w:rsidTr="008E13DF">
        <w:trPr>
          <w:trHeight w:val="207"/>
          <w:jc w:val="center"/>
        </w:trPr>
        <w:tc>
          <w:tcPr>
            <w:tcW w:w="1620" w:type="dxa"/>
          </w:tcPr>
          <w:p w14:paraId="2B89F9BB"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Wheat area</w:t>
            </w:r>
          </w:p>
        </w:tc>
        <w:tc>
          <w:tcPr>
            <w:tcW w:w="1440" w:type="dxa"/>
          </w:tcPr>
          <w:p w14:paraId="673E333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0.63</w:t>
            </w:r>
          </w:p>
        </w:tc>
        <w:tc>
          <w:tcPr>
            <w:tcW w:w="1260" w:type="dxa"/>
          </w:tcPr>
          <w:p w14:paraId="583F3B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.578</w:t>
            </w:r>
          </w:p>
        </w:tc>
        <w:tc>
          <w:tcPr>
            <w:tcW w:w="1350" w:type="dxa"/>
          </w:tcPr>
          <w:p w14:paraId="0CDBFB5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.0455656</w:t>
            </w:r>
          </w:p>
        </w:tc>
        <w:tc>
          <w:tcPr>
            <w:tcW w:w="900" w:type="dxa"/>
          </w:tcPr>
          <w:p w14:paraId="6E4538A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.696</w:t>
            </w:r>
          </w:p>
        </w:tc>
        <w:tc>
          <w:tcPr>
            <w:tcW w:w="1620" w:type="dxa"/>
          </w:tcPr>
          <w:p w14:paraId="709A490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.0412065</w:t>
            </w:r>
          </w:p>
        </w:tc>
        <w:tc>
          <w:tcPr>
            <w:tcW w:w="1260" w:type="dxa"/>
          </w:tcPr>
          <w:p w14:paraId="69F0C24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.1174791</w:t>
            </w:r>
          </w:p>
        </w:tc>
        <w:tc>
          <w:tcPr>
            <w:tcW w:w="990" w:type="dxa"/>
          </w:tcPr>
          <w:p w14:paraId="545ACA5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0.0672</w:t>
            </w:r>
          </w:p>
        </w:tc>
      </w:tr>
      <w:tr w:rsidR="004C6464" w:rsidRPr="004C6464" w14:paraId="570FFE4A" w14:textId="77777777" w:rsidTr="008E13DF">
        <w:trPr>
          <w:trHeight w:val="297"/>
          <w:jc w:val="center"/>
        </w:trPr>
        <w:tc>
          <w:tcPr>
            <w:tcW w:w="1620" w:type="dxa"/>
          </w:tcPr>
          <w:p w14:paraId="359BB99D"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TLU</w:t>
            </w:r>
          </w:p>
        </w:tc>
        <w:tc>
          <w:tcPr>
            <w:tcW w:w="1440" w:type="dxa"/>
          </w:tcPr>
          <w:p w14:paraId="322C9BF2"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3.33</w:t>
            </w:r>
          </w:p>
        </w:tc>
        <w:tc>
          <w:tcPr>
            <w:tcW w:w="1260" w:type="dxa"/>
          </w:tcPr>
          <w:p w14:paraId="7467599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2.9605</w:t>
            </w:r>
          </w:p>
        </w:tc>
        <w:tc>
          <w:tcPr>
            <w:tcW w:w="1350" w:type="dxa"/>
          </w:tcPr>
          <w:p w14:paraId="3BE41AE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.2143127</w:t>
            </w:r>
          </w:p>
        </w:tc>
        <w:tc>
          <w:tcPr>
            <w:tcW w:w="900" w:type="dxa"/>
          </w:tcPr>
          <w:p w14:paraId="38E8898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3.821</w:t>
            </w:r>
          </w:p>
        </w:tc>
        <w:tc>
          <w:tcPr>
            <w:tcW w:w="1620" w:type="dxa"/>
          </w:tcPr>
          <w:p w14:paraId="4BF1AF3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.277412</w:t>
            </w:r>
          </w:p>
        </w:tc>
        <w:tc>
          <w:tcPr>
            <w:tcW w:w="1260" w:type="dxa"/>
          </w:tcPr>
          <w:p w14:paraId="11DB349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.8607238</w:t>
            </w:r>
          </w:p>
        </w:tc>
        <w:tc>
          <w:tcPr>
            <w:tcW w:w="990" w:type="dxa"/>
          </w:tcPr>
          <w:p w14:paraId="217D180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.0135</w:t>
            </w:r>
          </w:p>
        </w:tc>
      </w:tr>
      <w:tr w:rsidR="004C6464" w:rsidRPr="004C6464" w14:paraId="19C3A4F2" w14:textId="77777777" w:rsidTr="00B248D0">
        <w:trPr>
          <w:trHeight w:val="432"/>
          <w:jc w:val="center"/>
        </w:trPr>
        <w:tc>
          <w:tcPr>
            <w:tcW w:w="1620" w:type="dxa"/>
          </w:tcPr>
          <w:p w14:paraId="1B9B41BD"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Total income </w:t>
            </w:r>
          </w:p>
        </w:tc>
        <w:tc>
          <w:tcPr>
            <w:tcW w:w="1440" w:type="dxa"/>
          </w:tcPr>
          <w:p w14:paraId="2E35B5D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64005.15</w:t>
            </w:r>
          </w:p>
        </w:tc>
        <w:tc>
          <w:tcPr>
            <w:tcW w:w="1260" w:type="dxa"/>
          </w:tcPr>
          <w:p w14:paraId="5D8EE70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54950.76</w:t>
            </w:r>
          </w:p>
        </w:tc>
        <w:tc>
          <w:tcPr>
            <w:tcW w:w="1350" w:type="dxa"/>
          </w:tcPr>
          <w:p w14:paraId="4E42E30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6820.073</w:t>
            </w:r>
          </w:p>
        </w:tc>
        <w:tc>
          <w:tcPr>
            <w:tcW w:w="900" w:type="dxa"/>
          </w:tcPr>
          <w:p w14:paraId="770C15F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76323.34</w:t>
            </w:r>
          </w:p>
        </w:tc>
        <w:tc>
          <w:tcPr>
            <w:tcW w:w="1620" w:type="dxa"/>
          </w:tcPr>
          <w:p w14:paraId="25B3E58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5536.423</w:t>
            </w:r>
          </w:p>
        </w:tc>
        <w:tc>
          <w:tcPr>
            <w:tcW w:w="1260" w:type="dxa"/>
          </w:tcPr>
          <w:p w14:paraId="0179071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21372.58</w:t>
            </w:r>
          </w:p>
        </w:tc>
        <w:tc>
          <w:tcPr>
            <w:tcW w:w="990" w:type="dxa"/>
          </w:tcPr>
          <w:p w14:paraId="1B11ED2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.022</w:t>
            </w:r>
          </w:p>
        </w:tc>
      </w:tr>
      <w:tr w:rsidR="004C6464" w:rsidRPr="004C6464" w14:paraId="4CB2CB40" w14:textId="77777777" w:rsidTr="00B248D0">
        <w:trPr>
          <w:trHeight w:val="548"/>
          <w:jc w:val="center"/>
        </w:trPr>
        <w:tc>
          <w:tcPr>
            <w:tcW w:w="1620" w:type="dxa"/>
            <w:tcBorders>
              <w:bottom w:val="single" w:sz="4" w:space="0" w:color="auto"/>
            </w:tcBorders>
          </w:tcPr>
          <w:p w14:paraId="019BAA9A"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Extn contact </w:t>
            </w:r>
          </w:p>
        </w:tc>
        <w:tc>
          <w:tcPr>
            <w:tcW w:w="1440" w:type="dxa"/>
            <w:tcBorders>
              <w:bottom w:val="single" w:sz="4" w:space="0" w:color="auto"/>
            </w:tcBorders>
          </w:tcPr>
          <w:p w14:paraId="4BEC8723"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w:t>
            </w:r>
          </w:p>
        </w:tc>
        <w:tc>
          <w:tcPr>
            <w:tcW w:w="1260" w:type="dxa"/>
            <w:tcBorders>
              <w:bottom w:val="single" w:sz="4" w:space="0" w:color="auto"/>
            </w:tcBorders>
          </w:tcPr>
          <w:p w14:paraId="4C0919D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w:t>
            </w:r>
          </w:p>
        </w:tc>
        <w:tc>
          <w:tcPr>
            <w:tcW w:w="1350" w:type="dxa"/>
            <w:tcBorders>
              <w:bottom w:val="single" w:sz="4" w:space="0" w:color="auto"/>
            </w:tcBorders>
          </w:tcPr>
          <w:p w14:paraId="14319C8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.1631438</w:t>
            </w:r>
          </w:p>
        </w:tc>
        <w:tc>
          <w:tcPr>
            <w:tcW w:w="900" w:type="dxa"/>
            <w:tcBorders>
              <w:bottom w:val="single" w:sz="4" w:space="0" w:color="auto"/>
            </w:tcBorders>
          </w:tcPr>
          <w:p w14:paraId="4E4DF8A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w:t>
            </w:r>
          </w:p>
        </w:tc>
        <w:tc>
          <w:tcPr>
            <w:tcW w:w="1620" w:type="dxa"/>
            <w:tcBorders>
              <w:bottom w:val="single" w:sz="4" w:space="0" w:color="auto"/>
            </w:tcBorders>
          </w:tcPr>
          <w:p w14:paraId="2049C95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.2851398</w:t>
            </w:r>
          </w:p>
        </w:tc>
        <w:tc>
          <w:tcPr>
            <w:tcW w:w="1260" w:type="dxa"/>
            <w:tcBorders>
              <w:bottom w:val="single" w:sz="4" w:space="0" w:color="auto"/>
            </w:tcBorders>
          </w:tcPr>
          <w:p w14:paraId="49BD9C78"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w:t>
            </w:r>
          </w:p>
        </w:tc>
        <w:tc>
          <w:tcPr>
            <w:tcW w:w="990" w:type="dxa"/>
            <w:tcBorders>
              <w:bottom w:val="single" w:sz="4" w:space="0" w:color="auto"/>
            </w:tcBorders>
          </w:tcPr>
          <w:p w14:paraId="0A28723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bl>
    <w:p w14:paraId="022C283A" w14:textId="77777777" w:rsidR="004C6464" w:rsidRPr="004C6464" w:rsidRDefault="004C6464" w:rsidP="004C6464">
      <w:pPr>
        <w:spacing w:before="120" w:after="12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Source:</w:t>
      </w:r>
      <w:r w:rsidRPr="004C6464">
        <w:rPr>
          <w:rFonts w:ascii="Times New Roman" w:eastAsia="Calibri" w:hAnsi="Times New Roman" w:cs="Times New Roman"/>
          <w:sz w:val="24"/>
          <w:szCs w:val="24"/>
        </w:rPr>
        <w:t xml:space="preserve"> survey data (2024)</w:t>
      </w:r>
    </w:p>
    <w:p w14:paraId="730FE19B" w14:textId="77777777" w:rsidR="004C6464" w:rsidRPr="004C6464" w:rsidRDefault="004C6464" w:rsidP="008E13DF">
      <w:pPr>
        <w:spacing w:after="160" w:line="259" w:lineRule="auto"/>
        <w:rPr>
          <w:rFonts w:ascii="Times New Roman" w:eastAsia="Calibri" w:hAnsi="Times New Roman" w:cs="Times New Roman"/>
          <w:b/>
          <w:i/>
          <w:iCs/>
          <w:sz w:val="24"/>
          <w:szCs w:val="24"/>
        </w:rPr>
      </w:pPr>
      <w:r w:rsidRPr="004C6464">
        <w:rPr>
          <w:rFonts w:ascii="Times New Roman" w:eastAsia="Calibri" w:hAnsi="Times New Roman" w:cs="Times New Roman"/>
          <w:b/>
          <w:i/>
          <w:iCs/>
          <w:sz w:val="24"/>
          <w:szCs w:val="24"/>
        </w:rPr>
        <w:t xml:space="preserve">Table_ 4: </w:t>
      </w:r>
      <w:r w:rsidRPr="004C6464">
        <w:rPr>
          <w:rFonts w:ascii="Times New Roman" w:eastAsia="Calibri" w:hAnsi="Times New Roman" w:cs="Times New Roman"/>
          <w:i/>
          <w:iCs/>
          <w:sz w:val="24"/>
          <w:szCs w:val="24"/>
        </w:rPr>
        <w:t>Probit regression model output for factors affecting improved wheat seed use</w:t>
      </w:r>
    </w:p>
    <w:tbl>
      <w:tblPr>
        <w:tblW w:w="10602"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160"/>
        <w:gridCol w:w="2070"/>
        <w:gridCol w:w="1890"/>
        <w:gridCol w:w="1872"/>
      </w:tblGrid>
      <w:tr w:rsidR="004C6464" w:rsidRPr="004C6464" w14:paraId="14FC6905" w14:textId="77777777" w:rsidTr="00B248D0">
        <w:trPr>
          <w:trHeight w:val="196"/>
          <w:tblCellSpacing w:w="15" w:type="dxa"/>
          <w:jc w:val="center"/>
        </w:trPr>
        <w:tc>
          <w:tcPr>
            <w:tcW w:w="2565" w:type="dxa"/>
            <w:vAlign w:val="center"/>
            <w:hideMark/>
          </w:tcPr>
          <w:p w14:paraId="434EDB6A"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Variable</w:t>
            </w:r>
          </w:p>
        </w:tc>
        <w:tc>
          <w:tcPr>
            <w:tcW w:w="2130" w:type="dxa"/>
            <w:vAlign w:val="center"/>
            <w:hideMark/>
          </w:tcPr>
          <w:p w14:paraId="434455D6"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 xml:space="preserve"> Coef.</w:t>
            </w:r>
          </w:p>
        </w:tc>
        <w:tc>
          <w:tcPr>
            <w:tcW w:w="2040" w:type="dxa"/>
            <w:vAlign w:val="center"/>
            <w:hideMark/>
          </w:tcPr>
          <w:p w14:paraId="2F9DD4E6"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Std. Err.</w:t>
            </w:r>
          </w:p>
        </w:tc>
        <w:tc>
          <w:tcPr>
            <w:tcW w:w="1860" w:type="dxa"/>
            <w:vAlign w:val="center"/>
          </w:tcPr>
          <w:p w14:paraId="54FD5372"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P&gt;z</w:t>
            </w:r>
          </w:p>
        </w:tc>
        <w:tc>
          <w:tcPr>
            <w:tcW w:w="1827" w:type="dxa"/>
          </w:tcPr>
          <w:p w14:paraId="157718BB"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t>
            </w:r>
            <w:proofErr w:type="spellStart"/>
            <w:r w:rsidRPr="004C6464">
              <w:rPr>
                <w:rFonts w:ascii="Times New Roman" w:eastAsia="Calibri" w:hAnsi="Times New Roman" w:cs="Times New Roman"/>
                <w:b/>
                <w:sz w:val="24"/>
                <w:szCs w:val="24"/>
              </w:rPr>
              <w:t>dy</w:t>
            </w:r>
            <w:proofErr w:type="spellEnd"/>
            <w:r w:rsidRPr="004C6464">
              <w:rPr>
                <w:rFonts w:ascii="Times New Roman" w:eastAsia="Calibri" w:hAnsi="Times New Roman" w:cs="Times New Roman"/>
                <w:b/>
                <w:sz w:val="24"/>
                <w:szCs w:val="24"/>
              </w:rPr>
              <w:t>/dx</w:t>
            </w:r>
          </w:p>
        </w:tc>
      </w:tr>
      <w:tr w:rsidR="004C6464" w:rsidRPr="004C6464" w14:paraId="131B3A13" w14:textId="77777777" w:rsidTr="008E13DF">
        <w:trPr>
          <w:trHeight w:val="239"/>
          <w:tblCellSpacing w:w="15" w:type="dxa"/>
          <w:jc w:val="center"/>
        </w:trPr>
        <w:tc>
          <w:tcPr>
            <w:tcW w:w="2565" w:type="dxa"/>
            <w:tcBorders>
              <w:top w:val="single" w:sz="4" w:space="0" w:color="auto"/>
            </w:tcBorders>
            <w:vAlign w:val="center"/>
          </w:tcPr>
          <w:p w14:paraId="3255A94D"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Sex</w:t>
            </w:r>
          </w:p>
        </w:tc>
        <w:tc>
          <w:tcPr>
            <w:tcW w:w="2130" w:type="dxa"/>
            <w:tcBorders>
              <w:top w:val="single" w:sz="4" w:space="0" w:color="auto"/>
            </w:tcBorders>
            <w:vAlign w:val="center"/>
          </w:tcPr>
          <w:p w14:paraId="1B4CC990"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-.1896246</w:t>
            </w:r>
          </w:p>
        </w:tc>
        <w:tc>
          <w:tcPr>
            <w:tcW w:w="2040" w:type="dxa"/>
            <w:tcBorders>
              <w:top w:val="single" w:sz="4" w:space="0" w:color="auto"/>
            </w:tcBorders>
            <w:vAlign w:val="center"/>
          </w:tcPr>
          <w:p w14:paraId="6BDD63F0"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.3527191</w:t>
            </w:r>
          </w:p>
        </w:tc>
        <w:tc>
          <w:tcPr>
            <w:tcW w:w="1860" w:type="dxa"/>
            <w:tcBorders>
              <w:top w:val="single" w:sz="4" w:space="0" w:color="auto"/>
            </w:tcBorders>
            <w:vAlign w:val="center"/>
          </w:tcPr>
          <w:p w14:paraId="274FEB18"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0.591</w:t>
            </w:r>
          </w:p>
        </w:tc>
        <w:tc>
          <w:tcPr>
            <w:tcW w:w="1827" w:type="dxa"/>
            <w:tcBorders>
              <w:top w:val="single" w:sz="4" w:space="0" w:color="auto"/>
            </w:tcBorders>
          </w:tcPr>
          <w:p w14:paraId="3FFAC9C4"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C6464">
              <w:rPr>
                <w:rFonts w:ascii="Times New Roman" w:eastAsia="Calibri" w:hAnsi="Times New Roman" w:cs="Times New Roman"/>
                <w:sz w:val="24"/>
                <w:szCs w:val="24"/>
              </w:rPr>
              <w:t xml:space="preserve">   -0.075</w:t>
            </w:r>
          </w:p>
        </w:tc>
      </w:tr>
      <w:tr w:rsidR="004C6464" w:rsidRPr="004C6464" w14:paraId="3055FEE0" w14:textId="77777777" w:rsidTr="00B248D0">
        <w:trPr>
          <w:trHeight w:val="329"/>
          <w:tblCellSpacing w:w="15" w:type="dxa"/>
          <w:jc w:val="center"/>
        </w:trPr>
        <w:tc>
          <w:tcPr>
            <w:tcW w:w="2565" w:type="dxa"/>
            <w:vAlign w:val="center"/>
            <w:hideMark/>
          </w:tcPr>
          <w:p w14:paraId="168FA48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Education </w:t>
            </w:r>
          </w:p>
        </w:tc>
        <w:tc>
          <w:tcPr>
            <w:tcW w:w="2130" w:type="dxa"/>
            <w:vAlign w:val="center"/>
            <w:hideMark/>
          </w:tcPr>
          <w:p w14:paraId="1FA7764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.6462769***</w:t>
            </w:r>
          </w:p>
        </w:tc>
        <w:tc>
          <w:tcPr>
            <w:tcW w:w="2040" w:type="dxa"/>
            <w:vAlign w:val="center"/>
            <w:hideMark/>
          </w:tcPr>
          <w:p w14:paraId="76726F11"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.1485066</w:t>
            </w:r>
          </w:p>
        </w:tc>
        <w:tc>
          <w:tcPr>
            <w:tcW w:w="1860" w:type="dxa"/>
            <w:vAlign w:val="center"/>
          </w:tcPr>
          <w:p w14:paraId="1F1BCC2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08729F4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0.257***</w:t>
            </w:r>
          </w:p>
        </w:tc>
      </w:tr>
      <w:tr w:rsidR="004C6464" w:rsidRPr="004C6464" w14:paraId="0BA77FFA" w14:textId="77777777" w:rsidTr="008E13DF">
        <w:trPr>
          <w:trHeight w:val="240"/>
          <w:tblCellSpacing w:w="15" w:type="dxa"/>
          <w:jc w:val="center"/>
        </w:trPr>
        <w:tc>
          <w:tcPr>
            <w:tcW w:w="2565" w:type="dxa"/>
            <w:vAlign w:val="center"/>
            <w:hideMark/>
          </w:tcPr>
          <w:p w14:paraId="6E1FB02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Social Position </w:t>
            </w:r>
          </w:p>
        </w:tc>
        <w:tc>
          <w:tcPr>
            <w:tcW w:w="2130" w:type="dxa"/>
            <w:vAlign w:val="center"/>
            <w:hideMark/>
          </w:tcPr>
          <w:p w14:paraId="50B61E7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.7498515**</w:t>
            </w:r>
          </w:p>
        </w:tc>
        <w:tc>
          <w:tcPr>
            <w:tcW w:w="2040" w:type="dxa"/>
            <w:vAlign w:val="center"/>
            <w:hideMark/>
          </w:tcPr>
          <w:p w14:paraId="75BB819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.3213804</w:t>
            </w:r>
          </w:p>
        </w:tc>
        <w:tc>
          <w:tcPr>
            <w:tcW w:w="1860" w:type="dxa"/>
            <w:vAlign w:val="center"/>
          </w:tcPr>
          <w:p w14:paraId="356746D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0.020</w:t>
            </w:r>
          </w:p>
        </w:tc>
        <w:tc>
          <w:tcPr>
            <w:tcW w:w="1827" w:type="dxa"/>
          </w:tcPr>
          <w:p w14:paraId="56155695"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0.292**</w:t>
            </w:r>
          </w:p>
        </w:tc>
      </w:tr>
      <w:tr w:rsidR="004C6464" w:rsidRPr="004C6464" w14:paraId="6F1D28C9" w14:textId="77777777" w:rsidTr="00B248D0">
        <w:trPr>
          <w:trHeight w:val="275"/>
          <w:tblCellSpacing w:w="15" w:type="dxa"/>
          <w:jc w:val="center"/>
        </w:trPr>
        <w:tc>
          <w:tcPr>
            <w:tcW w:w="2565" w:type="dxa"/>
            <w:vAlign w:val="center"/>
            <w:hideMark/>
          </w:tcPr>
          <w:p w14:paraId="33E5583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Family Size</w:t>
            </w:r>
          </w:p>
        </w:tc>
        <w:tc>
          <w:tcPr>
            <w:tcW w:w="2130" w:type="dxa"/>
            <w:vAlign w:val="center"/>
            <w:hideMark/>
          </w:tcPr>
          <w:p w14:paraId="0076DB6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.0101955</w:t>
            </w:r>
          </w:p>
        </w:tc>
        <w:tc>
          <w:tcPr>
            <w:tcW w:w="2040" w:type="dxa"/>
            <w:vAlign w:val="center"/>
            <w:hideMark/>
          </w:tcPr>
          <w:p w14:paraId="6ACBBD9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.0580273</w:t>
            </w:r>
          </w:p>
        </w:tc>
        <w:tc>
          <w:tcPr>
            <w:tcW w:w="1860" w:type="dxa"/>
            <w:vAlign w:val="center"/>
          </w:tcPr>
          <w:p w14:paraId="2534DBB1"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0.861</w:t>
            </w:r>
          </w:p>
        </w:tc>
        <w:tc>
          <w:tcPr>
            <w:tcW w:w="1827" w:type="dxa"/>
          </w:tcPr>
          <w:p w14:paraId="77DCDD27"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0.004</w:t>
            </w:r>
          </w:p>
        </w:tc>
      </w:tr>
      <w:tr w:rsidR="004C6464" w:rsidRPr="004C6464" w14:paraId="4823FAC7" w14:textId="77777777" w:rsidTr="00B248D0">
        <w:trPr>
          <w:trHeight w:val="185"/>
          <w:tblCellSpacing w:w="15" w:type="dxa"/>
          <w:jc w:val="center"/>
        </w:trPr>
        <w:tc>
          <w:tcPr>
            <w:tcW w:w="2565" w:type="dxa"/>
            <w:vAlign w:val="center"/>
            <w:hideMark/>
          </w:tcPr>
          <w:p w14:paraId="4CB29E8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Market Distance</w:t>
            </w:r>
          </w:p>
        </w:tc>
        <w:tc>
          <w:tcPr>
            <w:tcW w:w="2130" w:type="dxa"/>
            <w:vAlign w:val="center"/>
            <w:hideMark/>
          </w:tcPr>
          <w:p w14:paraId="7B789674"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-.5519485*</w:t>
            </w:r>
          </w:p>
        </w:tc>
        <w:tc>
          <w:tcPr>
            <w:tcW w:w="2040" w:type="dxa"/>
            <w:vAlign w:val="center"/>
            <w:hideMark/>
          </w:tcPr>
          <w:p w14:paraId="5C30D22E"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.3045507</w:t>
            </w:r>
          </w:p>
        </w:tc>
        <w:tc>
          <w:tcPr>
            <w:tcW w:w="1860" w:type="dxa"/>
            <w:vAlign w:val="center"/>
          </w:tcPr>
          <w:p w14:paraId="57FC1A3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0.070</w:t>
            </w:r>
          </w:p>
        </w:tc>
        <w:tc>
          <w:tcPr>
            <w:tcW w:w="1827" w:type="dxa"/>
          </w:tcPr>
          <w:p w14:paraId="7D873C5F"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-0.217*</w:t>
            </w:r>
          </w:p>
        </w:tc>
      </w:tr>
      <w:tr w:rsidR="004C6464" w:rsidRPr="004C6464" w14:paraId="34D2384C" w14:textId="77777777" w:rsidTr="00B248D0">
        <w:trPr>
          <w:trHeight w:val="113"/>
          <w:tblCellSpacing w:w="15" w:type="dxa"/>
          <w:jc w:val="center"/>
        </w:trPr>
        <w:tc>
          <w:tcPr>
            <w:tcW w:w="2565" w:type="dxa"/>
            <w:vAlign w:val="center"/>
            <w:hideMark/>
          </w:tcPr>
          <w:p w14:paraId="27587E49"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Seed price </w:t>
            </w:r>
          </w:p>
        </w:tc>
        <w:tc>
          <w:tcPr>
            <w:tcW w:w="2130" w:type="dxa"/>
            <w:vAlign w:val="center"/>
            <w:hideMark/>
          </w:tcPr>
          <w:p w14:paraId="08F16FC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-.2631006</w:t>
            </w:r>
          </w:p>
        </w:tc>
        <w:tc>
          <w:tcPr>
            <w:tcW w:w="2040" w:type="dxa"/>
            <w:vAlign w:val="center"/>
            <w:hideMark/>
          </w:tcPr>
          <w:p w14:paraId="3159835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.4031397</w:t>
            </w:r>
          </w:p>
        </w:tc>
        <w:tc>
          <w:tcPr>
            <w:tcW w:w="1860" w:type="dxa"/>
            <w:vAlign w:val="center"/>
          </w:tcPr>
          <w:p w14:paraId="5210E2A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0.514</w:t>
            </w:r>
          </w:p>
        </w:tc>
        <w:tc>
          <w:tcPr>
            <w:tcW w:w="1827" w:type="dxa"/>
          </w:tcPr>
          <w:p w14:paraId="6CD4A531"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-0.104</w:t>
            </w:r>
          </w:p>
        </w:tc>
      </w:tr>
      <w:tr w:rsidR="004C6464" w:rsidRPr="004C6464" w14:paraId="27008111" w14:textId="77777777" w:rsidTr="00B248D0">
        <w:trPr>
          <w:trHeight w:val="113"/>
          <w:tblCellSpacing w:w="15" w:type="dxa"/>
          <w:jc w:val="center"/>
        </w:trPr>
        <w:tc>
          <w:tcPr>
            <w:tcW w:w="2565" w:type="dxa"/>
            <w:vAlign w:val="center"/>
            <w:hideMark/>
          </w:tcPr>
          <w:p w14:paraId="7FC679D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Seed supply time</w:t>
            </w:r>
          </w:p>
        </w:tc>
        <w:tc>
          <w:tcPr>
            <w:tcW w:w="2130" w:type="dxa"/>
            <w:vAlign w:val="center"/>
            <w:hideMark/>
          </w:tcPr>
          <w:p w14:paraId="7C3E5E0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-.621519</w:t>
            </w:r>
          </w:p>
        </w:tc>
        <w:tc>
          <w:tcPr>
            <w:tcW w:w="2040" w:type="dxa"/>
            <w:vAlign w:val="center"/>
            <w:hideMark/>
          </w:tcPr>
          <w:p w14:paraId="7FAA938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.5204703</w:t>
            </w:r>
          </w:p>
        </w:tc>
        <w:tc>
          <w:tcPr>
            <w:tcW w:w="1860" w:type="dxa"/>
            <w:vAlign w:val="center"/>
          </w:tcPr>
          <w:p w14:paraId="4DEB740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0.232</w:t>
            </w:r>
          </w:p>
        </w:tc>
        <w:tc>
          <w:tcPr>
            <w:tcW w:w="1827" w:type="dxa"/>
          </w:tcPr>
          <w:p w14:paraId="5CCFB285"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-0.232</w:t>
            </w:r>
          </w:p>
        </w:tc>
      </w:tr>
      <w:tr w:rsidR="004C6464" w:rsidRPr="004C6464" w14:paraId="21D156A7" w14:textId="77777777" w:rsidTr="00B248D0">
        <w:trPr>
          <w:trHeight w:val="28"/>
          <w:tblCellSpacing w:w="15" w:type="dxa"/>
          <w:jc w:val="center"/>
        </w:trPr>
        <w:tc>
          <w:tcPr>
            <w:tcW w:w="2565" w:type="dxa"/>
            <w:vAlign w:val="center"/>
            <w:hideMark/>
          </w:tcPr>
          <w:p w14:paraId="5964407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Seed quantity</w:t>
            </w:r>
          </w:p>
        </w:tc>
        <w:tc>
          <w:tcPr>
            <w:tcW w:w="2130" w:type="dxa"/>
            <w:vAlign w:val="center"/>
            <w:hideMark/>
          </w:tcPr>
          <w:p w14:paraId="760A068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-1.844836***</w:t>
            </w:r>
          </w:p>
        </w:tc>
        <w:tc>
          <w:tcPr>
            <w:tcW w:w="2040" w:type="dxa"/>
            <w:vAlign w:val="center"/>
            <w:hideMark/>
          </w:tcPr>
          <w:p w14:paraId="79A90EB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.4615376</w:t>
            </w:r>
          </w:p>
        </w:tc>
        <w:tc>
          <w:tcPr>
            <w:tcW w:w="1860" w:type="dxa"/>
            <w:vAlign w:val="center"/>
          </w:tcPr>
          <w:p w14:paraId="65A703D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534BE65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-0.560***</w:t>
            </w:r>
          </w:p>
        </w:tc>
      </w:tr>
      <w:tr w:rsidR="004C6464" w:rsidRPr="004C6464" w14:paraId="5688D4DD" w14:textId="77777777" w:rsidTr="00B248D0">
        <w:trPr>
          <w:trHeight w:val="212"/>
          <w:tblCellSpacing w:w="15" w:type="dxa"/>
          <w:jc w:val="center"/>
        </w:trPr>
        <w:tc>
          <w:tcPr>
            <w:tcW w:w="2565" w:type="dxa"/>
            <w:vAlign w:val="center"/>
            <w:hideMark/>
          </w:tcPr>
          <w:p w14:paraId="76F6087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Extension contact</w:t>
            </w:r>
          </w:p>
        </w:tc>
        <w:tc>
          <w:tcPr>
            <w:tcW w:w="2130" w:type="dxa"/>
            <w:vAlign w:val="center"/>
            <w:hideMark/>
          </w:tcPr>
          <w:p w14:paraId="57B018E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.4420299***</w:t>
            </w:r>
          </w:p>
        </w:tc>
        <w:tc>
          <w:tcPr>
            <w:tcW w:w="2040" w:type="dxa"/>
            <w:vAlign w:val="center"/>
            <w:hideMark/>
          </w:tcPr>
          <w:p w14:paraId="19B8DF1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.09641</w:t>
            </w:r>
          </w:p>
        </w:tc>
        <w:tc>
          <w:tcPr>
            <w:tcW w:w="1860" w:type="dxa"/>
            <w:vAlign w:val="center"/>
          </w:tcPr>
          <w:p w14:paraId="6453488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6A122E58"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0.176***</w:t>
            </w:r>
          </w:p>
        </w:tc>
      </w:tr>
      <w:tr w:rsidR="004C6464" w:rsidRPr="004C6464" w14:paraId="5D9E48C1" w14:textId="77777777" w:rsidTr="00B248D0">
        <w:trPr>
          <w:trHeight w:val="28"/>
          <w:tblCellSpacing w:w="15" w:type="dxa"/>
          <w:jc w:val="center"/>
        </w:trPr>
        <w:tc>
          <w:tcPr>
            <w:tcW w:w="2565" w:type="dxa"/>
            <w:vAlign w:val="center"/>
            <w:hideMark/>
          </w:tcPr>
          <w:p w14:paraId="5A5AF58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Credit Use</w:t>
            </w:r>
          </w:p>
        </w:tc>
        <w:tc>
          <w:tcPr>
            <w:tcW w:w="2130" w:type="dxa"/>
            <w:vAlign w:val="center"/>
            <w:hideMark/>
          </w:tcPr>
          <w:p w14:paraId="6E8A34A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.4212322</w:t>
            </w:r>
          </w:p>
        </w:tc>
        <w:tc>
          <w:tcPr>
            <w:tcW w:w="2040" w:type="dxa"/>
            <w:vAlign w:val="center"/>
            <w:hideMark/>
          </w:tcPr>
          <w:p w14:paraId="4713BB9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.5216603</w:t>
            </w:r>
          </w:p>
        </w:tc>
        <w:tc>
          <w:tcPr>
            <w:tcW w:w="1860" w:type="dxa"/>
            <w:vAlign w:val="center"/>
          </w:tcPr>
          <w:p w14:paraId="5B11967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0.419</w:t>
            </w:r>
          </w:p>
        </w:tc>
        <w:tc>
          <w:tcPr>
            <w:tcW w:w="1827" w:type="dxa"/>
          </w:tcPr>
          <w:p w14:paraId="4CC5DC39"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0.162</w:t>
            </w:r>
          </w:p>
        </w:tc>
      </w:tr>
      <w:tr w:rsidR="004C6464" w:rsidRPr="004C6464" w14:paraId="5A0B75B9" w14:textId="77777777" w:rsidTr="00B248D0">
        <w:trPr>
          <w:trHeight w:val="28"/>
          <w:tblCellSpacing w:w="15" w:type="dxa"/>
          <w:jc w:val="center"/>
        </w:trPr>
        <w:tc>
          <w:tcPr>
            <w:tcW w:w="2565" w:type="dxa"/>
            <w:vAlign w:val="center"/>
            <w:hideMark/>
          </w:tcPr>
          <w:p w14:paraId="1C59E9FC"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Total income</w:t>
            </w:r>
          </w:p>
        </w:tc>
        <w:tc>
          <w:tcPr>
            <w:tcW w:w="2130" w:type="dxa"/>
            <w:vAlign w:val="center"/>
            <w:hideMark/>
          </w:tcPr>
          <w:p w14:paraId="4072222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2.74e-06</w:t>
            </w:r>
          </w:p>
        </w:tc>
        <w:tc>
          <w:tcPr>
            <w:tcW w:w="2040" w:type="dxa"/>
            <w:vAlign w:val="center"/>
            <w:hideMark/>
          </w:tcPr>
          <w:p w14:paraId="7595993E"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2.70e-06</w:t>
            </w:r>
          </w:p>
        </w:tc>
        <w:tc>
          <w:tcPr>
            <w:tcW w:w="1860" w:type="dxa"/>
            <w:vAlign w:val="center"/>
          </w:tcPr>
          <w:p w14:paraId="0724E69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0.309</w:t>
            </w:r>
          </w:p>
        </w:tc>
        <w:tc>
          <w:tcPr>
            <w:tcW w:w="1827" w:type="dxa"/>
          </w:tcPr>
          <w:p w14:paraId="2DB0286C"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0.000</w:t>
            </w:r>
          </w:p>
        </w:tc>
      </w:tr>
      <w:tr w:rsidR="004C6464" w:rsidRPr="004C6464" w14:paraId="5163149D" w14:textId="77777777" w:rsidTr="00B248D0">
        <w:trPr>
          <w:trHeight w:val="28"/>
          <w:tblCellSpacing w:w="15" w:type="dxa"/>
          <w:jc w:val="center"/>
        </w:trPr>
        <w:tc>
          <w:tcPr>
            <w:tcW w:w="2565" w:type="dxa"/>
            <w:vAlign w:val="center"/>
            <w:hideMark/>
          </w:tcPr>
          <w:p w14:paraId="04B026C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Land Hold</w:t>
            </w:r>
          </w:p>
        </w:tc>
        <w:tc>
          <w:tcPr>
            <w:tcW w:w="2130" w:type="dxa"/>
            <w:vAlign w:val="center"/>
            <w:hideMark/>
          </w:tcPr>
          <w:p w14:paraId="74CC81B2"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.0511162</w:t>
            </w:r>
          </w:p>
        </w:tc>
        <w:tc>
          <w:tcPr>
            <w:tcW w:w="2040" w:type="dxa"/>
            <w:vAlign w:val="center"/>
            <w:hideMark/>
          </w:tcPr>
          <w:p w14:paraId="64988EF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.17897</w:t>
            </w:r>
          </w:p>
        </w:tc>
        <w:tc>
          <w:tcPr>
            <w:tcW w:w="1860" w:type="dxa"/>
            <w:vAlign w:val="center"/>
          </w:tcPr>
          <w:p w14:paraId="4BB1529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0.775</w:t>
            </w:r>
          </w:p>
        </w:tc>
        <w:tc>
          <w:tcPr>
            <w:tcW w:w="1827" w:type="dxa"/>
          </w:tcPr>
          <w:p w14:paraId="6CBAB29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0.020</w:t>
            </w:r>
          </w:p>
        </w:tc>
      </w:tr>
      <w:tr w:rsidR="004C6464" w:rsidRPr="004C6464" w14:paraId="06A4EF1C" w14:textId="77777777" w:rsidTr="00B248D0">
        <w:trPr>
          <w:trHeight w:val="28"/>
          <w:tblCellSpacing w:w="15" w:type="dxa"/>
          <w:jc w:val="center"/>
        </w:trPr>
        <w:tc>
          <w:tcPr>
            <w:tcW w:w="2565" w:type="dxa"/>
            <w:vAlign w:val="center"/>
            <w:hideMark/>
          </w:tcPr>
          <w:p w14:paraId="611AB44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_cons</w:t>
            </w:r>
          </w:p>
        </w:tc>
        <w:tc>
          <w:tcPr>
            <w:tcW w:w="2130" w:type="dxa"/>
            <w:vAlign w:val="center"/>
            <w:hideMark/>
          </w:tcPr>
          <w:p w14:paraId="58841C6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-.9189797</w:t>
            </w:r>
          </w:p>
        </w:tc>
        <w:tc>
          <w:tcPr>
            <w:tcW w:w="2040" w:type="dxa"/>
            <w:vAlign w:val="center"/>
            <w:hideMark/>
          </w:tcPr>
          <w:p w14:paraId="5F429639"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1.053716</w:t>
            </w:r>
          </w:p>
        </w:tc>
        <w:tc>
          <w:tcPr>
            <w:tcW w:w="1860" w:type="dxa"/>
            <w:vAlign w:val="center"/>
          </w:tcPr>
          <w:p w14:paraId="1889FDB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0.383</w:t>
            </w:r>
          </w:p>
        </w:tc>
        <w:tc>
          <w:tcPr>
            <w:tcW w:w="1827" w:type="dxa"/>
          </w:tcPr>
          <w:p w14:paraId="00D85797"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w:t>
            </w:r>
          </w:p>
        </w:tc>
      </w:tr>
      <w:tr w:rsidR="004C6464" w:rsidRPr="004C6464" w14:paraId="5F28764B" w14:textId="77777777" w:rsidTr="00B248D0">
        <w:trPr>
          <w:trHeight w:val="851"/>
          <w:tblCellSpacing w:w="15" w:type="dxa"/>
          <w:jc w:val="center"/>
        </w:trPr>
        <w:tc>
          <w:tcPr>
            <w:tcW w:w="10542" w:type="dxa"/>
            <w:gridSpan w:val="5"/>
            <w:tcBorders>
              <w:top w:val="single" w:sz="4" w:space="0" w:color="auto"/>
            </w:tcBorders>
            <w:vAlign w:val="center"/>
          </w:tcPr>
          <w:p w14:paraId="0075C1F2"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Number of </w:t>
            </w:r>
            <w:proofErr w:type="spellStart"/>
            <w:r w:rsidRPr="004C6464">
              <w:rPr>
                <w:rFonts w:ascii="Times New Roman" w:eastAsia="Times New Roman" w:hAnsi="Times New Roman" w:cs="Times New Roman"/>
                <w:sz w:val="24"/>
                <w:szCs w:val="24"/>
              </w:rPr>
              <w:t>Obs</w:t>
            </w:r>
            <w:proofErr w:type="spellEnd"/>
            <w:r w:rsidRPr="004C6464">
              <w:rPr>
                <w:rFonts w:ascii="Times New Roman" w:eastAsia="Times New Roman" w:hAnsi="Times New Roman" w:cs="Times New Roman"/>
                <w:sz w:val="24"/>
                <w:szCs w:val="24"/>
              </w:rPr>
              <w:t xml:space="preserve">   =        203</w:t>
            </w:r>
          </w:p>
          <w:p w14:paraId="409E057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  LR chi2(12)     =     131.55</w:t>
            </w:r>
          </w:p>
          <w:p w14:paraId="09436DD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 Prob &gt; chi2     =     0.0000</w:t>
            </w:r>
          </w:p>
          <w:p w14:paraId="7AD8830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Pseudo R2       =     0.5622</w:t>
            </w:r>
          </w:p>
        </w:tc>
      </w:tr>
    </w:tbl>
    <w:p w14:paraId="2E4EFCBB" w14:textId="77777777" w:rsidR="008E13DF" w:rsidRPr="008E13DF" w:rsidRDefault="004C6464" w:rsidP="008E13DF">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Source;</w:t>
      </w:r>
      <w:r w:rsidRPr="004C6464">
        <w:rPr>
          <w:rFonts w:ascii="Times New Roman" w:eastAsia="Calibri" w:hAnsi="Times New Roman" w:cs="Times New Roman"/>
          <w:color w:val="222222"/>
          <w:sz w:val="24"/>
          <w:szCs w:val="24"/>
          <w:shd w:val="clear" w:color="auto" w:fill="FFFFFF"/>
        </w:rPr>
        <w:t xml:space="preserve"> Field survey data (2024)</w:t>
      </w:r>
    </w:p>
    <w:p w14:paraId="2742517A" w14:textId="77777777" w:rsidR="004C6464" w:rsidRPr="004C6464" w:rsidRDefault="004C6464" w:rsidP="004C6464">
      <w:pPr>
        <w:keepNext/>
        <w:spacing w:line="240" w:lineRule="auto"/>
        <w:jc w:val="both"/>
        <w:rPr>
          <w:rFonts w:ascii="Times New Roman" w:eastAsia="Calibri" w:hAnsi="Times New Roman" w:cs="Times New Roman"/>
          <w:i/>
          <w:iCs/>
          <w:sz w:val="24"/>
          <w:szCs w:val="24"/>
        </w:rPr>
      </w:pPr>
      <w:r w:rsidRPr="004C6464">
        <w:rPr>
          <w:rFonts w:ascii="Times New Roman" w:eastAsia="Calibri" w:hAnsi="Times New Roman" w:cs="Times New Roman"/>
          <w:b/>
          <w:i/>
          <w:iCs/>
          <w:sz w:val="24"/>
          <w:szCs w:val="24"/>
        </w:rPr>
        <w:lastRenderedPageBreak/>
        <w:t xml:space="preserve">Table _5: </w:t>
      </w:r>
      <w:r w:rsidRPr="004C6464">
        <w:rPr>
          <w:rFonts w:ascii="Times New Roman" w:eastAsia="Calibri" w:hAnsi="Times New Roman" w:cs="Times New Roman"/>
          <w:i/>
          <w:iCs/>
          <w:sz w:val="24"/>
          <w:szCs w:val="24"/>
        </w:rPr>
        <w:t>Summary of the propensity score</w:t>
      </w:r>
    </w:p>
    <w:tbl>
      <w:tblPr>
        <w:tblW w:w="9630"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1287"/>
        <w:gridCol w:w="1705"/>
        <w:gridCol w:w="2106"/>
        <w:gridCol w:w="1742"/>
      </w:tblGrid>
      <w:tr w:rsidR="004C6464" w:rsidRPr="004C6464" w14:paraId="7D4AF85D" w14:textId="77777777" w:rsidTr="00B248D0">
        <w:trPr>
          <w:trHeight w:val="313"/>
          <w:tblCellSpacing w:w="15" w:type="dxa"/>
          <w:jc w:val="center"/>
        </w:trPr>
        <w:tc>
          <w:tcPr>
            <w:tcW w:w="2745" w:type="dxa"/>
            <w:vAlign w:val="center"/>
            <w:hideMark/>
          </w:tcPr>
          <w:p w14:paraId="363C69FF"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 xml:space="preserve">Treatments </w:t>
            </w:r>
          </w:p>
        </w:tc>
        <w:tc>
          <w:tcPr>
            <w:tcW w:w="1257" w:type="dxa"/>
            <w:vAlign w:val="center"/>
            <w:hideMark/>
          </w:tcPr>
          <w:p w14:paraId="46BB29B6"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Mean</w:t>
            </w:r>
          </w:p>
        </w:tc>
        <w:tc>
          <w:tcPr>
            <w:tcW w:w="1675" w:type="dxa"/>
            <w:vAlign w:val="center"/>
            <w:hideMark/>
          </w:tcPr>
          <w:p w14:paraId="153C0F4D"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Std.</w:t>
            </w:r>
          </w:p>
        </w:tc>
        <w:tc>
          <w:tcPr>
            <w:tcW w:w="2076" w:type="dxa"/>
            <w:vAlign w:val="center"/>
            <w:hideMark/>
          </w:tcPr>
          <w:p w14:paraId="3C23AAD4"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min</w:t>
            </w:r>
          </w:p>
        </w:tc>
        <w:tc>
          <w:tcPr>
            <w:tcW w:w="1697" w:type="dxa"/>
            <w:vAlign w:val="center"/>
            <w:hideMark/>
          </w:tcPr>
          <w:p w14:paraId="3F5D6726"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max</w:t>
            </w:r>
          </w:p>
        </w:tc>
      </w:tr>
      <w:tr w:rsidR="004C6464" w:rsidRPr="004C6464" w14:paraId="05C24949" w14:textId="77777777" w:rsidTr="00B248D0">
        <w:trPr>
          <w:trHeight w:val="28"/>
          <w:tblCellSpacing w:w="15" w:type="dxa"/>
          <w:jc w:val="center"/>
        </w:trPr>
        <w:tc>
          <w:tcPr>
            <w:tcW w:w="2745" w:type="dxa"/>
            <w:tcBorders>
              <w:top w:val="single" w:sz="4" w:space="0" w:color="auto"/>
            </w:tcBorders>
            <w:vAlign w:val="center"/>
            <w:hideMark/>
          </w:tcPr>
          <w:p w14:paraId="402706A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257" w:type="dxa"/>
            <w:tcBorders>
              <w:top w:val="single" w:sz="4" w:space="0" w:color="auto"/>
            </w:tcBorders>
            <w:vAlign w:val="center"/>
            <w:hideMark/>
          </w:tcPr>
          <w:p w14:paraId="343688F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75" w:type="dxa"/>
            <w:tcBorders>
              <w:top w:val="single" w:sz="4" w:space="0" w:color="auto"/>
            </w:tcBorders>
            <w:vAlign w:val="center"/>
            <w:hideMark/>
          </w:tcPr>
          <w:p w14:paraId="2B32095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2076" w:type="dxa"/>
            <w:tcBorders>
              <w:top w:val="single" w:sz="4" w:space="0" w:color="auto"/>
            </w:tcBorders>
            <w:vAlign w:val="center"/>
            <w:hideMark/>
          </w:tcPr>
          <w:p w14:paraId="399DD1C8"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97" w:type="dxa"/>
            <w:tcBorders>
              <w:top w:val="single" w:sz="4" w:space="0" w:color="auto"/>
            </w:tcBorders>
            <w:vAlign w:val="center"/>
            <w:hideMark/>
          </w:tcPr>
          <w:p w14:paraId="7685CACE"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r>
      <w:tr w:rsidR="004C6464" w:rsidRPr="004C6464" w14:paraId="7E265631" w14:textId="77777777" w:rsidTr="00B248D0">
        <w:trPr>
          <w:trHeight w:val="366"/>
          <w:tblCellSpacing w:w="15" w:type="dxa"/>
          <w:jc w:val="center"/>
        </w:trPr>
        <w:tc>
          <w:tcPr>
            <w:tcW w:w="2745" w:type="dxa"/>
            <w:vAlign w:val="center"/>
            <w:hideMark/>
          </w:tcPr>
          <w:p w14:paraId="09822028"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Improved wheat seed  user </w:t>
            </w:r>
          </w:p>
        </w:tc>
        <w:tc>
          <w:tcPr>
            <w:tcW w:w="1257" w:type="dxa"/>
            <w:vAlign w:val="center"/>
            <w:hideMark/>
          </w:tcPr>
          <w:p w14:paraId="60185F91"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.7980889</w:t>
            </w:r>
          </w:p>
        </w:tc>
        <w:tc>
          <w:tcPr>
            <w:tcW w:w="1675" w:type="dxa"/>
            <w:vAlign w:val="center"/>
            <w:hideMark/>
          </w:tcPr>
          <w:p w14:paraId="221730FE"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.2481981</w:t>
            </w:r>
          </w:p>
        </w:tc>
        <w:tc>
          <w:tcPr>
            <w:tcW w:w="2076" w:type="dxa"/>
            <w:vAlign w:val="center"/>
            <w:hideMark/>
          </w:tcPr>
          <w:p w14:paraId="6EBF48A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.048783</w:t>
            </w:r>
          </w:p>
        </w:tc>
        <w:tc>
          <w:tcPr>
            <w:tcW w:w="1697" w:type="dxa"/>
            <w:vAlign w:val="center"/>
            <w:hideMark/>
          </w:tcPr>
          <w:p w14:paraId="3B531A5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w:t>
            </w:r>
          </w:p>
        </w:tc>
      </w:tr>
      <w:tr w:rsidR="004C6464" w:rsidRPr="004C6464" w14:paraId="0A9455B5" w14:textId="77777777" w:rsidTr="00B248D0">
        <w:trPr>
          <w:trHeight w:val="348"/>
          <w:tblCellSpacing w:w="15" w:type="dxa"/>
          <w:jc w:val="center"/>
        </w:trPr>
        <w:tc>
          <w:tcPr>
            <w:tcW w:w="2745" w:type="dxa"/>
            <w:vAlign w:val="center"/>
            <w:hideMark/>
          </w:tcPr>
          <w:p w14:paraId="1FC586C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Local wheat seed  user </w:t>
            </w:r>
          </w:p>
        </w:tc>
        <w:tc>
          <w:tcPr>
            <w:tcW w:w="1257" w:type="dxa"/>
            <w:vAlign w:val="center"/>
            <w:hideMark/>
          </w:tcPr>
          <w:p w14:paraId="77D0F049"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.185334</w:t>
            </w:r>
          </w:p>
        </w:tc>
        <w:tc>
          <w:tcPr>
            <w:tcW w:w="1675" w:type="dxa"/>
            <w:vAlign w:val="center"/>
            <w:hideMark/>
          </w:tcPr>
          <w:p w14:paraId="259F18DB"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.2363376</w:t>
            </w:r>
          </w:p>
        </w:tc>
        <w:tc>
          <w:tcPr>
            <w:tcW w:w="2076" w:type="dxa"/>
            <w:vAlign w:val="center"/>
            <w:hideMark/>
          </w:tcPr>
          <w:p w14:paraId="6389589B"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.0000869</w:t>
            </w:r>
          </w:p>
        </w:tc>
        <w:tc>
          <w:tcPr>
            <w:tcW w:w="1697" w:type="dxa"/>
            <w:vAlign w:val="center"/>
            <w:hideMark/>
          </w:tcPr>
          <w:p w14:paraId="2719245A"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.9478141</w:t>
            </w:r>
          </w:p>
        </w:tc>
      </w:tr>
      <w:tr w:rsidR="004C6464" w:rsidRPr="004C6464" w14:paraId="2AD164E4" w14:textId="77777777" w:rsidTr="00B248D0">
        <w:trPr>
          <w:trHeight w:val="28"/>
          <w:tblCellSpacing w:w="15" w:type="dxa"/>
          <w:jc w:val="center"/>
        </w:trPr>
        <w:tc>
          <w:tcPr>
            <w:tcW w:w="2745" w:type="dxa"/>
            <w:vAlign w:val="center"/>
            <w:hideMark/>
          </w:tcPr>
          <w:p w14:paraId="77A8BF6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257" w:type="dxa"/>
            <w:vAlign w:val="center"/>
            <w:hideMark/>
          </w:tcPr>
          <w:p w14:paraId="1FC359D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75" w:type="dxa"/>
            <w:vAlign w:val="center"/>
            <w:hideMark/>
          </w:tcPr>
          <w:p w14:paraId="245A3FF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2076" w:type="dxa"/>
            <w:vAlign w:val="center"/>
            <w:hideMark/>
          </w:tcPr>
          <w:p w14:paraId="355566D6"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97" w:type="dxa"/>
            <w:vAlign w:val="center"/>
            <w:hideMark/>
          </w:tcPr>
          <w:p w14:paraId="2856F3BD"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r>
      <w:tr w:rsidR="004C6464" w:rsidRPr="004C6464" w14:paraId="48D0F1B3" w14:textId="77777777" w:rsidTr="00B248D0">
        <w:trPr>
          <w:trHeight w:val="141"/>
          <w:tblCellSpacing w:w="15" w:type="dxa"/>
          <w:jc w:val="center"/>
        </w:trPr>
        <w:tc>
          <w:tcPr>
            <w:tcW w:w="2745" w:type="dxa"/>
            <w:vAlign w:val="center"/>
            <w:hideMark/>
          </w:tcPr>
          <w:p w14:paraId="3E18406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Total</w:t>
            </w:r>
          </w:p>
        </w:tc>
        <w:tc>
          <w:tcPr>
            <w:tcW w:w="1257" w:type="dxa"/>
            <w:vAlign w:val="center"/>
            <w:hideMark/>
          </w:tcPr>
          <w:p w14:paraId="436B13B2"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.4790213</w:t>
            </w:r>
          </w:p>
        </w:tc>
        <w:tc>
          <w:tcPr>
            <w:tcW w:w="1675" w:type="dxa"/>
            <w:vAlign w:val="center"/>
            <w:hideMark/>
          </w:tcPr>
          <w:p w14:paraId="7DDF658F"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.3905426</w:t>
            </w:r>
          </w:p>
        </w:tc>
        <w:tc>
          <w:tcPr>
            <w:tcW w:w="2076" w:type="dxa"/>
            <w:vAlign w:val="center"/>
            <w:hideMark/>
          </w:tcPr>
          <w:p w14:paraId="7E480D3D"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.0000869</w:t>
            </w:r>
          </w:p>
        </w:tc>
        <w:tc>
          <w:tcPr>
            <w:tcW w:w="1697" w:type="dxa"/>
            <w:vAlign w:val="center"/>
            <w:hideMark/>
          </w:tcPr>
          <w:p w14:paraId="2D30EBC0"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w:t>
            </w:r>
          </w:p>
        </w:tc>
      </w:tr>
    </w:tbl>
    <w:p w14:paraId="12D54EC6" w14:textId="77777777" w:rsidR="008E13DF" w:rsidRPr="008E13DF" w:rsidRDefault="004C6464" w:rsidP="008E13DF">
      <w:pPr>
        <w:spacing w:after="160" w:line="360" w:lineRule="auto"/>
        <w:jc w:val="both"/>
        <w:rPr>
          <w:rFonts w:ascii="Times New Roman" w:eastAsia="Calibri" w:hAnsi="Times New Roman" w:cs="Times New Roman"/>
          <w:b/>
          <w:i/>
          <w:sz w:val="24"/>
          <w:szCs w:val="24"/>
          <w:shd w:val="clear" w:color="auto" w:fill="FFFFFF"/>
        </w:rPr>
      </w:pPr>
      <w:r w:rsidRPr="004C6464">
        <w:rPr>
          <w:rFonts w:ascii="Times New Roman" w:eastAsia="Calibri" w:hAnsi="Times New Roman" w:cs="Times New Roman"/>
          <w:b/>
          <w:i/>
          <w:sz w:val="24"/>
          <w:szCs w:val="24"/>
          <w:shd w:val="clear" w:color="auto" w:fill="FFFFFF"/>
        </w:rPr>
        <w:t xml:space="preserve">Source: </w:t>
      </w:r>
      <w:r w:rsidRPr="004C6464">
        <w:rPr>
          <w:rFonts w:ascii="Times New Roman" w:eastAsia="Calibri" w:hAnsi="Times New Roman" w:cs="Times New Roman"/>
          <w:i/>
          <w:sz w:val="24"/>
          <w:szCs w:val="24"/>
          <w:shd w:val="clear" w:color="auto" w:fill="FFFFFF"/>
        </w:rPr>
        <w:t>field survey data (2024)</w:t>
      </w:r>
    </w:p>
    <w:p w14:paraId="1C3BC73E" w14:textId="77777777" w:rsidR="004C6464" w:rsidRPr="004C6464" w:rsidRDefault="004C6464" w:rsidP="004C6464">
      <w:pPr>
        <w:keepNext/>
        <w:spacing w:after="160" w:line="360" w:lineRule="auto"/>
        <w:jc w:val="both"/>
        <w:rPr>
          <w:rFonts w:ascii="Times New Roman" w:eastAsia="Calibri" w:hAnsi="Times New Roman" w:cs="Times New Roman"/>
          <w:i/>
          <w:sz w:val="24"/>
          <w:szCs w:val="24"/>
        </w:rPr>
      </w:pPr>
      <w:r w:rsidRPr="004C6464">
        <w:rPr>
          <w:rFonts w:ascii="Times New Roman" w:eastAsia="Calibri" w:hAnsi="Times New Roman" w:cs="Times New Roman"/>
          <w:b/>
          <w:color w:val="222222"/>
          <w:sz w:val="24"/>
          <w:szCs w:val="24"/>
          <w:shd w:val="clear" w:color="auto" w:fill="FFFFFF"/>
        </w:rPr>
        <w:t>Table</w:t>
      </w:r>
      <w:r w:rsidRPr="004C6464">
        <w:rPr>
          <w:rFonts w:ascii="Times New Roman" w:eastAsia="Calibri" w:hAnsi="Times New Roman" w:cs="Times New Roman"/>
          <w:b/>
          <w:i/>
          <w:sz w:val="24"/>
          <w:szCs w:val="24"/>
        </w:rPr>
        <w:t xml:space="preserve"> 6: </w:t>
      </w:r>
      <w:r w:rsidRPr="004C6464">
        <w:rPr>
          <w:rFonts w:ascii="Times New Roman" w:eastAsia="Calibri" w:hAnsi="Times New Roman" w:cs="Times New Roman"/>
          <w:i/>
          <w:sz w:val="24"/>
          <w:szCs w:val="24"/>
        </w:rPr>
        <w:t>Propensity score matching algorithm</w:t>
      </w:r>
    </w:p>
    <w:tbl>
      <w:tblPr>
        <w:tblStyle w:val="TableGrid1"/>
        <w:tblW w:w="99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40"/>
        <w:gridCol w:w="1350"/>
        <w:gridCol w:w="1170"/>
        <w:gridCol w:w="1530"/>
        <w:gridCol w:w="1170"/>
      </w:tblGrid>
      <w:tr w:rsidR="004C6464" w:rsidRPr="004C6464" w14:paraId="3145D4CE" w14:textId="77777777" w:rsidTr="00B248D0">
        <w:trPr>
          <w:jc w:val="center"/>
        </w:trPr>
        <w:tc>
          <w:tcPr>
            <w:tcW w:w="3240" w:type="dxa"/>
            <w:tcBorders>
              <w:bottom w:val="single" w:sz="4" w:space="0" w:color="auto"/>
            </w:tcBorders>
          </w:tcPr>
          <w:p w14:paraId="3C5749AD"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Matching algorism</w:t>
            </w:r>
          </w:p>
        </w:tc>
        <w:tc>
          <w:tcPr>
            <w:tcW w:w="1440" w:type="dxa"/>
            <w:tcBorders>
              <w:bottom w:val="single" w:sz="4" w:space="0" w:color="auto"/>
            </w:tcBorders>
          </w:tcPr>
          <w:p w14:paraId="7BB23581"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 Treatment</w:t>
            </w:r>
          </w:p>
        </w:tc>
        <w:tc>
          <w:tcPr>
            <w:tcW w:w="1350" w:type="dxa"/>
            <w:tcBorders>
              <w:bottom w:val="single" w:sz="4" w:space="0" w:color="auto"/>
            </w:tcBorders>
          </w:tcPr>
          <w:p w14:paraId="7EBB96E3"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 Control</w:t>
            </w:r>
          </w:p>
        </w:tc>
        <w:tc>
          <w:tcPr>
            <w:tcW w:w="1170" w:type="dxa"/>
            <w:tcBorders>
              <w:bottom w:val="single" w:sz="4" w:space="0" w:color="auto"/>
            </w:tcBorders>
          </w:tcPr>
          <w:p w14:paraId="7D987A92"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ATT</w:t>
            </w:r>
          </w:p>
        </w:tc>
        <w:tc>
          <w:tcPr>
            <w:tcW w:w="1530" w:type="dxa"/>
            <w:tcBorders>
              <w:bottom w:val="single" w:sz="4" w:space="0" w:color="auto"/>
            </w:tcBorders>
          </w:tcPr>
          <w:p w14:paraId="5DA339D5"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Std. Err</w:t>
            </w:r>
          </w:p>
        </w:tc>
        <w:tc>
          <w:tcPr>
            <w:tcW w:w="1170" w:type="dxa"/>
            <w:tcBorders>
              <w:bottom w:val="single" w:sz="4" w:space="0" w:color="auto"/>
              <w:right w:val="nil"/>
            </w:tcBorders>
          </w:tcPr>
          <w:p w14:paraId="59EE97E3"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t</w:t>
            </w:r>
          </w:p>
        </w:tc>
      </w:tr>
      <w:tr w:rsidR="004C6464" w:rsidRPr="004C6464" w14:paraId="29505996" w14:textId="77777777" w:rsidTr="00B248D0">
        <w:trPr>
          <w:trHeight w:val="197"/>
          <w:jc w:val="center"/>
        </w:trPr>
        <w:tc>
          <w:tcPr>
            <w:tcW w:w="3240" w:type="dxa"/>
            <w:tcBorders>
              <w:top w:val="single" w:sz="4" w:space="0" w:color="auto"/>
            </w:tcBorders>
          </w:tcPr>
          <w:p w14:paraId="5F01A78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Nearest </w:t>
            </w:r>
            <w:proofErr w:type="spellStart"/>
            <w:r w:rsidRPr="004C6464">
              <w:rPr>
                <w:rFonts w:ascii="Times New Roman" w:eastAsia="Calibri" w:hAnsi="Times New Roman" w:cs="Times New Roman"/>
                <w:color w:val="222222"/>
                <w:sz w:val="24"/>
                <w:szCs w:val="24"/>
                <w:shd w:val="clear" w:color="auto" w:fill="FFFFFF"/>
              </w:rPr>
              <w:t>neighbour</w:t>
            </w:r>
            <w:proofErr w:type="spellEnd"/>
            <w:r w:rsidRPr="004C6464">
              <w:rPr>
                <w:rFonts w:ascii="Times New Roman" w:eastAsia="Calibri" w:hAnsi="Times New Roman" w:cs="Times New Roman"/>
                <w:color w:val="222222"/>
                <w:sz w:val="24"/>
                <w:szCs w:val="24"/>
                <w:shd w:val="clear" w:color="auto" w:fill="FFFFFF"/>
              </w:rPr>
              <w:t xml:space="preserve"> method</w:t>
            </w:r>
          </w:p>
        </w:tc>
        <w:tc>
          <w:tcPr>
            <w:tcW w:w="1440" w:type="dxa"/>
            <w:tcBorders>
              <w:top w:val="single" w:sz="4" w:space="0" w:color="auto"/>
            </w:tcBorders>
          </w:tcPr>
          <w:p w14:paraId="5D856EF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Borders>
              <w:top w:val="single" w:sz="4" w:space="0" w:color="auto"/>
            </w:tcBorders>
          </w:tcPr>
          <w:p w14:paraId="62FFC489"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15</w:t>
            </w:r>
          </w:p>
        </w:tc>
        <w:tc>
          <w:tcPr>
            <w:tcW w:w="1170" w:type="dxa"/>
            <w:tcBorders>
              <w:top w:val="single" w:sz="4" w:space="0" w:color="auto"/>
            </w:tcBorders>
          </w:tcPr>
          <w:p w14:paraId="0923B9C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11.845</w:t>
            </w:r>
          </w:p>
        </w:tc>
        <w:tc>
          <w:tcPr>
            <w:tcW w:w="1530" w:type="dxa"/>
            <w:tcBorders>
              <w:top w:val="single" w:sz="4" w:space="0" w:color="auto"/>
            </w:tcBorders>
          </w:tcPr>
          <w:p w14:paraId="3A9BB4E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2.760</w:t>
            </w:r>
          </w:p>
        </w:tc>
        <w:tc>
          <w:tcPr>
            <w:tcW w:w="1170" w:type="dxa"/>
            <w:tcBorders>
              <w:top w:val="single" w:sz="4" w:space="0" w:color="auto"/>
              <w:right w:val="nil"/>
            </w:tcBorders>
          </w:tcPr>
          <w:p w14:paraId="0276F98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4.291***</w:t>
            </w:r>
          </w:p>
        </w:tc>
      </w:tr>
      <w:tr w:rsidR="004C6464" w:rsidRPr="004C6464" w14:paraId="0461E612" w14:textId="77777777" w:rsidTr="00B248D0">
        <w:trPr>
          <w:trHeight w:val="171"/>
          <w:jc w:val="center"/>
        </w:trPr>
        <w:tc>
          <w:tcPr>
            <w:tcW w:w="3240" w:type="dxa"/>
          </w:tcPr>
          <w:p w14:paraId="0A898E4A"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Stratification  method</w:t>
            </w:r>
          </w:p>
        </w:tc>
        <w:tc>
          <w:tcPr>
            <w:tcW w:w="1440" w:type="dxa"/>
          </w:tcPr>
          <w:p w14:paraId="5A24593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Pr>
          <w:p w14:paraId="3F80676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49</w:t>
            </w:r>
          </w:p>
        </w:tc>
        <w:tc>
          <w:tcPr>
            <w:tcW w:w="1170" w:type="dxa"/>
          </w:tcPr>
          <w:p w14:paraId="3C0AD57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9.903</w:t>
            </w:r>
          </w:p>
        </w:tc>
        <w:tc>
          <w:tcPr>
            <w:tcW w:w="1530" w:type="dxa"/>
          </w:tcPr>
          <w:p w14:paraId="06AD3A2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4.032</w:t>
            </w:r>
          </w:p>
        </w:tc>
        <w:tc>
          <w:tcPr>
            <w:tcW w:w="1170" w:type="dxa"/>
            <w:tcBorders>
              <w:right w:val="nil"/>
            </w:tcBorders>
          </w:tcPr>
          <w:p w14:paraId="3E9C11C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2.456***</w:t>
            </w:r>
          </w:p>
        </w:tc>
      </w:tr>
      <w:tr w:rsidR="004C6464" w:rsidRPr="004C6464" w14:paraId="0F6A38A7" w14:textId="77777777" w:rsidTr="00B248D0">
        <w:trPr>
          <w:jc w:val="center"/>
        </w:trPr>
        <w:tc>
          <w:tcPr>
            <w:tcW w:w="3240" w:type="dxa"/>
          </w:tcPr>
          <w:p w14:paraId="3AC3E28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Kernel Matching method</w:t>
            </w:r>
          </w:p>
        </w:tc>
        <w:tc>
          <w:tcPr>
            <w:tcW w:w="1440" w:type="dxa"/>
          </w:tcPr>
          <w:p w14:paraId="07D74D4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Pr>
          <w:p w14:paraId="69BBB77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49</w:t>
            </w:r>
          </w:p>
        </w:tc>
        <w:tc>
          <w:tcPr>
            <w:tcW w:w="1170" w:type="dxa"/>
          </w:tcPr>
          <w:p w14:paraId="617B206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10.912  </w:t>
            </w:r>
          </w:p>
        </w:tc>
        <w:tc>
          <w:tcPr>
            <w:tcW w:w="1530" w:type="dxa"/>
          </w:tcPr>
          <w:p w14:paraId="4B981CF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3.395</w:t>
            </w:r>
          </w:p>
        </w:tc>
        <w:tc>
          <w:tcPr>
            <w:tcW w:w="1170" w:type="dxa"/>
            <w:tcBorders>
              <w:right w:val="nil"/>
            </w:tcBorders>
          </w:tcPr>
          <w:p w14:paraId="259CE782"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3.214***</w:t>
            </w:r>
          </w:p>
        </w:tc>
      </w:tr>
      <w:tr w:rsidR="004C6464" w:rsidRPr="004C6464" w14:paraId="0BAB50F0" w14:textId="77777777" w:rsidTr="00B248D0">
        <w:trPr>
          <w:jc w:val="center"/>
        </w:trPr>
        <w:tc>
          <w:tcPr>
            <w:tcW w:w="3240" w:type="dxa"/>
          </w:tcPr>
          <w:p w14:paraId="790C0AA6"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Average ATT</w:t>
            </w:r>
          </w:p>
        </w:tc>
        <w:tc>
          <w:tcPr>
            <w:tcW w:w="1440" w:type="dxa"/>
          </w:tcPr>
          <w:p w14:paraId="5E01740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350" w:type="dxa"/>
          </w:tcPr>
          <w:p w14:paraId="78CDC00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170" w:type="dxa"/>
          </w:tcPr>
          <w:p w14:paraId="084BE9C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10.87</w:t>
            </w:r>
          </w:p>
        </w:tc>
        <w:tc>
          <w:tcPr>
            <w:tcW w:w="1530" w:type="dxa"/>
          </w:tcPr>
          <w:p w14:paraId="6354B4E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170" w:type="dxa"/>
            <w:tcBorders>
              <w:right w:val="nil"/>
            </w:tcBorders>
          </w:tcPr>
          <w:p w14:paraId="43AE2AC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r>
    </w:tbl>
    <w:p w14:paraId="464CAF59"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Note: *** significance at 1% significance level, Source: </w:t>
      </w:r>
      <w:r w:rsidRPr="004C6464">
        <w:rPr>
          <w:rFonts w:ascii="Times New Roman" w:eastAsia="Calibri" w:hAnsi="Times New Roman" w:cs="Times New Roman"/>
          <w:color w:val="222222"/>
          <w:sz w:val="24"/>
          <w:szCs w:val="24"/>
          <w:shd w:val="clear" w:color="auto" w:fill="FFFFFF"/>
        </w:rPr>
        <w:t>field survey (2024)</w:t>
      </w:r>
    </w:p>
    <w:p w14:paraId="06EFD0F6"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393028DC"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079C624E"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157410C5"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20B42584"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3A100B86"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1496F3F7"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7E1A0DDD"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4892CDE5"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42F1B8B6" w14:textId="77777777" w:rsidR="004C6464" w:rsidRPr="004C6464" w:rsidRDefault="004C6464" w:rsidP="004C6464">
      <w:pPr>
        <w:keepNext/>
        <w:spacing w:after="160" w:line="360" w:lineRule="auto"/>
        <w:jc w:val="both"/>
        <w:rPr>
          <w:rFonts w:ascii="Times New Roman" w:eastAsia="Calibri" w:hAnsi="Times New Roman" w:cs="Times New Roman"/>
          <w:i/>
          <w:sz w:val="24"/>
          <w:szCs w:val="24"/>
        </w:rPr>
      </w:pPr>
    </w:p>
    <w:tbl>
      <w:tblPr>
        <w:tblStyle w:val="TableGrid1"/>
        <w:tblpPr w:leftFromText="180" w:rightFromText="180" w:vertAnchor="page" w:horzAnchor="margin" w:tblpY="2173"/>
        <w:tblW w:w="9715" w:type="dxa"/>
        <w:tblBorders>
          <w:insideH w:val="none" w:sz="0" w:space="0" w:color="auto"/>
          <w:insideV w:val="none" w:sz="0" w:space="0" w:color="auto"/>
        </w:tblBorders>
        <w:tblLook w:val="04A0" w:firstRow="1" w:lastRow="0" w:firstColumn="1" w:lastColumn="0" w:noHBand="0" w:noVBand="1"/>
      </w:tblPr>
      <w:tblGrid>
        <w:gridCol w:w="1222"/>
        <w:gridCol w:w="1163"/>
        <w:gridCol w:w="1257"/>
        <w:gridCol w:w="1236"/>
        <w:gridCol w:w="1136"/>
        <w:gridCol w:w="2071"/>
        <w:gridCol w:w="1630"/>
      </w:tblGrid>
      <w:tr w:rsidR="004C6464" w:rsidRPr="004C6464" w14:paraId="1DD0CE8E" w14:textId="77777777" w:rsidTr="00B248D0">
        <w:trPr>
          <w:trHeight w:val="710"/>
        </w:trPr>
        <w:tc>
          <w:tcPr>
            <w:tcW w:w="1222" w:type="dxa"/>
            <w:tcBorders>
              <w:top w:val="single" w:sz="4" w:space="0" w:color="auto"/>
              <w:left w:val="nil"/>
              <w:bottom w:val="single" w:sz="4" w:space="0" w:color="auto"/>
            </w:tcBorders>
          </w:tcPr>
          <w:p w14:paraId="4E47F4E2"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lastRenderedPageBreak/>
              <w:t xml:space="preserve">Matching algorism </w:t>
            </w:r>
          </w:p>
        </w:tc>
        <w:tc>
          <w:tcPr>
            <w:tcW w:w="1163" w:type="dxa"/>
            <w:tcBorders>
              <w:top w:val="single" w:sz="4" w:space="0" w:color="auto"/>
              <w:bottom w:val="single" w:sz="4" w:space="0" w:color="auto"/>
            </w:tcBorders>
          </w:tcPr>
          <w:p w14:paraId="398A68FB"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Baseline ATT(A1)</w:t>
            </w:r>
          </w:p>
        </w:tc>
        <w:tc>
          <w:tcPr>
            <w:tcW w:w="1257" w:type="dxa"/>
            <w:tcBorders>
              <w:top w:val="single" w:sz="4" w:space="0" w:color="auto"/>
              <w:bottom w:val="single" w:sz="4" w:space="0" w:color="auto"/>
            </w:tcBorders>
          </w:tcPr>
          <w:p w14:paraId="0DEA27B9"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Simulated ATT(A2)</w:t>
            </w:r>
          </w:p>
        </w:tc>
        <w:tc>
          <w:tcPr>
            <w:tcW w:w="1236" w:type="dxa"/>
            <w:tcBorders>
              <w:top w:val="single" w:sz="4" w:space="0" w:color="auto"/>
              <w:bottom w:val="single" w:sz="4" w:space="0" w:color="auto"/>
            </w:tcBorders>
          </w:tcPr>
          <w:p w14:paraId="6B02A312"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Outcome effect</w:t>
            </w:r>
          </w:p>
        </w:tc>
        <w:tc>
          <w:tcPr>
            <w:tcW w:w="1136" w:type="dxa"/>
            <w:tcBorders>
              <w:top w:val="single" w:sz="4" w:space="0" w:color="auto"/>
              <w:bottom w:val="single" w:sz="4" w:space="0" w:color="auto"/>
            </w:tcBorders>
          </w:tcPr>
          <w:p w14:paraId="5F36D296"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 xml:space="preserve">Selection effect </w:t>
            </w:r>
          </w:p>
        </w:tc>
        <w:tc>
          <w:tcPr>
            <w:tcW w:w="2071" w:type="dxa"/>
            <w:tcBorders>
              <w:top w:val="single" w:sz="4" w:space="0" w:color="auto"/>
              <w:bottom w:val="single" w:sz="4" w:space="0" w:color="auto"/>
            </w:tcBorders>
          </w:tcPr>
          <w:p w14:paraId="5539B7CE"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Absolute difference</w:t>
            </w:r>
          </w:p>
          <w:p w14:paraId="224D4895"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(A1-A2)</w:t>
            </w:r>
          </w:p>
        </w:tc>
        <w:tc>
          <w:tcPr>
            <w:tcW w:w="1630" w:type="dxa"/>
            <w:tcBorders>
              <w:top w:val="single" w:sz="4" w:space="0" w:color="auto"/>
              <w:bottom w:val="single" w:sz="4" w:space="0" w:color="auto"/>
              <w:right w:val="nil"/>
            </w:tcBorders>
          </w:tcPr>
          <w:p w14:paraId="09E64171"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 xml:space="preserve">Difference percentage     </w:t>
            </w:r>
          </w:p>
          <w:p w14:paraId="61694033"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(A1-A2/A1)</w:t>
            </w:r>
          </w:p>
        </w:tc>
      </w:tr>
      <w:tr w:rsidR="004C6464" w:rsidRPr="004C6464" w14:paraId="3667F4C8" w14:textId="77777777" w:rsidTr="00B248D0">
        <w:trPr>
          <w:trHeight w:val="381"/>
        </w:trPr>
        <w:tc>
          <w:tcPr>
            <w:tcW w:w="1222" w:type="dxa"/>
            <w:tcBorders>
              <w:top w:val="single" w:sz="4" w:space="0" w:color="auto"/>
              <w:left w:val="nil"/>
            </w:tcBorders>
          </w:tcPr>
          <w:p w14:paraId="6E90D1E2"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attr</w:t>
            </w:r>
            <w:proofErr w:type="spellEnd"/>
          </w:p>
        </w:tc>
        <w:tc>
          <w:tcPr>
            <w:tcW w:w="1163" w:type="dxa"/>
            <w:tcBorders>
              <w:top w:val="single" w:sz="4" w:space="0" w:color="auto"/>
            </w:tcBorders>
          </w:tcPr>
          <w:p w14:paraId="44D0C31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11.52</w:t>
            </w:r>
          </w:p>
        </w:tc>
        <w:tc>
          <w:tcPr>
            <w:tcW w:w="1257" w:type="dxa"/>
            <w:tcBorders>
              <w:top w:val="single" w:sz="4" w:space="0" w:color="auto"/>
            </w:tcBorders>
          </w:tcPr>
          <w:p w14:paraId="17D80F5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11.378</w:t>
            </w:r>
          </w:p>
        </w:tc>
        <w:tc>
          <w:tcPr>
            <w:tcW w:w="1236" w:type="dxa"/>
            <w:tcBorders>
              <w:top w:val="single" w:sz="4" w:space="0" w:color="auto"/>
            </w:tcBorders>
          </w:tcPr>
          <w:p w14:paraId="56D02303"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219.207</w:t>
            </w:r>
          </w:p>
        </w:tc>
        <w:tc>
          <w:tcPr>
            <w:tcW w:w="1136" w:type="dxa"/>
            <w:tcBorders>
              <w:top w:val="single" w:sz="4" w:space="0" w:color="auto"/>
            </w:tcBorders>
          </w:tcPr>
          <w:p w14:paraId="09DC17B7"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7.389</w:t>
            </w:r>
          </w:p>
        </w:tc>
        <w:tc>
          <w:tcPr>
            <w:tcW w:w="2071" w:type="dxa"/>
            <w:tcBorders>
              <w:top w:val="single" w:sz="4" w:space="0" w:color="auto"/>
            </w:tcBorders>
          </w:tcPr>
          <w:p w14:paraId="5B8670FD"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0.148</w:t>
            </w:r>
          </w:p>
        </w:tc>
        <w:tc>
          <w:tcPr>
            <w:tcW w:w="1630" w:type="dxa"/>
            <w:tcBorders>
              <w:top w:val="single" w:sz="4" w:space="0" w:color="auto"/>
              <w:right w:val="nil"/>
            </w:tcBorders>
          </w:tcPr>
          <w:p w14:paraId="4FA98BE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0.0123</w:t>
            </w:r>
          </w:p>
        </w:tc>
      </w:tr>
      <w:tr w:rsidR="004C6464" w:rsidRPr="004C6464" w14:paraId="544D0A82" w14:textId="77777777" w:rsidTr="00B248D0">
        <w:tc>
          <w:tcPr>
            <w:tcW w:w="1222" w:type="dxa"/>
            <w:tcBorders>
              <w:left w:val="nil"/>
            </w:tcBorders>
          </w:tcPr>
          <w:p w14:paraId="4D265F6B"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attk</w:t>
            </w:r>
            <w:proofErr w:type="spellEnd"/>
          </w:p>
        </w:tc>
        <w:tc>
          <w:tcPr>
            <w:tcW w:w="1163" w:type="dxa"/>
          </w:tcPr>
          <w:p w14:paraId="54275FA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10.86</w:t>
            </w:r>
          </w:p>
        </w:tc>
        <w:tc>
          <w:tcPr>
            <w:tcW w:w="1257" w:type="dxa"/>
          </w:tcPr>
          <w:p w14:paraId="058CF345"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10.208</w:t>
            </w:r>
          </w:p>
        </w:tc>
        <w:tc>
          <w:tcPr>
            <w:tcW w:w="1236" w:type="dxa"/>
          </w:tcPr>
          <w:p w14:paraId="0B5D45A2"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10.111</w:t>
            </w:r>
          </w:p>
        </w:tc>
        <w:tc>
          <w:tcPr>
            <w:tcW w:w="1136" w:type="dxa"/>
          </w:tcPr>
          <w:p w14:paraId="144507BC"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6.894</w:t>
            </w:r>
          </w:p>
        </w:tc>
        <w:tc>
          <w:tcPr>
            <w:tcW w:w="2071" w:type="dxa"/>
          </w:tcPr>
          <w:p w14:paraId="37466D65"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0.652</w:t>
            </w:r>
          </w:p>
        </w:tc>
        <w:tc>
          <w:tcPr>
            <w:tcW w:w="1630" w:type="dxa"/>
            <w:tcBorders>
              <w:right w:val="nil"/>
            </w:tcBorders>
          </w:tcPr>
          <w:p w14:paraId="23DF9B1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0.060</w:t>
            </w:r>
          </w:p>
        </w:tc>
      </w:tr>
      <w:tr w:rsidR="004C6464" w:rsidRPr="004C6464" w14:paraId="2B79F301" w14:textId="77777777" w:rsidTr="00B248D0">
        <w:tc>
          <w:tcPr>
            <w:tcW w:w="1222" w:type="dxa"/>
            <w:tcBorders>
              <w:left w:val="nil"/>
            </w:tcBorders>
          </w:tcPr>
          <w:p w14:paraId="2A98F891"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attnw</w:t>
            </w:r>
            <w:proofErr w:type="spellEnd"/>
          </w:p>
        </w:tc>
        <w:tc>
          <w:tcPr>
            <w:tcW w:w="1163" w:type="dxa"/>
          </w:tcPr>
          <w:p w14:paraId="49849643"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11.108</w:t>
            </w:r>
          </w:p>
        </w:tc>
        <w:tc>
          <w:tcPr>
            <w:tcW w:w="1257" w:type="dxa"/>
          </w:tcPr>
          <w:p w14:paraId="7E855C08"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9.964</w:t>
            </w:r>
          </w:p>
        </w:tc>
        <w:tc>
          <w:tcPr>
            <w:tcW w:w="1236" w:type="dxa"/>
          </w:tcPr>
          <w:p w14:paraId="5D289AFC"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57754.008</w:t>
            </w:r>
          </w:p>
        </w:tc>
        <w:tc>
          <w:tcPr>
            <w:tcW w:w="1136" w:type="dxa"/>
          </w:tcPr>
          <w:p w14:paraId="79CEADF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6.699</w:t>
            </w:r>
          </w:p>
        </w:tc>
        <w:tc>
          <w:tcPr>
            <w:tcW w:w="2071" w:type="dxa"/>
          </w:tcPr>
          <w:p w14:paraId="08F465E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1.144</w:t>
            </w:r>
          </w:p>
        </w:tc>
        <w:tc>
          <w:tcPr>
            <w:tcW w:w="1630" w:type="dxa"/>
            <w:tcBorders>
              <w:right w:val="nil"/>
            </w:tcBorders>
          </w:tcPr>
          <w:p w14:paraId="22F4FC26"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0.103</w:t>
            </w:r>
          </w:p>
        </w:tc>
      </w:tr>
      <w:tr w:rsidR="004C6464" w:rsidRPr="004C6464" w14:paraId="6D23AF74" w14:textId="77777777" w:rsidTr="00B248D0">
        <w:tc>
          <w:tcPr>
            <w:tcW w:w="1222" w:type="dxa"/>
            <w:tcBorders>
              <w:left w:val="nil"/>
              <w:bottom w:val="single" w:sz="4" w:space="0" w:color="auto"/>
            </w:tcBorders>
          </w:tcPr>
          <w:p w14:paraId="006C45DC"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attnd</w:t>
            </w:r>
            <w:proofErr w:type="spellEnd"/>
          </w:p>
        </w:tc>
        <w:tc>
          <w:tcPr>
            <w:tcW w:w="1163" w:type="dxa"/>
            <w:tcBorders>
              <w:bottom w:val="single" w:sz="4" w:space="0" w:color="auto"/>
            </w:tcBorders>
          </w:tcPr>
          <w:p w14:paraId="54C0A9E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11.108</w:t>
            </w:r>
          </w:p>
        </w:tc>
        <w:tc>
          <w:tcPr>
            <w:tcW w:w="1257" w:type="dxa"/>
            <w:tcBorders>
              <w:bottom w:val="single" w:sz="4" w:space="0" w:color="auto"/>
            </w:tcBorders>
          </w:tcPr>
          <w:p w14:paraId="7E4266A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9.844</w:t>
            </w:r>
          </w:p>
        </w:tc>
        <w:tc>
          <w:tcPr>
            <w:tcW w:w="1236" w:type="dxa"/>
            <w:tcBorders>
              <w:bottom w:val="single" w:sz="4" w:space="0" w:color="auto"/>
            </w:tcBorders>
          </w:tcPr>
          <w:p w14:paraId="5469A76E"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15.301</w:t>
            </w:r>
          </w:p>
        </w:tc>
        <w:tc>
          <w:tcPr>
            <w:tcW w:w="1136" w:type="dxa"/>
            <w:tcBorders>
              <w:bottom w:val="single" w:sz="4" w:space="0" w:color="auto"/>
            </w:tcBorders>
          </w:tcPr>
          <w:p w14:paraId="744903C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6.709</w:t>
            </w:r>
          </w:p>
        </w:tc>
        <w:tc>
          <w:tcPr>
            <w:tcW w:w="2071" w:type="dxa"/>
            <w:tcBorders>
              <w:bottom w:val="single" w:sz="4" w:space="0" w:color="auto"/>
            </w:tcBorders>
          </w:tcPr>
          <w:p w14:paraId="302384F9"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1.264</w:t>
            </w:r>
          </w:p>
        </w:tc>
        <w:tc>
          <w:tcPr>
            <w:tcW w:w="1630" w:type="dxa"/>
            <w:tcBorders>
              <w:bottom w:val="single" w:sz="4" w:space="0" w:color="auto"/>
              <w:right w:val="nil"/>
            </w:tcBorders>
          </w:tcPr>
          <w:p w14:paraId="5DB1129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0.114</w:t>
            </w:r>
          </w:p>
        </w:tc>
      </w:tr>
    </w:tbl>
    <w:p w14:paraId="0D0EEB9B" w14:textId="77777777" w:rsidR="004C6464" w:rsidRPr="004C6464" w:rsidRDefault="008E13DF" w:rsidP="004C6464">
      <w:pPr>
        <w:keepNext/>
        <w:spacing w:after="0" w:line="360" w:lineRule="auto"/>
        <w:jc w:val="both"/>
        <w:rPr>
          <w:rFonts w:ascii="Times New Roman" w:eastAsia="Calibri" w:hAnsi="Times New Roman" w:cs="Times New Roman"/>
          <w:b/>
          <w:i/>
          <w:color w:val="222222"/>
          <w:sz w:val="24"/>
          <w:szCs w:val="24"/>
          <w:shd w:val="clear" w:color="auto" w:fill="FFFFFF"/>
        </w:rPr>
      </w:pPr>
      <w:r w:rsidRPr="004C6464">
        <w:rPr>
          <w:rFonts w:ascii="Times New Roman" w:eastAsia="Calibri" w:hAnsi="Times New Roman" w:cs="Times New Roman"/>
          <w:b/>
          <w:i/>
          <w:sz w:val="24"/>
          <w:szCs w:val="24"/>
        </w:rPr>
        <w:t xml:space="preserve">Table 7: </w:t>
      </w:r>
      <w:r w:rsidRPr="004C6464">
        <w:rPr>
          <w:rFonts w:ascii="Times New Roman" w:eastAsia="Calibri" w:hAnsi="Times New Roman" w:cs="Times New Roman"/>
          <w:i/>
          <w:sz w:val="24"/>
          <w:szCs w:val="24"/>
        </w:rPr>
        <w:t>sensitivity analysis</w:t>
      </w:r>
    </w:p>
    <w:p w14:paraId="10715388"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Source: </w:t>
      </w:r>
      <w:r w:rsidRPr="004C6464">
        <w:rPr>
          <w:rFonts w:ascii="Times New Roman" w:eastAsia="Calibri" w:hAnsi="Times New Roman" w:cs="Times New Roman"/>
          <w:color w:val="222222"/>
          <w:sz w:val="24"/>
          <w:szCs w:val="24"/>
          <w:shd w:val="clear" w:color="auto" w:fill="FFFFFF"/>
        </w:rPr>
        <w:t>field survey data (2024)</w:t>
      </w:r>
    </w:p>
    <w:p w14:paraId="669E410D" w14:textId="77777777" w:rsidR="004C6464" w:rsidRPr="004C6464" w:rsidRDefault="004C6464" w:rsidP="004C6464">
      <w:pPr>
        <w:spacing w:after="160" w:line="360" w:lineRule="auto"/>
        <w:jc w:val="both"/>
        <w:rPr>
          <w:rFonts w:ascii="Times New Roman" w:eastAsia="Calibri" w:hAnsi="Times New Roman" w:cs="Times New Roman"/>
          <w:b/>
          <w:i/>
          <w:sz w:val="24"/>
          <w:szCs w:val="24"/>
          <w:shd w:val="clear" w:color="auto" w:fill="FFFFFF"/>
        </w:rPr>
      </w:pPr>
    </w:p>
    <w:p w14:paraId="603275D9" w14:textId="77777777" w:rsidR="008E13DF" w:rsidRDefault="008E13DF" w:rsidP="004C6464">
      <w:pPr>
        <w:spacing w:before="240" w:after="160" w:line="360" w:lineRule="auto"/>
        <w:jc w:val="both"/>
        <w:rPr>
          <w:rFonts w:ascii="Times New Roman" w:eastAsia="Calibri" w:hAnsi="Times New Roman" w:cs="Times New Roman"/>
          <w:b/>
          <w:sz w:val="24"/>
          <w:szCs w:val="24"/>
        </w:rPr>
      </w:pPr>
    </w:p>
    <w:p w14:paraId="0ADFF5C7"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Figures </w:t>
      </w:r>
    </w:p>
    <w:p w14:paraId="4CE49501" w14:textId="77777777" w:rsidR="004C6464" w:rsidRPr="004C6464" w:rsidRDefault="004C6464" w:rsidP="004C6464">
      <w:pPr>
        <w:spacing w:line="240" w:lineRule="auto"/>
        <w:jc w:val="both"/>
        <w:rPr>
          <w:rFonts w:ascii="Times New Roman" w:eastAsia="Calibri" w:hAnsi="Times New Roman" w:cs="Times New Roman"/>
          <w:b/>
          <w:iCs/>
          <w:sz w:val="24"/>
          <w:szCs w:val="24"/>
        </w:rPr>
      </w:pPr>
      <w:bookmarkStart w:id="3" w:name="_Toc148091277"/>
      <w:r w:rsidRPr="004C6464">
        <w:rPr>
          <w:rFonts w:ascii="Times New Roman" w:eastAsia="Calibri" w:hAnsi="Times New Roman" w:cs="Times New Roman"/>
          <w:b/>
          <w:iCs/>
          <w:sz w:val="24"/>
          <w:szCs w:val="24"/>
        </w:rPr>
        <w:t xml:space="preserve">Figure 1: Study area map </w:t>
      </w:r>
      <w:bookmarkEnd w:id="3"/>
    </w:p>
    <w:p w14:paraId="78352CAA"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noProof/>
          <w:sz w:val="24"/>
          <w:szCs w:val="24"/>
        </w:rPr>
        <w:drawing>
          <wp:inline distT="0" distB="0" distL="0" distR="0" wp14:anchorId="6DA0EDB0" wp14:editId="51CB60B6">
            <wp:extent cx="4221480" cy="2232660"/>
            <wp:effectExtent l="95250" t="95250" r="102870" b="914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7901" cy="22677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AFF65C7" w14:textId="77777777" w:rsidR="004C6464" w:rsidRPr="004C6464" w:rsidRDefault="004C6464" w:rsidP="004C6464">
      <w:pPr>
        <w:spacing w:line="240" w:lineRule="auto"/>
        <w:jc w:val="both"/>
        <w:rPr>
          <w:rFonts w:ascii="Times New Roman" w:eastAsia="Calibri" w:hAnsi="Times New Roman" w:cs="Times New Roman"/>
          <w:b/>
          <w:i/>
          <w:iCs/>
          <w:sz w:val="24"/>
          <w:szCs w:val="24"/>
        </w:rPr>
      </w:pPr>
      <w:r w:rsidRPr="004C6464">
        <w:rPr>
          <w:rFonts w:ascii="Times New Roman" w:eastAsia="Calibri" w:hAnsi="Times New Roman" w:cs="Times New Roman"/>
          <w:b/>
          <w:iCs/>
          <w:sz w:val="24"/>
          <w:szCs w:val="24"/>
        </w:rPr>
        <w:t xml:space="preserve">Source: </w:t>
      </w:r>
      <w:r w:rsidRPr="004C6464">
        <w:rPr>
          <w:rFonts w:ascii="Times New Roman" w:eastAsia="Calibri" w:hAnsi="Times New Roman" w:cs="Times New Roman"/>
          <w:b/>
          <w:i/>
          <w:iCs/>
          <w:sz w:val="24"/>
          <w:szCs w:val="24"/>
        </w:rPr>
        <w:t xml:space="preserve">derived from </w:t>
      </w:r>
      <w:proofErr w:type="spellStart"/>
      <w:r w:rsidRPr="004C6464">
        <w:rPr>
          <w:rFonts w:ascii="Times New Roman" w:eastAsia="Calibri" w:hAnsi="Times New Roman" w:cs="Times New Roman"/>
          <w:b/>
          <w:i/>
          <w:iCs/>
          <w:sz w:val="24"/>
          <w:szCs w:val="24"/>
        </w:rPr>
        <w:t>Ethioadimin</w:t>
      </w:r>
      <w:proofErr w:type="spellEnd"/>
      <w:r w:rsidRPr="004C6464">
        <w:rPr>
          <w:rFonts w:ascii="Times New Roman" w:eastAsia="Calibri" w:hAnsi="Times New Roman" w:cs="Times New Roman"/>
          <w:b/>
          <w:i/>
          <w:iCs/>
          <w:sz w:val="24"/>
          <w:szCs w:val="24"/>
        </w:rPr>
        <w:t xml:space="preserve"> map, 2022</w:t>
      </w:r>
    </w:p>
    <w:p w14:paraId="22F04C0D" w14:textId="77777777" w:rsidR="004C6464" w:rsidRPr="004C6464" w:rsidRDefault="004C6464" w:rsidP="004C6464">
      <w:pPr>
        <w:spacing w:after="160" w:line="259" w:lineRule="auto"/>
        <w:rPr>
          <w:rFonts w:ascii="Calibri" w:eastAsia="Calibri" w:hAnsi="Calibri" w:cs="Times New Roman"/>
        </w:rPr>
      </w:pPr>
      <w:r w:rsidRPr="004C6464">
        <w:rPr>
          <w:rFonts w:ascii="Calibri" w:eastAsia="Calibri" w:hAnsi="Calibri" w:cs="Times New Roman"/>
        </w:rPr>
        <w:br w:type="page"/>
      </w:r>
    </w:p>
    <w:p w14:paraId="77A25082" w14:textId="77777777" w:rsidR="004C6464" w:rsidRPr="004C6464" w:rsidRDefault="004C6464" w:rsidP="004C6464">
      <w:pPr>
        <w:spacing w:line="240" w:lineRule="auto"/>
        <w:jc w:val="both"/>
        <w:rPr>
          <w:rFonts w:ascii="Times New Roman" w:eastAsia="Calibri" w:hAnsi="Times New Roman" w:cs="Times New Roman"/>
          <w:b/>
          <w:iCs/>
          <w:sz w:val="24"/>
          <w:szCs w:val="24"/>
        </w:rPr>
      </w:pPr>
      <w:bookmarkStart w:id="4" w:name="_Toc148091279"/>
      <w:r w:rsidRPr="004C6464">
        <w:rPr>
          <w:rFonts w:ascii="Times New Roman" w:eastAsia="Calibri" w:hAnsi="Times New Roman" w:cs="Times New Roman"/>
          <w:b/>
          <w:i/>
          <w:iCs/>
          <w:sz w:val="24"/>
          <w:szCs w:val="24"/>
        </w:rPr>
        <w:lastRenderedPageBreak/>
        <w:t>Figure 2: Kernal density graph of propensity score</w:t>
      </w:r>
      <w:bookmarkEnd w:id="4"/>
      <w:r w:rsidRPr="004C6464">
        <w:rPr>
          <w:rFonts w:ascii="Times New Roman" w:eastAsia="Calibri" w:hAnsi="Times New Roman" w:cs="Times New Roman"/>
          <w:b/>
          <w:iCs/>
          <w:noProof/>
          <w:color w:val="44546A"/>
          <w:sz w:val="24"/>
          <w:szCs w:val="24"/>
          <w:shd w:val="clear" w:color="auto" w:fill="FFFFFF"/>
        </w:rPr>
        <w:drawing>
          <wp:anchor distT="0" distB="0" distL="114300" distR="114300" simplePos="0" relativeHeight="251659264" behindDoc="0" locked="0" layoutInCell="1" allowOverlap="1" wp14:anchorId="024A15FD" wp14:editId="6F3A45A7">
            <wp:simplePos x="0" y="0"/>
            <wp:positionH relativeFrom="column">
              <wp:posOffset>335280</wp:posOffset>
            </wp:positionH>
            <wp:positionV relativeFrom="paragraph">
              <wp:posOffset>762000</wp:posOffset>
            </wp:positionV>
            <wp:extent cx="5090160" cy="26746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0160" cy="267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464">
        <w:rPr>
          <w:rFonts w:ascii="Times New Roman" w:eastAsia="Calibri" w:hAnsi="Times New Roman" w:cs="Times New Roman"/>
          <w:i/>
          <w:iCs/>
          <w:color w:val="44546A"/>
          <w:sz w:val="24"/>
          <w:szCs w:val="24"/>
        </w:rPr>
        <w:tab/>
      </w:r>
    </w:p>
    <w:p w14:paraId="28F77780" w14:textId="77777777" w:rsidR="004C6464" w:rsidRPr="004C6464" w:rsidRDefault="004C6464" w:rsidP="004C6464">
      <w:pPr>
        <w:spacing w:after="160" w:line="259" w:lineRule="auto"/>
        <w:rPr>
          <w:rFonts w:ascii="Calibri" w:eastAsia="Calibri" w:hAnsi="Calibri" w:cs="Times New Roman"/>
        </w:rPr>
      </w:pPr>
    </w:p>
    <w:p w14:paraId="38B02F1C" w14:textId="77777777" w:rsidR="004C6464" w:rsidRPr="004C6464" w:rsidRDefault="004C6464" w:rsidP="004C6464">
      <w:pPr>
        <w:tabs>
          <w:tab w:val="left" w:pos="1740"/>
        </w:tabs>
        <w:spacing w:after="160" w:line="259" w:lineRule="auto"/>
        <w:rPr>
          <w:rFonts w:ascii="Calibri" w:eastAsia="Calibri" w:hAnsi="Calibri" w:cs="Times New Roman"/>
        </w:rPr>
      </w:pPr>
      <w:r w:rsidRPr="004C6464">
        <w:rPr>
          <w:rFonts w:ascii="Calibri" w:eastAsia="Calibri" w:hAnsi="Calibri" w:cs="Times New Roman"/>
        </w:rPr>
        <w:tab/>
      </w:r>
      <w:r w:rsidRPr="004C6464">
        <w:rPr>
          <w:rFonts w:ascii="Calibri" w:eastAsia="Calibri" w:hAnsi="Calibri" w:cs="Times New Roman"/>
          <w:b/>
        </w:rPr>
        <w:t>Source:</w:t>
      </w:r>
      <w:r w:rsidRPr="004C6464">
        <w:rPr>
          <w:rFonts w:ascii="Calibri" w:eastAsia="Calibri" w:hAnsi="Calibri" w:cs="Times New Roman"/>
        </w:rPr>
        <w:t xml:space="preserve"> survey data (2024)</w:t>
      </w:r>
    </w:p>
    <w:p w14:paraId="5A0C1532" w14:textId="77777777" w:rsidR="004C6464" w:rsidRPr="004C6464" w:rsidRDefault="004C6464" w:rsidP="004C6464">
      <w:pPr>
        <w:spacing w:after="160" w:line="259" w:lineRule="auto"/>
        <w:rPr>
          <w:rFonts w:ascii="Calibri" w:eastAsia="Calibri" w:hAnsi="Calibri" w:cs="Times New Roman"/>
        </w:rPr>
      </w:pPr>
    </w:p>
    <w:p w14:paraId="1C95F8B5" w14:textId="77777777" w:rsidR="004C6464" w:rsidRPr="004C6464" w:rsidRDefault="004C6464" w:rsidP="004C6464">
      <w:pPr>
        <w:spacing w:after="160" w:line="259" w:lineRule="auto"/>
        <w:rPr>
          <w:rFonts w:ascii="Calibri" w:eastAsia="Calibri" w:hAnsi="Calibri" w:cs="Times New Roman"/>
        </w:rPr>
      </w:pPr>
    </w:p>
    <w:p w14:paraId="4072ED8D" w14:textId="77777777" w:rsidR="004C6464" w:rsidRPr="004C6464" w:rsidRDefault="004C6464" w:rsidP="004C6464">
      <w:pPr>
        <w:spacing w:after="160" w:line="259" w:lineRule="auto"/>
        <w:rPr>
          <w:rFonts w:ascii="Calibri" w:eastAsia="Calibri" w:hAnsi="Calibri" w:cs="Times New Roman"/>
        </w:rPr>
      </w:pPr>
    </w:p>
    <w:p w14:paraId="14102419" w14:textId="77777777" w:rsidR="004C6464" w:rsidRPr="004C6464" w:rsidRDefault="004C6464" w:rsidP="004C6464">
      <w:pPr>
        <w:spacing w:after="160" w:line="259" w:lineRule="auto"/>
        <w:rPr>
          <w:rFonts w:ascii="Calibri" w:eastAsia="Calibri" w:hAnsi="Calibri" w:cs="Times New Roman"/>
        </w:rPr>
      </w:pPr>
    </w:p>
    <w:p w14:paraId="4A459FCF" w14:textId="77777777" w:rsidR="004C6464" w:rsidRPr="004C6464" w:rsidRDefault="004C6464" w:rsidP="004C6464">
      <w:pPr>
        <w:spacing w:after="160" w:line="259" w:lineRule="auto"/>
        <w:rPr>
          <w:rFonts w:ascii="Calibri" w:eastAsia="Calibri" w:hAnsi="Calibri" w:cs="Times New Roman"/>
        </w:rPr>
      </w:pPr>
    </w:p>
    <w:p w14:paraId="6C10A209" w14:textId="77777777" w:rsidR="004C6464" w:rsidRPr="004C6464" w:rsidRDefault="004C6464" w:rsidP="004C6464">
      <w:pPr>
        <w:spacing w:after="160" w:line="259" w:lineRule="auto"/>
        <w:rPr>
          <w:rFonts w:ascii="Calibri" w:eastAsia="Calibri" w:hAnsi="Calibri" w:cs="Times New Roman"/>
        </w:rPr>
      </w:pPr>
    </w:p>
    <w:p w14:paraId="55252B4E" w14:textId="77777777" w:rsidR="004C6464" w:rsidRPr="004C6464" w:rsidRDefault="004C6464" w:rsidP="004C6464">
      <w:pPr>
        <w:spacing w:after="160" w:line="259" w:lineRule="auto"/>
        <w:rPr>
          <w:rFonts w:ascii="Calibri" w:eastAsia="Calibri" w:hAnsi="Calibri" w:cs="Times New Roman"/>
        </w:rPr>
      </w:pPr>
    </w:p>
    <w:p w14:paraId="0DFB28E1" w14:textId="77777777" w:rsidR="004C6464" w:rsidRPr="004C6464" w:rsidRDefault="004C6464" w:rsidP="004C6464">
      <w:pPr>
        <w:spacing w:after="160" w:line="259" w:lineRule="auto"/>
        <w:rPr>
          <w:rFonts w:ascii="Calibri" w:eastAsia="Calibri" w:hAnsi="Calibri" w:cs="Times New Roman"/>
        </w:rPr>
      </w:pPr>
    </w:p>
    <w:p w14:paraId="775BF589" w14:textId="77777777" w:rsidR="004C6464" w:rsidRPr="002477BE" w:rsidRDefault="004C6464" w:rsidP="002477BE">
      <w:pPr>
        <w:spacing w:after="100" w:afterAutospacing="1" w:line="240" w:lineRule="auto"/>
        <w:rPr>
          <w:rFonts w:ascii="Times New Roman" w:eastAsia="Times New Roman" w:hAnsi="Times New Roman" w:cs="Times New Roman"/>
          <w:sz w:val="24"/>
          <w:szCs w:val="24"/>
        </w:rPr>
      </w:pPr>
    </w:p>
    <w:p w14:paraId="1DE772A5" w14:textId="77777777" w:rsidR="002477BE" w:rsidRPr="006242FB" w:rsidRDefault="002477BE" w:rsidP="002619AC">
      <w:pPr>
        <w:spacing w:before="100" w:beforeAutospacing="1" w:after="100" w:afterAutospacing="1" w:line="360" w:lineRule="auto"/>
        <w:jc w:val="both"/>
        <w:rPr>
          <w:rFonts w:ascii="Times New Roman" w:eastAsia="Times New Roman" w:hAnsi="Times New Roman" w:cs="Times New Roman"/>
          <w:sz w:val="24"/>
          <w:szCs w:val="24"/>
        </w:rPr>
      </w:pPr>
    </w:p>
    <w:p w14:paraId="5325F0BE" w14:textId="77777777" w:rsidR="006242FB" w:rsidRPr="00B6042D" w:rsidRDefault="006242FB" w:rsidP="00B6042D">
      <w:pPr>
        <w:spacing w:before="100" w:beforeAutospacing="1" w:after="100" w:afterAutospacing="1" w:line="360" w:lineRule="auto"/>
        <w:jc w:val="both"/>
        <w:rPr>
          <w:rFonts w:ascii="Times New Roman" w:eastAsia="Times New Roman" w:hAnsi="Times New Roman" w:cs="Times New Roman"/>
          <w:sz w:val="24"/>
          <w:szCs w:val="24"/>
        </w:rPr>
      </w:pPr>
    </w:p>
    <w:p w14:paraId="719189D4" w14:textId="77777777" w:rsidR="00066022" w:rsidRPr="00066022" w:rsidRDefault="00066022" w:rsidP="00066022">
      <w:pPr>
        <w:keepNext/>
        <w:keepLines/>
        <w:spacing w:after="0" w:line="360" w:lineRule="auto"/>
        <w:jc w:val="both"/>
        <w:outlineLvl w:val="0"/>
        <w:rPr>
          <w:rFonts w:ascii="TimesNewRomanPS-BoldMT" w:eastAsia="Times New Roman" w:hAnsi="TimesNewRomanPS-BoldMT" w:cs="Times New Roman"/>
          <w:b/>
          <w:sz w:val="28"/>
          <w:szCs w:val="24"/>
        </w:rPr>
      </w:pPr>
    </w:p>
    <w:p w14:paraId="77617DED" w14:textId="77777777" w:rsidR="007A7000" w:rsidRDefault="007A7000" w:rsidP="00754E84">
      <w:pPr>
        <w:spacing w:line="360" w:lineRule="auto"/>
        <w:jc w:val="both"/>
      </w:pPr>
    </w:p>
    <w:sectPr w:rsidR="007A70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31B9" w14:textId="77777777" w:rsidR="00431D9F" w:rsidRDefault="00431D9F" w:rsidP="009559C4">
      <w:pPr>
        <w:spacing w:after="0" w:line="240" w:lineRule="auto"/>
      </w:pPr>
      <w:r>
        <w:separator/>
      </w:r>
    </w:p>
  </w:endnote>
  <w:endnote w:type="continuationSeparator" w:id="0">
    <w:p w14:paraId="705558FD" w14:textId="77777777" w:rsidR="00431D9F" w:rsidRDefault="00431D9F" w:rsidP="0095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FCFA" w14:textId="77777777" w:rsidR="00BD5030" w:rsidRDefault="00BD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DC2F" w14:textId="77777777" w:rsidR="00BD5030" w:rsidRDefault="00BD5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4966" w14:textId="77777777" w:rsidR="00BD5030" w:rsidRDefault="00BD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CA51" w14:textId="77777777" w:rsidR="00431D9F" w:rsidRDefault="00431D9F" w:rsidP="009559C4">
      <w:pPr>
        <w:spacing w:after="0" w:line="240" w:lineRule="auto"/>
      </w:pPr>
      <w:r>
        <w:separator/>
      </w:r>
    </w:p>
  </w:footnote>
  <w:footnote w:type="continuationSeparator" w:id="0">
    <w:p w14:paraId="7D8E4E50" w14:textId="77777777" w:rsidR="00431D9F" w:rsidRDefault="00431D9F" w:rsidP="0095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515D" w14:textId="090DB969" w:rsidR="00BD5030" w:rsidRDefault="00000000">
    <w:pPr>
      <w:pStyle w:val="Header"/>
    </w:pPr>
    <w:r>
      <w:rPr>
        <w:noProof/>
      </w:rPr>
      <w:pict w14:anchorId="1CCD3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E2E8" w14:textId="5294B430" w:rsidR="00BD5030" w:rsidRDefault="00000000">
    <w:pPr>
      <w:pStyle w:val="Header"/>
    </w:pPr>
    <w:r>
      <w:rPr>
        <w:noProof/>
      </w:rPr>
      <w:pict w14:anchorId="7FD2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18A" w14:textId="2510774B" w:rsidR="00BD5030" w:rsidRDefault="00000000">
    <w:pPr>
      <w:pStyle w:val="Header"/>
    </w:pPr>
    <w:r>
      <w:rPr>
        <w:noProof/>
      </w:rPr>
      <w:pict w14:anchorId="68C33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E84"/>
    <w:rsid w:val="00033D29"/>
    <w:rsid w:val="00040751"/>
    <w:rsid w:val="000572FE"/>
    <w:rsid w:val="00066022"/>
    <w:rsid w:val="00084BB4"/>
    <w:rsid w:val="000D4D00"/>
    <w:rsid w:val="000D61EE"/>
    <w:rsid w:val="000E59D1"/>
    <w:rsid w:val="00117B4B"/>
    <w:rsid w:val="00161161"/>
    <w:rsid w:val="001C6D99"/>
    <w:rsid w:val="001F0831"/>
    <w:rsid w:val="001F3CCE"/>
    <w:rsid w:val="00201C45"/>
    <w:rsid w:val="00213EDC"/>
    <w:rsid w:val="002175C7"/>
    <w:rsid w:val="00225FFA"/>
    <w:rsid w:val="002477BE"/>
    <w:rsid w:val="002619AC"/>
    <w:rsid w:val="00273CF7"/>
    <w:rsid w:val="002962BA"/>
    <w:rsid w:val="002B0D99"/>
    <w:rsid w:val="00392D88"/>
    <w:rsid w:val="003A0E02"/>
    <w:rsid w:val="003A1F65"/>
    <w:rsid w:val="003A36A4"/>
    <w:rsid w:val="003A3FF3"/>
    <w:rsid w:val="00431D9F"/>
    <w:rsid w:val="004A1E79"/>
    <w:rsid w:val="004C6464"/>
    <w:rsid w:val="004D624F"/>
    <w:rsid w:val="004E4D88"/>
    <w:rsid w:val="004E5309"/>
    <w:rsid w:val="005471F4"/>
    <w:rsid w:val="00550F4C"/>
    <w:rsid w:val="00565886"/>
    <w:rsid w:val="00587CB3"/>
    <w:rsid w:val="005A29A9"/>
    <w:rsid w:val="005B01A6"/>
    <w:rsid w:val="005B139B"/>
    <w:rsid w:val="005C21C1"/>
    <w:rsid w:val="005D4DCA"/>
    <w:rsid w:val="0061430A"/>
    <w:rsid w:val="006242FB"/>
    <w:rsid w:val="00656741"/>
    <w:rsid w:val="00754E84"/>
    <w:rsid w:val="007845C7"/>
    <w:rsid w:val="00787C97"/>
    <w:rsid w:val="007A7000"/>
    <w:rsid w:val="00877D48"/>
    <w:rsid w:val="008D45B6"/>
    <w:rsid w:val="008E13DF"/>
    <w:rsid w:val="008F0BC6"/>
    <w:rsid w:val="009211EC"/>
    <w:rsid w:val="009559C4"/>
    <w:rsid w:val="009D5904"/>
    <w:rsid w:val="00A14DCD"/>
    <w:rsid w:val="00A20670"/>
    <w:rsid w:val="00A53FB4"/>
    <w:rsid w:val="00A84CFB"/>
    <w:rsid w:val="00AA3C0C"/>
    <w:rsid w:val="00B248D0"/>
    <w:rsid w:val="00B4558F"/>
    <w:rsid w:val="00B6042D"/>
    <w:rsid w:val="00BA122F"/>
    <w:rsid w:val="00BB4ACB"/>
    <w:rsid w:val="00BC7824"/>
    <w:rsid w:val="00BD5030"/>
    <w:rsid w:val="00BE0BE7"/>
    <w:rsid w:val="00BE5045"/>
    <w:rsid w:val="00C64B96"/>
    <w:rsid w:val="00CC0A93"/>
    <w:rsid w:val="00CC72B3"/>
    <w:rsid w:val="00CE2A03"/>
    <w:rsid w:val="00D53AAF"/>
    <w:rsid w:val="00D74C1B"/>
    <w:rsid w:val="00D92D61"/>
    <w:rsid w:val="00DE2B5D"/>
    <w:rsid w:val="00E03257"/>
    <w:rsid w:val="00E13106"/>
    <w:rsid w:val="00E373E4"/>
    <w:rsid w:val="00E52FB9"/>
    <w:rsid w:val="00EF689B"/>
    <w:rsid w:val="00F30BBE"/>
    <w:rsid w:val="00F566D0"/>
    <w:rsid w:val="00F57459"/>
    <w:rsid w:val="00F8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E4FDE"/>
  <w15:docId w15:val="{6CE168EA-AD4F-4AC4-90FD-BB6BE08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E02"/>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3A0E02"/>
    <w:pPr>
      <w:keepNext/>
      <w:keepLines/>
      <w:spacing w:after="0" w:line="259"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0660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60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4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E84"/>
    <w:rPr>
      <w:b/>
      <w:bCs/>
    </w:rPr>
  </w:style>
  <w:style w:type="character" w:styleId="Hyperlink">
    <w:name w:val="Hyperlink"/>
    <w:basedOn w:val="DefaultParagraphFont"/>
    <w:uiPriority w:val="99"/>
    <w:unhideWhenUsed/>
    <w:rsid w:val="00754E84"/>
    <w:rPr>
      <w:color w:val="0000FF" w:themeColor="hyperlink"/>
      <w:u w:val="single"/>
    </w:rPr>
  </w:style>
  <w:style w:type="character" w:customStyle="1" w:styleId="Heading1Char">
    <w:name w:val="Heading 1 Char"/>
    <w:basedOn w:val="DefaultParagraphFont"/>
    <w:link w:val="Heading1"/>
    <w:uiPriority w:val="9"/>
    <w:rsid w:val="003A0E0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A0E02"/>
    <w:rPr>
      <w:rFonts w:ascii="Times New Roman" w:eastAsiaTheme="majorEastAsia" w:hAnsi="Times New Roman" w:cstheme="majorBidi"/>
      <w:b/>
      <w:color w:val="000000" w:themeColor="text1"/>
      <w:sz w:val="24"/>
      <w:szCs w:val="26"/>
    </w:rPr>
  </w:style>
  <w:style w:type="paragraph" w:styleId="BalloonText">
    <w:name w:val="Balloon Text"/>
    <w:basedOn w:val="Normal"/>
    <w:link w:val="BalloonTextChar"/>
    <w:uiPriority w:val="99"/>
    <w:semiHidden/>
    <w:unhideWhenUsed/>
    <w:rsid w:val="002B0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D99"/>
    <w:rPr>
      <w:rFonts w:ascii="Tahoma" w:hAnsi="Tahoma" w:cs="Tahoma"/>
      <w:sz w:val="16"/>
      <w:szCs w:val="16"/>
    </w:rPr>
  </w:style>
  <w:style w:type="character" w:styleId="Emphasis">
    <w:name w:val="Emphasis"/>
    <w:basedOn w:val="DefaultParagraphFont"/>
    <w:uiPriority w:val="20"/>
    <w:qFormat/>
    <w:rsid w:val="005A29A9"/>
    <w:rPr>
      <w:i/>
      <w:iCs/>
    </w:rPr>
  </w:style>
  <w:style w:type="character" w:customStyle="1" w:styleId="Heading3Char">
    <w:name w:val="Heading 3 Char"/>
    <w:basedOn w:val="DefaultParagraphFont"/>
    <w:link w:val="Heading3"/>
    <w:uiPriority w:val="9"/>
    <w:semiHidden/>
    <w:rsid w:val="000660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6022"/>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4C646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C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C4"/>
  </w:style>
  <w:style w:type="paragraph" w:styleId="Footer">
    <w:name w:val="footer"/>
    <w:basedOn w:val="Normal"/>
    <w:link w:val="FooterChar"/>
    <w:uiPriority w:val="99"/>
    <w:unhideWhenUsed/>
    <w:rsid w:val="0095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C4"/>
  </w:style>
  <w:style w:type="paragraph" w:styleId="NoSpacing">
    <w:name w:val="No Spacing"/>
    <w:uiPriority w:val="1"/>
    <w:qFormat/>
    <w:rsid w:val="00F85F7C"/>
    <w:pPr>
      <w:spacing w:after="0" w:line="240" w:lineRule="auto"/>
    </w:pPr>
    <w:rPr>
      <w:lang w:val="en-GB"/>
    </w:rPr>
  </w:style>
  <w:style w:type="character" w:customStyle="1" w:styleId="whitespace-normal">
    <w:name w:val="whitespace-normal"/>
    <w:basedOn w:val="DefaultParagraphFont"/>
    <w:rsid w:val="0065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7681">
      <w:bodyDiv w:val="1"/>
      <w:marLeft w:val="0"/>
      <w:marRight w:val="0"/>
      <w:marTop w:val="0"/>
      <w:marBottom w:val="0"/>
      <w:divBdr>
        <w:top w:val="none" w:sz="0" w:space="0" w:color="auto"/>
        <w:left w:val="none" w:sz="0" w:space="0" w:color="auto"/>
        <w:bottom w:val="none" w:sz="0" w:space="0" w:color="auto"/>
        <w:right w:val="none" w:sz="0" w:space="0" w:color="auto"/>
      </w:divBdr>
    </w:div>
    <w:div w:id="344287792">
      <w:bodyDiv w:val="1"/>
      <w:marLeft w:val="0"/>
      <w:marRight w:val="0"/>
      <w:marTop w:val="0"/>
      <w:marBottom w:val="0"/>
      <w:divBdr>
        <w:top w:val="none" w:sz="0" w:space="0" w:color="auto"/>
        <w:left w:val="none" w:sz="0" w:space="0" w:color="auto"/>
        <w:bottom w:val="none" w:sz="0" w:space="0" w:color="auto"/>
        <w:right w:val="none" w:sz="0" w:space="0" w:color="auto"/>
      </w:divBdr>
    </w:div>
    <w:div w:id="801264540">
      <w:bodyDiv w:val="1"/>
      <w:marLeft w:val="0"/>
      <w:marRight w:val="0"/>
      <w:marTop w:val="0"/>
      <w:marBottom w:val="0"/>
      <w:divBdr>
        <w:top w:val="none" w:sz="0" w:space="0" w:color="auto"/>
        <w:left w:val="none" w:sz="0" w:space="0" w:color="auto"/>
        <w:bottom w:val="none" w:sz="0" w:space="0" w:color="auto"/>
        <w:right w:val="none" w:sz="0" w:space="0" w:color="auto"/>
      </w:divBdr>
    </w:div>
    <w:div w:id="1148479198">
      <w:bodyDiv w:val="1"/>
      <w:marLeft w:val="0"/>
      <w:marRight w:val="0"/>
      <w:marTop w:val="0"/>
      <w:marBottom w:val="0"/>
      <w:divBdr>
        <w:top w:val="none" w:sz="0" w:space="0" w:color="auto"/>
        <w:left w:val="none" w:sz="0" w:space="0" w:color="auto"/>
        <w:bottom w:val="none" w:sz="0" w:space="0" w:color="auto"/>
        <w:right w:val="none" w:sz="0" w:space="0" w:color="auto"/>
      </w:divBdr>
    </w:div>
    <w:div w:id="1178498721">
      <w:bodyDiv w:val="1"/>
      <w:marLeft w:val="0"/>
      <w:marRight w:val="0"/>
      <w:marTop w:val="0"/>
      <w:marBottom w:val="0"/>
      <w:divBdr>
        <w:top w:val="none" w:sz="0" w:space="0" w:color="auto"/>
        <w:left w:val="none" w:sz="0" w:space="0" w:color="auto"/>
        <w:bottom w:val="none" w:sz="0" w:space="0" w:color="auto"/>
        <w:right w:val="none" w:sz="0" w:space="0" w:color="auto"/>
      </w:divBdr>
    </w:div>
    <w:div w:id="1279486120">
      <w:bodyDiv w:val="1"/>
      <w:marLeft w:val="0"/>
      <w:marRight w:val="0"/>
      <w:marTop w:val="0"/>
      <w:marBottom w:val="0"/>
      <w:divBdr>
        <w:top w:val="none" w:sz="0" w:space="0" w:color="auto"/>
        <w:left w:val="none" w:sz="0" w:space="0" w:color="auto"/>
        <w:bottom w:val="none" w:sz="0" w:space="0" w:color="auto"/>
        <w:right w:val="none" w:sz="0" w:space="0" w:color="auto"/>
      </w:divBdr>
    </w:div>
    <w:div w:id="1294290970">
      <w:bodyDiv w:val="1"/>
      <w:marLeft w:val="0"/>
      <w:marRight w:val="0"/>
      <w:marTop w:val="0"/>
      <w:marBottom w:val="0"/>
      <w:divBdr>
        <w:top w:val="none" w:sz="0" w:space="0" w:color="auto"/>
        <w:left w:val="none" w:sz="0" w:space="0" w:color="auto"/>
        <w:bottom w:val="none" w:sz="0" w:space="0" w:color="auto"/>
        <w:right w:val="none" w:sz="0" w:space="0" w:color="auto"/>
      </w:divBdr>
    </w:div>
    <w:div w:id="1362971203">
      <w:bodyDiv w:val="1"/>
      <w:marLeft w:val="0"/>
      <w:marRight w:val="0"/>
      <w:marTop w:val="0"/>
      <w:marBottom w:val="0"/>
      <w:divBdr>
        <w:top w:val="none" w:sz="0" w:space="0" w:color="auto"/>
        <w:left w:val="none" w:sz="0" w:space="0" w:color="auto"/>
        <w:bottom w:val="none" w:sz="0" w:space="0" w:color="auto"/>
        <w:right w:val="none" w:sz="0" w:space="0" w:color="auto"/>
      </w:divBdr>
    </w:div>
    <w:div w:id="1480418978">
      <w:bodyDiv w:val="1"/>
      <w:marLeft w:val="0"/>
      <w:marRight w:val="0"/>
      <w:marTop w:val="0"/>
      <w:marBottom w:val="0"/>
      <w:divBdr>
        <w:top w:val="none" w:sz="0" w:space="0" w:color="auto"/>
        <w:left w:val="none" w:sz="0" w:space="0" w:color="auto"/>
        <w:bottom w:val="none" w:sz="0" w:space="0" w:color="auto"/>
        <w:right w:val="none" w:sz="0" w:space="0" w:color="auto"/>
      </w:divBdr>
    </w:div>
    <w:div w:id="1499231003">
      <w:bodyDiv w:val="1"/>
      <w:marLeft w:val="0"/>
      <w:marRight w:val="0"/>
      <w:marTop w:val="0"/>
      <w:marBottom w:val="0"/>
      <w:divBdr>
        <w:top w:val="none" w:sz="0" w:space="0" w:color="auto"/>
        <w:left w:val="none" w:sz="0" w:space="0" w:color="auto"/>
        <w:bottom w:val="none" w:sz="0" w:space="0" w:color="auto"/>
        <w:right w:val="none" w:sz="0" w:space="0" w:color="auto"/>
      </w:divBdr>
    </w:div>
    <w:div w:id="1853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ijber.20211003.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172/2162-6359.1000247" TargetMode="Externa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arpgweb.com/?ic=journal&amp;journal=14&amp;info=aim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7/s44279-025-00378-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1022</cp:lastModifiedBy>
  <cp:revision>29</cp:revision>
  <dcterms:created xsi:type="dcterms:W3CDTF">2026-03-28T12:53:00Z</dcterms:created>
  <dcterms:modified xsi:type="dcterms:W3CDTF">2026-05-19T09:31:00Z</dcterms:modified>
</cp:coreProperties>
</file>