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5AF5A" w14:textId="77777777" w:rsidR="00984F11" w:rsidRPr="00FB557A" w:rsidRDefault="00984F11" w:rsidP="00984F11">
      <w:pPr>
        <w:rPr>
          <w:rFonts w:ascii="Times New Roman" w:hAnsi="Times New Roman" w:cs="Times New Roman"/>
          <w:b/>
          <w:bCs/>
          <w:i/>
          <w:iCs/>
          <w:u w:val="single"/>
        </w:rPr>
      </w:pPr>
      <w:r w:rsidRPr="00FB557A">
        <w:rPr>
          <w:rFonts w:ascii="Times New Roman" w:hAnsi="Times New Roman" w:cs="Times New Roman"/>
          <w:b/>
          <w:bCs/>
          <w:i/>
          <w:iCs/>
          <w:u w:val="single"/>
        </w:rPr>
        <w:t>Minireview Article</w:t>
      </w:r>
    </w:p>
    <w:p w14:paraId="39FCB2EC" w14:textId="77777777" w:rsidR="005439E5" w:rsidRPr="00FB557A" w:rsidRDefault="005439E5" w:rsidP="005439E5">
      <w:pPr>
        <w:rPr>
          <w:rFonts w:ascii="Times New Roman" w:hAnsi="Times New Roman" w:cs="Times New Roman"/>
          <w:b/>
          <w:bCs/>
        </w:rPr>
      </w:pPr>
      <w:r w:rsidRPr="00FB557A">
        <w:rPr>
          <w:rFonts w:ascii="Times New Roman" w:hAnsi="Times New Roman" w:cs="Times New Roman"/>
          <w:b/>
          <w:bCs/>
        </w:rPr>
        <w:t>An Integrated Assessment of Agrochemical Exposure and Cancer Risk in U.S. Agricultural Populations</w:t>
      </w:r>
    </w:p>
    <w:p w14:paraId="19DCB46A" w14:textId="761D69D4" w:rsidR="009C73A7" w:rsidRPr="009C73A7" w:rsidRDefault="009C73A7" w:rsidP="009C73A7">
      <w:pPr>
        <w:rPr>
          <w:rFonts w:ascii="Times New Roman" w:hAnsi="Times New Roman" w:cs="Times New Roman"/>
        </w:rPr>
      </w:pPr>
      <w:r w:rsidRPr="009C73A7">
        <w:rPr>
          <w:rFonts w:ascii="Times New Roman" w:hAnsi="Times New Roman" w:cs="Times New Roman"/>
          <w:b/>
          <w:bCs/>
        </w:rPr>
        <w:t>Abstract</w:t>
      </w:r>
      <w:r w:rsidRPr="009C73A7">
        <w:rPr>
          <w:rFonts w:ascii="Times New Roman" w:hAnsi="Times New Roman" w:cs="Times New Roman"/>
        </w:rPr>
        <w:br/>
        <w:t xml:space="preserve">Agrochemical use remains central to U.S. agricultural productivity, yet growing evidence raises concerns regarding its long-term implications for cancer risk among agricultural workers, rural communities, and other exposed populations. This narrative mini-review synthesizes epidemiological, toxicological, mechanistic, and regulatory literature identified through </w:t>
      </w:r>
      <w:r>
        <w:rPr>
          <w:rFonts w:ascii="Times New Roman" w:hAnsi="Times New Roman" w:cs="Times New Roman"/>
        </w:rPr>
        <w:t xml:space="preserve">a </w:t>
      </w:r>
      <w:r w:rsidRPr="009C73A7">
        <w:rPr>
          <w:rFonts w:ascii="Times New Roman" w:hAnsi="Times New Roman" w:cs="Times New Roman"/>
        </w:rPr>
        <w:t>targeted review of peer-reviewed studies focusing primarily on U.S. agricultural populations. Major exposure pathways</w:t>
      </w:r>
      <w:r>
        <w:rPr>
          <w:rFonts w:ascii="Times New Roman" w:hAnsi="Times New Roman" w:cs="Times New Roman"/>
        </w:rPr>
        <w:t xml:space="preserve">, </w:t>
      </w:r>
      <w:r w:rsidRPr="009C73A7">
        <w:rPr>
          <w:rFonts w:ascii="Times New Roman" w:hAnsi="Times New Roman" w:cs="Times New Roman"/>
        </w:rPr>
        <w:t>including occupational, environmental, dietary, and para-occupational routes</w:t>
      </w:r>
      <w:r>
        <w:rPr>
          <w:rFonts w:ascii="Times New Roman" w:hAnsi="Times New Roman" w:cs="Times New Roman"/>
        </w:rPr>
        <w:t xml:space="preserve">, </w:t>
      </w:r>
      <w:r w:rsidRPr="009C73A7">
        <w:rPr>
          <w:rFonts w:ascii="Times New Roman" w:hAnsi="Times New Roman" w:cs="Times New Roman"/>
        </w:rPr>
        <w:t>are examined alongside evidence linking specific agrochemical classes to hematologic and solid malignancies. Current evidence suggests potential associations between chronic agrochemical exposure and cancers such as non-Hodgkin lymphoma, leukemia, prostate cancer, and certain hormone-related tumors, although findings vary by chemical class, exposure intensity, and study methodology. Mechanistic pathways</w:t>
      </w:r>
      <w:r>
        <w:rPr>
          <w:rFonts w:ascii="Times New Roman" w:hAnsi="Times New Roman" w:cs="Times New Roman"/>
        </w:rPr>
        <w:t>,</w:t>
      </w:r>
      <w:r w:rsidRPr="009C73A7">
        <w:rPr>
          <w:rFonts w:ascii="Times New Roman" w:hAnsi="Times New Roman" w:cs="Times New Roman"/>
        </w:rPr>
        <w:t xml:space="preserve"> including genotoxicity, oxidative stress, endocrine disruption, and epigenetic alterations</w:t>
      </w:r>
      <w:r>
        <w:rPr>
          <w:rFonts w:ascii="Times New Roman" w:hAnsi="Times New Roman" w:cs="Times New Roman"/>
        </w:rPr>
        <w:t>,</w:t>
      </w:r>
      <w:r w:rsidRPr="009C73A7">
        <w:rPr>
          <w:rFonts w:ascii="Times New Roman" w:hAnsi="Times New Roman" w:cs="Times New Roman"/>
        </w:rPr>
        <w:t xml:space="preserve"> provide biologically plausible explanations for carcinogenic potential. Regulatory limitations, particularly insufficient consideration of cumulative exposures and chemical mixtures, may contribute to </w:t>
      </w:r>
      <w:r>
        <w:rPr>
          <w:rFonts w:ascii="Times New Roman" w:hAnsi="Times New Roman" w:cs="Times New Roman"/>
        </w:rPr>
        <w:t xml:space="preserve">the </w:t>
      </w:r>
      <w:r w:rsidRPr="009C73A7">
        <w:rPr>
          <w:rFonts w:ascii="Times New Roman" w:hAnsi="Times New Roman" w:cs="Times New Roman"/>
        </w:rPr>
        <w:t>underestimation of long-term public health risks. Vulnerable U.S. populations</w:t>
      </w:r>
      <w:r>
        <w:rPr>
          <w:rFonts w:ascii="Times New Roman" w:hAnsi="Times New Roman" w:cs="Times New Roman"/>
        </w:rPr>
        <w:t xml:space="preserve">, </w:t>
      </w:r>
      <w:r w:rsidRPr="009C73A7">
        <w:rPr>
          <w:rFonts w:ascii="Times New Roman" w:hAnsi="Times New Roman" w:cs="Times New Roman"/>
        </w:rPr>
        <w:t>including migrant workers, children, and low-income rural communities</w:t>
      </w:r>
      <w:r>
        <w:rPr>
          <w:rFonts w:ascii="Times New Roman" w:hAnsi="Times New Roman" w:cs="Times New Roman"/>
        </w:rPr>
        <w:t xml:space="preserve">, </w:t>
      </w:r>
      <w:r w:rsidRPr="009C73A7">
        <w:rPr>
          <w:rFonts w:ascii="Times New Roman" w:hAnsi="Times New Roman" w:cs="Times New Roman"/>
        </w:rPr>
        <w:t>face disproportionate exposure burdens. While important uncertainties remain, this review highlights critical research gaps and underscores the need for more precise exposure assessment, stronger regulatory frameworks, and targeted preventive strategies to better protect U.S. agricultural populations.</w:t>
      </w:r>
    </w:p>
    <w:p w14:paraId="430201B4" w14:textId="77777777" w:rsidR="009C73A7" w:rsidRPr="009C73A7" w:rsidRDefault="009C73A7" w:rsidP="009C73A7">
      <w:pPr>
        <w:rPr>
          <w:rFonts w:ascii="Times New Roman" w:hAnsi="Times New Roman" w:cs="Times New Roman"/>
        </w:rPr>
      </w:pPr>
      <w:r w:rsidRPr="009C73A7">
        <w:rPr>
          <w:rFonts w:ascii="Times New Roman" w:hAnsi="Times New Roman" w:cs="Times New Roman"/>
          <w:b/>
          <w:bCs/>
        </w:rPr>
        <w:t>Keywords:</w:t>
      </w:r>
      <w:r w:rsidRPr="009C73A7">
        <w:rPr>
          <w:rFonts w:ascii="Times New Roman" w:hAnsi="Times New Roman" w:cs="Times New Roman"/>
        </w:rPr>
        <w:t xml:space="preserve"> Agrochemicals; Pesticide exposure; Cancer risk; Agricultural workers; United States; Environmental health; Occupational exposure; Carcinogenesis; Review</w:t>
      </w:r>
    </w:p>
    <w:p w14:paraId="13787281" w14:textId="77777777" w:rsidR="00F267C2" w:rsidRPr="00F267C2" w:rsidRDefault="00F267C2" w:rsidP="00F267C2">
      <w:pPr>
        <w:rPr>
          <w:rFonts w:ascii="Times New Roman" w:hAnsi="Times New Roman" w:cs="Times New Roman"/>
          <w:b/>
          <w:bCs/>
        </w:rPr>
      </w:pPr>
      <w:r w:rsidRPr="00F267C2">
        <w:rPr>
          <w:rFonts w:ascii="Times New Roman" w:hAnsi="Times New Roman" w:cs="Times New Roman"/>
          <w:b/>
          <w:bCs/>
        </w:rPr>
        <w:t>1. Introduction</w:t>
      </w:r>
    </w:p>
    <w:p w14:paraId="0ECD6A67" w14:textId="77777777" w:rsidR="00F267C2" w:rsidRPr="00F267C2" w:rsidRDefault="00F267C2" w:rsidP="00F267C2">
      <w:pPr>
        <w:rPr>
          <w:rFonts w:ascii="Times New Roman" w:hAnsi="Times New Roman" w:cs="Times New Roman"/>
        </w:rPr>
      </w:pPr>
      <w:r w:rsidRPr="00F267C2">
        <w:rPr>
          <w:rFonts w:ascii="Times New Roman" w:hAnsi="Times New Roman" w:cs="Times New Roman"/>
        </w:rPr>
        <w:t>Agricultural productivity in the United States depends heavily on the extensive use of agrochemicals, including herbicides, insecticides, fungicides, and fertilizers, to sustain crop yields, protect food systems, and meet national and global market demands. The United States remains one of the world’s largest consumers of agricultural pesticides, with over one billion pounds applied annually across major commercial farming systems such as corn, soybeans, wheat, fruits, and vegetables[1,6]. While these chemical inputs play a critical role in modern agricultural efficiency, their widespread use has generated increasing concern regarding potential long-term health consequences, particularly among agricultural workers, pesticide applicators, rural communities, and their families who experience repeated or chronic exposure[1].</w:t>
      </w:r>
    </w:p>
    <w:p w14:paraId="7977A9FC" w14:textId="77777777" w:rsidR="00F267C2" w:rsidRPr="00F267C2" w:rsidRDefault="00F267C2" w:rsidP="00F267C2">
      <w:pPr>
        <w:rPr>
          <w:rFonts w:ascii="Times New Roman" w:hAnsi="Times New Roman" w:cs="Times New Roman"/>
        </w:rPr>
      </w:pPr>
      <w:r w:rsidRPr="00F267C2">
        <w:rPr>
          <w:rFonts w:ascii="Times New Roman" w:hAnsi="Times New Roman" w:cs="Times New Roman"/>
        </w:rPr>
        <w:t xml:space="preserve">In U.S. agricultural settings, millions of workers encounter agrochemicals through multiple overlapping pathways, including occupational handling, environmental contamination, dietary </w:t>
      </w:r>
      <w:r w:rsidRPr="00F267C2">
        <w:rPr>
          <w:rFonts w:ascii="Times New Roman" w:hAnsi="Times New Roman" w:cs="Times New Roman"/>
        </w:rPr>
        <w:lastRenderedPageBreak/>
        <w:t>intake, and para-occupational household exposure. Unlike acute poisoning events, chronic low-dose exposure may persist over years or decades, raising concerns regarding cumulative biological effects that are often insufficiently captured by traditional single-chemical toxicological assessments[2,4]. This concern is particularly important given cancer’s long latency period and the complex interactions between chemical mixtures, genetic susceptibility, and environmental cofactors that may influence disease development[3].</w:t>
      </w:r>
    </w:p>
    <w:p w14:paraId="7EC12E11" w14:textId="0222E147" w:rsidR="00F267C2" w:rsidRPr="00F267C2" w:rsidRDefault="00F267C2" w:rsidP="00F267C2">
      <w:pPr>
        <w:rPr>
          <w:rFonts w:ascii="Times New Roman" w:hAnsi="Times New Roman" w:cs="Times New Roman"/>
        </w:rPr>
      </w:pPr>
      <w:r w:rsidRPr="00F267C2">
        <w:rPr>
          <w:rFonts w:ascii="Times New Roman" w:hAnsi="Times New Roman" w:cs="Times New Roman"/>
        </w:rPr>
        <w:t>Growing epidemiological evidence suggests that prolonged exposure to certain agrochemicals may contribute to increased risks of hematologic malignancies such as non-Hodgkin lymphoma and leukemia, as well as selected solid tumors</w:t>
      </w:r>
      <w:r w:rsidR="002F281C">
        <w:rPr>
          <w:rFonts w:ascii="Times New Roman" w:hAnsi="Times New Roman" w:cs="Times New Roman"/>
        </w:rPr>
        <w:t>,</w:t>
      </w:r>
      <w:r w:rsidRPr="00F267C2">
        <w:rPr>
          <w:rFonts w:ascii="Times New Roman" w:hAnsi="Times New Roman" w:cs="Times New Roman"/>
        </w:rPr>
        <w:t xml:space="preserve"> including prostate, breast, and skin cancers[5]. However, findings remain inconsistent across studies due to challenges including exposure misclassification, variability in chemical classes, evolving pesticide formulations, and differences in study design. Furthermore, many prior reviews have focused either on individual pesticides, specific cancer types, or global pesticide burdens without sufficiently integrating cumulative exposure pathways, mechanistic carcinogenic evidence, vulnerable U.S. worker populations, and regulatory limitations into a unified framework.</w:t>
      </w:r>
    </w:p>
    <w:p w14:paraId="54113663" w14:textId="0F291373" w:rsidR="00F267C2" w:rsidRPr="00F267C2" w:rsidRDefault="00F267C2" w:rsidP="00F267C2">
      <w:pPr>
        <w:rPr>
          <w:rFonts w:ascii="Times New Roman" w:hAnsi="Times New Roman" w:cs="Times New Roman"/>
        </w:rPr>
      </w:pPr>
      <w:r w:rsidRPr="00F267C2">
        <w:rPr>
          <w:rFonts w:ascii="Times New Roman" w:hAnsi="Times New Roman" w:cs="Times New Roman"/>
        </w:rPr>
        <w:t>A major gap in existing literature is the limited synthesis of how real-world cumulative exposures to multiple agrochemical classes interact with biological mechanisms and structural vulnerabilities to influence cancer risk</w:t>
      </w:r>
      <w:r w:rsidR="002F281C">
        <w:rPr>
          <w:rFonts w:ascii="Times New Roman" w:hAnsi="Times New Roman" w:cs="Times New Roman"/>
        </w:rPr>
        <w:t>,</w:t>
      </w:r>
      <w:r w:rsidRPr="00F267C2">
        <w:rPr>
          <w:rFonts w:ascii="Times New Roman" w:hAnsi="Times New Roman" w:cs="Times New Roman"/>
        </w:rPr>
        <w:t xml:space="preserve"> specifically within U.S. agricultural populations. Conventional regulatory and scientific models often assess agrochemicals individually, despite the reality that workers and surrounding communities are frequently exposed to complex chemical mixtures over prolonged periods[4]. In addition, vulnerable groups</w:t>
      </w:r>
      <w:r>
        <w:rPr>
          <w:rFonts w:ascii="Times New Roman" w:hAnsi="Times New Roman" w:cs="Times New Roman"/>
        </w:rPr>
        <w:t xml:space="preserve"> </w:t>
      </w:r>
      <w:r w:rsidRPr="00F267C2">
        <w:rPr>
          <w:rFonts w:ascii="Times New Roman" w:hAnsi="Times New Roman" w:cs="Times New Roman"/>
        </w:rPr>
        <w:t>including migrant laborers, seasonal farmworkers, children in agricultural households, and low-income rural communities</w:t>
      </w:r>
      <w:r>
        <w:rPr>
          <w:rFonts w:ascii="Times New Roman" w:hAnsi="Times New Roman" w:cs="Times New Roman"/>
        </w:rPr>
        <w:t xml:space="preserve"> </w:t>
      </w:r>
      <w:r w:rsidRPr="00F267C2">
        <w:rPr>
          <w:rFonts w:ascii="Times New Roman" w:hAnsi="Times New Roman" w:cs="Times New Roman"/>
        </w:rPr>
        <w:t>may face disproportionately elevated exposure burdens due to occupational, socioeconomic, and healthcare disparities[34,35].</w:t>
      </w:r>
    </w:p>
    <w:p w14:paraId="336069AE" w14:textId="77777777" w:rsidR="00F267C2" w:rsidRPr="00F267C2" w:rsidRDefault="00F267C2" w:rsidP="00F267C2">
      <w:pPr>
        <w:rPr>
          <w:rFonts w:ascii="Times New Roman" w:hAnsi="Times New Roman" w:cs="Times New Roman"/>
        </w:rPr>
      </w:pPr>
      <w:r w:rsidRPr="00F267C2">
        <w:rPr>
          <w:rFonts w:ascii="Times New Roman" w:hAnsi="Times New Roman" w:cs="Times New Roman"/>
        </w:rPr>
        <w:t>This mini-review aims to address these gaps by providing an integrated U.S.-focused assessment of agrochemical exposure pathways, cancer epidemiology, mechanistic evidence, vulnerable populations, and regulatory frameworks. By critically synthesizing evidence across epidemiology, toxicology, and public health policy, this review seeks to clarify current knowledge, identify major limitations, and highlight future directions necessary for improving agricultural safety, regulatory oversight, and cancer prevention strategies in U.S. farming populations.</w:t>
      </w:r>
    </w:p>
    <w:p w14:paraId="14C2F967" w14:textId="77777777" w:rsidR="00F267C2" w:rsidRPr="00F267C2" w:rsidRDefault="00F267C2" w:rsidP="00F267C2">
      <w:pPr>
        <w:rPr>
          <w:rFonts w:ascii="Times New Roman" w:hAnsi="Times New Roman" w:cs="Times New Roman"/>
        </w:rPr>
      </w:pPr>
      <w:r w:rsidRPr="00F267C2">
        <w:rPr>
          <w:rFonts w:ascii="Times New Roman" w:hAnsi="Times New Roman" w:cs="Times New Roman"/>
        </w:rPr>
        <w:t>Moreover, as concerns regarding environmental determinants of chronic disease continue to expand, agrochemical exposure represents a particularly important modifiable public health risk factor. Strengthening scientific understanding of these exposures is essential not only for improving occupational protections but also for informing more comprehensive regulatory strategies that better reflect the cumulative, long-term realities of agrochemical exposure in modern U.S. agriculture.</w:t>
      </w:r>
    </w:p>
    <w:p w14:paraId="750D6457" w14:textId="77777777" w:rsidR="006C3C87" w:rsidRPr="00FB557A" w:rsidRDefault="006C3C87" w:rsidP="005439E5">
      <w:pPr>
        <w:rPr>
          <w:rFonts w:ascii="Times New Roman" w:hAnsi="Times New Roman" w:cs="Times New Roman"/>
        </w:rPr>
      </w:pPr>
    </w:p>
    <w:p w14:paraId="45072505" w14:textId="77777777" w:rsidR="00E1136F" w:rsidRPr="00E1136F" w:rsidRDefault="00E1136F" w:rsidP="00E1136F">
      <w:pPr>
        <w:rPr>
          <w:rFonts w:ascii="Times New Roman" w:hAnsi="Times New Roman" w:cs="Times New Roman"/>
          <w:b/>
          <w:bCs/>
        </w:rPr>
      </w:pPr>
      <w:r w:rsidRPr="00E1136F">
        <w:rPr>
          <w:rFonts w:ascii="Times New Roman" w:hAnsi="Times New Roman" w:cs="Times New Roman"/>
          <w:b/>
          <w:bCs/>
        </w:rPr>
        <w:lastRenderedPageBreak/>
        <w:t>2. Overview of Agrochemical Use in U.S. Agriculture</w:t>
      </w:r>
    </w:p>
    <w:p w14:paraId="3E240676"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The United States maintains one of the most intensive agricultural production systems globally, relying heavily on agrochemical inputs to sustain large-scale commercial farming operations and maximize crop productivity. Herbicides, insecticides, fungicides, and synthetic fertilizers are widely used across major agricultural sectors, particularly in corn, soybean, wheat, cotton, and specialty crop production[6]. This extensive chemical dependence has significantly increased agricultural efficiency but has also amplified concerns regarding chronic environmental contamination and long-term human health consequences.</w:t>
      </w:r>
    </w:p>
    <w:p w14:paraId="0718A7F3" w14:textId="77777777" w:rsidR="00E1136F" w:rsidRPr="00E1136F" w:rsidRDefault="00E1136F" w:rsidP="00E1136F">
      <w:pPr>
        <w:rPr>
          <w:rFonts w:ascii="Times New Roman" w:hAnsi="Times New Roman" w:cs="Times New Roman"/>
          <w:b/>
          <w:bCs/>
        </w:rPr>
      </w:pPr>
      <w:r w:rsidRPr="00E1136F">
        <w:rPr>
          <w:rFonts w:ascii="Times New Roman" w:hAnsi="Times New Roman" w:cs="Times New Roman"/>
          <w:b/>
          <w:bCs/>
        </w:rPr>
        <w:t>2.1 Major Agrochemical Classes in U.S. Agriculture</w:t>
      </w:r>
    </w:p>
    <w:p w14:paraId="57EFC8E7"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Agrochemicals used in U.S. farming encompass several distinct categories with differing biological targets, toxicological profiles, and potential carcinogenic implications.</w:t>
      </w:r>
    </w:p>
    <w:p w14:paraId="24FB2587"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Herbicides, particularly glyphosate-based formulations, represent the most widely used pesticide category in U.S. agriculture due to their central role in weed management and genetically modified herbicide-resistant cropping systems[6]. Glyphosate has received substantial scientific and regulatory attention because of concerns regarding possible associations with non-Hodgkin lymphoma and other chronic diseases, although epidemiological findings remain mixed[5].</w:t>
      </w:r>
    </w:p>
    <w:p w14:paraId="51DB7D31"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Insecticides, including organophosphates, pyrethroids, and neonicotinoids, are employed to control crop-damaging pests. Organophosphates such as chlorpyrifos and malathion have historically been among the most extensively studied due to evidence linking them to neurotoxicity, oxidative stress, and possible carcinogenicity[7]. While regulatory restrictions have reduced some organophosphate use, replacement chemicals such as neonicotinoids remain insufficiently characterized with respect to long-term human health outcomes.</w:t>
      </w:r>
    </w:p>
    <w:p w14:paraId="6C5E8FC6"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Fungicides are critical for controlling crop diseases, particularly in fruit, vegetable, and grain systems. Certain fungicidal compounds have raised concerns related to endocrine disruption and potential carcinogenicity, although the evidence base remains less developed than for herbicides and insecticides[8].</w:t>
      </w:r>
    </w:p>
    <w:p w14:paraId="02BE8A02"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Fertilizers, particularly nitrogen-based compounds, differ mechanistically from pesticides but may contribute indirectly to carcinogenic risks through nitrate contamination of groundwater and subsequent exposure pathways[22]. This distinction is important because fertilizers often involve environmental and metabolic pathways separate from direct pesticide toxicodynamics.</w:t>
      </w:r>
    </w:p>
    <w:p w14:paraId="62C11191" w14:textId="77777777" w:rsidR="00E1136F" w:rsidRPr="00E1136F" w:rsidRDefault="00E1136F" w:rsidP="00E1136F">
      <w:pPr>
        <w:rPr>
          <w:rFonts w:ascii="Times New Roman" w:hAnsi="Times New Roman" w:cs="Times New Roman"/>
          <w:b/>
          <w:bCs/>
        </w:rPr>
      </w:pPr>
      <w:r w:rsidRPr="00E1136F">
        <w:rPr>
          <w:rFonts w:ascii="Times New Roman" w:hAnsi="Times New Roman" w:cs="Times New Roman"/>
          <w:b/>
          <w:bCs/>
        </w:rPr>
        <w:t>2.2 U.S.-Specific Patterns of Exposure Burden</w:t>
      </w:r>
    </w:p>
    <w:p w14:paraId="23CBD347"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 xml:space="preserve">Agrochemical application intensity in the United States varies regionally based on crop type, agricultural practices, and seasonal demands. High-production states in the Midwest, California’s Central Valley, and southern agricultural regions often experience especially high application volumes, increasing both occupational and environmental exposure burdens. Mechanized spraying systems, aerial application, and large-scale monoculture farming may contribute to </w:t>
      </w:r>
      <w:r w:rsidRPr="00E1136F">
        <w:rPr>
          <w:rFonts w:ascii="Times New Roman" w:hAnsi="Times New Roman" w:cs="Times New Roman"/>
        </w:rPr>
        <w:lastRenderedPageBreak/>
        <w:t>widespread environmental dispersion, including spray drift, runoff, and groundwater contamination[8].</w:t>
      </w:r>
    </w:p>
    <w:p w14:paraId="5D750EFA"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In addition to direct farmworker exposure, surrounding rural populations may experience chronic low-level exposure through contaminated air, water, and food systems. Environmental persistence of certain compounds further complicates exposure patterns, as residues may remain in ecosystems long after initial application[9]. This persistence increases the potential for repeated cumulative exposures and may contribute to bioaccumulation within agricultural environments.</w:t>
      </w:r>
    </w:p>
    <w:p w14:paraId="6ECC71E5" w14:textId="77777777" w:rsidR="00E1136F" w:rsidRPr="00E1136F" w:rsidRDefault="00E1136F" w:rsidP="00E1136F">
      <w:pPr>
        <w:rPr>
          <w:rFonts w:ascii="Times New Roman" w:hAnsi="Times New Roman" w:cs="Times New Roman"/>
          <w:b/>
          <w:bCs/>
        </w:rPr>
      </w:pPr>
      <w:r w:rsidRPr="00E1136F">
        <w:rPr>
          <w:rFonts w:ascii="Times New Roman" w:hAnsi="Times New Roman" w:cs="Times New Roman"/>
          <w:b/>
          <w:bCs/>
        </w:rPr>
        <w:t>2.3 Challenges in Risk Assessment</w:t>
      </w:r>
    </w:p>
    <w:p w14:paraId="343A5FAB"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A major limitation of current agrochemical safety frameworks is the tendency to evaluate individual compounds independently, despite real-world agricultural exposure involving multiple simultaneous chemical classes. Agricultural workers are rarely exposed to a single chemical in isolation; rather, they encounter dynamic mixtures whose combined toxicological effects may be additive, synergistic, or poorly understood[4]. This disconnect between regulatory testing and practical exposure conditions represents a significant scientific and policy challenge.</w:t>
      </w:r>
    </w:p>
    <w:p w14:paraId="3E74F82A" w14:textId="77777777" w:rsidR="00E1136F" w:rsidRPr="00E1136F" w:rsidRDefault="00E1136F" w:rsidP="00E1136F">
      <w:pPr>
        <w:rPr>
          <w:rFonts w:ascii="Times New Roman" w:hAnsi="Times New Roman" w:cs="Times New Roman"/>
          <w:b/>
          <w:bCs/>
        </w:rPr>
      </w:pPr>
      <w:r w:rsidRPr="00E1136F">
        <w:rPr>
          <w:rFonts w:ascii="Times New Roman" w:hAnsi="Times New Roman" w:cs="Times New Roman"/>
        </w:rPr>
        <w:t>Furthermore, the frequent introduction of newer replacement chemicals before long-term carcinogenicity data are fully established creates ongoing uncertainty regarding future public health implications. Thus, understanding U.S. agrochemical use requires not only evaluating current chemical burdens but also recognizing broader structural dependencies on chemical-intensive agricultural systems.</w:t>
      </w:r>
    </w:p>
    <w:p w14:paraId="28614351" w14:textId="77777777" w:rsidR="00E1136F" w:rsidRPr="00E1136F" w:rsidRDefault="00E1136F" w:rsidP="00E1136F">
      <w:pPr>
        <w:rPr>
          <w:rFonts w:ascii="Times New Roman" w:hAnsi="Times New Roman" w:cs="Times New Roman"/>
          <w:b/>
          <w:bCs/>
        </w:rPr>
      </w:pPr>
      <w:r w:rsidRPr="00E1136F">
        <w:rPr>
          <w:rFonts w:ascii="Times New Roman" w:hAnsi="Times New Roman" w:cs="Times New Roman"/>
          <w:b/>
          <w:bCs/>
        </w:rPr>
        <w:t>Table 1: Major Agrochemical Classes Used in U.S. Agriculture and Potential Cancer Associations</w:t>
      </w:r>
    </w:p>
    <w:tbl>
      <w:tblPr>
        <w:tblStyle w:val="TableGridLight"/>
        <w:tblW w:w="0" w:type="auto"/>
        <w:tblLook w:val="04A0" w:firstRow="1" w:lastRow="0" w:firstColumn="1" w:lastColumn="0" w:noHBand="0" w:noVBand="1"/>
      </w:tblPr>
      <w:tblGrid>
        <w:gridCol w:w="2046"/>
        <w:gridCol w:w="1734"/>
        <w:gridCol w:w="1715"/>
        <w:gridCol w:w="2046"/>
        <w:gridCol w:w="1809"/>
      </w:tblGrid>
      <w:tr w:rsidR="00E1136F" w:rsidRPr="00E1136F" w14:paraId="30AD9C82" w14:textId="77777777" w:rsidTr="00E1136F">
        <w:tc>
          <w:tcPr>
            <w:tcW w:w="0" w:type="auto"/>
            <w:hideMark/>
          </w:tcPr>
          <w:p w14:paraId="36604F05" w14:textId="30ED388E" w:rsidR="00E1136F" w:rsidRPr="00E1136F" w:rsidRDefault="00E1136F" w:rsidP="00E1136F">
            <w:pPr>
              <w:spacing w:after="160" w:line="278" w:lineRule="auto"/>
              <w:rPr>
                <w:rFonts w:ascii="Times New Roman" w:hAnsi="Times New Roman" w:cs="Times New Roman"/>
                <w:b/>
                <w:bCs/>
              </w:rPr>
            </w:pPr>
            <w:r w:rsidRPr="00E1136F">
              <w:rPr>
                <w:rFonts w:ascii="Times New Roman" w:hAnsi="Times New Roman" w:cs="Times New Roman"/>
                <w:b/>
                <w:bCs/>
              </w:rPr>
              <w:t>Agrochemical Class</w:t>
            </w:r>
            <w:r w:rsidRPr="00E1136F">
              <w:rPr>
                <w:rFonts w:ascii="Times New Roman" w:hAnsi="Times New Roman" w:cs="Times New Roman"/>
                <w:b/>
                <w:bCs/>
              </w:rPr>
              <w:t xml:space="preserve"> </w:t>
            </w:r>
          </w:p>
        </w:tc>
        <w:tc>
          <w:tcPr>
            <w:tcW w:w="0" w:type="auto"/>
            <w:hideMark/>
          </w:tcPr>
          <w:p w14:paraId="27C44F6E" w14:textId="77777777" w:rsidR="00E1136F" w:rsidRPr="00E1136F" w:rsidRDefault="00E1136F" w:rsidP="00E1136F">
            <w:pPr>
              <w:spacing w:after="160" w:line="278" w:lineRule="auto"/>
              <w:rPr>
                <w:rFonts w:ascii="Times New Roman" w:hAnsi="Times New Roman" w:cs="Times New Roman"/>
                <w:b/>
                <w:bCs/>
              </w:rPr>
            </w:pPr>
            <w:r w:rsidRPr="00E1136F">
              <w:rPr>
                <w:rFonts w:ascii="Times New Roman" w:hAnsi="Times New Roman" w:cs="Times New Roman"/>
                <w:b/>
                <w:bCs/>
              </w:rPr>
              <w:t>Common Example Compounds</w:t>
            </w:r>
          </w:p>
        </w:tc>
        <w:tc>
          <w:tcPr>
            <w:tcW w:w="0" w:type="auto"/>
            <w:hideMark/>
          </w:tcPr>
          <w:p w14:paraId="3127F5EB" w14:textId="77777777" w:rsidR="00E1136F" w:rsidRPr="00E1136F" w:rsidRDefault="00E1136F" w:rsidP="00E1136F">
            <w:pPr>
              <w:spacing w:after="160" w:line="278" w:lineRule="auto"/>
              <w:rPr>
                <w:rFonts w:ascii="Times New Roman" w:hAnsi="Times New Roman" w:cs="Times New Roman"/>
                <w:b/>
                <w:bCs/>
              </w:rPr>
            </w:pPr>
            <w:r w:rsidRPr="00E1136F">
              <w:rPr>
                <w:rFonts w:ascii="Times New Roman" w:hAnsi="Times New Roman" w:cs="Times New Roman"/>
                <w:b/>
                <w:bCs/>
              </w:rPr>
              <w:t>Primary U.S. Agricultural Use</w:t>
            </w:r>
          </w:p>
        </w:tc>
        <w:tc>
          <w:tcPr>
            <w:tcW w:w="0" w:type="auto"/>
            <w:hideMark/>
          </w:tcPr>
          <w:p w14:paraId="651212BC" w14:textId="04276B19" w:rsidR="00E1136F" w:rsidRPr="00E1136F" w:rsidRDefault="00E1136F" w:rsidP="00E1136F">
            <w:pPr>
              <w:spacing w:after="160" w:line="278" w:lineRule="auto"/>
              <w:rPr>
                <w:rFonts w:ascii="Times New Roman" w:hAnsi="Times New Roman" w:cs="Times New Roman"/>
                <w:b/>
                <w:bCs/>
              </w:rPr>
            </w:pPr>
            <w:r w:rsidRPr="00E1136F">
              <w:rPr>
                <w:rFonts w:ascii="Times New Roman" w:hAnsi="Times New Roman" w:cs="Times New Roman"/>
                <w:b/>
                <w:bCs/>
              </w:rPr>
              <w:t>Reported Cancer Concerns</w:t>
            </w:r>
          </w:p>
        </w:tc>
        <w:tc>
          <w:tcPr>
            <w:tcW w:w="0" w:type="auto"/>
            <w:hideMark/>
          </w:tcPr>
          <w:p w14:paraId="01659263" w14:textId="77777777" w:rsidR="00E1136F" w:rsidRPr="00E1136F" w:rsidRDefault="00E1136F" w:rsidP="00E1136F">
            <w:pPr>
              <w:spacing w:after="160" w:line="278" w:lineRule="auto"/>
              <w:rPr>
                <w:rFonts w:ascii="Times New Roman" w:hAnsi="Times New Roman" w:cs="Times New Roman"/>
                <w:b/>
                <w:bCs/>
              </w:rPr>
            </w:pPr>
            <w:r w:rsidRPr="00E1136F">
              <w:rPr>
                <w:rFonts w:ascii="Times New Roman" w:hAnsi="Times New Roman" w:cs="Times New Roman"/>
                <w:b/>
                <w:bCs/>
              </w:rPr>
              <w:t>Key Mechanistic Pathways</w:t>
            </w:r>
          </w:p>
        </w:tc>
      </w:tr>
      <w:tr w:rsidR="00E1136F" w:rsidRPr="00E1136F" w14:paraId="4085C42D" w14:textId="77777777" w:rsidTr="00E1136F">
        <w:tc>
          <w:tcPr>
            <w:tcW w:w="0" w:type="auto"/>
            <w:hideMark/>
          </w:tcPr>
          <w:p w14:paraId="0F59F814"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Herbicides</w:t>
            </w:r>
          </w:p>
        </w:tc>
        <w:tc>
          <w:tcPr>
            <w:tcW w:w="0" w:type="auto"/>
            <w:hideMark/>
          </w:tcPr>
          <w:p w14:paraId="098ED5DF"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Glyphosate</w:t>
            </w:r>
          </w:p>
        </w:tc>
        <w:tc>
          <w:tcPr>
            <w:tcW w:w="0" w:type="auto"/>
            <w:hideMark/>
          </w:tcPr>
          <w:p w14:paraId="47AF897E"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Weed control</w:t>
            </w:r>
          </w:p>
        </w:tc>
        <w:tc>
          <w:tcPr>
            <w:tcW w:w="0" w:type="auto"/>
            <w:hideMark/>
          </w:tcPr>
          <w:p w14:paraId="343A6ED1"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Non-Hodgkin lymphoma</w:t>
            </w:r>
          </w:p>
        </w:tc>
        <w:tc>
          <w:tcPr>
            <w:tcW w:w="0" w:type="auto"/>
            <w:hideMark/>
          </w:tcPr>
          <w:p w14:paraId="40BA2762"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Genotoxicity, oxidative stress</w:t>
            </w:r>
          </w:p>
        </w:tc>
      </w:tr>
      <w:tr w:rsidR="00E1136F" w:rsidRPr="00E1136F" w14:paraId="5F43402E" w14:textId="77777777" w:rsidTr="00E1136F">
        <w:tc>
          <w:tcPr>
            <w:tcW w:w="0" w:type="auto"/>
            <w:hideMark/>
          </w:tcPr>
          <w:p w14:paraId="66C3C990"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Organophosphate insecticides</w:t>
            </w:r>
          </w:p>
        </w:tc>
        <w:tc>
          <w:tcPr>
            <w:tcW w:w="0" w:type="auto"/>
            <w:hideMark/>
          </w:tcPr>
          <w:p w14:paraId="001883A4"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Chlorpyrifos, Malathion</w:t>
            </w:r>
          </w:p>
        </w:tc>
        <w:tc>
          <w:tcPr>
            <w:tcW w:w="0" w:type="auto"/>
            <w:hideMark/>
          </w:tcPr>
          <w:p w14:paraId="477ED463"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Pest control</w:t>
            </w:r>
          </w:p>
        </w:tc>
        <w:tc>
          <w:tcPr>
            <w:tcW w:w="0" w:type="auto"/>
            <w:hideMark/>
          </w:tcPr>
          <w:p w14:paraId="67A6C171"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Leukemia, NHL</w:t>
            </w:r>
          </w:p>
        </w:tc>
        <w:tc>
          <w:tcPr>
            <w:tcW w:w="0" w:type="auto"/>
            <w:hideMark/>
          </w:tcPr>
          <w:p w14:paraId="0357ED9D"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DNA damage, oxidative stress</w:t>
            </w:r>
          </w:p>
        </w:tc>
      </w:tr>
      <w:tr w:rsidR="00E1136F" w:rsidRPr="00E1136F" w14:paraId="6968D80F" w14:textId="77777777" w:rsidTr="00E1136F">
        <w:tc>
          <w:tcPr>
            <w:tcW w:w="0" w:type="auto"/>
            <w:hideMark/>
          </w:tcPr>
          <w:p w14:paraId="3201FBA1"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Pyrethroid insecticides</w:t>
            </w:r>
          </w:p>
        </w:tc>
        <w:tc>
          <w:tcPr>
            <w:tcW w:w="0" w:type="auto"/>
            <w:hideMark/>
          </w:tcPr>
          <w:p w14:paraId="111F1DF1"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Permethrin</w:t>
            </w:r>
          </w:p>
        </w:tc>
        <w:tc>
          <w:tcPr>
            <w:tcW w:w="0" w:type="auto"/>
            <w:hideMark/>
          </w:tcPr>
          <w:p w14:paraId="71CC60D8"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Pest control</w:t>
            </w:r>
          </w:p>
        </w:tc>
        <w:tc>
          <w:tcPr>
            <w:tcW w:w="0" w:type="auto"/>
            <w:hideMark/>
          </w:tcPr>
          <w:p w14:paraId="48AC2472"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Emerging/limited evidence</w:t>
            </w:r>
          </w:p>
        </w:tc>
        <w:tc>
          <w:tcPr>
            <w:tcW w:w="0" w:type="auto"/>
            <w:hideMark/>
          </w:tcPr>
          <w:p w14:paraId="0EFF0B80"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Endocrine disruption</w:t>
            </w:r>
          </w:p>
        </w:tc>
      </w:tr>
      <w:tr w:rsidR="00E1136F" w:rsidRPr="00E1136F" w14:paraId="196C1AC5" w14:textId="77777777" w:rsidTr="00E1136F">
        <w:tc>
          <w:tcPr>
            <w:tcW w:w="0" w:type="auto"/>
            <w:hideMark/>
          </w:tcPr>
          <w:p w14:paraId="763597E1"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Fungicides</w:t>
            </w:r>
          </w:p>
        </w:tc>
        <w:tc>
          <w:tcPr>
            <w:tcW w:w="0" w:type="auto"/>
            <w:hideMark/>
          </w:tcPr>
          <w:p w14:paraId="01108A2E"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Mancozeb</w:t>
            </w:r>
          </w:p>
        </w:tc>
        <w:tc>
          <w:tcPr>
            <w:tcW w:w="0" w:type="auto"/>
            <w:hideMark/>
          </w:tcPr>
          <w:p w14:paraId="7291A880"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Crop disease management</w:t>
            </w:r>
          </w:p>
        </w:tc>
        <w:tc>
          <w:tcPr>
            <w:tcW w:w="0" w:type="auto"/>
            <w:hideMark/>
          </w:tcPr>
          <w:p w14:paraId="58FA33A1"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Thyroid/liver concerns</w:t>
            </w:r>
          </w:p>
        </w:tc>
        <w:tc>
          <w:tcPr>
            <w:tcW w:w="0" w:type="auto"/>
            <w:hideMark/>
          </w:tcPr>
          <w:p w14:paraId="119B99E8"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Endocrine disruption</w:t>
            </w:r>
          </w:p>
        </w:tc>
      </w:tr>
      <w:tr w:rsidR="00E1136F" w:rsidRPr="00E1136F" w14:paraId="00F6ADF8" w14:textId="77777777" w:rsidTr="00E1136F">
        <w:tc>
          <w:tcPr>
            <w:tcW w:w="0" w:type="auto"/>
            <w:hideMark/>
          </w:tcPr>
          <w:p w14:paraId="634BC7F6"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lastRenderedPageBreak/>
              <w:t>Fertilizer-related nitrates</w:t>
            </w:r>
          </w:p>
        </w:tc>
        <w:tc>
          <w:tcPr>
            <w:tcW w:w="0" w:type="auto"/>
            <w:hideMark/>
          </w:tcPr>
          <w:p w14:paraId="6D4324BF"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Nitrogen fertilizers</w:t>
            </w:r>
          </w:p>
        </w:tc>
        <w:tc>
          <w:tcPr>
            <w:tcW w:w="0" w:type="auto"/>
            <w:hideMark/>
          </w:tcPr>
          <w:p w14:paraId="43E5A14E"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Soil productivity</w:t>
            </w:r>
          </w:p>
        </w:tc>
        <w:tc>
          <w:tcPr>
            <w:tcW w:w="0" w:type="auto"/>
            <w:hideMark/>
          </w:tcPr>
          <w:p w14:paraId="5B6A1928"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Colorectal concerns (indirect)</w:t>
            </w:r>
          </w:p>
        </w:tc>
        <w:tc>
          <w:tcPr>
            <w:tcW w:w="0" w:type="auto"/>
            <w:hideMark/>
          </w:tcPr>
          <w:p w14:paraId="1053FBFC" w14:textId="77777777" w:rsidR="00E1136F" w:rsidRPr="00E1136F" w:rsidRDefault="00E1136F" w:rsidP="00E1136F">
            <w:pPr>
              <w:spacing w:after="160" w:line="278" w:lineRule="auto"/>
              <w:rPr>
                <w:rFonts w:ascii="Times New Roman" w:hAnsi="Times New Roman" w:cs="Times New Roman"/>
              </w:rPr>
            </w:pPr>
            <w:r w:rsidRPr="00E1136F">
              <w:rPr>
                <w:rFonts w:ascii="Times New Roman" w:hAnsi="Times New Roman" w:cs="Times New Roman"/>
              </w:rPr>
              <w:t>Nitrate-related carcinogenesis</w:t>
            </w:r>
          </w:p>
        </w:tc>
      </w:tr>
    </w:tbl>
    <w:p w14:paraId="3CB32116" w14:textId="77777777" w:rsidR="00E1136F" w:rsidRDefault="00E1136F" w:rsidP="00E1136F">
      <w:pPr>
        <w:rPr>
          <w:rFonts w:ascii="Times New Roman" w:hAnsi="Times New Roman" w:cs="Times New Roman"/>
          <w:b/>
          <w:bCs/>
        </w:rPr>
      </w:pPr>
    </w:p>
    <w:p w14:paraId="127CB825" w14:textId="12C8CED3" w:rsidR="00E1136F" w:rsidRPr="00E1136F" w:rsidRDefault="00E1136F" w:rsidP="00E1136F">
      <w:pPr>
        <w:rPr>
          <w:rFonts w:ascii="Times New Roman" w:hAnsi="Times New Roman" w:cs="Times New Roman"/>
        </w:rPr>
      </w:pPr>
      <w:r w:rsidRPr="00E1136F">
        <w:rPr>
          <w:rFonts w:ascii="Times New Roman" w:hAnsi="Times New Roman" w:cs="Times New Roman"/>
        </w:rPr>
        <w:t>Associations vary in evidentiary strength and should be interpreted cautiously based on chemical-specific exposure data and study quality.</w:t>
      </w:r>
    </w:p>
    <w:p w14:paraId="093E6AB7" w14:textId="77777777" w:rsidR="00E1136F" w:rsidRPr="00E1136F" w:rsidRDefault="00E1136F" w:rsidP="00E1136F">
      <w:pPr>
        <w:rPr>
          <w:rFonts w:ascii="Times New Roman" w:hAnsi="Times New Roman" w:cs="Times New Roman"/>
        </w:rPr>
      </w:pPr>
      <w:r w:rsidRPr="00E1136F">
        <w:rPr>
          <w:rFonts w:ascii="Times New Roman" w:hAnsi="Times New Roman" w:cs="Times New Roman"/>
        </w:rPr>
        <w:t>This refined classification underscores that agrochemical-related cancer risks are not uniform across chemical categories and that more precise differentiation is essential for accurate epidemiological interpretation, mechanistic evaluation, and regulatory policymaking.</w:t>
      </w:r>
    </w:p>
    <w:p w14:paraId="0641670D" w14:textId="77777777" w:rsidR="00F027DA" w:rsidRPr="00F027DA" w:rsidRDefault="00F027DA" w:rsidP="00F027DA">
      <w:pPr>
        <w:rPr>
          <w:rFonts w:ascii="Times New Roman" w:hAnsi="Times New Roman" w:cs="Times New Roman"/>
          <w:b/>
          <w:bCs/>
        </w:rPr>
      </w:pPr>
      <w:r w:rsidRPr="00F027DA">
        <w:rPr>
          <w:rFonts w:ascii="Times New Roman" w:hAnsi="Times New Roman" w:cs="Times New Roman"/>
          <w:b/>
          <w:bCs/>
        </w:rPr>
        <w:t>3. Pathways of Agrochemical Exposure</w:t>
      </w:r>
    </w:p>
    <w:p w14:paraId="161B05AA"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Agricultural populations in the United States are exposed to agrochemicals through multiple interconnected pathways that collectively contribute to cumulative exposure burden over time. These pathways extend beyond direct occupational contact and include environmental dispersion, dietary intake, and para-occupational household transmission. Understanding these distinct yet overlapping routes is critical for accurately evaluating long-term cancer risk, particularly given the chronic, low-dose, and mixture-based nature of real-world agrochemical exposure.</w:t>
      </w:r>
    </w:p>
    <w:p w14:paraId="25B4F71E" w14:textId="77777777" w:rsidR="00F027DA" w:rsidRPr="00F027DA" w:rsidRDefault="00F027DA" w:rsidP="00F027DA">
      <w:pPr>
        <w:rPr>
          <w:rFonts w:ascii="Times New Roman" w:hAnsi="Times New Roman" w:cs="Times New Roman"/>
          <w:b/>
          <w:bCs/>
        </w:rPr>
      </w:pPr>
      <w:r w:rsidRPr="00F027DA">
        <w:rPr>
          <w:rFonts w:ascii="Times New Roman" w:hAnsi="Times New Roman" w:cs="Times New Roman"/>
          <w:b/>
          <w:bCs/>
        </w:rPr>
        <w:t>3.1 Occupational Exposure</w:t>
      </w:r>
    </w:p>
    <w:p w14:paraId="2A7901C2"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Occupational exposure remains the most significant and well-documented route of agrochemical contact among U.S. agricultural workers, including farmers, pesticide applicators, ranchers, and seasonal laborers. Direct exposure commonly occurs during pesticide mixing, loading, spraying, equipment maintenance, and crop harvesting activities. Dermal absorption is considered the dominant pathway, although inhalation of aerosolized particles and accidental ingestion also contribute substantially to internal chemical burden[12].</w:t>
      </w:r>
    </w:p>
    <w:p w14:paraId="7F452A5E"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Broader occupational health assessments have consistently shown that pesticide-exposed agricultural workers experience elevated risks of dermatologic, respiratory, neurological, and potentially carcinogenic outcomes, particularly under conditions of prolonged exposure and inadequate protective practices[13]. Factors such as insufficient personal protective equipment (PPE), economic constraints, limited safety training, language barriers, and inconsistent regulatory enforcement further intensify exposure risks among vulnerable worker populations, especially migrant and seasonal agricultural laborers.</w:t>
      </w:r>
    </w:p>
    <w:p w14:paraId="1B774F83"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 xml:space="preserve">Studies indicate that dermal exposure may account for the majority of pesticide absorption in occupational settings, particularly during direct handling and application processes[14]. Environmental conditions such as heat, humidity, and repeated contact frequency can significantly increase absorption rates. Recent U.S.-based evidence further suggests that chronic dermal agrochemical exposure may contribute to elevated skin cancer risk among farmers and </w:t>
      </w:r>
      <w:r w:rsidRPr="00F027DA">
        <w:rPr>
          <w:rFonts w:ascii="Times New Roman" w:hAnsi="Times New Roman" w:cs="Times New Roman"/>
        </w:rPr>
        <w:lastRenderedPageBreak/>
        <w:t>ranchers, expanding concerns beyond systemic toxicity to include direct carcinogenic effects on exposed tissues[15].</w:t>
      </w:r>
    </w:p>
    <w:p w14:paraId="4B3215B4" w14:textId="77777777" w:rsidR="00F027DA" w:rsidRPr="00F027DA" w:rsidRDefault="00F027DA" w:rsidP="00F027DA">
      <w:pPr>
        <w:rPr>
          <w:rFonts w:ascii="Times New Roman" w:hAnsi="Times New Roman" w:cs="Times New Roman"/>
          <w:b/>
          <w:bCs/>
        </w:rPr>
      </w:pPr>
      <w:r w:rsidRPr="00F027DA">
        <w:rPr>
          <w:rFonts w:ascii="Times New Roman" w:hAnsi="Times New Roman" w:cs="Times New Roman"/>
          <w:b/>
          <w:bCs/>
        </w:rPr>
        <w:t>3.2 Environmental Exposure</w:t>
      </w:r>
    </w:p>
    <w:p w14:paraId="5B776E4F"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Environmental exposure extends agrochemical risk beyond workers themselves to surrounding rural communities and non-occupational populations. Agrochemicals may disperse through spray drift, volatilization, runoff, soil persistence, and groundwater contamination. In U.S. agricultural regions, pesticide residues have been detected in private wells, surface waters, and ambient air, raising concerns about chronic low-level exposure among nearby residents[16,18].</w:t>
      </w:r>
    </w:p>
    <w:p w14:paraId="0FCFB753" w14:textId="35DBCE2A" w:rsidR="00F027DA" w:rsidRPr="00F027DA" w:rsidRDefault="00F027DA" w:rsidP="00F027DA">
      <w:pPr>
        <w:rPr>
          <w:rFonts w:ascii="Times New Roman" w:hAnsi="Times New Roman" w:cs="Times New Roman"/>
        </w:rPr>
      </w:pPr>
      <w:r w:rsidRPr="00F027DA">
        <w:rPr>
          <w:rFonts w:ascii="Times New Roman" w:hAnsi="Times New Roman" w:cs="Times New Roman"/>
        </w:rPr>
        <w:t xml:space="preserve">Groundwater contamination is particularly concerning in rural communities that rely on private wells, where regulatory monitoring may be less consistent than </w:t>
      </w:r>
      <w:r w:rsidR="002F281C">
        <w:rPr>
          <w:rFonts w:ascii="Times New Roman" w:hAnsi="Times New Roman" w:cs="Times New Roman"/>
        </w:rPr>
        <w:t xml:space="preserve">in </w:t>
      </w:r>
      <w:r w:rsidRPr="00F027DA">
        <w:rPr>
          <w:rFonts w:ascii="Times New Roman" w:hAnsi="Times New Roman" w:cs="Times New Roman"/>
        </w:rPr>
        <w:t>public water systems. Chronic environmental exposure may disproportionately affect low-income populations and children living near high-intensity agricultural zones. Furthermore, environmental persistence of certain compounds may prolong exposure duration well beyond active application periods, complicating exposure assessment and public health surveillance.</w:t>
      </w:r>
    </w:p>
    <w:p w14:paraId="2EB8B0D6" w14:textId="77777777" w:rsidR="00F027DA" w:rsidRPr="00F027DA" w:rsidRDefault="00F027DA" w:rsidP="00F027DA">
      <w:pPr>
        <w:rPr>
          <w:rFonts w:ascii="Times New Roman" w:hAnsi="Times New Roman" w:cs="Times New Roman"/>
          <w:b/>
          <w:bCs/>
        </w:rPr>
      </w:pPr>
      <w:r w:rsidRPr="00F027DA">
        <w:rPr>
          <w:rFonts w:ascii="Times New Roman" w:hAnsi="Times New Roman" w:cs="Times New Roman"/>
          <w:b/>
          <w:bCs/>
        </w:rPr>
        <w:t>3.3 Dietary Exposure</w:t>
      </w:r>
    </w:p>
    <w:p w14:paraId="7E64D8BB"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Dietary intake represents an additional chronic exposure pathway for both agricultural and general U.S. populations through pesticide residues present on food products. Although federal regulatory agencies establish maximum residue limits to reduce acute toxicity risks, prolonged low-dose ingestion remains an area of concern, particularly for individuals consuming large quantities of conventionally produced foods or residing near agricultural production zones[19].</w:t>
      </w:r>
    </w:p>
    <w:p w14:paraId="7DDB79B6"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Certain populations, including children, pregnant individuals, and agricultural households consuming locally produced crops, may experience elevated dietary exposure. Because dietary exposure often occurs simultaneously with occupational or environmental pathways, it may significantly contribute to cumulative lifetime body burden. Despite regulatory safeguards, current standards may inadequately address mixture effects or vulnerable population susceptibilities.</w:t>
      </w:r>
    </w:p>
    <w:p w14:paraId="67D93E04" w14:textId="77777777" w:rsidR="00F027DA" w:rsidRPr="00F027DA" w:rsidRDefault="00F027DA" w:rsidP="00F027DA">
      <w:pPr>
        <w:rPr>
          <w:rFonts w:ascii="Times New Roman" w:hAnsi="Times New Roman" w:cs="Times New Roman"/>
          <w:b/>
          <w:bCs/>
        </w:rPr>
      </w:pPr>
      <w:r w:rsidRPr="00F027DA">
        <w:rPr>
          <w:rFonts w:ascii="Times New Roman" w:hAnsi="Times New Roman" w:cs="Times New Roman"/>
          <w:b/>
          <w:bCs/>
        </w:rPr>
        <w:t>3.4 Para-occupational Exposure</w:t>
      </w:r>
    </w:p>
    <w:p w14:paraId="142D05E2"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Para-occupational or “take-home” exposure occurs when agricultural workers inadvertently transport agrochemical residues into domestic environments via contaminated clothing, skin, footwear, or equipment. Household dust and contaminated surfaces may expose spouses, children, and other family members to chronic secondary exposure[20].</w:t>
      </w:r>
    </w:p>
    <w:p w14:paraId="1E476E32"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Children in agricultural households are particularly vulnerable due to developmental sensitivity, lower body mass, and behaviors such as frequent hand-to-mouth activity. Early-life exposure may increase susceptibility to developmental disruption and potentially long-term carcinogenic outcomes. This pathway highlights that agrochemical risk extends beyond occupational settings and may affect entire agricultural communities.</w:t>
      </w:r>
    </w:p>
    <w:p w14:paraId="355B2565" w14:textId="77777777" w:rsidR="00F027DA" w:rsidRPr="00F027DA" w:rsidRDefault="00F027DA" w:rsidP="00F027DA">
      <w:pPr>
        <w:rPr>
          <w:rFonts w:ascii="Times New Roman" w:hAnsi="Times New Roman" w:cs="Times New Roman"/>
          <w:b/>
          <w:bCs/>
        </w:rPr>
      </w:pPr>
      <w:r w:rsidRPr="00F027DA">
        <w:rPr>
          <w:rFonts w:ascii="Times New Roman" w:hAnsi="Times New Roman" w:cs="Times New Roman"/>
          <w:b/>
          <w:bCs/>
        </w:rPr>
        <w:lastRenderedPageBreak/>
        <w:t>3.5 Cumulative Exposure Complexity</w:t>
      </w:r>
    </w:p>
    <w:p w14:paraId="04B65422" w14:textId="4C80F241" w:rsidR="00F027DA" w:rsidRPr="00F027DA" w:rsidRDefault="00F027DA" w:rsidP="00F027DA">
      <w:pPr>
        <w:rPr>
          <w:rFonts w:ascii="Times New Roman" w:hAnsi="Times New Roman" w:cs="Times New Roman"/>
        </w:rPr>
      </w:pPr>
      <w:r w:rsidRPr="00F027DA">
        <w:rPr>
          <w:rFonts w:ascii="Times New Roman" w:hAnsi="Times New Roman" w:cs="Times New Roman"/>
        </w:rPr>
        <w:t xml:space="preserve">These exposure pathways rarely occur in isolation. Rather, agricultural workers and their families often experience overlapping occupational, environmental, dietary, and para-occupational exposures that interact over time to create </w:t>
      </w:r>
      <w:r w:rsidR="002F281C">
        <w:rPr>
          <w:rFonts w:ascii="Times New Roman" w:hAnsi="Times New Roman" w:cs="Times New Roman"/>
        </w:rPr>
        <w:t xml:space="preserve">a </w:t>
      </w:r>
      <w:r w:rsidRPr="00F027DA">
        <w:rPr>
          <w:rFonts w:ascii="Times New Roman" w:hAnsi="Times New Roman" w:cs="Times New Roman"/>
        </w:rPr>
        <w:t>cumulative chemical burden. Seasonal agricultural cycles, regional practices, crop types, and socioeconomic conditions further influence exposure intensity and duration[21].</w:t>
      </w:r>
    </w:p>
    <w:p w14:paraId="61C657EB"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This cumulative and heterogeneous exposure landscape presents major challenges for traditional toxicological and epidemiological models, which frequently assess individual chemicals or isolated pathways rather than integrated real-world exposures. As a result, current risk estimates may substantially underestimate long-term cancer risks associated with sustained agrochemical exposure in U.S. agricultural populations.</w:t>
      </w:r>
    </w:p>
    <w:p w14:paraId="1127BBB9"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A more comprehensive exposure assessment framework must therefore account for:</w:t>
      </w:r>
    </w:p>
    <w:p w14:paraId="3C596A85" w14:textId="77777777" w:rsidR="00F027DA" w:rsidRPr="00F027DA" w:rsidRDefault="00F027DA" w:rsidP="00F027DA">
      <w:pPr>
        <w:numPr>
          <w:ilvl w:val="0"/>
          <w:numId w:val="11"/>
        </w:numPr>
        <w:rPr>
          <w:rFonts w:ascii="Times New Roman" w:hAnsi="Times New Roman" w:cs="Times New Roman"/>
        </w:rPr>
      </w:pPr>
      <w:r w:rsidRPr="00F027DA">
        <w:rPr>
          <w:rFonts w:ascii="Times New Roman" w:hAnsi="Times New Roman" w:cs="Times New Roman"/>
        </w:rPr>
        <w:t>Multiple concurrent exposure routes</w:t>
      </w:r>
    </w:p>
    <w:p w14:paraId="4D5840A4" w14:textId="77777777" w:rsidR="00F027DA" w:rsidRPr="00F027DA" w:rsidRDefault="00F027DA" w:rsidP="00F027DA">
      <w:pPr>
        <w:numPr>
          <w:ilvl w:val="0"/>
          <w:numId w:val="11"/>
        </w:numPr>
        <w:rPr>
          <w:rFonts w:ascii="Times New Roman" w:hAnsi="Times New Roman" w:cs="Times New Roman"/>
        </w:rPr>
      </w:pPr>
      <w:r w:rsidRPr="00F027DA">
        <w:rPr>
          <w:rFonts w:ascii="Times New Roman" w:hAnsi="Times New Roman" w:cs="Times New Roman"/>
        </w:rPr>
        <w:t>Chemical mixture effects</w:t>
      </w:r>
    </w:p>
    <w:p w14:paraId="4DB4A2A1" w14:textId="77777777" w:rsidR="00F027DA" w:rsidRPr="00F027DA" w:rsidRDefault="00F027DA" w:rsidP="00F027DA">
      <w:pPr>
        <w:numPr>
          <w:ilvl w:val="0"/>
          <w:numId w:val="11"/>
        </w:numPr>
        <w:rPr>
          <w:rFonts w:ascii="Times New Roman" w:hAnsi="Times New Roman" w:cs="Times New Roman"/>
        </w:rPr>
      </w:pPr>
      <w:r w:rsidRPr="00F027DA">
        <w:rPr>
          <w:rFonts w:ascii="Times New Roman" w:hAnsi="Times New Roman" w:cs="Times New Roman"/>
        </w:rPr>
        <w:t>Temporal exposure variability</w:t>
      </w:r>
    </w:p>
    <w:p w14:paraId="25CFC62B" w14:textId="77777777" w:rsidR="00F027DA" w:rsidRPr="00F027DA" w:rsidRDefault="00F027DA" w:rsidP="00F027DA">
      <w:pPr>
        <w:numPr>
          <w:ilvl w:val="0"/>
          <w:numId w:val="11"/>
        </w:numPr>
        <w:rPr>
          <w:rFonts w:ascii="Times New Roman" w:hAnsi="Times New Roman" w:cs="Times New Roman"/>
        </w:rPr>
      </w:pPr>
      <w:r w:rsidRPr="00F027DA">
        <w:rPr>
          <w:rFonts w:ascii="Times New Roman" w:hAnsi="Times New Roman" w:cs="Times New Roman"/>
        </w:rPr>
        <w:t>Vulnerable population susceptibility</w:t>
      </w:r>
    </w:p>
    <w:p w14:paraId="2EF224A2" w14:textId="77777777" w:rsidR="00F027DA" w:rsidRPr="00F027DA" w:rsidRDefault="00F027DA" w:rsidP="00F027DA">
      <w:pPr>
        <w:numPr>
          <w:ilvl w:val="0"/>
          <w:numId w:val="11"/>
        </w:numPr>
        <w:rPr>
          <w:rFonts w:ascii="Times New Roman" w:hAnsi="Times New Roman" w:cs="Times New Roman"/>
        </w:rPr>
      </w:pPr>
      <w:r w:rsidRPr="00F027DA">
        <w:rPr>
          <w:rFonts w:ascii="Times New Roman" w:hAnsi="Times New Roman" w:cs="Times New Roman"/>
        </w:rPr>
        <w:t>Structural occupational inequities</w:t>
      </w:r>
    </w:p>
    <w:p w14:paraId="1A74197F" w14:textId="77777777" w:rsidR="00F027DA" w:rsidRPr="00F027DA" w:rsidRDefault="00F027DA" w:rsidP="00F027DA">
      <w:pPr>
        <w:rPr>
          <w:rFonts w:ascii="Times New Roman" w:hAnsi="Times New Roman" w:cs="Times New Roman"/>
        </w:rPr>
      </w:pPr>
      <w:r w:rsidRPr="00F027DA">
        <w:rPr>
          <w:rFonts w:ascii="Times New Roman" w:hAnsi="Times New Roman" w:cs="Times New Roman"/>
        </w:rPr>
        <w:t>Such an integrated perspective is essential for improving future epidemiological research, mechanistic studies, and public health interventions.</w:t>
      </w:r>
    </w:p>
    <w:p w14:paraId="49CBFC4D" w14:textId="77777777" w:rsidR="00F027DA" w:rsidRPr="00F027DA" w:rsidRDefault="00F027DA" w:rsidP="005439E5">
      <w:pPr>
        <w:rPr>
          <w:rFonts w:ascii="Times New Roman" w:hAnsi="Times New Roman" w:cs="Times New Roman"/>
        </w:rPr>
      </w:pPr>
    </w:p>
    <w:p w14:paraId="5A78D740"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4. Epidemiological Evidence Linking Agrochemical Exposure to Cancer</w:t>
      </w:r>
    </w:p>
    <w:p w14:paraId="68E69E4B"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A substantial body of epidemiological research has investigated potential associations between agrochemical exposure and cancer risk among agricultural populations, with particular emphasis on occupationally exposed workers in the United States. While evidence varies across chemical classes, cancer types, and study methodologies, cumulative findings increasingly suggest that chronic agrochemical exposure may contribute to elevated risks for several malignancies. However, interpretation remains complex due to heterogeneity in exposure metrics, study design, confounding variables, and evolving pesticide formulations.</w:t>
      </w:r>
    </w:p>
    <w:p w14:paraId="7253A099"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4.1 Hematologic Malignancies</w:t>
      </w:r>
    </w:p>
    <w:p w14:paraId="0D45095E"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 xml:space="preserve">Among the most consistently studied cancer outcomes associated with agrochemical exposure are hematologic cancers, particularly non-Hodgkin lymphoma (NHL), leukemia, and multiple myeloma. Meta-analyses and systematic reviews have reported recurring associations between </w:t>
      </w:r>
      <w:r w:rsidRPr="00A80F29">
        <w:rPr>
          <w:rFonts w:ascii="Times New Roman" w:hAnsi="Times New Roman" w:cs="Times New Roman"/>
        </w:rPr>
        <w:lastRenderedPageBreak/>
        <w:t>occupational exposure to certain herbicides and organophosphate insecticides and increased NHL risk, although effect sizes vary depending on specific compounds and exposure intensity[23].</w:t>
      </w:r>
    </w:p>
    <w:p w14:paraId="2C851153"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Glyphosate has been one of the most controversial agents in this area. Some analyses suggest elevated NHL risk among highly exposed agricultural workers, while others report weaker or inconsistent associations due to methodological limitations such as recall bias, exposure misclassification, and variable latency assessment[5]. Organophosphates such as malathion and chlorpyrifos have similarly been linked to hematologic malignancies through mechanisms involving oxidative stress and genotoxicity[7].</w:t>
      </w:r>
    </w:p>
    <w:p w14:paraId="07F65D25"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Large U.S.-based studies, including components of the Agricultural Health Study (AHS), provide valuable prospective data but also illustrate the complexity of establishing definitive causal inference. While evidence for hematologic cancers is among the strongest within agrochemical epidemiology, inconsistencies remain regarding specific pesticide-cancer pairings.</w:t>
      </w:r>
    </w:p>
    <w:p w14:paraId="11600C91"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4.2 Solid Tumors</w:t>
      </w:r>
    </w:p>
    <w:p w14:paraId="2CCECC07" w14:textId="09DA8F05" w:rsidR="00A80F29" w:rsidRPr="00A80F29" w:rsidRDefault="00A80F29" w:rsidP="00A80F29">
      <w:pPr>
        <w:rPr>
          <w:rFonts w:ascii="Times New Roman" w:hAnsi="Times New Roman" w:cs="Times New Roman"/>
        </w:rPr>
      </w:pPr>
      <w:r w:rsidRPr="00A80F29">
        <w:rPr>
          <w:rFonts w:ascii="Times New Roman" w:hAnsi="Times New Roman" w:cs="Times New Roman"/>
        </w:rPr>
        <w:t xml:space="preserve">Evidence linking agrochemical exposure to solid tumors is broader but generally less consistent than for hematologic cancers. Prostate cancer has been one of the most frequently examined solid malignancies in male agricultural workers, with several studies suggesting </w:t>
      </w:r>
      <w:r w:rsidR="002F281C">
        <w:rPr>
          <w:rFonts w:ascii="Times New Roman" w:hAnsi="Times New Roman" w:cs="Times New Roman"/>
        </w:rPr>
        <w:t xml:space="preserve">a </w:t>
      </w:r>
      <w:r w:rsidRPr="00A80F29">
        <w:rPr>
          <w:rFonts w:ascii="Times New Roman" w:hAnsi="Times New Roman" w:cs="Times New Roman"/>
        </w:rPr>
        <w:t>modestly elevated risk associated with chronic pesticide exposure, particularly for endocrine-disrupting compounds[25]. However, confounding factors such as age, lifestyle, family history, and co-exposures complicate interpretation.</w:t>
      </w:r>
    </w:p>
    <w:p w14:paraId="1475E89C"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Breast cancer risk has also been explored in relation to endocrine-disrupting agrochemicals, though evidence remains mixed and often population-specific. Emerging data suggest that hormonally active pesticides may influence hormone-related carcinogenesis, but stronger longitudinal evidence is needed[31].</w:t>
      </w:r>
    </w:p>
    <w:p w14:paraId="0A6967C4"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Recent U.S.-based occupational studies have additionally identified chronic dermal agrochemical exposure as a potential contributor to skin cancer among farmers and ranchers, broadening the spectrum of relevant solid tumor outcomes beyond internal malignancies[15].</w:t>
      </w:r>
    </w:p>
    <w:p w14:paraId="08BE7B6F"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Colorectal and thyroid cancer associations have been investigated for certain fertilizer-related nitrates and fungicides, respectively, though evidence remains comparatively limited and often indirect[22].</w:t>
      </w:r>
    </w:p>
    <w:p w14:paraId="0E9211C4"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4.3 Dose-Response Relationships and Exposure Intensity</w:t>
      </w:r>
    </w:p>
    <w:p w14:paraId="14C047C6"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Several epidemiological studies suggest that cancer risk may increase with longer duration, greater intensity, and cumulative burden of agrochemical exposure. Dose-response patterns strengthen biological plausibility by indicating that repeated or prolonged exposure may amplify carcinogenic potential. However, accurately quantifying lifetime exposure remains one of the greatest methodological challenges in this field.</w:t>
      </w:r>
    </w:p>
    <w:p w14:paraId="2F8E39EB"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lastRenderedPageBreak/>
        <w:t>Many studies rely on:</w:t>
      </w:r>
    </w:p>
    <w:p w14:paraId="7E50AEAE" w14:textId="77777777" w:rsidR="00A80F29" w:rsidRPr="00A80F29" w:rsidRDefault="00A80F29" w:rsidP="00A80F29">
      <w:pPr>
        <w:numPr>
          <w:ilvl w:val="0"/>
          <w:numId w:val="12"/>
        </w:numPr>
        <w:rPr>
          <w:rFonts w:ascii="Times New Roman" w:hAnsi="Times New Roman" w:cs="Times New Roman"/>
        </w:rPr>
      </w:pPr>
      <w:r w:rsidRPr="00A80F29">
        <w:rPr>
          <w:rFonts w:ascii="Times New Roman" w:hAnsi="Times New Roman" w:cs="Times New Roman"/>
        </w:rPr>
        <w:t>Self-reported occupational history</w:t>
      </w:r>
    </w:p>
    <w:p w14:paraId="784A3FE5" w14:textId="77777777" w:rsidR="00A80F29" w:rsidRPr="00A80F29" w:rsidRDefault="00A80F29" w:rsidP="00A80F29">
      <w:pPr>
        <w:numPr>
          <w:ilvl w:val="0"/>
          <w:numId w:val="12"/>
        </w:numPr>
        <w:rPr>
          <w:rFonts w:ascii="Times New Roman" w:hAnsi="Times New Roman" w:cs="Times New Roman"/>
        </w:rPr>
      </w:pPr>
      <w:r w:rsidRPr="00A80F29">
        <w:rPr>
          <w:rFonts w:ascii="Times New Roman" w:hAnsi="Times New Roman" w:cs="Times New Roman"/>
        </w:rPr>
        <w:t>Job-exposure matrices</w:t>
      </w:r>
    </w:p>
    <w:p w14:paraId="5382299A" w14:textId="77777777" w:rsidR="00A80F29" w:rsidRPr="00A80F29" w:rsidRDefault="00A80F29" w:rsidP="00A80F29">
      <w:pPr>
        <w:numPr>
          <w:ilvl w:val="0"/>
          <w:numId w:val="12"/>
        </w:numPr>
        <w:rPr>
          <w:rFonts w:ascii="Times New Roman" w:hAnsi="Times New Roman" w:cs="Times New Roman"/>
        </w:rPr>
      </w:pPr>
      <w:r w:rsidRPr="00A80F29">
        <w:rPr>
          <w:rFonts w:ascii="Times New Roman" w:hAnsi="Times New Roman" w:cs="Times New Roman"/>
        </w:rPr>
        <w:t>Geographic proximity models</w:t>
      </w:r>
    </w:p>
    <w:p w14:paraId="4382EB10" w14:textId="77777777" w:rsidR="00A80F29" w:rsidRPr="00A80F29" w:rsidRDefault="00A80F29" w:rsidP="00A80F29">
      <w:pPr>
        <w:numPr>
          <w:ilvl w:val="0"/>
          <w:numId w:val="12"/>
        </w:numPr>
        <w:rPr>
          <w:rFonts w:ascii="Times New Roman" w:hAnsi="Times New Roman" w:cs="Times New Roman"/>
        </w:rPr>
      </w:pPr>
      <w:r w:rsidRPr="00A80F29">
        <w:rPr>
          <w:rFonts w:ascii="Times New Roman" w:hAnsi="Times New Roman" w:cs="Times New Roman"/>
        </w:rPr>
        <w:t>Biomarker limitations</w:t>
      </w:r>
    </w:p>
    <w:p w14:paraId="108090CB"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These methods may introduce recall bias, non-differential misclassification, and imprecision in estimating cumulative dose. Consequently, while dose-response relationships are often suggestive, they are not uniformly robust across all chemical classes or cancer outcomes.</w:t>
      </w:r>
    </w:p>
    <w:p w14:paraId="2F3F7644"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4.4 Major Methodological Limitations</w:t>
      </w:r>
    </w:p>
    <w:p w14:paraId="30A8E339"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Several persistent limitations complicate agrochemical cancer epidemiology:</w:t>
      </w:r>
    </w:p>
    <w:p w14:paraId="5A21D759" w14:textId="77777777" w:rsidR="00A80F29" w:rsidRPr="00A80F29" w:rsidRDefault="00A80F29" w:rsidP="00A80F29">
      <w:pPr>
        <w:rPr>
          <w:rFonts w:ascii="Times New Roman" w:hAnsi="Times New Roman" w:cs="Times New Roman"/>
        </w:rPr>
      </w:pPr>
      <w:r w:rsidRPr="00A80F29">
        <w:rPr>
          <w:rFonts w:ascii="Times New Roman" w:hAnsi="Times New Roman" w:cs="Times New Roman"/>
          <w:b/>
          <w:bCs/>
        </w:rPr>
        <w:t>Exposure Misclassification:</w:t>
      </w:r>
      <w:r w:rsidRPr="00A80F29">
        <w:rPr>
          <w:rFonts w:ascii="Times New Roman" w:hAnsi="Times New Roman" w:cs="Times New Roman"/>
          <w:b/>
          <w:bCs/>
        </w:rPr>
        <w:br/>
      </w:r>
      <w:r w:rsidRPr="00A80F29">
        <w:rPr>
          <w:rFonts w:ascii="Times New Roman" w:hAnsi="Times New Roman" w:cs="Times New Roman"/>
        </w:rPr>
        <w:t>Real-world agricultural exposures involve multiple chemicals, varying protective behaviors, and changing formulations over time.</w:t>
      </w:r>
    </w:p>
    <w:p w14:paraId="5F4F62C6" w14:textId="4DECEF03"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Confounding Variables:</w:t>
      </w:r>
      <w:r w:rsidR="004C7BF2">
        <w:rPr>
          <w:rFonts w:ascii="Times New Roman" w:hAnsi="Times New Roman" w:cs="Times New Roman"/>
          <w:b/>
          <w:bCs/>
        </w:rPr>
        <w:t xml:space="preserve"> </w:t>
      </w:r>
      <w:r w:rsidRPr="00A80F29">
        <w:rPr>
          <w:rFonts w:ascii="Times New Roman" w:hAnsi="Times New Roman" w:cs="Times New Roman"/>
        </w:rPr>
        <w:t>Smoking, diet, genetics, socioeconomic status, and co-exposures may influence observed associations.</w:t>
      </w:r>
    </w:p>
    <w:p w14:paraId="038D1FEC" w14:textId="014E6921" w:rsidR="00A80F29" w:rsidRPr="00A80F29" w:rsidRDefault="00A80F29" w:rsidP="00A80F29">
      <w:pPr>
        <w:rPr>
          <w:rFonts w:ascii="Times New Roman" w:hAnsi="Times New Roman" w:cs="Times New Roman"/>
        </w:rPr>
      </w:pPr>
      <w:r w:rsidRPr="00A80F29">
        <w:rPr>
          <w:rFonts w:ascii="Times New Roman" w:hAnsi="Times New Roman" w:cs="Times New Roman"/>
          <w:b/>
          <w:bCs/>
        </w:rPr>
        <w:t>Mixture Effects:</w:t>
      </w:r>
      <w:r w:rsidR="004C7BF2">
        <w:rPr>
          <w:rFonts w:ascii="Times New Roman" w:hAnsi="Times New Roman" w:cs="Times New Roman"/>
          <w:b/>
          <w:bCs/>
        </w:rPr>
        <w:t xml:space="preserve"> </w:t>
      </w:r>
      <w:r w:rsidRPr="00A80F29">
        <w:rPr>
          <w:rFonts w:ascii="Times New Roman" w:hAnsi="Times New Roman" w:cs="Times New Roman"/>
        </w:rPr>
        <w:t>Most studies evaluate single compounds despite widespread mixed exposures.</w:t>
      </w:r>
    </w:p>
    <w:p w14:paraId="580E59FA" w14:textId="004F7490"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Latency Challenges:</w:t>
      </w:r>
      <w:r w:rsidR="004C7BF2">
        <w:rPr>
          <w:rFonts w:ascii="Times New Roman" w:hAnsi="Times New Roman" w:cs="Times New Roman"/>
          <w:b/>
          <w:bCs/>
        </w:rPr>
        <w:t xml:space="preserve"> </w:t>
      </w:r>
      <w:r w:rsidRPr="00A80F29">
        <w:rPr>
          <w:rFonts w:ascii="Times New Roman" w:hAnsi="Times New Roman" w:cs="Times New Roman"/>
        </w:rPr>
        <w:t>Cancer’s long development period complicates temporal linkage.</w:t>
      </w:r>
    </w:p>
    <w:p w14:paraId="399EC355" w14:textId="21AEB2DD" w:rsidR="00A80F29" w:rsidRPr="00A80F29" w:rsidRDefault="00A80F29" w:rsidP="00A80F29">
      <w:pPr>
        <w:rPr>
          <w:rFonts w:ascii="Times New Roman" w:hAnsi="Times New Roman" w:cs="Times New Roman"/>
        </w:rPr>
      </w:pPr>
      <w:r w:rsidRPr="00A80F29">
        <w:rPr>
          <w:rFonts w:ascii="Times New Roman" w:hAnsi="Times New Roman" w:cs="Times New Roman"/>
          <w:b/>
          <w:bCs/>
        </w:rPr>
        <w:t>Publication Bias:</w:t>
      </w:r>
      <w:r w:rsidR="002F281C">
        <w:rPr>
          <w:rFonts w:ascii="Times New Roman" w:hAnsi="Times New Roman" w:cs="Times New Roman"/>
          <w:b/>
          <w:bCs/>
        </w:rPr>
        <w:t xml:space="preserve"> </w:t>
      </w:r>
      <w:r w:rsidRPr="00A80F29">
        <w:rPr>
          <w:rFonts w:ascii="Times New Roman" w:hAnsi="Times New Roman" w:cs="Times New Roman"/>
        </w:rPr>
        <w:t xml:space="preserve">Positive associations may be more likely to appear in </w:t>
      </w:r>
      <w:r w:rsidR="002F281C">
        <w:rPr>
          <w:rFonts w:ascii="Times New Roman" w:hAnsi="Times New Roman" w:cs="Times New Roman"/>
        </w:rPr>
        <w:t xml:space="preserve">the </w:t>
      </w:r>
      <w:r w:rsidRPr="00A80F29">
        <w:rPr>
          <w:rFonts w:ascii="Times New Roman" w:hAnsi="Times New Roman" w:cs="Times New Roman"/>
        </w:rPr>
        <w:t>literature than null finding</w:t>
      </w:r>
      <w:r w:rsidR="00002208">
        <w:rPr>
          <w:rFonts w:ascii="Times New Roman" w:hAnsi="Times New Roman" w:cs="Times New Roman"/>
        </w:rPr>
        <w:t xml:space="preserve">s </w:t>
      </w:r>
      <w:r w:rsidRPr="00A80F29">
        <w:rPr>
          <w:rFonts w:ascii="Times New Roman" w:hAnsi="Times New Roman" w:cs="Times New Roman"/>
        </w:rPr>
        <w:t>[28].</w:t>
      </w:r>
    </w:p>
    <w:p w14:paraId="1AB862DB"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4.5 Strength of Current Evidence</w:t>
      </w:r>
    </w:p>
    <w:p w14:paraId="2EB53045"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Current evidence can broadly be characterized as:</w:t>
      </w:r>
    </w:p>
    <w:p w14:paraId="7918D2B5" w14:textId="0455330D"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Stronger Evidence:</w:t>
      </w:r>
      <w:r>
        <w:rPr>
          <w:rFonts w:ascii="Times New Roman" w:hAnsi="Times New Roman" w:cs="Times New Roman"/>
          <w:b/>
          <w:bCs/>
        </w:rPr>
        <w:t xml:space="preserve"> </w:t>
      </w:r>
      <w:r w:rsidRPr="00A80F29">
        <w:rPr>
          <w:rFonts w:ascii="Times New Roman" w:hAnsi="Times New Roman" w:cs="Times New Roman"/>
        </w:rPr>
        <w:t>Non-Hodgkin lymphoma</w:t>
      </w:r>
      <w:r w:rsidRPr="00A80F29">
        <w:rPr>
          <w:rFonts w:ascii="Times New Roman" w:hAnsi="Times New Roman" w:cs="Times New Roman"/>
        </w:rPr>
        <w:t xml:space="preserve">, </w:t>
      </w:r>
      <w:r w:rsidRPr="00A80F29">
        <w:rPr>
          <w:rFonts w:ascii="Times New Roman" w:hAnsi="Times New Roman" w:cs="Times New Roman"/>
        </w:rPr>
        <w:t>Certain leukemias</w:t>
      </w:r>
      <w:r w:rsidRPr="00A80F29">
        <w:rPr>
          <w:rFonts w:ascii="Times New Roman" w:hAnsi="Times New Roman" w:cs="Times New Roman"/>
        </w:rPr>
        <w:t xml:space="preserve">, </w:t>
      </w:r>
      <w:r w:rsidRPr="00A80F29">
        <w:rPr>
          <w:rFonts w:ascii="Times New Roman" w:hAnsi="Times New Roman" w:cs="Times New Roman"/>
        </w:rPr>
        <w:t>Multiple myeloma</w:t>
      </w:r>
      <w:r w:rsidRPr="00A80F29">
        <w:rPr>
          <w:rFonts w:ascii="Times New Roman" w:hAnsi="Times New Roman" w:cs="Times New Roman"/>
        </w:rPr>
        <w:t xml:space="preserve">, </w:t>
      </w:r>
      <w:r w:rsidRPr="00A80F29">
        <w:rPr>
          <w:rFonts w:ascii="Times New Roman" w:hAnsi="Times New Roman" w:cs="Times New Roman"/>
        </w:rPr>
        <w:t>High-intensity occupational pesticide exposure</w:t>
      </w:r>
    </w:p>
    <w:p w14:paraId="50F1F49B" w14:textId="3B922758" w:rsidR="00A80F29" w:rsidRPr="00A80F29" w:rsidRDefault="00A80F29" w:rsidP="00A80F29">
      <w:pPr>
        <w:rPr>
          <w:rFonts w:ascii="Times New Roman" w:hAnsi="Times New Roman" w:cs="Times New Roman"/>
        </w:rPr>
      </w:pPr>
      <w:r w:rsidRPr="00A80F29">
        <w:rPr>
          <w:rFonts w:ascii="Times New Roman" w:hAnsi="Times New Roman" w:cs="Times New Roman"/>
          <w:b/>
          <w:bCs/>
        </w:rPr>
        <w:t>Mixed or Moderate Evidence:</w:t>
      </w:r>
      <w:r>
        <w:rPr>
          <w:rFonts w:ascii="Times New Roman" w:hAnsi="Times New Roman" w:cs="Times New Roman"/>
          <w:b/>
          <w:bCs/>
        </w:rPr>
        <w:t xml:space="preserve"> </w:t>
      </w:r>
      <w:r w:rsidRPr="00A80F29">
        <w:rPr>
          <w:rFonts w:ascii="Times New Roman" w:hAnsi="Times New Roman" w:cs="Times New Roman"/>
        </w:rPr>
        <w:t>Prostate cancer</w:t>
      </w:r>
      <w:r w:rsidRPr="00A80F29">
        <w:rPr>
          <w:rFonts w:ascii="Times New Roman" w:hAnsi="Times New Roman" w:cs="Times New Roman"/>
        </w:rPr>
        <w:t xml:space="preserve">, </w:t>
      </w:r>
      <w:r w:rsidRPr="00A80F29">
        <w:rPr>
          <w:rFonts w:ascii="Times New Roman" w:hAnsi="Times New Roman" w:cs="Times New Roman"/>
        </w:rPr>
        <w:t>Breast cancer</w:t>
      </w:r>
      <w:r w:rsidRPr="00A80F29">
        <w:rPr>
          <w:rFonts w:ascii="Times New Roman" w:hAnsi="Times New Roman" w:cs="Times New Roman"/>
        </w:rPr>
        <w:t xml:space="preserve">, </w:t>
      </w:r>
      <w:r w:rsidRPr="00A80F29">
        <w:rPr>
          <w:rFonts w:ascii="Times New Roman" w:hAnsi="Times New Roman" w:cs="Times New Roman"/>
        </w:rPr>
        <w:t>Skin cancer</w:t>
      </w:r>
      <w:r w:rsidRPr="00A80F29">
        <w:rPr>
          <w:rFonts w:ascii="Times New Roman" w:hAnsi="Times New Roman" w:cs="Times New Roman"/>
        </w:rPr>
        <w:t xml:space="preserve">, </w:t>
      </w:r>
      <w:r w:rsidRPr="00A80F29">
        <w:rPr>
          <w:rFonts w:ascii="Times New Roman" w:hAnsi="Times New Roman" w:cs="Times New Roman"/>
        </w:rPr>
        <w:t>Colorectal cancer</w:t>
      </w:r>
    </w:p>
    <w:p w14:paraId="05F8D6F7" w14:textId="0AA6B700" w:rsidR="00A80F29" w:rsidRPr="00A80F29" w:rsidRDefault="00A80F29" w:rsidP="00A80F29">
      <w:pPr>
        <w:rPr>
          <w:rFonts w:ascii="Times New Roman" w:hAnsi="Times New Roman" w:cs="Times New Roman"/>
        </w:rPr>
      </w:pPr>
      <w:r w:rsidRPr="00A80F29">
        <w:rPr>
          <w:rFonts w:ascii="Times New Roman" w:hAnsi="Times New Roman" w:cs="Times New Roman"/>
          <w:b/>
          <w:bCs/>
        </w:rPr>
        <w:t>Emerging or Limited Evidence:</w:t>
      </w:r>
      <w:r>
        <w:rPr>
          <w:rFonts w:ascii="Times New Roman" w:hAnsi="Times New Roman" w:cs="Times New Roman"/>
          <w:b/>
          <w:bCs/>
        </w:rPr>
        <w:t xml:space="preserve"> </w:t>
      </w:r>
      <w:r w:rsidRPr="00A80F29">
        <w:rPr>
          <w:rFonts w:ascii="Times New Roman" w:hAnsi="Times New Roman" w:cs="Times New Roman"/>
        </w:rPr>
        <w:t>Newer pesticide classes</w:t>
      </w:r>
      <w:r w:rsidRPr="00A80F29">
        <w:rPr>
          <w:rFonts w:ascii="Times New Roman" w:hAnsi="Times New Roman" w:cs="Times New Roman"/>
        </w:rPr>
        <w:t xml:space="preserve">, </w:t>
      </w:r>
      <w:r w:rsidRPr="00A80F29">
        <w:rPr>
          <w:rFonts w:ascii="Times New Roman" w:hAnsi="Times New Roman" w:cs="Times New Roman"/>
        </w:rPr>
        <w:t>Fertilizer-related carcinogenesis</w:t>
      </w:r>
      <w:r w:rsidRPr="00A80F29">
        <w:rPr>
          <w:rFonts w:ascii="Times New Roman" w:hAnsi="Times New Roman" w:cs="Times New Roman"/>
        </w:rPr>
        <w:t xml:space="preserve">, </w:t>
      </w:r>
      <w:r w:rsidRPr="00A80F29">
        <w:rPr>
          <w:rFonts w:ascii="Times New Roman" w:hAnsi="Times New Roman" w:cs="Times New Roman"/>
        </w:rPr>
        <w:t>Chemical mixture interactions</w:t>
      </w:r>
    </w:p>
    <w:p w14:paraId="365B695E" w14:textId="77777777" w:rsidR="00A80F29" w:rsidRPr="00A80F29" w:rsidRDefault="00A80F29" w:rsidP="00A80F29">
      <w:pPr>
        <w:rPr>
          <w:rFonts w:ascii="Times New Roman" w:hAnsi="Times New Roman" w:cs="Times New Roman"/>
          <w:b/>
          <w:bCs/>
        </w:rPr>
      </w:pPr>
      <w:r w:rsidRPr="00A80F29">
        <w:rPr>
          <w:rFonts w:ascii="Times New Roman" w:hAnsi="Times New Roman" w:cs="Times New Roman"/>
          <w:b/>
          <w:bCs/>
        </w:rPr>
        <w:t>Critical Interpretation</w:t>
      </w:r>
    </w:p>
    <w:p w14:paraId="6BE6185B"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 xml:space="preserve">Overall, epidemiological evidence supports concern regarding agrochemical-related carcinogenicity, particularly for chronically exposed U.S. agricultural populations. However, the literature is stronger for some cancer types than others, and many associations remain probabilistic rather than definitively causal. This underscores the need for more rigorous </w:t>
      </w:r>
      <w:r w:rsidRPr="00A80F29">
        <w:rPr>
          <w:rFonts w:ascii="Times New Roman" w:hAnsi="Times New Roman" w:cs="Times New Roman"/>
        </w:rPr>
        <w:lastRenderedPageBreak/>
        <w:t>longitudinal studies, improved biomonitoring, better mixture assessment, and stronger mechanistic integration.</w:t>
      </w:r>
    </w:p>
    <w:p w14:paraId="754159C2" w14:textId="77777777" w:rsidR="00A80F29" w:rsidRPr="00A80F29" w:rsidRDefault="00A80F29" w:rsidP="00A80F29">
      <w:pPr>
        <w:rPr>
          <w:rFonts w:ascii="Times New Roman" w:hAnsi="Times New Roman" w:cs="Times New Roman"/>
        </w:rPr>
      </w:pPr>
      <w:r w:rsidRPr="00A80F29">
        <w:rPr>
          <w:rFonts w:ascii="Times New Roman" w:hAnsi="Times New Roman" w:cs="Times New Roman"/>
        </w:rPr>
        <w:t>Rather than supporting simplistic conclusions, current epidemiology suggests that agrochemical exposure likely represents an important but complex environmental contributor to cancer risk that warrants precautionary regulatory and occupational health strategies.</w:t>
      </w:r>
    </w:p>
    <w:p w14:paraId="168BAB60"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 Mechanisms of Carcinogenicity</w:t>
      </w:r>
    </w:p>
    <w:p w14:paraId="073A4C6F"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Understanding the biological mechanisms through which agrochemicals may contribute to carcinogenesis is essential for strengthening causal interpretation of epidemiological findings. Although mechanistic pathways differ across chemical classes, increasing toxicological and molecular evidence suggests that chronic agrochemical exposure may promote cancer development through several interrelated biological disruptions, including genotoxicity, oxidative stress, endocrine disruption, epigenetic alterations, immune dysregulation, and impairment of cellular repair systems. These mechanisms frequently interact rather than function independently, reinforcing the complexity of agrochemical-related cancer risk.</w:t>
      </w:r>
    </w:p>
    <w:p w14:paraId="6292E788"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5.1 Genotoxicity</w:t>
      </w:r>
    </w:p>
    <w:p w14:paraId="38C948DD"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Genotoxicity is one of the most direct mechanisms by which agrochemicals may initiate carcinogenesis. Certain pesticides have demonstrated the capacity to induce DNA strand breaks, chromosomal instability, oxidative DNA lesions, and mutagenic changes in exposed tissues[29]. Organophosphates, glyphosate-based formulations, and some fungicides have been associated with genomic damage, although toxicological outcomes vary depending on the compound, formulation, dose, and duration of exposure.</w:t>
      </w:r>
    </w:p>
    <w:p w14:paraId="1CFD14D0"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Repeated DNA injury may overwhelm normal cellular repair systems, increasing the accumulation of mutations that can initiate malignant transformation. This mechanism is particularly relevant in agricultural populations exposed repeatedly over extended occupational periods.</w:t>
      </w:r>
    </w:p>
    <w:p w14:paraId="341430D3"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5.2 Oxidative Stress</w:t>
      </w:r>
    </w:p>
    <w:p w14:paraId="05A1F083"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Oxidative stress is among the most extensively studied mechanisms of agrochemical toxicity. Many agrochemicals stimulate excessive production of reactive oxygen species (ROS), which can damage DNA, proteins, lipids, and mitochondrial structures[30]. Persistent oxidative stress may contribute to carcinogenesis by promoting genetic instability, disrupting cellular signaling pathways, enhancing inflammatory responses, and facilitating abnormal cellular proliferation.</w:t>
      </w:r>
    </w:p>
    <w:p w14:paraId="30948D9C"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Because oxidative stress may simultaneously amplify other carcinogenic pathways, including genotoxic and inflammatory processes, it is widely considered a central mechanism linking chronic agrochemical exposure to long-term disease development.</w:t>
      </w:r>
    </w:p>
    <w:p w14:paraId="4E09601B"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5.3 Endocrine Disruption</w:t>
      </w:r>
    </w:p>
    <w:p w14:paraId="58B8BBC2"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lastRenderedPageBreak/>
        <w:t>Certain agrochemicals interfere with hormonal signaling pathways, thereby disrupting endocrine regulation. Endocrine-disrupting chemicals may alter estrogenic, androgenic, thyroid, or other hormone-mediated biological systems, potentially contributing to hormone-sensitive cancers such as breast, prostate, thyroid, and reproductive malignancies[31].</w:t>
      </w:r>
    </w:p>
    <w:p w14:paraId="4207D40C"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This mechanism is especially relevant for several pesticide classes, including pyrethroids, selected fungicides, and persistent environmental residues. While endocrine disruption may not directly induce DNA damage, prolonged hormonal imbalance can create biological conditions that favor tumor development and progression.</w:t>
      </w:r>
    </w:p>
    <w:p w14:paraId="415EB0A4"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5.4 Epigenetic Modifications</w:t>
      </w:r>
    </w:p>
    <w:p w14:paraId="68AB6D13"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Emerging research suggests that agrochemicals may alter gene expression through epigenetic mechanisms such as DNA methylation, histone modification, and altered regulation of non-coding RNAs[35]. These changes can influence oncogene activation, tumor suppressor gene silencing, and broader cellular regulatory networks without directly changing DNA sequence.</w:t>
      </w:r>
    </w:p>
    <w:p w14:paraId="13846884"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Epigenetic alterations are particularly concerning because they may persist beyond immediate exposure periods and could potentially contribute to long-term or even transgenerational disease susceptibility. This area remains an important frontier in understanding chronic agrochemical-related carcinogenesis.</w:t>
      </w:r>
    </w:p>
    <w:p w14:paraId="59AA5808"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5.5 Immune Dysregulation and Chronic Inflammation</w:t>
      </w:r>
    </w:p>
    <w:p w14:paraId="77002111"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Chronic agrochemical exposure may impair immune surveillance and promote persistent inflammatory responses. Reduced immune function may weaken the body’s capacity to detect and eliminate precancerous cells, while chronic inflammation can create tissue environments that support tumor initiation and progression.</w:t>
      </w:r>
    </w:p>
    <w:p w14:paraId="5B01742C"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This mechanism may be particularly relevant for hematologic malignancies and cancers associated with chronic environmental stressors, where immune and inflammatory pathways play substantial roles.</w:t>
      </w:r>
    </w:p>
    <w:p w14:paraId="61D2A482"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5.6 Impaired Cellular Repair and Homeostasis</w:t>
      </w:r>
    </w:p>
    <w:p w14:paraId="68FDF7F9"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Some agrochemicals may also interfere with critical cellular maintenance systems, including DNA repair mechanisms, mitochondrial integrity, apoptosis regulation, and cell-cycle control. Such disruptions may reduce the body’s capacity to correct toxicological damage effectively, increasing susceptibility to mutation persistence and malignant progression over time.</w:t>
      </w:r>
    </w:p>
    <w:p w14:paraId="721F091C"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5.7 Integrated Biological Complexity</w:t>
      </w:r>
    </w:p>
    <w:p w14:paraId="2BAD6877"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 xml:space="preserve">Agrochemical-induced carcinogenesis is unlikely to result from a single isolated biological pathway. Rather, prolonged exposure may simultaneously activate multiple mechanisms that interact in cumulative and potentially synergistic ways. For example, oxidative stress may </w:t>
      </w:r>
      <w:r w:rsidRPr="00C86CD5">
        <w:rPr>
          <w:rFonts w:ascii="Times New Roman" w:hAnsi="Times New Roman" w:cs="Times New Roman"/>
        </w:rPr>
        <w:lastRenderedPageBreak/>
        <w:t>exacerbate DNA damage, endocrine disruption may alter tissue susceptibility, and epigenetic changes may reinforce broader carcinogenic processes.</w:t>
      </w:r>
    </w:p>
    <w:p w14:paraId="368D6949"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This interconnected biological complexity highlights the limitations of traditional toxicological models that assess chemicals individually and underscores the need for more comprehensive systems-based approaches.</w:t>
      </w:r>
    </w:p>
    <w:p w14:paraId="6A0CD701" w14:textId="77777777" w:rsidR="00C86CD5" w:rsidRPr="00C86CD5" w:rsidRDefault="00C86CD5" w:rsidP="00C86CD5">
      <w:pPr>
        <w:rPr>
          <w:rFonts w:ascii="Times New Roman" w:hAnsi="Times New Roman" w:cs="Times New Roman"/>
          <w:b/>
          <w:bCs/>
        </w:rPr>
      </w:pPr>
      <w:r w:rsidRPr="00C86CD5">
        <w:rPr>
          <w:rFonts w:ascii="Times New Roman" w:hAnsi="Times New Roman" w:cs="Times New Roman"/>
          <w:b/>
          <w:bCs/>
        </w:rPr>
        <w:t>Critical Perspective</w:t>
      </w:r>
    </w:p>
    <w:p w14:paraId="09A13821"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Although mechanistic evidence increasingly supports biological plausibility for agrochemical-related carcinogenesis, risks are not uniform across all compounds or exposure scenarios. Certain chemicals are more thoroughly characterized than others, while newer replacement compounds often lack sufficient long-term mechanistic evaluation.</w:t>
      </w:r>
    </w:p>
    <w:p w14:paraId="08F2F9A5" w14:textId="77777777" w:rsidR="00C86CD5" w:rsidRPr="00C86CD5" w:rsidRDefault="00C86CD5" w:rsidP="00C86CD5">
      <w:pPr>
        <w:rPr>
          <w:rFonts w:ascii="Times New Roman" w:hAnsi="Times New Roman" w:cs="Times New Roman"/>
        </w:rPr>
      </w:pPr>
      <w:r w:rsidRPr="00C86CD5">
        <w:rPr>
          <w:rFonts w:ascii="Times New Roman" w:hAnsi="Times New Roman" w:cs="Times New Roman"/>
        </w:rPr>
        <w:t>Nonetheless, the convergence of evidence across multiple mechanistic domains strengthens concern that chronic agrochemical exposure may contribute to cancer risk, particularly in populations experiencing prolonged cumulative exposure under occupational, environmental, and regulatory vulnerabilities.</w:t>
      </w:r>
    </w:p>
    <w:p w14:paraId="18718E10" w14:textId="77777777" w:rsidR="003663E0" w:rsidRPr="003663E0" w:rsidRDefault="003663E0" w:rsidP="003663E0">
      <w:pPr>
        <w:rPr>
          <w:rFonts w:ascii="Times New Roman" w:hAnsi="Times New Roman" w:cs="Times New Roman"/>
          <w:b/>
          <w:bCs/>
        </w:rPr>
      </w:pPr>
      <w:r w:rsidRPr="003663E0">
        <w:rPr>
          <w:rFonts w:ascii="Times New Roman" w:hAnsi="Times New Roman" w:cs="Times New Roman"/>
          <w:b/>
          <w:bCs/>
        </w:rPr>
        <w:t>6. Vulnerable Populations and Health Disparities</w:t>
      </w:r>
    </w:p>
    <w:p w14:paraId="5763C11F"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The health burden associated with agrochemical exposure is not evenly distributed across U.S. agricultural populations. Certain groups experience disproportionately elevated exposure levels due to occupational roles, socioeconomic vulnerability, geographic location, developmental susceptibility, and structural barriers to healthcare and regulatory protection. Recognizing these disparities is essential for understanding the full public health impact of agrochemical-related cancer risk.</w:t>
      </w:r>
    </w:p>
    <w:p w14:paraId="28F49CC7" w14:textId="77777777" w:rsidR="003663E0" w:rsidRPr="003663E0" w:rsidRDefault="003663E0" w:rsidP="003663E0">
      <w:pPr>
        <w:rPr>
          <w:rFonts w:ascii="Times New Roman" w:hAnsi="Times New Roman" w:cs="Times New Roman"/>
          <w:b/>
          <w:bCs/>
        </w:rPr>
      </w:pPr>
      <w:r w:rsidRPr="003663E0">
        <w:rPr>
          <w:rFonts w:ascii="Times New Roman" w:hAnsi="Times New Roman" w:cs="Times New Roman"/>
          <w:b/>
          <w:bCs/>
        </w:rPr>
        <w:t>6.1 Migrant and Seasonal Agricultural Workers</w:t>
      </w:r>
    </w:p>
    <w:p w14:paraId="4B2F41F4"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Migrant and seasonal farmworkers represent one of the most highly exposed and socially vulnerable populations within U.S. agriculture. These workers frequently perform labor-intensive tasks involving pesticide mixing, application, harvesting, and field re-entry under conditions that may increase dermal and inhalational exposure. Economic insecurity, inconsistent access to personal protective equipment, limited safety training, language barriers, and fear of employment loss may reduce adherence to protective measures and restrict reporting of unsafe conditions[36].</w:t>
      </w:r>
    </w:p>
    <w:p w14:paraId="6F02084D"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Additionally, migrant labor populations often face reduced access to healthcare services, occupational surveillance, and early disease detection, which may compound long-term health risks. Structural vulnerabilities such as immigration status, inadequate housing, and poor workplace protections further exacerbate cumulative exposure burdens.</w:t>
      </w:r>
    </w:p>
    <w:p w14:paraId="3C0569EF" w14:textId="77777777" w:rsidR="003663E0" w:rsidRPr="003663E0" w:rsidRDefault="003663E0" w:rsidP="003663E0">
      <w:pPr>
        <w:rPr>
          <w:rFonts w:ascii="Times New Roman" w:hAnsi="Times New Roman" w:cs="Times New Roman"/>
          <w:b/>
          <w:bCs/>
        </w:rPr>
      </w:pPr>
      <w:r w:rsidRPr="003663E0">
        <w:rPr>
          <w:rFonts w:ascii="Times New Roman" w:hAnsi="Times New Roman" w:cs="Times New Roman"/>
          <w:b/>
          <w:bCs/>
        </w:rPr>
        <w:t>6.2 Children and Adolescents in Agricultural Communities</w:t>
      </w:r>
    </w:p>
    <w:p w14:paraId="36BDC852" w14:textId="651B6A0F" w:rsidR="003663E0" w:rsidRPr="003663E0" w:rsidRDefault="003663E0" w:rsidP="003663E0">
      <w:pPr>
        <w:rPr>
          <w:rFonts w:ascii="Times New Roman" w:hAnsi="Times New Roman" w:cs="Times New Roman"/>
        </w:rPr>
      </w:pPr>
      <w:r w:rsidRPr="003663E0">
        <w:rPr>
          <w:rFonts w:ascii="Times New Roman" w:hAnsi="Times New Roman" w:cs="Times New Roman"/>
        </w:rPr>
        <w:t xml:space="preserve">Children living in agricultural households or rural farming communities are uniquely vulnerable to agrochemical exposure due to both biological and environmental factors. Developmental </w:t>
      </w:r>
      <w:r w:rsidRPr="003663E0">
        <w:rPr>
          <w:rFonts w:ascii="Times New Roman" w:hAnsi="Times New Roman" w:cs="Times New Roman"/>
        </w:rPr>
        <w:lastRenderedPageBreak/>
        <w:t xml:space="preserve">physiology, </w:t>
      </w:r>
      <w:r w:rsidR="008844A6">
        <w:rPr>
          <w:rFonts w:ascii="Times New Roman" w:hAnsi="Times New Roman" w:cs="Times New Roman"/>
        </w:rPr>
        <w:t xml:space="preserve">lower body mass, immature detoxification systems, and behavioral patterns such as hand-to-mouth activity may increase susceptibility to toxic effects </w:t>
      </w:r>
      <w:r w:rsidRPr="003663E0">
        <w:rPr>
          <w:rFonts w:ascii="Times New Roman" w:hAnsi="Times New Roman" w:cs="Times New Roman"/>
        </w:rPr>
        <w:t>[37].</w:t>
      </w:r>
    </w:p>
    <w:p w14:paraId="29BACB1B"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Children may be exposed through multiple pathways, including household dust contamination, dietary residues, contaminated water, and parental occupational take-home exposure. Exposure during critical developmental windows may increase risks of developmental disorders, endocrine disruption, immune dysfunction, and potentially long-term cancer susceptibility later in life.</w:t>
      </w:r>
    </w:p>
    <w:p w14:paraId="7E0E9210"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Because early-life exposures may have lifelong consequences, pediatric agricultural populations represent a particularly important focus for preventive public health strategies.</w:t>
      </w:r>
    </w:p>
    <w:p w14:paraId="1006660D" w14:textId="77777777" w:rsidR="003663E0" w:rsidRPr="003663E0" w:rsidRDefault="003663E0" w:rsidP="003663E0">
      <w:pPr>
        <w:rPr>
          <w:rFonts w:ascii="Times New Roman" w:hAnsi="Times New Roman" w:cs="Times New Roman"/>
          <w:b/>
          <w:bCs/>
        </w:rPr>
      </w:pPr>
      <w:r w:rsidRPr="003663E0">
        <w:rPr>
          <w:rFonts w:ascii="Times New Roman" w:hAnsi="Times New Roman" w:cs="Times New Roman"/>
          <w:b/>
          <w:bCs/>
        </w:rPr>
        <w:t>6.3 Low-Income Rural Communities</w:t>
      </w:r>
    </w:p>
    <w:p w14:paraId="6085CC79"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Rural communities located near high-intensity agricultural zones may experience chronic environmental exposure through contaminated groundwater, pesticide drift, and dietary pathways. Low-income populations may face increased vulnerability due to dependence on private wells, limited environmental monitoring, reduced healthcare access, and fewer resources for preventive interventions[38].</w:t>
      </w:r>
    </w:p>
    <w:p w14:paraId="0802304D"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Environmental justice concerns are particularly relevant in communities where economic dependence on agriculture intersects with weaker regulatory enforcement and reduced political influence. Such structural inequities may contribute to sustained disproportionate exposure over time.</w:t>
      </w:r>
    </w:p>
    <w:p w14:paraId="5703B47E" w14:textId="77777777" w:rsidR="003663E0" w:rsidRPr="003663E0" w:rsidRDefault="003663E0" w:rsidP="003663E0">
      <w:pPr>
        <w:rPr>
          <w:rFonts w:ascii="Times New Roman" w:hAnsi="Times New Roman" w:cs="Times New Roman"/>
          <w:b/>
          <w:bCs/>
        </w:rPr>
      </w:pPr>
      <w:r w:rsidRPr="003663E0">
        <w:rPr>
          <w:rFonts w:ascii="Times New Roman" w:hAnsi="Times New Roman" w:cs="Times New Roman"/>
          <w:b/>
          <w:bCs/>
        </w:rPr>
        <w:t>6.4 Gender and Reproductive Vulnerabilities</w:t>
      </w:r>
    </w:p>
    <w:p w14:paraId="44301A4B"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Although male agricultural workers often experience higher direct occupational exposures due to traditional labor roles, women in agricultural settings may face unique vulnerabilities related to reproductive health, endocrine disruption, pregnancy-related susceptibility, and secondary household exposures. Exposure during pregnancy may have implications not only for maternal health but also for fetal development and long-term offspring health outcomes.</w:t>
      </w:r>
    </w:p>
    <w:p w14:paraId="046D84E5"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Gender-specific differences in occupational roles, hormonal biology, and healthcare access may therefore influence both exposure profiles and disease outcomes.</w:t>
      </w:r>
    </w:p>
    <w:p w14:paraId="788FE9E7"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6.5 Structural and Social Determinants of Exposure</w:t>
      </w:r>
    </w:p>
    <w:p w14:paraId="440D4345" w14:textId="67C0AC12" w:rsidR="003663E0" w:rsidRPr="003663E0" w:rsidRDefault="008844A6" w:rsidP="003663E0">
      <w:pPr>
        <w:rPr>
          <w:rFonts w:ascii="Times New Roman" w:hAnsi="Times New Roman" w:cs="Times New Roman"/>
        </w:rPr>
      </w:pPr>
      <w:r>
        <w:rPr>
          <w:rFonts w:ascii="Times New Roman" w:hAnsi="Times New Roman" w:cs="Times New Roman"/>
        </w:rPr>
        <w:t>Broader structural inequalities, including socioeconomic status, education, labor protections, housing conditions, and healthcare accessibility, deeply influence agrochemical-related health disparities</w:t>
      </w:r>
      <w:r w:rsidR="003663E0" w:rsidRPr="003663E0">
        <w:rPr>
          <w:rFonts w:ascii="Times New Roman" w:hAnsi="Times New Roman" w:cs="Times New Roman"/>
        </w:rPr>
        <w:t>. Communities with fewer occupational protections or reduced access to environmental health resources may experience greater cumulative risk, even when performing similar agricultural work.</w:t>
      </w:r>
    </w:p>
    <w:p w14:paraId="4BDA8DC0"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 xml:space="preserve">These disparities suggest that agrochemical-related cancer risk is not solely a toxicological issue but also a social and policy challenge requiring multidisciplinary intervention. Effective </w:t>
      </w:r>
      <w:r w:rsidRPr="003663E0">
        <w:rPr>
          <w:rFonts w:ascii="Times New Roman" w:hAnsi="Times New Roman" w:cs="Times New Roman"/>
        </w:rPr>
        <w:lastRenderedPageBreak/>
        <w:t>mitigation must therefore address both chemical exposures and the systemic inequities that shape vulnerability.</w:t>
      </w:r>
    </w:p>
    <w:p w14:paraId="1A7CD6DE" w14:textId="77777777" w:rsidR="003663E0" w:rsidRPr="003663E0" w:rsidRDefault="003663E0" w:rsidP="003663E0">
      <w:pPr>
        <w:rPr>
          <w:rFonts w:ascii="Times New Roman" w:hAnsi="Times New Roman" w:cs="Times New Roman"/>
          <w:b/>
          <w:bCs/>
        </w:rPr>
      </w:pPr>
      <w:r w:rsidRPr="003663E0">
        <w:rPr>
          <w:rFonts w:ascii="Times New Roman" w:hAnsi="Times New Roman" w:cs="Times New Roman"/>
          <w:b/>
          <w:bCs/>
        </w:rPr>
        <w:t>Critical Perspective</w:t>
      </w:r>
    </w:p>
    <w:p w14:paraId="424BCD81"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The disproportionate exposure burden borne by vulnerable U.S. agricultural populations underscores the need for more targeted public health protections, including stronger occupational safety regulations, culturally appropriate worker education, improved healthcare access, pediatric protections, and environmental justice interventions.</w:t>
      </w:r>
    </w:p>
    <w:p w14:paraId="711792F2" w14:textId="77777777" w:rsidR="003663E0" w:rsidRPr="003663E0" w:rsidRDefault="003663E0" w:rsidP="003663E0">
      <w:pPr>
        <w:rPr>
          <w:rFonts w:ascii="Times New Roman" w:hAnsi="Times New Roman" w:cs="Times New Roman"/>
        </w:rPr>
      </w:pPr>
      <w:r w:rsidRPr="003663E0">
        <w:rPr>
          <w:rFonts w:ascii="Times New Roman" w:hAnsi="Times New Roman" w:cs="Times New Roman"/>
        </w:rPr>
        <w:t>Without addressing these disparities, existing regulatory frameworks may continue to inadequately protect those populations facing the highest cumulative exposure and greatest long-term health risks. Consequently, reducing agrochemical-related cancer burden in the United States will require not only scientific advances but also structural reforms that prioritize health equity within agricultural systems.</w:t>
      </w:r>
    </w:p>
    <w:p w14:paraId="723C5ABC" w14:textId="28066586" w:rsidR="003C71E7" w:rsidRPr="00FB557A" w:rsidRDefault="003C71E7" w:rsidP="003C71E7">
      <w:pPr>
        <w:rPr>
          <w:rFonts w:ascii="Times New Roman" w:hAnsi="Times New Roman" w:cs="Times New Roman"/>
        </w:rPr>
      </w:pPr>
    </w:p>
    <w:p w14:paraId="1071E146" w14:textId="77777777" w:rsidR="003C71E7" w:rsidRPr="00FB557A" w:rsidRDefault="003C71E7" w:rsidP="00D4715B">
      <w:pPr>
        <w:rPr>
          <w:rFonts w:ascii="Times New Roman" w:hAnsi="Times New Roman" w:cs="Times New Roman"/>
        </w:rPr>
      </w:pPr>
    </w:p>
    <w:p w14:paraId="7BDC0162" w14:textId="77777777" w:rsidR="00395D95" w:rsidRPr="00FB557A" w:rsidRDefault="00395D95" w:rsidP="005439E5">
      <w:pPr>
        <w:rPr>
          <w:rFonts w:ascii="Times New Roman" w:hAnsi="Times New Roman" w:cs="Times New Roman"/>
        </w:rPr>
      </w:pPr>
    </w:p>
    <w:p w14:paraId="4F00EDEC"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7. Regulatory Framework and Risk Assessment in the United States</w:t>
      </w:r>
    </w:p>
    <w:p w14:paraId="71B44D80"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In the United States, agrochemical regulation is primarily governed by the Environmental Protection Agency (EPA) under the Federal Insecticide, Fungicide, and Rodenticide Act (FIFRA), which oversees pesticide registration, safety evaluation, labeling, and permissible use[40]. Additional oversight is provided through the Food Quality Protection Act (FQPA), the U.S. Department of Agriculture (USDA), and occupational safety standards relevant to agricultural workers. Together, these frameworks are intended to balance agricultural productivity with public health protection. However, growing evidence suggests that existing regulatory systems may not fully capture the long-term complexity of chronic agrochemical exposure.</w:t>
      </w:r>
    </w:p>
    <w:p w14:paraId="2D0E0E61"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7.1 Strengths of Current Regulatory Systems</w:t>
      </w:r>
    </w:p>
    <w:p w14:paraId="0F4A61DA"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Current U.S. regulatory systems provide structured pre-market chemical evaluation, establish residue limits for food products, and periodically reassess approved compounds as new toxicological evidence emerges. Acute toxicity testing, environmental persistence analysis, and occupational handling standards represent important components of pesticide regulation. These mechanisms have contributed to restricting or phasing out certain highly hazardous compounds, particularly where substantial evidence of acute toxicity or neurotoxicity exists. Requirements related to product labeling, re-entry intervals, and worker safety protocols have also helped reduce immediate poisoning risks.</w:t>
      </w:r>
    </w:p>
    <w:p w14:paraId="3398AE08"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7.2 Major Regulatory Limitations</w:t>
      </w:r>
    </w:p>
    <w:p w14:paraId="0359277A" w14:textId="65961A95" w:rsidR="00E10BB9" w:rsidRPr="00E10BB9" w:rsidRDefault="00E10BB9" w:rsidP="00E10BB9">
      <w:pPr>
        <w:rPr>
          <w:rFonts w:ascii="Times New Roman" w:hAnsi="Times New Roman" w:cs="Times New Roman"/>
        </w:rPr>
      </w:pPr>
      <w:r w:rsidRPr="00E10BB9">
        <w:rPr>
          <w:rFonts w:ascii="Times New Roman" w:hAnsi="Times New Roman" w:cs="Times New Roman"/>
        </w:rPr>
        <w:lastRenderedPageBreak/>
        <w:t xml:space="preserve">Despite these strengths, several critical weaknesses remain. One major limitation is that regulatory evaluations continue to focus predominantly on individual chemicals, while real-world agricultural exposures involve simultaneous contact with multiple agrochemical classes over prolonged periods[4]. This disconnect may substantially underestimate </w:t>
      </w:r>
      <w:r w:rsidR="008844A6">
        <w:rPr>
          <w:rFonts w:ascii="Times New Roman" w:hAnsi="Times New Roman" w:cs="Times New Roman"/>
        </w:rPr>
        <w:t xml:space="preserve">the </w:t>
      </w:r>
      <w:r w:rsidRPr="00E10BB9">
        <w:rPr>
          <w:rFonts w:ascii="Times New Roman" w:hAnsi="Times New Roman" w:cs="Times New Roman"/>
        </w:rPr>
        <w:t>cumulative toxicological burden.</w:t>
      </w:r>
    </w:p>
    <w:p w14:paraId="0E4C1A23"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In addition, regulatory systems have historically prioritized acute toxicity endpoints, whereas long-term low-dose exposures associated with carcinogenesis, endocrine disruption, epigenetic alterations, and chronic disease may receive comparatively less attention. This limitation is especially important given the extended latency periods associated with many cancers.</w:t>
      </w:r>
    </w:p>
    <w:p w14:paraId="189367A4"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Another concern is that vulnerable populations, including migrant workers, children, and low-income rural communities, may not be adequately represented in conventional safety models. Uniform exposure assumptions may fail to account for disparities in occupational conditions, environmental contamination, and healthcare access.</w:t>
      </w:r>
    </w:p>
    <w:p w14:paraId="69FBB785"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7.3 Emerging Challenges</w:t>
      </w:r>
    </w:p>
    <w:p w14:paraId="78BC6B50"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The introduction of newer replacement chemicals presents additional regulatory uncertainty. Many replacement compounds are adopted into widespread agricultural use before sufficient long-term carcinogenicity or epidemiological data are available, creating the possibility that harmful chronic effects may only become apparent after years of exposure.</w:t>
      </w:r>
    </w:p>
    <w:p w14:paraId="6F6DE1E2"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Regulatory implementation may also be influenced by broader economic, political, and agricultural productivity pressures, potentially affecting the pace and rigor of policy reform.</w:t>
      </w:r>
    </w:p>
    <w:p w14:paraId="657F84D3"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7.4 Need for Modernized Risk Assessment</w:t>
      </w:r>
    </w:p>
    <w:p w14:paraId="681777E1"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Future regulatory systems should increasingly incorporate cumulative risk assessment models, mixture toxicology, biomonitoring data, and long-term epidemiological evidence to better reflect real-world exposure conditions. More advanced frameworks are needed to move beyond isolated chemical testing toward systems that account for cumulative exposures and biological complexity.</w:t>
      </w:r>
    </w:p>
    <w:p w14:paraId="675EDBC9"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Strengthened protections should also prioritize high-risk populations by improving occupational enforcement, pediatric safeguards, rural environmental monitoring, and healthcare surveillance systems.</w:t>
      </w:r>
    </w:p>
    <w:p w14:paraId="3D22A12F"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Critical Perspective</w:t>
      </w:r>
    </w:p>
    <w:p w14:paraId="748E68E1"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 xml:space="preserve">Although current U.S. agrochemical regulatory systems provide essential baseline protections, they may substantially underestimate long-term carcinogenic and chronic disease risks associated with cumulative, mixed, and socially unequal exposure patterns. Strengthening regulatory science will require integrating advances in toxicology, epidemiology, occupational health, and </w:t>
      </w:r>
      <w:r w:rsidRPr="00E10BB9">
        <w:rPr>
          <w:rFonts w:ascii="Times New Roman" w:hAnsi="Times New Roman" w:cs="Times New Roman"/>
        </w:rPr>
        <w:lastRenderedPageBreak/>
        <w:t>environmental justice to ensure more accurate and protective standards for agricultural communities.</w:t>
      </w:r>
    </w:p>
    <w:p w14:paraId="165A73A8" w14:textId="27CD6BAF" w:rsidR="00E10BB9" w:rsidRPr="00E10BB9" w:rsidRDefault="00E10BB9" w:rsidP="00E10BB9">
      <w:pPr>
        <w:rPr>
          <w:rFonts w:ascii="Times New Roman" w:hAnsi="Times New Roman" w:cs="Times New Roman"/>
          <w:b/>
          <w:bCs/>
        </w:rPr>
      </w:pPr>
    </w:p>
    <w:p w14:paraId="2713A782"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8. Research Gaps and Future Directions</w:t>
      </w:r>
    </w:p>
    <w:p w14:paraId="380DF7E6"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Despite substantial advances in understanding agrochemical-related health risks, major scientific gaps continue to limit precise evaluation of long-term cancer risk in U.S. agricultural populations. Addressing these unresolved issues is essential for improving research quality, strengthening regulatory policy, and enhancing public health protections.</w:t>
      </w:r>
    </w:p>
    <w:p w14:paraId="0AEC0BF3"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8.1 Mixture Toxicity and Cumulative Exposure</w:t>
      </w:r>
    </w:p>
    <w:p w14:paraId="1C931124"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One of the most significant research limitations is the insufficient understanding of how combined exposures to multiple agrochemicals influence carcinogenic risk. Agricultural workers and surrounding communities are rarely exposed to single chemicals in isolation, yet most toxicological and epidemiological studies continue to assess individual compounds separately[4]. Future investigations must prioritize cumulative exposure models that better reflect real-world occupational and environmental scenarios.</w:t>
      </w:r>
    </w:p>
    <w:p w14:paraId="51055DD4"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8.2 Improved Exposure Assessment</w:t>
      </w:r>
    </w:p>
    <w:p w14:paraId="55ED805B"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Accurate lifetime exposure quantification remains a major methodological challenge. Many studies rely on self-reported occupational histories, geographic proxies, or incomplete exposure matrices, which may introduce substantial recall bias and exposure misclassification. Emerging technologies such as biomonitoring, wearable sensors, geospatial modeling, and integrated environmental surveillance may substantially improve exposure precision and strengthen epidemiological analyses.</w:t>
      </w:r>
    </w:p>
    <w:p w14:paraId="136203F2"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8.3 Longitudinal and Cancer-Specific Research</w:t>
      </w:r>
    </w:p>
    <w:p w14:paraId="323E0912"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Many existing studies remain retrospective or cross-sectional, limiting causal inference. More prospective cohort studies are needed to clarify dose-response relationships, latency periods, cancer-specific outcomes, and subgroup vulnerabilities. Such studies are especially important for evaluating newer agrochemical classes and replacement compounds before assumptions of long-term safety are made.</w:t>
      </w:r>
    </w:p>
    <w:p w14:paraId="10EECD2F"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8.4 Mechanistic Precision</w:t>
      </w:r>
    </w:p>
    <w:p w14:paraId="34424F27"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Although several carcinogenic pathways have been identified, additional mechanistic research is necessary to better understand how specific agrochemical classes influence epigenetic regulation, endocrine function, immune pathways, DNA repair systems, and transgenerational disease susceptibility. Greater mechanistic precision will be particularly important for under-characterized compounds and mixed exposure environments.</w:t>
      </w:r>
    </w:p>
    <w:p w14:paraId="6EE36528"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lastRenderedPageBreak/>
        <w:t>8.5 Vulnerable Population Protections</w:t>
      </w:r>
    </w:p>
    <w:p w14:paraId="24AC8F24"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Current literature often underrepresents populations facing the greatest cumulative exposure burden, including migrant laborers, children, low-income rural communities, and reproductive-age agricultural workers. Future research should more directly address occupational justice, pediatric vulnerability, environmental equity, and culturally tailored intervention strategies.</w:t>
      </w:r>
    </w:p>
    <w:p w14:paraId="0AFC293B"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8.6 Regulatory Science Integration</w:t>
      </w:r>
    </w:p>
    <w:p w14:paraId="06C6650C"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A major translational gap remains between scientific evidence and regulatory implementation. Future research should more effectively inform cumulative risk regulation, worker safety standards, chronic disease surveillance, pediatric protections, and environmental justice policies. Bridging these gaps will require stronger interdisciplinary collaboration among researchers, regulators, labor advocates, and agricultural stakeholders.</w:t>
      </w:r>
    </w:p>
    <w:p w14:paraId="041F4213" w14:textId="77777777" w:rsidR="00E10BB9" w:rsidRPr="00E10BB9" w:rsidRDefault="00E10BB9" w:rsidP="00E10BB9">
      <w:pPr>
        <w:rPr>
          <w:rFonts w:ascii="Times New Roman" w:hAnsi="Times New Roman" w:cs="Times New Roman"/>
          <w:b/>
          <w:bCs/>
        </w:rPr>
      </w:pPr>
      <w:r w:rsidRPr="00E10BB9">
        <w:rPr>
          <w:rFonts w:ascii="Times New Roman" w:hAnsi="Times New Roman" w:cs="Times New Roman"/>
          <w:b/>
          <w:bCs/>
        </w:rPr>
        <w:t>Critical Perspective</w:t>
      </w:r>
    </w:p>
    <w:p w14:paraId="3E3675AB"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Current evidence suggests that agrochemical exposure may represent an important environmental determinant of cancer risk, but substantial uncertainties remain due to methodological limitations, mechanistic complexity, and regulatory gaps. Future progress will require interdisciplinary approaches that more accurately capture the cumulative, biologically complex, and socially unequal realities of agrochemical exposure.</w:t>
      </w:r>
    </w:p>
    <w:p w14:paraId="4A4D05C0" w14:textId="77777777" w:rsidR="00E10BB9" w:rsidRPr="00E10BB9" w:rsidRDefault="00E10BB9" w:rsidP="00E10BB9">
      <w:pPr>
        <w:rPr>
          <w:rFonts w:ascii="Times New Roman" w:hAnsi="Times New Roman" w:cs="Times New Roman"/>
        </w:rPr>
      </w:pPr>
      <w:r w:rsidRPr="00E10BB9">
        <w:rPr>
          <w:rFonts w:ascii="Times New Roman" w:hAnsi="Times New Roman" w:cs="Times New Roman"/>
        </w:rPr>
        <w:t>Advancing research in these areas will be essential for refining scientific understanding, improving prevention strategies, strengthening worker protections, and reducing long-term public health burdens within U.S. agricultural populations.</w:t>
      </w:r>
    </w:p>
    <w:p w14:paraId="22910ADD" w14:textId="77777777" w:rsidR="00E95B21" w:rsidRPr="00E10BB9" w:rsidRDefault="00E95B21" w:rsidP="00873B42">
      <w:pPr>
        <w:rPr>
          <w:rFonts w:ascii="Times New Roman" w:hAnsi="Times New Roman" w:cs="Times New Roman"/>
        </w:rPr>
      </w:pPr>
    </w:p>
    <w:p w14:paraId="0FABBC87" w14:textId="77777777" w:rsidR="008908E9" w:rsidRPr="008908E9" w:rsidRDefault="008908E9" w:rsidP="008908E9">
      <w:pPr>
        <w:rPr>
          <w:rFonts w:ascii="Times New Roman" w:hAnsi="Times New Roman" w:cs="Times New Roman"/>
          <w:b/>
          <w:bCs/>
        </w:rPr>
      </w:pPr>
      <w:r w:rsidRPr="008908E9">
        <w:rPr>
          <w:rFonts w:ascii="Times New Roman" w:hAnsi="Times New Roman" w:cs="Times New Roman"/>
          <w:b/>
          <w:bCs/>
        </w:rPr>
        <w:t>9. Conclusion</w:t>
      </w:r>
    </w:p>
    <w:p w14:paraId="4A6C399F" w14:textId="77777777" w:rsidR="008908E9" w:rsidRPr="008908E9" w:rsidRDefault="008908E9" w:rsidP="008908E9">
      <w:pPr>
        <w:rPr>
          <w:rFonts w:ascii="Times New Roman" w:hAnsi="Times New Roman" w:cs="Times New Roman"/>
        </w:rPr>
      </w:pPr>
      <w:r w:rsidRPr="008908E9">
        <w:rPr>
          <w:rFonts w:ascii="Times New Roman" w:hAnsi="Times New Roman" w:cs="Times New Roman"/>
        </w:rPr>
        <w:t>Agrochemical exposure remains a significant public health concern within U.S. agricultural populations due to the widespread and sustained use of pesticides, fertilizers, and related chemical agents across modern farming systems. Current evidence suggests that chronic exposure through occupational, environmental, dietary, and para-occupational pathways may contribute to elevated risks for certain cancers, particularly hematologic malignancies, while evidence for other cancer outcomes remains more variable depending on chemical class, exposure intensity, and study methodology. Mechanistic research provides biologically plausible support through pathways including genotoxicity, oxidative stress, endocrine disruption, and epigenetic alterations, although important uncertainties persist.</w:t>
      </w:r>
    </w:p>
    <w:p w14:paraId="34EB538B" w14:textId="77777777" w:rsidR="008908E9" w:rsidRPr="008908E9" w:rsidRDefault="008908E9" w:rsidP="008908E9">
      <w:pPr>
        <w:rPr>
          <w:rFonts w:ascii="Times New Roman" w:hAnsi="Times New Roman" w:cs="Times New Roman"/>
        </w:rPr>
      </w:pPr>
      <w:r w:rsidRPr="008908E9">
        <w:rPr>
          <w:rFonts w:ascii="Times New Roman" w:hAnsi="Times New Roman" w:cs="Times New Roman"/>
        </w:rPr>
        <w:t xml:space="preserve">This review highlights that agrochemical-related cancer risk is shaped not only by individual compounds but also by cumulative exposures, mixture effects, vulnerable population disparities, and limitations within existing regulatory systems. Migrant workers, children, and underserved rural communities may experience disproportionate burdens, underscoring the importance of </w:t>
      </w:r>
      <w:r w:rsidRPr="008908E9">
        <w:rPr>
          <w:rFonts w:ascii="Times New Roman" w:hAnsi="Times New Roman" w:cs="Times New Roman"/>
        </w:rPr>
        <w:lastRenderedPageBreak/>
        <w:t>integrating occupational safety, environmental justice, and health equity into future policy responses.</w:t>
      </w:r>
    </w:p>
    <w:p w14:paraId="42F0B99D" w14:textId="77777777" w:rsidR="008908E9" w:rsidRPr="008908E9" w:rsidRDefault="008908E9" w:rsidP="008908E9">
      <w:pPr>
        <w:rPr>
          <w:rFonts w:ascii="Times New Roman" w:hAnsi="Times New Roman" w:cs="Times New Roman"/>
        </w:rPr>
      </w:pPr>
      <w:r w:rsidRPr="008908E9">
        <w:rPr>
          <w:rFonts w:ascii="Times New Roman" w:hAnsi="Times New Roman" w:cs="Times New Roman"/>
        </w:rPr>
        <w:t>Although the current body of evidence supports legitimate concern regarding the long-term health implications of agrochemical exposure, important methodological limitations, inconsistent findings, and evolving chemical use patterns require cautious interpretation. Stronger longitudinal studies, improved biomonitoring, more precise mechanistic investigations, and modernized cumulative risk assessment frameworks are necessary to clarify these relationships further.</w:t>
      </w:r>
    </w:p>
    <w:p w14:paraId="280D85C4" w14:textId="77777777" w:rsidR="008908E9" w:rsidRPr="008908E9" w:rsidRDefault="008908E9" w:rsidP="008908E9">
      <w:pPr>
        <w:rPr>
          <w:rFonts w:ascii="Times New Roman" w:hAnsi="Times New Roman" w:cs="Times New Roman"/>
        </w:rPr>
      </w:pPr>
      <w:r w:rsidRPr="008908E9">
        <w:rPr>
          <w:rFonts w:ascii="Times New Roman" w:hAnsi="Times New Roman" w:cs="Times New Roman"/>
        </w:rPr>
        <w:t>Ultimately, reducing agrochemical-related cancer risks in U.S. agricultural populations will require sustained interdisciplinary collaboration among researchers, regulatory agencies, healthcare systems, and agricultural stakeholders. Strengthening scientific rigor, regulatory protections, and preventive public health strategies will be essential for better protecting agricultural communities while maintaining the productivity demands of modern agriculture.</w:t>
      </w:r>
    </w:p>
    <w:p w14:paraId="795CFDA6" w14:textId="7F7BBCEA" w:rsidR="00642667" w:rsidRDefault="00642667" w:rsidP="00873B42">
      <w:pPr>
        <w:rPr>
          <w:rFonts w:ascii="Times New Roman" w:hAnsi="Times New Roman" w:cs="Times New Roman"/>
        </w:rPr>
      </w:pPr>
    </w:p>
    <w:p w14:paraId="40FDC224"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Declarations</w:t>
      </w:r>
    </w:p>
    <w:p w14:paraId="620DC461"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Author Contributions</w:t>
      </w:r>
    </w:p>
    <w:p w14:paraId="4533AD42"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t>The sole author was responsible for the conceptualization, literature review, study design, data interpretation, manuscript drafting, critical revision, and final approval of the submitted manuscript.</w:t>
      </w:r>
    </w:p>
    <w:p w14:paraId="6A8A85A8"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Funding</w:t>
      </w:r>
    </w:p>
    <w:p w14:paraId="5F365F36"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t>No external funding was received for this study.</w:t>
      </w:r>
    </w:p>
    <w:p w14:paraId="43EF8B02"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Competing Interests</w:t>
      </w:r>
    </w:p>
    <w:p w14:paraId="57B4B73F"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t>The author declares no competing interests.</w:t>
      </w:r>
    </w:p>
    <w:p w14:paraId="4AE6DED4"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Ethical Approval</w:t>
      </w:r>
    </w:p>
    <w:p w14:paraId="15FF36EC"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t>Not applicable, as this study is a narrative review of previously published literature and did not involve human participants, animals, or primary data collection.</w:t>
      </w:r>
    </w:p>
    <w:p w14:paraId="7AEAAF48"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Consent for Publication</w:t>
      </w:r>
    </w:p>
    <w:p w14:paraId="18535C2A"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t>Not applicable.</w:t>
      </w:r>
    </w:p>
    <w:p w14:paraId="5103663D"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Data Availability</w:t>
      </w:r>
    </w:p>
    <w:p w14:paraId="0A7607BB"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t>No new datasets were generated or analyzed during this study.</w:t>
      </w:r>
    </w:p>
    <w:p w14:paraId="6D13550A"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Acknowledgments</w:t>
      </w:r>
    </w:p>
    <w:p w14:paraId="19B2651C"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lastRenderedPageBreak/>
        <w:t>The author acknowledges the contributions of previously published researchers whose work informed this review.</w:t>
      </w:r>
    </w:p>
    <w:p w14:paraId="6BDD9C0A" w14:textId="77777777" w:rsidR="003D5FA7" w:rsidRPr="003D5FA7" w:rsidRDefault="003D5FA7" w:rsidP="003D5FA7">
      <w:pPr>
        <w:rPr>
          <w:rFonts w:ascii="Times New Roman" w:hAnsi="Times New Roman" w:cs="Times New Roman"/>
          <w:b/>
          <w:bCs/>
        </w:rPr>
      </w:pPr>
      <w:r w:rsidRPr="003D5FA7">
        <w:rPr>
          <w:rFonts w:ascii="Times New Roman" w:hAnsi="Times New Roman" w:cs="Times New Roman"/>
          <w:b/>
          <w:bCs/>
        </w:rPr>
        <w:t>Artificial Intelligence Disclosure</w:t>
      </w:r>
    </w:p>
    <w:p w14:paraId="2FB826AB" w14:textId="77777777" w:rsidR="003D5FA7" w:rsidRPr="003D5FA7" w:rsidRDefault="003D5FA7" w:rsidP="003D5FA7">
      <w:pPr>
        <w:rPr>
          <w:rFonts w:ascii="Times New Roman" w:hAnsi="Times New Roman" w:cs="Times New Roman"/>
        </w:rPr>
      </w:pPr>
      <w:r w:rsidRPr="003D5FA7">
        <w:rPr>
          <w:rFonts w:ascii="Times New Roman" w:hAnsi="Times New Roman" w:cs="Times New Roman"/>
        </w:rPr>
        <w:t>The author declares that no generative artificial intelligence technologies, including Large Language Models (such as ChatGPT, Copilot, or similar systems) or AI-based image generation tools, were used in the writing, analysis, or editing of this manuscript.</w:t>
      </w:r>
    </w:p>
    <w:p w14:paraId="490B67B3" w14:textId="77777777" w:rsidR="00642667" w:rsidRPr="00FB557A" w:rsidRDefault="00642667" w:rsidP="00873B42">
      <w:pPr>
        <w:rPr>
          <w:rFonts w:ascii="Times New Roman" w:hAnsi="Times New Roman" w:cs="Times New Roman"/>
        </w:rPr>
      </w:pPr>
    </w:p>
    <w:p w14:paraId="5B1A0157" w14:textId="77777777" w:rsidR="000126A9" w:rsidRPr="00FB557A" w:rsidRDefault="000126A9" w:rsidP="005439E5">
      <w:pPr>
        <w:rPr>
          <w:rFonts w:ascii="Times New Roman" w:hAnsi="Times New Roman" w:cs="Times New Roman"/>
          <w:b/>
          <w:bCs/>
        </w:rPr>
      </w:pPr>
      <w:r w:rsidRPr="00FB557A">
        <w:rPr>
          <w:rFonts w:ascii="Times New Roman" w:hAnsi="Times New Roman" w:cs="Times New Roman"/>
          <w:b/>
          <w:bCs/>
        </w:rPr>
        <w:t>REFERNCES</w:t>
      </w:r>
    </w:p>
    <w:p w14:paraId="5823DE1A" w14:textId="77777777" w:rsidR="00E95010" w:rsidRPr="00E95010" w:rsidRDefault="000126A9" w:rsidP="00E95010">
      <w:pPr>
        <w:pStyle w:val="Bibliography"/>
        <w:rPr>
          <w:rFonts w:ascii="Times New Roman" w:hAnsi="Times New Roman" w:cs="Times New Roman"/>
        </w:rPr>
      </w:pPr>
      <w:r w:rsidRPr="00FB557A">
        <w:fldChar w:fldCharType="begin"/>
      </w:r>
      <w:r w:rsidRPr="00FB557A">
        <w:instrText xml:space="preserve"> ADDIN ZOTERO_BIBL {"uncited":[],"omitted":[],"custom":[]} CSL_BIBLIOGRAPHY </w:instrText>
      </w:r>
      <w:r w:rsidRPr="00FB557A">
        <w:fldChar w:fldCharType="separate"/>
      </w:r>
      <w:r w:rsidR="00E95010" w:rsidRPr="00E95010">
        <w:rPr>
          <w:rFonts w:ascii="Times New Roman" w:hAnsi="Times New Roman" w:cs="Times New Roman"/>
        </w:rPr>
        <w:t>1.</w:t>
      </w:r>
      <w:r w:rsidR="00E95010" w:rsidRPr="00E95010">
        <w:rPr>
          <w:rFonts w:ascii="Times New Roman" w:hAnsi="Times New Roman" w:cs="Times New Roman"/>
        </w:rPr>
        <w:tab/>
        <w:t>Shekhar C, Khosya R, Thakur K, Mahajan D, Kumar R, Kumar S, et al. A systematic review of pesticide exposure, associated risks, and long-term human health impacts. Toxicology Reports. 2024 Dec 1;13:101840. doi:10.1016/j.toxrep.2024.101840</w:t>
      </w:r>
    </w:p>
    <w:p w14:paraId="730C812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w:t>
      </w:r>
      <w:r w:rsidRPr="00E95010">
        <w:rPr>
          <w:rFonts w:ascii="Times New Roman" w:hAnsi="Times New Roman" w:cs="Times New Roman"/>
        </w:rPr>
        <w:tab/>
        <w:t>Egbuchiem AN, Donkor F, Dudzilah G, Markus SN. Integrative Exposome Modeling of Agrochemical Risks in U.S. Farmers. Journal of Advances in Medicine and Medical Research. 2026 Mar 14;38(3):111–24. doi:10.9734/jammr/2026/v38i36096</w:t>
      </w:r>
    </w:p>
    <w:p w14:paraId="41C3C315"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w:t>
      </w:r>
      <w:r w:rsidRPr="00E95010">
        <w:rPr>
          <w:rFonts w:ascii="Times New Roman" w:hAnsi="Times New Roman" w:cs="Times New Roman"/>
        </w:rPr>
        <w:tab/>
        <w:t>Sandhu APS, Tanvir, Singh K, Singh S, Antaal H, Luthra S, et al. Decoding Cancer Risk: Understanding Gene-Environment Interactions in Cancer Development. Cureus. 16(7):e64936. doi:10.7759/cureus.64936 PubMed PMID: 39165474; PubMed Central PMCID: PMC11335134.</w:t>
      </w:r>
    </w:p>
    <w:p w14:paraId="0E1FD7AC"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4.</w:t>
      </w:r>
      <w:r w:rsidRPr="00E95010">
        <w:rPr>
          <w:rFonts w:ascii="Times New Roman" w:hAnsi="Times New Roman" w:cs="Times New Roman"/>
        </w:rPr>
        <w:tab/>
        <w:t>Tait S, Lori G, Tassinari R, La Rocca C, Maranghi F. In Vitro Assessment and Toxicological Prioritization of Pesticide Mixtures at Concentrations Derived from Real Exposure in Occupational Scenarios. Int J Environ Res Public Health. 2022 Apr 25;19(9):5202. doi:10.3390/ijerph19095202 PubMed PMID: 35564597; PubMed Central PMCID: PMC9104687.</w:t>
      </w:r>
    </w:p>
    <w:p w14:paraId="76A18932"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5.</w:t>
      </w:r>
      <w:r w:rsidRPr="00E95010">
        <w:rPr>
          <w:rFonts w:ascii="Times New Roman" w:hAnsi="Times New Roman" w:cs="Times New Roman"/>
        </w:rPr>
        <w:tab/>
        <w:t>Cavalier H, Trasande L, Porta M. Exposures to pesticides and risk of cancer: Evaluation of recent epidemiological evidence in humans and paths forward. Int J Cancer. 2023 Mar 1;152(5):879–912. doi:10.1002/ijc.34300 PubMed PMID: 36134639; PubMed Central PMCID: PMC9880902.</w:t>
      </w:r>
    </w:p>
    <w:p w14:paraId="2E19275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6.</w:t>
      </w:r>
      <w:r w:rsidRPr="00E95010">
        <w:rPr>
          <w:rFonts w:ascii="Times New Roman" w:hAnsi="Times New Roman" w:cs="Times New Roman"/>
        </w:rPr>
        <w:tab/>
        <w:t>Benbrook CM. Trends in glyphosate herbicide use in the United States and globally. Environ Sci Eur. 2016;28(1):3. doi:10.1186/s12302-016-0070-0 PubMed PMID: 27752438; PubMed Central PMCID: PMC5044953.</w:t>
      </w:r>
    </w:p>
    <w:p w14:paraId="16072F44"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7.</w:t>
      </w:r>
      <w:r w:rsidRPr="00E95010">
        <w:rPr>
          <w:rFonts w:ascii="Times New Roman" w:hAnsi="Times New Roman" w:cs="Times New Roman"/>
        </w:rPr>
        <w:tab/>
        <w:t>Ore OT, Adeola AO, Bayode AA, Adedipe DT, Nomngongo PN. Organophosphate pesticide residues in environmental and biological matrices: Occurrence, distribution and potential remedial approaches. Environmental Chemistry and Ecotoxicology. 2023 Jan 1;5:9–23. doi:10.1016/j.enceco.2022.10.004</w:t>
      </w:r>
    </w:p>
    <w:p w14:paraId="2CAD0471"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lastRenderedPageBreak/>
        <w:t>8.</w:t>
      </w:r>
      <w:r w:rsidRPr="00E95010">
        <w:rPr>
          <w:rFonts w:ascii="Times New Roman" w:hAnsi="Times New Roman" w:cs="Times New Roman"/>
        </w:rPr>
        <w:tab/>
        <w:t>Zhou W, Li M, Achal V. A comprehensive review on environmental and human health impacts of chemical pesticide usage. Emerging Contaminants. 2025 Mar 1;11(1):100410. doi:10.1016/j.emcon.2024.100410</w:t>
      </w:r>
    </w:p>
    <w:p w14:paraId="04903A7F"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9.</w:t>
      </w:r>
      <w:r w:rsidRPr="00E95010">
        <w:rPr>
          <w:rFonts w:ascii="Times New Roman" w:hAnsi="Times New Roman" w:cs="Times New Roman"/>
        </w:rPr>
        <w:tab/>
        <w:t>Mansfield B, Werner M, Berndt C, Shattuck A, Galt R, Williams B, et al. A new critical social science research agenda on pesticides. Agric Hum Values. 2024 Jun 1;41(2):395–412. doi:10.1007/s10460-023-10492-w</w:t>
      </w:r>
    </w:p>
    <w:p w14:paraId="2C20CCA4"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10.</w:t>
      </w:r>
      <w:r w:rsidRPr="00E95010">
        <w:rPr>
          <w:rFonts w:ascii="Times New Roman" w:hAnsi="Times New Roman" w:cs="Times New Roman"/>
        </w:rPr>
        <w:tab/>
        <w:t>Abate TA, Birhanu AG. Antibiotic Use in Livestock and Environmental Antibiotic Resistance: A Narrative Review. Environ Health Insights. 2025 Jul 27;19:11786302251357775. doi:10.1177/11786302251357775 PubMed PMID: 40735169; PubMed Central PMCID: PMC12304651.</w:t>
      </w:r>
    </w:p>
    <w:p w14:paraId="01577364"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11.</w:t>
      </w:r>
      <w:r w:rsidRPr="00E95010">
        <w:rPr>
          <w:rFonts w:ascii="Times New Roman" w:hAnsi="Times New Roman" w:cs="Times New Roman"/>
        </w:rPr>
        <w:tab/>
        <w:t>Carvalho R, Guedes P, Mateus EP, Silva V, Tyrologou P, Koukouzas N, et al. Soil contamination in Europe unveiled: A review of pesticides and metabolites to watch. Open Res Eur. 2025 Nov 24;5:257. doi:10.12688/openreseurope.20475.2 PubMed PMID: 41311520; PubMed Central PMCID: PMC12648036.</w:t>
      </w:r>
    </w:p>
    <w:p w14:paraId="12F28591"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12.</w:t>
      </w:r>
      <w:r w:rsidRPr="00E95010">
        <w:rPr>
          <w:rFonts w:ascii="Times New Roman" w:hAnsi="Times New Roman" w:cs="Times New Roman"/>
        </w:rPr>
        <w:tab/>
        <w:t>MacFarlane E, Carey R, Keegel T, El-Zaemay S, Fritschi L. Dermal Exposure Associated with Occupational End Use of Pesticides and the Role of Protective Measures. Saf Health Work. 2013 Sep;4(3):136–41. doi:10.1016/j.shaw.2013.07.004 PubMed PMID: 24106643; PubMed Central PMCID: PMC3791087.</w:t>
      </w:r>
    </w:p>
    <w:p w14:paraId="7CFAD507"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13.</w:t>
      </w:r>
      <w:r w:rsidRPr="00E95010">
        <w:rPr>
          <w:rFonts w:ascii="Times New Roman" w:hAnsi="Times New Roman" w:cs="Times New Roman"/>
        </w:rPr>
        <w:tab/>
        <w:t>Dhananjayan V, Ravichandran B. Occupational health risk of farmers exposed to pesticides in agricultural activities. Current Opinion in Environmental Science and Health. 2018 Aug 1;4:31–7. doi:10.1016/j.coesh.2018.07.005</w:t>
      </w:r>
    </w:p>
    <w:p w14:paraId="3DCB7294"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14.</w:t>
      </w:r>
      <w:r w:rsidRPr="00E95010">
        <w:rPr>
          <w:rFonts w:ascii="Times New Roman" w:hAnsi="Times New Roman" w:cs="Times New Roman"/>
        </w:rPr>
        <w:tab/>
        <w:t>Lari S, Jonnalagadda PR, Yamagani P, Medithi S, Vanka J, Pandiyan A, et al. Assessment of dermal exposure to pesticides among farmers using dosimeter and hand washing methods. Front Public Health. 2022 Aug 24;10:957774. doi:10.3389/fpubh.2022.957774 PubMed PMID: 36091511; PubMed Central PMCID: PMC9449638.</w:t>
      </w:r>
    </w:p>
    <w:p w14:paraId="40F771C1"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15.</w:t>
      </w:r>
      <w:r w:rsidRPr="00E95010">
        <w:rPr>
          <w:rFonts w:ascii="Times New Roman" w:hAnsi="Times New Roman" w:cs="Times New Roman"/>
        </w:rPr>
        <w:tab/>
        <w:t>Tucker S, Du Y, Ahmed R, Haynatzki G, Adhikari S, Rautiainen RH. Dermal Exposure to Agrochemicals as Risk Factor for Skin Cancer in Farmers and Ranchers in the US Central States. Am J Ind Med. 2025 Mar;68(3):286–94. doi:10.1002/ajim.23696 PubMed PMID: 39731212; PubMed Central PMCID: PMC11834943.</w:t>
      </w:r>
    </w:p>
    <w:p w14:paraId="6FD3D8B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16.</w:t>
      </w:r>
      <w:r w:rsidRPr="00E95010">
        <w:rPr>
          <w:rFonts w:ascii="Times New Roman" w:hAnsi="Times New Roman" w:cs="Times New Roman"/>
        </w:rPr>
        <w:tab/>
        <w:t>Egbuchiem AN, Donkor F, Dudzilah G, Owusu AE, Balogun A. Modeling Agrochemical Contamination in Drinking Water and Chronic Disease Risk in U.S. Farmers. Journal of Advances in Medicine and Medical Research. 2026 Mar 9;38(3):52–68. doi:10.9734/jammr/2026/v38i36090</w:t>
      </w:r>
    </w:p>
    <w:p w14:paraId="2D2E025B"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17.</w:t>
      </w:r>
      <w:r w:rsidRPr="00E95010">
        <w:rPr>
          <w:rFonts w:ascii="Times New Roman" w:hAnsi="Times New Roman" w:cs="Times New Roman"/>
        </w:rPr>
        <w:tab/>
        <w:t>Lawal OP, Njoba CF, Olorunkosebi MT, Jacob H, Igweonu C, Dilioha JO, et al. Microplastics as emerging reservoirs of antimicrobial resistance: Clinical relevance and environmental mechanisms. J CLIN EXP INVEST. 2025 Nov 9;16(4):em00852. doi:10.29333/jcei/17401</w:t>
      </w:r>
    </w:p>
    <w:p w14:paraId="591D2C1B"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lastRenderedPageBreak/>
        <w:t>18.</w:t>
      </w:r>
      <w:r w:rsidRPr="00E95010">
        <w:rPr>
          <w:rFonts w:ascii="Times New Roman" w:hAnsi="Times New Roman" w:cs="Times New Roman"/>
        </w:rPr>
        <w:tab/>
        <w:t>Boonupara T, Udomkun P, Khan E, Kajitvichyanukul P, Boonupara T, Udomkun P, et al. Airborne Pesticides from Agricultural Practices: A Critical Review of Pathways, Influencing Factors, and Human Health Implications. Toxics. 2023 Oct 12;11(10). doi:10.3390/toxics11100858</w:t>
      </w:r>
    </w:p>
    <w:p w14:paraId="4F31F9D9"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19.</w:t>
      </w:r>
      <w:r w:rsidRPr="00E95010">
        <w:rPr>
          <w:rFonts w:ascii="Times New Roman" w:hAnsi="Times New Roman" w:cs="Times New Roman"/>
        </w:rPr>
        <w:tab/>
        <w:t>Pesticide residues in food [Internet]. [cited 2026 Apr 22]. Available from: https://www.who.int/news-room/fact-sheets/detail/pesticide-residues-in-food</w:t>
      </w:r>
    </w:p>
    <w:p w14:paraId="4B4AE534"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20.</w:t>
      </w:r>
      <w:r w:rsidRPr="00E95010">
        <w:rPr>
          <w:rFonts w:ascii="Times New Roman" w:hAnsi="Times New Roman" w:cs="Times New Roman"/>
        </w:rPr>
        <w:tab/>
        <w:t>Khan KM, Gaine ME, Daniel AR, Chilamkuri P, Rohlman DS. Organophosphorus pesticide exposure from house dust and parent-reported child behavior in Latino children from an orchard community. Neurotoxicology. 2024 May;102:29–36. doi:10.1016/j.neuro.2024.03.001 PubMed PMID: 38453034; PubMed Central PMCID: PMC11684323.</w:t>
      </w:r>
    </w:p>
    <w:p w14:paraId="1347E0E6"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21.</w:t>
      </w:r>
      <w:r w:rsidRPr="00E95010">
        <w:rPr>
          <w:rFonts w:ascii="Times New Roman" w:hAnsi="Times New Roman" w:cs="Times New Roman"/>
        </w:rPr>
        <w:tab/>
        <w:t>Tudi M, Ruan HD, Wang L, Lyu J, Sadler R, Connell D, et al. Agriculture Development, Pesticide Application and Its Impact on the Environment. International Journal of Environmental Research and Public Health. 2021 Jan 26;18(3). doi:10.3390/ijerph18031112</w:t>
      </w:r>
    </w:p>
    <w:p w14:paraId="478B8556"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22.</w:t>
      </w:r>
      <w:r w:rsidRPr="00E95010">
        <w:rPr>
          <w:rFonts w:ascii="Times New Roman" w:hAnsi="Times New Roman" w:cs="Times New Roman"/>
        </w:rPr>
        <w:tab/>
        <w:t>Egbuchiem AN, Owusu AE, Fosua BV. Predictive Modeling of Agrochemical Exposure and Adult Cancer Risk in U.S. Farmers: A Narrative Review. Journal of Medicine and Health Research. 2026 Jan 30;11(1):100–13. doi:10.56557/jomahr/2026/v11i110211</w:t>
      </w:r>
    </w:p>
    <w:p w14:paraId="4E870D6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23.</w:t>
      </w:r>
      <w:r w:rsidRPr="00E95010">
        <w:rPr>
          <w:rFonts w:ascii="Times New Roman" w:hAnsi="Times New Roman" w:cs="Times New Roman"/>
        </w:rPr>
        <w:tab/>
        <w:t>Schinasi L, Leon ME. Non-Hodgkin Lymphoma and Occupational Exposure to Agricultural Pesticide Chemical Groups and Active Ingredients: A Systematic Review and Meta-Analysis. International Journal of Environmental Research and Public Health. 2014 Apr 23;11(4):4449. doi:10.3390/ijerph110404449 PubMed PMID: 24762670.</w:t>
      </w:r>
    </w:p>
    <w:p w14:paraId="2E1A2E77"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24.</w:t>
      </w:r>
      <w:r w:rsidRPr="00E95010">
        <w:rPr>
          <w:rFonts w:ascii="Times New Roman" w:hAnsi="Times New Roman" w:cs="Times New Roman"/>
        </w:rPr>
        <w:tab/>
        <w:t>Egbuchiem AN, Okobi OE, Odutola OD, Igbenabor CA, Okey-Ndeche UN, Omotunde O, et al. Evaluation of the Relationship Between Nitrate Use and the Prevalence of Colorectal Cancers in the United States. Cureus. 2025 May;17(5):e84530. doi:10.7759/cureus.84530 PubMed PMID: 40546631; PubMed Central PMCID: PMC12179813.</w:t>
      </w:r>
    </w:p>
    <w:p w14:paraId="3D756359"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25.</w:t>
      </w:r>
      <w:r w:rsidRPr="00E95010">
        <w:rPr>
          <w:rFonts w:ascii="Times New Roman" w:hAnsi="Times New Roman" w:cs="Times New Roman"/>
        </w:rPr>
        <w:tab/>
        <w:t>Diamanti-Kandarakis E, Bourguignon JP, Giudice LC, Hauser R, Prins GS, Soto AM, et al. Endocrine-Disrupting Chemicals: An Endocrine Society Scientific Statement. Endocr Rev. 2009 Jun;30(4):293–342. doi:10.1210/er.2009-0002 PubMed PMID: 19502515; PubMed Central PMCID: PMC2726844.</w:t>
      </w:r>
    </w:p>
    <w:p w14:paraId="5B71182F"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26.</w:t>
      </w:r>
      <w:r w:rsidRPr="00E95010">
        <w:rPr>
          <w:rFonts w:ascii="Times New Roman" w:hAnsi="Times New Roman" w:cs="Times New Roman"/>
        </w:rPr>
        <w:tab/>
        <w:t>Redelmeier DA, Zipursky JS. A Dose of Reality About Dose–Response Relationships. J Gen Intern Med. 2023 Dec;38(16):3604–9. doi:10.1007/s11606-023-08395-x PubMed PMID: 37783979; PubMed Central PMCID: PMC10713937.</w:t>
      </w:r>
    </w:p>
    <w:p w14:paraId="1CB9AE86"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27.</w:t>
      </w:r>
      <w:r w:rsidRPr="00E95010">
        <w:rPr>
          <w:rFonts w:ascii="Times New Roman" w:hAnsi="Times New Roman" w:cs="Times New Roman"/>
        </w:rPr>
        <w:tab/>
        <w:t>Alnees M, Abu Hamdeh N, AbuAlrub I, Zahran A, Zraiq S, Bali B, et al. Environmental and occupational risk factors associated with multiple myeloma: a multicenter, hospital-based, matched case-control study. BMC Public Health. 2025 Oct 2;25(1):3308. doi:10.1186/s12889-025-24366-9</w:t>
      </w:r>
    </w:p>
    <w:p w14:paraId="1A69104A"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lastRenderedPageBreak/>
        <w:t>28.</w:t>
      </w:r>
      <w:r w:rsidRPr="00E95010">
        <w:rPr>
          <w:rFonts w:ascii="Times New Roman" w:hAnsi="Times New Roman" w:cs="Times New Roman"/>
        </w:rPr>
        <w:tab/>
        <w:t>Fagundes TR, Coradi C, Vacario BGL, Valentim JMB de M, Panis C. Global Evidence on Monitoring Human Pesticide Exposure. Journal of Xenobiotics. 2025 Nov 6;15(6). doi:10.3390/jox15060187</w:t>
      </w:r>
    </w:p>
    <w:p w14:paraId="4BA2B6E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29.</w:t>
      </w:r>
      <w:r w:rsidRPr="00E95010">
        <w:rPr>
          <w:rFonts w:ascii="Times New Roman" w:hAnsi="Times New Roman" w:cs="Times New Roman"/>
        </w:rPr>
        <w:tab/>
        <w:t>Sasikala S, Minu Jenifer M, Velavan K, Sakthivel M, Sivasamy R, Fenwick Antony ER. Predicting the relationship between pesticide genotoxicity and breast cancer risk in South Indian women in in vitro and in vivo experiments. Sci Rep. 2023 Jun 15;13(1):9712. doi:10.1038/s41598-023-35552-3</w:t>
      </w:r>
    </w:p>
    <w:p w14:paraId="3C4FBBD2"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30.</w:t>
      </w:r>
      <w:r w:rsidRPr="00E95010">
        <w:rPr>
          <w:rFonts w:ascii="Times New Roman" w:hAnsi="Times New Roman" w:cs="Times New Roman"/>
        </w:rPr>
        <w:tab/>
        <w:t>Dudzilah G, Donkor F, Egbuchiem AN, Markus SN, Obeke O. Machine-Learning Prediction of Oxidative Stress and Hormonal-Immune Effects from Agrochemical Mixtures in U.S. Farmers. Journal of Life Science and Public Health. 2026 Mar 5;2(1):42–54. doi:10.69739/jlsph.v2i1.1693</w:t>
      </w:r>
    </w:p>
    <w:p w14:paraId="59E54373"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31.</w:t>
      </w:r>
      <w:r w:rsidRPr="00E95010">
        <w:rPr>
          <w:rFonts w:ascii="Times New Roman" w:hAnsi="Times New Roman" w:cs="Times New Roman"/>
        </w:rPr>
        <w:tab/>
        <w:t>Czaczkowska L, Jabłońska E, Ratajczak-Wrona W. Endocrine Disruptors and Breast Cancer: A Comprehensive Review. Biomedicines. 2025 Nov 13;13(11):2774. doi:10.3390/biomedicines13112774 PubMed PMID: 41301867; PubMed Central PMCID: PMC12649852.</w:t>
      </w:r>
    </w:p>
    <w:p w14:paraId="4B597CA7"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32.</w:t>
      </w:r>
      <w:r w:rsidRPr="00E95010">
        <w:rPr>
          <w:rFonts w:ascii="Times New Roman" w:hAnsi="Times New Roman" w:cs="Times New Roman"/>
        </w:rPr>
        <w:tab/>
        <w:t>Ibiam A, Ubani C, Okafor C, Olorunkosebi MT, Fagbemi BT. Epigenetic footprints of heavy metal exposure: Biochemical mechanisms and public health implications. Int J Clin Biol Biochem. 2023;5(2):53–61. doi:10.33545/26646188.2023.v5.i2a.110</w:t>
      </w:r>
    </w:p>
    <w:p w14:paraId="430FDF65"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33.</w:t>
      </w:r>
      <w:r w:rsidRPr="00E95010">
        <w:rPr>
          <w:rFonts w:ascii="Times New Roman" w:hAnsi="Times New Roman" w:cs="Times New Roman"/>
        </w:rPr>
        <w:tab/>
        <w:t>Okafor C, Ibiam VA, Fagbemi BT, Ubani C, Olorunkosebi MT. Microbial dysbiosis and antibiotic resistance in cancer development and therapy. Int J Mol Biol Biochem. 2024;6(1):68–77. doi:10.33545/26646501.2024.v6.i1a.105</w:t>
      </w:r>
    </w:p>
    <w:p w14:paraId="52F9FF8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34.</w:t>
      </w:r>
      <w:r w:rsidRPr="00E95010">
        <w:rPr>
          <w:rFonts w:ascii="Times New Roman" w:hAnsi="Times New Roman" w:cs="Times New Roman"/>
        </w:rPr>
        <w:tab/>
        <w:t>Adeleke OS, Oyewopo AO, Falana BA, Akinyemi BR, Dare BJ, Adegoke AA, et al. Immunohistochemical Expression of Ki-67, cytokeratin-18 and BCL-2 in Wistar rats testes treated with Rauwolfia vomitoria, Chlorpromazine and Co-administration of Reserpine, Ascorbate and Zinc. Research Journal of Health Sciences. 2022 Sep 28;10(3):177–89. doi:10.4314/rejhs.v10i3.2</w:t>
      </w:r>
    </w:p>
    <w:p w14:paraId="5BCCD614"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35.</w:t>
      </w:r>
      <w:r w:rsidRPr="00E95010">
        <w:rPr>
          <w:rFonts w:ascii="Times New Roman" w:hAnsi="Times New Roman" w:cs="Times New Roman"/>
        </w:rPr>
        <w:tab/>
        <w:t>Nicolella HD, Assis S de. Epigenetic Inheritance: Intergenerational Effects of Pesticides and Other Endocrine Disruptors on Cancer Development. International Journal of Molecular Sciences. 2022 Apr 22;23(9). doi:10.3390/ijms23094671</w:t>
      </w:r>
    </w:p>
    <w:p w14:paraId="5C3D96A7"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36.</w:t>
      </w:r>
      <w:r w:rsidRPr="00E95010">
        <w:rPr>
          <w:rFonts w:ascii="Times New Roman" w:hAnsi="Times New Roman" w:cs="Times New Roman"/>
        </w:rPr>
        <w:tab/>
        <w:t>Ugorji HO, Egbuchiem AN, Dudzilah G, Oke RB, Aderanti TA. Predictive Modeling of Early-Life Agrochemical Exposure and Pediatric Cancer Risk among Children of U.S. Farmers: A Narrative Review. Journal of Medicine and Health Research. 2026 Jan 30;11(1):82–99. doi:10.56557/jomahr/2026/v11i110210</w:t>
      </w:r>
    </w:p>
    <w:p w14:paraId="41C97942"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37.</w:t>
      </w:r>
      <w:r w:rsidRPr="00E95010">
        <w:rPr>
          <w:rFonts w:ascii="Times New Roman" w:hAnsi="Times New Roman" w:cs="Times New Roman"/>
        </w:rPr>
        <w:tab/>
        <w:t>Etzel RA. The special vulnerability of children. International Journal of Hygiene and Environmental Health. 2020 Jun 1;227:113516. doi:10.1016/j.ijheh.2020.113516</w:t>
      </w:r>
    </w:p>
    <w:p w14:paraId="693DA4BA"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38.</w:t>
      </w:r>
      <w:r w:rsidRPr="00E95010">
        <w:rPr>
          <w:rFonts w:ascii="Times New Roman" w:hAnsi="Times New Roman" w:cs="Times New Roman"/>
        </w:rPr>
        <w:tab/>
        <w:t xml:space="preserve">Matthews KA, Spears KS, Anderson-Lewis C. Rural Health Disparities: Contemporary Solutions for Persistent Rural Public Health Challenges. Prev Chronic Dis. 2025 Jun </w:t>
      </w:r>
      <w:r w:rsidRPr="00E95010">
        <w:rPr>
          <w:rFonts w:ascii="Times New Roman" w:hAnsi="Times New Roman" w:cs="Times New Roman"/>
        </w:rPr>
        <w:lastRenderedPageBreak/>
        <w:t>19;22:E27. doi:10.5888/pcd22.250202 PubMed PMID: 40539904; PubMed Central PMCID: PMC12199730.</w:t>
      </w:r>
    </w:p>
    <w:p w14:paraId="7CE565E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39.</w:t>
      </w:r>
      <w:r w:rsidRPr="00E95010">
        <w:rPr>
          <w:rFonts w:ascii="Times New Roman" w:hAnsi="Times New Roman" w:cs="Times New Roman"/>
        </w:rPr>
        <w:tab/>
        <w:t>Allegra A, Caserta S, Genovese S, Pioggia G, Gangemi S. Gender Differences in Oxidative Stress in Relation to Cancer Susceptibility and Survival. Antioxidants. 2023 Jun 10;12(6). doi:10.3390/antiox12061255</w:t>
      </w:r>
    </w:p>
    <w:p w14:paraId="07837C8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40.</w:t>
      </w:r>
      <w:r w:rsidRPr="00E95010">
        <w:rPr>
          <w:rFonts w:ascii="Times New Roman" w:hAnsi="Times New Roman" w:cs="Times New Roman"/>
        </w:rPr>
        <w:tab/>
        <w:t>Leskovac A, Petrović S. Pesticide Use and Degradation Strategies: Food Safety, Challenges and Perspectives. Foods. 2023 Jul 15;12(14):2709. doi:10.3390/foods12142709 PubMed PMID: 37509801; PubMed Central PMCID: PMC10379487.</w:t>
      </w:r>
    </w:p>
    <w:p w14:paraId="5A4D1BA3"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41.</w:t>
      </w:r>
      <w:r w:rsidRPr="00E95010">
        <w:rPr>
          <w:rFonts w:ascii="Times New Roman" w:hAnsi="Times New Roman" w:cs="Times New Roman"/>
        </w:rPr>
        <w:tab/>
        <w:t>Aborode AT, Adesola RO, Onifade IA, Adesiyan R, Ibiam VA, Jinadu NA, et al. Outbreak of cholera in Nigeria: the role of One Health. Discov Public Health. 2025 Mar 31;22(1):125. doi:10.1186/s12982-025-00526-5</w:t>
      </w:r>
    </w:p>
    <w:p w14:paraId="5B2A18D3"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42.</w:t>
      </w:r>
      <w:r w:rsidRPr="00E95010">
        <w:rPr>
          <w:rFonts w:ascii="Times New Roman" w:hAnsi="Times New Roman" w:cs="Times New Roman"/>
        </w:rPr>
        <w:tab/>
        <w:t>Buonsenso F. Scientific and Regulatory Perspectives on Chemical Risk Assessment of Pesticides in the European Union. J Xenobiot. 2025 Oct 21;15(5):173. doi:10.3390/jox15050173 PubMed PMID: 41149759; PubMed Central PMCID: PMC12565433.</w:t>
      </w:r>
    </w:p>
    <w:p w14:paraId="790743F8"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43.</w:t>
      </w:r>
      <w:r w:rsidRPr="00E95010">
        <w:rPr>
          <w:rFonts w:ascii="Times New Roman" w:hAnsi="Times New Roman" w:cs="Times New Roman"/>
        </w:rPr>
        <w:tab/>
        <w:t>Zhou W, Li M, Achal V. A comprehensive review on environmental and human health impacts of chemical pesticide usage. Emerging Contaminants. 2025 Mar 1;11(1):100410. doi:10.1016/j.emcon.2024.100410</w:t>
      </w:r>
    </w:p>
    <w:p w14:paraId="26C781D3"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44.</w:t>
      </w:r>
      <w:r w:rsidRPr="00E95010">
        <w:rPr>
          <w:rFonts w:ascii="Times New Roman" w:hAnsi="Times New Roman" w:cs="Times New Roman"/>
        </w:rPr>
        <w:tab/>
        <w:t>NnanyelugoEgbuchiem A, Egbubine L, Ugorji HO, Njemanze EC. Agrochemical Exposure and Chronic Disease Risk among U.S. Farmers Using Spatial Modeling: A Review of GIS-Based Epidemiological Approaches. Journal of Disease and Global Health. 2026 Jan 27;19(1):79–93. doi:10.56557/jodagh/2026/v19i110200</w:t>
      </w:r>
    </w:p>
    <w:p w14:paraId="4ECC3186" w14:textId="77777777" w:rsidR="00E95010" w:rsidRPr="00E95010" w:rsidRDefault="00E95010" w:rsidP="00E95010">
      <w:pPr>
        <w:pStyle w:val="Bibliography"/>
        <w:rPr>
          <w:rFonts w:ascii="Times New Roman" w:hAnsi="Times New Roman" w:cs="Times New Roman"/>
        </w:rPr>
      </w:pPr>
      <w:r w:rsidRPr="00E95010">
        <w:rPr>
          <w:rFonts w:ascii="Times New Roman" w:hAnsi="Times New Roman" w:cs="Times New Roman"/>
        </w:rPr>
        <w:t>45.</w:t>
      </w:r>
      <w:r w:rsidRPr="00E95010">
        <w:rPr>
          <w:rFonts w:ascii="Times New Roman" w:hAnsi="Times New Roman" w:cs="Times New Roman"/>
        </w:rPr>
        <w:tab/>
        <w:t>Ho V, Pelland-St-Pierre L, Gravel S, Bouchard MF, Verner MA, Labrèche F. Endocrine disruptors: Challenges and future directions in epidemiologic research. Environmental Research. 2022 Mar 1;204:111969. doi:10.1016/j.envres.2021.111969</w:t>
      </w:r>
    </w:p>
    <w:p w14:paraId="00845319" w14:textId="32B8F5BC" w:rsidR="000126A9" w:rsidRPr="00F76CBE" w:rsidRDefault="000126A9" w:rsidP="005439E5">
      <w:pPr>
        <w:rPr>
          <w:rFonts w:ascii="Times New Roman" w:hAnsi="Times New Roman" w:cs="Times New Roman"/>
        </w:rPr>
      </w:pPr>
      <w:r w:rsidRPr="00FB557A">
        <w:rPr>
          <w:rFonts w:ascii="Times New Roman" w:hAnsi="Times New Roman" w:cs="Times New Roman"/>
        </w:rPr>
        <w:fldChar w:fldCharType="end"/>
      </w:r>
    </w:p>
    <w:p w14:paraId="6F749117" w14:textId="77777777" w:rsidR="00450486" w:rsidRPr="005439E5" w:rsidRDefault="00450486" w:rsidP="005439E5"/>
    <w:sectPr w:rsidR="00450486" w:rsidRPr="005439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77D3" w14:textId="77777777" w:rsidR="002F7239" w:rsidRDefault="002F7239" w:rsidP="00F82F08">
      <w:pPr>
        <w:spacing w:after="0" w:line="240" w:lineRule="auto"/>
      </w:pPr>
      <w:r>
        <w:separator/>
      </w:r>
    </w:p>
  </w:endnote>
  <w:endnote w:type="continuationSeparator" w:id="0">
    <w:p w14:paraId="45BEBBB0" w14:textId="77777777" w:rsidR="002F7239" w:rsidRDefault="002F7239" w:rsidP="00F8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DF6D" w14:textId="77777777" w:rsidR="00F82F08" w:rsidRDefault="00F82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A82" w14:textId="77777777" w:rsidR="00F82F08" w:rsidRDefault="00F82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CD4C" w14:textId="77777777" w:rsidR="00F82F08" w:rsidRDefault="00F8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F9D7A" w14:textId="77777777" w:rsidR="002F7239" w:rsidRDefault="002F7239" w:rsidP="00F82F08">
      <w:pPr>
        <w:spacing w:after="0" w:line="240" w:lineRule="auto"/>
      </w:pPr>
      <w:r>
        <w:separator/>
      </w:r>
    </w:p>
  </w:footnote>
  <w:footnote w:type="continuationSeparator" w:id="0">
    <w:p w14:paraId="74D5D7E4" w14:textId="77777777" w:rsidR="002F7239" w:rsidRDefault="002F7239" w:rsidP="00F8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F549" w14:textId="4495F63E" w:rsidR="00F82F08" w:rsidRDefault="00000000">
    <w:pPr>
      <w:pStyle w:val="Header"/>
    </w:pPr>
    <w:r>
      <w:rPr>
        <w:noProof/>
      </w:rPr>
      <w:pict w14:anchorId="275D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4752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A3FD" w14:textId="7325BF1C" w:rsidR="00F82F08" w:rsidRDefault="00000000">
    <w:pPr>
      <w:pStyle w:val="Header"/>
    </w:pPr>
    <w:r>
      <w:rPr>
        <w:noProof/>
      </w:rPr>
      <w:pict w14:anchorId="32013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4752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4BF8" w14:textId="28E51EA9" w:rsidR="00F82F08" w:rsidRDefault="00000000">
    <w:pPr>
      <w:pStyle w:val="Header"/>
    </w:pPr>
    <w:r>
      <w:rPr>
        <w:noProof/>
      </w:rPr>
      <w:pict w14:anchorId="3E5DA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4752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06D"/>
    <w:multiLevelType w:val="multilevel"/>
    <w:tmpl w:val="B4C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7674"/>
    <w:multiLevelType w:val="multilevel"/>
    <w:tmpl w:val="4A1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13E97"/>
    <w:multiLevelType w:val="multilevel"/>
    <w:tmpl w:val="D570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F41AC"/>
    <w:multiLevelType w:val="multilevel"/>
    <w:tmpl w:val="4D08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11817"/>
    <w:multiLevelType w:val="multilevel"/>
    <w:tmpl w:val="DD98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B40E0"/>
    <w:multiLevelType w:val="multilevel"/>
    <w:tmpl w:val="45985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AE497D"/>
    <w:multiLevelType w:val="multilevel"/>
    <w:tmpl w:val="239C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505AE"/>
    <w:multiLevelType w:val="multilevel"/>
    <w:tmpl w:val="4B9E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451B0"/>
    <w:multiLevelType w:val="multilevel"/>
    <w:tmpl w:val="1E86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2566CA"/>
    <w:multiLevelType w:val="multilevel"/>
    <w:tmpl w:val="3F22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D32C9"/>
    <w:multiLevelType w:val="multilevel"/>
    <w:tmpl w:val="1A8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ED0E6C"/>
    <w:multiLevelType w:val="multilevel"/>
    <w:tmpl w:val="0E06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45598"/>
    <w:multiLevelType w:val="multilevel"/>
    <w:tmpl w:val="FA4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84C26"/>
    <w:multiLevelType w:val="multilevel"/>
    <w:tmpl w:val="06A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53953"/>
    <w:multiLevelType w:val="multilevel"/>
    <w:tmpl w:val="A444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440301">
    <w:abstractNumId w:val="13"/>
  </w:num>
  <w:num w:numId="2" w16cid:durableId="1751384662">
    <w:abstractNumId w:val="8"/>
  </w:num>
  <w:num w:numId="3" w16cid:durableId="255335266">
    <w:abstractNumId w:val="1"/>
  </w:num>
  <w:num w:numId="4" w16cid:durableId="1015105">
    <w:abstractNumId w:val="6"/>
  </w:num>
  <w:num w:numId="5" w16cid:durableId="661398187">
    <w:abstractNumId w:val="3"/>
  </w:num>
  <w:num w:numId="6" w16cid:durableId="1706363641">
    <w:abstractNumId w:val="11"/>
  </w:num>
  <w:num w:numId="7" w16cid:durableId="796147720">
    <w:abstractNumId w:val="0"/>
  </w:num>
  <w:num w:numId="8" w16cid:durableId="1624338534">
    <w:abstractNumId w:val="5"/>
  </w:num>
  <w:num w:numId="9" w16cid:durableId="1818952422">
    <w:abstractNumId w:val="7"/>
  </w:num>
  <w:num w:numId="10" w16cid:durableId="1100225011">
    <w:abstractNumId w:val="10"/>
  </w:num>
  <w:num w:numId="11" w16cid:durableId="234365776">
    <w:abstractNumId w:val="12"/>
  </w:num>
  <w:num w:numId="12" w16cid:durableId="86005019">
    <w:abstractNumId w:val="14"/>
  </w:num>
  <w:num w:numId="13" w16cid:durableId="789669599">
    <w:abstractNumId w:val="2"/>
  </w:num>
  <w:num w:numId="14" w16cid:durableId="1126005772">
    <w:abstractNumId w:val="9"/>
  </w:num>
  <w:num w:numId="15" w16cid:durableId="1466199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86"/>
    <w:rsid w:val="00002208"/>
    <w:rsid w:val="000126A9"/>
    <w:rsid w:val="0004444D"/>
    <w:rsid w:val="000C360E"/>
    <w:rsid w:val="000C6A66"/>
    <w:rsid w:val="000D7034"/>
    <w:rsid w:val="000F00CE"/>
    <w:rsid w:val="000F525E"/>
    <w:rsid w:val="001569EA"/>
    <w:rsid w:val="00165823"/>
    <w:rsid w:val="00192149"/>
    <w:rsid w:val="001A04CB"/>
    <w:rsid w:val="001D4E73"/>
    <w:rsid w:val="001E4F91"/>
    <w:rsid w:val="001F7E8C"/>
    <w:rsid w:val="002600FF"/>
    <w:rsid w:val="00291C09"/>
    <w:rsid w:val="002A0CE2"/>
    <w:rsid w:val="002B4529"/>
    <w:rsid w:val="002C3F1E"/>
    <w:rsid w:val="002F15C7"/>
    <w:rsid w:val="002F281C"/>
    <w:rsid w:val="002F6694"/>
    <w:rsid w:val="002F7239"/>
    <w:rsid w:val="00327E57"/>
    <w:rsid w:val="003663E0"/>
    <w:rsid w:val="00375D7D"/>
    <w:rsid w:val="00377BAC"/>
    <w:rsid w:val="003824AB"/>
    <w:rsid w:val="00395D95"/>
    <w:rsid w:val="003A1E4C"/>
    <w:rsid w:val="003B6D14"/>
    <w:rsid w:val="003C71E7"/>
    <w:rsid w:val="003D5FA7"/>
    <w:rsid w:val="003D7D57"/>
    <w:rsid w:val="004169A9"/>
    <w:rsid w:val="00422025"/>
    <w:rsid w:val="00423006"/>
    <w:rsid w:val="00430AB6"/>
    <w:rsid w:val="00450486"/>
    <w:rsid w:val="00452F75"/>
    <w:rsid w:val="00491817"/>
    <w:rsid w:val="004B4F0C"/>
    <w:rsid w:val="004B527A"/>
    <w:rsid w:val="004C7BF2"/>
    <w:rsid w:val="00516310"/>
    <w:rsid w:val="005439E5"/>
    <w:rsid w:val="005627C7"/>
    <w:rsid w:val="005C3020"/>
    <w:rsid w:val="005D34D7"/>
    <w:rsid w:val="005E3F9D"/>
    <w:rsid w:val="0063703D"/>
    <w:rsid w:val="00642667"/>
    <w:rsid w:val="00651A8B"/>
    <w:rsid w:val="006733BD"/>
    <w:rsid w:val="00697D92"/>
    <w:rsid w:val="006B7150"/>
    <w:rsid w:val="006C013A"/>
    <w:rsid w:val="006C3C87"/>
    <w:rsid w:val="00730188"/>
    <w:rsid w:val="007374E1"/>
    <w:rsid w:val="007740D5"/>
    <w:rsid w:val="00791A82"/>
    <w:rsid w:val="007A3273"/>
    <w:rsid w:val="007B0A1D"/>
    <w:rsid w:val="007B387F"/>
    <w:rsid w:val="007E447A"/>
    <w:rsid w:val="00835351"/>
    <w:rsid w:val="00850B21"/>
    <w:rsid w:val="00873B42"/>
    <w:rsid w:val="008844A6"/>
    <w:rsid w:val="008908E9"/>
    <w:rsid w:val="008B3B79"/>
    <w:rsid w:val="008F61F8"/>
    <w:rsid w:val="00914810"/>
    <w:rsid w:val="00921F9A"/>
    <w:rsid w:val="009676BC"/>
    <w:rsid w:val="00972D29"/>
    <w:rsid w:val="00984F11"/>
    <w:rsid w:val="009A1134"/>
    <w:rsid w:val="009A7337"/>
    <w:rsid w:val="009B2009"/>
    <w:rsid w:val="009C73A7"/>
    <w:rsid w:val="009D1E19"/>
    <w:rsid w:val="009D5098"/>
    <w:rsid w:val="009F0DD9"/>
    <w:rsid w:val="00A061A9"/>
    <w:rsid w:val="00A23AB3"/>
    <w:rsid w:val="00A335F2"/>
    <w:rsid w:val="00A47A0C"/>
    <w:rsid w:val="00A60EC8"/>
    <w:rsid w:val="00A80CC9"/>
    <w:rsid w:val="00A80F29"/>
    <w:rsid w:val="00AD780F"/>
    <w:rsid w:val="00AF09DD"/>
    <w:rsid w:val="00AF1961"/>
    <w:rsid w:val="00AF57F2"/>
    <w:rsid w:val="00B136F9"/>
    <w:rsid w:val="00B14C33"/>
    <w:rsid w:val="00B17AD6"/>
    <w:rsid w:val="00B30405"/>
    <w:rsid w:val="00B63D35"/>
    <w:rsid w:val="00C25FAB"/>
    <w:rsid w:val="00C73535"/>
    <w:rsid w:val="00C74D0F"/>
    <w:rsid w:val="00C83AE4"/>
    <w:rsid w:val="00C86CD5"/>
    <w:rsid w:val="00CC3290"/>
    <w:rsid w:val="00D25EE5"/>
    <w:rsid w:val="00D428D5"/>
    <w:rsid w:val="00D4715B"/>
    <w:rsid w:val="00DA3C03"/>
    <w:rsid w:val="00DB5564"/>
    <w:rsid w:val="00DC53B9"/>
    <w:rsid w:val="00E10BB9"/>
    <w:rsid w:val="00E1136F"/>
    <w:rsid w:val="00E15A0A"/>
    <w:rsid w:val="00E4653A"/>
    <w:rsid w:val="00E8412C"/>
    <w:rsid w:val="00E95010"/>
    <w:rsid w:val="00E95B21"/>
    <w:rsid w:val="00EC5DE1"/>
    <w:rsid w:val="00ED5A56"/>
    <w:rsid w:val="00EE4476"/>
    <w:rsid w:val="00F027DA"/>
    <w:rsid w:val="00F103BF"/>
    <w:rsid w:val="00F267C2"/>
    <w:rsid w:val="00F40BAB"/>
    <w:rsid w:val="00F452FD"/>
    <w:rsid w:val="00F5633F"/>
    <w:rsid w:val="00F711F4"/>
    <w:rsid w:val="00F76CBE"/>
    <w:rsid w:val="00F82F08"/>
    <w:rsid w:val="00F96EC4"/>
    <w:rsid w:val="00FB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141CD"/>
  <w15:chartTrackingRefBased/>
  <w15:docId w15:val="{1EFE8848-CB03-4BFE-B5C5-0E6DD3A3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486"/>
    <w:rPr>
      <w:rFonts w:eastAsiaTheme="majorEastAsia" w:cstheme="majorBidi"/>
      <w:color w:val="272727" w:themeColor="text1" w:themeTint="D8"/>
    </w:rPr>
  </w:style>
  <w:style w:type="paragraph" w:styleId="Title">
    <w:name w:val="Title"/>
    <w:basedOn w:val="Normal"/>
    <w:next w:val="Normal"/>
    <w:link w:val="TitleChar"/>
    <w:uiPriority w:val="10"/>
    <w:qFormat/>
    <w:rsid w:val="00450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486"/>
    <w:pPr>
      <w:spacing w:before="160"/>
      <w:jc w:val="center"/>
    </w:pPr>
    <w:rPr>
      <w:i/>
      <w:iCs/>
      <w:color w:val="404040" w:themeColor="text1" w:themeTint="BF"/>
    </w:rPr>
  </w:style>
  <w:style w:type="character" w:customStyle="1" w:styleId="QuoteChar">
    <w:name w:val="Quote Char"/>
    <w:basedOn w:val="DefaultParagraphFont"/>
    <w:link w:val="Quote"/>
    <w:uiPriority w:val="29"/>
    <w:rsid w:val="00450486"/>
    <w:rPr>
      <w:i/>
      <w:iCs/>
      <w:color w:val="404040" w:themeColor="text1" w:themeTint="BF"/>
    </w:rPr>
  </w:style>
  <w:style w:type="paragraph" w:styleId="ListParagraph">
    <w:name w:val="List Paragraph"/>
    <w:basedOn w:val="Normal"/>
    <w:uiPriority w:val="34"/>
    <w:qFormat/>
    <w:rsid w:val="00450486"/>
    <w:pPr>
      <w:ind w:left="720"/>
      <w:contextualSpacing/>
    </w:pPr>
  </w:style>
  <w:style w:type="character" w:styleId="IntenseEmphasis">
    <w:name w:val="Intense Emphasis"/>
    <w:basedOn w:val="DefaultParagraphFont"/>
    <w:uiPriority w:val="21"/>
    <w:qFormat/>
    <w:rsid w:val="00450486"/>
    <w:rPr>
      <w:i/>
      <w:iCs/>
      <w:color w:val="2F5496" w:themeColor="accent1" w:themeShade="BF"/>
    </w:rPr>
  </w:style>
  <w:style w:type="paragraph" w:styleId="IntenseQuote">
    <w:name w:val="Intense Quote"/>
    <w:basedOn w:val="Normal"/>
    <w:next w:val="Normal"/>
    <w:link w:val="IntenseQuoteChar"/>
    <w:uiPriority w:val="30"/>
    <w:qFormat/>
    <w:rsid w:val="00450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486"/>
    <w:rPr>
      <w:i/>
      <w:iCs/>
      <w:color w:val="2F5496" w:themeColor="accent1" w:themeShade="BF"/>
    </w:rPr>
  </w:style>
  <w:style w:type="character" w:styleId="IntenseReference">
    <w:name w:val="Intense Reference"/>
    <w:basedOn w:val="DefaultParagraphFont"/>
    <w:uiPriority w:val="32"/>
    <w:qFormat/>
    <w:rsid w:val="00450486"/>
    <w:rPr>
      <w:b/>
      <w:bCs/>
      <w:smallCaps/>
      <w:color w:val="2F5496" w:themeColor="accent1" w:themeShade="BF"/>
      <w:spacing w:val="5"/>
    </w:rPr>
  </w:style>
  <w:style w:type="table" w:styleId="TableGridLight">
    <w:name w:val="Grid Table Light"/>
    <w:basedOn w:val="TableNormal"/>
    <w:uiPriority w:val="40"/>
    <w:rsid w:val="007A32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0126A9"/>
    <w:pPr>
      <w:tabs>
        <w:tab w:val="left" w:pos="264"/>
      </w:tabs>
      <w:spacing w:after="240" w:line="240" w:lineRule="auto"/>
      <w:ind w:left="264" w:hanging="264"/>
    </w:pPr>
  </w:style>
  <w:style w:type="paragraph" w:styleId="Header">
    <w:name w:val="header"/>
    <w:basedOn w:val="Normal"/>
    <w:link w:val="HeaderChar"/>
    <w:uiPriority w:val="99"/>
    <w:unhideWhenUsed/>
    <w:rsid w:val="00F82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08"/>
  </w:style>
  <w:style w:type="paragraph" w:styleId="Footer">
    <w:name w:val="footer"/>
    <w:basedOn w:val="Normal"/>
    <w:link w:val="FooterChar"/>
    <w:uiPriority w:val="99"/>
    <w:unhideWhenUsed/>
    <w:rsid w:val="00F82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08"/>
  </w:style>
  <w:style w:type="paragraph" w:styleId="NoSpacing">
    <w:name w:val="No Spacing"/>
    <w:uiPriority w:val="1"/>
    <w:qFormat/>
    <w:rsid w:val="00642667"/>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23</Pages>
  <Words>8794</Words>
  <Characters>50129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139</cp:revision>
  <dcterms:created xsi:type="dcterms:W3CDTF">2026-04-22T13:03:00Z</dcterms:created>
  <dcterms:modified xsi:type="dcterms:W3CDTF">2026-05-08T06:10:00Z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id="3Po7VIXT"/&gt;&lt;style id="http://www.zotero.org/styles/nlm-citation-sequence-brackets" locale="en-US" hasBibliography="1" bibliographyStyleHasBeenSet="1"/&gt;&lt;prefs&gt;&lt;pref name="fieldType" value="Field"/</vt:lpwstr>
  </property>
  <property fmtid="{D5CDD505-2E9C-101B-9397-08002B2CF9AE}" pid="3" name="ZOTERO_PREF_2">
    <vt:lpwstr>&gt;&lt;/prefs&gt;&lt;/data&gt;</vt:lpwstr>
  </property>
  <property fmtid="{D5CDD505-2E9C-101B-9397-08002B2CF9AE}" pid="4" name="GrammarlyDocumentId">
    <vt:lpwstr>f1787887-fe25-4ba1-b8b3-fdfe132ec60f</vt:lpwstr>
  </property>
</Properties>
</file>