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89B17" w14:textId="0604B578" w:rsidR="00DF7224" w:rsidRPr="00D64B02" w:rsidRDefault="002662A3" w:rsidP="00CB7FB8">
      <w:pPr>
        <w:spacing w:line="240" w:lineRule="auto"/>
        <w:jc w:val="both"/>
        <w:rPr>
          <w:rFonts w:cs="Times New Roman"/>
          <w:b/>
          <w:color w:val="000000" w:themeColor="text1"/>
          <w:szCs w:val="24"/>
        </w:rPr>
      </w:pPr>
      <w:r w:rsidRPr="00D64B02">
        <w:rPr>
          <w:rFonts w:cs="Times New Roman"/>
          <w:b/>
          <w:color w:val="000000" w:themeColor="text1"/>
          <w:szCs w:val="24"/>
        </w:rPr>
        <w:t>Agricultural Subsidies and Policy Frameworks</w:t>
      </w:r>
      <w:r w:rsidR="004E2753" w:rsidRPr="00D64B02">
        <w:rPr>
          <w:rFonts w:cs="Times New Roman"/>
          <w:b/>
          <w:color w:val="000000" w:themeColor="text1"/>
          <w:szCs w:val="24"/>
        </w:rPr>
        <w:t xml:space="preserve"> </w:t>
      </w:r>
      <w:r w:rsidRPr="00D64B02">
        <w:rPr>
          <w:rFonts w:cs="Times New Roman"/>
          <w:b/>
          <w:color w:val="000000" w:themeColor="text1"/>
          <w:szCs w:val="24"/>
        </w:rPr>
        <w:t>in Sub-Saharan Africa:</w:t>
      </w:r>
      <w:r w:rsidR="004E2753" w:rsidRPr="00D64B02">
        <w:rPr>
          <w:rFonts w:cs="Times New Roman"/>
          <w:b/>
          <w:color w:val="000000" w:themeColor="text1"/>
          <w:szCs w:val="24"/>
        </w:rPr>
        <w:t xml:space="preserve"> </w:t>
      </w:r>
      <w:r w:rsidRPr="00D64B02">
        <w:rPr>
          <w:rFonts w:cs="Times New Roman"/>
          <w:b/>
          <w:color w:val="000000" w:themeColor="text1"/>
          <w:szCs w:val="24"/>
        </w:rPr>
        <w:t>Challenges, Impacts, and Pathways for Sustainable Growth</w:t>
      </w:r>
    </w:p>
    <w:p w14:paraId="7A834E1F" w14:textId="4F0ABA2F" w:rsidR="00810686" w:rsidRPr="00D64B02" w:rsidRDefault="00810686" w:rsidP="00CB7FB8">
      <w:pPr>
        <w:pStyle w:val="BodyText"/>
        <w:spacing w:line="240" w:lineRule="auto"/>
        <w:rPr>
          <w:rFonts w:cs="Times New Roman"/>
          <w:color w:val="000000" w:themeColor="text1"/>
          <w:szCs w:val="24"/>
        </w:rPr>
      </w:pPr>
    </w:p>
    <w:p w14:paraId="69957856" w14:textId="77777777" w:rsidR="00C761A9" w:rsidRPr="00D64B02" w:rsidRDefault="00C761A9" w:rsidP="00CB7FB8">
      <w:pPr>
        <w:pStyle w:val="BodyText"/>
        <w:spacing w:line="240" w:lineRule="auto"/>
        <w:rPr>
          <w:rFonts w:cs="Times New Roman"/>
          <w:color w:val="000000" w:themeColor="text1"/>
          <w:szCs w:val="24"/>
        </w:rPr>
      </w:pPr>
    </w:p>
    <w:p w14:paraId="65A5A402" w14:textId="77777777" w:rsidR="00DF7224" w:rsidRPr="00D64B02" w:rsidRDefault="002662A3" w:rsidP="00CB7FB8">
      <w:pPr>
        <w:pStyle w:val="Heading1"/>
        <w:spacing w:line="240" w:lineRule="auto"/>
        <w:jc w:val="both"/>
        <w:rPr>
          <w:rFonts w:ascii="Times New Roman" w:hAnsi="Times New Roman" w:cs="Times New Roman"/>
          <w:color w:val="000000" w:themeColor="text1"/>
          <w:sz w:val="24"/>
          <w:szCs w:val="24"/>
        </w:rPr>
      </w:pPr>
      <w:r w:rsidRPr="00D64B02">
        <w:rPr>
          <w:rFonts w:ascii="Times New Roman" w:hAnsi="Times New Roman" w:cs="Times New Roman"/>
          <w:color w:val="000000" w:themeColor="text1"/>
          <w:sz w:val="24"/>
          <w:szCs w:val="24"/>
        </w:rPr>
        <w:t>Abstract</w:t>
      </w:r>
    </w:p>
    <w:p w14:paraId="1E91C5A8" w14:textId="77777777" w:rsidR="00DF7224" w:rsidRPr="00D64B02" w:rsidRDefault="002662A3" w:rsidP="00CB7FB8">
      <w:pPr>
        <w:spacing w:line="240" w:lineRule="auto"/>
        <w:jc w:val="both"/>
        <w:rPr>
          <w:rFonts w:cs="Times New Roman"/>
          <w:color w:val="000000" w:themeColor="text1"/>
          <w:szCs w:val="24"/>
        </w:rPr>
      </w:pPr>
      <w:r w:rsidRPr="00D64B02">
        <w:rPr>
          <w:rFonts w:cs="Times New Roman"/>
          <w:color w:val="000000" w:themeColor="text1"/>
          <w:szCs w:val="24"/>
        </w:rPr>
        <w:t xml:space="preserve">Agricultural input subsidies remain one of the most debated agricultural policy instruments in Sub-Saharan Africa. Governments continue to use them because smallholder farmers face high input prices, weak credit markets, poor rural infrastructure, and climate-related production risks that limit the adoption of fertilizer, improved seed, and other productivity-enhancing technologies. This paper examines how subsidy programs have evolved from broad state-led distribution systems toward more targeted and market-oriented approaches, with attention to experiences in Kenya, Nigeria, Ghana, Tanzania, and Malawi. The analysis shows that subsidies can improve input access, raise crop output, and support household food security when they are well targeted, delivered on time, and linked to extension, soil fertility management, and functional input markets. However, the evidence also shows repeated problems: elite capture, leakage, late delivery, crowding out of commercial purchases, uneven benefits across farmer groups, and heavy fiscal costs. </w:t>
      </w:r>
      <w:r w:rsidRPr="00D64B02">
        <w:rPr>
          <w:rFonts w:cs="Times New Roman"/>
          <w:szCs w:val="24"/>
        </w:rPr>
        <w:t>The paper argues that subsidies should not be treated as a permanent substitute for broader agricultural transformation. Instead, they should be designed as temporary, transparent, and performance-oriented instruments that strengthen smallholder resilience while encouraging graduation into commercial input markets</w:t>
      </w:r>
      <w:r w:rsidRPr="00D64B02">
        <w:rPr>
          <w:rFonts w:cs="Times New Roman"/>
          <w:color w:val="000000" w:themeColor="text1"/>
          <w:szCs w:val="24"/>
        </w:rPr>
        <w:t>. A more sustainable policy framework requires digital beneficiary systems, differentiated subsidy levels, stronger private sector participation, improved monitoring, soil health investments, and better alignment with climate-smart agriculture, rural finance, research, and market development.</w:t>
      </w:r>
    </w:p>
    <w:p w14:paraId="59588B35" w14:textId="77777777" w:rsidR="00DF7224" w:rsidRPr="00D64B02" w:rsidRDefault="002662A3" w:rsidP="00CB7FB8">
      <w:pPr>
        <w:spacing w:line="240" w:lineRule="auto"/>
        <w:jc w:val="both"/>
        <w:rPr>
          <w:rFonts w:cs="Times New Roman"/>
          <w:color w:val="000000" w:themeColor="text1"/>
          <w:szCs w:val="24"/>
        </w:rPr>
      </w:pPr>
      <w:r w:rsidRPr="00D64B02">
        <w:rPr>
          <w:rFonts w:cs="Times New Roman"/>
          <w:color w:val="000000" w:themeColor="text1"/>
          <w:szCs w:val="24"/>
        </w:rPr>
        <w:t>Ke</w:t>
      </w:r>
      <w:r w:rsidRPr="00D64B02">
        <w:rPr>
          <w:rFonts w:cs="Times New Roman"/>
          <w:b/>
          <w:bCs/>
          <w:color w:val="000000" w:themeColor="text1"/>
          <w:szCs w:val="24"/>
        </w:rPr>
        <w:t xml:space="preserve">ywords: </w:t>
      </w:r>
      <w:r w:rsidRPr="00D64B02">
        <w:rPr>
          <w:rFonts w:cs="Times New Roman"/>
          <w:color w:val="000000" w:themeColor="text1"/>
          <w:szCs w:val="24"/>
        </w:rPr>
        <w:t>agricultural subsidies; Sub-Saharan Africa; smallholder farmers; food security; input vouchers; policy reform; sustainable agriculture</w:t>
      </w:r>
    </w:p>
    <w:p w14:paraId="34E14D8A" w14:textId="77777777" w:rsidR="00DF7224" w:rsidRPr="00D64B02" w:rsidRDefault="002662A3" w:rsidP="00CB7FB8">
      <w:pPr>
        <w:pStyle w:val="Heading1"/>
        <w:spacing w:line="240" w:lineRule="auto"/>
        <w:jc w:val="both"/>
        <w:rPr>
          <w:rFonts w:ascii="Times New Roman" w:hAnsi="Times New Roman" w:cs="Times New Roman"/>
          <w:color w:val="000000" w:themeColor="text1"/>
          <w:sz w:val="24"/>
          <w:szCs w:val="24"/>
        </w:rPr>
      </w:pPr>
      <w:r w:rsidRPr="00D64B02">
        <w:rPr>
          <w:rFonts w:ascii="Times New Roman" w:hAnsi="Times New Roman" w:cs="Times New Roman"/>
          <w:color w:val="000000" w:themeColor="text1"/>
          <w:sz w:val="24"/>
          <w:szCs w:val="24"/>
        </w:rPr>
        <w:t>1. Introduction</w:t>
      </w:r>
    </w:p>
    <w:p w14:paraId="3EFA78B0" w14:textId="78230DE6" w:rsidR="00DF7224" w:rsidRPr="00D64B02" w:rsidRDefault="002662A3" w:rsidP="00C67C65">
      <w:pPr>
        <w:spacing w:line="240" w:lineRule="auto"/>
        <w:jc w:val="both"/>
        <w:rPr>
          <w:rFonts w:cs="Times New Roman"/>
          <w:color w:val="000000" w:themeColor="text1"/>
          <w:szCs w:val="24"/>
        </w:rPr>
      </w:pPr>
      <w:r w:rsidRPr="00D64B02">
        <w:rPr>
          <w:rFonts w:cs="Times New Roman"/>
          <w:color w:val="000000" w:themeColor="text1"/>
          <w:szCs w:val="24"/>
        </w:rPr>
        <w:t>Agriculture remains central to economic life in Sub-Saharan Africa because it employs a large share of rural households, supplies most domestic food, and provides raw materials for local trade and agro-processing</w:t>
      </w:r>
      <w:r w:rsidR="00EC3863" w:rsidRPr="00D64B02">
        <w:rPr>
          <w:rFonts w:cs="Times New Roman"/>
          <w:color w:val="000000" w:themeColor="text1"/>
          <w:szCs w:val="24"/>
        </w:rPr>
        <w:t xml:space="preserve"> (Kanza et al., 2022; Sithole &amp; Olorunfemi, 2024)</w:t>
      </w:r>
      <w:r w:rsidRPr="00D64B02">
        <w:rPr>
          <w:rFonts w:cs="Times New Roman"/>
          <w:color w:val="000000" w:themeColor="text1"/>
          <w:szCs w:val="24"/>
        </w:rPr>
        <w:t>. Yet the region's smallholder farmers often operate under difficult production conditions. Many cultivate small plots, depend on rainfall, face degraded soils, and sell into markets where prices fluctuate sharply</w:t>
      </w:r>
      <w:r w:rsidR="00EC3863" w:rsidRPr="00D64B02">
        <w:rPr>
          <w:rFonts w:cs="Times New Roman"/>
          <w:color w:val="000000" w:themeColor="text1"/>
          <w:szCs w:val="24"/>
        </w:rPr>
        <w:t xml:space="preserve"> (</w:t>
      </w:r>
      <w:r w:rsidR="00062B3F" w:rsidRPr="00D64B02">
        <w:rPr>
          <w:rFonts w:cs="Times New Roman"/>
          <w:color w:val="000000" w:themeColor="text1"/>
          <w:szCs w:val="24"/>
        </w:rPr>
        <w:t xml:space="preserve">Nyambo et al., 2022; </w:t>
      </w:r>
      <w:r w:rsidR="00EC3863" w:rsidRPr="00D64B02">
        <w:rPr>
          <w:rFonts w:cs="Times New Roman"/>
          <w:color w:val="000000" w:themeColor="text1"/>
          <w:szCs w:val="24"/>
        </w:rPr>
        <w:t>Choruma et al., 2024</w:t>
      </w:r>
      <w:r w:rsidR="00062B3F" w:rsidRPr="00D64B02">
        <w:rPr>
          <w:rFonts w:cs="Times New Roman"/>
          <w:color w:val="000000" w:themeColor="text1"/>
          <w:szCs w:val="24"/>
        </w:rPr>
        <w:t>)</w:t>
      </w:r>
      <w:r w:rsidRPr="00D64B02">
        <w:rPr>
          <w:rFonts w:cs="Times New Roman"/>
          <w:color w:val="000000" w:themeColor="text1"/>
          <w:szCs w:val="24"/>
        </w:rPr>
        <w:t>. These constraints make it difficult for farmers to invest in fertilizer, improved seed, irrigation, mechanization, and soil conservation technologies, even when those inputs could raise yields. For this reason, governments have repeatedly turned to agricultural input subsidies as a way to lower the cost of production and encourage the use of modern inputs.</w:t>
      </w:r>
      <w:r w:rsidR="00C67C65" w:rsidRPr="00D64B02">
        <w:rPr>
          <w:rFonts w:cs="Times New Roman"/>
          <w:color w:val="000000" w:themeColor="text1"/>
          <w:szCs w:val="24"/>
        </w:rPr>
        <w:t xml:space="preserve"> </w:t>
      </w:r>
      <w:r w:rsidRPr="00D64B02">
        <w:rPr>
          <w:rFonts w:cs="Times New Roman"/>
          <w:color w:val="000000"/>
          <w:szCs w:val="24"/>
        </w:rPr>
        <w:t xml:space="preserve">Subsidies are not new in African agriculture; many governments used state marketing boards, controlled prices, pan-territorial pricing, subsidised credit, and direct public distribution of fertilizer and seed through parastatal agencies to support food crop production (Nhlengethwa et al., 2023; Manzvera &amp; Manyanga, 2026). During the structural adjustment period of the 1980s and 1990s, however, many of these systems - including fertilizer subsidy schemes, grain marketing-board input channels, guaranteed producer prices, and state-run input credit programmes - were reduced because they were considered expensive, inefficient, and </w:t>
      </w:r>
      <w:r w:rsidRPr="00D64B02">
        <w:rPr>
          <w:rFonts w:cs="Times New Roman"/>
          <w:color w:val="000000"/>
          <w:szCs w:val="24"/>
        </w:rPr>
        <w:lastRenderedPageBreak/>
        <w:t>heavily politicised. By the early 2000s, a new generation of programmes emerged, including Malawi's Farm Input Subsidy Program, Tanzania's National Agricultural Input Voucher Scheme, Kenya's NAAIAP/Kilimo Plus, Nigeria's Growth Enhancement Scheme/e-wallet, and Ghana's fertilizer subsidy programme, in response to food crises, rising fertilizer prices, persistent rural poverty, and concerns that liberalised input markets were not reaching smallholder farmers. These newer approaches were often described as "smart subsidies" because they were expected to be targeted, temporary, transparent, and less damaging to private markets than earlier universal subsidies (Jayne et al., 2018).</w:t>
      </w:r>
    </w:p>
    <w:p w14:paraId="29F4D766" w14:textId="5168DCA9" w:rsidR="00DF7224" w:rsidRPr="00D64B02" w:rsidRDefault="00DF7224" w:rsidP="00CB7FB8">
      <w:pPr>
        <w:spacing w:line="240" w:lineRule="auto"/>
        <w:jc w:val="both"/>
        <w:rPr>
          <w:rFonts w:cs="Times New Roman"/>
          <w:color w:val="000000" w:themeColor="text1"/>
          <w:szCs w:val="24"/>
        </w:rPr>
      </w:pPr>
    </w:p>
    <w:p w14:paraId="30F82744" w14:textId="63C946C6" w:rsidR="00DF7224" w:rsidRPr="00D64B02" w:rsidRDefault="000F0A4D" w:rsidP="001F35EF">
      <w:pPr>
        <w:spacing w:line="240" w:lineRule="auto"/>
        <w:ind w:firstLine="720"/>
        <w:jc w:val="both"/>
        <w:rPr>
          <w:rFonts w:cs="Times New Roman"/>
          <w:color w:val="000000" w:themeColor="text1"/>
          <w:szCs w:val="24"/>
        </w:rPr>
      </w:pPr>
      <w:r w:rsidRPr="00D64B02">
        <w:rPr>
          <w:rFonts w:cs="Times New Roman"/>
          <w:color w:val="000000" w:themeColor="text1"/>
          <w:szCs w:val="24"/>
        </w:rPr>
        <w:t>The</w:t>
      </w:r>
      <w:r w:rsidR="002662A3" w:rsidRPr="00D64B02">
        <w:rPr>
          <w:rFonts w:cs="Times New Roman"/>
          <w:color w:val="000000" w:themeColor="text1"/>
          <w:szCs w:val="24"/>
        </w:rPr>
        <w:t xml:space="preserve"> policy debate remains unsettled. Evidence from Africa shows that subsidies often produce gains, but those gains are usually smaller and less durable than political promises suggest. A program may raise yields among participating farmers while failing to reach the poorest households. It may increase national maize production in one season but absorb public funds that could have financed rural roads, irrigation, research, or extension. It may support private input dealers in some districts while displacing their commercial sales in others. These mixed outcomes explain why the question is not simply whether subsidies are good or bad, but under what conditions they work, for whom, at what cost, and for how long.</w:t>
      </w:r>
    </w:p>
    <w:p w14:paraId="3B0732EC" w14:textId="77777777" w:rsidR="00DF7224" w:rsidRPr="00D64B02" w:rsidRDefault="002662A3" w:rsidP="00191AA9">
      <w:pPr>
        <w:spacing w:line="240" w:lineRule="auto"/>
        <w:ind w:firstLine="720"/>
        <w:jc w:val="both"/>
        <w:rPr>
          <w:rFonts w:cs="Times New Roman"/>
          <w:color w:val="000000" w:themeColor="text1"/>
          <w:szCs w:val="24"/>
        </w:rPr>
      </w:pPr>
      <w:r w:rsidRPr="00D64B02">
        <w:rPr>
          <w:rFonts w:cs="Times New Roman"/>
          <w:color w:val="000000" w:themeColor="text1"/>
          <w:szCs w:val="24"/>
        </w:rPr>
        <w:t>This paper rewrites and expands the original thesis by examining agricultural subsidy programs and policy frameworks in selected Sub-Saharan African countries. The discussion focuses on Kenya, Nigeria, Ghana, Tanzania, and Malawi because their experiences show different delivery systems, political settings, and reform pathways. The paper reviews current policy models, identifies common implementation challenges, evaluates impacts on smallholder farmers and food security, and proposes practical recommendations for sustainable growth. The central argument is that subsidies can be useful when they are carefully targeted and embedded in a wider agricultural development strategy, but they are weak instruments when they are used alone or treated mainly as political tools.</w:t>
      </w:r>
    </w:p>
    <w:p w14:paraId="1E394BB2" w14:textId="77777777" w:rsidR="00DF7224" w:rsidRPr="00D64B02" w:rsidRDefault="002662A3" w:rsidP="00CB7FB8">
      <w:pPr>
        <w:pStyle w:val="Heading1"/>
        <w:spacing w:line="240" w:lineRule="auto"/>
        <w:jc w:val="both"/>
        <w:rPr>
          <w:rFonts w:ascii="Times New Roman" w:hAnsi="Times New Roman" w:cs="Times New Roman"/>
          <w:color w:val="000000" w:themeColor="text1"/>
          <w:sz w:val="24"/>
          <w:szCs w:val="24"/>
        </w:rPr>
      </w:pPr>
      <w:r w:rsidRPr="00D64B02">
        <w:rPr>
          <w:rFonts w:ascii="Times New Roman" w:hAnsi="Times New Roman" w:cs="Times New Roman"/>
          <w:color w:val="000000" w:themeColor="text1"/>
          <w:sz w:val="24"/>
          <w:szCs w:val="24"/>
        </w:rPr>
        <w:t>2. Conceptual Background and Policy Rationale</w:t>
      </w:r>
    </w:p>
    <w:p w14:paraId="1719BBD7" w14:textId="77777777" w:rsidR="00DF7224" w:rsidRPr="00D64B02" w:rsidRDefault="002662A3" w:rsidP="00CB7FB8">
      <w:pPr>
        <w:spacing w:line="240" w:lineRule="auto"/>
        <w:jc w:val="both"/>
        <w:rPr>
          <w:rFonts w:cs="Times New Roman"/>
          <w:color w:val="000000" w:themeColor="text1"/>
          <w:szCs w:val="24"/>
        </w:rPr>
      </w:pPr>
      <w:r w:rsidRPr="00D64B02">
        <w:rPr>
          <w:rFonts w:cs="Times New Roman"/>
          <w:color w:val="000000" w:themeColor="text1"/>
          <w:szCs w:val="24"/>
        </w:rPr>
        <w:t>Agricultural input subsidies are public transfers that reduce the cost of farm inputs below their market price. The most common subsidized inputs in Sub-Saharan Africa are inorganic fertilizer and improved seed, although some programs include chemicals, mechanization services, irrigation equipment, livestock inputs, or soil amendments. Subsidies can be delivered through direct government distribution, paper vouchers, electronic vouchers, price discounts, credit-linked input packages, or matching grants. Each model reflects a different balance between state control, private sector participation, and administrative capacity.</w:t>
      </w:r>
    </w:p>
    <w:p w14:paraId="5147E838" w14:textId="77777777" w:rsidR="00DF7224" w:rsidRPr="00D64B02" w:rsidRDefault="002662A3" w:rsidP="00191AA9">
      <w:pPr>
        <w:spacing w:line="240" w:lineRule="auto"/>
        <w:ind w:firstLine="720"/>
        <w:jc w:val="both"/>
        <w:rPr>
          <w:rFonts w:cs="Times New Roman"/>
          <w:color w:val="000000" w:themeColor="text1"/>
          <w:szCs w:val="24"/>
        </w:rPr>
      </w:pPr>
      <w:r w:rsidRPr="00D64B02">
        <w:rPr>
          <w:rFonts w:cs="Times New Roman"/>
          <w:color w:val="000000" w:themeColor="text1"/>
          <w:szCs w:val="24"/>
        </w:rPr>
        <w:t>The economic justification for subsidies rests mainly on market failure. Smallholder farmers may underuse fertilizer not because they are unaware of its value, but because they face cash constraints before the planting season, lack collateral for loans, or cannot obtain inputs at the right time. Input prices are often high in remote areas because transport costs are high and dealers face low, uncertain demand. Farmers may also be unwilling to risk scarce cash on fertilizer when rainfall is unpredictable, output prices are unstable, and extension advice is weak. In these conditions, a temporary subsidy can reduce risk, stimulate demand, and help farmers learn the value of improved inputs.</w:t>
      </w:r>
    </w:p>
    <w:p w14:paraId="17D974F7" w14:textId="4B81E827" w:rsidR="00DF7224" w:rsidRPr="00D64B02" w:rsidRDefault="002662A3" w:rsidP="00DF4735">
      <w:pPr>
        <w:spacing w:line="240" w:lineRule="auto"/>
        <w:ind w:firstLine="720"/>
        <w:jc w:val="both"/>
        <w:rPr>
          <w:rFonts w:cs="Times New Roman"/>
          <w:szCs w:val="24"/>
        </w:rPr>
      </w:pPr>
      <w:r w:rsidRPr="00D64B02">
        <w:rPr>
          <w:rFonts w:cs="Times New Roman"/>
          <w:color w:val="000000" w:themeColor="text1"/>
          <w:szCs w:val="24"/>
        </w:rPr>
        <w:lastRenderedPageBreak/>
        <w:t xml:space="preserve">There is also a food security rationale. Because many African farmers are net food buyers during parts of the year, low domestic production can expose rural and urban households to price shocks. Governments therefore use input subsidies to raise production of staple crops such as maize, rice, and sorghum. Malawi's Farm Input Subsidy Program became especially influential because it was linked to the country's effort to recover from food shortages and improve national self-sufficiency. Evidence from Malawi suggests that farm input support can improve welfare in vulnerable households, especially where climate stress makes production more uncertain </w:t>
      </w:r>
      <w:r w:rsidRPr="00D64B02">
        <w:rPr>
          <w:rFonts w:cs="Times New Roman"/>
          <w:szCs w:val="24"/>
        </w:rPr>
        <w:t>(Asfaw et al., 2016).</w:t>
      </w:r>
      <w:r w:rsidR="00DF4735" w:rsidRPr="00D64B02">
        <w:rPr>
          <w:rFonts w:cs="Times New Roman"/>
          <w:szCs w:val="24"/>
        </w:rPr>
        <w:t xml:space="preserve"> </w:t>
      </w:r>
      <w:r w:rsidRPr="00D64B02">
        <w:rPr>
          <w:rFonts w:cs="Times New Roman"/>
          <w:color w:val="000000" w:themeColor="text1"/>
          <w:szCs w:val="24"/>
        </w:rPr>
        <w:t xml:space="preserve">The idea of a smart subsidy attempts to address these risks. A smart subsidy should be targeted to farmers who are unlikely to buy the input commercially, should avoid crowding out private sales, should be delivered through systems that build rather than replace agro-dealer networks, and should include a graduation strategy. It should also be linked to complementary services, because fertilizer alone cannot solve all productivity constraints. Without improved agronomic practices, soil testing, organic matter management, pest control, water management, and access to output markets, the return to subsidized inputs may remain low </w:t>
      </w:r>
      <w:r w:rsidRPr="00D64B02">
        <w:rPr>
          <w:rFonts w:cs="Times New Roman"/>
          <w:b/>
          <w:szCs w:val="24"/>
        </w:rPr>
        <w:t>(Ragasa &amp; Chapoto, 2017).</w:t>
      </w:r>
    </w:p>
    <w:p w14:paraId="0C68ED6B" w14:textId="77777777" w:rsidR="00DF7224" w:rsidRPr="00D64B02" w:rsidRDefault="002662A3" w:rsidP="00CB7FB8">
      <w:pPr>
        <w:pStyle w:val="Heading1"/>
        <w:spacing w:line="240" w:lineRule="auto"/>
        <w:jc w:val="both"/>
        <w:rPr>
          <w:rFonts w:ascii="Times New Roman" w:hAnsi="Times New Roman" w:cs="Times New Roman"/>
          <w:color w:val="000000" w:themeColor="text1"/>
          <w:sz w:val="24"/>
          <w:szCs w:val="24"/>
        </w:rPr>
      </w:pPr>
      <w:r w:rsidRPr="00D64B02">
        <w:rPr>
          <w:rFonts w:ascii="Times New Roman" w:hAnsi="Times New Roman" w:cs="Times New Roman"/>
          <w:color w:val="000000" w:themeColor="text1"/>
          <w:sz w:val="24"/>
          <w:szCs w:val="24"/>
        </w:rPr>
        <w:t>3. Overview of Major Subsidy Models in Selected Countries</w:t>
      </w:r>
    </w:p>
    <w:p w14:paraId="1C022741" w14:textId="77777777" w:rsidR="006454F2" w:rsidRPr="00D64B02" w:rsidRDefault="006454F2" w:rsidP="00101EC5">
      <w:pPr>
        <w:spacing w:before="100" w:beforeAutospacing="1" w:after="100" w:afterAutospacing="1" w:line="240" w:lineRule="auto"/>
        <w:ind w:firstLine="720"/>
        <w:jc w:val="both"/>
        <w:rPr>
          <w:rFonts w:cs="Times New Roman"/>
          <w:szCs w:val="24"/>
        </w:rPr>
      </w:pPr>
      <w:r w:rsidRPr="00D64B02">
        <w:rPr>
          <w:rFonts w:cs="Times New Roman"/>
          <w:szCs w:val="24"/>
        </w:rPr>
        <w:t>Sub-Saharan African countries have used different subsidy models based on their administrative capacity, fiscal resources, political context, and agricultural priorities. The five countries reviewed in this paper show this diversity. Kenya adopted the Kilimo Plus or smart input subsidy model, which used vouchers redeemable through agro-dealers. Nigeria introduced the Growth Enhancement Scheme, which delivered electronic vouchers through mobile phones. Ghana has used both voucher-based fertilizer support and administratively fixed subsidized prices. Tanzania implemented the National Agricultural Input Voucher Scheme to support maize and rice farmers, while Malawi developed one of the largest input subsidy programs in the region.</w:t>
      </w:r>
    </w:p>
    <w:p w14:paraId="19A8A382" w14:textId="46D94FF3" w:rsidR="006454F2" w:rsidRPr="00D64B02" w:rsidRDefault="006454F2" w:rsidP="00BC7D66">
      <w:pPr>
        <w:spacing w:before="100" w:beforeAutospacing="1" w:after="100" w:afterAutospacing="1" w:line="240" w:lineRule="auto"/>
        <w:ind w:firstLine="720"/>
        <w:jc w:val="both"/>
        <w:rPr>
          <w:rFonts w:cs="Times New Roman"/>
          <w:szCs w:val="24"/>
        </w:rPr>
      </w:pPr>
      <w:r w:rsidRPr="00D64B02">
        <w:rPr>
          <w:rFonts w:cs="Times New Roman"/>
          <w:color w:val="000000"/>
          <w:szCs w:val="24"/>
        </w:rPr>
        <w:t>Kenya's Kilimo Plus model is important because it combined targeted public support with private-sector delivery. Farmers redeemed vouchers for fertilizer and improved seed through selected agro-dealers, helping to strengthen input markets rather than relying entirely on government distribution. Evidence shows that the programme increased maize yields by about 361 kg/ha among beneficiary farmers and reduced poverty depth and severity, although its impact depended on targeting quality and whether subsidised inputs replaced inputs farmers would have bought anyway (Mason et al., 2017).</w:t>
      </w:r>
    </w:p>
    <w:p w14:paraId="75958339" w14:textId="77777777" w:rsidR="006454F2" w:rsidRPr="00D64B02" w:rsidRDefault="006454F2" w:rsidP="00BC7D66">
      <w:pPr>
        <w:spacing w:before="100" w:beforeAutospacing="1" w:after="100" w:afterAutospacing="1" w:line="240" w:lineRule="auto"/>
        <w:ind w:firstLine="720"/>
        <w:jc w:val="both"/>
        <w:rPr>
          <w:rFonts w:cs="Times New Roman"/>
          <w:color w:val="000000"/>
          <w:szCs w:val="24"/>
        </w:rPr>
      </w:pPr>
      <w:r w:rsidRPr="00D64B02">
        <w:rPr>
          <w:rFonts w:cs="Times New Roman"/>
          <w:szCs w:val="24"/>
        </w:rPr>
        <w:t>Nigeria’s Growth Enhancement Scheme used an e-wallet system to send input vouchers to registered farmers through mobile phones. This approach aimed to reduce corruption in fertilizer distribution and move government away from direct procurement. Farmers used electronic messages to buy subsidized fertilizer and seed from private agro-dealers. The scheme showed how digital registration, farmer databases, and private delivery systems could improve transparency when properly managed (Benjamin et al., 2021).</w:t>
      </w:r>
    </w:p>
    <w:p w14:paraId="03D8091D" w14:textId="248794E3" w:rsidR="006454F2" w:rsidRPr="00D64B02" w:rsidRDefault="006454F2" w:rsidP="00BC7D66">
      <w:pPr>
        <w:spacing w:before="100" w:beforeAutospacing="1" w:after="100" w:afterAutospacing="1" w:line="240" w:lineRule="auto"/>
        <w:ind w:firstLine="720"/>
        <w:jc w:val="both"/>
        <w:rPr>
          <w:rFonts w:cs="Times New Roman"/>
          <w:szCs w:val="24"/>
        </w:rPr>
      </w:pPr>
      <w:r w:rsidRPr="00D64B02">
        <w:rPr>
          <w:rFonts w:cs="Times New Roman"/>
          <w:color w:val="000000"/>
          <w:szCs w:val="24"/>
        </w:rPr>
        <w:t xml:space="preserve">Ghana's fertilizer subsidy policy has focused mainly on improving maize and rice productivity. The programme has used both price discounts and vouchers. Evidence suggests that subsidies increased fertilizer use and use intensity; for maize plots in Ghana, one additional </w:t>
      </w:r>
      <w:r w:rsidRPr="00D64B02">
        <w:rPr>
          <w:rFonts w:cs="Times New Roman"/>
          <w:color w:val="000000"/>
          <w:szCs w:val="24"/>
        </w:rPr>
        <w:lastRenderedPageBreak/>
        <w:t>kilogram of nitrogen was associated with about 22 kg/ha of additional yield (Chapoto &amp; Ragasa, 2015; Ragasa &amp; Chapoto, 2017). However, productivity gains still depended on rainfall, soil fertility, output prices, and access to technical advice. This shows that fertilizer alone cannot solve broader production constraints (Ragasa &amp; Chapoto, 2017; Zakaria et al., 2021).</w:t>
      </w:r>
    </w:p>
    <w:p w14:paraId="11E24420" w14:textId="4ACF0D91" w:rsidR="006454F2" w:rsidRPr="00D64B02" w:rsidRDefault="006454F2" w:rsidP="00BC7D66">
      <w:pPr>
        <w:spacing w:before="100" w:beforeAutospacing="1" w:after="100" w:afterAutospacing="1" w:line="240" w:lineRule="auto"/>
        <w:ind w:firstLine="720"/>
        <w:jc w:val="both"/>
        <w:rPr>
          <w:rFonts w:cs="Times New Roman"/>
          <w:szCs w:val="24"/>
        </w:rPr>
      </w:pPr>
      <w:r w:rsidRPr="00D64B02">
        <w:rPr>
          <w:rFonts w:cs="Times New Roman"/>
          <w:color w:val="000000"/>
          <w:szCs w:val="24"/>
        </w:rPr>
        <w:t>Tanzania's National Agricultural Input Voucher Scheme provided smallholders with vouchers for seed and fertilizer, especially for maize and rice production. The evidence does not support a single reliable percentage yield increase across all beneficiaries. Rather, NAIVS encouraged the combined use of inorganic fertilizer with soil fertility management practices, while later evidence found no clear overall productivity increase, although households first treated in 2010 experienced positive effects on maize production and income (Kim et al., 2021; Karata, 2024). Tanzania's experience shows that subsidy outcomes are strongly influenced by targeting quality and local ecological conditions.</w:t>
      </w:r>
    </w:p>
    <w:p w14:paraId="2D49F07E" w14:textId="7B5373C6" w:rsidR="00766E87" w:rsidRPr="00D64B02" w:rsidRDefault="006454F2" w:rsidP="00BC7D66">
      <w:pPr>
        <w:spacing w:before="100" w:beforeAutospacing="1" w:after="100" w:afterAutospacing="1" w:line="240" w:lineRule="auto"/>
        <w:ind w:firstLine="720"/>
        <w:jc w:val="both"/>
        <w:rPr>
          <w:rFonts w:cs="Times New Roman"/>
          <w:szCs w:val="24"/>
        </w:rPr>
      </w:pPr>
      <w:r w:rsidRPr="00D64B02">
        <w:rPr>
          <w:rFonts w:cs="Times New Roman"/>
          <w:color w:val="000000"/>
          <w:szCs w:val="24"/>
        </w:rPr>
        <w:t>Malawi's Farm Input Subsidy Program remains one of the best-known examples in Sub-Saharan Africa. It supplied subsidised fertilizer and seed to millions of smallholders and became central to the country's food security strategy. While the programme increased maize production - with estimates showing that each additional kilogram of subsidised fertilizer raised maize output by about 1.82 kg in the current season - it also placed heavy pressure on the agricultural budget and raised concerns about targeting, crowding out, and long-term sustainability (Ricker-Gilbert &amp; Jayne, 2011).</w:t>
      </w:r>
    </w:p>
    <w:p w14:paraId="758C79A0" w14:textId="10DDB9ED" w:rsidR="00DF7224" w:rsidRPr="00D64B02" w:rsidRDefault="002662A3" w:rsidP="00CB7FB8">
      <w:pPr>
        <w:spacing w:line="240" w:lineRule="auto"/>
        <w:jc w:val="both"/>
        <w:rPr>
          <w:rFonts w:cs="Times New Roman"/>
          <w:color w:val="000000" w:themeColor="text1"/>
          <w:szCs w:val="24"/>
        </w:rPr>
      </w:pPr>
      <w:r w:rsidRPr="00D64B02">
        <w:rPr>
          <w:rFonts w:cs="Times New Roman"/>
          <w:b/>
          <w:bCs/>
          <w:color w:val="000000" w:themeColor="text1"/>
          <w:szCs w:val="24"/>
        </w:rPr>
        <w:t>Table 1</w:t>
      </w:r>
      <w:r w:rsidR="00A34271" w:rsidRPr="00D64B02">
        <w:rPr>
          <w:rFonts w:cs="Times New Roman"/>
          <w:b/>
          <w:bCs/>
          <w:color w:val="000000" w:themeColor="text1"/>
          <w:szCs w:val="24"/>
        </w:rPr>
        <w:t>.</w:t>
      </w:r>
      <w:r w:rsidR="00A34271" w:rsidRPr="00D64B02">
        <w:rPr>
          <w:rFonts w:cs="Times New Roman"/>
          <w:color w:val="000000" w:themeColor="text1"/>
          <w:szCs w:val="24"/>
        </w:rPr>
        <w:t xml:space="preserve"> </w:t>
      </w:r>
      <w:r w:rsidRPr="00D64B02">
        <w:rPr>
          <w:rFonts w:cs="Times New Roman"/>
          <w:b/>
          <w:color w:val="000000" w:themeColor="text1"/>
          <w:szCs w:val="24"/>
        </w:rPr>
        <w:t>Selected agricultural input subsidy programs in Sub-Saharan Africa</w:t>
      </w:r>
    </w:p>
    <w:tbl>
      <w:tblPr>
        <w:tblStyle w:val="TableGrid"/>
        <w:tblW w:w="0" w:type="auto"/>
        <w:jc w:val="center"/>
        <w:tblLook w:val="04A0" w:firstRow="1" w:lastRow="0" w:firstColumn="1" w:lastColumn="0" w:noHBand="0" w:noVBand="1"/>
      </w:tblPr>
      <w:tblGrid>
        <w:gridCol w:w="1872"/>
        <w:gridCol w:w="1872"/>
        <w:gridCol w:w="1872"/>
        <w:gridCol w:w="1872"/>
        <w:gridCol w:w="1872"/>
      </w:tblGrid>
      <w:tr w:rsidR="004C21DA" w:rsidRPr="00D64B02" w14:paraId="243235F3" w14:textId="77777777">
        <w:trPr>
          <w:jc w:val="center"/>
        </w:trPr>
        <w:tc>
          <w:tcPr>
            <w:tcW w:w="1872" w:type="dxa"/>
          </w:tcPr>
          <w:p w14:paraId="2922ED15" w14:textId="77777777" w:rsidR="00DF7224" w:rsidRPr="00D64B02" w:rsidRDefault="002662A3" w:rsidP="00CB7FB8">
            <w:pPr>
              <w:jc w:val="both"/>
              <w:rPr>
                <w:rFonts w:cs="Times New Roman"/>
                <w:b/>
                <w:bCs/>
                <w:color w:val="000000" w:themeColor="text1"/>
                <w:szCs w:val="24"/>
              </w:rPr>
            </w:pPr>
            <w:r w:rsidRPr="00D64B02">
              <w:rPr>
                <w:rFonts w:cs="Times New Roman"/>
                <w:b/>
                <w:bCs/>
                <w:color w:val="000000" w:themeColor="text1"/>
                <w:szCs w:val="24"/>
              </w:rPr>
              <w:t>Country</w:t>
            </w:r>
          </w:p>
        </w:tc>
        <w:tc>
          <w:tcPr>
            <w:tcW w:w="1872" w:type="dxa"/>
          </w:tcPr>
          <w:p w14:paraId="3BEDFF25" w14:textId="77777777" w:rsidR="00DF7224" w:rsidRPr="00D64B02" w:rsidRDefault="002662A3" w:rsidP="00CB7FB8">
            <w:pPr>
              <w:jc w:val="both"/>
              <w:rPr>
                <w:rFonts w:cs="Times New Roman"/>
                <w:b/>
                <w:bCs/>
                <w:color w:val="000000" w:themeColor="text1"/>
                <w:szCs w:val="24"/>
              </w:rPr>
            </w:pPr>
            <w:r w:rsidRPr="00D64B02">
              <w:rPr>
                <w:rFonts w:cs="Times New Roman"/>
                <w:b/>
                <w:bCs/>
                <w:color w:val="000000" w:themeColor="text1"/>
                <w:szCs w:val="24"/>
              </w:rPr>
              <w:t>Program or model</w:t>
            </w:r>
          </w:p>
        </w:tc>
        <w:tc>
          <w:tcPr>
            <w:tcW w:w="1872" w:type="dxa"/>
          </w:tcPr>
          <w:p w14:paraId="3461F0FB" w14:textId="77777777" w:rsidR="00DF7224" w:rsidRPr="00D64B02" w:rsidRDefault="002662A3" w:rsidP="00CB7FB8">
            <w:pPr>
              <w:jc w:val="both"/>
              <w:rPr>
                <w:rFonts w:cs="Times New Roman"/>
                <w:b/>
                <w:bCs/>
                <w:color w:val="000000" w:themeColor="text1"/>
                <w:szCs w:val="24"/>
              </w:rPr>
            </w:pPr>
            <w:r w:rsidRPr="00D64B02">
              <w:rPr>
                <w:rFonts w:cs="Times New Roman"/>
                <w:b/>
                <w:bCs/>
                <w:color w:val="000000" w:themeColor="text1"/>
                <w:szCs w:val="24"/>
              </w:rPr>
              <w:t>Main inputs subsidized</w:t>
            </w:r>
          </w:p>
        </w:tc>
        <w:tc>
          <w:tcPr>
            <w:tcW w:w="1872" w:type="dxa"/>
          </w:tcPr>
          <w:p w14:paraId="2C668C0D" w14:textId="77777777" w:rsidR="00DF7224" w:rsidRPr="00D64B02" w:rsidRDefault="002662A3" w:rsidP="00CB7FB8">
            <w:pPr>
              <w:jc w:val="both"/>
              <w:rPr>
                <w:rFonts w:cs="Times New Roman"/>
                <w:b/>
                <w:bCs/>
                <w:color w:val="000000" w:themeColor="text1"/>
                <w:szCs w:val="24"/>
              </w:rPr>
            </w:pPr>
            <w:r w:rsidRPr="00D64B02">
              <w:rPr>
                <w:rFonts w:cs="Times New Roman"/>
                <w:b/>
                <w:bCs/>
                <w:color w:val="000000" w:themeColor="text1"/>
                <w:szCs w:val="24"/>
              </w:rPr>
              <w:t>Delivery approach</w:t>
            </w:r>
          </w:p>
        </w:tc>
        <w:tc>
          <w:tcPr>
            <w:tcW w:w="1872" w:type="dxa"/>
          </w:tcPr>
          <w:p w14:paraId="75179168" w14:textId="77777777" w:rsidR="00DF7224" w:rsidRPr="00D64B02" w:rsidRDefault="002662A3" w:rsidP="00CB7FB8">
            <w:pPr>
              <w:jc w:val="both"/>
              <w:rPr>
                <w:rFonts w:cs="Times New Roman"/>
                <w:b/>
                <w:bCs/>
                <w:color w:val="000000" w:themeColor="text1"/>
                <w:szCs w:val="24"/>
              </w:rPr>
            </w:pPr>
            <w:r w:rsidRPr="00D64B02">
              <w:rPr>
                <w:rFonts w:cs="Times New Roman"/>
                <w:b/>
                <w:bCs/>
                <w:color w:val="000000" w:themeColor="text1"/>
                <w:szCs w:val="24"/>
              </w:rPr>
              <w:t>Major policy lesson</w:t>
            </w:r>
          </w:p>
        </w:tc>
      </w:tr>
      <w:tr w:rsidR="004C21DA" w:rsidRPr="00D64B02" w14:paraId="485FFAE3" w14:textId="77777777">
        <w:trPr>
          <w:jc w:val="center"/>
        </w:trPr>
        <w:tc>
          <w:tcPr>
            <w:tcW w:w="1872" w:type="dxa"/>
          </w:tcPr>
          <w:p w14:paraId="354C65CC" w14:textId="77777777" w:rsidR="00DF7224" w:rsidRPr="00D64B02" w:rsidRDefault="002662A3" w:rsidP="00CB7FB8">
            <w:pPr>
              <w:jc w:val="both"/>
              <w:rPr>
                <w:rFonts w:cs="Times New Roman"/>
                <w:color w:val="000000" w:themeColor="text1"/>
                <w:szCs w:val="24"/>
              </w:rPr>
            </w:pPr>
            <w:r w:rsidRPr="00D64B02">
              <w:rPr>
                <w:rFonts w:cs="Times New Roman"/>
                <w:color w:val="000000" w:themeColor="text1"/>
                <w:szCs w:val="24"/>
              </w:rPr>
              <w:t>Kenya</w:t>
            </w:r>
          </w:p>
        </w:tc>
        <w:tc>
          <w:tcPr>
            <w:tcW w:w="1872" w:type="dxa"/>
          </w:tcPr>
          <w:p w14:paraId="4EEA17A1" w14:textId="77777777" w:rsidR="00DF7224" w:rsidRPr="00D64B02" w:rsidRDefault="002662A3" w:rsidP="00CB7FB8">
            <w:pPr>
              <w:jc w:val="both"/>
              <w:rPr>
                <w:rFonts w:cs="Times New Roman"/>
                <w:color w:val="000000" w:themeColor="text1"/>
                <w:szCs w:val="24"/>
              </w:rPr>
            </w:pPr>
            <w:r w:rsidRPr="00D64B02">
              <w:rPr>
                <w:rFonts w:cs="Times New Roman"/>
                <w:color w:val="000000" w:themeColor="text1"/>
                <w:szCs w:val="24"/>
              </w:rPr>
              <w:t>Kilimo Plus / smart input subsidy</w:t>
            </w:r>
          </w:p>
        </w:tc>
        <w:tc>
          <w:tcPr>
            <w:tcW w:w="1872" w:type="dxa"/>
          </w:tcPr>
          <w:p w14:paraId="05995123" w14:textId="77777777" w:rsidR="00DF7224" w:rsidRPr="00D64B02" w:rsidRDefault="002662A3" w:rsidP="00CB7FB8">
            <w:pPr>
              <w:jc w:val="both"/>
              <w:rPr>
                <w:rFonts w:cs="Times New Roman"/>
                <w:color w:val="000000" w:themeColor="text1"/>
                <w:szCs w:val="24"/>
              </w:rPr>
            </w:pPr>
            <w:r w:rsidRPr="00D64B02">
              <w:rPr>
                <w:rFonts w:cs="Times New Roman"/>
                <w:color w:val="000000" w:themeColor="text1"/>
                <w:szCs w:val="24"/>
              </w:rPr>
              <w:t>Fertilizer and improved maize seed</w:t>
            </w:r>
          </w:p>
        </w:tc>
        <w:tc>
          <w:tcPr>
            <w:tcW w:w="1872" w:type="dxa"/>
          </w:tcPr>
          <w:p w14:paraId="65CA506D" w14:textId="77777777" w:rsidR="00DF7224" w:rsidRPr="00D64B02" w:rsidRDefault="002662A3" w:rsidP="00CB7FB8">
            <w:pPr>
              <w:jc w:val="both"/>
              <w:rPr>
                <w:rFonts w:cs="Times New Roman"/>
                <w:color w:val="000000" w:themeColor="text1"/>
                <w:szCs w:val="24"/>
              </w:rPr>
            </w:pPr>
            <w:r w:rsidRPr="00D64B02">
              <w:rPr>
                <w:rFonts w:cs="Times New Roman"/>
                <w:color w:val="000000" w:themeColor="text1"/>
                <w:szCs w:val="24"/>
              </w:rPr>
              <w:t>Paper voucher redeemed through agro-dealers</w:t>
            </w:r>
          </w:p>
        </w:tc>
        <w:tc>
          <w:tcPr>
            <w:tcW w:w="1872" w:type="dxa"/>
          </w:tcPr>
          <w:p w14:paraId="1D7C65F4" w14:textId="77777777" w:rsidR="00DF7224" w:rsidRPr="00D64B02" w:rsidRDefault="002662A3" w:rsidP="00CB7FB8">
            <w:pPr>
              <w:jc w:val="both"/>
              <w:rPr>
                <w:rFonts w:cs="Times New Roman"/>
                <w:color w:val="000000" w:themeColor="text1"/>
                <w:szCs w:val="24"/>
              </w:rPr>
            </w:pPr>
            <w:r w:rsidRPr="00D64B02">
              <w:rPr>
                <w:rFonts w:cs="Times New Roman"/>
                <w:color w:val="000000" w:themeColor="text1"/>
                <w:szCs w:val="24"/>
              </w:rPr>
              <w:t>Private agro-dealer involvement can support market development when targeting is credible.</w:t>
            </w:r>
          </w:p>
        </w:tc>
      </w:tr>
      <w:tr w:rsidR="004C21DA" w:rsidRPr="00D64B02" w14:paraId="7A2E2411" w14:textId="77777777">
        <w:trPr>
          <w:jc w:val="center"/>
        </w:trPr>
        <w:tc>
          <w:tcPr>
            <w:tcW w:w="1872" w:type="dxa"/>
          </w:tcPr>
          <w:p w14:paraId="2528A79D" w14:textId="77777777" w:rsidR="00DF7224" w:rsidRPr="00D64B02" w:rsidRDefault="002662A3" w:rsidP="00CB7FB8">
            <w:pPr>
              <w:jc w:val="both"/>
              <w:rPr>
                <w:rFonts w:cs="Times New Roman"/>
                <w:color w:val="000000" w:themeColor="text1"/>
                <w:szCs w:val="24"/>
              </w:rPr>
            </w:pPr>
            <w:r w:rsidRPr="00D64B02">
              <w:rPr>
                <w:rFonts w:cs="Times New Roman"/>
                <w:color w:val="000000" w:themeColor="text1"/>
                <w:szCs w:val="24"/>
              </w:rPr>
              <w:t>Nigeria</w:t>
            </w:r>
          </w:p>
        </w:tc>
        <w:tc>
          <w:tcPr>
            <w:tcW w:w="1872" w:type="dxa"/>
          </w:tcPr>
          <w:p w14:paraId="23B30103" w14:textId="77777777" w:rsidR="00DF7224" w:rsidRPr="00D64B02" w:rsidRDefault="002662A3" w:rsidP="00CB7FB8">
            <w:pPr>
              <w:jc w:val="both"/>
              <w:rPr>
                <w:rFonts w:cs="Times New Roman"/>
                <w:color w:val="000000" w:themeColor="text1"/>
                <w:szCs w:val="24"/>
              </w:rPr>
            </w:pPr>
            <w:r w:rsidRPr="00D64B02">
              <w:rPr>
                <w:rFonts w:cs="Times New Roman"/>
                <w:color w:val="000000" w:themeColor="text1"/>
                <w:szCs w:val="24"/>
              </w:rPr>
              <w:t>Growth Enhancement Scheme / e-wallet</w:t>
            </w:r>
          </w:p>
        </w:tc>
        <w:tc>
          <w:tcPr>
            <w:tcW w:w="1872" w:type="dxa"/>
          </w:tcPr>
          <w:p w14:paraId="253A94CD" w14:textId="77777777" w:rsidR="00DF7224" w:rsidRPr="00D64B02" w:rsidRDefault="002662A3" w:rsidP="00CB7FB8">
            <w:pPr>
              <w:jc w:val="both"/>
              <w:rPr>
                <w:rFonts w:cs="Times New Roman"/>
                <w:color w:val="000000" w:themeColor="text1"/>
                <w:szCs w:val="24"/>
              </w:rPr>
            </w:pPr>
            <w:r w:rsidRPr="00D64B02">
              <w:rPr>
                <w:rFonts w:cs="Times New Roman"/>
                <w:color w:val="000000" w:themeColor="text1"/>
                <w:szCs w:val="24"/>
              </w:rPr>
              <w:t>Fertilizer, seed, and selected crop inputs</w:t>
            </w:r>
          </w:p>
        </w:tc>
        <w:tc>
          <w:tcPr>
            <w:tcW w:w="1872" w:type="dxa"/>
          </w:tcPr>
          <w:p w14:paraId="536B459A" w14:textId="77777777" w:rsidR="00DF7224" w:rsidRPr="00D64B02" w:rsidRDefault="002662A3" w:rsidP="00CB7FB8">
            <w:pPr>
              <w:jc w:val="both"/>
              <w:rPr>
                <w:rFonts w:cs="Times New Roman"/>
                <w:color w:val="000000" w:themeColor="text1"/>
                <w:szCs w:val="24"/>
              </w:rPr>
            </w:pPr>
            <w:r w:rsidRPr="00D64B02">
              <w:rPr>
                <w:rFonts w:cs="Times New Roman"/>
                <w:color w:val="000000" w:themeColor="text1"/>
                <w:szCs w:val="24"/>
              </w:rPr>
              <w:t>Electronic voucher delivered by mobile phone</w:t>
            </w:r>
          </w:p>
        </w:tc>
        <w:tc>
          <w:tcPr>
            <w:tcW w:w="1872" w:type="dxa"/>
          </w:tcPr>
          <w:p w14:paraId="555A0993" w14:textId="77777777" w:rsidR="00DF7224" w:rsidRPr="00D64B02" w:rsidRDefault="002662A3" w:rsidP="00CB7FB8">
            <w:pPr>
              <w:jc w:val="both"/>
              <w:rPr>
                <w:rFonts w:cs="Times New Roman"/>
                <w:color w:val="000000" w:themeColor="text1"/>
                <w:szCs w:val="24"/>
              </w:rPr>
            </w:pPr>
            <w:r w:rsidRPr="00D64B02">
              <w:rPr>
                <w:rFonts w:cs="Times New Roman"/>
                <w:color w:val="000000" w:themeColor="text1"/>
                <w:szCs w:val="24"/>
              </w:rPr>
              <w:t>Digital systems can reduce leakage, but they require reliable registration and rural connectivity.</w:t>
            </w:r>
          </w:p>
        </w:tc>
      </w:tr>
      <w:tr w:rsidR="004C21DA" w:rsidRPr="00D64B02" w14:paraId="74E43730" w14:textId="77777777">
        <w:trPr>
          <w:jc w:val="center"/>
        </w:trPr>
        <w:tc>
          <w:tcPr>
            <w:tcW w:w="1872" w:type="dxa"/>
          </w:tcPr>
          <w:p w14:paraId="572A8DF2" w14:textId="77777777" w:rsidR="00DF7224" w:rsidRPr="00D64B02" w:rsidRDefault="002662A3" w:rsidP="00CB7FB8">
            <w:pPr>
              <w:jc w:val="both"/>
              <w:rPr>
                <w:rFonts w:cs="Times New Roman"/>
                <w:color w:val="000000" w:themeColor="text1"/>
                <w:szCs w:val="24"/>
              </w:rPr>
            </w:pPr>
            <w:r w:rsidRPr="00D64B02">
              <w:rPr>
                <w:rFonts w:cs="Times New Roman"/>
                <w:color w:val="000000" w:themeColor="text1"/>
                <w:szCs w:val="24"/>
              </w:rPr>
              <w:t>Ghana</w:t>
            </w:r>
          </w:p>
        </w:tc>
        <w:tc>
          <w:tcPr>
            <w:tcW w:w="1872" w:type="dxa"/>
          </w:tcPr>
          <w:p w14:paraId="16945ACD" w14:textId="77777777" w:rsidR="00DF7224" w:rsidRPr="00D64B02" w:rsidRDefault="002662A3" w:rsidP="00CB7FB8">
            <w:pPr>
              <w:jc w:val="both"/>
              <w:rPr>
                <w:rFonts w:cs="Times New Roman"/>
                <w:color w:val="000000" w:themeColor="text1"/>
                <w:szCs w:val="24"/>
              </w:rPr>
            </w:pPr>
            <w:r w:rsidRPr="00D64B02">
              <w:rPr>
                <w:rFonts w:cs="Times New Roman"/>
                <w:color w:val="000000" w:themeColor="text1"/>
                <w:szCs w:val="24"/>
              </w:rPr>
              <w:t>Fertilizer subsidy program</w:t>
            </w:r>
          </w:p>
        </w:tc>
        <w:tc>
          <w:tcPr>
            <w:tcW w:w="1872" w:type="dxa"/>
          </w:tcPr>
          <w:p w14:paraId="546C34CD" w14:textId="77777777" w:rsidR="00DF7224" w:rsidRPr="00D64B02" w:rsidRDefault="002662A3" w:rsidP="00CB7FB8">
            <w:pPr>
              <w:jc w:val="both"/>
              <w:rPr>
                <w:rFonts w:cs="Times New Roman"/>
                <w:color w:val="000000" w:themeColor="text1"/>
                <w:szCs w:val="24"/>
              </w:rPr>
            </w:pPr>
            <w:r w:rsidRPr="00D64B02">
              <w:rPr>
                <w:rFonts w:cs="Times New Roman"/>
                <w:color w:val="000000" w:themeColor="text1"/>
                <w:szCs w:val="24"/>
              </w:rPr>
              <w:t>Mainly fertilizer for maize, rice, and other staples</w:t>
            </w:r>
          </w:p>
        </w:tc>
        <w:tc>
          <w:tcPr>
            <w:tcW w:w="1872" w:type="dxa"/>
          </w:tcPr>
          <w:p w14:paraId="56327D81" w14:textId="77777777" w:rsidR="00DF7224" w:rsidRPr="00D64B02" w:rsidRDefault="002662A3" w:rsidP="00CB7FB8">
            <w:pPr>
              <w:jc w:val="both"/>
              <w:rPr>
                <w:rFonts w:cs="Times New Roman"/>
                <w:color w:val="000000" w:themeColor="text1"/>
                <w:szCs w:val="24"/>
              </w:rPr>
            </w:pPr>
            <w:r w:rsidRPr="00D64B02">
              <w:rPr>
                <w:rFonts w:cs="Times New Roman"/>
                <w:color w:val="000000" w:themeColor="text1"/>
                <w:szCs w:val="24"/>
              </w:rPr>
              <w:t>Price discount and voucher-based arrangements over time</w:t>
            </w:r>
          </w:p>
        </w:tc>
        <w:tc>
          <w:tcPr>
            <w:tcW w:w="1872" w:type="dxa"/>
          </w:tcPr>
          <w:p w14:paraId="6A05A051" w14:textId="77777777" w:rsidR="00DF7224" w:rsidRPr="00D64B02" w:rsidRDefault="002662A3" w:rsidP="00CB7FB8">
            <w:pPr>
              <w:jc w:val="both"/>
              <w:rPr>
                <w:rFonts w:cs="Times New Roman"/>
                <w:color w:val="000000" w:themeColor="text1"/>
                <w:szCs w:val="24"/>
              </w:rPr>
            </w:pPr>
            <w:r w:rsidRPr="00D64B02">
              <w:rPr>
                <w:rFonts w:cs="Times New Roman"/>
                <w:color w:val="000000" w:themeColor="text1"/>
                <w:szCs w:val="24"/>
              </w:rPr>
              <w:t xml:space="preserve">Subsidy effects depend strongly on soil fertility, extension, and output market </w:t>
            </w:r>
            <w:r w:rsidRPr="00D64B02">
              <w:rPr>
                <w:rFonts w:cs="Times New Roman"/>
                <w:color w:val="000000" w:themeColor="text1"/>
                <w:szCs w:val="24"/>
              </w:rPr>
              <w:lastRenderedPageBreak/>
              <w:t>conditions.</w:t>
            </w:r>
          </w:p>
        </w:tc>
      </w:tr>
      <w:tr w:rsidR="004C21DA" w:rsidRPr="00D64B02" w14:paraId="2F8D299B" w14:textId="77777777">
        <w:trPr>
          <w:jc w:val="center"/>
        </w:trPr>
        <w:tc>
          <w:tcPr>
            <w:tcW w:w="1872" w:type="dxa"/>
          </w:tcPr>
          <w:p w14:paraId="72261EA0" w14:textId="77777777" w:rsidR="00DF7224" w:rsidRPr="00D64B02" w:rsidRDefault="002662A3" w:rsidP="00CB7FB8">
            <w:pPr>
              <w:jc w:val="both"/>
              <w:rPr>
                <w:rFonts w:cs="Times New Roman"/>
                <w:color w:val="000000" w:themeColor="text1"/>
                <w:szCs w:val="24"/>
              </w:rPr>
            </w:pPr>
            <w:r w:rsidRPr="00D64B02">
              <w:rPr>
                <w:rFonts w:cs="Times New Roman"/>
                <w:color w:val="000000" w:themeColor="text1"/>
                <w:szCs w:val="24"/>
              </w:rPr>
              <w:lastRenderedPageBreak/>
              <w:t>Tanzania</w:t>
            </w:r>
          </w:p>
        </w:tc>
        <w:tc>
          <w:tcPr>
            <w:tcW w:w="1872" w:type="dxa"/>
          </w:tcPr>
          <w:p w14:paraId="3B71D96F" w14:textId="77777777" w:rsidR="00DF7224" w:rsidRPr="00D64B02" w:rsidRDefault="002662A3" w:rsidP="00CB7FB8">
            <w:pPr>
              <w:jc w:val="both"/>
              <w:rPr>
                <w:rFonts w:cs="Times New Roman"/>
                <w:color w:val="000000" w:themeColor="text1"/>
                <w:szCs w:val="24"/>
              </w:rPr>
            </w:pPr>
            <w:r w:rsidRPr="00D64B02">
              <w:rPr>
                <w:rFonts w:cs="Times New Roman"/>
                <w:color w:val="000000" w:themeColor="text1"/>
                <w:szCs w:val="24"/>
              </w:rPr>
              <w:t>National Agricultural Input Voucher Scheme</w:t>
            </w:r>
          </w:p>
        </w:tc>
        <w:tc>
          <w:tcPr>
            <w:tcW w:w="1872" w:type="dxa"/>
          </w:tcPr>
          <w:p w14:paraId="19AF542A" w14:textId="77777777" w:rsidR="00DF7224" w:rsidRPr="00D64B02" w:rsidRDefault="002662A3" w:rsidP="00CB7FB8">
            <w:pPr>
              <w:jc w:val="both"/>
              <w:rPr>
                <w:rFonts w:cs="Times New Roman"/>
                <w:color w:val="000000" w:themeColor="text1"/>
                <w:szCs w:val="24"/>
              </w:rPr>
            </w:pPr>
            <w:r w:rsidRPr="00D64B02">
              <w:rPr>
                <w:rFonts w:cs="Times New Roman"/>
                <w:color w:val="000000" w:themeColor="text1"/>
                <w:szCs w:val="24"/>
              </w:rPr>
              <w:t>Fertilizer and improved seed for maize and rice</w:t>
            </w:r>
          </w:p>
        </w:tc>
        <w:tc>
          <w:tcPr>
            <w:tcW w:w="1872" w:type="dxa"/>
          </w:tcPr>
          <w:p w14:paraId="763C84C1" w14:textId="77777777" w:rsidR="00DF7224" w:rsidRPr="00D64B02" w:rsidRDefault="002662A3" w:rsidP="00CB7FB8">
            <w:pPr>
              <w:jc w:val="both"/>
              <w:rPr>
                <w:rFonts w:cs="Times New Roman"/>
                <w:color w:val="000000" w:themeColor="text1"/>
                <w:szCs w:val="24"/>
              </w:rPr>
            </w:pPr>
            <w:r w:rsidRPr="00D64B02">
              <w:rPr>
                <w:rFonts w:cs="Times New Roman"/>
                <w:color w:val="000000" w:themeColor="text1"/>
                <w:szCs w:val="24"/>
              </w:rPr>
              <w:t>Input voucher package for selected smallholders</w:t>
            </w:r>
          </w:p>
        </w:tc>
        <w:tc>
          <w:tcPr>
            <w:tcW w:w="1872" w:type="dxa"/>
          </w:tcPr>
          <w:p w14:paraId="0ABDD47B" w14:textId="77777777" w:rsidR="00DF7224" w:rsidRPr="00D64B02" w:rsidRDefault="002662A3" w:rsidP="00CB7FB8">
            <w:pPr>
              <w:jc w:val="both"/>
              <w:rPr>
                <w:rFonts w:cs="Times New Roman"/>
                <w:color w:val="000000" w:themeColor="text1"/>
                <w:szCs w:val="24"/>
              </w:rPr>
            </w:pPr>
            <w:r w:rsidRPr="00D64B02">
              <w:rPr>
                <w:rFonts w:cs="Times New Roman"/>
                <w:color w:val="000000" w:themeColor="text1"/>
                <w:szCs w:val="24"/>
              </w:rPr>
              <w:t>Ecological variation and late delivery can limit yield response.</w:t>
            </w:r>
          </w:p>
        </w:tc>
      </w:tr>
      <w:tr w:rsidR="004C21DA" w:rsidRPr="00D64B02" w14:paraId="793178A2" w14:textId="77777777">
        <w:trPr>
          <w:jc w:val="center"/>
        </w:trPr>
        <w:tc>
          <w:tcPr>
            <w:tcW w:w="1872" w:type="dxa"/>
          </w:tcPr>
          <w:p w14:paraId="5581FE9E" w14:textId="77777777" w:rsidR="00DF7224" w:rsidRPr="00D64B02" w:rsidRDefault="002662A3" w:rsidP="00CB7FB8">
            <w:pPr>
              <w:jc w:val="both"/>
              <w:rPr>
                <w:rFonts w:cs="Times New Roman"/>
                <w:color w:val="000000" w:themeColor="text1"/>
                <w:szCs w:val="24"/>
              </w:rPr>
            </w:pPr>
            <w:r w:rsidRPr="00D64B02">
              <w:rPr>
                <w:rFonts w:cs="Times New Roman"/>
                <w:color w:val="000000" w:themeColor="text1"/>
                <w:szCs w:val="24"/>
              </w:rPr>
              <w:t>Malawi</w:t>
            </w:r>
          </w:p>
        </w:tc>
        <w:tc>
          <w:tcPr>
            <w:tcW w:w="1872" w:type="dxa"/>
          </w:tcPr>
          <w:p w14:paraId="7711CF08" w14:textId="77777777" w:rsidR="00DF7224" w:rsidRPr="00D64B02" w:rsidRDefault="002662A3" w:rsidP="00CB7FB8">
            <w:pPr>
              <w:jc w:val="both"/>
              <w:rPr>
                <w:rFonts w:cs="Times New Roman"/>
                <w:color w:val="000000" w:themeColor="text1"/>
                <w:szCs w:val="24"/>
              </w:rPr>
            </w:pPr>
            <w:r w:rsidRPr="00D64B02">
              <w:rPr>
                <w:rFonts w:cs="Times New Roman"/>
                <w:color w:val="000000" w:themeColor="text1"/>
                <w:szCs w:val="24"/>
              </w:rPr>
              <w:t>Farm Input Subsidy Program</w:t>
            </w:r>
          </w:p>
        </w:tc>
        <w:tc>
          <w:tcPr>
            <w:tcW w:w="1872" w:type="dxa"/>
          </w:tcPr>
          <w:p w14:paraId="01406BBB" w14:textId="77777777" w:rsidR="00DF7224" w:rsidRPr="00D64B02" w:rsidRDefault="002662A3" w:rsidP="00CB7FB8">
            <w:pPr>
              <w:jc w:val="both"/>
              <w:rPr>
                <w:rFonts w:cs="Times New Roman"/>
                <w:color w:val="000000" w:themeColor="text1"/>
                <w:szCs w:val="24"/>
              </w:rPr>
            </w:pPr>
            <w:r w:rsidRPr="00D64B02">
              <w:rPr>
                <w:rFonts w:cs="Times New Roman"/>
                <w:color w:val="000000" w:themeColor="text1"/>
                <w:szCs w:val="24"/>
              </w:rPr>
              <w:t>Fertilizer and maize/legume seed</w:t>
            </w:r>
          </w:p>
        </w:tc>
        <w:tc>
          <w:tcPr>
            <w:tcW w:w="1872" w:type="dxa"/>
          </w:tcPr>
          <w:p w14:paraId="1F71A84C" w14:textId="77777777" w:rsidR="00DF7224" w:rsidRPr="00D64B02" w:rsidRDefault="002662A3" w:rsidP="00CB7FB8">
            <w:pPr>
              <w:jc w:val="both"/>
              <w:rPr>
                <w:rFonts w:cs="Times New Roman"/>
                <w:color w:val="000000" w:themeColor="text1"/>
                <w:szCs w:val="24"/>
              </w:rPr>
            </w:pPr>
            <w:r w:rsidRPr="00D64B02">
              <w:rPr>
                <w:rFonts w:cs="Times New Roman"/>
                <w:color w:val="000000" w:themeColor="text1"/>
                <w:szCs w:val="24"/>
              </w:rPr>
              <w:t>Large-scale subsidized input distribution</w:t>
            </w:r>
          </w:p>
        </w:tc>
        <w:tc>
          <w:tcPr>
            <w:tcW w:w="1872" w:type="dxa"/>
          </w:tcPr>
          <w:p w14:paraId="66522A66" w14:textId="77777777" w:rsidR="00DF7224" w:rsidRPr="00D64B02" w:rsidRDefault="002662A3" w:rsidP="00CB7FB8">
            <w:pPr>
              <w:jc w:val="both"/>
              <w:rPr>
                <w:rFonts w:cs="Times New Roman"/>
                <w:color w:val="000000" w:themeColor="text1"/>
                <w:szCs w:val="24"/>
              </w:rPr>
            </w:pPr>
            <w:r w:rsidRPr="00D64B02">
              <w:rPr>
                <w:rFonts w:cs="Times New Roman"/>
                <w:color w:val="000000" w:themeColor="text1"/>
                <w:szCs w:val="24"/>
              </w:rPr>
              <w:t>Large programs can raise food production but may strain public budgets and crowd out other investments.</w:t>
            </w:r>
          </w:p>
        </w:tc>
      </w:tr>
    </w:tbl>
    <w:p w14:paraId="79EDE4D2" w14:textId="77777777" w:rsidR="00DF7224" w:rsidRPr="00D64B02" w:rsidRDefault="002662A3" w:rsidP="00CB7FB8">
      <w:pPr>
        <w:pStyle w:val="Heading1"/>
        <w:spacing w:line="240" w:lineRule="auto"/>
        <w:jc w:val="both"/>
        <w:rPr>
          <w:rFonts w:ascii="Times New Roman" w:hAnsi="Times New Roman" w:cs="Times New Roman"/>
          <w:color w:val="000000" w:themeColor="text1"/>
          <w:sz w:val="24"/>
          <w:szCs w:val="24"/>
        </w:rPr>
      </w:pPr>
      <w:r w:rsidRPr="00D64B02">
        <w:rPr>
          <w:rFonts w:ascii="Times New Roman" w:hAnsi="Times New Roman" w:cs="Times New Roman"/>
          <w:color w:val="000000" w:themeColor="text1"/>
          <w:sz w:val="24"/>
          <w:szCs w:val="24"/>
        </w:rPr>
        <w:t>4. Implementation Challenges</w:t>
      </w:r>
    </w:p>
    <w:p w14:paraId="367043CD" w14:textId="77777777" w:rsidR="00DF7224" w:rsidRPr="00D64B02" w:rsidRDefault="002662A3" w:rsidP="00BC7D66">
      <w:pPr>
        <w:spacing w:line="240" w:lineRule="auto"/>
        <w:ind w:firstLine="720"/>
        <w:jc w:val="both"/>
        <w:rPr>
          <w:rFonts w:cs="Times New Roman"/>
          <w:color w:val="000000" w:themeColor="text1"/>
          <w:szCs w:val="24"/>
        </w:rPr>
      </w:pPr>
      <w:r w:rsidRPr="00D64B02">
        <w:rPr>
          <w:rFonts w:cs="Times New Roman"/>
          <w:color w:val="000000" w:themeColor="text1"/>
          <w:szCs w:val="24"/>
        </w:rPr>
        <w:t xml:space="preserve">Although subsidy programs differ by country, the main implementation challenges are remarkably similar. The first and most persistent problem is targeting. A subsidy achieves the highest additional impact when it reaches farmers who would not otherwise buy the input. In practice, however, beneficiary lists are often shaped by local power relations, limited data, and political bargaining. Better-connected farmers may receive vouchers ahead of poorer households, while women, youth, tenant farmers, and remote communities may be underrepresented. In Tanzania and Ghana, program benefits have often been uneven because farmers with better information, stronger group membership, or greater ability to co-finance input purchases were more likely to participate </w:t>
      </w:r>
      <w:r w:rsidRPr="00D64B02">
        <w:rPr>
          <w:rFonts w:cs="Times New Roman"/>
          <w:szCs w:val="24"/>
        </w:rPr>
        <w:t>(Kim et al., 2021; Zakaria et al., 2021).</w:t>
      </w:r>
    </w:p>
    <w:p w14:paraId="0BE5DE87" w14:textId="77777777" w:rsidR="00DF7224" w:rsidRPr="00D64B02" w:rsidRDefault="002662A3" w:rsidP="00BC7D66">
      <w:pPr>
        <w:spacing w:line="240" w:lineRule="auto"/>
        <w:ind w:firstLine="720"/>
        <w:jc w:val="both"/>
        <w:rPr>
          <w:rFonts w:cs="Times New Roman"/>
          <w:color w:val="000000" w:themeColor="text1"/>
          <w:szCs w:val="24"/>
        </w:rPr>
      </w:pPr>
      <w:r w:rsidRPr="00D64B02">
        <w:rPr>
          <w:rFonts w:cs="Times New Roman"/>
          <w:color w:val="000000" w:themeColor="text1"/>
          <w:szCs w:val="24"/>
        </w:rPr>
        <w:t xml:space="preserve">Second, leakage and diversion reduce the amount of public support that actually reaches farmers. Leakage can occur when subsidized fertilizer is resold, captured by intermediaries, moved across borders, or claimed by ghost beneficiaries. Electronic systems can reduce some leakage by creating digital records, but they do not automatically solve the problem. Nigeria's e-wallet approach improved the visibility of transactions, yet implementation still depended on accurate farmer registration, reliable mobile networks, and the capacity of agro-dealers to stock inputs on </w:t>
      </w:r>
      <w:r w:rsidRPr="00D64B02">
        <w:rPr>
          <w:rFonts w:cs="Times New Roman"/>
          <w:szCs w:val="24"/>
        </w:rPr>
        <w:t>time (Benjamin et al., 2021).</w:t>
      </w:r>
    </w:p>
    <w:p w14:paraId="0C96865C" w14:textId="77777777" w:rsidR="00DF7224" w:rsidRPr="00D64B02" w:rsidRDefault="002662A3" w:rsidP="00BC7D66">
      <w:pPr>
        <w:spacing w:line="240" w:lineRule="auto"/>
        <w:ind w:firstLine="720"/>
        <w:jc w:val="both"/>
        <w:rPr>
          <w:rFonts w:cs="Times New Roman"/>
          <w:color w:val="000000" w:themeColor="text1"/>
          <w:szCs w:val="24"/>
        </w:rPr>
      </w:pPr>
      <w:r w:rsidRPr="00D64B02">
        <w:rPr>
          <w:rFonts w:cs="Times New Roman"/>
          <w:color w:val="000000" w:themeColor="text1"/>
          <w:szCs w:val="24"/>
        </w:rPr>
        <w:t>Third, late delivery weakens agronomic effectiveness. Fertilizer and seed must arrive before or early in the planting season. When inputs arrive late, farmers may apply fertilizer after the crop has passed the most responsive growth stage, or they may plant local seed because improved seed was unavailable. Late delivery often reflects procurement delays, poor transport infrastructure, weak coordination between agencies, and uncertainty about budget release. This is especially damaging in rainfed agriculture, where planting windows are short and rainfall timing is unpredictable.</w:t>
      </w:r>
    </w:p>
    <w:p w14:paraId="05AD3C6F" w14:textId="77777777" w:rsidR="00DF7224" w:rsidRPr="00D64B02" w:rsidRDefault="002662A3" w:rsidP="00BC7D66">
      <w:pPr>
        <w:spacing w:line="240" w:lineRule="auto"/>
        <w:ind w:firstLine="720"/>
        <w:jc w:val="both"/>
        <w:rPr>
          <w:rFonts w:cs="Times New Roman"/>
          <w:color w:val="000000" w:themeColor="text1"/>
          <w:szCs w:val="24"/>
        </w:rPr>
      </w:pPr>
      <w:r w:rsidRPr="00D64B02">
        <w:rPr>
          <w:rFonts w:cs="Times New Roman"/>
          <w:color w:val="000000" w:themeColor="text1"/>
          <w:szCs w:val="24"/>
        </w:rPr>
        <w:t xml:space="preserve">Fourth, subsidies can crowd out commercial input purchases. Crowding out occurs when a farmer who would have bought fertilizer at the market price instead receives subsidized fertilizer. In such cases, public spending does not create a one-for-one increase in total fertilizer use. Evidence from Malawi shows that subsidized fertilizer reduced some commercial purchases, </w:t>
      </w:r>
      <w:r w:rsidRPr="00D64B02">
        <w:rPr>
          <w:rFonts w:cs="Times New Roman"/>
          <w:color w:val="000000" w:themeColor="text1"/>
          <w:szCs w:val="24"/>
        </w:rPr>
        <w:lastRenderedPageBreak/>
        <w:t xml:space="preserve">and the degree of crowding out varied across wealth groups </w:t>
      </w:r>
      <w:r w:rsidRPr="00D64B02">
        <w:rPr>
          <w:rFonts w:cs="Times New Roman"/>
          <w:szCs w:val="24"/>
        </w:rPr>
        <w:t xml:space="preserve">(Ricker-Gilbert &amp; Jayne, 2011). </w:t>
      </w:r>
      <w:r w:rsidRPr="00D64B02">
        <w:rPr>
          <w:rFonts w:cs="Times New Roman"/>
          <w:color w:val="000000" w:themeColor="text1"/>
          <w:szCs w:val="24"/>
        </w:rPr>
        <w:t xml:space="preserve">A wider review of fertilizer programs in the region also concluded that crowding out and diversion are central to whether subsidy benefits exceed </w:t>
      </w:r>
      <w:r w:rsidRPr="00D64B02">
        <w:rPr>
          <w:rFonts w:cs="Times New Roman"/>
          <w:szCs w:val="24"/>
        </w:rPr>
        <w:t>costs (Jayne et al., 2013).</w:t>
      </w:r>
    </w:p>
    <w:p w14:paraId="61F42CF6" w14:textId="77777777" w:rsidR="00DF7224" w:rsidRPr="00D64B02" w:rsidRDefault="002662A3" w:rsidP="00BC7D66">
      <w:pPr>
        <w:spacing w:line="240" w:lineRule="auto"/>
        <w:ind w:firstLine="720"/>
        <w:jc w:val="both"/>
        <w:rPr>
          <w:rFonts w:cs="Times New Roman"/>
          <w:color w:val="000000" w:themeColor="text1"/>
          <w:szCs w:val="24"/>
        </w:rPr>
      </w:pPr>
      <w:r w:rsidRPr="00D64B02">
        <w:rPr>
          <w:rFonts w:cs="Times New Roman"/>
          <w:color w:val="000000" w:themeColor="text1"/>
          <w:szCs w:val="24"/>
        </w:rPr>
        <w:t>Fifth, subsidies raise fiscal sustainability concerns. Large programs can consume a major share of agricultural budgets, leaving fewer resources for research, extension, irrigation, rural roads, storage, pest surveillance, and market information systems. This opportunity cost is important because these complementary investments often have broader and longer-lasting effects than annual input transfers. If a government spends heavily every year on fertilizer discounts but underfunds soil laboratories, breeder seed systems, and extension staff, the subsidy may produce seasonal gains without transforming productivity.</w:t>
      </w:r>
    </w:p>
    <w:p w14:paraId="6F6DD3DF" w14:textId="77777777" w:rsidR="00DF7224" w:rsidRPr="00D64B02" w:rsidRDefault="002662A3" w:rsidP="00CB7FB8">
      <w:pPr>
        <w:pStyle w:val="Heading1"/>
        <w:spacing w:line="240" w:lineRule="auto"/>
        <w:jc w:val="both"/>
        <w:rPr>
          <w:rFonts w:ascii="Times New Roman" w:hAnsi="Times New Roman" w:cs="Times New Roman"/>
          <w:color w:val="000000" w:themeColor="text1"/>
          <w:sz w:val="24"/>
          <w:szCs w:val="24"/>
        </w:rPr>
      </w:pPr>
      <w:r w:rsidRPr="00D64B02">
        <w:rPr>
          <w:rFonts w:ascii="Times New Roman" w:hAnsi="Times New Roman" w:cs="Times New Roman"/>
          <w:color w:val="000000" w:themeColor="text1"/>
          <w:sz w:val="24"/>
          <w:szCs w:val="24"/>
        </w:rPr>
        <w:t>5. Impacts on Smallholder Farmers and Food Security</w:t>
      </w:r>
    </w:p>
    <w:p w14:paraId="6366118A" w14:textId="41A23635" w:rsidR="00DF7224" w:rsidRPr="00D64B02" w:rsidRDefault="002662A3" w:rsidP="00BC7D66">
      <w:pPr>
        <w:spacing w:line="240" w:lineRule="auto"/>
        <w:ind w:firstLine="720"/>
        <w:jc w:val="both"/>
        <w:rPr>
          <w:rFonts w:cs="Times New Roman"/>
          <w:color w:val="000000" w:themeColor="text1"/>
          <w:szCs w:val="24"/>
        </w:rPr>
      </w:pPr>
      <w:r w:rsidRPr="00D64B02">
        <w:rPr>
          <w:rFonts w:cs="Times New Roman"/>
          <w:color w:val="000000"/>
          <w:szCs w:val="24"/>
        </w:rPr>
        <w:t>The impact of agricultural subsidies on smallholder farmers is mixed but not negligible. In several countries, beneficiary farmers have gained improved access to fertilizer and seed, and many have recorded higher production in seasons with favourable rainfall. Kenya's voucher programme, for example, increased maize yields by about 361 kg/ha among recipients and reduced poverty depth, suggesting that input support can improve welfare when it reaches farmers who face real input constraints (Mason et al., 2017). More broadly, a recent meta-analysis found that subsidy programmes combining fertilizer and improved seed were associated with average yield gains of 18% and farming-income gains of 16%, although country-level effects vary strongly by design and implementation quality (Nguyen et al., 2023). In Malawi, evidence also links input subsidy participation with improved household welfare and food security, particularly in areas exposed to climate stress (Asfaw et al., 2016).</w:t>
      </w:r>
    </w:p>
    <w:p w14:paraId="5DBBBAF7" w14:textId="4274C238" w:rsidR="00DF7224" w:rsidRPr="00D64B02" w:rsidRDefault="002662A3" w:rsidP="00BC7D66">
      <w:pPr>
        <w:spacing w:line="240" w:lineRule="auto"/>
        <w:ind w:firstLine="720"/>
        <w:jc w:val="both"/>
        <w:rPr>
          <w:rFonts w:cs="Times New Roman"/>
          <w:color w:val="000000" w:themeColor="text1"/>
          <w:szCs w:val="24"/>
        </w:rPr>
      </w:pPr>
      <w:r w:rsidRPr="00D64B02">
        <w:rPr>
          <w:rFonts w:cs="Times New Roman"/>
          <w:color w:val="000000" w:themeColor="text1"/>
          <w:szCs w:val="24"/>
        </w:rPr>
        <w:t>Food security effects occur through several channels. The most direct channel is own production. When a household harvests more maize, rice, or legumes, it may reduce the length of the hungry season and rely less on expensive market purchases. A second channel is income. If the household sells part of the surplus, it can purchase other foods, pay for health care, or invest in livestock. A third channel is local market supply. If many farmers in a district produce more grain, local food prices may fall, benefiting net buyers. However, these channels are not automatic. They depend on weather, market access, storage, household labor, and whether output prices remain high enough to reward producers</w:t>
      </w:r>
      <w:r w:rsidR="00A34271" w:rsidRPr="00D64B02">
        <w:rPr>
          <w:rFonts w:cs="Times New Roman"/>
          <w:color w:val="000000" w:themeColor="text1"/>
          <w:szCs w:val="24"/>
        </w:rPr>
        <w:t>.</w:t>
      </w:r>
    </w:p>
    <w:p w14:paraId="06007BC9" w14:textId="77777777" w:rsidR="00DF7224" w:rsidRPr="00D64B02" w:rsidRDefault="002662A3" w:rsidP="00BC7D66">
      <w:pPr>
        <w:spacing w:line="240" w:lineRule="auto"/>
        <w:ind w:firstLine="720"/>
        <w:jc w:val="both"/>
        <w:rPr>
          <w:rFonts w:cs="Times New Roman"/>
          <w:color w:val="000000" w:themeColor="text1"/>
          <w:szCs w:val="24"/>
        </w:rPr>
      </w:pPr>
      <w:r w:rsidRPr="00D64B02">
        <w:rPr>
          <w:rFonts w:cs="Times New Roman"/>
          <w:color w:val="000000" w:themeColor="text1"/>
          <w:szCs w:val="24"/>
        </w:rPr>
        <w:t xml:space="preserve">The evidence from Ghana illustrates the importance of crop response and profitability. Fertilizer subsidies may encourage application, but yield response can remain weak if fertilizer is applied to depleted soils without organic matter, if farmers lack improved seed, or if rainfall is poorly distributed. </w:t>
      </w:r>
      <w:r w:rsidRPr="00D64B02">
        <w:rPr>
          <w:rFonts w:cs="Times New Roman"/>
          <w:szCs w:val="24"/>
        </w:rPr>
        <w:t xml:space="preserve">Ragasa and Chapoto (2017) show </w:t>
      </w:r>
      <w:r w:rsidRPr="00D64B02">
        <w:rPr>
          <w:rFonts w:cs="Times New Roman"/>
          <w:color w:val="000000" w:themeColor="text1"/>
          <w:szCs w:val="24"/>
        </w:rPr>
        <w:t xml:space="preserve">that Ghana's maize productivity challenge cannot be solved by price subsidies alone because fertilizer profitability depends on broader production and market conditions. For rice farmers, subsidy participation may encourage the adoption of certified seed, but stronger extension and input quality control are needed to convert adoption into sustained productivity </w:t>
      </w:r>
      <w:r w:rsidRPr="00D64B02">
        <w:rPr>
          <w:rFonts w:cs="Times New Roman"/>
          <w:szCs w:val="24"/>
        </w:rPr>
        <w:t>gains (Zakaria et al., 2021).</w:t>
      </w:r>
    </w:p>
    <w:p w14:paraId="5B9990A1" w14:textId="77777777" w:rsidR="00DF7224" w:rsidRPr="00D64B02" w:rsidRDefault="002662A3" w:rsidP="00BC7D66">
      <w:pPr>
        <w:spacing w:line="240" w:lineRule="auto"/>
        <w:ind w:firstLine="720"/>
        <w:jc w:val="both"/>
        <w:rPr>
          <w:rFonts w:cs="Times New Roman"/>
          <w:color w:val="000000" w:themeColor="text1"/>
          <w:szCs w:val="24"/>
        </w:rPr>
      </w:pPr>
      <w:r w:rsidRPr="00D64B02">
        <w:rPr>
          <w:rFonts w:cs="Times New Roman"/>
          <w:color w:val="000000" w:themeColor="text1"/>
          <w:szCs w:val="24"/>
        </w:rPr>
        <w:t xml:space="preserve">Nigeria's experience shows both the promise and limits of digital subsidy delivery. The e-voucher system improved access to fertilizer and rice inputs for many farmers, and it provided a framework for involving private agro-dealers. At the same time, impact estimates indicate that the program did not always produce large net increases in fertilizer use because some subsidized inputs replaced what farmers would have purchased commercially (Kijima, 2022). This point </w:t>
      </w:r>
      <w:r w:rsidRPr="00D64B02">
        <w:rPr>
          <w:rFonts w:cs="Times New Roman"/>
          <w:color w:val="000000" w:themeColor="text1"/>
          <w:szCs w:val="24"/>
        </w:rPr>
        <w:lastRenderedPageBreak/>
        <w:t>matters because a program can look successful in terms of voucher redemption while being less successful in terms of additional input use and output growth.</w:t>
      </w:r>
    </w:p>
    <w:p w14:paraId="2D4E5CB0" w14:textId="77777777" w:rsidR="00DF7224" w:rsidRPr="00D64B02" w:rsidRDefault="002662A3" w:rsidP="00BC7D66">
      <w:pPr>
        <w:spacing w:line="240" w:lineRule="auto"/>
        <w:ind w:firstLine="720"/>
        <w:jc w:val="both"/>
        <w:rPr>
          <w:rFonts w:cs="Times New Roman"/>
          <w:color w:val="000000" w:themeColor="text1"/>
          <w:szCs w:val="24"/>
        </w:rPr>
      </w:pPr>
      <w:r w:rsidRPr="00D64B02">
        <w:rPr>
          <w:rFonts w:cs="Times New Roman"/>
          <w:color w:val="000000" w:themeColor="text1"/>
          <w:szCs w:val="24"/>
        </w:rPr>
        <w:t>Tanzania's voucher program also produced uneven results. Some farmers benefited from improved seed and fertilizer packages, while others faced delays, high co-payment costs, or weak yield response. The sustainability of intensification depends on the interaction between inorganic fertilizer, soil organic matter, crop choice, and rainfall. Kim et al. (2021) argue that input subsidies can support sustainable intensification in some circumstances, but the effect is limited where soil conditions reduce fertilizer efficiency. This suggests that soil health should be central to subsidy design, not treated as an afterthought.</w:t>
      </w:r>
    </w:p>
    <w:p w14:paraId="32468A81" w14:textId="77777777" w:rsidR="00DF7224" w:rsidRPr="00D64B02" w:rsidRDefault="002662A3" w:rsidP="00BC7D66">
      <w:pPr>
        <w:spacing w:line="240" w:lineRule="auto"/>
        <w:ind w:firstLine="720"/>
        <w:jc w:val="both"/>
        <w:rPr>
          <w:rFonts w:cs="Times New Roman"/>
          <w:color w:val="000000" w:themeColor="text1"/>
          <w:szCs w:val="24"/>
        </w:rPr>
      </w:pPr>
      <w:r w:rsidRPr="00D64B02">
        <w:rPr>
          <w:rFonts w:cs="Times New Roman"/>
          <w:color w:val="000000" w:themeColor="text1"/>
          <w:szCs w:val="24"/>
        </w:rPr>
        <w:t>For poor and vulnerable farmers, the benefits of subsidies depend on the size of the subsidy and the cost of participation. If a voucher covers only part of the input price, the poorest households may still be unable to pay the remaining amount. They may sell the voucher, share inputs with relatives, or use a lower-than-recommended quantity. Uniform subsidy rates may therefore favor better-off farmers who have cash, transport, and information. A more equitable policy would combine targeted subsidies with flexible co-payment arrangements, group-based distribution, and support for women farmers who often face weaker access to land, credit, and extension.</w:t>
      </w:r>
    </w:p>
    <w:p w14:paraId="573C440A" w14:textId="216829DF" w:rsidR="00DF7224" w:rsidRPr="00D64B02" w:rsidRDefault="002662A3" w:rsidP="00BC7D66">
      <w:pPr>
        <w:spacing w:line="240" w:lineRule="auto"/>
        <w:ind w:firstLine="720"/>
        <w:jc w:val="both"/>
        <w:rPr>
          <w:rFonts w:cs="Times New Roman"/>
          <w:color w:val="000000" w:themeColor="text1"/>
          <w:szCs w:val="24"/>
        </w:rPr>
      </w:pPr>
      <w:r w:rsidRPr="00D64B02">
        <w:rPr>
          <w:rFonts w:cs="Times New Roman"/>
          <w:color w:val="000000" w:themeColor="text1"/>
          <w:szCs w:val="24"/>
        </w:rPr>
        <w:t>The household welfare impact also depends on whether subsidies change behavior after the program ends. A subsidy has a stronger long-term effect if it helps farmers learn profitable input use, build relationships with agro-dealers, save enough to buy inputs commercially, or adopt complementary practices. If farmers return to previous practices once the subsidy is withdrawn, the effect is temporary. This is why a graduation strategy is important. Subsidies should be linked to savings groups, input credit, warehouse receipt systems, and extension advice so that farmers gradually move from public support to commercial participation.</w:t>
      </w:r>
    </w:p>
    <w:p w14:paraId="216A867F" w14:textId="78986B99" w:rsidR="00F57D63" w:rsidRPr="00D64B02" w:rsidRDefault="00F57D63" w:rsidP="00CB7FB8">
      <w:pPr>
        <w:pStyle w:val="Heading3"/>
        <w:spacing w:line="240" w:lineRule="auto"/>
        <w:rPr>
          <w:rFonts w:ascii="Times New Roman" w:hAnsi="Times New Roman" w:cs="Times New Roman"/>
          <w:color w:val="000000"/>
          <w:szCs w:val="24"/>
        </w:rPr>
      </w:pPr>
      <w:r w:rsidRPr="00D64B02">
        <w:rPr>
          <w:rFonts w:ascii="Times New Roman" w:hAnsi="Times New Roman" w:cs="Times New Roman"/>
          <w:color w:val="000000"/>
          <w:szCs w:val="24"/>
        </w:rPr>
        <w:t>6. Policy Frameworks for Sustainable Growth</w:t>
      </w:r>
    </w:p>
    <w:p w14:paraId="08EA0799" w14:textId="6246A000" w:rsidR="00F57D63" w:rsidRPr="00D64B02" w:rsidRDefault="00F57D63" w:rsidP="00BC7D66">
      <w:pPr>
        <w:pStyle w:val="NormalWeb"/>
        <w:ind w:firstLine="720"/>
        <w:jc w:val="both"/>
        <w:rPr>
          <w:color w:val="000000" w:themeColor="text1"/>
        </w:rPr>
      </w:pPr>
      <w:r w:rsidRPr="00D64B02">
        <w:rPr>
          <w:color w:val="000000"/>
        </w:rPr>
        <w:t>6.1 Define objectives and target beneficiaries clearly. A sustainable subsidy framework should begin with a precise purpose. A programme created for emergency food security after drought should not be assessed in the same way as one designed to develop private input markets over several years. Governments should state whether the subsidy aims to protect vulnerable households, increase national production, promote new technologies, strengthen agro-dealer networks, or respond to climate risks. Targeting should be based on transparent criteria, regularly updated farmer registries, gender-sensitive beneficiary data, and independent audits to reduce elite capture.</w:t>
      </w:r>
    </w:p>
    <w:p w14:paraId="3EA08657" w14:textId="52978646" w:rsidR="00F57D63" w:rsidRPr="00D64B02" w:rsidRDefault="00F57D63" w:rsidP="00BC7D66">
      <w:pPr>
        <w:pStyle w:val="NormalWeb"/>
        <w:ind w:firstLine="720"/>
        <w:jc w:val="both"/>
        <w:rPr>
          <w:color w:val="000000" w:themeColor="text1"/>
        </w:rPr>
      </w:pPr>
      <w:r w:rsidRPr="00D64B02">
        <w:rPr>
          <w:color w:val="000000"/>
        </w:rPr>
        <w:t>6.2 Differentiate support levels and include graduation rules. Subsidy levels should not be uniform. Poorer farmers may need higher support at the beginning, while better-resourced farmers can receive smaller or declining subsidies. Farmers in remote areas may need transport support or stronger local agro-dealer services, whereas farmers in areas with active private markets may require less assistance to avoid crowding out private sales. Graduation rules should distinguish between farmers who need temporary support and those who can gradually move into commercial input markets.</w:t>
      </w:r>
    </w:p>
    <w:p w14:paraId="73CFB85A" w14:textId="1A070E43" w:rsidR="00F57D63" w:rsidRPr="00D64B02" w:rsidRDefault="00F57D63" w:rsidP="00BC7D66">
      <w:pPr>
        <w:pStyle w:val="NormalWeb"/>
        <w:ind w:firstLine="720"/>
        <w:jc w:val="both"/>
        <w:rPr>
          <w:color w:val="000000" w:themeColor="text1"/>
        </w:rPr>
      </w:pPr>
      <w:r w:rsidRPr="00D64B02">
        <w:rPr>
          <w:color w:val="000000"/>
        </w:rPr>
        <w:lastRenderedPageBreak/>
        <w:t>6.3 Strengthen delivery through accountable digital and private-sector systems. Delivery systems should strengthen, rather than weaken, private input markets. Where agro-dealers are available, vouchers should be redeemed through certified dealers who meet quality standards. Electronic vouchers, mobile alerts, biometric registration, and georeferenced delivery records can reduce ghost beneficiaries and improve monitoring. However, digital systems require reliable networks, farmer training, timely dealer reimbursement, offline options, and grievance mechanisms. Nigeria's experience shows that e-vouchers work best when they are part of wider institutional reform, rather than treated as a stand-alone solution (Benjamin et al., 2021; Kijima, 2022).</w:t>
      </w:r>
    </w:p>
    <w:p w14:paraId="7076CC22" w14:textId="5A76DC31" w:rsidR="00F57D63" w:rsidRPr="00D64B02" w:rsidRDefault="00F57D63" w:rsidP="00BC7D66">
      <w:pPr>
        <w:pStyle w:val="NormalWeb"/>
        <w:ind w:firstLine="720"/>
        <w:jc w:val="both"/>
        <w:rPr>
          <w:color w:val="000000" w:themeColor="text1"/>
        </w:rPr>
      </w:pPr>
      <w:r w:rsidRPr="00D64B02">
        <w:rPr>
          <w:color w:val="000000"/>
        </w:rPr>
        <w:t>6.4 Link subsidies with extension, soil health, and climate-smart agriculture. Farmers need advice on the correct input, rate, timing, and method of application, as well as support on crop rotation, composting, pest control, water conservation, and postharvest handling. Soil health should be central to subsidy policy because many smallholder fields have low organic matter, nutrient deficiencies, acidity, or compaction. Subsidy programmes should therefore support drought-tolerant seed, early-maturing varieties, water harvesting, integrated soil fertility management, legumes, and diversified cropping systems.</w:t>
      </w:r>
    </w:p>
    <w:p w14:paraId="6E62A237" w14:textId="77777777" w:rsidR="00BC7D66" w:rsidRPr="00D64B02" w:rsidRDefault="00F57D63" w:rsidP="00BC7D66">
      <w:pPr>
        <w:pStyle w:val="NormalWeb"/>
        <w:ind w:firstLine="720"/>
        <w:jc w:val="both"/>
        <w:rPr>
          <w:color w:val="000000" w:themeColor="text1"/>
        </w:rPr>
      </w:pPr>
      <w:r w:rsidRPr="00D64B02">
        <w:rPr>
          <w:color w:val="000000"/>
        </w:rPr>
        <w:t>6.5 Protect fiscal sustainability and evaluate performance. Financial sustainability must be built into programme design. Governments should cap subsidy budgets, conduct regular performance reviews, and compare subsidy returns with alternative investments. Success should be measured not only by the number of input bags distributed, but by whether subsidies increase total input use, raise yields, improve food security, strengthen private markets, and deliver benefits greater than their cost. Over time, public spending should shift towards roads, irrigation, research, seed systems, market infrastructure, and rural finance so that farmers become less dependent on annual input transfers.</w:t>
      </w:r>
    </w:p>
    <w:p w14:paraId="4D99F093" w14:textId="58F61197" w:rsidR="00DF7224" w:rsidRPr="00D64B02" w:rsidRDefault="00A51930" w:rsidP="00BC7D66">
      <w:pPr>
        <w:pStyle w:val="NormalWeb"/>
        <w:jc w:val="both"/>
        <w:rPr>
          <w:b/>
          <w:bCs/>
          <w:color w:val="000000" w:themeColor="text1"/>
        </w:rPr>
      </w:pPr>
      <w:r w:rsidRPr="00D64B02">
        <w:rPr>
          <w:b/>
          <w:bCs/>
          <w:color w:val="000000" w:themeColor="text1"/>
        </w:rPr>
        <w:t>7</w:t>
      </w:r>
      <w:r w:rsidR="002662A3" w:rsidRPr="00D64B02">
        <w:rPr>
          <w:b/>
          <w:bCs/>
          <w:color w:val="000000" w:themeColor="text1"/>
        </w:rPr>
        <w:t>. Conclusion</w:t>
      </w:r>
    </w:p>
    <w:p w14:paraId="25AF1630" w14:textId="77777777" w:rsidR="00DF7224" w:rsidRPr="00D64B02" w:rsidRDefault="002662A3" w:rsidP="00BC7D66">
      <w:pPr>
        <w:spacing w:line="240" w:lineRule="auto"/>
        <w:ind w:firstLine="720"/>
        <w:jc w:val="both"/>
        <w:rPr>
          <w:rFonts w:cs="Times New Roman"/>
          <w:color w:val="000000" w:themeColor="text1"/>
          <w:szCs w:val="24"/>
        </w:rPr>
      </w:pPr>
      <w:r w:rsidRPr="00D64B02">
        <w:rPr>
          <w:rFonts w:cs="Times New Roman"/>
          <w:color w:val="000000" w:themeColor="text1"/>
          <w:szCs w:val="24"/>
        </w:rPr>
        <w:t>Agricultural input subsidies remain important in Sub-Saharan Africa because they respond to real problems facing smallholder farmers: high input prices, low soil fertility, weak credit systems, climate risk, and food insecurity. The experiences of Kenya, Nigeria, Ghana, Tanzania, and Malawi show that subsidies can improve access to fertilizer and improved seed, raise production in favorable conditions, and support household welfare. Kenya's voucher model, Nigeria's e-wallet reform, Ghana's fertilizer support, Tanzania's input voucher scheme, and Malawi's large-scale farm input program all provide useful lessons for future policy.</w:t>
      </w:r>
    </w:p>
    <w:p w14:paraId="48F300A9" w14:textId="77777777" w:rsidR="00DF7224" w:rsidRPr="00D64B02" w:rsidRDefault="002662A3" w:rsidP="00BC7D66">
      <w:pPr>
        <w:spacing w:line="240" w:lineRule="auto"/>
        <w:ind w:firstLine="720"/>
        <w:jc w:val="both"/>
        <w:rPr>
          <w:rFonts w:cs="Times New Roman"/>
          <w:color w:val="000000" w:themeColor="text1"/>
          <w:szCs w:val="24"/>
        </w:rPr>
      </w:pPr>
      <w:r w:rsidRPr="00D64B02">
        <w:rPr>
          <w:rFonts w:cs="Times New Roman"/>
          <w:color w:val="000000" w:themeColor="text1"/>
          <w:szCs w:val="24"/>
        </w:rPr>
        <w:t>The same experiences also show that subsidies are not a simple solution. Poor targeting, elite capture, leakage, late delivery, crowding out, fiscal pressure, and weak extension support can sharply reduce their value. A subsidy that arrives late, reaches the wrong farmers, or replaces commercial purchases may be politically popular but economically weak. A subsidy that is combined with extension, soil fertility management, private dealer participation, transparent monitoring, and a clear graduation strategy is more likely to produce lasting benefits.</w:t>
      </w:r>
    </w:p>
    <w:p w14:paraId="2D6D2957" w14:textId="77777777" w:rsidR="00DF7224" w:rsidRPr="00D64B02" w:rsidRDefault="002662A3" w:rsidP="00BC7D66">
      <w:pPr>
        <w:spacing w:line="240" w:lineRule="auto"/>
        <w:ind w:firstLine="720"/>
        <w:jc w:val="both"/>
        <w:rPr>
          <w:rFonts w:cs="Times New Roman"/>
          <w:color w:val="000000" w:themeColor="text1"/>
          <w:szCs w:val="24"/>
        </w:rPr>
      </w:pPr>
      <w:r w:rsidRPr="00D64B02">
        <w:rPr>
          <w:rFonts w:cs="Times New Roman"/>
          <w:color w:val="000000" w:themeColor="text1"/>
          <w:szCs w:val="24"/>
        </w:rPr>
        <w:t xml:space="preserve">The way forward is not to reject subsidies entirely, but to redesign them. Sub-Saharan African governments need subsidy programs that are targeted, temporary, climate-smart, fiscally realistic, and connected to broader agricultural transformation. This means shifting from annual input distribution as an end in itself to a more strategic framework that builds farmer capacity, </w:t>
      </w:r>
      <w:r w:rsidRPr="00D64B02">
        <w:rPr>
          <w:rFonts w:cs="Times New Roman"/>
          <w:color w:val="000000" w:themeColor="text1"/>
          <w:szCs w:val="24"/>
        </w:rPr>
        <w:lastRenderedPageBreak/>
        <w:t>strengthens markets, improves soil health, and supports resilience. When used in this way, agricultural subsidies can contribute to sustainable growth. When used without reform, they risk becoming costly programs that deliver short-term relief while leaving the deeper constraints of smallholder agriculture unresolved.</w:t>
      </w:r>
    </w:p>
    <w:p w14:paraId="2BCC070D" w14:textId="62B8961C" w:rsidR="00A51930" w:rsidRPr="00D64B02" w:rsidRDefault="00A51930" w:rsidP="00A51930">
      <w:pPr>
        <w:pStyle w:val="Heading3"/>
        <w:rPr>
          <w:rFonts w:ascii="Times New Roman" w:hAnsi="Times New Roman" w:cs="Times New Roman"/>
          <w:color w:val="000000" w:themeColor="text1"/>
          <w:szCs w:val="24"/>
        </w:rPr>
      </w:pPr>
      <w:r w:rsidRPr="00D64B02">
        <w:rPr>
          <w:rFonts w:ascii="Times New Roman" w:hAnsi="Times New Roman" w:cs="Times New Roman"/>
          <w:color w:val="000000" w:themeColor="text1"/>
          <w:szCs w:val="24"/>
        </w:rPr>
        <w:t>8. Recommendations</w:t>
      </w:r>
    </w:p>
    <w:p w14:paraId="4D374C66" w14:textId="77777777" w:rsidR="00A51930" w:rsidRPr="00D64B02" w:rsidRDefault="00A51930" w:rsidP="00BC7D66">
      <w:pPr>
        <w:pStyle w:val="NormalWeb"/>
        <w:ind w:firstLine="720"/>
        <w:jc w:val="both"/>
        <w:rPr>
          <w:color w:val="000000" w:themeColor="text1"/>
        </w:rPr>
      </w:pPr>
      <w:r w:rsidRPr="00D64B02">
        <w:rPr>
          <w:color w:val="000000" w:themeColor="text1"/>
        </w:rPr>
        <w:t>First, governments should improve beneficiary targeting so subsidies reach farmers who face real input constraints and can increase production when supported. This requires updated farmer registries, clear eligibility rules, and independent verification. Targeting should also give attention to women farmers, youth, tenants, and remote households, who are often left out through informal selection systems. Graduation rules should be added so farmers do not remain in subsidy programs permanently without a pathway to commercial input access.</w:t>
      </w:r>
    </w:p>
    <w:p w14:paraId="5D7AB441" w14:textId="77777777" w:rsidR="00A51930" w:rsidRPr="00D64B02" w:rsidRDefault="00A51930" w:rsidP="00BC7D66">
      <w:pPr>
        <w:pStyle w:val="NormalWeb"/>
        <w:ind w:firstLine="720"/>
        <w:jc w:val="both"/>
        <w:rPr>
          <w:color w:val="000000" w:themeColor="text1"/>
        </w:rPr>
      </w:pPr>
      <w:r w:rsidRPr="00D64B02">
        <w:rPr>
          <w:color w:val="000000" w:themeColor="text1"/>
        </w:rPr>
        <w:t>Second, subsidy programs should use differentiated support levels. Poorer farmers may need higher support or limited cash assistance to afford co-payments, while commercially oriented farmers may only need credit guarantees or partial risk-sharing. This approach would reduce waste, improve fairness, and limit crowding out by giving less direct subsidy support to farmers who already purchase inputs commercially.</w:t>
      </w:r>
    </w:p>
    <w:p w14:paraId="4761FB3A" w14:textId="77777777" w:rsidR="00A51930" w:rsidRPr="00D64B02" w:rsidRDefault="00A51930" w:rsidP="00BC7D66">
      <w:pPr>
        <w:pStyle w:val="NormalWeb"/>
        <w:ind w:firstLine="720"/>
        <w:jc w:val="both"/>
        <w:rPr>
          <w:color w:val="000000" w:themeColor="text1"/>
        </w:rPr>
      </w:pPr>
      <w:r w:rsidRPr="00D64B02">
        <w:rPr>
          <w:color w:val="000000" w:themeColor="text1"/>
        </w:rPr>
        <w:t>Third, governments should improve delivery timing. Inputs must reach farmers before planting and should match local agroecological calendars. Budget releases, procurement, dealer reimbursement, and transport logistics should be planned before the season begins. Late delivery should be treated as a major program failure because it directly reduces the value of the subsidy.</w:t>
      </w:r>
    </w:p>
    <w:p w14:paraId="14EFC334" w14:textId="77777777" w:rsidR="00A51930" w:rsidRPr="00D64B02" w:rsidRDefault="00A51930" w:rsidP="00BC7D66">
      <w:pPr>
        <w:pStyle w:val="NormalWeb"/>
        <w:ind w:firstLine="720"/>
        <w:jc w:val="both"/>
        <w:rPr>
          <w:color w:val="000000" w:themeColor="text1"/>
        </w:rPr>
      </w:pPr>
      <w:r w:rsidRPr="00D64B02">
        <w:rPr>
          <w:color w:val="000000" w:themeColor="text1"/>
        </w:rPr>
        <w:t>Fourth, Subsidy programs should rely on certified private agro-dealers to strengthen local input markets and ease the burden on government distribution, with participation based on quality standards, transparent pricing, timely supply, and proper record keeping; in remote areas, temporary incentives can support dealer expansion instead of replacing private suppliers. At the same time, subsidies should be integrated with extension and soil health services, including farmer guidance on input use, soil testing, and locally appropriate recommendations, to improve efficiency and maximize the benefits of subsidized inputs.</w:t>
      </w:r>
    </w:p>
    <w:p w14:paraId="4D206148" w14:textId="77777777" w:rsidR="00A51930" w:rsidRPr="00D64B02" w:rsidRDefault="00A51930" w:rsidP="00BC7D66">
      <w:pPr>
        <w:pStyle w:val="NormalWeb"/>
        <w:ind w:firstLine="720"/>
        <w:jc w:val="both"/>
        <w:rPr>
          <w:color w:val="000000" w:themeColor="text1"/>
        </w:rPr>
      </w:pPr>
      <w:r w:rsidRPr="00D64B02">
        <w:rPr>
          <w:color w:val="000000" w:themeColor="text1"/>
        </w:rPr>
        <w:t>Fifth, subsidy programs should be evaluated using clear performance indicators. Success should not be measured only by the number of input bags distributed, but by whether subsidies increase total input use, raise yields, improve food security, strengthen private markets, and deliver benefits greater than their cost. Evaluations should also consider environmental effects, gender equity, and the experiences of farmers who do not receive subsidies.</w:t>
      </w:r>
    </w:p>
    <w:p w14:paraId="56B93A94" w14:textId="63917370" w:rsidR="00CC0A90" w:rsidRPr="00D64B02" w:rsidRDefault="00A51930" w:rsidP="00CC0A90">
      <w:pPr>
        <w:pStyle w:val="NormalWeb"/>
        <w:ind w:firstLine="720"/>
        <w:jc w:val="both"/>
        <w:rPr>
          <w:color w:val="000000" w:themeColor="text1"/>
        </w:rPr>
      </w:pPr>
      <w:r w:rsidRPr="00D64B02">
        <w:rPr>
          <w:color w:val="000000" w:themeColor="text1"/>
        </w:rPr>
        <w:t>Finally, subsidies should support broader rural transformation. Input support is more effective when farmers have access to roads, storage, credit, market information, farmer organizations, and fair output prices. Therefore, subsidy spending should not crowd out investment in research, irrigation, rural roads, and market systems. The strongest subsidy policy is one that gradually reduces the need for subsidies by making input and output markets work better.</w:t>
      </w:r>
    </w:p>
    <w:p w14:paraId="00EABC2B" w14:textId="77777777" w:rsidR="00CC0A90" w:rsidRPr="00D64B02" w:rsidRDefault="00CC0A90" w:rsidP="00CC0A90">
      <w:pPr>
        <w:pStyle w:val="NormalWeb"/>
        <w:jc w:val="both"/>
        <w:rPr>
          <w:b/>
          <w:bCs/>
          <w:color w:val="000000" w:themeColor="text1"/>
        </w:rPr>
      </w:pPr>
      <w:r w:rsidRPr="00D64B02">
        <w:rPr>
          <w:b/>
          <w:bCs/>
          <w:color w:val="000000" w:themeColor="text1"/>
        </w:rPr>
        <w:lastRenderedPageBreak/>
        <w:t>Disclaimer (Artificial intelligence)</w:t>
      </w:r>
    </w:p>
    <w:p w14:paraId="5E0678CF" w14:textId="3E656DAE" w:rsidR="00CC0A90" w:rsidRPr="00D64B02" w:rsidRDefault="00CC0A90" w:rsidP="00CC0A90">
      <w:pPr>
        <w:pStyle w:val="NormalWeb"/>
        <w:jc w:val="both"/>
        <w:rPr>
          <w:color w:val="000000" w:themeColor="text1"/>
        </w:rPr>
      </w:pPr>
      <w:r w:rsidRPr="00D64B02">
        <w:rPr>
          <w:color w:val="000000" w:themeColor="text1"/>
        </w:rPr>
        <w:t>Marfo Justice Osei, Gideon Osei Bonsu, Justice Kwame Agornugah and Afful Paa Kwesi hereby declare that NO generative AI technologies such as Large Language Models (</w:t>
      </w:r>
      <w:proofErr w:type="spellStart"/>
      <w:r w:rsidRPr="00D64B02">
        <w:rPr>
          <w:color w:val="000000" w:themeColor="text1"/>
        </w:rPr>
        <w:t>ChatGPT</w:t>
      </w:r>
      <w:proofErr w:type="spellEnd"/>
      <w:r w:rsidRPr="00D64B02">
        <w:rPr>
          <w:color w:val="000000" w:themeColor="text1"/>
        </w:rPr>
        <w:t>, COPILOT, etc.) and text-to-image generators have been used during the writing or editing of this manuscript.</w:t>
      </w:r>
    </w:p>
    <w:p w14:paraId="4FD7AF31" w14:textId="77777777" w:rsidR="00DF7224" w:rsidRPr="00D64B02" w:rsidRDefault="002662A3" w:rsidP="00CB7FB8">
      <w:pPr>
        <w:pStyle w:val="Heading1"/>
        <w:spacing w:line="240" w:lineRule="auto"/>
        <w:jc w:val="both"/>
        <w:rPr>
          <w:rFonts w:ascii="Times New Roman" w:hAnsi="Times New Roman" w:cs="Times New Roman"/>
          <w:color w:val="000000" w:themeColor="text1"/>
          <w:sz w:val="24"/>
          <w:szCs w:val="24"/>
        </w:rPr>
      </w:pPr>
      <w:r w:rsidRPr="00D64B02">
        <w:rPr>
          <w:rFonts w:ascii="Times New Roman" w:hAnsi="Times New Roman" w:cs="Times New Roman"/>
          <w:color w:val="000000" w:themeColor="text1"/>
          <w:sz w:val="24"/>
          <w:szCs w:val="24"/>
        </w:rPr>
        <w:t>References</w:t>
      </w:r>
    </w:p>
    <w:p w14:paraId="771D0BBF" w14:textId="7C7E7BC6" w:rsidR="00A34271" w:rsidRPr="00D64B02" w:rsidRDefault="002662A3" w:rsidP="00D170AC">
      <w:pPr>
        <w:pStyle w:val="ListParagraph"/>
        <w:numPr>
          <w:ilvl w:val="0"/>
          <w:numId w:val="12"/>
        </w:numPr>
        <w:spacing w:line="240" w:lineRule="auto"/>
        <w:jc w:val="both"/>
        <w:rPr>
          <w:rFonts w:cs="Times New Roman"/>
          <w:color w:val="000000" w:themeColor="text1"/>
          <w:szCs w:val="24"/>
        </w:rPr>
      </w:pPr>
      <w:r w:rsidRPr="00D64B02">
        <w:rPr>
          <w:rFonts w:cs="Times New Roman"/>
          <w:color w:val="000000"/>
          <w:szCs w:val="24"/>
        </w:rPr>
        <w:t xml:space="preserve">Asfaw, S., Davis, B., Dewbre, J., Federighi, G., Handa, S., &amp; Winters, P. (2016). Welfare effect of farm input subsidy program in the context of climate change: Evidence from Malawi. Research Papers in Economics. </w:t>
      </w:r>
      <w:hyperlink r:id="rId8" w:history="1">
        <w:r w:rsidR="00880A91" w:rsidRPr="00D64B02">
          <w:rPr>
            <w:rStyle w:val="Hyperlink"/>
            <w:rFonts w:cs="Times New Roman"/>
            <w:szCs w:val="24"/>
          </w:rPr>
          <w:t>https://doi.org/10.22004/AG.ECON.246281</w:t>
        </w:r>
      </w:hyperlink>
      <w:r w:rsidR="00880A91" w:rsidRPr="00D64B02">
        <w:rPr>
          <w:rFonts w:cs="Times New Roman"/>
          <w:color w:val="000000"/>
          <w:szCs w:val="24"/>
        </w:rPr>
        <w:t xml:space="preserve"> </w:t>
      </w:r>
    </w:p>
    <w:p w14:paraId="7199B33A" w14:textId="01A6F9A7" w:rsidR="00DF7224" w:rsidRPr="00D64B02" w:rsidRDefault="002662A3" w:rsidP="00D170AC">
      <w:pPr>
        <w:pStyle w:val="ListParagraph"/>
        <w:numPr>
          <w:ilvl w:val="0"/>
          <w:numId w:val="12"/>
        </w:numPr>
        <w:spacing w:line="240" w:lineRule="auto"/>
        <w:jc w:val="both"/>
        <w:rPr>
          <w:rFonts w:cs="Times New Roman"/>
          <w:color w:val="000000" w:themeColor="text1"/>
          <w:szCs w:val="24"/>
        </w:rPr>
      </w:pPr>
      <w:r w:rsidRPr="00D64B02">
        <w:rPr>
          <w:rFonts w:cs="Times New Roman"/>
          <w:color w:val="000000"/>
          <w:szCs w:val="24"/>
        </w:rPr>
        <w:t xml:space="preserve">Benjamin, E. O., Ola, O., Lang, H., &amp; Buchenrieder, G. (2021). Public-private cooperation and agricultural development in Sub-Saharan Africa: A review of Nigerian Growth Enhancement Scheme and e-voucher program. Food Security, 13, 129-140. </w:t>
      </w:r>
      <w:hyperlink r:id="rId9" w:history="1">
        <w:r w:rsidR="00880A91" w:rsidRPr="00D64B02">
          <w:rPr>
            <w:rStyle w:val="Hyperlink"/>
            <w:rFonts w:cs="Times New Roman"/>
            <w:szCs w:val="24"/>
          </w:rPr>
          <w:t>https://doi.org/10.1007/s12571-020-01130-y</w:t>
        </w:r>
      </w:hyperlink>
      <w:r w:rsidR="00880A91" w:rsidRPr="00D64B02">
        <w:rPr>
          <w:rFonts w:cs="Times New Roman"/>
          <w:color w:val="000000"/>
          <w:szCs w:val="24"/>
        </w:rPr>
        <w:t xml:space="preserve"> </w:t>
      </w:r>
    </w:p>
    <w:p w14:paraId="307DA17F" w14:textId="7DC43848" w:rsidR="00DF7224" w:rsidRPr="00D64B02" w:rsidRDefault="002662A3" w:rsidP="00D170AC">
      <w:pPr>
        <w:pStyle w:val="ListParagraph"/>
        <w:numPr>
          <w:ilvl w:val="0"/>
          <w:numId w:val="12"/>
        </w:numPr>
        <w:spacing w:line="240" w:lineRule="auto"/>
        <w:jc w:val="both"/>
        <w:rPr>
          <w:rFonts w:cs="Times New Roman"/>
          <w:color w:val="000000" w:themeColor="text1"/>
          <w:szCs w:val="24"/>
        </w:rPr>
      </w:pPr>
      <w:r w:rsidRPr="00D64B02">
        <w:rPr>
          <w:rFonts w:cs="Times New Roman"/>
          <w:color w:val="000000"/>
          <w:szCs w:val="24"/>
        </w:rPr>
        <w:t xml:space="preserve">Jayne, T. S., Mather, D., Mason, N. M., &amp; Ricker-Gilbert, J. (2013). How do fertilizer subsidy programs affect total fertilizer use in Sub-Saharan Africa? Crowding out, diversion, and benefit/cost assessments. Agricultural Economics, 44(6), 687-703. </w:t>
      </w:r>
      <w:hyperlink r:id="rId10" w:history="1">
        <w:r w:rsidR="00880A91" w:rsidRPr="00D64B02">
          <w:rPr>
            <w:rStyle w:val="Hyperlink"/>
            <w:rFonts w:cs="Times New Roman"/>
            <w:szCs w:val="24"/>
          </w:rPr>
          <w:t>https://doi.org/10.1111/agec.12082</w:t>
        </w:r>
      </w:hyperlink>
      <w:r w:rsidR="00880A91" w:rsidRPr="00D64B02">
        <w:rPr>
          <w:rFonts w:cs="Times New Roman"/>
          <w:color w:val="000000"/>
          <w:szCs w:val="24"/>
        </w:rPr>
        <w:t xml:space="preserve"> </w:t>
      </w:r>
    </w:p>
    <w:p w14:paraId="5EA94E7D" w14:textId="6BB02056" w:rsidR="00DF7224" w:rsidRPr="00D64B02" w:rsidRDefault="002662A3" w:rsidP="00D170AC">
      <w:pPr>
        <w:pStyle w:val="ListParagraph"/>
        <w:numPr>
          <w:ilvl w:val="0"/>
          <w:numId w:val="12"/>
        </w:numPr>
        <w:spacing w:line="240" w:lineRule="auto"/>
        <w:jc w:val="both"/>
        <w:rPr>
          <w:rFonts w:cs="Times New Roman"/>
          <w:color w:val="000000" w:themeColor="text1"/>
          <w:szCs w:val="24"/>
        </w:rPr>
      </w:pPr>
      <w:r w:rsidRPr="00D64B02">
        <w:rPr>
          <w:rFonts w:cs="Times New Roman"/>
          <w:color w:val="000000"/>
          <w:szCs w:val="24"/>
        </w:rPr>
        <w:t xml:space="preserve">Jayne, T. S., Mason, N. M., Burke, W. J., &amp; Ariga, J. (2018). Taking stock of Africa's second-generation agricultural input subsidy programs. Food Policy, 75, 1-14. </w:t>
      </w:r>
      <w:hyperlink r:id="rId11" w:history="1">
        <w:r w:rsidR="00880A91" w:rsidRPr="00D64B02">
          <w:rPr>
            <w:rStyle w:val="Hyperlink"/>
            <w:rFonts w:cs="Times New Roman"/>
            <w:szCs w:val="24"/>
          </w:rPr>
          <w:t>https://doi.org/10.1016/j.foodpol.2018.01.003</w:t>
        </w:r>
      </w:hyperlink>
      <w:r w:rsidR="00880A91" w:rsidRPr="00D64B02">
        <w:rPr>
          <w:rFonts w:cs="Times New Roman"/>
          <w:color w:val="000000"/>
          <w:szCs w:val="24"/>
        </w:rPr>
        <w:t xml:space="preserve"> </w:t>
      </w:r>
    </w:p>
    <w:p w14:paraId="20350AF2" w14:textId="5ED5641F" w:rsidR="00DF7224" w:rsidRPr="00D64B02" w:rsidRDefault="002662A3" w:rsidP="00D170AC">
      <w:pPr>
        <w:pStyle w:val="ListParagraph"/>
        <w:numPr>
          <w:ilvl w:val="0"/>
          <w:numId w:val="12"/>
        </w:numPr>
        <w:spacing w:line="240" w:lineRule="auto"/>
        <w:jc w:val="both"/>
        <w:rPr>
          <w:rFonts w:cs="Times New Roman"/>
          <w:color w:val="000000" w:themeColor="text1"/>
          <w:szCs w:val="24"/>
        </w:rPr>
      </w:pPr>
      <w:r w:rsidRPr="00D64B02">
        <w:rPr>
          <w:rFonts w:cs="Times New Roman"/>
          <w:color w:val="000000"/>
          <w:szCs w:val="24"/>
        </w:rPr>
        <w:t xml:space="preserve">Kijima, Y. (2022). Effect of Nigeria's e-voucher input subsidy program on fertilizer use, rice production, and household income. Food Security, 14, 919-935. </w:t>
      </w:r>
      <w:hyperlink r:id="rId12" w:history="1">
        <w:r w:rsidR="00880A91" w:rsidRPr="00D64B02">
          <w:rPr>
            <w:rStyle w:val="Hyperlink"/>
            <w:rFonts w:cs="Times New Roman"/>
            <w:szCs w:val="24"/>
          </w:rPr>
          <w:t>https://doi.org/10.1007/s12571-022-01273-0</w:t>
        </w:r>
      </w:hyperlink>
      <w:r w:rsidR="00880A91" w:rsidRPr="00D64B02">
        <w:rPr>
          <w:rFonts w:cs="Times New Roman"/>
          <w:color w:val="000000"/>
          <w:szCs w:val="24"/>
        </w:rPr>
        <w:t xml:space="preserve"> </w:t>
      </w:r>
    </w:p>
    <w:p w14:paraId="2DF1B138" w14:textId="3B6EF438" w:rsidR="00DF7224" w:rsidRPr="00D64B02" w:rsidRDefault="002662A3" w:rsidP="00D170AC">
      <w:pPr>
        <w:pStyle w:val="ListParagraph"/>
        <w:numPr>
          <w:ilvl w:val="0"/>
          <w:numId w:val="12"/>
        </w:numPr>
        <w:spacing w:line="240" w:lineRule="auto"/>
        <w:jc w:val="both"/>
        <w:rPr>
          <w:rFonts w:cs="Times New Roman"/>
          <w:color w:val="000000" w:themeColor="text1"/>
          <w:szCs w:val="24"/>
        </w:rPr>
      </w:pPr>
      <w:r w:rsidRPr="00D64B02">
        <w:rPr>
          <w:rFonts w:cs="Times New Roman"/>
          <w:color w:val="000000"/>
          <w:szCs w:val="24"/>
        </w:rPr>
        <w:t xml:space="preserve">Kim, J., Mason, N. M., Mather, D., &amp; Wu, F. (2021). The effects of the National Agricultural Input Voucher Scheme on sustainable intensification of maize production in Tanzania. Journal of Agricultural Economics, 72(3), 857-877. </w:t>
      </w:r>
      <w:hyperlink r:id="rId13" w:history="1">
        <w:r w:rsidR="00880A91" w:rsidRPr="00D64B02">
          <w:rPr>
            <w:rStyle w:val="Hyperlink"/>
            <w:rFonts w:cs="Times New Roman"/>
            <w:szCs w:val="24"/>
          </w:rPr>
          <w:t>https://doi.org/10.1111/1477-9552.12431</w:t>
        </w:r>
      </w:hyperlink>
      <w:r w:rsidR="00880A91" w:rsidRPr="00D64B02">
        <w:rPr>
          <w:rFonts w:cs="Times New Roman"/>
          <w:color w:val="000000"/>
          <w:szCs w:val="24"/>
        </w:rPr>
        <w:t xml:space="preserve"> </w:t>
      </w:r>
    </w:p>
    <w:p w14:paraId="2C2879E0" w14:textId="2A9BE4F5" w:rsidR="00DF7224" w:rsidRPr="00D64B02" w:rsidRDefault="002662A3" w:rsidP="00D170AC">
      <w:pPr>
        <w:pStyle w:val="ListParagraph"/>
        <w:numPr>
          <w:ilvl w:val="0"/>
          <w:numId w:val="12"/>
        </w:numPr>
        <w:spacing w:line="240" w:lineRule="auto"/>
        <w:jc w:val="both"/>
        <w:rPr>
          <w:rFonts w:cs="Times New Roman"/>
          <w:color w:val="000000" w:themeColor="text1"/>
          <w:szCs w:val="24"/>
        </w:rPr>
      </w:pPr>
      <w:r w:rsidRPr="00D64B02">
        <w:rPr>
          <w:rFonts w:cs="Times New Roman"/>
          <w:color w:val="000000"/>
          <w:szCs w:val="24"/>
        </w:rPr>
        <w:t xml:space="preserve">Mason, N. M., Wineman, A., Kirimi, L., &amp; Mather, D. (2017). The effects of Kenya's 'smarter' input subsidy programme on smallholder behaviour and incomes: Do different quasi-experimental approaches lead to the same conclusions? Journal of Agricultural Economics, 68(1), 45-69. </w:t>
      </w:r>
      <w:hyperlink r:id="rId14" w:history="1">
        <w:r w:rsidR="00880A91" w:rsidRPr="00D64B02">
          <w:rPr>
            <w:rStyle w:val="Hyperlink"/>
            <w:rFonts w:cs="Times New Roman"/>
            <w:szCs w:val="24"/>
          </w:rPr>
          <w:t>https://doi.org/10.1111/1477-9552.12159</w:t>
        </w:r>
      </w:hyperlink>
      <w:r w:rsidR="00880A91" w:rsidRPr="00D64B02">
        <w:rPr>
          <w:rFonts w:cs="Times New Roman"/>
          <w:color w:val="000000"/>
          <w:szCs w:val="24"/>
        </w:rPr>
        <w:t xml:space="preserve"> </w:t>
      </w:r>
    </w:p>
    <w:p w14:paraId="27D8599F" w14:textId="39AB51F6" w:rsidR="00DF7224" w:rsidRPr="00D64B02" w:rsidRDefault="002662A3" w:rsidP="00D170AC">
      <w:pPr>
        <w:pStyle w:val="ListParagraph"/>
        <w:numPr>
          <w:ilvl w:val="0"/>
          <w:numId w:val="12"/>
        </w:numPr>
        <w:spacing w:line="240" w:lineRule="auto"/>
        <w:jc w:val="both"/>
        <w:rPr>
          <w:rFonts w:cs="Times New Roman"/>
          <w:color w:val="000000" w:themeColor="text1"/>
          <w:szCs w:val="24"/>
        </w:rPr>
      </w:pPr>
      <w:proofErr w:type="spellStart"/>
      <w:r w:rsidRPr="00D64B02">
        <w:rPr>
          <w:rFonts w:cs="Times New Roman"/>
          <w:color w:val="000000"/>
          <w:szCs w:val="24"/>
        </w:rPr>
        <w:t>Ragasa</w:t>
      </w:r>
      <w:proofErr w:type="spellEnd"/>
      <w:r w:rsidRPr="00D64B02">
        <w:rPr>
          <w:rFonts w:cs="Times New Roman"/>
          <w:color w:val="000000"/>
          <w:szCs w:val="24"/>
        </w:rPr>
        <w:t xml:space="preserve">, C., &amp; Chapoto, A. (2017). Moving in the right direction? The role of price subsidies in fertilizer </w:t>
      </w:r>
      <w:proofErr w:type="gramStart"/>
      <w:r w:rsidRPr="00D64B02">
        <w:rPr>
          <w:rFonts w:cs="Times New Roman"/>
          <w:color w:val="000000"/>
          <w:szCs w:val="24"/>
        </w:rPr>
        <w:t>use</w:t>
      </w:r>
      <w:proofErr w:type="gramEnd"/>
      <w:r w:rsidRPr="00D64B02">
        <w:rPr>
          <w:rFonts w:cs="Times New Roman"/>
          <w:color w:val="000000"/>
          <w:szCs w:val="24"/>
        </w:rPr>
        <w:t xml:space="preserve"> and maize productivity in Ghana. Food Security, 9, 329-353. </w:t>
      </w:r>
      <w:hyperlink r:id="rId15" w:history="1">
        <w:r w:rsidR="00880A91" w:rsidRPr="00D64B02">
          <w:rPr>
            <w:rStyle w:val="Hyperlink"/>
            <w:rFonts w:cs="Times New Roman"/>
            <w:szCs w:val="24"/>
          </w:rPr>
          <w:t>https://doi.org/10.1007/s12571-017-0661-7</w:t>
        </w:r>
      </w:hyperlink>
      <w:r w:rsidR="00880A91" w:rsidRPr="00D64B02">
        <w:rPr>
          <w:rFonts w:cs="Times New Roman"/>
          <w:color w:val="000000"/>
          <w:szCs w:val="24"/>
        </w:rPr>
        <w:t xml:space="preserve"> </w:t>
      </w:r>
    </w:p>
    <w:p w14:paraId="31F2FB09" w14:textId="7C7424BA" w:rsidR="00DF7224" w:rsidRPr="00D64B02" w:rsidRDefault="002662A3" w:rsidP="00D170AC">
      <w:pPr>
        <w:pStyle w:val="ListParagraph"/>
        <w:numPr>
          <w:ilvl w:val="0"/>
          <w:numId w:val="12"/>
        </w:numPr>
        <w:spacing w:line="240" w:lineRule="auto"/>
        <w:jc w:val="both"/>
        <w:rPr>
          <w:rFonts w:cs="Times New Roman"/>
          <w:color w:val="000000" w:themeColor="text1"/>
          <w:szCs w:val="24"/>
        </w:rPr>
      </w:pPr>
      <w:r w:rsidRPr="00D64B02">
        <w:rPr>
          <w:rFonts w:cs="Times New Roman"/>
          <w:color w:val="000000"/>
          <w:szCs w:val="24"/>
        </w:rPr>
        <w:t xml:space="preserve">Ricker-Gilbert, J., &amp; Jayne, T. S. (2011). Subsidies and crowding out: A double-hurdle model of fertilizer demand in Malawi. American Journal of Agricultural Economics, 93(1), 26-42. </w:t>
      </w:r>
      <w:hyperlink r:id="rId16" w:history="1">
        <w:r w:rsidR="00880A91" w:rsidRPr="00D64B02">
          <w:rPr>
            <w:rStyle w:val="Hyperlink"/>
            <w:rFonts w:cs="Times New Roman"/>
            <w:szCs w:val="24"/>
          </w:rPr>
          <w:t>https://doi.org/10.1093/ajae/aaq122</w:t>
        </w:r>
      </w:hyperlink>
      <w:r w:rsidR="00880A91" w:rsidRPr="00D64B02">
        <w:rPr>
          <w:rFonts w:cs="Times New Roman"/>
          <w:color w:val="000000"/>
          <w:szCs w:val="24"/>
        </w:rPr>
        <w:t xml:space="preserve"> </w:t>
      </w:r>
    </w:p>
    <w:p w14:paraId="342E71B5" w14:textId="0EB1F606" w:rsidR="00EC3863" w:rsidRPr="00D64B02" w:rsidRDefault="002662A3" w:rsidP="00D170AC">
      <w:pPr>
        <w:pStyle w:val="ListParagraph"/>
        <w:numPr>
          <w:ilvl w:val="0"/>
          <w:numId w:val="12"/>
        </w:numPr>
        <w:spacing w:line="240" w:lineRule="auto"/>
        <w:jc w:val="both"/>
        <w:rPr>
          <w:rFonts w:cs="Times New Roman"/>
          <w:color w:val="000000" w:themeColor="text1"/>
          <w:szCs w:val="24"/>
        </w:rPr>
      </w:pPr>
      <w:r w:rsidRPr="00D64B02">
        <w:rPr>
          <w:rFonts w:cs="Times New Roman"/>
          <w:color w:val="000000"/>
          <w:szCs w:val="24"/>
        </w:rPr>
        <w:t xml:space="preserve">Zakaria, A., Azumah, S. B., Appiah-Twumasi, M., &amp; Dagunga, G. (2021). Beyond participation: The effect of fertilizer subsidy on the adoption of certified seeds among rice farmers in Northern Ghana. The European Journal of Development Research, 33, 684-708. </w:t>
      </w:r>
      <w:hyperlink r:id="rId17" w:history="1">
        <w:r w:rsidR="00880A91" w:rsidRPr="00D64B02">
          <w:rPr>
            <w:rStyle w:val="Hyperlink"/>
            <w:rFonts w:cs="Times New Roman"/>
            <w:szCs w:val="24"/>
          </w:rPr>
          <w:t>https://doi.org/10.1057/s41287-020-00293-w</w:t>
        </w:r>
      </w:hyperlink>
      <w:r w:rsidR="00880A91" w:rsidRPr="00D64B02">
        <w:rPr>
          <w:rFonts w:cs="Times New Roman"/>
          <w:color w:val="000000"/>
          <w:szCs w:val="24"/>
        </w:rPr>
        <w:t xml:space="preserve"> </w:t>
      </w:r>
    </w:p>
    <w:p w14:paraId="69A34B89" w14:textId="5C3800CC" w:rsidR="00EC3863" w:rsidRPr="00D64B02" w:rsidRDefault="00EC3863" w:rsidP="00D170AC">
      <w:pPr>
        <w:pStyle w:val="ListParagraph"/>
        <w:numPr>
          <w:ilvl w:val="0"/>
          <w:numId w:val="12"/>
        </w:numPr>
        <w:shd w:val="clear" w:color="auto" w:fill="FFFFFF" w:themeFill="background1"/>
        <w:spacing w:line="240" w:lineRule="auto"/>
        <w:jc w:val="both"/>
        <w:rPr>
          <w:rFonts w:cs="Times New Roman"/>
          <w:color w:val="000000" w:themeColor="text1"/>
          <w:szCs w:val="24"/>
        </w:rPr>
      </w:pPr>
      <w:r w:rsidRPr="00D64B02">
        <w:rPr>
          <w:rFonts w:cs="Times New Roman"/>
          <w:color w:val="000000"/>
          <w:szCs w:val="24"/>
        </w:rPr>
        <w:lastRenderedPageBreak/>
        <w:t>Kanza, P., Vitale, J., &amp; Vitale, P. P. (2022). Agriculture in sub-Sahara Africa developing countries and the role of government: Economic perspectives. African Journal of Agricultural Research, 18(7), 493-509.</w:t>
      </w:r>
      <w:r w:rsidR="00880A91" w:rsidRPr="00D64B02">
        <w:rPr>
          <w:rFonts w:cs="Times New Roman"/>
          <w:color w:val="000000"/>
          <w:szCs w:val="24"/>
        </w:rPr>
        <w:t xml:space="preserve"> </w:t>
      </w:r>
    </w:p>
    <w:p w14:paraId="6AF1772B" w14:textId="6B8369EC" w:rsidR="00EC3863" w:rsidRPr="00D64B02" w:rsidRDefault="00EC3863" w:rsidP="00D170AC">
      <w:pPr>
        <w:pStyle w:val="ListParagraph"/>
        <w:numPr>
          <w:ilvl w:val="0"/>
          <w:numId w:val="12"/>
        </w:numPr>
        <w:shd w:val="clear" w:color="auto" w:fill="FFFFFF" w:themeFill="background1"/>
        <w:spacing w:line="240" w:lineRule="auto"/>
        <w:jc w:val="both"/>
        <w:rPr>
          <w:rFonts w:cs="Times New Roman"/>
          <w:color w:val="000000" w:themeColor="text1"/>
          <w:szCs w:val="24"/>
        </w:rPr>
      </w:pPr>
      <w:r w:rsidRPr="00D64B02">
        <w:rPr>
          <w:rFonts w:cs="Times New Roman"/>
          <w:color w:val="000000"/>
          <w:szCs w:val="24"/>
        </w:rPr>
        <w:t xml:space="preserve">Sithole, A., &amp; Olorunfemi, O. D. (2024). Sustainable Agricultural Practices in Sub-Saharan Africa: A Review of Adoption Trends, Impacts, and Challenges Among Smallholder Farmers. Sustainability, 16(22), 9766. </w:t>
      </w:r>
      <w:hyperlink r:id="rId18" w:history="1">
        <w:r w:rsidR="00880A91" w:rsidRPr="00D64B02">
          <w:rPr>
            <w:rStyle w:val="Hyperlink"/>
            <w:rFonts w:cs="Times New Roman"/>
            <w:szCs w:val="24"/>
          </w:rPr>
          <w:t>https://doi.org/10.3390/su16229766</w:t>
        </w:r>
      </w:hyperlink>
      <w:r w:rsidR="00880A91" w:rsidRPr="00D64B02">
        <w:rPr>
          <w:rFonts w:cs="Times New Roman"/>
          <w:color w:val="000000"/>
          <w:szCs w:val="24"/>
        </w:rPr>
        <w:t xml:space="preserve"> </w:t>
      </w:r>
    </w:p>
    <w:p w14:paraId="1035DB42" w14:textId="2B837E71" w:rsidR="00EC3863" w:rsidRPr="00D64B02" w:rsidRDefault="00EC3863" w:rsidP="00D170AC">
      <w:pPr>
        <w:pStyle w:val="ListParagraph"/>
        <w:numPr>
          <w:ilvl w:val="0"/>
          <w:numId w:val="12"/>
        </w:numPr>
        <w:spacing w:line="240" w:lineRule="auto"/>
        <w:jc w:val="both"/>
        <w:rPr>
          <w:rFonts w:cs="Times New Roman"/>
          <w:color w:val="000000"/>
          <w:szCs w:val="24"/>
        </w:rPr>
      </w:pPr>
      <w:proofErr w:type="spellStart"/>
      <w:r w:rsidRPr="00D64B02">
        <w:rPr>
          <w:rFonts w:cs="Times New Roman"/>
          <w:color w:val="000000"/>
          <w:szCs w:val="24"/>
        </w:rPr>
        <w:t>Manzvera</w:t>
      </w:r>
      <w:proofErr w:type="spellEnd"/>
      <w:r w:rsidRPr="00D64B02">
        <w:rPr>
          <w:rFonts w:cs="Times New Roman"/>
          <w:color w:val="000000"/>
          <w:szCs w:val="24"/>
        </w:rPr>
        <w:t>, J., &amp; Manyanga, M. (2026). Assessing the impact of input subsidies on agricultural productivity in Sub-Saharan Africa: Applied political economy analysis (AERC Working Paper 024-2025). African Economic Research Consortium.</w:t>
      </w:r>
    </w:p>
    <w:p w14:paraId="1DA40E77" w14:textId="6E968AB1" w:rsidR="00EC3863" w:rsidRPr="00D64B02" w:rsidRDefault="00EC3863" w:rsidP="00D170AC">
      <w:pPr>
        <w:pStyle w:val="ListParagraph"/>
        <w:numPr>
          <w:ilvl w:val="0"/>
          <w:numId w:val="12"/>
        </w:numPr>
        <w:spacing w:line="240" w:lineRule="auto"/>
        <w:jc w:val="both"/>
        <w:rPr>
          <w:rFonts w:cs="Times New Roman"/>
          <w:color w:val="000000" w:themeColor="text1"/>
          <w:szCs w:val="24"/>
        </w:rPr>
      </w:pPr>
      <w:proofErr w:type="spellStart"/>
      <w:r w:rsidRPr="00D64B02">
        <w:rPr>
          <w:rFonts w:cs="Times New Roman"/>
          <w:color w:val="000000"/>
          <w:szCs w:val="24"/>
        </w:rPr>
        <w:t>Nhlengethwa</w:t>
      </w:r>
      <w:proofErr w:type="spellEnd"/>
      <w:r w:rsidRPr="00D64B02">
        <w:rPr>
          <w:rFonts w:cs="Times New Roman"/>
          <w:color w:val="000000"/>
          <w:szCs w:val="24"/>
        </w:rPr>
        <w:t>, S., Thangata, P., Muthini, D., Djido, A., Njiwa, D., &amp; Nwafor, A. (2023). Review of agricultural subsidy programmes in Sub Saharan Africa: The impact of the Russia–Ukraine war. AGRA Hub for Agricultural Policy Action Policy Brief, 3.</w:t>
      </w:r>
    </w:p>
    <w:p w14:paraId="3156BCF2" w14:textId="205399BF" w:rsidR="00062B3F" w:rsidRPr="00D64B02" w:rsidRDefault="00EC3863" w:rsidP="00D170AC">
      <w:pPr>
        <w:pStyle w:val="ListParagraph"/>
        <w:numPr>
          <w:ilvl w:val="0"/>
          <w:numId w:val="12"/>
        </w:numPr>
        <w:spacing w:line="240" w:lineRule="auto"/>
        <w:jc w:val="both"/>
        <w:rPr>
          <w:rFonts w:cs="Times New Roman"/>
          <w:color w:val="000000" w:themeColor="text1"/>
          <w:szCs w:val="24"/>
        </w:rPr>
      </w:pPr>
      <w:r w:rsidRPr="00D64B02">
        <w:rPr>
          <w:rFonts w:cs="Times New Roman"/>
          <w:color w:val="000000"/>
          <w:szCs w:val="24"/>
        </w:rPr>
        <w:t>Choruma, D. J., Dirwai, T. L., Mutenje, M. J., Mustafa, M., Chimonyo, V. G. P., Jacobs-Mata, I., &amp; Mabhaudhi, T. (2024). Digitalisation in agriculture: A scoping review of technologies in practice, challenges, and opportunities for smallholder farmers in sub-saharan africa. Journal of agriculture and food research, 18, 101286.</w:t>
      </w:r>
      <w:r w:rsidR="00D170AC" w:rsidRPr="00D64B02">
        <w:rPr>
          <w:rFonts w:cs="Times New Roman"/>
          <w:szCs w:val="24"/>
        </w:rPr>
        <w:t xml:space="preserve"> </w:t>
      </w:r>
      <w:hyperlink r:id="rId19" w:history="1">
        <w:r w:rsidR="00D170AC" w:rsidRPr="00D64B02">
          <w:rPr>
            <w:rStyle w:val="Hyperlink"/>
            <w:rFonts w:cs="Times New Roman"/>
            <w:szCs w:val="24"/>
          </w:rPr>
          <w:t>https://doi.org/10.1016/j.jafr.2024.101286</w:t>
        </w:r>
      </w:hyperlink>
      <w:r w:rsidR="00D170AC" w:rsidRPr="00D64B02">
        <w:rPr>
          <w:rFonts w:cs="Times New Roman"/>
          <w:color w:val="000000"/>
          <w:szCs w:val="24"/>
        </w:rPr>
        <w:t xml:space="preserve"> </w:t>
      </w:r>
    </w:p>
    <w:p w14:paraId="51954CAE" w14:textId="423DE82A" w:rsidR="00DF7224" w:rsidRPr="00D64B02" w:rsidRDefault="00062B3F" w:rsidP="00D170AC">
      <w:pPr>
        <w:pStyle w:val="ListParagraph"/>
        <w:numPr>
          <w:ilvl w:val="0"/>
          <w:numId w:val="12"/>
        </w:numPr>
        <w:spacing w:line="240" w:lineRule="auto"/>
        <w:jc w:val="both"/>
        <w:rPr>
          <w:rFonts w:cs="Times New Roman"/>
          <w:color w:val="000000" w:themeColor="text1"/>
          <w:szCs w:val="24"/>
        </w:rPr>
      </w:pPr>
      <w:proofErr w:type="spellStart"/>
      <w:r w:rsidRPr="00D64B02">
        <w:rPr>
          <w:rFonts w:cs="Times New Roman"/>
          <w:color w:val="000000"/>
          <w:szCs w:val="24"/>
        </w:rPr>
        <w:t>Nyambo</w:t>
      </w:r>
      <w:proofErr w:type="spellEnd"/>
      <w:r w:rsidRPr="00D64B02">
        <w:rPr>
          <w:rFonts w:cs="Times New Roman"/>
          <w:color w:val="000000"/>
          <w:szCs w:val="24"/>
        </w:rPr>
        <w:t>, P., Nyambo, P., Mavunganidze, Z., &amp; Nyambo, V. (2022). Sub-Saharan Africa smallholder farmers agricultural productivity: risks and challenges. In Food security for African smallholder farmers (pp. 47-58). Singapore: Springer Nature Singapore.</w:t>
      </w:r>
      <w:r w:rsidR="00D170AC" w:rsidRPr="00D64B02">
        <w:rPr>
          <w:rFonts w:cs="Times New Roman"/>
          <w:szCs w:val="24"/>
        </w:rPr>
        <w:t xml:space="preserve"> </w:t>
      </w:r>
      <w:hyperlink r:id="rId20" w:history="1">
        <w:r w:rsidR="00D170AC" w:rsidRPr="00D64B02">
          <w:rPr>
            <w:rStyle w:val="Hyperlink"/>
            <w:rFonts w:cs="Times New Roman"/>
            <w:szCs w:val="24"/>
          </w:rPr>
          <w:t>https://doi.org/10.1007/978-981-16-6771-8_3</w:t>
        </w:r>
      </w:hyperlink>
      <w:r w:rsidR="00D170AC" w:rsidRPr="00D64B02">
        <w:rPr>
          <w:rFonts w:cs="Times New Roman"/>
          <w:color w:val="000000"/>
          <w:szCs w:val="24"/>
        </w:rPr>
        <w:t xml:space="preserve"> </w:t>
      </w:r>
    </w:p>
    <w:p w14:paraId="56D3AEA4" w14:textId="5C005A70" w:rsidR="00DF7224" w:rsidRPr="00D64B02" w:rsidRDefault="00062B3F" w:rsidP="00D170AC">
      <w:pPr>
        <w:pStyle w:val="ListParagraph"/>
        <w:numPr>
          <w:ilvl w:val="0"/>
          <w:numId w:val="12"/>
        </w:numPr>
        <w:spacing w:line="240" w:lineRule="auto"/>
        <w:jc w:val="both"/>
        <w:rPr>
          <w:rFonts w:cs="Times New Roman"/>
          <w:color w:val="000000" w:themeColor="text1"/>
          <w:szCs w:val="24"/>
        </w:rPr>
      </w:pPr>
      <w:proofErr w:type="spellStart"/>
      <w:r w:rsidRPr="00D64B02">
        <w:rPr>
          <w:rFonts w:cs="Times New Roman"/>
          <w:color w:val="000000"/>
          <w:szCs w:val="24"/>
        </w:rPr>
        <w:t>Chapoto</w:t>
      </w:r>
      <w:proofErr w:type="spellEnd"/>
      <w:r w:rsidRPr="00D64B02">
        <w:rPr>
          <w:rFonts w:cs="Times New Roman"/>
          <w:color w:val="000000"/>
          <w:szCs w:val="24"/>
        </w:rPr>
        <w:t>, A., &amp; Ragasa, C. (2015). Moving in the right direction? Maize productivity and fertilizer use and use intensity in Ghana. International Food Policy Research Institute (IFPRI).</w:t>
      </w:r>
    </w:p>
    <w:p w14:paraId="11DFB1CE" w14:textId="149A69F6" w:rsidR="00DF7224" w:rsidRPr="00D64B02" w:rsidRDefault="00062B3F" w:rsidP="00D170AC">
      <w:pPr>
        <w:pStyle w:val="ListParagraph"/>
        <w:numPr>
          <w:ilvl w:val="0"/>
          <w:numId w:val="12"/>
        </w:numPr>
        <w:spacing w:line="240" w:lineRule="auto"/>
        <w:jc w:val="both"/>
        <w:rPr>
          <w:rFonts w:cs="Times New Roman"/>
          <w:color w:val="000000" w:themeColor="text1"/>
          <w:szCs w:val="24"/>
        </w:rPr>
      </w:pPr>
      <w:r w:rsidRPr="00D64B02">
        <w:rPr>
          <w:rFonts w:cs="Times New Roman"/>
          <w:color w:val="000000"/>
          <w:szCs w:val="24"/>
        </w:rPr>
        <w:t xml:space="preserve">Karata, R. (2024). The impact of smart input subsidy program on farm productivity: Evidence from Tanzania. Scientific African, 24, e02181. </w:t>
      </w:r>
      <w:hyperlink r:id="rId21" w:history="1">
        <w:r w:rsidR="00E40ADA" w:rsidRPr="00D64B02">
          <w:rPr>
            <w:rStyle w:val="Hyperlink"/>
            <w:rFonts w:cs="Times New Roman"/>
            <w:szCs w:val="24"/>
          </w:rPr>
          <w:t>https://doi.org/10.1016/j.sciaf.2024.e02181</w:t>
        </w:r>
      </w:hyperlink>
      <w:r w:rsidR="00E40ADA" w:rsidRPr="00D64B02">
        <w:rPr>
          <w:rFonts w:cs="Times New Roman"/>
          <w:color w:val="000000"/>
          <w:szCs w:val="24"/>
        </w:rPr>
        <w:t xml:space="preserve"> </w:t>
      </w:r>
    </w:p>
    <w:p w14:paraId="4DB4F8B6" w14:textId="02DFABBB" w:rsidR="00DF7224" w:rsidRPr="00D64B02" w:rsidRDefault="00062B3F" w:rsidP="00D170AC">
      <w:pPr>
        <w:pStyle w:val="ListParagraph"/>
        <w:numPr>
          <w:ilvl w:val="0"/>
          <w:numId w:val="12"/>
        </w:numPr>
        <w:spacing w:line="240" w:lineRule="auto"/>
        <w:jc w:val="both"/>
        <w:rPr>
          <w:rFonts w:cs="Times New Roman"/>
          <w:color w:val="000000" w:themeColor="text1"/>
          <w:szCs w:val="24"/>
        </w:rPr>
      </w:pPr>
      <w:r w:rsidRPr="00D64B02">
        <w:rPr>
          <w:rFonts w:cs="Times New Roman"/>
          <w:color w:val="000000"/>
          <w:szCs w:val="24"/>
        </w:rPr>
        <w:t>Nguyen, L., Russ, J. D., &amp; Triyana, M. M. (2023). The effect of agricultural input subsidies on productivity: A meta-analysis (Policy Research Working Paper No. 10399). World Bank.</w:t>
      </w:r>
    </w:p>
    <w:sectPr w:rsidR="00DF7224" w:rsidRPr="00D64B02" w:rsidSect="00034616">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A1217" w14:textId="77777777" w:rsidR="00C8632D" w:rsidRDefault="00C8632D" w:rsidP="00C761A9">
      <w:pPr>
        <w:spacing w:after="0" w:line="240" w:lineRule="auto"/>
      </w:pPr>
      <w:r>
        <w:separator/>
      </w:r>
    </w:p>
  </w:endnote>
  <w:endnote w:type="continuationSeparator" w:id="0">
    <w:p w14:paraId="54E03F8D" w14:textId="77777777" w:rsidR="00C8632D" w:rsidRDefault="00C8632D" w:rsidP="00C76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52B87" w14:textId="77777777" w:rsidR="00C761A9" w:rsidRDefault="00C761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C3E88" w14:textId="77777777" w:rsidR="00C761A9" w:rsidRDefault="00C761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7C6D8" w14:textId="77777777" w:rsidR="00C761A9" w:rsidRDefault="00C76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768D1" w14:textId="77777777" w:rsidR="00C8632D" w:rsidRDefault="00C8632D" w:rsidP="00C761A9">
      <w:pPr>
        <w:spacing w:after="0" w:line="240" w:lineRule="auto"/>
      </w:pPr>
      <w:r>
        <w:separator/>
      </w:r>
    </w:p>
  </w:footnote>
  <w:footnote w:type="continuationSeparator" w:id="0">
    <w:p w14:paraId="6CA09D4E" w14:textId="77777777" w:rsidR="00C8632D" w:rsidRDefault="00C8632D" w:rsidP="00C76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4A7E6" w14:textId="41CB7873" w:rsidR="00C761A9" w:rsidRDefault="00C8632D">
    <w:pPr>
      <w:pStyle w:val="Header"/>
    </w:pPr>
    <w:r>
      <w:rPr>
        <w:noProof/>
      </w:rPr>
      <w:pict w14:anchorId="02423A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53609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46FD0" w14:textId="6E2F0885" w:rsidR="00C761A9" w:rsidRDefault="00C8632D">
    <w:pPr>
      <w:pStyle w:val="Header"/>
    </w:pPr>
    <w:r>
      <w:rPr>
        <w:noProof/>
      </w:rPr>
      <w:pict w14:anchorId="1EC7B3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53609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B82DA" w14:textId="240F82F7" w:rsidR="00C761A9" w:rsidRDefault="00C8632D">
    <w:pPr>
      <w:pStyle w:val="Header"/>
    </w:pPr>
    <w:r>
      <w:rPr>
        <w:noProof/>
      </w:rPr>
      <w:pict w14:anchorId="7A6F8A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53609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7BA7E80"/>
    <w:multiLevelType w:val="hybridMultilevel"/>
    <w:tmpl w:val="9224FA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5F326B"/>
    <w:multiLevelType w:val="hybridMultilevel"/>
    <w:tmpl w:val="191E177A"/>
    <w:lvl w:ilvl="0" w:tplc="B5BA2ACC">
      <w:start w:val="1"/>
      <w:numFmt w:val="decimal"/>
      <w:lvlText w:val="%1."/>
      <w:lvlJc w:val="left"/>
      <w:pPr>
        <w:ind w:left="1080" w:hanging="360"/>
      </w:pPr>
      <w:rPr>
        <w:rFonts w:cstheme="minorBid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1B5810"/>
    <w:multiLevelType w:val="hybridMultilevel"/>
    <w:tmpl w:val="3984D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21A3F"/>
    <w:multiLevelType w:val="hybridMultilevel"/>
    <w:tmpl w:val="32F42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AE2365"/>
    <w:multiLevelType w:val="hybridMultilevel"/>
    <w:tmpl w:val="0F1C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C228B3"/>
    <w:multiLevelType w:val="hybridMultilevel"/>
    <w:tmpl w:val="1B54BF7C"/>
    <w:lvl w:ilvl="0" w:tplc="B5BA2ACC">
      <w:start w:val="1"/>
      <w:numFmt w:val="decimal"/>
      <w:lvlText w:val="%1."/>
      <w:lvlJc w:val="left"/>
      <w:pPr>
        <w:ind w:left="1080" w:hanging="360"/>
      </w:pPr>
      <w:rPr>
        <w:rFonts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0D0037"/>
    <w:multiLevelType w:val="hybridMultilevel"/>
    <w:tmpl w:val="B5BA5610"/>
    <w:lvl w:ilvl="0" w:tplc="B5BA2ACC">
      <w:start w:val="1"/>
      <w:numFmt w:val="decimal"/>
      <w:lvlText w:val="%1."/>
      <w:lvlJc w:val="left"/>
      <w:pPr>
        <w:ind w:left="1080" w:hanging="360"/>
      </w:pPr>
      <w:rPr>
        <w:rFonts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9"/>
  </w:num>
  <w:num w:numId="12">
    <w:abstractNumId w:val="10"/>
  </w:num>
  <w:num w:numId="13">
    <w:abstractNumId w:val="14"/>
  </w:num>
  <w:num w:numId="14">
    <w:abstractNumId w:val="15"/>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QwNjcwNjIyNLc0NjVX0lEKTi0uzszPAykwqgUA9/ZUFiwAAAA="/>
  </w:docVars>
  <w:rsids>
    <w:rsidRoot w:val="00B47730"/>
    <w:rsid w:val="00034616"/>
    <w:rsid w:val="00037C75"/>
    <w:rsid w:val="0006063C"/>
    <w:rsid w:val="0006290B"/>
    <w:rsid w:val="00062B3F"/>
    <w:rsid w:val="00076BEB"/>
    <w:rsid w:val="000F0A4D"/>
    <w:rsid w:val="00101EC5"/>
    <w:rsid w:val="0010416E"/>
    <w:rsid w:val="00110FF2"/>
    <w:rsid w:val="001462D5"/>
    <w:rsid w:val="0015074B"/>
    <w:rsid w:val="00154BBF"/>
    <w:rsid w:val="00166FDB"/>
    <w:rsid w:val="00171DAB"/>
    <w:rsid w:val="00191AA9"/>
    <w:rsid w:val="001A289C"/>
    <w:rsid w:val="001F35EF"/>
    <w:rsid w:val="00207B9E"/>
    <w:rsid w:val="00215A5D"/>
    <w:rsid w:val="00227A20"/>
    <w:rsid w:val="002662A3"/>
    <w:rsid w:val="00272155"/>
    <w:rsid w:val="0029639D"/>
    <w:rsid w:val="002D7A6C"/>
    <w:rsid w:val="00326F90"/>
    <w:rsid w:val="0034285A"/>
    <w:rsid w:val="00370EC5"/>
    <w:rsid w:val="0039214A"/>
    <w:rsid w:val="00496DD6"/>
    <w:rsid w:val="004C21DA"/>
    <w:rsid w:val="004E2753"/>
    <w:rsid w:val="00522CB1"/>
    <w:rsid w:val="005A660D"/>
    <w:rsid w:val="005F7442"/>
    <w:rsid w:val="00621F05"/>
    <w:rsid w:val="00625BB3"/>
    <w:rsid w:val="006454F2"/>
    <w:rsid w:val="006772B8"/>
    <w:rsid w:val="007017C7"/>
    <w:rsid w:val="007339A1"/>
    <w:rsid w:val="00764B9B"/>
    <w:rsid w:val="00764CBA"/>
    <w:rsid w:val="00766E87"/>
    <w:rsid w:val="00787F89"/>
    <w:rsid w:val="007E052B"/>
    <w:rsid w:val="00801809"/>
    <w:rsid w:val="00810686"/>
    <w:rsid w:val="00851B3D"/>
    <w:rsid w:val="00866F93"/>
    <w:rsid w:val="00880A91"/>
    <w:rsid w:val="00902B96"/>
    <w:rsid w:val="009051E5"/>
    <w:rsid w:val="00921C74"/>
    <w:rsid w:val="009C3055"/>
    <w:rsid w:val="00A34271"/>
    <w:rsid w:val="00A50543"/>
    <w:rsid w:val="00A51930"/>
    <w:rsid w:val="00AA1D8D"/>
    <w:rsid w:val="00AB1377"/>
    <w:rsid w:val="00B47730"/>
    <w:rsid w:val="00B60042"/>
    <w:rsid w:val="00BB6E1F"/>
    <w:rsid w:val="00BC7D66"/>
    <w:rsid w:val="00C07998"/>
    <w:rsid w:val="00C66A9E"/>
    <w:rsid w:val="00C67C65"/>
    <w:rsid w:val="00C761A9"/>
    <w:rsid w:val="00C84242"/>
    <w:rsid w:val="00C8632D"/>
    <w:rsid w:val="00CB0664"/>
    <w:rsid w:val="00CB7FB8"/>
    <w:rsid w:val="00CC0A90"/>
    <w:rsid w:val="00D04DDC"/>
    <w:rsid w:val="00D163DC"/>
    <w:rsid w:val="00D170AC"/>
    <w:rsid w:val="00D64B02"/>
    <w:rsid w:val="00DF4735"/>
    <w:rsid w:val="00DF7224"/>
    <w:rsid w:val="00E22C48"/>
    <w:rsid w:val="00E40ADA"/>
    <w:rsid w:val="00EC3863"/>
    <w:rsid w:val="00F070D1"/>
    <w:rsid w:val="00F52BA4"/>
    <w:rsid w:val="00F54DEA"/>
    <w:rsid w:val="00F57D63"/>
    <w:rsid w:val="00F96C2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9C6F421"/>
  <w14:defaultImageDpi w14:val="300"/>
  <w15:docId w15:val="{6D16DD6F-E01F-4B4C-BD93-354E7342E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34271"/>
    <w:rPr>
      <w:color w:val="0000FF" w:themeColor="hyperlink"/>
      <w:u w:val="single"/>
    </w:rPr>
  </w:style>
  <w:style w:type="character" w:customStyle="1" w:styleId="UnresolvedMention1">
    <w:name w:val="Unresolved Mention1"/>
    <w:basedOn w:val="DefaultParagraphFont"/>
    <w:uiPriority w:val="99"/>
    <w:semiHidden/>
    <w:unhideWhenUsed/>
    <w:rsid w:val="00A34271"/>
    <w:rPr>
      <w:color w:val="605E5C"/>
      <w:shd w:val="clear" w:color="auto" w:fill="E1DFDD"/>
    </w:rPr>
  </w:style>
  <w:style w:type="paragraph" w:customStyle="1" w:styleId="FirstParagraph">
    <w:name w:val="First Paragraph"/>
    <w:basedOn w:val="BodyText"/>
    <w:next w:val="BodyText"/>
    <w:qFormat/>
    <w:rsid w:val="00A34271"/>
    <w:pPr>
      <w:spacing w:before="180" w:after="180" w:line="240" w:lineRule="auto"/>
    </w:pPr>
    <w:rPr>
      <w:rFonts w:asciiTheme="minorHAnsi" w:eastAsiaTheme="minorHAnsi" w:hAnsiTheme="minorHAnsi"/>
      <w:szCs w:val="24"/>
    </w:rPr>
  </w:style>
  <w:style w:type="paragraph" w:styleId="NormalWeb">
    <w:name w:val="Normal (Web)"/>
    <w:basedOn w:val="Normal"/>
    <w:uiPriority w:val="99"/>
    <w:unhideWhenUsed/>
    <w:rsid w:val="00F57D63"/>
    <w:pPr>
      <w:spacing w:before="100" w:beforeAutospacing="1" w:after="100" w:afterAutospacing="1" w:line="240" w:lineRule="auto"/>
    </w:pPr>
    <w:rPr>
      <w:rFonts w:cs="Times New Roman"/>
      <w:szCs w:val="24"/>
    </w:rPr>
  </w:style>
  <w:style w:type="character" w:styleId="UnresolvedMention">
    <w:name w:val="Unresolved Mention"/>
    <w:basedOn w:val="DefaultParagraphFont"/>
    <w:uiPriority w:val="99"/>
    <w:semiHidden/>
    <w:unhideWhenUsed/>
    <w:rsid w:val="00880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49515">
      <w:bodyDiv w:val="1"/>
      <w:marLeft w:val="0"/>
      <w:marRight w:val="0"/>
      <w:marTop w:val="0"/>
      <w:marBottom w:val="0"/>
      <w:divBdr>
        <w:top w:val="none" w:sz="0" w:space="0" w:color="auto"/>
        <w:left w:val="none" w:sz="0" w:space="0" w:color="auto"/>
        <w:bottom w:val="none" w:sz="0" w:space="0" w:color="auto"/>
        <w:right w:val="none" w:sz="0" w:space="0" w:color="auto"/>
      </w:divBdr>
    </w:div>
    <w:div w:id="356468751">
      <w:bodyDiv w:val="1"/>
      <w:marLeft w:val="0"/>
      <w:marRight w:val="0"/>
      <w:marTop w:val="0"/>
      <w:marBottom w:val="0"/>
      <w:divBdr>
        <w:top w:val="none" w:sz="0" w:space="0" w:color="auto"/>
        <w:left w:val="none" w:sz="0" w:space="0" w:color="auto"/>
        <w:bottom w:val="none" w:sz="0" w:space="0" w:color="auto"/>
        <w:right w:val="none" w:sz="0" w:space="0" w:color="auto"/>
      </w:divBdr>
      <w:divsChild>
        <w:div w:id="1724524887">
          <w:marLeft w:val="0"/>
          <w:marRight w:val="0"/>
          <w:marTop w:val="0"/>
          <w:marBottom w:val="0"/>
          <w:divBdr>
            <w:top w:val="none" w:sz="0" w:space="0" w:color="auto"/>
            <w:left w:val="none" w:sz="0" w:space="0" w:color="auto"/>
            <w:bottom w:val="none" w:sz="0" w:space="0" w:color="auto"/>
            <w:right w:val="none" w:sz="0" w:space="0" w:color="auto"/>
          </w:divBdr>
          <w:divsChild>
            <w:div w:id="1482696562">
              <w:marLeft w:val="0"/>
              <w:marRight w:val="0"/>
              <w:marTop w:val="0"/>
              <w:marBottom w:val="0"/>
              <w:divBdr>
                <w:top w:val="none" w:sz="0" w:space="0" w:color="auto"/>
                <w:left w:val="none" w:sz="0" w:space="0" w:color="auto"/>
                <w:bottom w:val="none" w:sz="0" w:space="0" w:color="auto"/>
                <w:right w:val="none" w:sz="0" w:space="0" w:color="auto"/>
              </w:divBdr>
              <w:divsChild>
                <w:div w:id="158078886">
                  <w:marLeft w:val="0"/>
                  <w:marRight w:val="0"/>
                  <w:marTop w:val="0"/>
                  <w:marBottom w:val="0"/>
                  <w:divBdr>
                    <w:top w:val="none" w:sz="0" w:space="0" w:color="auto"/>
                    <w:left w:val="none" w:sz="0" w:space="0" w:color="auto"/>
                    <w:bottom w:val="none" w:sz="0" w:space="0" w:color="auto"/>
                    <w:right w:val="none" w:sz="0" w:space="0" w:color="auto"/>
                  </w:divBdr>
                  <w:divsChild>
                    <w:div w:id="1842236101">
                      <w:marLeft w:val="0"/>
                      <w:marRight w:val="0"/>
                      <w:marTop w:val="0"/>
                      <w:marBottom w:val="0"/>
                      <w:divBdr>
                        <w:top w:val="none" w:sz="0" w:space="0" w:color="auto"/>
                        <w:left w:val="none" w:sz="0" w:space="0" w:color="auto"/>
                        <w:bottom w:val="none" w:sz="0" w:space="0" w:color="auto"/>
                        <w:right w:val="none" w:sz="0" w:space="0" w:color="auto"/>
                      </w:divBdr>
                      <w:divsChild>
                        <w:div w:id="494152837">
                          <w:marLeft w:val="0"/>
                          <w:marRight w:val="0"/>
                          <w:marTop w:val="0"/>
                          <w:marBottom w:val="0"/>
                          <w:divBdr>
                            <w:top w:val="none" w:sz="0" w:space="0" w:color="auto"/>
                            <w:left w:val="none" w:sz="0" w:space="0" w:color="auto"/>
                            <w:bottom w:val="none" w:sz="0" w:space="0" w:color="auto"/>
                            <w:right w:val="none" w:sz="0" w:space="0" w:color="auto"/>
                          </w:divBdr>
                          <w:divsChild>
                            <w:div w:id="52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429612">
      <w:bodyDiv w:val="1"/>
      <w:marLeft w:val="0"/>
      <w:marRight w:val="0"/>
      <w:marTop w:val="0"/>
      <w:marBottom w:val="0"/>
      <w:divBdr>
        <w:top w:val="none" w:sz="0" w:space="0" w:color="auto"/>
        <w:left w:val="none" w:sz="0" w:space="0" w:color="auto"/>
        <w:bottom w:val="none" w:sz="0" w:space="0" w:color="auto"/>
        <w:right w:val="none" w:sz="0" w:space="0" w:color="auto"/>
      </w:divBdr>
    </w:div>
    <w:div w:id="1050422636">
      <w:bodyDiv w:val="1"/>
      <w:marLeft w:val="0"/>
      <w:marRight w:val="0"/>
      <w:marTop w:val="0"/>
      <w:marBottom w:val="0"/>
      <w:divBdr>
        <w:top w:val="none" w:sz="0" w:space="0" w:color="auto"/>
        <w:left w:val="none" w:sz="0" w:space="0" w:color="auto"/>
        <w:bottom w:val="none" w:sz="0" w:space="0" w:color="auto"/>
        <w:right w:val="none" w:sz="0" w:space="0" w:color="auto"/>
      </w:divBdr>
    </w:div>
    <w:div w:id="1159157570">
      <w:bodyDiv w:val="1"/>
      <w:marLeft w:val="0"/>
      <w:marRight w:val="0"/>
      <w:marTop w:val="0"/>
      <w:marBottom w:val="0"/>
      <w:divBdr>
        <w:top w:val="none" w:sz="0" w:space="0" w:color="auto"/>
        <w:left w:val="none" w:sz="0" w:space="0" w:color="auto"/>
        <w:bottom w:val="none" w:sz="0" w:space="0" w:color="auto"/>
        <w:right w:val="none" w:sz="0" w:space="0" w:color="auto"/>
      </w:divBdr>
    </w:div>
    <w:div w:id="1223828533">
      <w:bodyDiv w:val="1"/>
      <w:marLeft w:val="0"/>
      <w:marRight w:val="0"/>
      <w:marTop w:val="0"/>
      <w:marBottom w:val="0"/>
      <w:divBdr>
        <w:top w:val="none" w:sz="0" w:space="0" w:color="auto"/>
        <w:left w:val="none" w:sz="0" w:space="0" w:color="auto"/>
        <w:bottom w:val="none" w:sz="0" w:space="0" w:color="auto"/>
        <w:right w:val="none" w:sz="0" w:space="0" w:color="auto"/>
      </w:divBdr>
    </w:div>
    <w:div w:id="1625378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004/AG.ECON.246281" TargetMode="External"/><Relationship Id="rId13" Type="http://schemas.openxmlformats.org/officeDocument/2006/relationships/hyperlink" Target="https://doi.org/10.1111/1477-9552.12431" TargetMode="External"/><Relationship Id="rId18" Type="http://schemas.openxmlformats.org/officeDocument/2006/relationships/hyperlink" Target="https://doi.org/10.3390/su16229766"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016/j.sciaf.2024.e02181" TargetMode="External"/><Relationship Id="rId7" Type="http://schemas.openxmlformats.org/officeDocument/2006/relationships/endnotes" Target="endnotes.xml"/><Relationship Id="rId12" Type="http://schemas.openxmlformats.org/officeDocument/2006/relationships/hyperlink" Target="https://doi.org/10.1007/s12571-022-01273-0" TargetMode="External"/><Relationship Id="rId17" Type="http://schemas.openxmlformats.org/officeDocument/2006/relationships/hyperlink" Target="https://doi.org/10.1057/s41287-020-00293-w"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93/ajae/aaq122" TargetMode="External"/><Relationship Id="rId20" Type="http://schemas.openxmlformats.org/officeDocument/2006/relationships/hyperlink" Target="https://doi.org/10.1007/978-981-16-6771-8_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foodpol.2018.01.003"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07/s12571-017-0661-7"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111/agec.12082" TargetMode="External"/><Relationship Id="rId19" Type="http://schemas.openxmlformats.org/officeDocument/2006/relationships/hyperlink" Target="https://doi.org/10.1016/j.jafr.2024.101286" TargetMode="External"/><Relationship Id="rId4" Type="http://schemas.openxmlformats.org/officeDocument/2006/relationships/settings" Target="settings.xml"/><Relationship Id="rId9" Type="http://schemas.openxmlformats.org/officeDocument/2006/relationships/hyperlink" Target="https://doi.org/10.1007/s12571-020-01130-y" TargetMode="External"/><Relationship Id="rId14" Type="http://schemas.openxmlformats.org/officeDocument/2006/relationships/hyperlink" Target="https://doi.org/10.1111/1477-9552.12159"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CB9EE-24A6-402F-9FAA-454748C5C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5336</Words>
  <Characters>30421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marfooseijustice5@gmail.com</cp:lastModifiedBy>
  <cp:revision>3</cp:revision>
  <dcterms:created xsi:type="dcterms:W3CDTF">2026-05-08T09:17:00Z</dcterms:created>
  <dcterms:modified xsi:type="dcterms:W3CDTF">2026-05-08T09:17:00Z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6816a5e8-67a3-4eab-9d23-14ec5126d372</vt:lpwstr>
  </property>
</Properties>
</file>