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3E03" w14:textId="2E4A879D" w:rsidR="004D7ADC" w:rsidRPr="008256E7" w:rsidRDefault="008256E7" w:rsidP="00123448">
      <w:pPr>
        <w:spacing w:line="240" w:lineRule="auto"/>
        <w:ind w:left="-630"/>
        <w:jc w:val="both"/>
        <w:rPr>
          <w:rFonts w:ascii="Times New Roman" w:hAnsi="Times New Roman" w:cs="Times New Roman"/>
          <w:b/>
          <w:sz w:val="24"/>
          <w:szCs w:val="24"/>
        </w:rPr>
      </w:pPr>
      <w:r w:rsidRPr="008256E7">
        <w:rPr>
          <w:rFonts w:ascii="Times New Roman" w:hAnsi="Times New Roman" w:cs="Times New Roman"/>
          <w:b/>
          <w:sz w:val="24"/>
          <w:szCs w:val="24"/>
        </w:rPr>
        <w:t xml:space="preserve">INVESTIGATING </w:t>
      </w:r>
      <w:r w:rsidR="00A14654" w:rsidRPr="008256E7">
        <w:rPr>
          <w:rFonts w:ascii="Times New Roman" w:hAnsi="Times New Roman" w:cs="Times New Roman"/>
          <w:b/>
          <w:sz w:val="24"/>
          <w:szCs w:val="24"/>
        </w:rPr>
        <w:t>SEED GERMINATION AND EARLY SEEDLING DEVELOPMENT OF SELECTED MOIST FOREST TIMBER SPECIES IN UMUDIKE, ABIA STATE</w:t>
      </w:r>
      <w:r w:rsidR="00361B6A">
        <w:rPr>
          <w:rFonts w:ascii="Times New Roman" w:hAnsi="Times New Roman" w:cs="Times New Roman"/>
          <w:b/>
          <w:sz w:val="24"/>
          <w:szCs w:val="24"/>
        </w:rPr>
        <w:t>,</w:t>
      </w:r>
      <w:r w:rsidR="00A14654" w:rsidRPr="008256E7">
        <w:rPr>
          <w:rFonts w:ascii="Times New Roman" w:hAnsi="Times New Roman" w:cs="Times New Roman"/>
          <w:b/>
          <w:sz w:val="24"/>
          <w:szCs w:val="24"/>
        </w:rPr>
        <w:t xml:space="preserve"> NIGERIA. </w:t>
      </w:r>
    </w:p>
    <w:p w14:paraId="2501DE51" w14:textId="77777777" w:rsidR="00CA5A8C" w:rsidRPr="008256E7" w:rsidRDefault="00CA5A8C" w:rsidP="00F744E5">
      <w:pPr>
        <w:spacing w:after="0" w:line="240" w:lineRule="auto"/>
        <w:rPr>
          <w:b/>
          <w:bCs/>
          <w:color w:val="000000"/>
          <w:sz w:val="28"/>
          <w:szCs w:val="28"/>
        </w:rPr>
      </w:pPr>
    </w:p>
    <w:p w14:paraId="4EC17A6E" w14:textId="77777777" w:rsidR="009E5CB8" w:rsidRPr="009E5CB8" w:rsidRDefault="009E5CB8" w:rsidP="009E5CB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E5CB8">
        <w:rPr>
          <w:rFonts w:ascii="Times New Roman" w:eastAsia="Times New Roman" w:hAnsi="Times New Roman" w:cs="Times New Roman"/>
          <w:b/>
          <w:bCs/>
          <w:sz w:val="24"/>
          <w:szCs w:val="24"/>
        </w:rPr>
        <w:t>ABSTRACT</w:t>
      </w:r>
    </w:p>
    <w:p w14:paraId="4740319B" w14:textId="0F60C897" w:rsidR="009E5CB8" w:rsidRPr="009E5CB8" w:rsidRDefault="009E5CB8" w:rsidP="009E5CB8">
      <w:pPr>
        <w:spacing w:before="100" w:beforeAutospacing="1" w:after="100" w:afterAutospacing="1" w:line="240" w:lineRule="auto"/>
        <w:jc w:val="both"/>
        <w:rPr>
          <w:rFonts w:ascii="Times New Roman" w:eastAsia="Times New Roman" w:hAnsi="Times New Roman" w:cs="Times New Roman"/>
          <w:sz w:val="24"/>
          <w:szCs w:val="24"/>
        </w:rPr>
      </w:pPr>
      <w:r w:rsidRPr="009E5CB8">
        <w:rPr>
          <w:rFonts w:ascii="Times New Roman" w:eastAsia="Times New Roman" w:hAnsi="Times New Roman" w:cs="Times New Roman"/>
          <w:sz w:val="24"/>
          <w:szCs w:val="24"/>
        </w:rPr>
        <w:t>This study evaluated seed germination and early seedling growth performance of five economically important tropical timber species</w:t>
      </w:r>
      <w:r>
        <w:rPr>
          <w:rFonts w:ascii="Times New Roman" w:eastAsia="Times New Roman" w:hAnsi="Times New Roman" w:cs="Times New Roman"/>
          <w:sz w:val="24"/>
          <w:szCs w:val="24"/>
        </w:rPr>
        <w:t xml:space="preserve"> such as </w:t>
      </w:r>
      <w:proofErr w:type="spellStart"/>
      <w:r w:rsidRPr="009E5CB8">
        <w:rPr>
          <w:rFonts w:ascii="Times New Roman" w:eastAsia="Times New Roman" w:hAnsi="Times New Roman" w:cs="Times New Roman"/>
          <w:i/>
          <w:iCs/>
          <w:sz w:val="24"/>
          <w:szCs w:val="24"/>
        </w:rPr>
        <w:t>Irvingia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gabonensis</w:t>
      </w:r>
      <w:proofErr w:type="spellEnd"/>
      <w:r w:rsidRPr="009E5CB8">
        <w:rPr>
          <w:rFonts w:ascii="Times New Roman" w:eastAsia="Times New Roman" w:hAnsi="Times New Roman" w:cs="Times New Roman"/>
          <w:sz w:val="24"/>
          <w:szCs w:val="24"/>
        </w:rPr>
        <w:t xml:space="preserve">, </w:t>
      </w:r>
      <w:proofErr w:type="spellStart"/>
      <w:r w:rsidRPr="009E5CB8">
        <w:rPr>
          <w:rFonts w:ascii="Times New Roman" w:eastAsia="Times New Roman" w:hAnsi="Times New Roman" w:cs="Times New Roman"/>
          <w:i/>
          <w:iCs/>
          <w:sz w:val="24"/>
          <w:szCs w:val="24"/>
        </w:rPr>
        <w:t>Milicia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excelsa</w:t>
      </w:r>
      <w:proofErr w:type="spellEnd"/>
      <w:r w:rsidRPr="009E5CB8">
        <w:rPr>
          <w:rFonts w:ascii="Times New Roman" w:eastAsia="Times New Roman" w:hAnsi="Times New Roman" w:cs="Times New Roman"/>
          <w:sz w:val="24"/>
          <w:szCs w:val="24"/>
        </w:rPr>
        <w:t xml:space="preserve">, </w:t>
      </w:r>
      <w:r w:rsidRPr="009E5CB8">
        <w:rPr>
          <w:rFonts w:ascii="Times New Roman" w:eastAsia="Times New Roman" w:hAnsi="Times New Roman" w:cs="Times New Roman"/>
          <w:i/>
          <w:iCs/>
          <w:sz w:val="24"/>
          <w:szCs w:val="24"/>
        </w:rPr>
        <w:t>Garcinia kola</w:t>
      </w:r>
      <w:r w:rsidRPr="009E5CB8">
        <w:rPr>
          <w:rFonts w:ascii="Times New Roman" w:eastAsia="Times New Roman" w:hAnsi="Times New Roman" w:cs="Times New Roman"/>
          <w:sz w:val="24"/>
          <w:szCs w:val="24"/>
        </w:rPr>
        <w:t xml:space="preserve">, </w:t>
      </w:r>
      <w:proofErr w:type="spellStart"/>
      <w:r w:rsidRPr="009E5CB8">
        <w:rPr>
          <w:rFonts w:ascii="Times New Roman" w:eastAsia="Times New Roman" w:hAnsi="Times New Roman" w:cs="Times New Roman"/>
          <w:sz w:val="24"/>
          <w:szCs w:val="24"/>
        </w:rPr>
        <w:t>Gambeya</w:t>
      </w:r>
      <w:proofErr w:type="spellEnd"/>
      <w:r w:rsidRPr="009E5CB8">
        <w:rPr>
          <w:rFonts w:ascii="Times New Roman" w:eastAsia="Times New Roman" w:hAnsi="Times New Roman" w:cs="Times New Roman"/>
          <w:sz w:val="24"/>
          <w:szCs w:val="24"/>
        </w:rPr>
        <w:t xml:space="preserve"> </w:t>
      </w:r>
      <w:proofErr w:type="spellStart"/>
      <w:r w:rsidRPr="009E5CB8">
        <w:rPr>
          <w:rFonts w:ascii="Times New Roman" w:eastAsia="Times New Roman" w:hAnsi="Times New Roman" w:cs="Times New Roman"/>
          <w:sz w:val="24"/>
          <w:szCs w:val="24"/>
        </w:rPr>
        <w:t>albida</w:t>
      </w:r>
      <w:proofErr w:type="spellEnd"/>
      <w:r w:rsidRPr="009E5CB8">
        <w:rPr>
          <w:rFonts w:ascii="Times New Roman" w:eastAsia="Times New Roman" w:hAnsi="Times New Roman" w:cs="Times New Roman"/>
          <w:sz w:val="24"/>
          <w:szCs w:val="24"/>
        </w:rPr>
        <w:t xml:space="preserve">, and </w:t>
      </w:r>
      <w:proofErr w:type="spellStart"/>
      <w:r w:rsidRPr="009E5CB8">
        <w:rPr>
          <w:rFonts w:ascii="Times New Roman" w:eastAsia="Times New Roman" w:hAnsi="Times New Roman" w:cs="Times New Roman"/>
          <w:i/>
          <w:iCs/>
          <w:sz w:val="24"/>
          <w:szCs w:val="24"/>
        </w:rPr>
        <w:t>Entandrophragma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cylindricum</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Pr="009E5CB8">
        <w:rPr>
          <w:rFonts w:ascii="Times New Roman" w:eastAsia="Times New Roman" w:hAnsi="Times New Roman" w:cs="Times New Roman"/>
          <w:sz w:val="24"/>
          <w:szCs w:val="24"/>
        </w:rPr>
        <w:t xml:space="preserve">under nursery conditions in </w:t>
      </w:r>
      <w:proofErr w:type="spellStart"/>
      <w:r w:rsidRPr="009E5CB8">
        <w:rPr>
          <w:rFonts w:ascii="Times New Roman" w:eastAsia="Times New Roman" w:hAnsi="Times New Roman" w:cs="Times New Roman"/>
          <w:sz w:val="24"/>
          <w:szCs w:val="24"/>
        </w:rPr>
        <w:t>Umudike</w:t>
      </w:r>
      <w:proofErr w:type="spellEnd"/>
      <w:r w:rsidRPr="009E5CB8">
        <w:rPr>
          <w:rFonts w:ascii="Times New Roman" w:eastAsia="Times New Roman" w:hAnsi="Times New Roman" w:cs="Times New Roman"/>
          <w:sz w:val="24"/>
          <w:szCs w:val="24"/>
        </w:rPr>
        <w:t xml:space="preserve">, </w:t>
      </w:r>
      <w:proofErr w:type="spellStart"/>
      <w:r w:rsidRPr="009E5CB8">
        <w:rPr>
          <w:rFonts w:ascii="Times New Roman" w:eastAsia="Times New Roman" w:hAnsi="Times New Roman" w:cs="Times New Roman"/>
          <w:sz w:val="24"/>
          <w:szCs w:val="24"/>
        </w:rPr>
        <w:t>Abia</w:t>
      </w:r>
      <w:proofErr w:type="spellEnd"/>
      <w:r w:rsidRPr="009E5CB8">
        <w:rPr>
          <w:rFonts w:ascii="Times New Roman" w:eastAsia="Times New Roman" w:hAnsi="Times New Roman" w:cs="Times New Roman"/>
          <w:sz w:val="24"/>
          <w:szCs w:val="24"/>
        </w:rPr>
        <w:t xml:space="preserve"> State, Nigeria. These species are indigenous to the humid forests of West Africa but are currently experiencing population decline due to deforestation and overexploitation. Seeds were subjected to cold-water pre-soaking treatments and sown in sandy clay loam soil. Germination percentage and rate were determined, while early growth parameters including stem height, collar diameter, leaf length, leaf number, and leaf area were measured over a 12-week period. Data were analyzed using analysis of variance (ANOVA) at p &lt; 0.05. Significant variations were observed among species in both germination and growth performance. </w:t>
      </w:r>
      <w:proofErr w:type="spellStart"/>
      <w:r w:rsidRPr="009E5CB8">
        <w:rPr>
          <w:rFonts w:ascii="Times New Roman" w:eastAsia="Times New Roman" w:hAnsi="Times New Roman" w:cs="Times New Roman"/>
          <w:i/>
          <w:iCs/>
          <w:sz w:val="24"/>
          <w:szCs w:val="24"/>
        </w:rPr>
        <w:t>Milicia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excelsa</w:t>
      </w:r>
      <w:proofErr w:type="spellEnd"/>
      <w:r w:rsidRPr="009E5CB8">
        <w:rPr>
          <w:rFonts w:ascii="Times New Roman" w:eastAsia="Times New Roman" w:hAnsi="Times New Roman" w:cs="Times New Roman"/>
          <w:sz w:val="24"/>
          <w:szCs w:val="24"/>
        </w:rPr>
        <w:t xml:space="preserve"> recorded the highest germination percentage (25%) and germination rate (3.57), whereas </w:t>
      </w:r>
      <w:proofErr w:type="spellStart"/>
      <w:r w:rsidRPr="009E5CB8">
        <w:rPr>
          <w:rFonts w:ascii="Times New Roman" w:eastAsia="Times New Roman" w:hAnsi="Times New Roman" w:cs="Times New Roman"/>
          <w:i/>
          <w:iCs/>
          <w:sz w:val="24"/>
          <w:szCs w:val="24"/>
        </w:rPr>
        <w:t>Irvingia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gabonensis</w:t>
      </w:r>
      <w:proofErr w:type="spellEnd"/>
      <w:r w:rsidRPr="009E5CB8">
        <w:rPr>
          <w:rFonts w:ascii="Times New Roman" w:eastAsia="Times New Roman" w:hAnsi="Times New Roman" w:cs="Times New Roman"/>
          <w:sz w:val="24"/>
          <w:szCs w:val="24"/>
        </w:rPr>
        <w:t xml:space="preserve"> and </w:t>
      </w:r>
      <w:r w:rsidRPr="009E5CB8">
        <w:rPr>
          <w:rFonts w:ascii="Times New Roman" w:eastAsia="Times New Roman" w:hAnsi="Times New Roman" w:cs="Times New Roman"/>
          <w:i/>
          <w:iCs/>
          <w:sz w:val="24"/>
          <w:szCs w:val="24"/>
        </w:rPr>
        <w:t>Garcinia kola</w:t>
      </w:r>
      <w:r w:rsidRPr="009E5CB8">
        <w:rPr>
          <w:rFonts w:ascii="Times New Roman" w:eastAsia="Times New Roman" w:hAnsi="Times New Roman" w:cs="Times New Roman"/>
          <w:sz w:val="24"/>
          <w:szCs w:val="24"/>
        </w:rPr>
        <w:t xml:space="preserve"> showed lower germination performance (16.66% and 2.38, respectively). In terms of growth, </w:t>
      </w:r>
      <w:proofErr w:type="spellStart"/>
      <w:r w:rsidRPr="009E5CB8">
        <w:rPr>
          <w:rFonts w:ascii="Times New Roman" w:eastAsia="Times New Roman" w:hAnsi="Times New Roman" w:cs="Times New Roman"/>
          <w:i/>
          <w:iCs/>
          <w:sz w:val="24"/>
          <w:szCs w:val="24"/>
        </w:rPr>
        <w:t>Irvingia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gabonensis</w:t>
      </w:r>
      <w:proofErr w:type="spellEnd"/>
      <w:r w:rsidRPr="009E5CB8">
        <w:rPr>
          <w:rFonts w:ascii="Times New Roman" w:eastAsia="Times New Roman" w:hAnsi="Times New Roman" w:cs="Times New Roman"/>
          <w:sz w:val="24"/>
          <w:szCs w:val="24"/>
        </w:rPr>
        <w:t xml:space="preserve"> exhibited the highest stem height (38.44 cm; 2.53 cm week⁻¹), while </w:t>
      </w:r>
      <w:proofErr w:type="spellStart"/>
      <w:r w:rsidRPr="009E5CB8">
        <w:rPr>
          <w:rFonts w:ascii="Times New Roman" w:eastAsia="Times New Roman" w:hAnsi="Times New Roman" w:cs="Times New Roman"/>
          <w:i/>
          <w:iCs/>
          <w:sz w:val="24"/>
          <w:szCs w:val="24"/>
        </w:rPr>
        <w:t>Milicia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excelsa</w:t>
      </w:r>
      <w:proofErr w:type="spellEnd"/>
      <w:r w:rsidRPr="009E5CB8">
        <w:rPr>
          <w:rFonts w:ascii="Times New Roman" w:eastAsia="Times New Roman" w:hAnsi="Times New Roman" w:cs="Times New Roman"/>
          <w:sz w:val="24"/>
          <w:szCs w:val="24"/>
        </w:rPr>
        <w:t xml:space="preserve"> recorded the largest collar diameter (5.33 cm). </w:t>
      </w:r>
      <w:r w:rsidRPr="009E5CB8">
        <w:rPr>
          <w:rFonts w:ascii="Times New Roman" w:eastAsia="Times New Roman" w:hAnsi="Times New Roman" w:cs="Times New Roman"/>
          <w:i/>
          <w:iCs/>
          <w:sz w:val="24"/>
          <w:szCs w:val="24"/>
        </w:rPr>
        <w:t>Garcinia kola</w:t>
      </w:r>
      <w:r w:rsidRPr="009E5CB8">
        <w:rPr>
          <w:rFonts w:ascii="Times New Roman" w:eastAsia="Times New Roman" w:hAnsi="Times New Roman" w:cs="Times New Roman"/>
          <w:sz w:val="24"/>
          <w:szCs w:val="24"/>
        </w:rPr>
        <w:t xml:space="preserve"> showed superior leaf development, producing the highest leaf number (13) and leaf area (67.26 cm²). In contrast, </w:t>
      </w:r>
      <w:proofErr w:type="spellStart"/>
      <w:r w:rsidRPr="009E5CB8">
        <w:rPr>
          <w:rFonts w:ascii="Times New Roman" w:eastAsia="Times New Roman" w:hAnsi="Times New Roman" w:cs="Times New Roman"/>
          <w:sz w:val="24"/>
          <w:szCs w:val="24"/>
        </w:rPr>
        <w:t>Gambeya</w:t>
      </w:r>
      <w:proofErr w:type="spellEnd"/>
      <w:r w:rsidRPr="009E5CB8">
        <w:rPr>
          <w:rFonts w:ascii="Times New Roman" w:eastAsia="Times New Roman" w:hAnsi="Times New Roman" w:cs="Times New Roman"/>
          <w:sz w:val="24"/>
          <w:szCs w:val="24"/>
        </w:rPr>
        <w:t xml:space="preserve"> </w:t>
      </w:r>
      <w:proofErr w:type="spellStart"/>
      <w:r w:rsidRPr="009E5CB8">
        <w:rPr>
          <w:rFonts w:ascii="Times New Roman" w:eastAsia="Times New Roman" w:hAnsi="Times New Roman" w:cs="Times New Roman"/>
          <w:sz w:val="24"/>
          <w:szCs w:val="24"/>
        </w:rPr>
        <w:t>albida</w:t>
      </w:r>
      <w:proofErr w:type="spellEnd"/>
      <w:r w:rsidRPr="009E5CB8">
        <w:rPr>
          <w:rFonts w:ascii="Times New Roman" w:eastAsia="Times New Roman" w:hAnsi="Times New Roman" w:cs="Times New Roman"/>
          <w:sz w:val="24"/>
          <w:szCs w:val="24"/>
        </w:rPr>
        <w:t xml:space="preserve"> and </w:t>
      </w:r>
      <w:proofErr w:type="spellStart"/>
      <w:r w:rsidRPr="009E5CB8">
        <w:rPr>
          <w:rFonts w:ascii="Times New Roman" w:eastAsia="Times New Roman" w:hAnsi="Times New Roman" w:cs="Times New Roman"/>
          <w:i/>
          <w:iCs/>
          <w:sz w:val="24"/>
          <w:szCs w:val="24"/>
        </w:rPr>
        <w:t>Entandrophragma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cylindricum</w:t>
      </w:r>
      <w:proofErr w:type="spellEnd"/>
      <w:r w:rsidRPr="009E5CB8">
        <w:rPr>
          <w:rFonts w:ascii="Times New Roman" w:eastAsia="Times New Roman" w:hAnsi="Times New Roman" w:cs="Times New Roman"/>
          <w:sz w:val="24"/>
          <w:szCs w:val="24"/>
        </w:rPr>
        <w:t xml:space="preserve"> exhibited comparatively lower growth performance. The observed trends indicate species-specific growth strategies and differential responses to pre-treatment conditions. The findings suggest that </w:t>
      </w:r>
      <w:proofErr w:type="spellStart"/>
      <w:r w:rsidRPr="009E5CB8">
        <w:rPr>
          <w:rFonts w:ascii="Times New Roman" w:eastAsia="Times New Roman" w:hAnsi="Times New Roman" w:cs="Times New Roman"/>
          <w:i/>
          <w:iCs/>
          <w:sz w:val="24"/>
          <w:szCs w:val="24"/>
        </w:rPr>
        <w:t>Irvingia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gabonensis</w:t>
      </w:r>
      <w:proofErr w:type="spellEnd"/>
      <w:r w:rsidRPr="009E5CB8">
        <w:rPr>
          <w:rFonts w:ascii="Times New Roman" w:eastAsia="Times New Roman" w:hAnsi="Times New Roman" w:cs="Times New Roman"/>
          <w:sz w:val="24"/>
          <w:szCs w:val="24"/>
        </w:rPr>
        <w:t xml:space="preserve"> and </w:t>
      </w:r>
      <w:proofErr w:type="spellStart"/>
      <w:r w:rsidRPr="009E5CB8">
        <w:rPr>
          <w:rFonts w:ascii="Times New Roman" w:eastAsia="Times New Roman" w:hAnsi="Times New Roman" w:cs="Times New Roman"/>
          <w:i/>
          <w:iCs/>
          <w:sz w:val="24"/>
          <w:szCs w:val="24"/>
        </w:rPr>
        <w:t>Milicia</w:t>
      </w:r>
      <w:proofErr w:type="spellEnd"/>
      <w:r w:rsidRPr="009E5CB8">
        <w:rPr>
          <w:rFonts w:ascii="Times New Roman" w:eastAsia="Times New Roman" w:hAnsi="Times New Roman" w:cs="Times New Roman"/>
          <w:i/>
          <w:iCs/>
          <w:sz w:val="24"/>
          <w:szCs w:val="24"/>
        </w:rPr>
        <w:t xml:space="preserve"> </w:t>
      </w:r>
      <w:proofErr w:type="spellStart"/>
      <w:r w:rsidRPr="009E5CB8">
        <w:rPr>
          <w:rFonts w:ascii="Times New Roman" w:eastAsia="Times New Roman" w:hAnsi="Times New Roman" w:cs="Times New Roman"/>
          <w:i/>
          <w:iCs/>
          <w:sz w:val="24"/>
          <w:szCs w:val="24"/>
        </w:rPr>
        <w:t>excelsa</w:t>
      </w:r>
      <w:proofErr w:type="spellEnd"/>
      <w:r w:rsidRPr="009E5CB8">
        <w:rPr>
          <w:rFonts w:ascii="Times New Roman" w:eastAsia="Times New Roman" w:hAnsi="Times New Roman" w:cs="Times New Roman"/>
          <w:sz w:val="24"/>
          <w:szCs w:val="24"/>
        </w:rPr>
        <w:t xml:space="preserve"> are suitable for rapid establishment in plantation systems, while </w:t>
      </w:r>
      <w:r w:rsidRPr="009E5CB8">
        <w:rPr>
          <w:rFonts w:ascii="Times New Roman" w:eastAsia="Times New Roman" w:hAnsi="Times New Roman" w:cs="Times New Roman"/>
          <w:i/>
          <w:iCs/>
          <w:sz w:val="24"/>
          <w:szCs w:val="24"/>
        </w:rPr>
        <w:t>Garcinia kola</w:t>
      </w:r>
      <w:r w:rsidRPr="009E5CB8">
        <w:rPr>
          <w:rFonts w:ascii="Times New Roman" w:eastAsia="Times New Roman" w:hAnsi="Times New Roman" w:cs="Times New Roman"/>
          <w:sz w:val="24"/>
          <w:szCs w:val="24"/>
        </w:rPr>
        <w:t xml:space="preserve"> is better adapted for agroforestry and shaded environments. The relatively low germination observed in some species underscores the need for optimized, species-specific pre-treatment techniques, particularly for recalcitrant seeds.</w:t>
      </w:r>
    </w:p>
    <w:p w14:paraId="04BBF276" w14:textId="77777777" w:rsidR="009E5CB8" w:rsidRPr="009E5CB8" w:rsidRDefault="009E5CB8" w:rsidP="009E5CB8">
      <w:pPr>
        <w:spacing w:before="100" w:beforeAutospacing="1" w:after="100" w:afterAutospacing="1" w:line="240" w:lineRule="auto"/>
        <w:jc w:val="both"/>
        <w:rPr>
          <w:rFonts w:ascii="Times New Roman" w:eastAsia="Times New Roman" w:hAnsi="Times New Roman" w:cs="Times New Roman"/>
          <w:sz w:val="24"/>
          <w:szCs w:val="24"/>
        </w:rPr>
      </w:pPr>
      <w:r w:rsidRPr="009E5CB8">
        <w:rPr>
          <w:rFonts w:ascii="Times New Roman" w:eastAsia="Times New Roman" w:hAnsi="Times New Roman" w:cs="Times New Roman"/>
          <w:b/>
          <w:bCs/>
          <w:sz w:val="24"/>
          <w:szCs w:val="24"/>
        </w:rPr>
        <w:t>Keywords:</w:t>
      </w:r>
      <w:r w:rsidRPr="009E5CB8">
        <w:rPr>
          <w:rFonts w:ascii="Times New Roman" w:eastAsia="Times New Roman" w:hAnsi="Times New Roman" w:cs="Times New Roman"/>
          <w:sz w:val="24"/>
          <w:szCs w:val="24"/>
        </w:rPr>
        <w:t xml:space="preserve"> Seed germination, early seedling growth, recalcitrant seeds, tropical timber species, nursery performance, pre-soaking</w:t>
      </w:r>
    </w:p>
    <w:p w14:paraId="0F8F2D18" w14:textId="77777777" w:rsidR="00AA4164" w:rsidRPr="008A095A" w:rsidRDefault="00AA4164" w:rsidP="00F478C4">
      <w:pPr>
        <w:tabs>
          <w:tab w:val="left" w:pos="90"/>
          <w:tab w:val="left" w:pos="405"/>
          <w:tab w:val="left" w:pos="900"/>
          <w:tab w:val="left" w:pos="9630"/>
        </w:tabs>
        <w:spacing w:line="480" w:lineRule="auto"/>
        <w:ind w:left="-630" w:right="540"/>
        <w:jc w:val="both"/>
      </w:pPr>
    </w:p>
    <w:p w14:paraId="02C19EFB" w14:textId="77777777" w:rsidR="000F2EDF" w:rsidRPr="00AA4164" w:rsidRDefault="00F478C4" w:rsidP="00F478C4">
      <w:pPr>
        <w:tabs>
          <w:tab w:val="left" w:pos="90"/>
          <w:tab w:val="left" w:pos="405"/>
          <w:tab w:val="left" w:pos="900"/>
          <w:tab w:val="left" w:pos="9630"/>
        </w:tabs>
        <w:spacing w:line="480" w:lineRule="auto"/>
        <w:ind w:left="-630" w:right="540"/>
        <w:jc w:val="both"/>
        <w:rPr>
          <w:rFonts w:ascii="Times New Roman" w:hAnsi="Times New Roman" w:cs="Times New Roman"/>
          <w:b/>
          <w:sz w:val="28"/>
          <w:szCs w:val="28"/>
        </w:rPr>
      </w:pPr>
      <w:r w:rsidRPr="00AA4164">
        <w:rPr>
          <w:rFonts w:ascii="Times New Roman" w:hAnsi="Times New Roman" w:cs="Times New Roman"/>
          <w:b/>
          <w:sz w:val="28"/>
          <w:szCs w:val="28"/>
        </w:rPr>
        <w:t xml:space="preserve">INTRODUCTION </w:t>
      </w:r>
    </w:p>
    <w:p w14:paraId="62330302" w14:textId="1E6EDA79" w:rsidR="006E581C" w:rsidRDefault="00074256" w:rsidP="006E581C">
      <w:pPr>
        <w:pStyle w:val="NormalWeb"/>
        <w:spacing w:before="0" w:beforeAutospacing="0" w:after="0" w:afterAutospacing="0"/>
        <w:ind w:left="-709"/>
        <w:jc w:val="both"/>
      </w:pPr>
      <w:r>
        <w:t>Seed germination and early seedling establishment represent highly sensitive and determinant phases in the ontogeny of forest tree species, directly influencing regeneration success in both natural and artificial systems (</w:t>
      </w:r>
      <w:proofErr w:type="spellStart"/>
      <w:r>
        <w:t>Viheno</w:t>
      </w:r>
      <w:proofErr w:type="spellEnd"/>
      <w:r>
        <w:t xml:space="preserve"> </w:t>
      </w:r>
      <w:r w:rsidR="00412E1E" w:rsidRPr="00412E1E">
        <w:rPr>
          <w:i/>
        </w:rPr>
        <w:t>et al.,</w:t>
      </w:r>
      <w:r>
        <w:t xml:space="preserve"> 2019; Baskin and Baskin, 2021). Germination success is regulated by a complex interaction of intrinsic factors such as seed viability and dormancy status, alongside extrinsic environmental variables including moisture availability, temperature regimes, light conditions, and substrate characteristics (Bewley </w:t>
      </w:r>
      <w:r w:rsidR="00412E1E" w:rsidRPr="00412E1E">
        <w:rPr>
          <w:i/>
        </w:rPr>
        <w:t>et al.,</w:t>
      </w:r>
      <w:r>
        <w:t xml:space="preserve"> 2013; </w:t>
      </w:r>
      <w:proofErr w:type="spellStart"/>
      <w:r>
        <w:t>Nonogaki</w:t>
      </w:r>
      <w:proofErr w:type="spellEnd"/>
      <w:r>
        <w:t>, 2019). In tropical forest ecosystems, where climatic variability and edaphic conditions are pronounced, these factors play an even more critical role in determining recruitment dynamics and species persistence (</w:t>
      </w:r>
      <w:proofErr w:type="spellStart"/>
      <w:r>
        <w:t>Poorter</w:t>
      </w:r>
      <w:proofErr w:type="spellEnd"/>
      <w:r>
        <w:t xml:space="preserve"> </w:t>
      </w:r>
      <w:r w:rsidR="00412E1E" w:rsidRPr="00412E1E">
        <w:rPr>
          <w:i/>
        </w:rPr>
        <w:t>et al.,</w:t>
      </w:r>
      <w:r>
        <w:t xml:space="preserve"> 2021; Souza </w:t>
      </w:r>
      <w:r w:rsidR="00412E1E" w:rsidRPr="00412E1E">
        <w:rPr>
          <w:i/>
        </w:rPr>
        <w:t>et al.,</w:t>
      </w:r>
      <w:r>
        <w:t xml:space="preserve"> 2020). A major constraint to successful propagation in many tropical tree species is seed physiological behavior, particularly the prevalence of recalcitrant seeds. Species </w:t>
      </w:r>
      <w:r>
        <w:lastRenderedPageBreak/>
        <w:t xml:space="preserve">such as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w:t>
      </w:r>
      <w:proofErr w:type="spellStart"/>
      <w:r>
        <w:t>Aubry-Lecomte</w:t>
      </w:r>
      <w:proofErr w:type="spellEnd"/>
      <w:r>
        <w:t xml:space="preserve"> ex </w:t>
      </w:r>
      <w:proofErr w:type="spellStart"/>
      <w:r>
        <w:t>O’Rorke</w:t>
      </w:r>
      <w:proofErr w:type="spellEnd"/>
      <w:r>
        <w:t xml:space="preserve">) </w:t>
      </w:r>
      <w:proofErr w:type="spellStart"/>
      <w:r>
        <w:t>Baill</w:t>
      </w:r>
      <w:proofErr w:type="spellEnd"/>
      <w:r>
        <w:t xml:space="preserve">. and </w:t>
      </w:r>
      <w:proofErr w:type="spellStart"/>
      <w:r>
        <w:rPr>
          <w:rStyle w:val="whitespace-normal"/>
          <w:rFonts w:eastAsia="SimSun"/>
        </w:rPr>
        <w:t>Gambeya</w:t>
      </w:r>
      <w:proofErr w:type="spellEnd"/>
      <w:r>
        <w:rPr>
          <w:rStyle w:val="whitespace-normal"/>
          <w:rFonts w:eastAsia="SimSun"/>
        </w:rPr>
        <w:t xml:space="preserve"> </w:t>
      </w:r>
      <w:proofErr w:type="spellStart"/>
      <w:r>
        <w:rPr>
          <w:rStyle w:val="whitespace-normal"/>
          <w:rFonts w:eastAsia="SimSun"/>
        </w:rPr>
        <w:t>albida</w:t>
      </w:r>
      <w:proofErr w:type="spellEnd"/>
      <w:r>
        <w:t xml:space="preserve"> are characterized by desiccation sensitivity and short viability periods, requiring immediate sowing under optimal moisture and temperature conditions to achieve successful germination (Bolanle-</w:t>
      </w:r>
      <w:proofErr w:type="spellStart"/>
      <w:r>
        <w:t>Ojo</w:t>
      </w:r>
      <w:proofErr w:type="spellEnd"/>
      <w:r>
        <w:t xml:space="preserve"> and </w:t>
      </w:r>
      <w:proofErr w:type="spellStart"/>
      <w:r>
        <w:t>Onyekwelu</w:t>
      </w:r>
      <w:proofErr w:type="spellEnd"/>
      <w:r>
        <w:t xml:space="preserve">, 2014; </w:t>
      </w:r>
      <w:proofErr w:type="spellStart"/>
      <w:r>
        <w:t>Berjak</w:t>
      </w:r>
      <w:proofErr w:type="spellEnd"/>
      <w:r>
        <w:t xml:space="preserve"> and </w:t>
      </w:r>
      <w:proofErr w:type="spellStart"/>
      <w:r>
        <w:t>Pammenter</w:t>
      </w:r>
      <w:proofErr w:type="spellEnd"/>
      <w:r>
        <w:t xml:space="preserve">, 2013). Recalcitrant seeds lack mechanisms for dormancy and cannot withstand dehydration, making their handling, storage, and propagation particularly challenging in nursery and conservation programs (Walters </w:t>
      </w:r>
      <w:r w:rsidR="00412E1E" w:rsidRPr="00412E1E">
        <w:rPr>
          <w:i/>
        </w:rPr>
        <w:t>et al.,</w:t>
      </w:r>
      <w:r>
        <w:t xml:space="preserve"> 2013; </w:t>
      </w:r>
      <w:proofErr w:type="spellStart"/>
      <w:r>
        <w:t>Sershen</w:t>
      </w:r>
      <w:proofErr w:type="spellEnd"/>
      <w:r>
        <w:t xml:space="preserve"> </w:t>
      </w:r>
      <w:r w:rsidR="00412E1E" w:rsidRPr="00412E1E">
        <w:rPr>
          <w:i/>
        </w:rPr>
        <w:t>et al.,</w:t>
      </w:r>
      <w:r>
        <w:t xml:space="preserve"> 2016). Recent taxonomic revisions have clarified that </w:t>
      </w:r>
      <w:proofErr w:type="spellStart"/>
      <w:r>
        <w:rPr>
          <w:rStyle w:val="Emphasis"/>
        </w:rPr>
        <w:t>Chrysophyllum</w:t>
      </w:r>
      <w:proofErr w:type="spellEnd"/>
      <w:r>
        <w:rPr>
          <w:rStyle w:val="Emphasis"/>
        </w:rPr>
        <w:t xml:space="preserve"> </w:t>
      </w:r>
      <w:proofErr w:type="spellStart"/>
      <w:r>
        <w:rPr>
          <w:rStyle w:val="Emphasis"/>
        </w:rPr>
        <w:t>albidum</w:t>
      </w:r>
      <w:proofErr w:type="spellEnd"/>
      <w:r>
        <w:t xml:space="preserve"> is currently accepted as </w:t>
      </w:r>
      <w:proofErr w:type="spellStart"/>
      <w:r>
        <w:rPr>
          <w:rStyle w:val="Emphasis"/>
        </w:rPr>
        <w:t>Gambeya</w:t>
      </w:r>
      <w:proofErr w:type="spellEnd"/>
      <w:r>
        <w:rPr>
          <w:rStyle w:val="Emphasis"/>
        </w:rPr>
        <w:t xml:space="preserve"> </w:t>
      </w:r>
      <w:proofErr w:type="spellStart"/>
      <w:r>
        <w:rPr>
          <w:rStyle w:val="Emphasis"/>
        </w:rPr>
        <w:t>albida</w:t>
      </w:r>
      <w:proofErr w:type="spellEnd"/>
      <w:r>
        <w:t xml:space="preserve"> (</w:t>
      </w:r>
      <w:proofErr w:type="spellStart"/>
      <w:proofErr w:type="gramStart"/>
      <w:r>
        <w:t>G.Don</w:t>
      </w:r>
      <w:proofErr w:type="spellEnd"/>
      <w:proofErr w:type="gramEnd"/>
      <w:r>
        <w:t xml:space="preserve">) </w:t>
      </w:r>
      <w:proofErr w:type="spellStart"/>
      <w:r>
        <w:t>Aubrév</w:t>
      </w:r>
      <w:proofErr w:type="spellEnd"/>
      <w:r>
        <w:t xml:space="preserve">. &amp; </w:t>
      </w:r>
      <w:proofErr w:type="spellStart"/>
      <w:r>
        <w:t>Pellegr</w:t>
      </w:r>
      <w:proofErr w:type="spellEnd"/>
      <w:r>
        <w:t xml:space="preserve">., reflecting advances in phylogenetic systematics (Swenson </w:t>
      </w:r>
      <w:r w:rsidR="00412E1E" w:rsidRPr="00412E1E">
        <w:rPr>
          <w:i/>
        </w:rPr>
        <w:t>et al.,</w:t>
      </w:r>
      <w:r>
        <w:t xml:space="preserve"> 2023; Plants of the World Online, 2024).</w:t>
      </w:r>
      <w:r w:rsidR="006E581C">
        <w:t xml:space="preserve"> </w:t>
      </w:r>
      <w:r>
        <w:t xml:space="preserve">In contrast, some economically important timber species such as </w:t>
      </w:r>
      <w:proofErr w:type="spellStart"/>
      <w:r>
        <w:rPr>
          <w:rStyle w:val="Emphasis"/>
        </w:rPr>
        <w:t>Milicia</w:t>
      </w:r>
      <w:proofErr w:type="spellEnd"/>
      <w:r>
        <w:rPr>
          <w:rStyle w:val="Emphasis"/>
        </w:rPr>
        <w:t xml:space="preserve"> </w:t>
      </w:r>
      <w:proofErr w:type="spellStart"/>
      <w:r>
        <w:rPr>
          <w:rStyle w:val="Emphasis"/>
        </w:rPr>
        <w:t>excelsa</w:t>
      </w:r>
      <w:proofErr w:type="spellEnd"/>
      <w:r>
        <w:t xml:space="preserve"> exhibit various forms of seed dormancy, including physical and physiological dormancy, which delay germination and reduce uniformity in seedling emergence (</w:t>
      </w:r>
      <w:proofErr w:type="spellStart"/>
      <w:r>
        <w:t>Nzekwe</w:t>
      </w:r>
      <w:proofErr w:type="spellEnd"/>
      <w:r>
        <w:t xml:space="preserve"> </w:t>
      </w:r>
      <w:r w:rsidR="00412E1E" w:rsidRPr="00412E1E">
        <w:rPr>
          <w:i/>
        </w:rPr>
        <w:t>et al.,</w:t>
      </w:r>
      <w:r>
        <w:t xml:space="preserve"> 2013; Finch-Savage and </w:t>
      </w:r>
      <w:proofErr w:type="spellStart"/>
      <w:r>
        <w:t>Leubner</w:t>
      </w:r>
      <w:proofErr w:type="spellEnd"/>
      <w:r>
        <w:t xml:space="preserve">-Metzger, 2006). Overcoming such dormancy often requires pre-germination treatments including mechanical scarification, stratification, or hydro-priming techniques, which enhance water imbibition and activate metabolic processes necessary for germination (Baskin and Baskin, 2021; Adebisi </w:t>
      </w:r>
      <w:r w:rsidR="00412E1E" w:rsidRPr="00412E1E">
        <w:rPr>
          <w:i/>
        </w:rPr>
        <w:t>et al.,</w:t>
      </w:r>
      <w:r>
        <w:t xml:space="preserve"> 2019). The effectiveness of these treatments varies among species and environmental conditions, necessitating empirical evaluation for each species of interest. Beyond germination, the early seedling stage is particularly vulnerable to environmental stressors such as nutrient limitation, water stress, pathogen attack, and suboptimal light conditions, all of which can significantly reduce survival rates and growth performance (</w:t>
      </w:r>
      <w:proofErr w:type="spellStart"/>
      <w:r>
        <w:t>Abiem</w:t>
      </w:r>
      <w:proofErr w:type="spellEnd"/>
      <w:r>
        <w:t xml:space="preserve"> </w:t>
      </w:r>
      <w:r w:rsidR="00412E1E" w:rsidRPr="00412E1E">
        <w:rPr>
          <w:i/>
        </w:rPr>
        <w:t>et al.,</w:t>
      </w:r>
      <w:r>
        <w:t xml:space="preserve"> 2023; </w:t>
      </w:r>
      <w:proofErr w:type="spellStart"/>
      <w:r>
        <w:t>Grossnickle</w:t>
      </w:r>
      <w:proofErr w:type="spellEnd"/>
      <w:r>
        <w:t xml:space="preserve"> and MacDonald, 2018). Seedling vigor during this phase is a critical determinant of field establishment success, especially in tropical nursery systems where management practices directly influence morphological and physiological development (</w:t>
      </w:r>
      <w:proofErr w:type="spellStart"/>
      <w:r>
        <w:t>Haase</w:t>
      </w:r>
      <w:proofErr w:type="spellEnd"/>
      <w:r>
        <w:t xml:space="preserve">, 2014; </w:t>
      </w:r>
      <w:proofErr w:type="spellStart"/>
      <w:r>
        <w:t>Oliet</w:t>
      </w:r>
      <w:proofErr w:type="spellEnd"/>
      <w:r>
        <w:t xml:space="preserve"> </w:t>
      </w:r>
      <w:r w:rsidR="00412E1E" w:rsidRPr="00412E1E">
        <w:rPr>
          <w:i/>
        </w:rPr>
        <w:t>et al.,</w:t>
      </w:r>
      <w:r>
        <w:t xml:space="preserve"> 2016). The humid forest zones of West Africa, including Nigeria, harbor a high diversity of economically and ecologically valuable timber species. However, these forests are experiencing rapid degradation due to deforestation, overexploitation, agricultural expansion, and climate change, leading to reduced natural regeneration capacity and population decline of key species (</w:t>
      </w:r>
      <w:proofErr w:type="spellStart"/>
      <w:r>
        <w:t>Adewumi</w:t>
      </w:r>
      <w:proofErr w:type="spellEnd"/>
      <w:r>
        <w:t xml:space="preserve"> </w:t>
      </w:r>
      <w:r w:rsidR="00412E1E" w:rsidRPr="00412E1E">
        <w:rPr>
          <w:i/>
        </w:rPr>
        <w:t>et al.,</w:t>
      </w:r>
      <w:r>
        <w:t xml:space="preserve"> 2024; FAO, 2020). Consequently, the development of efficient propagation and nursery management techniques is essential for conservation, restoration, and sustainable forest resource utilization (ITTO, 2021; </w:t>
      </w:r>
      <w:proofErr w:type="spellStart"/>
      <w:r>
        <w:t>Chazdon</w:t>
      </w:r>
      <w:proofErr w:type="spellEnd"/>
      <w:r>
        <w:t xml:space="preserve"> </w:t>
      </w:r>
      <w:r w:rsidR="00412E1E" w:rsidRPr="00412E1E">
        <w:rPr>
          <w:i/>
        </w:rPr>
        <w:t>et al.,</w:t>
      </w:r>
      <w:r>
        <w:t xml:space="preserve"> 2020). Against this backdrop, the present study investigates seed germination and early seedling development of five selected moist forest timber species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w:t>
      </w:r>
      <w:proofErr w:type="spellStart"/>
      <w:r>
        <w:rPr>
          <w:rStyle w:val="Emphasis"/>
        </w:rPr>
        <w:t>Milicia</w:t>
      </w:r>
      <w:proofErr w:type="spellEnd"/>
      <w:r>
        <w:rPr>
          <w:rStyle w:val="Emphasis"/>
        </w:rPr>
        <w:t xml:space="preserve"> </w:t>
      </w:r>
      <w:proofErr w:type="spellStart"/>
      <w:r>
        <w:rPr>
          <w:rStyle w:val="Emphasis"/>
        </w:rPr>
        <w:t>excelsa</w:t>
      </w:r>
      <w:proofErr w:type="spellEnd"/>
      <w:r>
        <w:t xml:space="preserve">, </w:t>
      </w:r>
      <w:r>
        <w:rPr>
          <w:rStyle w:val="Emphasis"/>
        </w:rPr>
        <w:t>Garcinia kola</w:t>
      </w:r>
      <w:r>
        <w:t xml:space="preserve">, </w:t>
      </w:r>
      <w:proofErr w:type="spellStart"/>
      <w:r>
        <w:rPr>
          <w:rStyle w:val="whitespace-normal"/>
          <w:rFonts w:eastAsia="SimSun"/>
        </w:rPr>
        <w:t>Gambeya</w:t>
      </w:r>
      <w:proofErr w:type="spellEnd"/>
      <w:r>
        <w:rPr>
          <w:rStyle w:val="whitespace-normal"/>
          <w:rFonts w:eastAsia="SimSun"/>
        </w:rPr>
        <w:t xml:space="preserve"> </w:t>
      </w:r>
      <w:proofErr w:type="spellStart"/>
      <w:r>
        <w:rPr>
          <w:rStyle w:val="whitespace-normal"/>
          <w:rFonts w:eastAsia="SimSun"/>
        </w:rPr>
        <w:t>albida</w:t>
      </w:r>
      <w:proofErr w:type="spellEnd"/>
      <w:r>
        <w:t xml:space="preserve">, and </w:t>
      </w:r>
      <w:proofErr w:type="spellStart"/>
      <w:r>
        <w:rPr>
          <w:rStyle w:val="Emphasis"/>
        </w:rPr>
        <w:t>Entandrophragma</w:t>
      </w:r>
      <w:proofErr w:type="spellEnd"/>
      <w:r>
        <w:rPr>
          <w:rStyle w:val="Emphasis"/>
        </w:rPr>
        <w:t xml:space="preserve"> </w:t>
      </w:r>
      <w:proofErr w:type="spellStart"/>
      <w:r>
        <w:rPr>
          <w:rStyle w:val="Emphasis"/>
        </w:rPr>
        <w:t>cylindricum</w:t>
      </w:r>
      <w:proofErr w:type="spellEnd"/>
      <w:r>
        <w:t xml:space="preserve"> under controlled nursery conditions at Michael O</w:t>
      </w:r>
      <w:r w:rsidR="006E581C">
        <w:t xml:space="preserve">kpara University of Agriculture, </w:t>
      </w:r>
      <w:proofErr w:type="spellStart"/>
      <w:r w:rsidR="006E581C">
        <w:t>Umudike</w:t>
      </w:r>
      <w:proofErr w:type="spellEnd"/>
      <w:r w:rsidR="006E581C">
        <w:t xml:space="preserve">, </w:t>
      </w:r>
      <w:proofErr w:type="spellStart"/>
      <w:r w:rsidR="006E581C">
        <w:t>Abia</w:t>
      </w:r>
      <w:proofErr w:type="spellEnd"/>
      <w:r w:rsidR="006E581C">
        <w:t xml:space="preserve"> State, Nigeria. The study specifically aims to:</w:t>
      </w:r>
    </w:p>
    <w:p w14:paraId="5A073F4A" w14:textId="77777777" w:rsidR="006E581C" w:rsidRDefault="006E581C" w:rsidP="006E581C">
      <w:pPr>
        <w:pStyle w:val="NormalWeb"/>
        <w:spacing w:before="0" w:beforeAutospacing="0" w:after="0" w:afterAutospacing="0"/>
        <w:ind w:left="-709"/>
        <w:jc w:val="both"/>
      </w:pPr>
      <w:r>
        <w:t>(</w:t>
      </w:r>
      <w:proofErr w:type="spellStart"/>
      <w:r>
        <w:t>i</w:t>
      </w:r>
      <w:proofErr w:type="spellEnd"/>
      <w:r>
        <w:t>) assess germination characteristics of the selected species,</w:t>
      </w:r>
    </w:p>
    <w:p w14:paraId="6313D25F" w14:textId="77777777" w:rsidR="006E581C" w:rsidRDefault="006E581C" w:rsidP="006E581C">
      <w:pPr>
        <w:pStyle w:val="NormalWeb"/>
        <w:spacing w:before="0" w:beforeAutospacing="0" w:after="0" w:afterAutospacing="0"/>
        <w:ind w:left="-709"/>
        <w:jc w:val="both"/>
      </w:pPr>
      <w:r>
        <w:t>(ii) evaluate early seedling growth performance, and</w:t>
      </w:r>
    </w:p>
    <w:p w14:paraId="0D23C909" w14:textId="0A7A7436" w:rsidR="00074256" w:rsidRDefault="006E581C" w:rsidP="006E581C">
      <w:pPr>
        <w:pStyle w:val="NormalWeb"/>
        <w:spacing w:before="0" w:beforeAutospacing="0" w:after="0" w:afterAutospacing="0"/>
        <w:ind w:left="-709"/>
        <w:jc w:val="both"/>
      </w:pPr>
      <w:r>
        <w:t>(iii) determine the effect of pre-soaking seeds in cold water on germination performance.</w:t>
      </w:r>
    </w:p>
    <w:p w14:paraId="36A17E58" w14:textId="77777777" w:rsidR="006E581C" w:rsidRDefault="006E581C" w:rsidP="006E581C">
      <w:pPr>
        <w:pStyle w:val="NormalWeb"/>
        <w:spacing w:before="0" w:beforeAutospacing="0" w:after="0" w:afterAutospacing="0"/>
        <w:ind w:left="-709"/>
        <w:jc w:val="both"/>
      </w:pPr>
    </w:p>
    <w:p w14:paraId="72760568" w14:textId="30E419EA" w:rsidR="000E59AC" w:rsidRPr="00F478C4" w:rsidRDefault="00074256" w:rsidP="00074256">
      <w:pPr>
        <w:spacing w:line="276" w:lineRule="auto"/>
        <w:ind w:left="-630"/>
        <w:jc w:val="both"/>
        <w:rPr>
          <w:rFonts w:ascii="Times New Roman" w:hAnsi="Times New Roman" w:cs="Times New Roman"/>
          <w:color w:val="000000" w:themeColor="text1"/>
          <w:sz w:val="28"/>
          <w:szCs w:val="28"/>
        </w:rPr>
      </w:pPr>
      <w:r w:rsidRPr="00F478C4">
        <w:rPr>
          <w:rFonts w:ascii="Times New Roman" w:hAnsi="Times New Roman" w:cs="Times New Roman"/>
          <w:b/>
          <w:bCs/>
          <w:color w:val="000000"/>
          <w:sz w:val="28"/>
          <w:szCs w:val="28"/>
        </w:rPr>
        <w:t xml:space="preserve"> </w:t>
      </w:r>
      <w:r w:rsidR="00960721" w:rsidRPr="00F478C4">
        <w:rPr>
          <w:rFonts w:ascii="Times New Roman" w:hAnsi="Times New Roman" w:cs="Times New Roman"/>
          <w:b/>
          <w:bCs/>
          <w:color w:val="000000"/>
          <w:sz w:val="28"/>
          <w:szCs w:val="28"/>
        </w:rPr>
        <w:t xml:space="preserve">METHODOLOGY: STUDY </w:t>
      </w:r>
      <w:r w:rsidR="00AA4164" w:rsidRPr="00F478C4">
        <w:rPr>
          <w:rFonts w:ascii="Times New Roman" w:hAnsi="Times New Roman" w:cs="Times New Roman"/>
          <w:b/>
          <w:bCs/>
          <w:color w:val="000000"/>
          <w:sz w:val="28"/>
          <w:szCs w:val="28"/>
        </w:rPr>
        <w:t>AREA:</w:t>
      </w:r>
      <w:r w:rsidR="00960721" w:rsidRPr="00F478C4">
        <w:rPr>
          <w:rFonts w:ascii="Times New Roman" w:hAnsi="Times New Roman" w:cs="Times New Roman"/>
          <w:color w:val="000000" w:themeColor="text1"/>
          <w:sz w:val="28"/>
          <w:szCs w:val="28"/>
        </w:rPr>
        <w:t xml:space="preserve">  </w:t>
      </w:r>
    </w:p>
    <w:p w14:paraId="34BA6C4E" w14:textId="6B403B1D" w:rsidR="00F478C4" w:rsidRDefault="000E59AC" w:rsidP="00074256">
      <w:pPr>
        <w:tabs>
          <w:tab w:val="left" w:pos="90"/>
          <w:tab w:val="left" w:pos="405"/>
          <w:tab w:val="left" w:pos="495"/>
        </w:tabs>
        <w:spacing w:line="276" w:lineRule="auto"/>
        <w:ind w:left="-630" w:right="-22"/>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The study was conducted at </w:t>
      </w:r>
      <w:proofErr w:type="spellStart"/>
      <w:r w:rsidRPr="003875FB">
        <w:rPr>
          <w:rFonts w:ascii="Times New Roman" w:hAnsi="Times New Roman"/>
          <w:color w:val="000000" w:themeColor="text1"/>
          <w:sz w:val="24"/>
          <w:szCs w:val="24"/>
        </w:rPr>
        <w:t>Micheal</w:t>
      </w:r>
      <w:proofErr w:type="spellEnd"/>
      <w:r w:rsidRPr="003875FB">
        <w:rPr>
          <w:rFonts w:ascii="Times New Roman" w:hAnsi="Times New Roman"/>
          <w:color w:val="000000" w:themeColor="text1"/>
          <w:sz w:val="24"/>
          <w:szCs w:val="24"/>
        </w:rPr>
        <w:t xml:space="preserve"> Okpara </w:t>
      </w:r>
      <w:proofErr w:type="spellStart"/>
      <w:r w:rsidRPr="003875FB">
        <w:rPr>
          <w:rFonts w:ascii="Times New Roman" w:hAnsi="Times New Roman"/>
          <w:color w:val="000000" w:themeColor="text1"/>
          <w:sz w:val="24"/>
          <w:szCs w:val="24"/>
        </w:rPr>
        <w:t>Universityof</w:t>
      </w:r>
      <w:proofErr w:type="spellEnd"/>
      <w:r w:rsidRPr="003875FB">
        <w:rPr>
          <w:rFonts w:ascii="Times New Roman" w:hAnsi="Times New Roman"/>
          <w:color w:val="000000" w:themeColor="text1"/>
          <w:sz w:val="24"/>
          <w:szCs w:val="24"/>
        </w:rPr>
        <w:t xml:space="preserve">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Umuahia, in </w:t>
      </w:r>
      <w:proofErr w:type="spellStart"/>
      <w:r w:rsidRPr="003875FB">
        <w:rPr>
          <w:rFonts w:ascii="Times New Roman" w:hAnsi="Times New Roman"/>
          <w:color w:val="000000" w:themeColor="text1"/>
          <w:sz w:val="24"/>
          <w:szCs w:val="24"/>
        </w:rPr>
        <w:t>Abia</w:t>
      </w:r>
      <w:proofErr w:type="spellEnd"/>
      <w:r w:rsidRPr="003875FB">
        <w:rPr>
          <w:rFonts w:ascii="Times New Roman" w:hAnsi="Times New Roman"/>
          <w:color w:val="000000" w:themeColor="text1"/>
          <w:sz w:val="24"/>
          <w:szCs w:val="24"/>
        </w:rPr>
        <w:t xml:space="preserve"> State, Nigeria.</w:t>
      </w:r>
      <w:r w:rsidRPr="000E59AC">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Geographically,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lies between latitudes 5°28’ and 5°30’N and longitudes 7°31’ and 7°33’E (</w:t>
      </w:r>
      <w:proofErr w:type="spellStart"/>
      <w:r w:rsidRPr="003875FB">
        <w:rPr>
          <w:rFonts w:ascii="Times New Roman" w:hAnsi="Times New Roman"/>
          <w:color w:val="000000" w:themeColor="text1"/>
          <w:sz w:val="24"/>
          <w:szCs w:val="24"/>
        </w:rPr>
        <w:t>Igboekwe</w:t>
      </w:r>
      <w:proofErr w:type="spellEnd"/>
      <w:r w:rsidRPr="003875FB">
        <w:rPr>
          <w:rFonts w:ascii="Times New Roman" w:hAnsi="Times New Roman"/>
          <w:color w:val="000000" w:themeColor="text1"/>
          <w:sz w:val="24"/>
          <w:szCs w:val="24"/>
        </w:rPr>
        <w:t xml:space="preserve">, </w:t>
      </w:r>
      <w:r w:rsidR="00412E1E" w:rsidRPr="00412E1E">
        <w:rPr>
          <w:rFonts w:ascii="Times New Roman" w:hAnsi="Times New Roman"/>
          <w:i/>
          <w:color w:val="000000" w:themeColor="text1"/>
          <w:sz w:val="24"/>
          <w:szCs w:val="24"/>
        </w:rPr>
        <w:t>et al.,</w:t>
      </w:r>
      <w:r w:rsidRPr="003875FB">
        <w:rPr>
          <w:rFonts w:ascii="Times New Roman" w:hAnsi="Times New Roman"/>
          <w:color w:val="000000" w:themeColor="text1"/>
          <w:sz w:val="24"/>
          <w:szCs w:val="24"/>
        </w:rPr>
        <w:t xml:space="preserve"> 2012). The area receives rainfall most of the year; ranging from 1800mm to 2200mm, temperature range of 22</w:t>
      </w:r>
      <m:oMath>
        <m:r>
          <w:rPr>
            <w:rFonts w:ascii="Cambria Math" w:hAnsi="Cambria Math"/>
            <w:color w:val="000000" w:themeColor="text1"/>
            <w:sz w:val="24"/>
            <w:szCs w:val="24"/>
          </w:rPr>
          <m:t>℃</m:t>
        </m:r>
      </m:oMath>
      <w:r w:rsidRPr="003875FB">
        <w:rPr>
          <w:rFonts w:ascii="Times New Roman" w:hAnsi="Times New Roman"/>
          <w:color w:val="000000" w:themeColor="text1"/>
          <w:sz w:val="24"/>
          <w:szCs w:val="24"/>
        </w:rPr>
        <w:t xml:space="preserve"> and </w:t>
      </w:r>
      <m:oMath>
        <m:r>
          <w:rPr>
            <w:rFonts w:ascii="Cambria Math" w:hAnsi="Cambria Math"/>
            <w:color w:val="000000" w:themeColor="text1"/>
            <w:sz w:val="24"/>
            <w:szCs w:val="24"/>
          </w:rPr>
          <m:t xml:space="preserve">32℃  </m:t>
        </m:r>
      </m:oMath>
      <w:r w:rsidRPr="003875FB">
        <w:rPr>
          <w:rFonts w:ascii="Times New Roman" w:hAnsi="Times New Roman"/>
          <w:color w:val="000000" w:themeColor="text1"/>
          <w:sz w:val="24"/>
          <w:szCs w:val="24"/>
        </w:rPr>
        <w:t xml:space="preserve"> and average sunshine of 2.69 to 7.86 hours per day (Njoku and Muoneke, 2008). The mean air and soil temperatures are 26.</w:t>
      </w:r>
      <m:oMath>
        <m:r>
          <w:rPr>
            <w:rFonts w:ascii="Cambria Math" w:hAnsi="Cambria Math"/>
            <w:color w:val="000000" w:themeColor="text1"/>
            <w:sz w:val="24"/>
            <w:szCs w:val="24"/>
          </w:rPr>
          <m:t xml:space="preserve">1 ℃  </m:t>
        </m:r>
      </m:oMath>
      <w:r w:rsidRPr="003875FB">
        <w:rPr>
          <w:rFonts w:ascii="Times New Roman" w:hAnsi="Times New Roman"/>
          <w:color w:val="000000" w:themeColor="text1"/>
          <w:sz w:val="24"/>
          <w:szCs w:val="24"/>
        </w:rPr>
        <w:t>and 28</w:t>
      </w:r>
      <m:oMath>
        <m:r>
          <w:rPr>
            <w:rFonts w:ascii="Cambria Math" w:hAnsi="Cambria Math"/>
            <w:color w:val="000000" w:themeColor="text1"/>
            <w:sz w:val="24"/>
            <w:szCs w:val="24"/>
          </w:rPr>
          <m:t xml:space="preserve"> ℃  </m:t>
        </m:r>
      </m:oMath>
      <w:r w:rsidRPr="003875FB">
        <w:rPr>
          <w:rFonts w:ascii="Times New Roman" w:hAnsi="Times New Roman"/>
          <w:color w:val="000000" w:themeColor="text1"/>
          <w:sz w:val="24"/>
          <w:szCs w:val="24"/>
        </w:rPr>
        <w:t xml:space="preserve"> respectively. The maximum top soil temperature is 45</w:t>
      </w:r>
      <m:oMath>
        <m:r>
          <w:rPr>
            <w:rFonts w:ascii="Cambria Math" w:hAnsi="Cambria Math"/>
            <w:color w:val="000000" w:themeColor="text1"/>
            <w:sz w:val="24"/>
            <w:szCs w:val="24"/>
          </w:rPr>
          <m:t xml:space="preserve">℃  </m:t>
        </m:r>
      </m:oMath>
      <w:r w:rsidRPr="003875FB">
        <w:rPr>
          <w:rFonts w:ascii="Times New Roman" w:hAnsi="Times New Roman"/>
          <w:color w:val="000000" w:themeColor="text1"/>
          <w:sz w:val="24"/>
          <w:szCs w:val="24"/>
        </w:rPr>
        <w:t>(Dike, 1992).  The area host two major agricultural research institutions which has turned it to an increasingly devel</w:t>
      </w:r>
      <w:r w:rsidR="00CA5A8C">
        <w:rPr>
          <w:rFonts w:ascii="Times New Roman" w:hAnsi="Times New Roman"/>
          <w:color w:val="000000" w:themeColor="text1"/>
          <w:sz w:val="24"/>
          <w:szCs w:val="24"/>
        </w:rPr>
        <w:t xml:space="preserve">oping semi – urban settlement. </w:t>
      </w:r>
    </w:p>
    <w:p w14:paraId="10EA826A" w14:textId="77777777" w:rsidR="00E20E05" w:rsidRDefault="00E20E05" w:rsidP="00E20E05">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The area of the experimental site used was 7.5m</w:t>
      </w:r>
      <w:r w:rsidRPr="003875FB">
        <w:rPr>
          <w:rFonts w:ascii="Times New Roman" w:hAnsi="Times New Roman"/>
          <w:color w:val="000000" w:themeColor="text1"/>
          <w:sz w:val="24"/>
          <w:szCs w:val="24"/>
          <w:vertAlign w:val="superscript"/>
        </w:rPr>
        <w:t xml:space="preserve">2 </w:t>
      </w:r>
      <w:r w:rsidRPr="003875FB">
        <w:rPr>
          <w:rFonts w:ascii="Times New Roman" w:hAnsi="Times New Roman"/>
          <w:color w:val="000000" w:themeColor="text1"/>
          <w:sz w:val="24"/>
          <w:szCs w:val="24"/>
        </w:rPr>
        <w:t>including 0.2m foot path around the nursery. Five blocks, 1.80m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each were marked out with spacing of 20cm between the row and 15cm within row. The </w:t>
      </w:r>
      <w:r w:rsidRPr="003875FB">
        <w:rPr>
          <w:rFonts w:ascii="Times New Roman" w:hAnsi="Times New Roman"/>
          <w:color w:val="000000" w:themeColor="text1"/>
          <w:sz w:val="24"/>
          <w:szCs w:val="24"/>
        </w:rPr>
        <w:lastRenderedPageBreak/>
        <w:t xml:space="preserve">experiment was layout in a Completely Randomized Design (CRD) having the five (5) seed sources for each selected species as treatments in the five replications. </w:t>
      </w:r>
    </w:p>
    <w:p w14:paraId="6ED9BA2F" w14:textId="77777777" w:rsidR="00F478C4" w:rsidRDefault="00F478C4" w:rsidP="00123448">
      <w:pPr>
        <w:tabs>
          <w:tab w:val="left" w:pos="975"/>
        </w:tabs>
        <w:spacing w:line="276" w:lineRule="auto"/>
        <w:ind w:left="-630"/>
        <w:jc w:val="both"/>
        <w:rPr>
          <w:rFonts w:ascii="Times New Roman" w:hAnsi="Times New Roman"/>
          <w:b/>
          <w:bCs/>
          <w:color w:val="000000" w:themeColor="text1"/>
          <w:sz w:val="24"/>
          <w:szCs w:val="24"/>
        </w:rPr>
      </w:pPr>
    </w:p>
    <w:p w14:paraId="31C892B6" w14:textId="77777777" w:rsidR="000E59AC" w:rsidRPr="003875FB"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SEEDS COLLECTION AND PROCESSING</w:t>
      </w:r>
    </w:p>
    <w:p w14:paraId="76B130D9" w14:textId="282A7EEE" w:rsid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color w:val="000000" w:themeColor="text1"/>
          <w:sz w:val="24"/>
          <w:szCs w:val="24"/>
        </w:rPr>
        <w:t xml:space="preserve">The seeds of </w:t>
      </w: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Milicia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excelsa</w:t>
      </w:r>
      <w:proofErr w:type="spellEnd"/>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i/>
          <w:iCs/>
          <w:color w:val="000000" w:themeColor="text1"/>
          <w:sz w:val="24"/>
          <w:szCs w:val="24"/>
        </w:rPr>
        <w:t>, 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and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color w:val="000000" w:themeColor="text1"/>
          <w:sz w:val="24"/>
          <w:szCs w:val="24"/>
        </w:rPr>
        <w:t xml:space="preserve"> were</w:t>
      </w:r>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 xml:space="preserve">collected from the mother trees growing in Michael Okpara University of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and Fore</w:t>
      </w:r>
      <w:r>
        <w:rPr>
          <w:rFonts w:ascii="Times New Roman" w:hAnsi="Times New Roman"/>
          <w:color w:val="000000" w:themeColor="text1"/>
          <w:sz w:val="24"/>
          <w:szCs w:val="24"/>
        </w:rPr>
        <w:t>stry Research Institute Umuahia</w:t>
      </w:r>
      <w:r w:rsidRPr="003875FB">
        <w:rPr>
          <w:rFonts w:ascii="Times New Roman" w:hAnsi="Times New Roman"/>
          <w:color w:val="000000" w:themeColor="text1"/>
          <w:sz w:val="24"/>
          <w:szCs w:val="24"/>
        </w:rPr>
        <w:t xml:space="preserve">. The number of seeds used for germination experiment varied based on availability.  The fruits were cut opened up manually and the seeds were removed and washed. All the seeds collected for the study were subjected to viability test using floatation method. This involved steeping of seeds in water in a baker; seeds that sank to the bottom were regarded as viable while those which floated were regarded non-viable (Gill </w:t>
      </w:r>
      <w:r w:rsidR="00412E1E" w:rsidRPr="00412E1E">
        <w:rPr>
          <w:rFonts w:ascii="Times New Roman" w:hAnsi="Times New Roman"/>
          <w:i/>
          <w:iCs/>
          <w:color w:val="000000" w:themeColor="text1"/>
          <w:sz w:val="24"/>
          <w:szCs w:val="24"/>
        </w:rPr>
        <w:t>et al.,</w:t>
      </w:r>
      <w:r w:rsidRPr="003875FB">
        <w:rPr>
          <w:rFonts w:ascii="Times New Roman" w:hAnsi="Times New Roman"/>
          <w:color w:val="000000" w:themeColor="text1"/>
          <w:sz w:val="24"/>
          <w:szCs w:val="24"/>
        </w:rPr>
        <w:t xml:space="preserve"> 1992).  </w:t>
      </w:r>
    </w:p>
    <w:p w14:paraId="1F0E649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bCs/>
          <w:color w:val="000000" w:themeColor="text1"/>
          <w:sz w:val="24"/>
          <w:szCs w:val="24"/>
        </w:rPr>
        <w:t>DATA COLLECTION</w:t>
      </w:r>
    </w:p>
    <w:p w14:paraId="0636EE20" w14:textId="77777777" w:rsidR="000E59AC" w:rsidRPr="00764A70"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Growth parameters such as; heights, collar diameter, number of leaf and leaf area were    assessed every two weeks.</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Seedling height: the measurement of the seedling height (cm) was taken from the soil level to the tip of the apical bud with the aids of ruler.</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Collar diameter; the collar diameter (cm) was measured with a vernier calipers</w:t>
      </w:r>
      <w:r w:rsidR="00764A70">
        <w:rPr>
          <w:rFonts w:ascii="Times New Roman" w:hAnsi="Times New Roman"/>
          <w:color w:val="000000" w:themeColor="text1"/>
          <w:sz w:val="24"/>
          <w:szCs w:val="24"/>
        </w:rPr>
        <w:t xml:space="preserve">. </w:t>
      </w:r>
      <w:r w:rsidR="00764A70" w:rsidRPr="003875FB">
        <w:rPr>
          <w:rFonts w:ascii="Times New Roman" w:hAnsi="Times New Roman"/>
          <w:color w:val="000000" w:themeColor="text1"/>
          <w:sz w:val="24"/>
          <w:szCs w:val="24"/>
        </w:rPr>
        <w:t>The</w:t>
      </w:r>
      <w:r w:rsidRPr="003875FB">
        <w:rPr>
          <w:rFonts w:ascii="Times New Roman" w:hAnsi="Times New Roman"/>
          <w:color w:val="000000" w:themeColor="text1"/>
          <w:sz w:val="24"/>
          <w:szCs w:val="24"/>
        </w:rPr>
        <w:t xml:space="preserve"> leaf number was determined by counting the leaf in each seedling.</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the leaf area (cm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was traced on 1mm graph sheets and the areas estimated by counting the number of the full squares as well as those up to 75% of a square.</w:t>
      </w:r>
    </w:p>
    <w:p w14:paraId="0459E43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0795F538" w14:textId="77777777" w:rsidR="00F478C4" w:rsidRDefault="00F478C4"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1EED1EE4"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color w:val="000000" w:themeColor="text1"/>
          <w:sz w:val="24"/>
          <w:szCs w:val="24"/>
        </w:rPr>
        <w:t>Determination of Germination Characteristics of the Five Selected Species</w:t>
      </w:r>
    </w:p>
    <w:p w14:paraId="09C6D77D"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Germination of the species were monitored and counted daily for a period of 5weeks. Time to first germination was recorded and the germination per day recorded for a period of four weeks. Percentage germination and germination rate were calculated using method of Ranal and Santana (2006).</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Percentage germination for each five species was determined from the ratio of number of seeds that germinated for each species at 28 days after planting (DAP) to the total number of seeds planted.</w:t>
      </w:r>
    </w:p>
    <w:p w14:paraId="2C4594E7" w14:textId="77777777" w:rsidR="000E59AC" w:rsidRPr="003875FB" w:rsidRDefault="000E59AC" w:rsidP="00123448">
      <w:pPr>
        <w:tabs>
          <w:tab w:val="left" w:pos="90"/>
          <w:tab w:val="left" w:pos="405"/>
          <w:tab w:val="left" w:pos="495"/>
          <w:tab w:val="left" w:pos="9090"/>
          <w:tab w:val="left" w:pos="9630"/>
        </w:tabs>
        <w:spacing w:line="276" w:lineRule="auto"/>
        <w:ind w:left="-360"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0BE045EE" wp14:editId="35E78019">
                <wp:simplePos x="0" y="0"/>
                <wp:positionH relativeFrom="column">
                  <wp:posOffset>1779778</wp:posOffset>
                </wp:positionH>
                <wp:positionV relativeFrom="paragraph">
                  <wp:posOffset>227965</wp:posOffset>
                </wp:positionV>
                <wp:extent cx="18097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8934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15pt,17.95pt" to="28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" strokecolor="#5b9bd5 [3204]" strokeweight=".5pt">
                <v:stroke joinstyle="miter"/>
              </v:line>
            </w:pict>
          </mc:Fallback>
        </mc:AlternateContent>
      </w:r>
      <w:r w:rsidRPr="003875FB">
        <w:rPr>
          <w:rFonts w:ascii="Times New Roman" w:hAnsi="Times New Roman"/>
          <w:color w:val="000000" w:themeColor="text1"/>
          <w:sz w:val="24"/>
          <w:szCs w:val="24"/>
        </w:rPr>
        <w:t>Germination (%) =                       Total number of germinations         x 100</w:t>
      </w:r>
    </w:p>
    <w:p w14:paraId="046E2821" w14:textId="77777777" w:rsidR="000E59AC" w:rsidRPr="003875FB" w:rsidRDefault="000E59AC" w:rsidP="00123448">
      <w:pPr>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Total number of </w:t>
      </w:r>
      <w:proofErr w:type="gramStart"/>
      <w:r w:rsidRPr="003875FB">
        <w:rPr>
          <w:rFonts w:ascii="Times New Roman" w:hAnsi="Times New Roman"/>
          <w:color w:val="000000" w:themeColor="text1"/>
          <w:sz w:val="24"/>
          <w:szCs w:val="24"/>
        </w:rPr>
        <w:t>seed</w:t>
      </w:r>
      <w:proofErr w:type="gramEnd"/>
      <w:r w:rsidRPr="003875FB">
        <w:rPr>
          <w:rFonts w:ascii="Times New Roman" w:hAnsi="Times New Roman"/>
          <w:color w:val="000000" w:themeColor="text1"/>
          <w:sz w:val="24"/>
          <w:szCs w:val="24"/>
        </w:rPr>
        <w:t xml:space="preserve"> planted </w:t>
      </w:r>
    </w:p>
    <w:p w14:paraId="11063509"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60288" behindDoc="0" locked="0" layoutInCell="1" allowOverlap="1" wp14:anchorId="0D2A013F" wp14:editId="1F7E9047">
                <wp:simplePos x="0" y="0"/>
                <wp:positionH relativeFrom="column">
                  <wp:posOffset>2202688</wp:posOffset>
                </wp:positionH>
                <wp:positionV relativeFrom="paragraph">
                  <wp:posOffset>231775</wp:posOffset>
                </wp:positionV>
                <wp:extent cx="16383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207D9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8.25pt" to="302.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" strokecolor="#5b9bd5 [3204]" strokeweight=".5pt">
                <v:stroke joinstyle="miter"/>
              </v:line>
            </w:pict>
          </mc:Fallback>
        </mc:AlternateContent>
      </w:r>
      <w:r w:rsidRPr="003875FB">
        <w:rPr>
          <w:rFonts w:ascii="Times New Roman" w:hAnsi="Times New Roman"/>
          <w:color w:val="000000" w:themeColor="text1"/>
          <w:sz w:val="24"/>
          <w:szCs w:val="24"/>
        </w:rPr>
        <w:t xml:space="preserve">The germination rates =               Number of germinated </w:t>
      </w:r>
      <w:proofErr w:type="gramStart"/>
      <w:r w:rsidRPr="003875FB">
        <w:rPr>
          <w:rFonts w:ascii="Times New Roman" w:hAnsi="Times New Roman"/>
          <w:color w:val="000000" w:themeColor="text1"/>
          <w:sz w:val="24"/>
          <w:szCs w:val="24"/>
        </w:rPr>
        <w:t>seed</w:t>
      </w:r>
      <w:proofErr w:type="gramEnd"/>
      <w:r w:rsidRPr="003875FB">
        <w:rPr>
          <w:rFonts w:ascii="Times New Roman" w:hAnsi="Times New Roman"/>
          <w:color w:val="000000" w:themeColor="text1"/>
          <w:sz w:val="24"/>
          <w:szCs w:val="24"/>
        </w:rPr>
        <w:t xml:space="preserve">   </w:t>
      </w:r>
    </w:p>
    <w:p w14:paraId="362D52D7" w14:textId="77777777" w:rsidR="000E59AC" w:rsidRPr="003875FB" w:rsidRDefault="000E59AC" w:rsidP="00123448">
      <w:pPr>
        <w:tabs>
          <w:tab w:val="left" w:pos="975"/>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  Days of total count</w:t>
      </w:r>
    </w:p>
    <w:p w14:paraId="03CFE145" w14:textId="77777777" w:rsidR="000E59AC" w:rsidRPr="003875FB" w:rsidRDefault="000E59AC" w:rsidP="00123448">
      <w:pPr>
        <w:tabs>
          <w:tab w:val="left" w:pos="975"/>
        </w:tabs>
        <w:spacing w:line="276" w:lineRule="auto"/>
        <w:ind w:right="54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Assessment of Early Growth Rate of the Five Timber Species</w:t>
      </w:r>
    </w:p>
    <w:p w14:paraId="5901BB67"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proofErr w:type="gramStart"/>
      <w:r w:rsidRPr="003875FB">
        <w:rPr>
          <w:rFonts w:ascii="Times New Roman" w:hAnsi="Times New Roman"/>
          <w:color w:val="000000" w:themeColor="text1"/>
          <w:sz w:val="24"/>
          <w:szCs w:val="24"/>
        </w:rPr>
        <w:t>Twenty five</w:t>
      </w:r>
      <w:proofErr w:type="gramEnd"/>
      <w:r w:rsidRPr="003875FB">
        <w:rPr>
          <w:rFonts w:ascii="Times New Roman" w:hAnsi="Times New Roman"/>
          <w:color w:val="000000" w:themeColor="text1"/>
          <w:sz w:val="24"/>
          <w:szCs w:val="24"/>
        </w:rPr>
        <w:t xml:space="preserve"> (25) uniformly growing vigorous seedlings each of the five species were transplanted into already prepared planting holes to establish a 150m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experimental plot at the </w:t>
      </w:r>
      <w:r w:rsidRPr="003875FB">
        <w:rPr>
          <w:rFonts w:ascii="Times New Roman" w:hAnsi="Times New Roman"/>
          <w:color w:val="000000" w:themeColor="text1"/>
          <w:sz w:val="24"/>
          <w:szCs w:val="24"/>
        </w:rPr>
        <w:lastRenderedPageBreak/>
        <w:t>nursery unit of the department of forestry and environmental management. The plot 5 blocks separated 1m path.</w:t>
      </w:r>
    </w:p>
    <w:p w14:paraId="327F461F" w14:textId="77777777" w:rsidR="000E59AC" w:rsidRPr="003875FB" w:rsidRDefault="000E59AC" w:rsidP="00123448">
      <w:pPr>
        <w:tabs>
          <w:tab w:val="left" w:pos="975"/>
        </w:tabs>
        <w:spacing w:line="276" w:lineRule="auto"/>
        <w:ind w:right="540"/>
        <w:jc w:val="both"/>
        <w:rPr>
          <w:rFonts w:ascii="Times New Roman" w:hAnsi="Times New Roman"/>
          <w:b/>
          <w:color w:val="000000" w:themeColor="text1"/>
          <w:sz w:val="24"/>
          <w:szCs w:val="24"/>
        </w:rPr>
      </w:pPr>
      <w:r w:rsidRPr="003875FB">
        <w:rPr>
          <w:rFonts w:ascii="Times New Roman" w:hAnsi="Times New Roman"/>
          <w:b/>
          <w:color w:val="000000" w:themeColor="text1"/>
          <w:sz w:val="24"/>
          <w:szCs w:val="24"/>
        </w:rPr>
        <w:t>Pre-treatment Procedure</w:t>
      </w:r>
    </w:p>
    <w:p w14:paraId="57B1D5B9"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A total number of 125 seeds were used, with</w:t>
      </w:r>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(25), </w:t>
      </w:r>
      <w:proofErr w:type="spellStart"/>
      <w:r w:rsidRPr="003875FB">
        <w:rPr>
          <w:rFonts w:ascii="Times New Roman" w:hAnsi="Times New Roman"/>
          <w:i/>
          <w:iCs/>
          <w:color w:val="000000" w:themeColor="text1"/>
          <w:sz w:val="24"/>
          <w:szCs w:val="24"/>
        </w:rPr>
        <w:t>Milicia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excelsa</w:t>
      </w:r>
      <w:proofErr w:type="spellEnd"/>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 xml:space="preserve">(25),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color w:val="000000" w:themeColor="text1"/>
          <w:sz w:val="24"/>
          <w:szCs w:val="24"/>
        </w:rPr>
        <w:t xml:space="preserve"> (25),</w:t>
      </w:r>
      <w:r w:rsidRPr="003875FB">
        <w:rPr>
          <w:rFonts w:ascii="Times New Roman" w:hAnsi="Times New Roman"/>
          <w:i/>
          <w:iCs/>
          <w:color w:val="000000" w:themeColor="text1"/>
          <w:sz w:val="24"/>
          <w:szCs w:val="24"/>
        </w:rPr>
        <w:t xml:space="preserve"> and Garcinia kola (25),</w:t>
      </w:r>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iCs/>
          <w:color w:val="000000" w:themeColor="text1"/>
          <w:sz w:val="24"/>
          <w:szCs w:val="24"/>
        </w:rPr>
        <w:tab/>
        <w:t xml:space="preserve">(25) </w:t>
      </w:r>
      <w:r w:rsidRPr="003875FB">
        <w:rPr>
          <w:rFonts w:ascii="Times New Roman" w:hAnsi="Times New Roman"/>
          <w:color w:val="000000" w:themeColor="text1"/>
          <w:sz w:val="24"/>
          <w:szCs w:val="24"/>
        </w:rPr>
        <w:t>numbers of seeds per species. The seeds where soaked in cold water at room temperature (25</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2</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for the following durations.</w:t>
      </w:r>
    </w:p>
    <w:p w14:paraId="5C60F877" w14:textId="77777777" w:rsidR="005C0135" w:rsidRDefault="005C0135" w:rsidP="00123448">
      <w:pPr>
        <w:tabs>
          <w:tab w:val="left" w:pos="975"/>
        </w:tabs>
        <w:spacing w:line="276" w:lineRule="auto"/>
        <w:jc w:val="both"/>
        <w:rPr>
          <w:rFonts w:ascii="Times New Roman" w:hAnsi="Times New Roman"/>
          <w:color w:val="000000" w:themeColor="text1"/>
          <w:sz w:val="24"/>
          <w:szCs w:val="24"/>
        </w:rPr>
      </w:pPr>
    </w:p>
    <w:p w14:paraId="0F28DA67" w14:textId="77777777" w:rsidR="005C0135" w:rsidRPr="000E59AC" w:rsidRDefault="005C0135" w:rsidP="00123448">
      <w:pPr>
        <w:tabs>
          <w:tab w:val="left" w:pos="975"/>
        </w:tabs>
        <w:spacing w:line="276" w:lineRule="auto"/>
        <w:jc w:val="both"/>
        <w:rPr>
          <w:rFonts w:ascii="Times New Roman" w:hAnsi="Times New Roman"/>
          <w:iCs/>
          <w:color w:val="000000" w:themeColor="text1"/>
          <w:sz w:val="24"/>
          <w:szCs w:val="24"/>
        </w:rPr>
      </w:pPr>
    </w:p>
    <w:p w14:paraId="2D4F6DD9" w14:textId="77777777" w:rsidR="000E59AC" w:rsidRPr="003875FB" w:rsidRDefault="000E59AC" w:rsidP="00123448">
      <w:pPr>
        <w:tabs>
          <w:tab w:val="left" w:pos="975"/>
        </w:tabs>
        <w:spacing w:line="276" w:lineRule="auto"/>
        <w:jc w:val="both"/>
        <w:rPr>
          <w:rFonts w:ascii="Times New Roman" w:hAnsi="Times New Roman"/>
          <w:b/>
          <w:iCs/>
          <w:color w:val="000000" w:themeColor="text1"/>
          <w:sz w:val="24"/>
          <w:szCs w:val="24"/>
        </w:rPr>
      </w:pPr>
      <w:r w:rsidRPr="003875FB">
        <w:rPr>
          <w:rFonts w:ascii="Times New Roman" w:hAnsi="Times New Roman"/>
          <w:b/>
          <w:iCs/>
          <w:color w:val="000000" w:themeColor="text1"/>
          <w:sz w:val="24"/>
          <w:szCs w:val="24"/>
        </w:rPr>
        <w:t xml:space="preserve">Species                                                             Soaking duration  </w:t>
      </w:r>
    </w:p>
    <w:p w14:paraId="5B35DBCC" w14:textId="77777777" w:rsidR="000E59AC" w:rsidRPr="003875FB"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24 hours</w:t>
      </w:r>
    </w:p>
    <w:p w14:paraId="3C3E0344"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Milicia excelsa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18 hours</w:t>
      </w:r>
    </w:p>
    <w:p w14:paraId="32101F9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48 hours</w:t>
      </w:r>
    </w:p>
    <w:p w14:paraId="2F98E68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t>48 hours</w:t>
      </w:r>
    </w:p>
    <w:p w14:paraId="17D0C0DB" w14:textId="77777777" w:rsidR="000E59AC" w:rsidRPr="00FB0806"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Cs/>
          <w:color w:val="000000" w:themeColor="text1"/>
          <w:sz w:val="24"/>
          <w:szCs w:val="24"/>
        </w:rPr>
        <w:t>72 hours</w:t>
      </w:r>
    </w:p>
    <w:p w14:paraId="3E83560B" w14:textId="77777777" w:rsidR="000E59AC" w:rsidRPr="003875FB" w:rsidRDefault="000E59AC" w:rsidP="00123448">
      <w:pPr>
        <w:tabs>
          <w:tab w:val="left" w:pos="975"/>
        </w:tabs>
        <w:spacing w:line="276" w:lineRule="auto"/>
        <w:jc w:val="both"/>
        <w:rPr>
          <w:rFonts w:ascii="Times New Roman" w:hAnsi="Times New Roman"/>
          <w:iCs/>
          <w:color w:val="000000" w:themeColor="text1"/>
          <w:sz w:val="24"/>
          <w:szCs w:val="24"/>
        </w:rPr>
      </w:pPr>
      <w:r w:rsidRPr="003875FB">
        <w:rPr>
          <w:rFonts w:ascii="Times New Roman" w:hAnsi="Times New Roman"/>
          <w:iCs/>
          <w:color w:val="000000" w:themeColor="text1"/>
          <w:sz w:val="24"/>
          <w:szCs w:val="24"/>
        </w:rPr>
        <w:t xml:space="preserve">The seeds were placed in a container and covered with cold water. The water was changed daily to prevent fungal growth. After the soaking treatment, the seeds were removed from the water. Each species had soaking treatment versus a no-soak control.  </w:t>
      </w:r>
    </w:p>
    <w:p w14:paraId="4F88BE95" w14:textId="77777777" w:rsidR="000E59AC" w:rsidRDefault="00764A70" w:rsidP="00123448">
      <w:pPr>
        <w:tabs>
          <w:tab w:val="left" w:pos="975"/>
        </w:tabs>
        <w:spacing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Species soaking duration  </w:t>
      </w:r>
    </w:p>
    <w:p w14:paraId="13BB3200" w14:textId="144C9BDA" w:rsidR="00E93701" w:rsidRDefault="00E93701" w:rsidP="00123448">
      <w:pPr>
        <w:tabs>
          <w:tab w:val="left" w:pos="975"/>
        </w:tabs>
        <w:spacing w:line="276" w:lineRule="auto"/>
        <w:jc w:val="both"/>
        <w:rPr>
          <w:rFonts w:ascii="Times New Roman" w:hAnsi="Times New Roman"/>
          <w:iCs/>
          <w:color w:val="000000" w:themeColor="text1"/>
          <w:sz w:val="24"/>
          <w:szCs w:val="24"/>
        </w:rPr>
      </w:pPr>
      <w:r w:rsidRPr="00E93701">
        <w:rPr>
          <w:rFonts w:ascii="Times New Roman" w:hAnsi="Times New Roman"/>
          <w:iCs/>
          <w:color w:val="000000" w:themeColor="text1"/>
          <w:sz w:val="24"/>
          <w:szCs w:val="24"/>
        </w:rPr>
        <w:t xml:space="preserve">The variation in soaking durations among species was based on differences in seed coat permeability, dormancy characteristics, and seed size. Species with harder or less permeable seed coats such as </w:t>
      </w:r>
      <w:r w:rsidRPr="00E93701">
        <w:rPr>
          <w:rFonts w:ascii="Times New Roman" w:hAnsi="Times New Roman"/>
          <w:i/>
          <w:iCs/>
          <w:color w:val="000000" w:themeColor="text1"/>
          <w:sz w:val="24"/>
          <w:szCs w:val="24"/>
        </w:rPr>
        <w:t>Garcinia kola</w:t>
      </w:r>
      <w:r w:rsidRPr="00E93701">
        <w:rPr>
          <w:rFonts w:ascii="Times New Roman" w:hAnsi="Times New Roman"/>
          <w:iCs/>
          <w:color w:val="000000" w:themeColor="text1"/>
          <w:sz w:val="24"/>
          <w:szCs w:val="24"/>
        </w:rPr>
        <w:t xml:space="preserve"> and </w:t>
      </w:r>
      <w:proofErr w:type="spellStart"/>
      <w:r w:rsidRPr="00E93701">
        <w:rPr>
          <w:rFonts w:ascii="Times New Roman" w:hAnsi="Times New Roman"/>
          <w:iCs/>
          <w:color w:val="000000" w:themeColor="text1"/>
          <w:sz w:val="24"/>
          <w:szCs w:val="24"/>
        </w:rPr>
        <w:t>Gambeya</w:t>
      </w:r>
      <w:proofErr w:type="spellEnd"/>
      <w:r w:rsidRPr="00E93701">
        <w:rPr>
          <w:rFonts w:ascii="Times New Roman" w:hAnsi="Times New Roman"/>
          <w:iCs/>
          <w:color w:val="000000" w:themeColor="text1"/>
          <w:sz w:val="24"/>
          <w:szCs w:val="24"/>
        </w:rPr>
        <w:t xml:space="preserve"> </w:t>
      </w:r>
      <w:proofErr w:type="spellStart"/>
      <w:r w:rsidRPr="00E93701">
        <w:rPr>
          <w:rFonts w:ascii="Times New Roman" w:hAnsi="Times New Roman"/>
          <w:iCs/>
          <w:color w:val="000000" w:themeColor="text1"/>
          <w:sz w:val="24"/>
          <w:szCs w:val="24"/>
        </w:rPr>
        <w:t>albida</w:t>
      </w:r>
      <w:proofErr w:type="spellEnd"/>
      <w:r w:rsidRPr="00E93701">
        <w:rPr>
          <w:rFonts w:ascii="Times New Roman" w:hAnsi="Times New Roman"/>
          <w:iCs/>
          <w:color w:val="000000" w:themeColor="text1"/>
          <w:sz w:val="24"/>
          <w:szCs w:val="24"/>
        </w:rPr>
        <w:t xml:space="preserve"> were subjected to longer soaking periods to enhance water imbibition, while species with more permeable seeds such as </w:t>
      </w:r>
      <w:proofErr w:type="spellStart"/>
      <w:r w:rsidRPr="00E93701">
        <w:rPr>
          <w:rFonts w:ascii="Times New Roman" w:hAnsi="Times New Roman"/>
          <w:i/>
          <w:iCs/>
          <w:color w:val="000000" w:themeColor="text1"/>
          <w:sz w:val="24"/>
          <w:szCs w:val="24"/>
        </w:rPr>
        <w:t>Milicia</w:t>
      </w:r>
      <w:proofErr w:type="spellEnd"/>
      <w:r w:rsidRPr="00E93701">
        <w:rPr>
          <w:rFonts w:ascii="Times New Roman" w:hAnsi="Times New Roman"/>
          <w:i/>
          <w:iCs/>
          <w:color w:val="000000" w:themeColor="text1"/>
          <w:sz w:val="24"/>
          <w:szCs w:val="24"/>
        </w:rPr>
        <w:t xml:space="preserve"> </w:t>
      </w:r>
      <w:proofErr w:type="spellStart"/>
      <w:r w:rsidRPr="00E93701">
        <w:rPr>
          <w:rFonts w:ascii="Times New Roman" w:hAnsi="Times New Roman"/>
          <w:i/>
          <w:iCs/>
          <w:color w:val="000000" w:themeColor="text1"/>
          <w:sz w:val="24"/>
          <w:szCs w:val="24"/>
        </w:rPr>
        <w:t>excelsa</w:t>
      </w:r>
      <w:proofErr w:type="spellEnd"/>
      <w:r w:rsidRPr="00E93701">
        <w:rPr>
          <w:rFonts w:ascii="Times New Roman" w:hAnsi="Times New Roman"/>
          <w:iCs/>
          <w:color w:val="000000" w:themeColor="text1"/>
          <w:sz w:val="24"/>
          <w:szCs w:val="24"/>
        </w:rPr>
        <w:t xml:space="preserve"> required shorter durations. Similarly, moderate soaking durations were applied to recalcitrant species like </w:t>
      </w:r>
      <w:proofErr w:type="spellStart"/>
      <w:r w:rsidRPr="00E93701">
        <w:rPr>
          <w:rFonts w:ascii="Times New Roman" w:hAnsi="Times New Roman"/>
          <w:i/>
          <w:iCs/>
          <w:color w:val="000000" w:themeColor="text1"/>
          <w:sz w:val="24"/>
          <w:szCs w:val="24"/>
        </w:rPr>
        <w:t>Irvingia</w:t>
      </w:r>
      <w:proofErr w:type="spellEnd"/>
      <w:r w:rsidRPr="00E93701">
        <w:rPr>
          <w:rFonts w:ascii="Times New Roman" w:hAnsi="Times New Roman"/>
          <w:i/>
          <w:iCs/>
          <w:color w:val="000000" w:themeColor="text1"/>
          <w:sz w:val="24"/>
          <w:szCs w:val="24"/>
        </w:rPr>
        <w:t xml:space="preserve"> </w:t>
      </w:r>
      <w:proofErr w:type="spellStart"/>
      <w:r w:rsidRPr="00E93701">
        <w:rPr>
          <w:rFonts w:ascii="Times New Roman" w:hAnsi="Times New Roman"/>
          <w:i/>
          <w:iCs/>
          <w:color w:val="000000" w:themeColor="text1"/>
          <w:sz w:val="24"/>
          <w:szCs w:val="24"/>
        </w:rPr>
        <w:t>gabonensis</w:t>
      </w:r>
      <w:proofErr w:type="spellEnd"/>
      <w:r w:rsidRPr="00E93701">
        <w:rPr>
          <w:rFonts w:ascii="Times New Roman" w:hAnsi="Times New Roman"/>
          <w:iCs/>
          <w:color w:val="000000" w:themeColor="text1"/>
          <w:sz w:val="24"/>
          <w:szCs w:val="24"/>
        </w:rPr>
        <w:t xml:space="preserve"> to prevent anoxic damage while ensuring adequate hydration. This species-specific approach is consistent with established seed physiology principles and previous studies on tropical tree germination (Bewley </w:t>
      </w:r>
      <w:r w:rsidR="00412E1E" w:rsidRPr="00412E1E">
        <w:rPr>
          <w:rFonts w:ascii="Times New Roman" w:hAnsi="Times New Roman"/>
          <w:i/>
          <w:iCs/>
          <w:color w:val="000000" w:themeColor="text1"/>
          <w:sz w:val="24"/>
          <w:szCs w:val="24"/>
        </w:rPr>
        <w:t>et al.,</w:t>
      </w:r>
      <w:r w:rsidRPr="00E93701">
        <w:rPr>
          <w:rFonts w:ascii="Times New Roman" w:hAnsi="Times New Roman"/>
          <w:iCs/>
          <w:color w:val="000000" w:themeColor="text1"/>
          <w:sz w:val="24"/>
          <w:szCs w:val="24"/>
        </w:rPr>
        <w:t xml:space="preserve"> 2013; Baskin &amp; Baskin, 2021).</w:t>
      </w:r>
    </w:p>
    <w:p w14:paraId="4C044B1F" w14:textId="77777777" w:rsidR="00123448" w:rsidRDefault="00123448" w:rsidP="00123448">
      <w:pPr>
        <w:tabs>
          <w:tab w:val="left" w:pos="975"/>
        </w:tabs>
        <w:spacing w:line="276" w:lineRule="auto"/>
        <w:jc w:val="both"/>
        <w:rPr>
          <w:rFonts w:ascii="Times New Roman" w:hAnsi="Times New Roman"/>
          <w:iCs/>
          <w:color w:val="000000" w:themeColor="text1"/>
          <w:sz w:val="24"/>
          <w:szCs w:val="24"/>
        </w:rPr>
      </w:pPr>
    </w:p>
    <w:p w14:paraId="2835E4E9" w14:textId="77777777" w:rsidR="00DC0450" w:rsidRDefault="00DC0450" w:rsidP="00123448">
      <w:pPr>
        <w:tabs>
          <w:tab w:val="left" w:pos="975"/>
        </w:tabs>
        <w:spacing w:line="276" w:lineRule="auto"/>
        <w:jc w:val="both"/>
        <w:rPr>
          <w:rFonts w:ascii="Times New Roman" w:hAnsi="Times New Roman"/>
          <w:iCs/>
          <w:color w:val="000000" w:themeColor="text1"/>
          <w:sz w:val="24"/>
          <w:szCs w:val="24"/>
        </w:rPr>
      </w:pPr>
    </w:p>
    <w:p w14:paraId="369B7618" w14:textId="77777777" w:rsidR="00DC0450" w:rsidRDefault="00DC0450" w:rsidP="00123448">
      <w:pPr>
        <w:tabs>
          <w:tab w:val="left" w:pos="975"/>
        </w:tabs>
        <w:spacing w:line="276" w:lineRule="auto"/>
        <w:jc w:val="both"/>
        <w:rPr>
          <w:rFonts w:ascii="Times New Roman" w:hAnsi="Times New Roman"/>
          <w:iCs/>
          <w:color w:val="000000" w:themeColor="text1"/>
          <w:sz w:val="24"/>
          <w:szCs w:val="24"/>
        </w:rPr>
      </w:pPr>
    </w:p>
    <w:p w14:paraId="050E3A15" w14:textId="77777777" w:rsidR="00DC0450" w:rsidRPr="00764A70" w:rsidRDefault="00DC0450" w:rsidP="00123448">
      <w:pPr>
        <w:tabs>
          <w:tab w:val="left" w:pos="975"/>
        </w:tabs>
        <w:spacing w:line="276" w:lineRule="auto"/>
        <w:jc w:val="both"/>
        <w:rPr>
          <w:rFonts w:ascii="Times New Roman" w:hAnsi="Times New Roman"/>
          <w:iCs/>
          <w:color w:val="000000" w:themeColor="text1"/>
          <w:sz w:val="24"/>
          <w:szCs w:val="24"/>
        </w:rPr>
      </w:pPr>
    </w:p>
    <w:p w14:paraId="5BC2BACD" w14:textId="3A94AE6F" w:rsidR="000E59AC" w:rsidRPr="00764A70" w:rsidRDefault="00764A70" w:rsidP="00123448">
      <w:pPr>
        <w:spacing w:line="276" w:lineRule="auto"/>
        <w:ind w:left="-810"/>
        <w:jc w:val="both"/>
        <w:rPr>
          <w:rFonts w:ascii="Times New Roman" w:eastAsia="Times New Roman" w:hAnsi="Times New Roman" w:cs="Times New Roman"/>
          <w:sz w:val="28"/>
          <w:szCs w:val="28"/>
        </w:rPr>
      </w:pPr>
      <w:r w:rsidRPr="00764A70">
        <w:rPr>
          <w:rFonts w:ascii="Times New Roman" w:hAnsi="Times New Roman" w:cs="Times New Roman"/>
          <w:b/>
          <w:bCs/>
          <w:color w:val="000000"/>
          <w:sz w:val="28"/>
          <w:szCs w:val="28"/>
        </w:rPr>
        <w:lastRenderedPageBreak/>
        <w:t xml:space="preserve">RESULTS </w:t>
      </w:r>
    </w:p>
    <w:p w14:paraId="588542CE" w14:textId="77777777" w:rsidR="000E59AC" w:rsidRPr="0032792B" w:rsidRDefault="000E59AC" w:rsidP="00123448">
      <w:pPr>
        <w:spacing w:line="276" w:lineRule="auto"/>
        <w:ind w:left="-810"/>
        <w:rPr>
          <w:rFonts w:ascii="Times New Roman" w:hAnsi="Times New Roman"/>
          <w:b/>
          <w:sz w:val="24"/>
          <w:szCs w:val="24"/>
        </w:rPr>
      </w:pPr>
      <w:r>
        <w:rPr>
          <w:rFonts w:ascii="Times New Roman" w:hAnsi="Times New Roman"/>
          <w:b/>
          <w:sz w:val="24"/>
          <w:szCs w:val="24"/>
        </w:rPr>
        <w:t xml:space="preserve">Growth Parameter </w:t>
      </w:r>
    </w:p>
    <w:p w14:paraId="0B60CE1A" w14:textId="4BA3414F" w:rsidR="00F478C4" w:rsidRPr="00123448" w:rsidRDefault="00764A70"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The tables.1 to </w:t>
      </w:r>
      <w:r w:rsidR="000E59AC">
        <w:rPr>
          <w:rFonts w:ascii="Times New Roman" w:hAnsi="Times New Roman"/>
          <w:sz w:val="24"/>
          <w:szCs w:val="24"/>
        </w:rPr>
        <w:t>5</w:t>
      </w:r>
      <w:r w:rsidR="000E59AC" w:rsidRPr="004B4D0F">
        <w:rPr>
          <w:rFonts w:ascii="Times New Roman" w:hAnsi="Times New Roman"/>
          <w:sz w:val="24"/>
          <w:szCs w:val="24"/>
        </w:rPr>
        <w:t xml:space="preserve"> present mean values for various growth parameters</w:t>
      </w:r>
      <w:r w:rsidR="000E59AC">
        <w:rPr>
          <w:rFonts w:ascii="Times New Roman" w:hAnsi="Times New Roman"/>
          <w:sz w:val="24"/>
          <w:szCs w:val="24"/>
        </w:rPr>
        <w:t xml:space="preserv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i/>
          <w:sz w:val="24"/>
          <w:szCs w:val="24"/>
        </w:rPr>
        <w:t>,</w:t>
      </w:r>
      <w:proofErr w:type="gram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with superscript letters indicating statistical significance</w:t>
      </w:r>
      <w:r w:rsidR="000E59AC">
        <w:rPr>
          <w:rFonts w:ascii="Times New Roman" w:hAnsi="Times New Roman"/>
          <w:sz w:val="24"/>
          <w:szCs w:val="24"/>
        </w:rPr>
        <w:t xml:space="preserve"> (p&lt;0.05)</w:t>
      </w:r>
      <w:r w:rsidR="000E59AC" w:rsidRPr="004B4D0F">
        <w:rPr>
          <w:rFonts w:ascii="Times New Roman" w:hAnsi="Times New Roman"/>
          <w:sz w:val="24"/>
          <w:szCs w:val="24"/>
        </w:rPr>
        <w:t xml:space="preserve"> (means sharing the same letter in a column are not signifi</w:t>
      </w:r>
      <w:r w:rsidR="000E59AC">
        <w:rPr>
          <w:rFonts w:ascii="Times New Roman" w:hAnsi="Times New Roman"/>
          <w:sz w:val="24"/>
          <w:szCs w:val="24"/>
        </w:rPr>
        <w:t>cantly</w:t>
      </w:r>
      <w:r w:rsidR="000E59AC" w:rsidRPr="004B4D0F">
        <w:rPr>
          <w:rFonts w:ascii="Times New Roman" w:hAnsi="Times New Roman"/>
          <w:sz w:val="24"/>
          <w:szCs w:val="24"/>
        </w:rPr>
        <w:t xml:space="preserve">). </w:t>
      </w:r>
    </w:p>
    <w:p w14:paraId="1BCF7930" w14:textId="77777777" w:rsidR="000E59AC" w:rsidRPr="00132D63" w:rsidRDefault="000E59AC" w:rsidP="00123448">
      <w:pPr>
        <w:spacing w:line="276" w:lineRule="auto"/>
        <w:ind w:left="-810"/>
        <w:jc w:val="both"/>
        <w:rPr>
          <w:rFonts w:ascii="Times New Roman" w:hAnsi="Times New Roman"/>
          <w:b/>
          <w:sz w:val="24"/>
          <w:szCs w:val="24"/>
        </w:rPr>
      </w:pPr>
      <w:r>
        <w:rPr>
          <w:rFonts w:ascii="Times New Roman" w:hAnsi="Times New Roman"/>
          <w:b/>
          <w:sz w:val="24"/>
          <w:szCs w:val="24"/>
        </w:rPr>
        <w:t xml:space="preserve"> </w:t>
      </w:r>
      <w:r w:rsidRPr="00132D63">
        <w:rPr>
          <w:rFonts w:ascii="Times New Roman" w:hAnsi="Times New Roman"/>
          <w:b/>
          <w:sz w:val="24"/>
          <w:szCs w:val="24"/>
        </w:rPr>
        <w:t xml:space="preserve">Stem </w:t>
      </w:r>
      <w:r>
        <w:rPr>
          <w:rFonts w:ascii="Times New Roman" w:hAnsi="Times New Roman"/>
          <w:b/>
          <w:sz w:val="24"/>
          <w:szCs w:val="24"/>
        </w:rPr>
        <w:t>height</w:t>
      </w:r>
    </w:p>
    <w:p w14:paraId="0168F3B1" w14:textId="12728591" w:rsidR="000E59AC" w:rsidRPr="004B4D0F" w:rsidRDefault="00FA6AEF"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Table </w:t>
      </w:r>
      <w:r w:rsidR="000E59AC">
        <w:rPr>
          <w:rFonts w:ascii="Times New Roman" w:hAnsi="Times New Roman"/>
          <w:sz w:val="24"/>
          <w:szCs w:val="24"/>
        </w:rPr>
        <w:t xml:space="preserve">1 shows the mean stem height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i/>
          <w:sz w:val="24"/>
          <w:szCs w:val="24"/>
        </w:rPr>
        <w:t>,</w:t>
      </w:r>
      <w:proofErr w:type="gram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w:t>
      </w:r>
      <w:r w:rsidR="000E59AC">
        <w:rPr>
          <w:rFonts w:ascii="Times New Roman" w:hAnsi="Times New Roman"/>
          <w:sz w:val="24"/>
          <w:szCs w:val="24"/>
        </w:rPr>
        <w:t xml:space="preserve"> </w:t>
      </w:r>
      <w:r w:rsidR="000E59AC" w:rsidRPr="004B4D0F">
        <w:rPr>
          <w:rFonts w:ascii="Times New Roman" w:hAnsi="Times New Roman"/>
          <w:sz w:val="24"/>
          <w:szCs w:val="24"/>
        </w:rPr>
        <w:t>All species show progressive increases over the 12 weeks</w:t>
      </w:r>
      <w:r w:rsidR="000E59AC">
        <w:rPr>
          <w:rFonts w:ascii="Times New Roman" w:hAnsi="Times New Roman"/>
          <w:sz w:val="24"/>
          <w:szCs w:val="24"/>
        </w:rPr>
        <w:t xml:space="preserve"> with significant differences (p&lt;0.05)</w:t>
      </w:r>
      <w:r w:rsidR="000E59AC" w:rsidRPr="004B4D0F">
        <w:rPr>
          <w:rFonts w:ascii="Times New Roman" w:hAnsi="Times New Roman"/>
          <w:sz w:val="24"/>
          <w:szCs w:val="24"/>
        </w:rPr>
        <w:t xml:space="preserve">, but with distinct patterns.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sidRPr="004B4D0F">
        <w:rPr>
          <w:rFonts w:ascii="Times New Roman" w:hAnsi="Times New Roman"/>
          <w:sz w:val="24"/>
          <w:szCs w:val="24"/>
        </w:rPr>
        <w:t xml:space="preserve"> starts strong (10.66 cm in Week 1) and maintains dominanc</w:t>
      </w:r>
      <w:r w:rsidR="000E59AC">
        <w:rPr>
          <w:rFonts w:ascii="Times New Roman" w:hAnsi="Times New Roman"/>
          <w:sz w:val="24"/>
          <w:szCs w:val="24"/>
        </w:rPr>
        <w:t xml:space="preserve">e, reaching 38.44 cm by Week 12, </w:t>
      </w:r>
      <w:r w:rsidR="000E59AC" w:rsidRPr="004B4D0F">
        <w:rPr>
          <w:rFonts w:ascii="Times New Roman" w:hAnsi="Times New Roman"/>
          <w:sz w:val="24"/>
          <w:szCs w:val="24"/>
        </w:rPr>
        <w:t xml:space="preserve">a total growth of 27.78 cm and an average weekly increase of 2.53 cm.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sidRPr="0032792B">
        <w:rPr>
          <w:rFonts w:ascii="Times New Roman" w:hAnsi="Times New Roman"/>
          <w:i/>
          <w:sz w:val="24"/>
          <w:szCs w:val="24"/>
        </w:rPr>
        <w:t>a</w:t>
      </w:r>
      <w:r w:rsidR="000E59AC" w:rsidRPr="004B4D0F">
        <w:rPr>
          <w:rFonts w:ascii="Times New Roman" w:hAnsi="Times New Roman"/>
          <w:sz w:val="24"/>
          <w:szCs w:val="24"/>
        </w:rPr>
        <w:t xml:space="preserve"> </w:t>
      </w:r>
      <w:proofErr w:type="gramStart"/>
      <w:r w:rsidR="000E59AC" w:rsidRPr="004B4D0F">
        <w:rPr>
          <w:rFonts w:ascii="Times New Roman" w:hAnsi="Times New Roman"/>
          <w:sz w:val="24"/>
          <w:szCs w:val="24"/>
        </w:rPr>
        <w:t>follows</w:t>
      </w:r>
      <w:proofErr w:type="gramEnd"/>
      <w:r w:rsidR="000E59AC" w:rsidRPr="004B4D0F">
        <w:rPr>
          <w:rFonts w:ascii="Times New Roman" w:hAnsi="Times New Roman"/>
          <w:sz w:val="24"/>
          <w:szCs w:val="24"/>
        </w:rPr>
        <w:t xml:space="preserve"> closely with a final height of 33.67 cm (total growth 27.09 cm, average 2.46 cm/week), accelerating notably from Week 5 onward. </w:t>
      </w:r>
      <w:r w:rsidR="000E59AC" w:rsidRPr="0032792B">
        <w:rPr>
          <w:rFonts w:ascii="Times New Roman" w:hAnsi="Times New Roman"/>
          <w:i/>
          <w:sz w:val="24"/>
          <w:szCs w:val="24"/>
        </w:rPr>
        <w:t>G. kola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25.55 cm (total 15.45 cm, average 1.40 cm/week), while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xml:space="preserve"> lag at 18.64 cm and 14.61 cm, respectively (totals 14.75 cm and 10.08 cm; averages 1.34 cm/week and 0.92 cm/week).</w:t>
      </w:r>
    </w:p>
    <w:p w14:paraId="32598B31" w14:textId="77777777" w:rsidR="000E59AC" w:rsidRDefault="000E59AC" w:rsidP="00123448">
      <w:pPr>
        <w:spacing w:line="276" w:lineRule="auto"/>
        <w:ind w:left="-810"/>
        <w:jc w:val="both"/>
        <w:rPr>
          <w:rFonts w:ascii="Times New Roman" w:hAnsi="Times New Roman"/>
          <w:sz w:val="24"/>
          <w:szCs w:val="24"/>
        </w:rPr>
      </w:pPr>
    </w:p>
    <w:p w14:paraId="303DB1FE" w14:textId="77777777" w:rsidR="000E59AC" w:rsidRDefault="000E59AC" w:rsidP="00123448">
      <w:pPr>
        <w:spacing w:line="276" w:lineRule="auto"/>
        <w:ind w:left="-810"/>
        <w:jc w:val="both"/>
        <w:rPr>
          <w:rFonts w:ascii="Times New Roman" w:hAnsi="Times New Roman"/>
          <w:sz w:val="24"/>
          <w:szCs w:val="24"/>
        </w:rPr>
      </w:pPr>
    </w:p>
    <w:p w14:paraId="49E21E6C" w14:textId="77777777" w:rsidR="000E59AC" w:rsidRDefault="000E59AC" w:rsidP="000E59AC">
      <w:pPr>
        <w:spacing w:line="480" w:lineRule="auto"/>
        <w:jc w:val="both"/>
        <w:rPr>
          <w:rFonts w:ascii="Times New Roman" w:hAnsi="Times New Roman"/>
          <w:sz w:val="24"/>
          <w:szCs w:val="24"/>
        </w:rPr>
      </w:pPr>
    </w:p>
    <w:p w14:paraId="02B5FFD3" w14:textId="77777777" w:rsidR="000E59AC" w:rsidRDefault="000E59AC" w:rsidP="000E59AC">
      <w:pPr>
        <w:spacing w:line="480" w:lineRule="auto"/>
        <w:jc w:val="both"/>
        <w:rPr>
          <w:rFonts w:ascii="Times New Roman" w:hAnsi="Times New Roman"/>
          <w:sz w:val="24"/>
          <w:szCs w:val="24"/>
        </w:rPr>
        <w:sectPr w:rsidR="000E59AC" w:rsidSect="00074256">
          <w:headerReference w:type="even" r:id="rId7"/>
          <w:headerReference w:type="default" r:id="rId8"/>
          <w:footerReference w:type="even" r:id="rId9"/>
          <w:footerReference w:type="default" r:id="rId10"/>
          <w:headerReference w:type="first" r:id="rId11"/>
          <w:footerReference w:type="first" r:id="rId12"/>
          <w:pgSz w:w="12240" w:h="15840"/>
          <w:pgMar w:top="1440" w:right="1041" w:bottom="1440" w:left="1440" w:header="720" w:footer="720" w:gutter="0"/>
          <w:cols w:space="720"/>
          <w:docGrid w:linePitch="360"/>
        </w:sectPr>
      </w:pPr>
    </w:p>
    <w:p w14:paraId="1B23F0B6" w14:textId="5EFF3E82"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Table</w:t>
      </w:r>
      <w:r w:rsidR="000E59AC" w:rsidRPr="00725339">
        <w:rPr>
          <w:rFonts w:ascii="Times New Roman" w:hAnsi="Times New Roman"/>
          <w:b/>
          <w:sz w:val="24"/>
          <w:szCs w:val="24"/>
        </w:rPr>
        <w:t xml:space="preserve">.1: Mean stem height </w:t>
      </w:r>
      <w:r w:rsidR="000E59AC">
        <w:rPr>
          <w:rFonts w:ascii="Times New Roman" w:hAnsi="Times New Roman"/>
          <w:b/>
          <w:sz w:val="24"/>
          <w:szCs w:val="24"/>
        </w:rPr>
        <w:t xml:space="preserve">(cm) </w:t>
      </w:r>
      <w:r w:rsidR="000E59AC" w:rsidRPr="00725339">
        <w:rPr>
          <w:rFonts w:ascii="Times New Roman" w:hAnsi="Times New Roman"/>
          <w:b/>
          <w:sz w:val="24"/>
          <w:szCs w:val="24"/>
        </w:rPr>
        <w:t xml:space="preserve">variation of the five different plant species </w:t>
      </w:r>
    </w:p>
    <w:p w14:paraId="4CD62C4B"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F6E103D"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985"/>
        <w:gridCol w:w="953"/>
        <w:gridCol w:w="1124"/>
        <w:gridCol w:w="994"/>
        <w:gridCol w:w="953"/>
        <w:gridCol w:w="953"/>
        <w:gridCol w:w="986"/>
        <w:gridCol w:w="909"/>
        <w:gridCol w:w="918"/>
        <w:gridCol w:w="945"/>
        <w:gridCol w:w="990"/>
        <w:gridCol w:w="1076"/>
        <w:gridCol w:w="6"/>
      </w:tblGrid>
      <w:tr w:rsidR="000E59AC" w:rsidRPr="00FC31BD" w14:paraId="280AE354" w14:textId="77777777" w:rsidTr="000E59AC">
        <w:trPr>
          <w:trHeight w:val="620"/>
        </w:trPr>
        <w:tc>
          <w:tcPr>
            <w:tcW w:w="1975" w:type="dxa"/>
            <w:vMerge w:val="restart"/>
            <w:tcBorders>
              <w:top w:val="single" w:sz="4" w:space="0" w:color="auto"/>
              <w:bottom w:val="nil"/>
            </w:tcBorders>
            <w:vAlign w:val="center"/>
          </w:tcPr>
          <w:p w14:paraId="4C71C99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92" w:type="dxa"/>
            <w:gridSpan w:val="13"/>
            <w:tcBorders>
              <w:top w:val="single" w:sz="4" w:space="0" w:color="auto"/>
              <w:bottom w:val="single" w:sz="4" w:space="0" w:color="auto"/>
            </w:tcBorders>
            <w:vAlign w:val="center"/>
          </w:tcPr>
          <w:p w14:paraId="444F0F4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Stem height (cm)</w:t>
            </w:r>
            <w:r>
              <w:rPr>
                <w:rFonts w:ascii="Times New Roman" w:hAnsi="Times New Roman"/>
                <w:b/>
                <w:sz w:val="24"/>
                <w:szCs w:val="24"/>
              </w:rPr>
              <w:t xml:space="preserve"> of seedlings </w:t>
            </w:r>
          </w:p>
        </w:tc>
      </w:tr>
      <w:tr w:rsidR="000E59AC" w:rsidRPr="00FC31BD" w14:paraId="48485D57" w14:textId="77777777" w:rsidTr="000E59AC">
        <w:trPr>
          <w:gridAfter w:val="1"/>
          <w:wAfter w:w="6" w:type="dxa"/>
          <w:trHeight w:val="557"/>
        </w:trPr>
        <w:tc>
          <w:tcPr>
            <w:tcW w:w="1975" w:type="dxa"/>
            <w:vMerge/>
            <w:tcBorders>
              <w:top w:val="nil"/>
              <w:bottom w:val="single" w:sz="4" w:space="0" w:color="auto"/>
            </w:tcBorders>
            <w:vAlign w:val="center"/>
          </w:tcPr>
          <w:p w14:paraId="44BFC5A3" w14:textId="77777777" w:rsidR="000E59AC" w:rsidRPr="00FC31BD" w:rsidRDefault="000E59AC" w:rsidP="000E59AC">
            <w:pPr>
              <w:jc w:val="center"/>
              <w:rPr>
                <w:rFonts w:ascii="Times New Roman" w:hAnsi="Times New Roman"/>
                <w:b/>
                <w:sz w:val="24"/>
                <w:szCs w:val="24"/>
              </w:rPr>
            </w:pPr>
          </w:p>
        </w:tc>
        <w:tc>
          <w:tcPr>
            <w:tcW w:w="985" w:type="dxa"/>
            <w:tcBorders>
              <w:top w:val="nil"/>
              <w:bottom w:val="single" w:sz="4" w:space="0" w:color="auto"/>
            </w:tcBorders>
            <w:vAlign w:val="center"/>
          </w:tcPr>
          <w:p w14:paraId="0C0DD9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0A6E3F87"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4287DD2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13B38F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8045C5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A57CAA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505457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6471BA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0FBE62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3ABA1B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90" w:type="dxa"/>
            <w:tcBorders>
              <w:top w:val="nil"/>
              <w:bottom w:val="single" w:sz="4" w:space="0" w:color="auto"/>
            </w:tcBorders>
            <w:vAlign w:val="center"/>
          </w:tcPr>
          <w:p w14:paraId="10B9E3B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076" w:type="dxa"/>
            <w:tcBorders>
              <w:top w:val="nil"/>
              <w:bottom w:val="single" w:sz="4" w:space="0" w:color="auto"/>
            </w:tcBorders>
            <w:vAlign w:val="center"/>
          </w:tcPr>
          <w:p w14:paraId="4662684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676A699" w14:textId="77777777" w:rsidTr="000E59AC">
        <w:trPr>
          <w:gridAfter w:val="1"/>
          <w:wAfter w:w="6" w:type="dxa"/>
          <w:trHeight w:val="863"/>
        </w:trPr>
        <w:tc>
          <w:tcPr>
            <w:tcW w:w="1975" w:type="dxa"/>
            <w:tcBorders>
              <w:top w:val="single" w:sz="4" w:space="0" w:color="auto"/>
            </w:tcBorders>
            <w:vAlign w:val="center"/>
          </w:tcPr>
          <w:p w14:paraId="1B31A6C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85" w:type="dxa"/>
            <w:tcBorders>
              <w:top w:val="single" w:sz="4" w:space="0" w:color="auto"/>
            </w:tcBorders>
            <w:vAlign w:val="center"/>
          </w:tcPr>
          <w:p w14:paraId="5AD6ECE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24BAC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4.67</w:t>
            </w:r>
            <w:r w:rsidRPr="00FC31BD">
              <w:rPr>
                <w:rFonts w:ascii="Times New Roman" w:hAnsi="Times New Roman"/>
                <w:sz w:val="24"/>
                <w:szCs w:val="24"/>
                <w:vertAlign w:val="superscript"/>
              </w:rPr>
              <w:t>e</w:t>
            </w:r>
          </w:p>
        </w:tc>
        <w:tc>
          <w:tcPr>
            <w:tcW w:w="1124" w:type="dxa"/>
            <w:tcBorders>
              <w:top w:val="single" w:sz="4" w:space="0" w:color="auto"/>
            </w:tcBorders>
            <w:vAlign w:val="center"/>
          </w:tcPr>
          <w:p w14:paraId="2C2CDA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5.54</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4FC405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E1C8C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6.44</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84CEBF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11.23</w:t>
            </w:r>
            <w:r w:rsidRPr="00FC31BD">
              <w:rPr>
                <w:rFonts w:ascii="Times New Roman" w:hAnsi="Times New Roman"/>
                <w:sz w:val="24"/>
                <w:szCs w:val="24"/>
                <w:vertAlign w:val="superscript"/>
              </w:rPr>
              <w:t>d</w:t>
            </w:r>
          </w:p>
        </w:tc>
        <w:tc>
          <w:tcPr>
            <w:tcW w:w="986" w:type="dxa"/>
            <w:tcBorders>
              <w:top w:val="single" w:sz="4" w:space="0" w:color="auto"/>
            </w:tcBorders>
            <w:vAlign w:val="center"/>
          </w:tcPr>
          <w:p w14:paraId="5A04270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11.82</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C5A5DB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13.04</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61CACA7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14.39</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BC70B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15.84</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5E1041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17.28</w:t>
            </w:r>
            <w:r w:rsidRPr="00FC31BD">
              <w:rPr>
                <w:rFonts w:ascii="Times New Roman" w:hAnsi="Times New Roman"/>
                <w:sz w:val="24"/>
                <w:szCs w:val="24"/>
                <w:vertAlign w:val="superscript"/>
              </w:rPr>
              <w:t>d</w:t>
            </w:r>
          </w:p>
        </w:tc>
        <w:tc>
          <w:tcPr>
            <w:tcW w:w="1076" w:type="dxa"/>
            <w:tcBorders>
              <w:top w:val="single" w:sz="4" w:space="0" w:color="auto"/>
            </w:tcBorders>
            <w:vAlign w:val="center"/>
          </w:tcPr>
          <w:p w14:paraId="309A9C9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18.64</w:t>
            </w:r>
            <w:r w:rsidRPr="00FC31BD">
              <w:rPr>
                <w:rFonts w:ascii="Times New Roman" w:hAnsi="Times New Roman"/>
                <w:sz w:val="24"/>
                <w:szCs w:val="24"/>
                <w:vertAlign w:val="superscript"/>
              </w:rPr>
              <w:t>e</w:t>
            </w:r>
          </w:p>
        </w:tc>
      </w:tr>
      <w:tr w:rsidR="000E59AC" w:rsidRPr="00FC31BD" w14:paraId="6309A3B0" w14:textId="77777777" w:rsidTr="000E59AC">
        <w:trPr>
          <w:gridAfter w:val="1"/>
          <w:wAfter w:w="6" w:type="dxa"/>
          <w:trHeight w:val="989"/>
        </w:trPr>
        <w:tc>
          <w:tcPr>
            <w:tcW w:w="1975" w:type="dxa"/>
            <w:vAlign w:val="center"/>
          </w:tcPr>
          <w:p w14:paraId="00E20F9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85" w:type="dxa"/>
            <w:vAlign w:val="center"/>
          </w:tcPr>
          <w:p w14:paraId="7B7C6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c</w:t>
            </w:r>
          </w:p>
        </w:tc>
        <w:tc>
          <w:tcPr>
            <w:tcW w:w="953" w:type="dxa"/>
            <w:vAlign w:val="center"/>
          </w:tcPr>
          <w:p w14:paraId="6F47D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5.45d</w:t>
            </w:r>
            <w:r w:rsidRPr="00FC31BD">
              <w:rPr>
                <w:rFonts w:ascii="Times New Roman" w:hAnsi="Times New Roman"/>
                <w:sz w:val="24"/>
                <w:szCs w:val="24"/>
                <w:vertAlign w:val="superscript"/>
              </w:rPr>
              <w:t>d</w:t>
            </w:r>
          </w:p>
        </w:tc>
        <w:tc>
          <w:tcPr>
            <w:tcW w:w="1124" w:type="dxa"/>
            <w:vAlign w:val="center"/>
          </w:tcPr>
          <w:p w14:paraId="3217A2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6.34</w:t>
            </w:r>
            <w:r w:rsidRPr="00FC31BD">
              <w:rPr>
                <w:rFonts w:ascii="Times New Roman" w:hAnsi="Times New Roman"/>
                <w:sz w:val="24"/>
                <w:szCs w:val="24"/>
                <w:vertAlign w:val="superscript"/>
              </w:rPr>
              <w:t>d</w:t>
            </w:r>
          </w:p>
        </w:tc>
        <w:tc>
          <w:tcPr>
            <w:tcW w:w="994" w:type="dxa"/>
            <w:vAlign w:val="center"/>
          </w:tcPr>
          <w:p w14:paraId="4FC22D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7.34</w:t>
            </w:r>
            <w:r w:rsidRPr="00FC31BD">
              <w:rPr>
                <w:rFonts w:ascii="Times New Roman" w:hAnsi="Times New Roman"/>
                <w:sz w:val="24"/>
                <w:szCs w:val="24"/>
                <w:vertAlign w:val="superscript"/>
              </w:rPr>
              <w:t>d</w:t>
            </w:r>
          </w:p>
        </w:tc>
        <w:tc>
          <w:tcPr>
            <w:tcW w:w="953" w:type="dxa"/>
            <w:vAlign w:val="center"/>
          </w:tcPr>
          <w:p w14:paraId="6749B4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8.21</w:t>
            </w:r>
            <w:r w:rsidRPr="00FC31BD">
              <w:rPr>
                <w:rFonts w:ascii="Times New Roman" w:hAnsi="Times New Roman"/>
                <w:sz w:val="24"/>
                <w:szCs w:val="24"/>
                <w:vertAlign w:val="superscript"/>
              </w:rPr>
              <w:t>d</w:t>
            </w:r>
          </w:p>
        </w:tc>
        <w:tc>
          <w:tcPr>
            <w:tcW w:w="953" w:type="dxa"/>
            <w:vAlign w:val="center"/>
          </w:tcPr>
          <w:p w14:paraId="11934D1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9.12</w:t>
            </w:r>
            <w:r w:rsidRPr="00FC31BD">
              <w:rPr>
                <w:rFonts w:ascii="Times New Roman" w:hAnsi="Times New Roman"/>
                <w:sz w:val="24"/>
                <w:szCs w:val="24"/>
                <w:vertAlign w:val="superscript"/>
              </w:rPr>
              <w:t>e</w:t>
            </w:r>
          </w:p>
        </w:tc>
        <w:tc>
          <w:tcPr>
            <w:tcW w:w="986" w:type="dxa"/>
            <w:vAlign w:val="center"/>
          </w:tcPr>
          <w:p w14:paraId="5B0049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10.09</w:t>
            </w:r>
            <w:r w:rsidRPr="00FC31BD">
              <w:rPr>
                <w:rFonts w:ascii="Times New Roman" w:hAnsi="Times New Roman"/>
                <w:sz w:val="24"/>
                <w:szCs w:val="24"/>
                <w:vertAlign w:val="superscript"/>
              </w:rPr>
              <w:t>e</w:t>
            </w:r>
          </w:p>
        </w:tc>
        <w:tc>
          <w:tcPr>
            <w:tcW w:w="909" w:type="dxa"/>
            <w:vAlign w:val="center"/>
          </w:tcPr>
          <w:p w14:paraId="3516B2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11.02</w:t>
            </w:r>
            <w:r w:rsidRPr="00FC31BD">
              <w:rPr>
                <w:rFonts w:ascii="Times New Roman" w:hAnsi="Times New Roman"/>
                <w:sz w:val="24"/>
                <w:szCs w:val="24"/>
                <w:vertAlign w:val="superscript"/>
              </w:rPr>
              <w:t>e</w:t>
            </w:r>
          </w:p>
        </w:tc>
        <w:tc>
          <w:tcPr>
            <w:tcW w:w="918" w:type="dxa"/>
            <w:vAlign w:val="center"/>
          </w:tcPr>
          <w:p w14:paraId="42DD38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11.92</w:t>
            </w:r>
            <w:r w:rsidRPr="00FC31BD">
              <w:rPr>
                <w:rFonts w:ascii="Times New Roman" w:hAnsi="Times New Roman"/>
                <w:sz w:val="24"/>
                <w:szCs w:val="24"/>
                <w:vertAlign w:val="superscript"/>
              </w:rPr>
              <w:t>e</w:t>
            </w:r>
          </w:p>
        </w:tc>
        <w:tc>
          <w:tcPr>
            <w:tcW w:w="945" w:type="dxa"/>
            <w:vAlign w:val="center"/>
          </w:tcPr>
          <w:p w14:paraId="3BC0ECE4"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12.82</w:t>
            </w:r>
            <w:r w:rsidRPr="00FC31BD">
              <w:rPr>
                <w:rFonts w:ascii="Times New Roman" w:hAnsi="Times New Roman"/>
                <w:sz w:val="24"/>
                <w:szCs w:val="24"/>
                <w:vertAlign w:val="superscript"/>
              </w:rPr>
              <w:t>e</w:t>
            </w:r>
          </w:p>
        </w:tc>
        <w:tc>
          <w:tcPr>
            <w:tcW w:w="990" w:type="dxa"/>
            <w:vAlign w:val="center"/>
          </w:tcPr>
          <w:p w14:paraId="734CB8C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13.72</w:t>
            </w:r>
            <w:r w:rsidRPr="00FC31BD">
              <w:rPr>
                <w:rFonts w:ascii="Times New Roman" w:hAnsi="Times New Roman"/>
                <w:sz w:val="24"/>
                <w:szCs w:val="24"/>
                <w:vertAlign w:val="superscript"/>
              </w:rPr>
              <w:t>e</w:t>
            </w:r>
          </w:p>
        </w:tc>
        <w:tc>
          <w:tcPr>
            <w:tcW w:w="1076" w:type="dxa"/>
            <w:vAlign w:val="center"/>
          </w:tcPr>
          <w:p w14:paraId="615A5F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14.61</w:t>
            </w:r>
            <w:r w:rsidRPr="00FC31BD">
              <w:rPr>
                <w:rFonts w:ascii="Times New Roman" w:hAnsi="Times New Roman"/>
                <w:sz w:val="24"/>
                <w:szCs w:val="24"/>
                <w:vertAlign w:val="superscript"/>
              </w:rPr>
              <w:t>e</w:t>
            </w:r>
          </w:p>
        </w:tc>
      </w:tr>
      <w:tr w:rsidR="000E59AC" w:rsidRPr="00FC31BD" w14:paraId="3EFB6964" w14:textId="77777777" w:rsidTr="000E59AC">
        <w:trPr>
          <w:gridAfter w:val="1"/>
          <w:wAfter w:w="6" w:type="dxa"/>
          <w:trHeight w:val="978"/>
        </w:trPr>
        <w:tc>
          <w:tcPr>
            <w:tcW w:w="1975" w:type="dxa"/>
            <w:vAlign w:val="center"/>
          </w:tcPr>
          <w:p w14:paraId="03D99186"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85" w:type="dxa"/>
            <w:vAlign w:val="center"/>
          </w:tcPr>
          <w:p w14:paraId="4CB07B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a</w:t>
            </w:r>
          </w:p>
        </w:tc>
        <w:tc>
          <w:tcPr>
            <w:tcW w:w="953" w:type="dxa"/>
            <w:vAlign w:val="center"/>
          </w:tcPr>
          <w:p w14:paraId="297CC6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11.21</w:t>
            </w:r>
            <w:r w:rsidRPr="00FC31BD">
              <w:rPr>
                <w:rFonts w:ascii="Times New Roman" w:hAnsi="Times New Roman"/>
                <w:sz w:val="24"/>
                <w:szCs w:val="24"/>
                <w:vertAlign w:val="superscript"/>
              </w:rPr>
              <w:t>b</w:t>
            </w:r>
          </w:p>
        </w:tc>
        <w:tc>
          <w:tcPr>
            <w:tcW w:w="1124" w:type="dxa"/>
            <w:vAlign w:val="center"/>
          </w:tcPr>
          <w:p w14:paraId="32D1D01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15.06</w:t>
            </w:r>
            <w:r w:rsidRPr="00FC31BD">
              <w:rPr>
                <w:rFonts w:ascii="Times New Roman" w:hAnsi="Times New Roman"/>
                <w:sz w:val="24"/>
                <w:szCs w:val="24"/>
                <w:vertAlign w:val="superscript"/>
              </w:rPr>
              <w:t>b</w:t>
            </w:r>
          </w:p>
        </w:tc>
        <w:tc>
          <w:tcPr>
            <w:tcW w:w="994" w:type="dxa"/>
            <w:vAlign w:val="center"/>
          </w:tcPr>
          <w:p w14:paraId="362916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16.29</w:t>
            </w:r>
            <w:r w:rsidRPr="00FC31BD">
              <w:rPr>
                <w:rFonts w:ascii="Times New Roman" w:hAnsi="Times New Roman"/>
                <w:sz w:val="24"/>
                <w:szCs w:val="24"/>
                <w:vertAlign w:val="superscript"/>
              </w:rPr>
              <w:t>b</w:t>
            </w:r>
          </w:p>
        </w:tc>
        <w:tc>
          <w:tcPr>
            <w:tcW w:w="953" w:type="dxa"/>
            <w:vAlign w:val="center"/>
          </w:tcPr>
          <w:p w14:paraId="614DB75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17.53</w:t>
            </w:r>
            <w:r w:rsidRPr="00FC31BD">
              <w:rPr>
                <w:rFonts w:ascii="Times New Roman" w:hAnsi="Times New Roman"/>
                <w:sz w:val="24"/>
                <w:szCs w:val="24"/>
                <w:vertAlign w:val="superscript"/>
              </w:rPr>
              <w:t>b</w:t>
            </w:r>
          </w:p>
        </w:tc>
        <w:tc>
          <w:tcPr>
            <w:tcW w:w="953" w:type="dxa"/>
            <w:vAlign w:val="center"/>
          </w:tcPr>
          <w:p w14:paraId="7D7FBF2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18.65</w:t>
            </w:r>
            <w:r w:rsidRPr="00FC31BD">
              <w:rPr>
                <w:rFonts w:ascii="Times New Roman" w:hAnsi="Times New Roman"/>
                <w:sz w:val="24"/>
                <w:szCs w:val="24"/>
                <w:vertAlign w:val="superscript"/>
              </w:rPr>
              <w:t>c</w:t>
            </w:r>
          </w:p>
        </w:tc>
        <w:tc>
          <w:tcPr>
            <w:tcW w:w="986" w:type="dxa"/>
            <w:vAlign w:val="center"/>
          </w:tcPr>
          <w:p w14:paraId="28D606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19.85</w:t>
            </w:r>
            <w:r w:rsidRPr="00FC31BD">
              <w:rPr>
                <w:rFonts w:ascii="Times New Roman" w:hAnsi="Times New Roman"/>
                <w:sz w:val="24"/>
                <w:szCs w:val="24"/>
                <w:vertAlign w:val="superscript"/>
              </w:rPr>
              <w:t>c</w:t>
            </w:r>
          </w:p>
        </w:tc>
        <w:tc>
          <w:tcPr>
            <w:tcW w:w="909" w:type="dxa"/>
            <w:vAlign w:val="center"/>
          </w:tcPr>
          <w:p w14:paraId="35B5DF4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21.00</w:t>
            </w:r>
            <w:r w:rsidRPr="00FC31BD">
              <w:rPr>
                <w:rFonts w:ascii="Times New Roman" w:hAnsi="Times New Roman"/>
                <w:sz w:val="24"/>
                <w:szCs w:val="24"/>
                <w:vertAlign w:val="superscript"/>
              </w:rPr>
              <w:t>c</w:t>
            </w:r>
          </w:p>
        </w:tc>
        <w:tc>
          <w:tcPr>
            <w:tcW w:w="918" w:type="dxa"/>
            <w:vAlign w:val="center"/>
          </w:tcPr>
          <w:p w14:paraId="1D4479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22.25</w:t>
            </w:r>
            <w:r w:rsidRPr="00FC31BD">
              <w:rPr>
                <w:rFonts w:ascii="Times New Roman" w:hAnsi="Times New Roman"/>
                <w:sz w:val="24"/>
                <w:szCs w:val="24"/>
                <w:vertAlign w:val="superscript"/>
              </w:rPr>
              <w:t>c</w:t>
            </w:r>
          </w:p>
        </w:tc>
        <w:tc>
          <w:tcPr>
            <w:tcW w:w="945" w:type="dxa"/>
            <w:vAlign w:val="center"/>
          </w:tcPr>
          <w:p w14:paraId="66F4CB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23.44</w:t>
            </w:r>
            <w:r w:rsidRPr="00FC31BD">
              <w:rPr>
                <w:rFonts w:ascii="Times New Roman" w:hAnsi="Times New Roman"/>
                <w:sz w:val="24"/>
                <w:szCs w:val="24"/>
                <w:vertAlign w:val="superscript"/>
              </w:rPr>
              <w:t>c</w:t>
            </w:r>
          </w:p>
        </w:tc>
        <w:tc>
          <w:tcPr>
            <w:tcW w:w="990" w:type="dxa"/>
            <w:vAlign w:val="center"/>
          </w:tcPr>
          <w:p w14:paraId="581DD4F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24.45</w:t>
            </w:r>
            <w:r w:rsidRPr="00FC31BD">
              <w:rPr>
                <w:rFonts w:ascii="Times New Roman" w:hAnsi="Times New Roman"/>
                <w:sz w:val="24"/>
                <w:szCs w:val="24"/>
                <w:vertAlign w:val="superscript"/>
              </w:rPr>
              <w:t>c</w:t>
            </w:r>
          </w:p>
        </w:tc>
        <w:tc>
          <w:tcPr>
            <w:tcW w:w="1076" w:type="dxa"/>
            <w:vAlign w:val="center"/>
          </w:tcPr>
          <w:p w14:paraId="0B7FC02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25.55</w:t>
            </w:r>
            <w:r w:rsidRPr="00FC31BD">
              <w:rPr>
                <w:rFonts w:ascii="Times New Roman" w:hAnsi="Times New Roman"/>
                <w:sz w:val="24"/>
                <w:szCs w:val="24"/>
                <w:vertAlign w:val="superscript"/>
              </w:rPr>
              <w:t>c</w:t>
            </w:r>
          </w:p>
        </w:tc>
      </w:tr>
      <w:tr w:rsidR="000E59AC" w:rsidRPr="00FC31BD" w14:paraId="065C837A" w14:textId="77777777" w:rsidTr="000E59AC">
        <w:trPr>
          <w:gridAfter w:val="1"/>
          <w:wAfter w:w="6" w:type="dxa"/>
          <w:trHeight w:val="945"/>
        </w:trPr>
        <w:tc>
          <w:tcPr>
            <w:tcW w:w="1975" w:type="dxa"/>
            <w:vAlign w:val="center"/>
          </w:tcPr>
          <w:p w14:paraId="4E06F74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85" w:type="dxa"/>
            <w:vAlign w:val="center"/>
          </w:tcPr>
          <w:p w14:paraId="7C48F90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10.66</w:t>
            </w:r>
            <w:r w:rsidRPr="00FC31BD">
              <w:rPr>
                <w:rFonts w:ascii="Times New Roman" w:hAnsi="Times New Roman"/>
                <w:sz w:val="24"/>
                <w:szCs w:val="24"/>
                <w:vertAlign w:val="superscript"/>
              </w:rPr>
              <w:t>a</w:t>
            </w:r>
          </w:p>
        </w:tc>
        <w:tc>
          <w:tcPr>
            <w:tcW w:w="953" w:type="dxa"/>
            <w:vAlign w:val="center"/>
          </w:tcPr>
          <w:p w14:paraId="1685FE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13.35</w:t>
            </w:r>
            <w:r w:rsidRPr="00FC31BD">
              <w:rPr>
                <w:rFonts w:ascii="Times New Roman" w:hAnsi="Times New Roman"/>
                <w:sz w:val="24"/>
                <w:szCs w:val="24"/>
                <w:vertAlign w:val="superscript"/>
              </w:rPr>
              <w:t>a</w:t>
            </w:r>
          </w:p>
        </w:tc>
        <w:tc>
          <w:tcPr>
            <w:tcW w:w="1124" w:type="dxa"/>
            <w:vAlign w:val="center"/>
          </w:tcPr>
          <w:p w14:paraId="2D7A70F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16.26</w:t>
            </w:r>
            <w:r w:rsidRPr="00FC31BD">
              <w:rPr>
                <w:rFonts w:ascii="Times New Roman" w:hAnsi="Times New Roman"/>
                <w:sz w:val="24"/>
                <w:szCs w:val="24"/>
                <w:vertAlign w:val="superscript"/>
              </w:rPr>
              <w:t>a</w:t>
            </w:r>
          </w:p>
        </w:tc>
        <w:tc>
          <w:tcPr>
            <w:tcW w:w="994" w:type="dxa"/>
            <w:vAlign w:val="center"/>
          </w:tcPr>
          <w:p w14:paraId="4D4CCA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18.81</w:t>
            </w:r>
            <w:r w:rsidRPr="00FC31BD">
              <w:rPr>
                <w:rFonts w:ascii="Times New Roman" w:hAnsi="Times New Roman"/>
                <w:sz w:val="24"/>
                <w:szCs w:val="24"/>
                <w:vertAlign w:val="superscript"/>
              </w:rPr>
              <w:t>a</w:t>
            </w:r>
          </w:p>
        </w:tc>
        <w:tc>
          <w:tcPr>
            <w:tcW w:w="953" w:type="dxa"/>
            <w:vAlign w:val="center"/>
          </w:tcPr>
          <w:p w14:paraId="1600E2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20.95</w:t>
            </w:r>
            <w:r w:rsidRPr="00FC31BD">
              <w:rPr>
                <w:rFonts w:ascii="Times New Roman" w:hAnsi="Times New Roman"/>
                <w:sz w:val="24"/>
                <w:szCs w:val="24"/>
                <w:vertAlign w:val="superscript"/>
              </w:rPr>
              <w:t>a</w:t>
            </w:r>
          </w:p>
        </w:tc>
        <w:tc>
          <w:tcPr>
            <w:tcW w:w="953" w:type="dxa"/>
            <w:vAlign w:val="center"/>
          </w:tcPr>
          <w:p w14:paraId="3B00C7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23.57</w:t>
            </w:r>
            <w:r w:rsidRPr="00FC31BD">
              <w:rPr>
                <w:rFonts w:ascii="Times New Roman" w:hAnsi="Times New Roman"/>
                <w:sz w:val="24"/>
                <w:szCs w:val="24"/>
                <w:vertAlign w:val="superscript"/>
              </w:rPr>
              <w:t>a</w:t>
            </w:r>
          </w:p>
        </w:tc>
        <w:tc>
          <w:tcPr>
            <w:tcW w:w="986" w:type="dxa"/>
            <w:vAlign w:val="center"/>
          </w:tcPr>
          <w:p w14:paraId="27F6C4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26.13</w:t>
            </w:r>
            <w:r w:rsidRPr="00FC31BD">
              <w:rPr>
                <w:rFonts w:ascii="Times New Roman" w:hAnsi="Times New Roman"/>
                <w:sz w:val="24"/>
                <w:szCs w:val="24"/>
                <w:vertAlign w:val="superscript"/>
              </w:rPr>
              <w:t>a</w:t>
            </w:r>
          </w:p>
        </w:tc>
        <w:tc>
          <w:tcPr>
            <w:tcW w:w="909" w:type="dxa"/>
            <w:vAlign w:val="center"/>
          </w:tcPr>
          <w:p w14:paraId="40D597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28.66</w:t>
            </w:r>
            <w:r w:rsidRPr="00FC31BD">
              <w:rPr>
                <w:rFonts w:ascii="Times New Roman" w:hAnsi="Times New Roman"/>
                <w:sz w:val="24"/>
                <w:szCs w:val="24"/>
                <w:vertAlign w:val="superscript"/>
              </w:rPr>
              <w:t>a</w:t>
            </w:r>
          </w:p>
        </w:tc>
        <w:tc>
          <w:tcPr>
            <w:tcW w:w="918" w:type="dxa"/>
            <w:vAlign w:val="center"/>
          </w:tcPr>
          <w:p w14:paraId="5D30B8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30.89</w:t>
            </w:r>
            <w:r w:rsidRPr="00FC31BD">
              <w:rPr>
                <w:rFonts w:ascii="Times New Roman" w:hAnsi="Times New Roman"/>
                <w:sz w:val="24"/>
                <w:szCs w:val="24"/>
                <w:vertAlign w:val="superscript"/>
              </w:rPr>
              <w:t>a</w:t>
            </w:r>
          </w:p>
        </w:tc>
        <w:tc>
          <w:tcPr>
            <w:tcW w:w="945" w:type="dxa"/>
            <w:vAlign w:val="center"/>
          </w:tcPr>
          <w:p w14:paraId="3113B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33.53</w:t>
            </w:r>
            <w:r w:rsidRPr="00FC31BD">
              <w:rPr>
                <w:rFonts w:ascii="Times New Roman" w:hAnsi="Times New Roman"/>
                <w:sz w:val="24"/>
                <w:szCs w:val="24"/>
                <w:vertAlign w:val="superscript"/>
              </w:rPr>
              <w:t>a</w:t>
            </w:r>
          </w:p>
        </w:tc>
        <w:tc>
          <w:tcPr>
            <w:tcW w:w="990" w:type="dxa"/>
            <w:vAlign w:val="center"/>
          </w:tcPr>
          <w:p w14:paraId="5CB002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36.00</w:t>
            </w:r>
            <w:r w:rsidRPr="00FC31BD">
              <w:rPr>
                <w:rFonts w:ascii="Times New Roman" w:hAnsi="Times New Roman"/>
                <w:sz w:val="24"/>
                <w:szCs w:val="24"/>
                <w:vertAlign w:val="superscript"/>
              </w:rPr>
              <w:t>a</w:t>
            </w:r>
          </w:p>
        </w:tc>
        <w:tc>
          <w:tcPr>
            <w:tcW w:w="1076" w:type="dxa"/>
            <w:vAlign w:val="center"/>
          </w:tcPr>
          <w:p w14:paraId="676AC6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38.44</w:t>
            </w:r>
            <w:r w:rsidRPr="00FC31BD">
              <w:rPr>
                <w:rFonts w:ascii="Times New Roman" w:hAnsi="Times New Roman"/>
                <w:sz w:val="24"/>
                <w:szCs w:val="24"/>
                <w:vertAlign w:val="superscript"/>
              </w:rPr>
              <w:t>a</w:t>
            </w:r>
          </w:p>
        </w:tc>
      </w:tr>
      <w:tr w:rsidR="000E59AC" w:rsidRPr="00FC31BD" w14:paraId="66743326" w14:textId="77777777" w:rsidTr="000E59AC">
        <w:trPr>
          <w:gridAfter w:val="1"/>
          <w:wAfter w:w="6" w:type="dxa"/>
          <w:trHeight w:val="772"/>
        </w:trPr>
        <w:tc>
          <w:tcPr>
            <w:tcW w:w="1975" w:type="dxa"/>
            <w:vAlign w:val="center"/>
          </w:tcPr>
          <w:p w14:paraId="262C9BB7" w14:textId="60B57AC0" w:rsidR="000E59AC" w:rsidRPr="00FC31BD" w:rsidRDefault="00125E7E" w:rsidP="000E59AC">
            <w:pPr>
              <w:jc w:val="center"/>
              <w:rPr>
                <w:rFonts w:ascii="Times New Roman" w:hAnsi="Times New Roman"/>
                <w:i/>
                <w:sz w:val="24"/>
                <w:szCs w:val="24"/>
              </w:rPr>
            </w:pPr>
            <w:r>
              <w:rPr>
                <w:rFonts w:ascii="Times New Roman" w:hAnsi="Times New Roman"/>
                <w:i/>
                <w:sz w:val="24"/>
                <w:szCs w:val="24"/>
              </w:rPr>
              <w:t xml:space="preserve">M. </w:t>
            </w:r>
            <w:proofErr w:type="spellStart"/>
            <w:r>
              <w:rPr>
                <w:rFonts w:ascii="Times New Roman" w:hAnsi="Times New Roman"/>
                <w:i/>
                <w:sz w:val="24"/>
                <w:szCs w:val="24"/>
              </w:rPr>
              <w:t>excelsa</w:t>
            </w:r>
            <w:proofErr w:type="spellEnd"/>
            <w:r>
              <w:rPr>
                <w:rFonts w:ascii="Times New Roman" w:hAnsi="Times New Roman"/>
                <w:i/>
                <w:sz w:val="24"/>
                <w:szCs w:val="24"/>
              </w:rPr>
              <w:t xml:space="preserve"> </w:t>
            </w:r>
            <w:r w:rsidR="000E59AC" w:rsidRPr="00FC31BD">
              <w:rPr>
                <w:rFonts w:ascii="Times New Roman" w:hAnsi="Times New Roman"/>
                <w:i/>
                <w:sz w:val="24"/>
                <w:szCs w:val="24"/>
              </w:rPr>
              <w:t>a</w:t>
            </w:r>
          </w:p>
        </w:tc>
        <w:tc>
          <w:tcPr>
            <w:tcW w:w="985" w:type="dxa"/>
            <w:vAlign w:val="center"/>
          </w:tcPr>
          <w:p w14:paraId="185E7E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6.58</w:t>
            </w:r>
            <w:r w:rsidRPr="00FC31BD">
              <w:rPr>
                <w:rFonts w:ascii="Times New Roman" w:hAnsi="Times New Roman"/>
                <w:sz w:val="24"/>
                <w:szCs w:val="24"/>
                <w:vertAlign w:val="superscript"/>
              </w:rPr>
              <w:t>b</w:t>
            </w:r>
          </w:p>
        </w:tc>
        <w:tc>
          <w:tcPr>
            <w:tcW w:w="953" w:type="dxa"/>
            <w:vAlign w:val="center"/>
          </w:tcPr>
          <w:p w14:paraId="7C23A4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9.24</w:t>
            </w:r>
            <w:r w:rsidRPr="00FC31BD">
              <w:rPr>
                <w:rFonts w:ascii="Times New Roman" w:hAnsi="Times New Roman"/>
                <w:sz w:val="24"/>
                <w:szCs w:val="24"/>
                <w:vertAlign w:val="superscript"/>
              </w:rPr>
              <w:t>c</w:t>
            </w:r>
          </w:p>
        </w:tc>
        <w:tc>
          <w:tcPr>
            <w:tcW w:w="1124" w:type="dxa"/>
            <w:vAlign w:val="center"/>
          </w:tcPr>
          <w:p w14:paraId="7E58C1B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11.48</w:t>
            </w:r>
            <w:r w:rsidRPr="00FC31BD">
              <w:rPr>
                <w:rFonts w:ascii="Times New Roman" w:hAnsi="Times New Roman"/>
                <w:sz w:val="24"/>
                <w:szCs w:val="24"/>
                <w:vertAlign w:val="superscript"/>
              </w:rPr>
              <w:t>c</w:t>
            </w:r>
          </w:p>
        </w:tc>
        <w:tc>
          <w:tcPr>
            <w:tcW w:w="994" w:type="dxa"/>
            <w:vAlign w:val="center"/>
          </w:tcPr>
          <w:p w14:paraId="2E0C58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14.01</w:t>
            </w:r>
            <w:r w:rsidRPr="00FC31BD">
              <w:rPr>
                <w:rFonts w:ascii="Times New Roman" w:hAnsi="Times New Roman"/>
                <w:sz w:val="24"/>
                <w:szCs w:val="24"/>
                <w:vertAlign w:val="superscript"/>
              </w:rPr>
              <w:t>c</w:t>
            </w:r>
          </w:p>
        </w:tc>
        <w:tc>
          <w:tcPr>
            <w:tcW w:w="953" w:type="dxa"/>
            <w:vAlign w:val="center"/>
          </w:tcPr>
          <w:p w14:paraId="2AA1A5A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16.81</w:t>
            </w:r>
            <w:r w:rsidRPr="00FC31BD">
              <w:rPr>
                <w:rFonts w:ascii="Times New Roman" w:hAnsi="Times New Roman"/>
                <w:sz w:val="24"/>
                <w:szCs w:val="24"/>
                <w:vertAlign w:val="superscript"/>
              </w:rPr>
              <w:t>c</w:t>
            </w:r>
          </w:p>
        </w:tc>
        <w:tc>
          <w:tcPr>
            <w:tcW w:w="953" w:type="dxa"/>
            <w:vAlign w:val="center"/>
          </w:tcPr>
          <w:p w14:paraId="165DBA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19.02</w:t>
            </w:r>
            <w:r w:rsidRPr="00FC31BD">
              <w:rPr>
                <w:rFonts w:ascii="Times New Roman" w:hAnsi="Times New Roman"/>
                <w:sz w:val="24"/>
                <w:szCs w:val="24"/>
                <w:vertAlign w:val="superscript"/>
              </w:rPr>
              <w:t>b</w:t>
            </w:r>
          </w:p>
        </w:tc>
        <w:tc>
          <w:tcPr>
            <w:tcW w:w="986" w:type="dxa"/>
            <w:vAlign w:val="center"/>
          </w:tcPr>
          <w:p w14:paraId="24C148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21.48</w:t>
            </w:r>
            <w:r w:rsidRPr="00FC31BD">
              <w:rPr>
                <w:rFonts w:ascii="Times New Roman" w:hAnsi="Times New Roman"/>
                <w:sz w:val="24"/>
                <w:szCs w:val="24"/>
                <w:vertAlign w:val="superscript"/>
              </w:rPr>
              <w:t>b</w:t>
            </w:r>
          </w:p>
        </w:tc>
        <w:tc>
          <w:tcPr>
            <w:tcW w:w="909" w:type="dxa"/>
            <w:vAlign w:val="center"/>
          </w:tcPr>
          <w:p w14:paraId="25F7303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24.00</w:t>
            </w:r>
            <w:r w:rsidRPr="00FC31BD">
              <w:rPr>
                <w:rFonts w:ascii="Times New Roman" w:hAnsi="Times New Roman"/>
                <w:sz w:val="24"/>
                <w:szCs w:val="24"/>
                <w:vertAlign w:val="superscript"/>
              </w:rPr>
              <w:t>b</w:t>
            </w:r>
          </w:p>
        </w:tc>
        <w:tc>
          <w:tcPr>
            <w:tcW w:w="918" w:type="dxa"/>
            <w:vAlign w:val="center"/>
          </w:tcPr>
          <w:p w14:paraId="170249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26.27</w:t>
            </w:r>
            <w:r w:rsidRPr="00FC31BD">
              <w:rPr>
                <w:rFonts w:ascii="Times New Roman" w:hAnsi="Times New Roman"/>
                <w:sz w:val="24"/>
                <w:szCs w:val="24"/>
                <w:vertAlign w:val="superscript"/>
              </w:rPr>
              <w:t>b</w:t>
            </w:r>
          </w:p>
        </w:tc>
        <w:tc>
          <w:tcPr>
            <w:tcW w:w="945" w:type="dxa"/>
            <w:vAlign w:val="center"/>
          </w:tcPr>
          <w:p w14:paraId="4DBC87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28.81</w:t>
            </w:r>
            <w:r w:rsidRPr="00FC31BD">
              <w:rPr>
                <w:rFonts w:ascii="Times New Roman" w:hAnsi="Times New Roman"/>
                <w:sz w:val="24"/>
                <w:szCs w:val="24"/>
                <w:vertAlign w:val="superscript"/>
              </w:rPr>
              <w:t>b</w:t>
            </w:r>
          </w:p>
        </w:tc>
        <w:tc>
          <w:tcPr>
            <w:tcW w:w="990" w:type="dxa"/>
            <w:vAlign w:val="center"/>
          </w:tcPr>
          <w:p w14:paraId="549F68A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31.41</w:t>
            </w:r>
            <w:r w:rsidRPr="00FC31BD">
              <w:rPr>
                <w:rFonts w:ascii="Times New Roman" w:hAnsi="Times New Roman"/>
                <w:sz w:val="24"/>
                <w:szCs w:val="24"/>
                <w:vertAlign w:val="superscript"/>
              </w:rPr>
              <w:t>b</w:t>
            </w:r>
          </w:p>
        </w:tc>
        <w:tc>
          <w:tcPr>
            <w:tcW w:w="1076" w:type="dxa"/>
            <w:vAlign w:val="center"/>
          </w:tcPr>
          <w:p w14:paraId="027F3DD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33.67</w:t>
            </w:r>
            <w:r w:rsidRPr="00FC31BD">
              <w:rPr>
                <w:rFonts w:ascii="Times New Roman" w:hAnsi="Times New Roman"/>
                <w:sz w:val="24"/>
                <w:szCs w:val="24"/>
                <w:vertAlign w:val="superscript"/>
              </w:rPr>
              <w:t>b</w:t>
            </w:r>
          </w:p>
        </w:tc>
      </w:tr>
    </w:tbl>
    <w:p w14:paraId="12DB350B"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E8E9141"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3E675589" w14:textId="77777777" w:rsidR="000E59AC" w:rsidRPr="00652845" w:rsidRDefault="000E59AC" w:rsidP="000E59AC">
      <w:pPr>
        <w:spacing w:line="480" w:lineRule="auto"/>
        <w:jc w:val="both"/>
        <w:rPr>
          <w:rFonts w:ascii="Times New Roman" w:hAnsi="Times New Roman"/>
          <w:b/>
          <w:sz w:val="24"/>
          <w:szCs w:val="24"/>
        </w:rPr>
      </w:pPr>
      <w:r w:rsidRPr="00652845">
        <w:rPr>
          <w:rFonts w:ascii="Times New Roman" w:hAnsi="Times New Roman"/>
          <w:b/>
          <w:sz w:val="24"/>
          <w:szCs w:val="24"/>
        </w:rPr>
        <w:t xml:space="preserve">Collar diameter </w:t>
      </w:r>
    </w:p>
    <w:p w14:paraId="1D494A67" w14:textId="73FC699C" w:rsidR="000E59AC" w:rsidRPr="00652845" w:rsidRDefault="00FA6AEF" w:rsidP="000E59AC">
      <w:pPr>
        <w:spacing w:line="480" w:lineRule="auto"/>
        <w:jc w:val="both"/>
        <w:rPr>
          <w:rFonts w:ascii="Times New Roman" w:hAnsi="Times New Roman"/>
          <w:sz w:val="24"/>
          <w:szCs w:val="24"/>
        </w:rPr>
      </w:pPr>
      <w:r>
        <w:rPr>
          <w:rFonts w:ascii="Times New Roman" w:hAnsi="Times New Roman"/>
          <w:sz w:val="24"/>
          <w:szCs w:val="24"/>
        </w:rPr>
        <w:t>Table</w:t>
      </w:r>
      <w:r w:rsidR="000E59AC">
        <w:rPr>
          <w:rFonts w:ascii="Times New Roman" w:hAnsi="Times New Roman"/>
          <w:sz w:val="24"/>
          <w:szCs w:val="24"/>
        </w:rPr>
        <w:t xml:space="preserve">.2 shows the mean collar diameter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i/>
          <w:sz w:val="24"/>
          <w:szCs w:val="24"/>
        </w:rPr>
        <w:t>,</w:t>
      </w:r>
      <w:proofErr w:type="gram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 xml:space="preserve">. </w:t>
      </w:r>
      <w:r w:rsidR="000E59AC">
        <w:rPr>
          <w:rFonts w:ascii="Times New Roman" w:hAnsi="Times New Roman"/>
          <w:sz w:val="24"/>
          <w:szCs w:val="24"/>
        </w:rPr>
        <w:t xml:space="preserve">The result on collar diameter growth indicates that there were variations in the species diameter.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sidRPr="006D53D8">
        <w:rPr>
          <w:rFonts w:ascii="Times New Roman" w:hAnsi="Times New Roman"/>
          <w:i/>
          <w:sz w:val="24"/>
          <w:szCs w:val="24"/>
        </w:rPr>
        <w:t>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highest at 5.33 cm (total growth 2.86 cm, average 0.26 cm/week), edging out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sidRPr="004B4D0F">
        <w:rPr>
          <w:rFonts w:ascii="Times New Roman" w:hAnsi="Times New Roman"/>
          <w:sz w:val="24"/>
          <w:szCs w:val="24"/>
        </w:rPr>
        <w:t xml:space="preserve"> at 5.31 cm (total 2.25 cm, average 0.20 cm/week). </w:t>
      </w:r>
      <w:r w:rsidR="000E59AC" w:rsidRPr="006D53D8">
        <w:rPr>
          <w:rFonts w:ascii="Times New Roman" w:hAnsi="Times New Roman"/>
          <w:i/>
          <w:sz w:val="24"/>
          <w:szCs w:val="24"/>
        </w:rPr>
        <w:t>G. kola</w:t>
      </w:r>
      <w:r w:rsidR="000E59AC" w:rsidRPr="004B4D0F">
        <w:rPr>
          <w:rFonts w:ascii="Times New Roman" w:hAnsi="Times New Roman"/>
          <w:sz w:val="24"/>
          <w:szCs w:val="24"/>
        </w:rPr>
        <w:t xml:space="preserve"> reaches 4.43 cm (total 1.83 cm, average 0.17 cm/week), while </w:t>
      </w:r>
      <w:r w:rsidR="000E59AC" w:rsidRPr="006D53D8">
        <w:rPr>
          <w:rFonts w:ascii="Times New Roman" w:hAnsi="Times New Roman"/>
          <w:i/>
          <w:sz w:val="24"/>
          <w:szCs w:val="24"/>
        </w:rPr>
        <w:t xml:space="preserve">C. </w:t>
      </w:r>
      <w:proofErr w:type="spellStart"/>
      <w:r w:rsidR="000E59AC" w:rsidRPr="006D53D8">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6D53D8">
        <w:rPr>
          <w:rFonts w:ascii="Times New Roman" w:hAnsi="Times New Roman"/>
          <w:i/>
          <w:sz w:val="24"/>
          <w:szCs w:val="24"/>
        </w:rPr>
        <w:t xml:space="preserve">E. </w:t>
      </w:r>
      <w:proofErr w:type="spellStart"/>
      <w:r w:rsidR="000E59AC" w:rsidRPr="006D53D8">
        <w:rPr>
          <w:rFonts w:ascii="Times New Roman" w:hAnsi="Times New Roman"/>
          <w:i/>
          <w:sz w:val="24"/>
          <w:szCs w:val="24"/>
        </w:rPr>
        <w:t>cylindricum</w:t>
      </w:r>
      <w:proofErr w:type="spellEnd"/>
      <w:r w:rsidR="000E59AC" w:rsidRPr="004B4D0F">
        <w:rPr>
          <w:rFonts w:ascii="Times New Roman" w:hAnsi="Times New Roman"/>
          <w:sz w:val="24"/>
          <w:szCs w:val="24"/>
        </w:rPr>
        <w:t xml:space="preserve"> are similar at 4.16 cm and 4.12 cm (totals 2.69 cm and 2.26 cm; averages 0.24 cm/week and 0.21 cm/week).</w:t>
      </w:r>
      <w:r w:rsidR="000E59AC">
        <w:rPr>
          <w:rFonts w:ascii="Times New Roman" w:hAnsi="Times New Roman"/>
          <w:sz w:val="24"/>
          <w:szCs w:val="24"/>
        </w:rPr>
        <w:t xml:space="preserve">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Pr>
          <w:rFonts w:ascii="Times New Roman" w:hAnsi="Times New Roman"/>
          <w:sz w:val="24"/>
          <w:szCs w:val="24"/>
        </w:rPr>
        <w:t xml:space="preserve"> and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sidRPr="006D53D8">
        <w:rPr>
          <w:rFonts w:ascii="Times New Roman" w:hAnsi="Times New Roman"/>
          <w:i/>
          <w:sz w:val="24"/>
          <w:szCs w:val="24"/>
        </w:rPr>
        <w:t>a</w:t>
      </w:r>
      <w:r w:rsidR="000E59AC">
        <w:rPr>
          <w:rFonts w:ascii="Times New Roman" w:hAnsi="Times New Roman"/>
          <w:sz w:val="24"/>
          <w:szCs w:val="24"/>
        </w:rPr>
        <w:t xml:space="preserve"> showed no significant difference (p&lt;0.05) in Week 12.</w:t>
      </w:r>
    </w:p>
    <w:p w14:paraId="1FB81EE5" w14:textId="77777777" w:rsidR="000E59AC" w:rsidRDefault="000E59AC" w:rsidP="000E59AC">
      <w:pPr>
        <w:spacing w:line="480" w:lineRule="auto"/>
        <w:jc w:val="both"/>
        <w:rPr>
          <w:rFonts w:ascii="Times New Roman" w:hAnsi="Times New Roman"/>
          <w:sz w:val="24"/>
          <w:szCs w:val="24"/>
        </w:rPr>
      </w:pPr>
    </w:p>
    <w:p w14:paraId="758609FC" w14:textId="77777777" w:rsidR="000E59AC" w:rsidRDefault="000E59AC" w:rsidP="000E59AC">
      <w:pPr>
        <w:spacing w:line="480" w:lineRule="auto"/>
        <w:jc w:val="both"/>
        <w:rPr>
          <w:rFonts w:ascii="Times New Roman" w:hAnsi="Times New Roman"/>
          <w:sz w:val="24"/>
          <w:szCs w:val="24"/>
        </w:rPr>
      </w:pPr>
    </w:p>
    <w:p w14:paraId="3239FDBC" w14:textId="77777777" w:rsidR="000E59AC" w:rsidRDefault="000E59AC" w:rsidP="000E59AC">
      <w:pPr>
        <w:spacing w:line="480" w:lineRule="auto"/>
        <w:jc w:val="both"/>
        <w:rPr>
          <w:rFonts w:ascii="Times New Roman" w:hAnsi="Times New Roman"/>
          <w:sz w:val="24"/>
          <w:szCs w:val="24"/>
        </w:rPr>
      </w:pPr>
    </w:p>
    <w:p w14:paraId="75C7F26E" w14:textId="77777777" w:rsidR="000E59AC" w:rsidRDefault="000E59AC" w:rsidP="000E59AC">
      <w:pPr>
        <w:spacing w:line="480" w:lineRule="auto"/>
        <w:jc w:val="both"/>
        <w:rPr>
          <w:rFonts w:ascii="Times New Roman" w:hAnsi="Times New Roman"/>
          <w:sz w:val="24"/>
          <w:szCs w:val="24"/>
        </w:rPr>
      </w:pPr>
    </w:p>
    <w:p w14:paraId="12AC5DB3" w14:textId="77777777" w:rsidR="000E59AC" w:rsidRDefault="000E59AC" w:rsidP="000E59AC">
      <w:pPr>
        <w:spacing w:line="480" w:lineRule="auto"/>
        <w:jc w:val="both"/>
        <w:rPr>
          <w:rFonts w:ascii="Times New Roman" w:hAnsi="Times New Roman"/>
          <w:sz w:val="24"/>
          <w:szCs w:val="24"/>
        </w:rPr>
      </w:pPr>
    </w:p>
    <w:p w14:paraId="799359B1" w14:textId="77777777" w:rsidR="000E59AC" w:rsidRDefault="000E59AC" w:rsidP="000E59AC">
      <w:pPr>
        <w:spacing w:line="480" w:lineRule="auto"/>
        <w:jc w:val="both"/>
        <w:rPr>
          <w:rFonts w:ascii="Times New Roman" w:hAnsi="Times New Roman"/>
          <w:sz w:val="24"/>
          <w:szCs w:val="24"/>
        </w:rPr>
      </w:pPr>
    </w:p>
    <w:p w14:paraId="24E4C7F3"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797"/>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51345C21" w14:textId="77777777" w:rsidTr="000E59AC">
        <w:trPr>
          <w:trHeight w:val="620"/>
        </w:trPr>
        <w:tc>
          <w:tcPr>
            <w:tcW w:w="2013" w:type="dxa"/>
            <w:vMerge w:val="restart"/>
            <w:tcBorders>
              <w:top w:val="single" w:sz="4" w:space="0" w:color="auto"/>
              <w:bottom w:val="nil"/>
            </w:tcBorders>
            <w:vAlign w:val="center"/>
          </w:tcPr>
          <w:p w14:paraId="77D7777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200DEC7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Collar diameter (cm)</w:t>
            </w:r>
            <w:r>
              <w:rPr>
                <w:rFonts w:ascii="Times New Roman" w:hAnsi="Times New Roman"/>
                <w:b/>
                <w:sz w:val="24"/>
                <w:szCs w:val="24"/>
              </w:rPr>
              <w:t xml:space="preserve"> of seedlings</w:t>
            </w:r>
          </w:p>
        </w:tc>
      </w:tr>
      <w:tr w:rsidR="000E59AC" w:rsidRPr="00FC31BD" w14:paraId="26433D80" w14:textId="77777777" w:rsidTr="000E59AC">
        <w:trPr>
          <w:gridAfter w:val="1"/>
          <w:wAfter w:w="6" w:type="dxa"/>
          <w:trHeight w:val="530"/>
        </w:trPr>
        <w:tc>
          <w:tcPr>
            <w:tcW w:w="2013" w:type="dxa"/>
            <w:vMerge/>
            <w:tcBorders>
              <w:top w:val="nil"/>
              <w:bottom w:val="single" w:sz="4" w:space="0" w:color="auto"/>
            </w:tcBorders>
            <w:vAlign w:val="center"/>
          </w:tcPr>
          <w:p w14:paraId="60BF36DA"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2A8335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29C785C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6662E01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A3C3EF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7448EE7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CF1FA0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5A1145B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3AD5F2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0D27CF1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4B410F4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19F41A2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449BC0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4237F575" w14:textId="77777777" w:rsidTr="000E59AC">
        <w:trPr>
          <w:gridAfter w:val="1"/>
          <w:wAfter w:w="6" w:type="dxa"/>
          <w:trHeight w:val="800"/>
        </w:trPr>
        <w:tc>
          <w:tcPr>
            <w:tcW w:w="2013" w:type="dxa"/>
            <w:tcBorders>
              <w:top w:val="single" w:sz="4" w:space="0" w:color="auto"/>
            </w:tcBorders>
            <w:vAlign w:val="center"/>
          </w:tcPr>
          <w:p w14:paraId="7C9B0F1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639F03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w:t>
            </w:r>
            <w:r w:rsidRPr="00FC31BD">
              <w:rPr>
                <w:rFonts w:ascii="Times New Roman" w:hAnsi="Times New Roman"/>
                <w:sz w:val="24"/>
                <w:szCs w:val="24"/>
                <w:vertAlign w:val="superscript"/>
              </w:rPr>
              <w:t>e</w:t>
            </w:r>
          </w:p>
        </w:tc>
        <w:tc>
          <w:tcPr>
            <w:tcW w:w="990" w:type="dxa"/>
            <w:tcBorders>
              <w:top w:val="single" w:sz="4" w:space="0" w:color="auto"/>
            </w:tcBorders>
            <w:vAlign w:val="center"/>
          </w:tcPr>
          <w:p w14:paraId="66517D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w:t>
            </w:r>
            <w:r w:rsidRPr="00FC31BD">
              <w:rPr>
                <w:rFonts w:ascii="Times New Roman" w:hAnsi="Times New Roman"/>
                <w:sz w:val="24"/>
                <w:szCs w:val="24"/>
                <w:vertAlign w:val="superscript"/>
              </w:rPr>
              <w:t>e</w:t>
            </w:r>
          </w:p>
        </w:tc>
        <w:tc>
          <w:tcPr>
            <w:tcW w:w="992" w:type="dxa"/>
            <w:tcBorders>
              <w:top w:val="single" w:sz="4" w:space="0" w:color="auto"/>
            </w:tcBorders>
            <w:vAlign w:val="center"/>
          </w:tcPr>
          <w:p w14:paraId="5F3DDD8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636789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62566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2.19</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33DA5A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5ACFA39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3.17</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AC3BAA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71DDBB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3.56</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627B1E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d</w:t>
            </w:r>
          </w:p>
        </w:tc>
        <w:tc>
          <w:tcPr>
            <w:tcW w:w="901" w:type="dxa"/>
            <w:tcBorders>
              <w:top w:val="single" w:sz="4" w:space="0" w:color="auto"/>
            </w:tcBorders>
            <w:vAlign w:val="center"/>
          </w:tcPr>
          <w:p w14:paraId="284E5C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3.96</w:t>
            </w:r>
            <w:r w:rsidRPr="00FC31BD">
              <w:rPr>
                <w:rFonts w:ascii="Times New Roman" w:hAnsi="Times New Roman"/>
                <w:sz w:val="24"/>
                <w:szCs w:val="24"/>
                <w:vertAlign w:val="superscript"/>
              </w:rPr>
              <w:t>d</w:t>
            </w:r>
          </w:p>
        </w:tc>
        <w:tc>
          <w:tcPr>
            <w:tcW w:w="1165" w:type="dxa"/>
            <w:tcBorders>
              <w:top w:val="single" w:sz="4" w:space="0" w:color="auto"/>
            </w:tcBorders>
            <w:vAlign w:val="center"/>
          </w:tcPr>
          <w:p w14:paraId="613ED32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c</w:t>
            </w:r>
          </w:p>
        </w:tc>
      </w:tr>
      <w:tr w:rsidR="000E59AC" w:rsidRPr="00FC31BD" w14:paraId="7B028A07" w14:textId="77777777" w:rsidTr="000E59AC">
        <w:trPr>
          <w:gridAfter w:val="1"/>
          <w:wAfter w:w="6" w:type="dxa"/>
          <w:trHeight w:val="800"/>
        </w:trPr>
        <w:tc>
          <w:tcPr>
            <w:tcW w:w="2013" w:type="dxa"/>
            <w:vAlign w:val="center"/>
          </w:tcPr>
          <w:p w14:paraId="77D0655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0CD95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d</w:t>
            </w:r>
          </w:p>
        </w:tc>
        <w:tc>
          <w:tcPr>
            <w:tcW w:w="990" w:type="dxa"/>
            <w:vAlign w:val="center"/>
          </w:tcPr>
          <w:p w14:paraId="39DFB01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d</w:t>
            </w:r>
          </w:p>
        </w:tc>
        <w:tc>
          <w:tcPr>
            <w:tcW w:w="992" w:type="dxa"/>
            <w:vAlign w:val="center"/>
          </w:tcPr>
          <w:p w14:paraId="557341A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2.36</w:t>
            </w:r>
            <w:r w:rsidRPr="00FC31BD">
              <w:rPr>
                <w:rFonts w:ascii="Times New Roman" w:hAnsi="Times New Roman"/>
                <w:sz w:val="24"/>
                <w:szCs w:val="24"/>
                <w:vertAlign w:val="superscript"/>
              </w:rPr>
              <w:t>d</w:t>
            </w:r>
          </w:p>
        </w:tc>
        <w:tc>
          <w:tcPr>
            <w:tcW w:w="994" w:type="dxa"/>
            <w:vAlign w:val="center"/>
          </w:tcPr>
          <w:p w14:paraId="41AAF2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2.50</w:t>
            </w:r>
            <w:r w:rsidRPr="00FC31BD">
              <w:rPr>
                <w:rFonts w:ascii="Times New Roman" w:hAnsi="Times New Roman"/>
                <w:sz w:val="24"/>
                <w:szCs w:val="24"/>
                <w:vertAlign w:val="superscript"/>
              </w:rPr>
              <w:t>d</w:t>
            </w:r>
          </w:p>
        </w:tc>
        <w:tc>
          <w:tcPr>
            <w:tcW w:w="953" w:type="dxa"/>
            <w:vAlign w:val="center"/>
          </w:tcPr>
          <w:p w14:paraId="5621EC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2.66</w:t>
            </w:r>
            <w:r w:rsidRPr="00FC31BD">
              <w:rPr>
                <w:rFonts w:ascii="Times New Roman" w:hAnsi="Times New Roman"/>
                <w:sz w:val="24"/>
                <w:szCs w:val="24"/>
                <w:vertAlign w:val="superscript"/>
              </w:rPr>
              <w:t>d</w:t>
            </w:r>
          </w:p>
        </w:tc>
        <w:tc>
          <w:tcPr>
            <w:tcW w:w="953" w:type="dxa"/>
            <w:vAlign w:val="center"/>
          </w:tcPr>
          <w:p w14:paraId="6E6D57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w:t>
            </w:r>
            <w:r w:rsidRPr="00FC31BD">
              <w:rPr>
                <w:rFonts w:ascii="Times New Roman" w:hAnsi="Times New Roman"/>
                <w:sz w:val="24"/>
                <w:szCs w:val="24"/>
                <w:vertAlign w:val="superscript"/>
              </w:rPr>
              <w:t>d</w:t>
            </w:r>
          </w:p>
        </w:tc>
        <w:tc>
          <w:tcPr>
            <w:tcW w:w="986" w:type="dxa"/>
            <w:vAlign w:val="center"/>
          </w:tcPr>
          <w:p w14:paraId="73BDFB7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e</w:t>
            </w:r>
          </w:p>
        </w:tc>
        <w:tc>
          <w:tcPr>
            <w:tcW w:w="909" w:type="dxa"/>
            <w:vAlign w:val="center"/>
          </w:tcPr>
          <w:p w14:paraId="5A647B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3.26</w:t>
            </w:r>
            <w:r w:rsidRPr="00FC31BD">
              <w:rPr>
                <w:rFonts w:ascii="Times New Roman" w:hAnsi="Times New Roman"/>
                <w:sz w:val="24"/>
                <w:szCs w:val="24"/>
                <w:vertAlign w:val="superscript"/>
              </w:rPr>
              <w:t>e</w:t>
            </w:r>
          </w:p>
        </w:tc>
        <w:tc>
          <w:tcPr>
            <w:tcW w:w="918" w:type="dxa"/>
            <w:vAlign w:val="center"/>
          </w:tcPr>
          <w:p w14:paraId="5BE154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3.46</w:t>
            </w:r>
            <w:r w:rsidRPr="00FC31BD">
              <w:rPr>
                <w:rFonts w:ascii="Times New Roman" w:hAnsi="Times New Roman"/>
                <w:sz w:val="24"/>
                <w:szCs w:val="24"/>
                <w:vertAlign w:val="superscript"/>
              </w:rPr>
              <w:t>e</w:t>
            </w:r>
          </w:p>
        </w:tc>
        <w:tc>
          <w:tcPr>
            <w:tcW w:w="945" w:type="dxa"/>
            <w:vAlign w:val="center"/>
          </w:tcPr>
          <w:p w14:paraId="6E72BAC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3.66</w:t>
            </w:r>
            <w:r w:rsidRPr="00FC31BD">
              <w:rPr>
                <w:rFonts w:ascii="Times New Roman" w:hAnsi="Times New Roman"/>
                <w:sz w:val="24"/>
                <w:szCs w:val="24"/>
                <w:vertAlign w:val="superscript"/>
              </w:rPr>
              <w:t>e</w:t>
            </w:r>
          </w:p>
        </w:tc>
        <w:tc>
          <w:tcPr>
            <w:tcW w:w="901" w:type="dxa"/>
            <w:vAlign w:val="center"/>
          </w:tcPr>
          <w:p w14:paraId="4273C1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e</w:t>
            </w:r>
          </w:p>
        </w:tc>
        <w:tc>
          <w:tcPr>
            <w:tcW w:w="1165" w:type="dxa"/>
            <w:vAlign w:val="center"/>
          </w:tcPr>
          <w:p w14:paraId="6DC008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c</w:t>
            </w:r>
          </w:p>
        </w:tc>
      </w:tr>
      <w:tr w:rsidR="000E59AC" w:rsidRPr="00FC31BD" w14:paraId="36AF8408" w14:textId="77777777" w:rsidTr="000E59AC">
        <w:trPr>
          <w:gridAfter w:val="1"/>
          <w:wAfter w:w="6" w:type="dxa"/>
          <w:trHeight w:val="890"/>
        </w:trPr>
        <w:tc>
          <w:tcPr>
            <w:tcW w:w="2013" w:type="dxa"/>
            <w:vAlign w:val="center"/>
          </w:tcPr>
          <w:p w14:paraId="2B76398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718A14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2.60</w:t>
            </w:r>
            <w:r w:rsidRPr="00FC31BD">
              <w:rPr>
                <w:rFonts w:ascii="Times New Roman" w:hAnsi="Times New Roman"/>
                <w:sz w:val="24"/>
                <w:szCs w:val="24"/>
                <w:vertAlign w:val="superscript"/>
              </w:rPr>
              <w:t>b</w:t>
            </w:r>
          </w:p>
        </w:tc>
        <w:tc>
          <w:tcPr>
            <w:tcW w:w="990" w:type="dxa"/>
            <w:vAlign w:val="center"/>
          </w:tcPr>
          <w:p w14:paraId="5941B3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2.56</w:t>
            </w:r>
            <w:r w:rsidRPr="00FC31BD">
              <w:rPr>
                <w:rFonts w:ascii="Times New Roman" w:hAnsi="Times New Roman"/>
                <w:sz w:val="24"/>
                <w:szCs w:val="24"/>
                <w:vertAlign w:val="superscript"/>
              </w:rPr>
              <w:t>c</w:t>
            </w:r>
          </w:p>
        </w:tc>
        <w:tc>
          <w:tcPr>
            <w:tcW w:w="992" w:type="dxa"/>
            <w:vAlign w:val="center"/>
          </w:tcPr>
          <w:p w14:paraId="48A1E4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2.91</w:t>
            </w:r>
            <w:r w:rsidRPr="00FC31BD">
              <w:rPr>
                <w:rFonts w:ascii="Times New Roman" w:hAnsi="Times New Roman"/>
                <w:sz w:val="24"/>
                <w:szCs w:val="24"/>
                <w:vertAlign w:val="superscript"/>
              </w:rPr>
              <w:t>c</w:t>
            </w:r>
          </w:p>
        </w:tc>
        <w:tc>
          <w:tcPr>
            <w:tcW w:w="994" w:type="dxa"/>
            <w:vAlign w:val="center"/>
          </w:tcPr>
          <w:p w14:paraId="05CA86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w:t>
            </w:r>
            <w:r w:rsidRPr="00FC31BD">
              <w:rPr>
                <w:rFonts w:ascii="Times New Roman" w:hAnsi="Times New Roman"/>
                <w:sz w:val="24"/>
                <w:szCs w:val="24"/>
                <w:vertAlign w:val="superscript"/>
              </w:rPr>
              <w:t>c</w:t>
            </w:r>
          </w:p>
        </w:tc>
        <w:tc>
          <w:tcPr>
            <w:tcW w:w="953" w:type="dxa"/>
            <w:vAlign w:val="center"/>
          </w:tcPr>
          <w:p w14:paraId="459ECD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3.25</w:t>
            </w:r>
            <w:r w:rsidRPr="00FC31BD">
              <w:rPr>
                <w:rFonts w:ascii="Times New Roman" w:hAnsi="Times New Roman"/>
                <w:sz w:val="24"/>
                <w:szCs w:val="24"/>
                <w:vertAlign w:val="superscript"/>
              </w:rPr>
              <w:t>c</w:t>
            </w:r>
          </w:p>
        </w:tc>
        <w:tc>
          <w:tcPr>
            <w:tcW w:w="953" w:type="dxa"/>
            <w:vAlign w:val="center"/>
          </w:tcPr>
          <w:p w14:paraId="783EC2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3.42</w:t>
            </w:r>
            <w:r w:rsidRPr="00FC31BD">
              <w:rPr>
                <w:rFonts w:ascii="Times New Roman" w:hAnsi="Times New Roman"/>
                <w:sz w:val="24"/>
                <w:szCs w:val="24"/>
                <w:vertAlign w:val="superscript"/>
              </w:rPr>
              <w:t>c</w:t>
            </w:r>
          </w:p>
        </w:tc>
        <w:tc>
          <w:tcPr>
            <w:tcW w:w="986" w:type="dxa"/>
            <w:vAlign w:val="center"/>
          </w:tcPr>
          <w:p w14:paraId="1AB6A7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w:t>
            </w:r>
            <w:r w:rsidRPr="00FC31BD">
              <w:rPr>
                <w:rFonts w:ascii="Times New Roman" w:hAnsi="Times New Roman"/>
                <w:sz w:val="24"/>
                <w:szCs w:val="24"/>
                <w:vertAlign w:val="superscript"/>
              </w:rPr>
              <w:t>c</w:t>
            </w:r>
          </w:p>
        </w:tc>
        <w:tc>
          <w:tcPr>
            <w:tcW w:w="909" w:type="dxa"/>
            <w:vAlign w:val="center"/>
          </w:tcPr>
          <w:p w14:paraId="6C53C83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c</w:t>
            </w:r>
          </w:p>
        </w:tc>
        <w:tc>
          <w:tcPr>
            <w:tcW w:w="918" w:type="dxa"/>
            <w:vAlign w:val="center"/>
          </w:tcPr>
          <w:p w14:paraId="6535DA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3.93</w:t>
            </w:r>
            <w:r w:rsidRPr="00FC31BD">
              <w:rPr>
                <w:rFonts w:ascii="Times New Roman" w:hAnsi="Times New Roman"/>
                <w:sz w:val="24"/>
                <w:szCs w:val="24"/>
                <w:vertAlign w:val="superscript"/>
              </w:rPr>
              <w:t>c</w:t>
            </w:r>
          </w:p>
        </w:tc>
        <w:tc>
          <w:tcPr>
            <w:tcW w:w="945" w:type="dxa"/>
            <w:vAlign w:val="center"/>
          </w:tcPr>
          <w:p w14:paraId="5E07656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4.10</w:t>
            </w:r>
            <w:r w:rsidRPr="00FC31BD">
              <w:rPr>
                <w:rFonts w:ascii="Times New Roman" w:hAnsi="Times New Roman"/>
                <w:sz w:val="24"/>
                <w:szCs w:val="24"/>
                <w:vertAlign w:val="superscript"/>
              </w:rPr>
              <w:t>c</w:t>
            </w:r>
          </w:p>
        </w:tc>
        <w:tc>
          <w:tcPr>
            <w:tcW w:w="901" w:type="dxa"/>
            <w:vAlign w:val="center"/>
          </w:tcPr>
          <w:p w14:paraId="5CCAC43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w:t>
            </w:r>
            <w:r w:rsidRPr="00FC31BD">
              <w:rPr>
                <w:rFonts w:ascii="Times New Roman" w:hAnsi="Times New Roman"/>
                <w:sz w:val="24"/>
                <w:szCs w:val="24"/>
                <w:vertAlign w:val="superscript"/>
              </w:rPr>
              <w:t>c</w:t>
            </w:r>
          </w:p>
        </w:tc>
        <w:tc>
          <w:tcPr>
            <w:tcW w:w="1165" w:type="dxa"/>
            <w:vAlign w:val="center"/>
          </w:tcPr>
          <w:p w14:paraId="69D5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4.43</w:t>
            </w:r>
            <w:r w:rsidRPr="00FC31BD">
              <w:rPr>
                <w:rFonts w:ascii="Times New Roman" w:hAnsi="Times New Roman"/>
                <w:sz w:val="24"/>
                <w:szCs w:val="24"/>
                <w:vertAlign w:val="superscript"/>
              </w:rPr>
              <w:t>b</w:t>
            </w:r>
          </w:p>
        </w:tc>
      </w:tr>
      <w:tr w:rsidR="000E59AC" w:rsidRPr="00FC31BD" w14:paraId="76F78A03" w14:textId="77777777" w:rsidTr="000E59AC">
        <w:trPr>
          <w:gridAfter w:val="1"/>
          <w:wAfter w:w="6" w:type="dxa"/>
          <w:trHeight w:val="800"/>
        </w:trPr>
        <w:tc>
          <w:tcPr>
            <w:tcW w:w="2013" w:type="dxa"/>
            <w:vAlign w:val="center"/>
          </w:tcPr>
          <w:p w14:paraId="0669015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0565700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a</w:t>
            </w:r>
          </w:p>
        </w:tc>
        <w:tc>
          <w:tcPr>
            <w:tcW w:w="990" w:type="dxa"/>
            <w:vAlign w:val="center"/>
          </w:tcPr>
          <w:p w14:paraId="1F8774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3.27</w:t>
            </w:r>
            <w:r w:rsidRPr="00FC31BD">
              <w:rPr>
                <w:rFonts w:ascii="Times New Roman" w:hAnsi="Times New Roman"/>
                <w:sz w:val="24"/>
                <w:szCs w:val="24"/>
                <w:vertAlign w:val="superscript"/>
              </w:rPr>
              <w:t>a</w:t>
            </w:r>
          </w:p>
        </w:tc>
        <w:tc>
          <w:tcPr>
            <w:tcW w:w="992" w:type="dxa"/>
            <w:vAlign w:val="center"/>
          </w:tcPr>
          <w:p w14:paraId="2A9EF8F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3.49</w:t>
            </w:r>
            <w:r w:rsidRPr="00FC31BD">
              <w:rPr>
                <w:rFonts w:ascii="Times New Roman" w:hAnsi="Times New Roman"/>
                <w:sz w:val="24"/>
                <w:szCs w:val="24"/>
                <w:vertAlign w:val="superscript"/>
              </w:rPr>
              <w:t>a</w:t>
            </w:r>
          </w:p>
        </w:tc>
        <w:tc>
          <w:tcPr>
            <w:tcW w:w="994" w:type="dxa"/>
            <w:vAlign w:val="center"/>
          </w:tcPr>
          <w:p w14:paraId="2FC17E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w:t>
            </w:r>
            <w:r w:rsidRPr="00FC31BD">
              <w:rPr>
                <w:rFonts w:ascii="Times New Roman" w:hAnsi="Times New Roman"/>
                <w:sz w:val="24"/>
                <w:szCs w:val="24"/>
                <w:vertAlign w:val="superscript"/>
              </w:rPr>
              <w:t>a</w:t>
            </w:r>
          </w:p>
        </w:tc>
        <w:tc>
          <w:tcPr>
            <w:tcW w:w="953" w:type="dxa"/>
            <w:vAlign w:val="center"/>
          </w:tcPr>
          <w:p w14:paraId="2D2201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3.92</w:t>
            </w:r>
            <w:r w:rsidRPr="00FC31BD">
              <w:rPr>
                <w:rFonts w:ascii="Times New Roman" w:hAnsi="Times New Roman"/>
                <w:sz w:val="24"/>
                <w:szCs w:val="24"/>
                <w:vertAlign w:val="superscript"/>
              </w:rPr>
              <w:t>a</w:t>
            </w:r>
          </w:p>
        </w:tc>
        <w:tc>
          <w:tcPr>
            <w:tcW w:w="953" w:type="dxa"/>
            <w:vAlign w:val="center"/>
          </w:tcPr>
          <w:p w14:paraId="0C904C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a</w:t>
            </w:r>
          </w:p>
        </w:tc>
        <w:tc>
          <w:tcPr>
            <w:tcW w:w="986" w:type="dxa"/>
            <w:vAlign w:val="center"/>
          </w:tcPr>
          <w:p w14:paraId="16C595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8.60</w:t>
            </w:r>
            <w:r w:rsidRPr="00FC31BD">
              <w:rPr>
                <w:rFonts w:ascii="Times New Roman" w:hAnsi="Times New Roman"/>
                <w:sz w:val="24"/>
                <w:szCs w:val="24"/>
                <w:vertAlign w:val="superscript"/>
              </w:rPr>
              <w:t>a</w:t>
            </w:r>
          </w:p>
        </w:tc>
        <w:tc>
          <w:tcPr>
            <w:tcW w:w="909" w:type="dxa"/>
            <w:vAlign w:val="center"/>
          </w:tcPr>
          <w:p w14:paraId="350392E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b</w:t>
            </w:r>
          </w:p>
        </w:tc>
        <w:tc>
          <w:tcPr>
            <w:tcW w:w="918" w:type="dxa"/>
            <w:vAlign w:val="center"/>
          </w:tcPr>
          <w:p w14:paraId="65287D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4.74</w:t>
            </w:r>
            <w:r w:rsidRPr="00FC31BD">
              <w:rPr>
                <w:rFonts w:ascii="Times New Roman" w:hAnsi="Times New Roman"/>
                <w:sz w:val="24"/>
                <w:szCs w:val="24"/>
                <w:vertAlign w:val="superscript"/>
              </w:rPr>
              <w:t>a</w:t>
            </w:r>
          </w:p>
        </w:tc>
        <w:tc>
          <w:tcPr>
            <w:tcW w:w="945" w:type="dxa"/>
            <w:vAlign w:val="center"/>
          </w:tcPr>
          <w:p w14:paraId="5D6CAE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4.92</w:t>
            </w:r>
            <w:r w:rsidRPr="00FC31BD">
              <w:rPr>
                <w:rFonts w:ascii="Times New Roman" w:hAnsi="Times New Roman"/>
                <w:sz w:val="24"/>
                <w:szCs w:val="24"/>
                <w:vertAlign w:val="superscript"/>
              </w:rPr>
              <w:t>a</w:t>
            </w:r>
          </w:p>
        </w:tc>
        <w:tc>
          <w:tcPr>
            <w:tcW w:w="901" w:type="dxa"/>
            <w:vAlign w:val="center"/>
          </w:tcPr>
          <w:p w14:paraId="2D64B67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5.10</w:t>
            </w:r>
            <w:r w:rsidRPr="00FC31BD">
              <w:rPr>
                <w:rFonts w:ascii="Times New Roman" w:hAnsi="Times New Roman"/>
                <w:sz w:val="24"/>
                <w:szCs w:val="24"/>
                <w:vertAlign w:val="superscript"/>
              </w:rPr>
              <w:t>a</w:t>
            </w:r>
          </w:p>
        </w:tc>
        <w:tc>
          <w:tcPr>
            <w:tcW w:w="1165" w:type="dxa"/>
            <w:vAlign w:val="center"/>
          </w:tcPr>
          <w:p w14:paraId="0BB9E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a</w:t>
            </w:r>
          </w:p>
        </w:tc>
      </w:tr>
      <w:tr w:rsidR="000E59AC" w:rsidRPr="00FC31BD" w14:paraId="3C32216B" w14:textId="77777777" w:rsidTr="000E59AC">
        <w:trPr>
          <w:gridAfter w:val="1"/>
          <w:wAfter w:w="6" w:type="dxa"/>
          <w:trHeight w:val="772"/>
        </w:trPr>
        <w:tc>
          <w:tcPr>
            <w:tcW w:w="2013" w:type="dxa"/>
            <w:vAlign w:val="center"/>
          </w:tcPr>
          <w:p w14:paraId="11767BF8" w14:textId="1F3BF56B" w:rsidR="000E59AC" w:rsidRPr="00FC31BD" w:rsidRDefault="00125E7E" w:rsidP="000E59AC">
            <w:pPr>
              <w:jc w:val="center"/>
              <w:rPr>
                <w:rFonts w:ascii="Times New Roman" w:hAnsi="Times New Roman"/>
                <w:i/>
                <w:sz w:val="24"/>
                <w:szCs w:val="24"/>
              </w:rPr>
            </w:pPr>
            <w:r>
              <w:rPr>
                <w:rFonts w:ascii="Times New Roman" w:hAnsi="Times New Roman"/>
                <w:i/>
                <w:sz w:val="24"/>
                <w:szCs w:val="24"/>
              </w:rPr>
              <w:t xml:space="preserve">M. </w:t>
            </w:r>
            <w:proofErr w:type="spellStart"/>
            <w:r>
              <w:rPr>
                <w:rFonts w:ascii="Times New Roman" w:hAnsi="Times New Roman"/>
                <w:i/>
                <w:sz w:val="24"/>
                <w:szCs w:val="24"/>
              </w:rPr>
              <w:t>excelsa</w:t>
            </w:r>
            <w:proofErr w:type="spellEnd"/>
            <w:r>
              <w:rPr>
                <w:rFonts w:ascii="Times New Roman" w:hAnsi="Times New Roman"/>
                <w:i/>
                <w:sz w:val="24"/>
                <w:szCs w:val="24"/>
              </w:rPr>
              <w:t xml:space="preserve"> </w:t>
            </w:r>
            <w:r w:rsidR="000E59AC" w:rsidRPr="00FC31BD">
              <w:rPr>
                <w:rFonts w:ascii="Times New Roman" w:hAnsi="Times New Roman"/>
                <w:i/>
                <w:sz w:val="24"/>
                <w:szCs w:val="24"/>
              </w:rPr>
              <w:t>a</w:t>
            </w:r>
          </w:p>
        </w:tc>
        <w:tc>
          <w:tcPr>
            <w:tcW w:w="1042" w:type="dxa"/>
            <w:vAlign w:val="center"/>
          </w:tcPr>
          <w:p w14:paraId="097E9BB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2.47</w:t>
            </w:r>
            <w:r w:rsidRPr="00FC31BD">
              <w:rPr>
                <w:rFonts w:ascii="Times New Roman" w:hAnsi="Times New Roman"/>
                <w:sz w:val="24"/>
                <w:szCs w:val="24"/>
                <w:vertAlign w:val="superscript"/>
              </w:rPr>
              <w:t>c</w:t>
            </w:r>
          </w:p>
        </w:tc>
        <w:tc>
          <w:tcPr>
            <w:tcW w:w="990" w:type="dxa"/>
            <w:vAlign w:val="center"/>
          </w:tcPr>
          <w:p w14:paraId="592834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w:t>
            </w:r>
            <w:r w:rsidRPr="00FC31BD">
              <w:rPr>
                <w:rFonts w:ascii="Times New Roman" w:hAnsi="Times New Roman"/>
                <w:sz w:val="24"/>
                <w:szCs w:val="24"/>
                <w:vertAlign w:val="superscript"/>
              </w:rPr>
              <w:t>b</w:t>
            </w:r>
          </w:p>
        </w:tc>
        <w:tc>
          <w:tcPr>
            <w:tcW w:w="992" w:type="dxa"/>
            <w:vAlign w:val="center"/>
          </w:tcPr>
          <w:p w14:paraId="767643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3.09</w:t>
            </w:r>
            <w:r w:rsidRPr="00FC31BD">
              <w:rPr>
                <w:rFonts w:ascii="Times New Roman" w:hAnsi="Times New Roman"/>
                <w:sz w:val="24"/>
                <w:szCs w:val="24"/>
                <w:vertAlign w:val="superscript"/>
              </w:rPr>
              <w:t>b</w:t>
            </w:r>
          </w:p>
        </w:tc>
        <w:tc>
          <w:tcPr>
            <w:tcW w:w="994" w:type="dxa"/>
            <w:vAlign w:val="center"/>
          </w:tcPr>
          <w:p w14:paraId="3205536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3.32</w:t>
            </w:r>
            <w:r w:rsidRPr="00FC31BD">
              <w:rPr>
                <w:rFonts w:ascii="Times New Roman" w:hAnsi="Times New Roman"/>
                <w:sz w:val="24"/>
                <w:szCs w:val="24"/>
                <w:vertAlign w:val="superscript"/>
              </w:rPr>
              <w:t>b</w:t>
            </w:r>
          </w:p>
        </w:tc>
        <w:tc>
          <w:tcPr>
            <w:tcW w:w="953" w:type="dxa"/>
            <w:vAlign w:val="center"/>
          </w:tcPr>
          <w:p w14:paraId="115DC0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3.54</w:t>
            </w:r>
            <w:r w:rsidRPr="00FC31BD">
              <w:rPr>
                <w:rFonts w:ascii="Times New Roman" w:hAnsi="Times New Roman"/>
                <w:sz w:val="24"/>
                <w:szCs w:val="24"/>
                <w:vertAlign w:val="superscript"/>
              </w:rPr>
              <w:t>b</w:t>
            </w:r>
          </w:p>
        </w:tc>
        <w:tc>
          <w:tcPr>
            <w:tcW w:w="953" w:type="dxa"/>
            <w:vAlign w:val="center"/>
          </w:tcPr>
          <w:p w14:paraId="54B1DB0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3.79</w:t>
            </w:r>
            <w:r w:rsidRPr="00FC31BD">
              <w:rPr>
                <w:rFonts w:ascii="Times New Roman" w:hAnsi="Times New Roman"/>
                <w:sz w:val="24"/>
                <w:szCs w:val="24"/>
                <w:vertAlign w:val="superscript"/>
              </w:rPr>
              <w:t>b</w:t>
            </w:r>
          </w:p>
        </w:tc>
        <w:tc>
          <w:tcPr>
            <w:tcW w:w="986" w:type="dxa"/>
            <w:vAlign w:val="center"/>
          </w:tcPr>
          <w:p w14:paraId="462BD5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3.97</w:t>
            </w:r>
            <w:r w:rsidRPr="00FC31BD">
              <w:rPr>
                <w:rFonts w:ascii="Times New Roman" w:hAnsi="Times New Roman"/>
                <w:sz w:val="24"/>
                <w:szCs w:val="24"/>
                <w:vertAlign w:val="superscript"/>
              </w:rPr>
              <w:t>b</w:t>
            </w:r>
          </w:p>
        </w:tc>
        <w:tc>
          <w:tcPr>
            <w:tcW w:w="909" w:type="dxa"/>
            <w:vAlign w:val="center"/>
          </w:tcPr>
          <w:p w14:paraId="1AA9D6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4.29</w:t>
            </w:r>
            <w:r w:rsidRPr="00FC31BD">
              <w:rPr>
                <w:rFonts w:ascii="Times New Roman" w:hAnsi="Times New Roman"/>
                <w:sz w:val="24"/>
                <w:szCs w:val="24"/>
                <w:vertAlign w:val="superscript"/>
              </w:rPr>
              <w:t>a</w:t>
            </w:r>
          </w:p>
        </w:tc>
        <w:tc>
          <w:tcPr>
            <w:tcW w:w="918" w:type="dxa"/>
            <w:vAlign w:val="center"/>
          </w:tcPr>
          <w:p w14:paraId="008D5E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4.48</w:t>
            </w:r>
            <w:r w:rsidRPr="00FC31BD">
              <w:rPr>
                <w:rFonts w:ascii="Times New Roman" w:hAnsi="Times New Roman"/>
                <w:sz w:val="24"/>
                <w:szCs w:val="24"/>
                <w:vertAlign w:val="superscript"/>
              </w:rPr>
              <w:t>b</w:t>
            </w:r>
          </w:p>
        </w:tc>
        <w:tc>
          <w:tcPr>
            <w:tcW w:w="945" w:type="dxa"/>
            <w:vAlign w:val="center"/>
          </w:tcPr>
          <w:p w14:paraId="4A6185C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4.81</w:t>
            </w:r>
            <w:r w:rsidRPr="00FC31BD">
              <w:rPr>
                <w:rFonts w:ascii="Times New Roman" w:hAnsi="Times New Roman"/>
                <w:sz w:val="24"/>
                <w:szCs w:val="24"/>
                <w:vertAlign w:val="superscript"/>
              </w:rPr>
              <w:t>b</w:t>
            </w:r>
          </w:p>
        </w:tc>
        <w:tc>
          <w:tcPr>
            <w:tcW w:w="901" w:type="dxa"/>
            <w:vAlign w:val="center"/>
          </w:tcPr>
          <w:p w14:paraId="1A57444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5.05</w:t>
            </w:r>
            <w:r w:rsidRPr="00FC31BD">
              <w:rPr>
                <w:rFonts w:ascii="Times New Roman" w:hAnsi="Times New Roman"/>
                <w:sz w:val="24"/>
                <w:szCs w:val="24"/>
                <w:vertAlign w:val="superscript"/>
              </w:rPr>
              <w:t>b</w:t>
            </w:r>
          </w:p>
        </w:tc>
        <w:tc>
          <w:tcPr>
            <w:tcW w:w="1165" w:type="dxa"/>
            <w:vAlign w:val="center"/>
          </w:tcPr>
          <w:p w14:paraId="20E2E9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5.33</w:t>
            </w:r>
            <w:r w:rsidRPr="00FC31BD">
              <w:rPr>
                <w:rFonts w:ascii="Times New Roman" w:hAnsi="Times New Roman"/>
                <w:sz w:val="24"/>
                <w:szCs w:val="24"/>
                <w:vertAlign w:val="superscript"/>
              </w:rPr>
              <w:t>a</w:t>
            </w:r>
          </w:p>
        </w:tc>
      </w:tr>
    </w:tbl>
    <w:p w14:paraId="6A38DBD0" w14:textId="0E55DD66"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2</w:t>
      </w:r>
      <w:r w:rsidR="000E59AC" w:rsidRPr="00725339">
        <w:rPr>
          <w:rFonts w:ascii="Times New Roman" w:hAnsi="Times New Roman"/>
          <w:b/>
          <w:sz w:val="24"/>
          <w:szCs w:val="24"/>
        </w:rPr>
        <w:t xml:space="preserve">: Mean </w:t>
      </w:r>
      <w:r w:rsidR="000E59AC">
        <w:rPr>
          <w:rFonts w:ascii="Times New Roman" w:hAnsi="Times New Roman"/>
          <w:b/>
          <w:sz w:val="24"/>
          <w:szCs w:val="24"/>
        </w:rPr>
        <w:t>c</w:t>
      </w:r>
      <w:r w:rsidR="000E59AC" w:rsidRPr="00FC31BD">
        <w:rPr>
          <w:rFonts w:ascii="Times New Roman" w:hAnsi="Times New Roman"/>
          <w:b/>
          <w:sz w:val="24"/>
          <w:szCs w:val="24"/>
        </w:rPr>
        <w:t>ollar diameter</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2255A184"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17917F9D"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43D96D19" w14:textId="77777777" w:rsidR="00123448" w:rsidRDefault="00123448" w:rsidP="000E59AC">
      <w:pPr>
        <w:spacing w:line="480" w:lineRule="auto"/>
        <w:jc w:val="both"/>
        <w:rPr>
          <w:rFonts w:ascii="Times New Roman" w:hAnsi="Times New Roman"/>
          <w:b/>
          <w:sz w:val="24"/>
          <w:szCs w:val="24"/>
        </w:rPr>
      </w:pPr>
    </w:p>
    <w:p w14:paraId="073B215E" w14:textId="77777777" w:rsidR="000E59AC" w:rsidRPr="00B5040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w:t>
      </w:r>
      <w:r w:rsidRPr="00B5040C">
        <w:rPr>
          <w:rFonts w:ascii="Times New Roman" w:hAnsi="Times New Roman"/>
          <w:b/>
          <w:sz w:val="24"/>
          <w:szCs w:val="24"/>
        </w:rPr>
        <w:t xml:space="preserve">Leaf Length </w:t>
      </w:r>
    </w:p>
    <w:p w14:paraId="027BB8FE" w14:textId="16069FB0"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length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Pr>
          <w:rFonts w:ascii="Times New Roman" w:hAnsi="Times New Roman"/>
          <w:i/>
          <w:sz w:val="24"/>
          <w:szCs w:val="24"/>
        </w:rPr>
        <w:t>,</w:t>
      </w:r>
      <w:proofErr w:type="gramEnd"/>
      <w:r>
        <w:rPr>
          <w:rFonts w:ascii="Times New Roman" w:hAnsi="Times New Roman"/>
          <w:i/>
          <w:sz w:val="24"/>
          <w:szCs w:val="24"/>
        </w:rPr>
        <w:t xml:space="preserve">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 3. Leaf length showed a progressive variation across the duration of the experiment (Week 1 to Week 12). There were significant differences (p&lt;0.05) among species. </w:t>
      </w:r>
      <w:r w:rsidRPr="00B5040C">
        <w:rPr>
          <w:rFonts w:ascii="Times New Roman" w:hAnsi="Times New Roman"/>
          <w:i/>
          <w:sz w:val="24"/>
          <w:szCs w:val="24"/>
        </w:rPr>
        <w:t>G. kola</w:t>
      </w:r>
      <w:r w:rsidRPr="004B4D0F">
        <w:rPr>
          <w:rFonts w:ascii="Times New Roman" w:hAnsi="Times New Roman"/>
          <w:sz w:val="24"/>
          <w:szCs w:val="24"/>
        </w:rPr>
        <w:t xml:space="preserve"> dominates with a final length of 15.23 cm (total growth 8.13 cm, average 0.74 cm/week), starting at 7.10 cm and maintaining 'a' </w:t>
      </w:r>
      <w:proofErr w:type="gramStart"/>
      <w:r w:rsidRPr="004B4D0F">
        <w:rPr>
          <w:rFonts w:ascii="Times New Roman" w:hAnsi="Times New Roman"/>
          <w:sz w:val="24"/>
          <w:szCs w:val="24"/>
        </w:rPr>
        <w:t>superscripts</w:t>
      </w:r>
      <w:proofErr w:type="gramEnd"/>
      <w:r w:rsidRPr="004B4D0F">
        <w:rPr>
          <w:rFonts w:ascii="Times New Roman" w:hAnsi="Times New Roman"/>
          <w:sz w:val="24"/>
          <w:szCs w:val="24"/>
        </w:rPr>
        <w:t xml:space="preserve"> throughout. </w:t>
      </w:r>
      <w:r w:rsidRPr="00B5040C">
        <w:rPr>
          <w:rFonts w:ascii="Times New Roman" w:hAnsi="Times New Roman"/>
          <w:i/>
          <w:sz w:val="24"/>
          <w:szCs w:val="24"/>
        </w:rPr>
        <w:t xml:space="preserve">I. </w:t>
      </w:r>
      <w:proofErr w:type="spellStart"/>
      <w:r w:rsidRPr="00B5040C">
        <w:rPr>
          <w:rFonts w:ascii="Times New Roman" w:hAnsi="Times New Roman"/>
          <w:i/>
          <w:sz w:val="24"/>
          <w:szCs w:val="24"/>
        </w:rPr>
        <w:t>gabonensis</w:t>
      </w:r>
      <w:proofErr w:type="spellEnd"/>
      <w:r w:rsidRPr="004B4D0F">
        <w:rPr>
          <w:rFonts w:ascii="Times New Roman" w:hAnsi="Times New Roman"/>
          <w:sz w:val="24"/>
          <w:szCs w:val="24"/>
        </w:rPr>
        <w:t xml:space="preserve"> follows at 13.75 cm (total 9.30 cm, highest average 0.85 cm/week),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proofErr w:type="spellStart"/>
      <w:r w:rsidRPr="00B5040C">
        <w:rPr>
          <w:rFonts w:ascii="Times New Roman" w:hAnsi="Times New Roman"/>
          <w:i/>
          <w:sz w:val="24"/>
          <w:szCs w:val="24"/>
        </w:rPr>
        <w:t>a</w:t>
      </w:r>
      <w:proofErr w:type="spellEnd"/>
      <w:r w:rsidRPr="004B4D0F">
        <w:rPr>
          <w:rFonts w:ascii="Times New Roman" w:hAnsi="Times New Roman"/>
          <w:sz w:val="24"/>
          <w:szCs w:val="24"/>
        </w:rPr>
        <w:t xml:space="preserve"> at 9.65 cm (total 7.47 cm, average 0.68 cm/week), </w:t>
      </w:r>
      <w:r w:rsidRPr="00B5040C">
        <w:rPr>
          <w:rFonts w:ascii="Times New Roman" w:hAnsi="Times New Roman"/>
          <w:i/>
          <w:sz w:val="24"/>
          <w:szCs w:val="24"/>
        </w:rPr>
        <w:t xml:space="preserve">C. </w:t>
      </w:r>
      <w:proofErr w:type="spellStart"/>
      <w:r w:rsidRPr="00B5040C">
        <w:rPr>
          <w:rFonts w:ascii="Times New Roman" w:hAnsi="Times New Roman"/>
          <w:i/>
          <w:sz w:val="24"/>
          <w:szCs w:val="24"/>
        </w:rPr>
        <w:t>albidium</w:t>
      </w:r>
      <w:proofErr w:type="spellEnd"/>
      <w:r w:rsidRPr="004B4D0F">
        <w:rPr>
          <w:rFonts w:ascii="Times New Roman" w:hAnsi="Times New Roman"/>
          <w:sz w:val="24"/>
          <w:szCs w:val="24"/>
        </w:rPr>
        <w:t xml:space="preserve"> at 7.80 cm (total 4.91 cm, average 0.45 cm/week), and </w:t>
      </w:r>
      <w:r w:rsidRPr="00B5040C">
        <w:rPr>
          <w:rFonts w:ascii="Times New Roman" w:hAnsi="Times New Roman"/>
          <w:i/>
          <w:sz w:val="24"/>
          <w:szCs w:val="24"/>
        </w:rPr>
        <w:t xml:space="preserve">E. </w:t>
      </w:r>
      <w:proofErr w:type="spellStart"/>
      <w:r w:rsidRPr="00B5040C">
        <w:rPr>
          <w:rFonts w:ascii="Times New Roman" w:hAnsi="Times New Roman"/>
          <w:i/>
          <w:sz w:val="24"/>
          <w:szCs w:val="24"/>
        </w:rPr>
        <w:t>cylindricum</w:t>
      </w:r>
      <w:proofErr w:type="spellEnd"/>
      <w:r w:rsidRPr="004B4D0F">
        <w:rPr>
          <w:rFonts w:ascii="Times New Roman" w:hAnsi="Times New Roman"/>
          <w:sz w:val="24"/>
          <w:szCs w:val="24"/>
        </w:rPr>
        <w:t xml:space="preserve"> at 7.30 cm (total 3.99 cm, average 0.36 cm/week).</w:t>
      </w:r>
    </w:p>
    <w:p w14:paraId="5F749155" w14:textId="77777777" w:rsidR="000E59AC" w:rsidRDefault="000E59AC" w:rsidP="000E59AC">
      <w:pPr>
        <w:spacing w:line="480" w:lineRule="auto"/>
        <w:jc w:val="both"/>
        <w:rPr>
          <w:rFonts w:ascii="Times New Roman" w:hAnsi="Times New Roman"/>
          <w:sz w:val="24"/>
          <w:szCs w:val="24"/>
        </w:rPr>
      </w:pPr>
    </w:p>
    <w:p w14:paraId="15F85867" w14:textId="77777777" w:rsidR="000E59AC" w:rsidRDefault="000E59AC" w:rsidP="000E59AC">
      <w:pPr>
        <w:spacing w:line="480" w:lineRule="auto"/>
        <w:jc w:val="both"/>
        <w:rPr>
          <w:rFonts w:ascii="Times New Roman" w:hAnsi="Times New Roman"/>
          <w:sz w:val="24"/>
          <w:szCs w:val="24"/>
        </w:rPr>
      </w:pPr>
    </w:p>
    <w:p w14:paraId="73642ED2" w14:textId="77777777" w:rsidR="000E59AC" w:rsidRDefault="000E59AC" w:rsidP="000E59AC">
      <w:pPr>
        <w:spacing w:line="480" w:lineRule="auto"/>
        <w:jc w:val="both"/>
        <w:rPr>
          <w:rFonts w:ascii="Times New Roman" w:hAnsi="Times New Roman"/>
          <w:sz w:val="24"/>
          <w:szCs w:val="24"/>
        </w:rPr>
      </w:pPr>
    </w:p>
    <w:p w14:paraId="65653276" w14:textId="77777777" w:rsidR="000E59AC" w:rsidRDefault="000E59AC" w:rsidP="000E59AC">
      <w:pPr>
        <w:spacing w:line="480" w:lineRule="auto"/>
        <w:jc w:val="both"/>
        <w:rPr>
          <w:rFonts w:ascii="Times New Roman" w:hAnsi="Times New Roman"/>
          <w:sz w:val="24"/>
          <w:szCs w:val="24"/>
        </w:rPr>
      </w:pPr>
    </w:p>
    <w:p w14:paraId="764DC297" w14:textId="77777777" w:rsidR="000E59AC" w:rsidRDefault="000E59AC" w:rsidP="000E59AC">
      <w:pPr>
        <w:spacing w:line="480" w:lineRule="auto"/>
        <w:jc w:val="both"/>
        <w:rPr>
          <w:rFonts w:ascii="Times New Roman" w:hAnsi="Times New Roman"/>
          <w:sz w:val="24"/>
          <w:szCs w:val="24"/>
        </w:rPr>
      </w:pPr>
    </w:p>
    <w:p w14:paraId="202F0003" w14:textId="77777777" w:rsidR="000E59AC" w:rsidRDefault="000E59AC" w:rsidP="000E59AC">
      <w:pPr>
        <w:spacing w:line="480" w:lineRule="auto"/>
        <w:jc w:val="both"/>
        <w:rPr>
          <w:rFonts w:ascii="Times New Roman" w:hAnsi="Times New Roman"/>
          <w:sz w:val="24"/>
          <w:szCs w:val="24"/>
        </w:rPr>
      </w:pPr>
    </w:p>
    <w:p w14:paraId="46202EF5" w14:textId="77777777" w:rsidR="000E59AC" w:rsidRDefault="000E59AC" w:rsidP="000E59AC">
      <w:pPr>
        <w:spacing w:line="480" w:lineRule="auto"/>
        <w:jc w:val="both"/>
        <w:rPr>
          <w:rFonts w:ascii="Times New Roman" w:hAnsi="Times New Roman"/>
          <w:sz w:val="24"/>
          <w:szCs w:val="24"/>
        </w:rPr>
      </w:pPr>
    </w:p>
    <w:p w14:paraId="5BB64BDD" w14:textId="77777777" w:rsidR="000E59AC" w:rsidRDefault="000E59AC" w:rsidP="000E59AC">
      <w:pPr>
        <w:spacing w:line="480" w:lineRule="auto"/>
        <w:jc w:val="both"/>
        <w:rPr>
          <w:rFonts w:ascii="Times New Roman" w:hAnsi="Times New Roman"/>
          <w:sz w:val="24"/>
          <w:szCs w:val="24"/>
        </w:rPr>
      </w:pPr>
    </w:p>
    <w:p w14:paraId="7B893579" w14:textId="77777777" w:rsidR="000E59AC" w:rsidRDefault="000E59AC" w:rsidP="000E59AC">
      <w:pPr>
        <w:spacing w:line="480" w:lineRule="auto"/>
        <w:jc w:val="both"/>
        <w:rPr>
          <w:rFonts w:ascii="Times New Roman" w:hAnsi="Times New Roman"/>
          <w:sz w:val="24"/>
          <w:szCs w:val="24"/>
        </w:rPr>
      </w:pPr>
    </w:p>
    <w:p w14:paraId="59D55B24" w14:textId="77777777" w:rsidR="000E59AC" w:rsidRDefault="000E59AC" w:rsidP="000E59AC">
      <w:pPr>
        <w:spacing w:line="480" w:lineRule="auto"/>
        <w:jc w:val="both"/>
        <w:rPr>
          <w:rFonts w:ascii="Times New Roman" w:hAnsi="Times New Roman"/>
          <w:sz w:val="24"/>
          <w:szCs w:val="24"/>
        </w:rPr>
      </w:pPr>
    </w:p>
    <w:p w14:paraId="69165B6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853"/>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032"/>
        <w:gridCol w:w="1086"/>
        <w:gridCol w:w="953"/>
        <w:gridCol w:w="953"/>
        <w:gridCol w:w="986"/>
        <w:gridCol w:w="909"/>
        <w:gridCol w:w="918"/>
        <w:gridCol w:w="945"/>
        <w:gridCol w:w="901"/>
        <w:gridCol w:w="1165"/>
        <w:gridCol w:w="6"/>
      </w:tblGrid>
      <w:tr w:rsidR="000E59AC" w:rsidRPr="00FC31BD" w14:paraId="5ED5BDB0" w14:textId="77777777" w:rsidTr="000E59AC">
        <w:trPr>
          <w:trHeight w:val="620"/>
        </w:trPr>
        <w:tc>
          <w:tcPr>
            <w:tcW w:w="2013" w:type="dxa"/>
            <w:vMerge w:val="restart"/>
            <w:tcBorders>
              <w:top w:val="single" w:sz="4" w:space="0" w:color="auto"/>
              <w:bottom w:val="nil"/>
            </w:tcBorders>
            <w:vAlign w:val="center"/>
          </w:tcPr>
          <w:p w14:paraId="19BD6AC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12B5ADB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Leaf </w:t>
            </w:r>
            <w:proofErr w:type="gramStart"/>
            <w:r w:rsidRPr="00FC31BD">
              <w:rPr>
                <w:rFonts w:ascii="Times New Roman" w:hAnsi="Times New Roman"/>
                <w:b/>
                <w:sz w:val="24"/>
                <w:szCs w:val="24"/>
              </w:rPr>
              <w:t>length  (</w:t>
            </w:r>
            <w:proofErr w:type="gramEnd"/>
            <w:r w:rsidRPr="00FC31BD">
              <w:rPr>
                <w:rFonts w:ascii="Times New Roman" w:hAnsi="Times New Roman"/>
                <w:b/>
                <w:sz w:val="24"/>
                <w:szCs w:val="24"/>
              </w:rPr>
              <w:t>cm)</w:t>
            </w:r>
            <w:r>
              <w:rPr>
                <w:rFonts w:ascii="Times New Roman" w:hAnsi="Times New Roman"/>
                <w:b/>
                <w:sz w:val="24"/>
                <w:szCs w:val="24"/>
              </w:rPr>
              <w:t xml:space="preserve"> of seedlings</w:t>
            </w:r>
          </w:p>
        </w:tc>
      </w:tr>
      <w:tr w:rsidR="000E59AC" w:rsidRPr="00FC31BD" w14:paraId="7E729BA4" w14:textId="77777777" w:rsidTr="000E59AC">
        <w:trPr>
          <w:gridAfter w:val="1"/>
          <w:wAfter w:w="6" w:type="dxa"/>
          <w:trHeight w:val="530"/>
        </w:trPr>
        <w:tc>
          <w:tcPr>
            <w:tcW w:w="2013" w:type="dxa"/>
            <w:vMerge/>
            <w:tcBorders>
              <w:top w:val="nil"/>
              <w:bottom w:val="single" w:sz="4" w:space="0" w:color="auto"/>
            </w:tcBorders>
            <w:vAlign w:val="center"/>
          </w:tcPr>
          <w:p w14:paraId="48DAE6F9"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10DBB6B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57FDAFF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032" w:type="dxa"/>
            <w:tcBorders>
              <w:top w:val="nil"/>
              <w:bottom w:val="single" w:sz="4" w:space="0" w:color="auto"/>
            </w:tcBorders>
            <w:vAlign w:val="center"/>
          </w:tcPr>
          <w:p w14:paraId="3A55ACD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1086" w:type="dxa"/>
            <w:tcBorders>
              <w:top w:val="nil"/>
              <w:bottom w:val="single" w:sz="4" w:space="0" w:color="auto"/>
            </w:tcBorders>
            <w:vAlign w:val="center"/>
          </w:tcPr>
          <w:p w14:paraId="03D4A0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F2AAE0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7361E65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DCE046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38C904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3286F27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7E10ABC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609BB8E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51106EA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6B96E3A1" w14:textId="77777777" w:rsidTr="000E59AC">
        <w:trPr>
          <w:gridAfter w:val="1"/>
          <w:wAfter w:w="6" w:type="dxa"/>
          <w:trHeight w:val="800"/>
        </w:trPr>
        <w:tc>
          <w:tcPr>
            <w:tcW w:w="2013" w:type="dxa"/>
            <w:tcBorders>
              <w:top w:val="single" w:sz="4" w:space="0" w:color="auto"/>
            </w:tcBorders>
            <w:vAlign w:val="center"/>
          </w:tcPr>
          <w:p w14:paraId="0DC9D6A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133C395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871217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w:t>
            </w:r>
            <w:r w:rsidRPr="00FC31BD">
              <w:rPr>
                <w:rFonts w:ascii="Times New Roman" w:hAnsi="Times New Roman"/>
                <w:sz w:val="24"/>
                <w:szCs w:val="24"/>
                <w:vertAlign w:val="superscript"/>
              </w:rPr>
              <w:t>d</w:t>
            </w:r>
          </w:p>
        </w:tc>
        <w:tc>
          <w:tcPr>
            <w:tcW w:w="1032" w:type="dxa"/>
            <w:tcBorders>
              <w:top w:val="single" w:sz="4" w:space="0" w:color="auto"/>
            </w:tcBorders>
            <w:vAlign w:val="center"/>
          </w:tcPr>
          <w:p w14:paraId="771E928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3.94</w:t>
            </w:r>
            <w:r w:rsidRPr="00FC31BD">
              <w:rPr>
                <w:rFonts w:ascii="Times New Roman" w:hAnsi="Times New Roman"/>
                <w:sz w:val="24"/>
                <w:szCs w:val="24"/>
                <w:vertAlign w:val="superscript"/>
              </w:rPr>
              <w:t>d</w:t>
            </w:r>
          </w:p>
        </w:tc>
        <w:tc>
          <w:tcPr>
            <w:tcW w:w="1086" w:type="dxa"/>
            <w:tcBorders>
              <w:top w:val="single" w:sz="4" w:space="0" w:color="auto"/>
            </w:tcBorders>
            <w:vAlign w:val="center"/>
          </w:tcPr>
          <w:p w14:paraId="6AE8F26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4.58</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5A848D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3FF17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5.82</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0C3486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6.19</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0870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6.50</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1CC450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6.88</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23FFD8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7.18</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5BEE1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7.48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584509D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r>
      <w:tr w:rsidR="000E59AC" w:rsidRPr="00FC31BD" w14:paraId="181BAE99" w14:textId="77777777" w:rsidTr="000E59AC">
        <w:trPr>
          <w:gridAfter w:val="1"/>
          <w:wAfter w:w="6" w:type="dxa"/>
          <w:trHeight w:val="800"/>
        </w:trPr>
        <w:tc>
          <w:tcPr>
            <w:tcW w:w="2013" w:type="dxa"/>
            <w:vAlign w:val="center"/>
          </w:tcPr>
          <w:p w14:paraId="16A77A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217E53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3.31</w:t>
            </w:r>
            <w:r w:rsidRPr="00FC31BD">
              <w:rPr>
                <w:rFonts w:ascii="Times New Roman" w:hAnsi="Times New Roman"/>
                <w:sz w:val="24"/>
                <w:szCs w:val="24"/>
                <w:vertAlign w:val="superscript"/>
              </w:rPr>
              <w:t>c</w:t>
            </w:r>
          </w:p>
        </w:tc>
        <w:tc>
          <w:tcPr>
            <w:tcW w:w="953" w:type="dxa"/>
            <w:vAlign w:val="center"/>
          </w:tcPr>
          <w:p w14:paraId="59C1B6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3.82</w:t>
            </w:r>
            <w:r w:rsidRPr="00FC31BD">
              <w:rPr>
                <w:rFonts w:ascii="Times New Roman" w:hAnsi="Times New Roman"/>
                <w:sz w:val="24"/>
                <w:szCs w:val="24"/>
                <w:vertAlign w:val="superscript"/>
              </w:rPr>
              <w:t>c</w:t>
            </w:r>
          </w:p>
        </w:tc>
        <w:tc>
          <w:tcPr>
            <w:tcW w:w="1032" w:type="dxa"/>
            <w:vAlign w:val="center"/>
          </w:tcPr>
          <w:p w14:paraId="777555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4.39</w:t>
            </w:r>
            <w:r w:rsidRPr="00FC31BD">
              <w:rPr>
                <w:rFonts w:ascii="Times New Roman" w:hAnsi="Times New Roman"/>
                <w:sz w:val="24"/>
                <w:szCs w:val="24"/>
                <w:vertAlign w:val="superscript"/>
              </w:rPr>
              <w:t>c</w:t>
            </w:r>
          </w:p>
        </w:tc>
        <w:tc>
          <w:tcPr>
            <w:tcW w:w="1086" w:type="dxa"/>
            <w:vAlign w:val="center"/>
          </w:tcPr>
          <w:p w14:paraId="6B5542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4.82</w:t>
            </w:r>
            <w:r w:rsidRPr="00FC31BD">
              <w:rPr>
                <w:rFonts w:ascii="Times New Roman" w:hAnsi="Times New Roman"/>
                <w:sz w:val="24"/>
                <w:szCs w:val="24"/>
                <w:vertAlign w:val="superscript"/>
              </w:rPr>
              <w:t>c</w:t>
            </w:r>
          </w:p>
        </w:tc>
        <w:tc>
          <w:tcPr>
            <w:tcW w:w="953" w:type="dxa"/>
            <w:vAlign w:val="center"/>
          </w:tcPr>
          <w:p w14:paraId="40DACF8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c</w:t>
            </w:r>
          </w:p>
        </w:tc>
        <w:tc>
          <w:tcPr>
            <w:tcW w:w="953" w:type="dxa"/>
            <w:vAlign w:val="center"/>
          </w:tcPr>
          <w:p w14:paraId="2558AF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5.80</w:t>
            </w:r>
            <w:r w:rsidRPr="00FC31BD">
              <w:rPr>
                <w:rFonts w:ascii="Times New Roman" w:hAnsi="Times New Roman"/>
                <w:sz w:val="24"/>
                <w:szCs w:val="24"/>
                <w:vertAlign w:val="superscript"/>
              </w:rPr>
              <w:t>d</w:t>
            </w:r>
          </w:p>
        </w:tc>
        <w:tc>
          <w:tcPr>
            <w:tcW w:w="986" w:type="dxa"/>
            <w:vAlign w:val="center"/>
          </w:tcPr>
          <w:p w14:paraId="5654C7C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6.06</w:t>
            </w:r>
            <w:r w:rsidRPr="00FC31BD">
              <w:rPr>
                <w:rFonts w:ascii="Times New Roman" w:hAnsi="Times New Roman"/>
                <w:sz w:val="24"/>
                <w:szCs w:val="24"/>
                <w:vertAlign w:val="superscript"/>
              </w:rPr>
              <w:t>e</w:t>
            </w:r>
          </w:p>
        </w:tc>
        <w:tc>
          <w:tcPr>
            <w:tcW w:w="909" w:type="dxa"/>
            <w:vAlign w:val="center"/>
          </w:tcPr>
          <w:p w14:paraId="0D815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6.87</w:t>
            </w:r>
            <w:r w:rsidRPr="00FC31BD">
              <w:rPr>
                <w:rFonts w:ascii="Times New Roman" w:hAnsi="Times New Roman"/>
                <w:sz w:val="24"/>
                <w:szCs w:val="24"/>
                <w:vertAlign w:val="superscript"/>
              </w:rPr>
              <w:t>d</w:t>
            </w:r>
          </w:p>
        </w:tc>
        <w:tc>
          <w:tcPr>
            <w:tcW w:w="918" w:type="dxa"/>
            <w:vAlign w:val="center"/>
          </w:tcPr>
          <w:p w14:paraId="34E6CBA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6.27</w:t>
            </w:r>
            <w:r w:rsidRPr="00FC31BD">
              <w:rPr>
                <w:rFonts w:ascii="Times New Roman" w:hAnsi="Times New Roman"/>
                <w:sz w:val="24"/>
                <w:szCs w:val="24"/>
                <w:vertAlign w:val="superscript"/>
              </w:rPr>
              <w:t>e</w:t>
            </w:r>
          </w:p>
        </w:tc>
        <w:tc>
          <w:tcPr>
            <w:tcW w:w="945" w:type="dxa"/>
            <w:vAlign w:val="center"/>
          </w:tcPr>
          <w:p w14:paraId="151F42E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c>
          <w:tcPr>
            <w:tcW w:w="901" w:type="dxa"/>
            <w:vAlign w:val="center"/>
          </w:tcPr>
          <w:p w14:paraId="6B562FB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8.30</w:t>
            </w:r>
            <w:r w:rsidRPr="00FC31BD">
              <w:rPr>
                <w:rFonts w:ascii="Times New Roman" w:hAnsi="Times New Roman"/>
                <w:sz w:val="24"/>
                <w:szCs w:val="24"/>
                <w:vertAlign w:val="superscript"/>
              </w:rPr>
              <w:t>d</w:t>
            </w:r>
          </w:p>
        </w:tc>
        <w:tc>
          <w:tcPr>
            <w:tcW w:w="1165" w:type="dxa"/>
            <w:vAlign w:val="center"/>
          </w:tcPr>
          <w:p w14:paraId="647283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7.30</w:t>
            </w:r>
            <w:r w:rsidRPr="00FC31BD">
              <w:rPr>
                <w:rFonts w:ascii="Times New Roman" w:hAnsi="Times New Roman"/>
                <w:sz w:val="24"/>
                <w:szCs w:val="24"/>
                <w:vertAlign w:val="superscript"/>
              </w:rPr>
              <w:t>e</w:t>
            </w:r>
          </w:p>
        </w:tc>
      </w:tr>
      <w:tr w:rsidR="000E59AC" w:rsidRPr="00FC31BD" w14:paraId="48351732" w14:textId="77777777" w:rsidTr="000E59AC">
        <w:trPr>
          <w:gridAfter w:val="1"/>
          <w:wAfter w:w="6" w:type="dxa"/>
          <w:trHeight w:val="800"/>
        </w:trPr>
        <w:tc>
          <w:tcPr>
            <w:tcW w:w="2013" w:type="dxa"/>
            <w:vAlign w:val="center"/>
          </w:tcPr>
          <w:p w14:paraId="7905E1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71AD79E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7.10</w:t>
            </w:r>
            <w:r w:rsidRPr="00FC31BD">
              <w:rPr>
                <w:rFonts w:ascii="Times New Roman" w:hAnsi="Times New Roman"/>
                <w:sz w:val="24"/>
                <w:szCs w:val="24"/>
                <w:vertAlign w:val="superscript"/>
              </w:rPr>
              <w:t>a</w:t>
            </w:r>
          </w:p>
        </w:tc>
        <w:tc>
          <w:tcPr>
            <w:tcW w:w="953" w:type="dxa"/>
            <w:vAlign w:val="center"/>
          </w:tcPr>
          <w:p w14:paraId="2729CD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7.09</w:t>
            </w:r>
            <w:r w:rsidRPr="00FC31BD">
              <w:rPr>
                <w:rFonts w:ascii="Times New Roman" w:hAnsi="Times New Roman"/>
                <w:sz w:val="24"/>
                <w:szCs w:val="24"/>
                <w:vertAlign w:val="superscript"/>
              </w:rPr>
              <w:t>a</w:t>
            </w:r>
          </w:p>
        </w:tc>
        <w:tc>
          <w:tcPr>
            <w:tcW w:w="1032" w:type="dxa"/>
            <w:vAlign w:val="center"/>
          </w:tcPr>
          <w:p w14:paraId="09B633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8.12</w:t>
            </w:r>
            <w:r w:rsidRPr="00FC31BD">
              <w:rPr>
                <w:rFonts w:ascii="Times New Roman" w:hAnsi="Times New Roman"/>
                <w:sz w:val="24"/>
                <w:szCs w:val="24"/>
                <w:vertAlign w:val="superscript"/>
              </w:rPr>
              <w:t>a</w:t>
            </w:r>
          </w:p>
        </w:tc>
        <w:tc>
          <w:tcPr>
            <w:tcW w:w="1086" w:type="dxa"/>
            <w:vAlign w:val="center"/>
          </w:tcPr>
          <w:p w14:paraId="2DDFD3B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8.93</w:t>
            </w:r>
            <w:r w:rsidRPr="00FC31BD">
              <w:rPr>
                <w:rFonts w:ascii="Times New Roman" w:hAnsi="Times New Roman"/>
                <w:sz w:val="24"/>
                <w:szCs w:val="24"/>
                <w:vertAlign w:val="superscript"/>
              </w:rPr>
              <w:t>a</w:t>
            </w:r>
          </w:p>
        </w:tc>
        <w:tc>
          <w:tcPr>
            <w:tcW w:w="953" w:type="dxa"/>
            <w:vAlign w:val="center"/>
          </w:tcPr>
          <w:p w14:paraId="7ECAA5C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9.63</w:t>
            </w:r>
            <w:r w:rsidRPr="00FC31BD">
              <w:rPr>
                <w:rFonts w:ascii="Times New Roman" w:hAnsi="Times New Roman"/>
                <w:sz w:val="24"/>
                <w:szCs w:val="24"/>
                <w:vertAlign w:val="superscript"/>
              </w:rPr>
              <w:t>a</w:t>
            </w:r>
          </w:p>
        </w:tc>
        <w:tc>
          <w:tcPr>
            <w:tcW w:w="953" w:type="dxa"/>
            <w:vAlign w:val="center"/>
          </w:tcPr>
          <w:p w14:paraId="3F4736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10.48</w:t>
            </w:r>
            <w:r w:rsidRPr="00FC31BD">
              <w:rPr>
                <w:rFonts w:ascii="Times New Roman" w:hAnsi="Times New Roman"/>
                <w:sz w:val="24"/>
                <w:szCs w:val="24"/>
                <w:vertAlign w:val="superscript"/>
              </w:rPr>
              <w:t>a</w:t>
            </w:r>
          </w:p>
        </w:tc>
        <w:tc>
          <w:tcPr>
            <w:tcW w:w="986" w:type="dxa"/>
            <w:vAlign w:val="center"/>
          </w:tcPr>
          <w:p w14:paraId="29F1CB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11.29</w:t>
            </w:r>
            <w:r w:rsidRPr="00FC31BD">
              <w:rPr>
                <w:rFonts w:ascii="Times New Roman" w:hAnsi="Times New Roman"/>
                <w:sz w:val="24"/>
                <w:szCs w:val="24"/>
                <w:vertAlign w:val="superscript"/>
              </w:rPr>
              <w:t>a</w:t>
            </w:r>
          </w:p>
        </w:tc>
        <w:tc>
          <w:tcPr>
            <w:tcW w:w="909" w:type="dxa"/>
            <w:vAlign w:val="center"/>
          </w:tcPr>
          <w:p w14:paraId="3C0841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12.76</w:t>
            </w:r>
            <w:r w:rsidRPr="00FC31BD">
              <w:rPr>
                <w:rFonts w:ascii="Times New Roman" w:hAnsi="Times New Roman"/>
                <w:sz w:val="24"/>
                <w:szCs w:val="24"/>
                <w:vertAlign w:val="superscript"/>
              </w:rPr>
              <w:t>a</w:t>
            </w:r>
          </w:p>
        </w:tc>
        <w:tc>
          <w:tcPr>
            <w:tcW w:w="918" w:type="dxa"/>
            <w:vAlign w:val="center"/>
          </w:tcPr>
          <w:p w14:paraId="23C2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12.92</w:t>
            </w:r>
            <w:r w:rsidRPr="00FC31BD">
              <w:rPr>
                <w:rFonts w:ascii="Times New Roman" w:hAnsi="Times New Roman"/>
                <w:sz w:val="24"/>
                <w:szCs w:val="24"/>
                <w:vertAlign w:val="superscript"/>
              </w:rPr>
              <w:t>a</w:t>
            </w:r>
          </w:p>
        </w:tc>
        <w:tc>
          <w:tcPr>
            <w:tcW w:w="945" w:type="dxa"/>
            <w:vAlign w:val="center"/>
          </w:tcPr>
          <w:p w14:paraId="6FC855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13.65</w:t>
            </w:r>
            <w:r w:rsidRPr="00FC31BD">
              <w:rPr>
                <w:rFonts w:ascii="Times New Roman" w:hAnsi="Times New Roman"/>
                <w:sz w:val="24"/>
                <w:szCs w:val="24"/>
                <w:vertAlign w:val="superscript"/>
              </w:rPr>
              <w:t>a</w:t>
            </w:r>
          </w:p>
        </w:tc>
        <w:tc>
          <w:tcPr>
            <w:tcW w:w="901" w:type="dxa"/>
            <w:vAlign w:val="center"/>
          </w:tcPr>
          <w:p w14:paraId="7387D1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14.42</w:t>
            </w:r>
            <w:r w:rsidRPr="00FC31BD">
              <w:rPr>
                <w:rFonts w:ascii="Times New Roman" w:hAnsi="Times New Roman"/>
                <w:sz w:val="24"/>
                <w:szCs w:val="24"/>
                <w:vertAlign w:val="superscript"/>
              </w:rPr>
              <w:t>a</w:t>
            </w:r>
          </w:p>
        </w:tc>
        <w:tc>
          <w:tcPr>
            <w:tcW w:w="1165" w:type="dxa"/>
            <w:vAlign w:val="center"/>
          </w:tcPr>
          <w:p w14:paraId="3C7DFB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15.23</w:t>
            </w:r>
            <w:r w:rsidRPr="00FC31BD">
              <w:rPr>
                <w:rFonts w:ascii="Times New Roman" w:hAnsi="Times New Roman"/>
                <w:sz w:val="24"/>
                <w:szCs w:val="24"/>
                <w:vertAlign w:val="superscript"/>
              </w:rPr>
              <w:t>a</w:t>
            </w:r>
          </w:p>
        </w:tc>
      </w:tr>
      <w:tr w:rsidR="000E59AC" w:rsidRPr="00FC31BD" w14:paraId="553050BE" w14:textId="77777777" w:rsidTr="000E59AC">
        <w:trPr>
          <w:gridAfter w:val="1"/>
          <w:wAfter w:w="6" w:type="dxa"/>
          <w:trHeight w:val="800"/>
        </w:trPr>
        <w:tc>
          <w:tcPr>
            <w:tcW w:w="2013" w:type="dxa"/>
            <w:vAlign w:val="center"/>
          </w:tcPr>
          <w:p w14:paraId="37C7A9F0"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1CF2EB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4.45</w:t>
            </w:r>
            <w:r w:rsidRPr="00FC31BD">
              <w:rPr>
                <w:rFonts w:ascii="Times New Roman" w:hAnsi="Times New Roman"/>
                <w:sz w:val="24"/>
                <w:szCs w:val="24"/>
                <w:vertAlign w:val="superscript"/>
              </w:rPr>
              <w:t>b</w:t>
            </w:r>
          </w:p>
        </w:tc>
        <w:tc>
          <w:tcPr>
            <w:tcW w:w="953" w:type="dxa"/>
            <w:vAlign w:val="center"/>
          </w:tcPr>
          <w:p w14:paraId="043EC8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5.29</w:t>
            </w:r>
            <w:r w:rsidRPr="00FC31BD">
              <w:rPr>
                <w:rFonts w:ascii="Times New Roman" w:hAnsi="Times New Roman"/>
                <w:sz w:val="24"/>
                <w:szCs w:val="24"/>
                <w:vertAlign w:val="superscript"/>
              </w:rPr>
              <w:t>b</w:t>
            </w:r>
          </w:p>
        </w:tc>
        <w:tc>
          <w:tcPr>
            <w:tcW w:w="1032" w:type="dxa"/>
            <w:vAlign w:val="center"/>
          </w:tcPr>
          <w:p w14:paraId="77AD9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6.05</w:t>
            </w:r>
            <w:r w:rsidRPr="00FC31BD">
              <w:rPr>
                <w:rFonts w:ascii="Times New Roman" w:hAnsi="Times New Roman"/>
                <w:sz w:val="24"/>
                <w:szCs w:val="24"/>
                <w:vertAlign w:val="superscript"/>
              </w:rPr>
              <w:t>b</w:t>
            </w:r>
          </w:p>
        </w:tc>
        <w:tc>
          <w:tcPr>
            <w:tcW w:w="1086" w:type="dxa"/>
            <w:vAlign w:val="center"/>
          </w:tcPr>
          <w:p w14:paraId="59FD24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6.86</w:t>
            </w:r>
            <w:r w:rsidRPr="00FC31BD">
              <w:rPr>
                <w:rFonts w:ascii="Times New Roman" w:hAnsi="Times New Roman"/>
                <w:sz w:val="24"/>
                <w:szCs w:val="24"/>
                <w:vertAlign w:val="superscript"/>
              </w:rPr>
              <w:t>b</w:t>
            </w:r>
          </w:p>
        </w:tc>
        <w:tc>
          <w:tcPr>
            <w:tcW w:w="953" w:type="dxa"/>
            <w:vAlign w:val="center"/>
          </w:tcPr>
          <w:p w14:paraId="5F7BE59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7.88</w:t>
            </w:r>
            <w:r w:rsidRPr="00FC31BD">
              <w:rPr>
                <w:rFonts w:ascii="Times New Roman" w:hAnsi="Times New Roman"/>
                <w:sz w:val="24"/>
                <w:szCs w:val="24"/>
                <w:vertAlign w:val="superscript"/>
              </w:rPr>
              <w:t>b</w:t>
            </w:r>
          </w:p>
        </w:tc>
        <w:tc>
          <w:tcPr>
            <w:tcW w:w="953" w:type="dxa"/>
            <w:vAlign w:val="center"/>
          </w:tcPr>
          <w:p w14:paraId="2F247B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8.79</w:t>
            </w:r>
            <w:r w:rsidRPr="00FC31BD">
              <w:rPr>
                <w:rFonts w:ascii="Times New Roman" w:hAnsi="Times New Roman"/>
                <w:sz w:val="24"/>
                <w:szCs w:val="24"/>
                <w:vertAlign w:val="superscript"/>
              </w:rPr>
              <w:t>b</w:t>
            </w:r>
          </w:p>
        </w:tc>
        <w:tc>
          <w:tcPr>
            <w:tcW w:w="986" w:type="dxa"/>
            <w:vAlign w:val="center"/>
          </w:tcPr>
          <w:p w14:paraId="25AD16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11.30</w:t>
            </w:r>
            <w:r w:rsidRPr="00FC31BD">
              <w:rPr>
                <w:rFonts w:ascii="Times New Roman" w:hAnsi="Times New Roman"/>
                <w:sz w:val="24"/>
                <w:szCs w:val="24"/>
                <w:vertAlign w:val="superscript"/>
              </w:rPr>
              <w:t>b</w:t>
            </w:r>
          </w:p>
        </w:tc>
        <w:tc>
          <w:tcPr>
            <w:tcW w:w="909" w:type="dxa"/>
            <w:vAlign w:val="center"/>
          </w:tcPr>
          <w:p w14:paraId="7C397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10.50</w:t>
            </w:r>
            <w:r w:rsidRPr="00FC31BD">
              <w:rPr>
                <w:rFonts w:ascii="Times New Roman" w:hAnsi="Times New Roman"/>
                <w:sz w:val="24"/>
                <w:szCs w:val="24"/>
                <w:vertAlign w:val="superscript"/>
              </w:rPr>
              <w:t>b</w:t>
            </w:r>
          </w:p>
        </w:tc>
        <w:tc>
          <w:tcPr>
            <w:tcW w:w="918" w:type="dxa"/>
            <w:vAlign w:val="center"/>
          </w:tcPr>
          <w:p w14:paraId="428AA9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12.84</w:t>
            </w:r>
            <w:r w:rsidRPr="00FC31BD">
              <w:rPr>
                <w:rFonts w:ascii="Times New Roman" w:hAnsi="Times New Roman"/>
                <w:sz w:val="24"/>
                <w:szCs w:val="24"/>
                <w:vertAlign w:val="superscript"/>
              </w:rPr>
              <w:t>b</w:t>
            </w:r>
          </w:p>
        </w:tc>
        <w:tc>
          <w:tcPr>
            <w:tcW w:w="945" w:type="dxa"/>
            <w:vAlign w:val="center"/>
          </w:tcPr>
          <w:p w14:paraId="5C8858C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12.15</w:t>
            </w:r>
            <w:r w:rsidRPr="00FC31BD">
              <w:rPr>
                <w:rFonts w:ascii="Times New Roman" w:hAnsi="Times New Roman"/>
                <w:sz w:val="24"/>
                <w:szCs w:val="24"/>
                <w:vertAlign w:val="superscript"/>
              </w:rPr>
              <w:t>b</w:t>
            </w:r>
          </w:p>
        </w:tc>
        <w:tc>
          <w:tcPr>
            <w:tcW w:w="901" w:type="dxa"/>
            <w:vAlign w:val="center"/>
          </w:tcPr>
          <w:p w14:paraId="75C347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12.96</w:t>
            </w:r>
            <w:r w:rsidRPr="00FC31BD">
              <w:rPr>
                <w:rFonts w:ascii="Times New Roman" w:hAnsi="Times New Roman"/>
                <w:sz w:val="24"/>
                <w:szCs w:val="24"/>
                <w:vertAlign w:val="superscript"/>
              </w:rPr>
              <w:t>b</w:t>
            </w:r>
          </w:p>
        </w:tc>
        <w:tc>
          <w:tcPr>
            <w:tcW w:w="1165" w:type="dxa"/>
            <w:vAlign w:val="center"/>
          </w:tcPr>
          <w:p w14:paraId="5FA8437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13.75</w:t>
            </w:r>
            <w:r w:rsidRPr="00FC31BD">
              <w:rPr>
                <w:rFonts w:ascii="Times New Roman" w:hAnsi="Times New Roman"/>
                <w:sz w:val="24"/>
                <w:szCs w:val="24"/>
                <w:vertAlign w:val="superscript"/>
              </w:rPr>
              <w:t>b</w:t>
            </w:r>
          </w:p>
        </w:tc>
      </w:tr>
      <w:tr w:rsidR="000E59AC" w:rsidRPr="00FC31BD" w14:paraId="49F77F6C" w14:textId="77777777" w:rsidTr="000E59AC">
        <w:trPr>
          <w:gridAfter w:val="1"/>
          <w:wAfter w:w="6" w:type="dxa"/>
          <w:trHeight w:val="772"/>
        </w:trPr>
        <w:tc>
          <w:tcPr>
            <w:tcW w:w="2013" w:type="dxa"/>
            <w:vAlign w:val="center"/>
          </w:tcPr>
          <w:p w14:paraId="39966B2E" w14:textId="159F47B5" w:rsidR="000E59AC" w:rsidRPr="00FC31BD" w:rsidRDefault="00125E7E" w:rsidP="000E59AC">
            <w:pPr>
              <w:jc w:val="center"/>
              <w:rPr>
                <w:rFonts w:ascii="Times New Roman" w:hAnsi="Times New Roman"/>
                <w:i/>
                <w:sz w:val="24"/>
                <w:szCs w:val="24"/>
              </w:rPr>
            </w:pPr>
            <w:r>
              <w:rPr>
                <w:rFonts w:ascii="Times New Roman" w:hAnsi="Times New Roman"/>
                <w:i/>
                <w:sz w:val="24"/>
                <w:szCs w:val="24"/>
              </w:rPr>
              <w:t xml:space="preserve">M. </w:t>
            </w:r>
            <w:proofErr w:type="spellStart"/>
            <w:r>
              <w:rPr>
                <w:rFonts w:ascii="Times New Roman" w:hAnsi="Times New Roman"/>
                <w:i/>
                <w:sz w:val="24"/>
                <w:szCs w:val="24"/>
              </w:rPr>
              <w:t>excelsa</w:t>
            </w:r>
            <w:proofErr w:type="spellEnd"/>
            <w:r>
              <w:rPr>
                <w:rFonts w:ascii="Times New Roman" w:hAnsi="Times New Roman"/>
                <w:i/>
                <w:sz w:val="24"/>
                <w:szCs w:val="24"/>
              </w:rPr>
              <w:t xml:space="preserve"> </w:t>
            </w:r>
            <w:r w:rsidR="000E59AC" w:rsidRPr="00FC31BD">
              <w:rPr>
                <w:rFonts w:ascii="Times New Roman" w:hAnsi="Times New Roman"/>
                <w:i/>
                <w:sz w:val="24"/>
                <w:szCs w:val="24"/>
              </w:rPr>
              <w:t>a</w:t>
            </w:r>
          </w:p>
        </w:tc>
        <w:tc>
          <w:tcPr>
            <w:tcW w:w="947" w:type="dxa"/>
            <w:vAlign w:val="center"/>
          </w:tcPr>
          <w:p w14:paraId="5A9A9B9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2.18</w:t>
            </w:r>
            <w:r w:rsidRPr="00FC31BD">
              <w:rPr>
                <w:rFonts w:ascii="Times New Roman" w:hAnsi="Times New Roman"/>
                <w:sz w:val="24"/>
                <w:szCs w:val="24"/>
                <w:vertAlign w:val="superscript"/>
              </w:rPr>
              <w:t>e</w:t>
            </w:r>
          </w:p>
        </w:tc>
        <w:tc>
          <w:tcPr>
            <w:tcW w:w="953" w:type="dxa"/>
            <w:vAlign w:val="center"/>
          </w:tcPr>
          <w:p w14:paraId="78503F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2.87</w:t>
            </w:r>
            <w:r w:rsidRPr="00FC31BD">
              <w:rPr>
                <w:rFonts w:ascii="Times New Roman" w:hAnsi="Times New Roman"/>
                <w:sz w:val="24"/>
                <w:szCs w:val="24"/>
                <w:vertAlign w:val="superscript"/>
              </w:rPr>
              <w:t>e</w:t>
            </w:r>
          </w:p>
        </w:tc>
        <w:tc>
          <w:tcPr>
            <w:tcW w:w="1032" w:type="dxa"/>
            <w:vAlign w:val="center"/>
          </w:tcPr>
          <w:p w14:paraId="3997986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w:t>
            </w:r>
            <w:r w:rsidRPr="00FC31BD">
              <w:rPr>
                <w:rFonts w:ascii="Times New Roman" w:hAnsi="Times New Roman"/>
                <w:sz w:val="24"/>
                <w:szCs w:val="24"/>
                <w:vertAlign w:val="superscript"/>
              </w:rPr>
              <w:t>e</w:t>
            </w:r>
          </w:p>
        </w:tc>
        <w:tc>
          <w:tcPr>
            <w:tcW w:w="1086" w:type="dxa"/>
            <w:vAlign w:val="center"/>
          </w:tcPr>
          <w:p w14:paraId="07BF52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e</w:t>
            </w:r>
          </w:p>
        </w:tc>
        <w:tc>
          <w:tcPr>
            <w:tcW w:w="953" w:type="dxa"/>
            <w:vAlign w:val="center"/>
          </w:tcPr>
          <w:p w14:paraId="51BFA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4.84</w:t>
            </w:r>
            <w:r w:rsidRPr="00FC31BD">
              <w:rPr>
                <w:rFonts w:ascii="Times New Roman" w:hAnsi="Times New Roman"/>
                <w:sz w:val="24"/>
                <w:szCs w:val="24"/>
                <w:vertAlign w:val="superscript"/>
              </w:rPr>
              <w:t>d</w:t>
            </w:r>
          </w:p>
        </w:tc>
        <w:tc>
          <w:tcPr>
            <w:tcW w:w="953" w:type="dxa"/>
            <w:vAlign w:val="center"/>
          </w:tcPr>
          <w:p w14:paraId="40ECFA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5.48</w:t>
            </w:r>
            <w:r w:rsidRPr="00FC31BD">
              <w:rPr>
                <w:rFonts w:ascii="Times New Roman" w:hAnsi="Times New Roman"/>
                <w:sz w:val="24"/>
                <w:szCs w:val="24"/>
                <w:vertAlign w:val="superscript"/>
              </w:rPr>
              <w:t>e</w:t>
            </w:r>
          </w:p>
        </w:tc>
        <w:tc>
          <w:tcPr>
            <w:tcW w:w="986" w:type="dxa"/>
            <w:vAlign w:val="center"/>
          </w:tcPr>
          <w:p w14:paraId="5E60C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6.17</w:t>
            </w:r>
            <w:r w:rsidRPr="00FC31BD">
              <w:rPr>
                <w:rFonts w:ascii="Times New Roman" w:hAnsi="Times New Roman"/>
                <w:sz w:val="24"/>
                <w:szCs w:val="24"/>
                <w:vertAlign w:val="superscript"/>
              </w:rPr>
              <w:t>d</w:t>
            </w:r>
          </w:p>
        </w:tc>
        <w:tc>
          <w:tcPr>
            <w:tcW w:w="909" w:type="dxa"/>
            <w:vAlign w:val="center"/>
          </w:tcPr>
          <w:p w14:paraId="41C6E4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6.97</w:t>
            </w:r>
            <w:r w:rsidRPr="00FC31BD">
              <w:rPr>
                <w:rFonts w:ascii="Times New Roman" w:hAnsi="Times New Roman"/>
                <w:sz w:val="24"/>
                <w:szCs w:val="24"/>
                <w:vertAlign w:val="superscript"/>
              </w:rPr>
              <w:t>c</w:t>
            </w:r>
          </w:p>
        </w:tc>
        <w:tc>
          <w:tcPr>
            <w:tcW w:w="918" w:type="dxa"/>
            <w:vAlign w:val="center"/>
          </w:tcPr>
          <w:p w14:paraId="0632BE4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7.60</w:t>
            </w:r>
            <w:r w:rsidRPr="00FC31BD">
              <w:rPr>
                <w:rFonts w:ascii="Times New Roman" w:hAnsi="Times New Roman"/>
                <w:sz w:val="24"/>
                <w:szCs w:val="24"/>
                <w:vertAlign w:val="superscript"/>
              </w:rPr>
              <w:t>c</w:t>
            </w:r>
          </w:p>
        </w:tc>
        <w:tc>
          <w:tcPr>
            <w:tcW w:w="945" w:type="dxa"/>
            <w:vAlign w:val="center"/>
          </w:tcPr>
          <w:p w14:paraId="63B9F6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8.14</w:t>
            </w:r>
            <w:r w:rsidRPr="00FC31BD">
              <w:rPr>
                <w:rFonts w:ascii="Times New Roman" w:hAnsi="Times New Roman"/>
                <w:sz w:val="24"/>
                <w:szCs w:val="24"/>
                <w:vertAlign w:val="superscript"/>
              </w:rPr>
              <w:t>c</w:t>
            </w:r>
          </w:p>
        </w:tc>
        <w:tc>
          <w:tcPr>
            <w:tcW w:w="901" w:type="dxa"/>
            <w:vAlign w:val="center"/>
          </w:tcPr>
          <w:p w14:paraId="702B636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8.86</w:t>
            </w:r>
            <w:r w:rsidRPr="00FC31BD">
              <w:rPr>
                <w:rFonts w:ascii="Times New Roman" w:hAnsi="Times New Roman"/>
                <w:sz w:val="24"/>
                <w:szCs w:val="24"/>
                <w:vertAlign w:val="superscript"/>
              </w:rPr>
              <w:t>c</w:t>
            </w:r>
          </w:p>
        </w:tc>
        <w:tc>
          <w:tcPr>
            <w:tcW w:w="1165" w:type="dxa"/>
            <w:vAlign w:val="center"/>
          </w:tcPr>
          <w:p w14:paraId="4B9263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9.65</w:t>
            </w:r>
            <w:r w:rsidRPr="00FC31BD">
              <w:rPr>
                <w:rFonts w:ascii="Times New Roman" w:hAnsi="Times New Roman"/>
                <w:sz w:val="24"/>
                <w:szCs w:val="24"/>
                <w:vertAlign w:val="superscript"/>
              </w:rPr>
              <w:t>c</w:t>
            </w:r>
          </w:p>
        </w:tc>
      </w:tr>
    </w:tbl>
    <w:p w14:paraId="36E029E7" w14:textId="23D454C1"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3</w:t>
      </w:r>
      <w:r w:rsidR="000E59AC" w:rsidRPr="00725339">
        <w:rPr>
          <w:rFonts w:ascii="Times New Roman" w:hAnsi="Times New Roman"/>
          <w:b/>
          <w:sz w:val="24"/>
          <w:szCs w:val="24"/>
        </w:rPr>
        <w:t xml:space="preserve">: Mean </w:t>
      </w:r>
      <w:r w:rsidR="000E59AC">
        <w:rPr>
          <w:rFonts w:ascii="Times New Roman" w:hAnsi="Times New Roman"/>
          <w:b/>
          <w:sz w:val="24"/>
          <w:szCs w:val="24"/>
        </w:rPr>
        <w:t>leaf length</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50B44A53"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F942FF7" w14:textId="77777777" w:rsidR="000E59AC" w:rsidRDefault="000E59AC" w:rsidP="000E59AC">
      <w:pPr>
        <w:spacing w:line="480" w:lineRule="auto"/>
        <w:jc w:val="both"/>
        <w:rPr>
          <w:rFonts w:ascii="Times New Roman" w:hAnsi="Times New Roman"/>
          <w:sz w:val="24"/>
          <w:szCs w:val="24"/>
        </w:rPr>
      </w:pPr>
    </w:p>
    <w:p w14:paraId="6300DA17" w14:textId="77777777" w:rsidR="000E59AC" w:rsidRDefault="000E59AC" w:rsidP="000E59AC">
      <w:pPr>
        <w:spacing w:line="480" w:lineRule="auto"/>
        <w:jc w:val="both"/>
        <w:rPr>
          <w:rFonts w:ascii="Times New Roman" w:hAnsi="Times New Roman"/>
          <w:sz w:val="24"/>
          <w:szCs w:val="24"/>
        </w:rPr>
      </w:pPr>
    </w:p>
    <w:p w14:paraId="32BB8983" w14:textId="77777777" w:rsidR="000E59AC" w:rsidRDefault="000E59AC" w:rsidP="000E59AC">
      <w:pPr>
        <w:spacing w:line="480" w:lineRule="auto"/>
        <w:jc w:val="both"/>
        <w:rPr>
          <w:rFonts w:ascii="Times New Roman" w:hAnsi="Times New Roman"/>
          <w:sz w:val="24"/>
          <w:szCs w:val="24"/>
        </w:rPr>
      </w:pPr>
    </w:p>
    <w:p w14:paraId="5F97224E" w14:textId="77777777" w:rsidR="000E59AC" w:rsidRDefault="000E59AC" w:rsidP="000E59AC">
      <w:pPr>
        <w:spacing w:line="480" w:lineRule="auto"/>
        <w:jc w:val="both"/>
        <w:rPr>
          <w:rFonts w:ascii="Times New Roman" w:hAnsi="Times New Roman"/>
          <w:sz w:val="24"/>
          <w:szCs w:val="24"/>
        </w:rPr>
      </w:pPr>
    </w:p>
    <w:p w14:paraId="440C019F"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BA71132"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734B7C3C" w14:textId="77777777" w:rsidR="000E59AC" w:rsidRPr="00DE6A76" w:rsidRDefault="000E59AC" w:rsidP="000E59AC">
      <w:pPr>
        <w:spacing w:line="480" w:lineRule="auto"/>
        <w:jc w:val="both"/>
        <w:rPr>
          <w:rFonts w:ascii="Times New Roman" w:hAnsi="Times New Roman"/>
          <w:b/>
          <w:sz w:val="24"/>
          <w:szCs w:val="24"/>
        </w:rPr>
      </w:pPr>
      <w:r w:rsidRPr="00DE6A76">
        <w:rPr>
          <w:rFonts w:ascii="Times New Roman" w:hAnsi="Times New Roman"/>
          <w:b/>
          <w:sz w:val="24"/>
          <w:szCs w:val="24"/>
        </w:rPr>
        <w:t>Leaf Number</w:t>
      </w:r>
    </w:p>
    <w:p w14:paraId="31E9F82B" w14:textId="5A07788F"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number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Pr>
          <w:rFonts w:ascii="Times New Roman" w:hAnsi="Times New Roman"/>
          <w:i/>
          <w:sz w:val="24"/>
          <w:szCs w:val="24"/>
        </w:rPr>
        <w:t>,</w:t>
      </w:r>
      <w:proofErr w:type="gramEnd"/>
      <w:r>
        <w:rPr>
          <w:rFonts w:ascii="Times New Roman" w:hAnsi="Times New Roman"/>
          <w:i/>
          <w:sz w:val="24"/>
          <w:szCs w:val="24"/>
        </w:rPr>
        <w:t xml:space="preserve">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Table.4. Leaf length showed a progressive variation across the duration of the experiment (Week 1 to Week 12). There were significant differences (p&lt;0.05) among species. </w:t>
      </w:r>
      <w:r w:rsidRPr="00F83697">
        <w:rPr>
          <w:rFonts w:ascii="Times New Roman" w:hAnsi="Times New Roman"/>
          <w:i/>
          <w:sz w:val="24"/>
          <w:szCs w:val="24"/>
        </w:rPr>
        <w:t>G. kola</w:t>
      </w:r>
      <w:r>
        <w:rPr>
          <w:rFonts w:ascii="Times New Roman" w:hAnsi="Times New Roman"/>
          <w:sz w:val="24"/>
          <w:szCs w:val="24"/>
        </w:rPr>
        <w:t xml:space="preserve"> recorded</w:t>
      </w:r>
      <w:r w:rsidRPr="004B4D0F">
        <w:rPr>
          <w:rFonts w:ascii="Times New Roman" w:hAnsi="Times New Roman"/>
          <w:sz w:val="24"/>
          <w:szCs w:val="24"/>
        </w:rPr>
        <w:t xml:space="preserve"> for highest</w:t>
      </w:r>
      <w:r>
        <w:rPr>
          <w:rFonts w:ascii="Times New Roman" w:hAnsi="Times New Roman"/>
          <w:sz w:val="24"/>
          <w:szCs w:val="24"/>
        </w:rPr>
        <w:t xml:space="preserve"> number</w:t>
      </w:r>
      <w:r w:rsidRPr="004B4D0F">
        <w:rPr>
          <w:rFonts w:ascii="Times New Roman" w:hAnsi="Times New Roman"/>
          <w:sz w:val="24"/>
          <w:szCs w:val="24"/>
        </w:rPr>
        <w:t xml:space="preserve"> at 13 leaves by Week </w:t>
      </w:r>
      <w:r>
        <w:rPr>
          <w:rFonts w:ascii="Times New Roman" w:hAnsi="Times New Roman"/>
          <w:sz w:val="24"/>
          <w:szCs w:val="24"/>
        </w:rPr>
        <w:t xml:space="preserve">11 and </w:t>
      </w:r>
      <w:r w:rsidRPr="004B4D0F">
        <w:rPr>
          <w:rFonts w:ascii="Times New Roman" w:hAnsi="Times New Roman"/>
          <w:sz w:val="24"/>
          <w:szCs w:val="24"/>
        </w:rPr>
        <w:t xml:space="preserve">12 (totals increases of 10 each, average 0.91/week). </w:t>
      </w:r>
      <w:r w:rsidRPr="00F83697">
        <w:rPr>
          <w:rFonts w:ascii="Times New Roman" w:hAnsi="Times New Roman"/>
          <w:i/>
          <w:sz w:val="24"/>
          <w:szCs w:val="24"/>
        </w:rPr>
        <w:t xml:space="preserve">C. </w:t>
      </w:r>
      <w:proofErr w:type="spellStart"/>
      <w:r w:rsidRPr="00F83697">
        <w:rPr>
          <w:rFonts w:ascii="Times New Roman" w:hAnsi="Times New Roman"/>
          <w:i/>
          <w:sz w:val="24"/>
          <w:szCs w:val="24"/>
        </w:rPr>
        <w:t>albidium</w:t>
      </w:r>
      <w:proofErr w:type="spellEnd"/>
      <w:r w:rsidRPr="004B4D0F">
        <w:rPr>
          <w:rFonts w:ascii="Times New Roman" w:hAnsi="Times New Roman"/>
          <w:sz w:val="24"/>
          <w:szCs w:val="24"/>
        </w:rPr>
        <w:t xml:space="preserve"> reaches 10 (increase 8, average 0.73/week), </w:t>
      </w:r>
      <w:r w:rsidRPr="00F83697">
        <w:rPr>
          <w:rFonts w:ascii="Times New Roman" w:hAnsi="Times New Roman"/>
          <w:i/>
          <w:sz w:val="24"/>
          <w:szCs w:val="24"/>
        </w:rPr>
        <w:t xml:space="preserve">I. </w:t>
      </w:r>
      <w:proofErr w:type="spellStart"/>
      <w:r w:rsidRPr="00F83697">
        <w:rPr>
          <w:rFonts w:ascii="Times New Roman" w:hAnsi="Times New Roman"/>
          <w:i/>
          <w:sz w:val="24"/>
          <w:szCs w:val="24"/>
        </w:rPr>
        <w:t>gabonensis</w:t>
      </w:r>
      <w:proofErr w:type="spellEnd"/>
      <w:r w:rsidRPr="004B4D0F">
        <w:rPr>
          <w:rFonts w:ascii="Times New Roman" w:hAnsi="Times New Roman"/>
          <w:sz w:val="24"/>
          <w:szCs w:val="24"/>
        </w:rPr>
        <w:t xml:space="preserve"> 9 (increase 6, average 0.55/week), and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Pr="00F83697">
        <w:rPr>
          <w:rFonts w:ascii="Times New Roman" w:hAnsi="Times New Roman"/>
          <w:i/>
          <w:sz w:val="24"/>
          <w:szCs w:val="24"/>
        </w:rPr>
        <w:t>a</w:t>
      </w:r>
      <w:r w:rsidRPr="004B4D0F">
        <w:rPr>
          <w:rFonts w:ascii="Times New Roman" w:hAnsi="Times New Roman"/>
          <w:sz w:val="24"/>
          <w:szCs w:val="24"/>
        </w:rPr>
        <w:t xml:space="preserve"> </w:t>
      </w:r>
      <w:proofErr w:type="gramStart"/>
      <w:r w:rsidRPr="004B4D0F">
        <w:rPr>
          <w:rFonts w:ascii="Times New Roman" w:hAnsi="Times New Roman"/>
          <w:sz w:val="24"/>
          <w:szCs w:val="24"/>
        </w:rPr>
        <w:t>lags</w:t>
      </w:r>
      <w:proofErr w:type="gramEnd"/>
      <w:r w:rsidRPr="004B4D0F">
        <w:rPr>
          <w:rFonts w:ascii="Times New Roman" w:hAnsi="Times New Roman"/>
          <w:sz w:val="24"/>
          <w:szCs w:val="24"/>
        </w:rPr>
        <w:t xml:space="preserve"> at 6 (increase 3, average 0.27/week).</w:t>
      </w:r>
    </w:p>
    <w:p w14:paraId="77E25286" w14:textId="77777777" w:rsidR="000E59AC" w:rsidRDefault="000E59AC" w:rsidP="000E59AC">
      <w:pPr>
        <w:spacing w:line="480" w:lineRule="auto"/>
        <w:jc w:val="both"/>
        <w:rPr>
          <w:rFonts w:ascii="Times New Roman" w:hAnsi="Times New Roman"/>
          <w:sz w:val="24"/>
          <w:szCs w:val="24"/>
        </w:rPr>
      </w:pPr>
    </w:p>
    <w:p w14:paraId="4084D4C4" w14:textId="77777777" w:rsidR="000E59AC" w:rsidRDefault="000E59AC" w:rsidP="000E59AC">
      <w:pPr>
        <w:spacing w:line="480" w:lineRule="auto"/>
        <w:jc w:val="both"/>
        <w:rPr>
          <w:rFonts w:ascii="Times New Roman" w:hAnsi="Times New Roman"/>
          <w:sz w:val="24"/>
          <w:szCs w:val="24"/>
        </w:rPr>
      </w:pPr>
    </w:p>
    <w:p w14:paraId="42E3473C" w14:textId="77777777" w:rsidR="000E59AC" w:rsidRDefault="000E59AC" w:rsidP="000E59AC">
      <w:pPr>
        <w:spacing w:line="480" w:lineRule="auto"/>
        <w:jc w:val="both"/>
        <w:rPr>
          <w:rFonts w:ascii="Times New Roman" w:hAnsi="Times New Roman"/>
          <w:sz w:val="24"/>
          <w:szCs w:val="24"/>
        </w:rPr>
      </w:pPr>
    </w:p>
    <w:p w14:paraId="24308F15" w14:textId="77777777" w:rsidR="000E59AC" w:rsidRDefault="000E59AC" w:rsidP="000E59AC">
      <w:pPr>
        <w:spacing w:line="480" w:lineRule="auto"/>
        <w:jc w:val="both"/>
        <w:rPr>
          <w:rFonts w:ascii="Times New Roman" w:hAnsi="Times New Roman"/>
          <w:sz w:val="24"/>
          <w:szCs w:val="24"/>
        </w:rPr>
      </w:pPr>
    </w:p>
    <w:p w14:paraId="75EDDAA3" w14:textId="77777777" w:rsidR="000E59AC" w:rsidRDefault="000E59AC" w:rsidP="000E59AC">
      <w:pPr>
        <w:spacing w:line="480" w:lineRule="auto"/>
        <w:jc w:val="both"/>
        <w:rPr>
          <w:rFonts w:ascii="Times New Roman" w:hAnsi="Times New Roman"/>
          <w:sz w:val="24"/>
          <w:szCs w:val="24"/>
        </w:rPr>
      </w:pPr>
    </w:p>
    <w:p w14:paraId="40E9A064" w14:textId="77777777" w:rsidR="000E59AC" w:rsidRDefault="000E59AC" w:rsidP="000E59AC">
      <w:pPr>
        <w:spacing w:line="480" w:lineRule="auto"/>
        <w:jc w:val="both"/>
        <w:rPr>
          <w:rFonts w:ascii="Times New Roman" w:hAnsi="Times New Roman"/>
          <w:sz w:val="24"/>
          <w:szCs w:val="24"/>
        </w:rPr>
      </w:pPr>
    </w:p>
    <w:p w14:paraId="5DBAFBDC" w14:textId="77777777" w:rsidR="000E59AC" w:rsidRDefault="000E59AC" w:rsidP="000E59AC">
      <w:pPr>
        <w:spacing w:line="480" w:lineRule="auto"/>
        <w:jc w:val="both"/>
        <w:rPr>
          <w:rFonts w:ascii="Times New Roman" w:hAnsi="Times New Roman"/>
          <w:sz w:val="24"/>
          <w:szCs w:val="24"/>
        </w:rPr>
      </w:pPr>
    </w:p>
    <w:p w14:paraId="695D1776" w14:textId="77777777" w:rsidR="000E59AC" w:rsidRDefault="000E59AC" w:rsidP="000E59AC">
      <w:pPr>
        <w:spacing w:line="480" w:lineRule="auto"/>
        <w:jc w:val="both"/>
        <w:rPr>
          <w:rFonts w:ascii="Times New Roman" w:hAnsi="Times New Roman"/>
          <w:sz w:val="24"/>
          <w:szCs w:val="24"/>
        </w:rPr>
      </w:pPr>
    </w:p>
    <w:p w14:paraId="335A0354" w14:textId="77777777" w:rsidR="000E59AC" w:rsidRDefault="000E59AC" w:rsidP="000E59AC">
      <w:pPr>
        <w:spacing w:line="480" w:lineRule="auto"/>
        <w:jc w:val="both"/>
        <w:rPr>
          <w:rFonts w:ascii="Times New Roman" w:hAnsi="Times New Roman"/>
          <w:sz w:val="24"/>
          <w:szCs w:val="24"/>
        </w:rPr>
      </w:pPr>
    </w:p>
    <w:p w14:paraId="1F3E71DA" w14:textId="77777777" w:rsidR="000E59AC" w:rsidRDefault="000E59AC" w:rsidP="000E59AC">
      <w:pPr>
        <w:spacing w:line="480" w:lineRule="auto"/>
        <w:jc w:val="both"/>
        <w:rPr>
          <w:rFonts w:ascii="Times New Roman" w:hAnsi="Times New Roman"/>
          <w:sz w:val="24"/>
          <w:szCs w:val="24"/>
        </w:rPr>
      </w:pPr>
    </w:p>
    <w:p w14:paraId="39A284D9" w14:textId="77777777" w:rsidR="000E59AC" w:rsidRDefault="000E59AC" w:rsidP="000E59AC">
      <w:pPr>
        <w:spacing w:line="480" w:lineRule="auto"/>
        <w:jc w:val="both"/>
        <w:rPr>
          <w:rFonts w:ascii="Times New Roman" w:hAnsi="Times New Roman"/>
          <w:sz w:val="24"/>
          <w:szCs w:val="24"/>
        </w:rPr>
      </w:pPr>
    </w:p>
    <w:p w14:paraId="2ACF4BB4"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6D980E2E" w14:textId="3A6BCD5D"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 xml:space="preserve">Table </w:t>
      </w:r>
      <w:r w:rsidR="000E59AC">
        <w:rPr>
          <w:rFonts w:ascii="Times New Roman" w:hAnsi="Times New Roman"/>
          <w:b/>
          <w:sz w:val="24"/>
          <w:szCs w:val="24"/>
        </w:rPr>
        <w:t>4</w:t>
      </w:r>
      <w:r w:rsidR="000E59AC" w:rsidRPr="00725339">
        <w:rPr>
          <w:rFonts w:ascii="Times New Roman" w:hAnsi="Times New Roman"/>
          <w:b/>
          <w:sz w:val="24"/>
          <w:szCs w:val="24"/>
        </w:rPr>
        <w:t xml:space="preserve">: Mean </w:t>
      </w:r>
      <w:r w:rsidR="000E59AC">
        <w:rPr>
          <w:rFonts w:ascii="Times New Roman" w:hAnsi="Times New Roman"/>
          <w:b/>
          <w:sz w:val="24"/>
          <w:szCs w:val="24"/>
        </w:rPr>
        <w:t>leaf number</w:t>
      </w:r>
      <w:r w:rsidR="000E59AC" w:rsidRPr="00725339">
        <w:rPr>
          <w:rFonts w:ascii="Times New Roman" w:hAnsi="Times New Roman"/>
          <w:b/>
          <w:sz w:val="24"/>
          <w:szCs w:val="24"/>
        </w:rPr>
        <w:t xml:space="preserve"> variation of the five different plant species </w:t>
      </w:r>
    </w:p>
    <w:p w14:paraId="7D64FA16"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5DB161B"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124"/>
        <w:gridCol w:w="994"/>
        <w:gridCol w:w="953"/>
        <w:gridCol w:w="953"/>
        <w:gridCol w:w="986"/>
        <w:gridCol w:w="909"/>
        <w:gridCol w:w="918"/>
        <w:gridCol w:w="945"/>
        <w:gridCol w:w="901"/>
        <w:gridCol w:w="1165"/>
        <w:gridCol w:w="6"/>
      </w:tblGrid>
      <w:tr w:rsidR="000E59AC" w:rsidRPr="00FC31BD" w14:paraId="08567693" w14:textId="77777777" w:rsidTr="000E59AC">
        <w:trPr>
          <w:trHeight w:val="530"/>
        </w:trPr>
        <w:tc>
          <w:tcPr>
            <w:tcW w:w="2013" w:type="dxa"/>
            <w:vMerge w:val="restart"/>
            <w:tcBorders>
              <w:top w:val="single" w:sz="4" w:space="0" w:color="auto"/>
              <w:bottom w:val="nil"/>
            </w:tcBorders>
            <w:vAlign w:val="center"/>
          </w:tcPr>
          <w:p w14:paraId="60EBC3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4FC65FC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number</w:t>
            </w:r>
            <w:r>
              <w:rPr>
                <w:rFonts w:ascii="Times New Roman" w:hAnsi="Times New Roman"/>
                <w:b/>
                <w:sz w:val="24"/>
                <w:szCs w:val="24"/>
              </w:rPr>
              <w:t xml:space="preserve"> of seedlings</w:t>
            </w:r>
          </w:p>
        </w:tc>
      </w:tr>
      <w:tr w:rsidR="000E59AC" w:rsidRPr="00FC31BD" w14:paraId="57E373A7" w14:textId="77777777" w:rsidTr="000E59AC">
        <w:trPr>
          <w:gridAfter w:val="1"/>
          <w:wAfter w:w="6" w:type="dxa"/>
          <w:trHeight w:val="530"/>
        </w:trPr>
        <w:tc>
          <w:tcPr>
            <w:tcW w:w="2013" w:type="dxa"/>
            <w:vMerge/>
            <w:tcBorders>
              <w:top w:val="nil"/>
              <w:bottom w:val="single" w:sz="4" w:space="0" w:color="auto"/>
            </w:tcBorders>
            <w:vAlign w:val="center"/>
          </w:tcPr>
          <w:p w14:paraId="780F87DE"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06DC3EC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4A60CD6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7EB5C1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1DDA168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529EB5D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DB21A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24AB7E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2120E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9B6C6E9"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23F9CE6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171407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30C3857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29EB4A4" w14:textId="77777777" w:rsidTr="000E59AC">
        <w:trPr>
          <w:gridAfter w:val="1"/>
          <w:wAfter w:w="6" w:type="dxa"/>
          <w:trHeight w:val="800"/>
        </w:trPr>
        <w:tc>
          <w:tcPr>
            <w:tcW w:w="2013" w:type="dxa"/>
            <w:tcBorders>
              <w:top w:val="single" w:sz="4" w:space="0" w:color="auto"/>
            </w:tcBorders>
            <w:vAlign w:val="center"/>
          </w:tcPr>
          <w:p w14:paraId="4BD8B69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53E0BDE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6FE22F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tcBorders>
              <w:top w:val="single" w:sz="4" w:space="0" w:color="auto"/>
            </w:tcBorders>
            <w:vAlign w:val="center"/>
          </w:tcPr>
          <w:p w14:paraId="535709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tcBorders>
              <w:top w:val="single" w:sz="4" w:space="0" w:color="auto"/>
            </w:tcBorders>
            <w:vAlign w:val="center"/>
          </w:tcPr>
          <w:p w14:paraId="4D2377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53" w:type="dxa"/>
            <w:tcBorders>
              <w:top w:val="single" w:sz="4" w:space="0" w:color="auto"/>
            </w:tcBorders>
            <w:vAlign w:val="center"/>
          </w:tcPr>
          <w:p w14:paraId="649BE8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4C304C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74021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106511E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tcBorders>
              <w:top w:val="single" w:sz="4" w:space="0" w:color="auto"/>
            </w:tcBorders>
            <w:vAlign w:val="center"/>
          </w:tcPr>
          <w:p w14:paraId="106D1D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tcBorders>
              <w:top w:val="single" w:sz="4" w:space="0" w:color="auto"/>
            </w:tcBorders>
            <w:vAlign w:val="center"/>
          </w:tcPr>
          <w:p w14:paraId="4518E7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tcBorders>
              <w:top w:val="single" w:sz="4" w:space="0" w:color="auto"/>
            </w:tcBorders>
            <w:vAlign w:val="center"/>
          </w:tcPr>
          <w:p w14:paraId="6772BE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tcBorders>
              <w:top w:val="single" w:sz="4" w:space="0" w:color="auto"/>
            </w:tcBorders>
            <w:vAlign w:val="center"/>
          </w:tcPr>
          <w:p w14:paraId="380BAAA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r>
      <w:tr w:rsidR="000E59AC" w:rsidRPr="00FC31BD" w14:paraId="143616E7" w14:textId="77777777" w:rsidTr="000E59AC">
        <w:trPr>
          <w:gridAfter w:val="1"/>
          <w:wAfter w:w="6" w:type="dxa"/>
          <w:trHeight w:val="800"/>
        </w:trPr>
        <w:tc>
          <w:tcPr>
            <w:tcW w:w="2013" w:type="dxa"/>
            <w:vAlign w:val="center"/>
          </w:tcPr>
          <w:p w14:paraId="0D84C79B"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9EA38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6985C9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4C84E0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20971EB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b</w:t>
            </w:r>
          </w:p>
        </w:tc>
        <w:tc>
          <w:tcPr>
            <w:tcW w:w="953" w:type="dxa"/>
            <w:vAlign w:val="center"/>
          </w:tcPr>
          <w:p w14:paraId="60822C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7CEB17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b</w:t>
            </w:r>
          </w:p>
        </w:tc>
        <w:tc>
          <w:tcPr>
            <w:tcW w:w="986" w:type="dxa"/>
            <w:vAlign w:val="center"/>
          </w:tcPr>
          <w:p w14:paraId="61EFE3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9" w:type="dxa"/>
            <w:vAlign w:val="center"/>
          </w:tcPr>
          <w:p w14:paraId="4AEE29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b</w:t>
            </w:r>
          </w:p>
        </w:tc>
        <w:tc>
          <w:tcPr>
            <w:tcW w:w="918" w:type="dxa"/>
            <w:vAlign w:val="center"/>
          </w:tcPr>
          <w:p w14:paraId="2DB25B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c>
          <w:tcPr>
            <w:tcW w:w="945" w:type="dxa"/>
            <w:vAlign w:val="center"/>
          </w:tcPr>
          <w:p w14:paraId="2E6D9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3E724C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b</w:t>
            </w:r>
          </w:p>
        </w:tc>
        <w:tc>
          <w:tcPr>
            <w:tcW w:w="1165" w:type="dxa"/>
            <w:vAlign w:val="center"/>
          </w:tcPr>
          <w:p w14:paraId="41EBF58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5784B99A" w14:textId="77777777" w:rsidTr="000E59AC">
        <w:trPr>
          <w:gridAfter w:val="1"/>
          <w:wAfter w:w="6" w:type="dxa"/>
          <w:trHeight w:val="800"/>
        </w:trPr>
        <w:tc>
          <w:tcPr>
            <w:tcW w:w="2013" w:type="dxa"/>
            <w:vAlign w:val="center"/>
          </w:tcPr>
          <w:p w14:paraId="7A1968D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3BD8FB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0E3117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0C51F5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3F3AA0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47281E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6917BC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a</w:t>
            </w:r>
          </w:p>
        </w:tc>
        <w:tc>
          <w:tcPr>
            <w:tcW w:w="986" w:type="dxa"/>
            <w:vAlign w:val="center"/>
          </w:tcPr>
          <w:p w14:paraId="4EA20B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a</w:t>
            </w:r>
          </w:p>
        </w:tc>
        <w:tc>
          <w:tcPr>
            <w:tcW w:w="909" w:type="dxa"/>
            <w:vAlign w:val="center"/>
          </w:tcPr>
          <w:p w14:paraId="399A9E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a</w:t>
            </w:r>
          </w:p>
        </w:tc>
        <w:tc>
          <w:tcPr>
            <w:tcW w:w="918" w:type="dxa"/>
            <w:vAlign w:val="center"/>
          </w:tcPr>
          <w:p w14:paraId="7BBFFC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w:t>
            </w:r>
            <w:r w:rsidRPr="00FC31BD">
              <w:rPr>
                <w:rFonts w:ascii="Times New Roman" w:hAnsi="Times New Roman"/>
                <w:sz w:val="24"/>
                <w:szCs w:val="24"/>
                <w:vertAlign w:val="superscript"/>
              </w:rPr>
              <w:t>a</w:t>
            </w:r>
          </w:p>
        </w:tc>
        <w:tc>
          <w:tcPr>
            <w:tcW w:w="945" w:type="dxa"/>
            <w:vAlign w:val="center"/>
          </w:tcPr>
          <w:p w14:paraId="0F45BBF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014814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c>
          <w:tcPr>
            <w:tcW w:w="1165" w:type="dxa"/>
            <w:vAlign w:val="center"/>
          </w:tcPr>
          <w:p w14:paraId="45548B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624E661E" w14:textId="77777777" w:rsidTr="000E59AC">
        <w:trPr>
          <w:gridAfter w:val="1"/>
          <w:wAfter w:w="6" w:type="dxa"/>
          <w:trHeight w:val="800"/>
        </w:trPr>
        <w:tc>
          <w:tcPr>
            <w:tcW w:w="2013" w:type="dxa"/>
            <w:vAlign w:val="center"/>
          </w:tcPr>
          <w:p w14:paraId="19D124BC"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77B075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15D502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27DB16C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vAlign w:val="center"/>
          </w:tcPr>
          <w:p w14:paraId="1B06736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618590A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vAlign w:val="center"/>
          </w:tcPr>
          <w:p w14:paraId="5C0B41E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vAlign w:val="center"/>
          </w:tcPr>
          <w:p w14:paraId="36EB9E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vAlign w:val="center"/>
          </w:tcPr>
          <w:p w14:paraId="083B93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vAlign w:val="center"/>
          </w:tcPr>
          <w:p w14:paraId="70996D2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vAlign w:val="center"/>
          </w:tcPr>
          <w:p w14:paraId="48FE647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vAlign w:val="center"/>
          </w:tcPr>
          <w:p w14:paraId="625FF7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vAlign w:val="center"/>
          </w:tcPr>
          <w:p w14:paraId="16AF68A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r>
      <w:tr w:rsidR="000E59AC" w:rsidRPr="00FC31BD" w14:paraId="7E00755A" w14:textId="77777777" w:rsidTr="000E59AC">
        <w:trPr>
          <w:gridAfter w:val="1"/>
          <w:wAfter w:w="6" w:type="dxa"/>
          <w:trHeight w:val="710"/>
        </w:trPr>
        <w:tc>
          <w:tcPr>
            <w:tcW w:w="2013" w:type="dxa"/>
            <w:vAlign w:val="center"/>
          </w:tcPr>
          <w:p w14:paraId="74B0877A" w14:textId="496A47E0" w:rsidR="000E59AC" w:rsidRPr="00FC31BD" w:rsidRDefault="00125E7E" w:rsidP="000E59AC">
            <w:pPr>
              <w:jc w:val="center"/>
              <w:rPr>
                <w:rFonts w:ascii="Times New Roman" w:hAnsi="Times New Roman"/>
                <w:i/>
                <w:sz w:val="24"/>
                <w:szCs w:val="24"/>
              </w:rPr>
            </w:pPr>
            <w:r>
              <w:rPr>
                <w:rFonts w:ascii="Times New Roman" w:hAnsi="Times New Roman"/>
                <w:i/>
                <w:sz w:val="24"/>
                <w:szCs w:val="24"/>
              </w:rPr>
              <w:t xml:space="preserve">M. </w:t>
            </w:r>
            <w:proofErr w:type="spellStart"/>
            <w:r>
              <w:rPr>
                <w:rFonts w:ascii="Times New Roman" w:hAnsi="Times New Roman"/>
                <w:i/>
                <w:sz w:val="24"/>
                <w:szCs w:val="24"/>
              </w:rPr>
              <w:t>excelsa</w:t>
            </w:r>
            <w:proofErr w:type="spellEnd"/>
            <w:r>
              <w:rPr>
                <w:rFonts w:ascii="Times New Roman" w:hAnsi="Times New Roman"/>
                <w:i/>
                <w:sz w:val="24"/>
                <w:szCs w:val="24"/>
              </w:rPr>
              <w:t xml:space="preserve"> </w:t>
            </w:r>
            <w:r w:rsidR="000E59AC" w:rsidRPr="00FC31BD">
              <w:rPr>
                <w:rFonts w:ascii="Times New Roman" w:hAnsi="Times New Roman"/>
                <w:i/>
                <w:sz w:val="24"/>
                <w:szCs w:val="24"/>
              </w:rPr>
              <w:t>a</w:t>
            </w:r>
          </w:p>
        </w:tc>
        <w:tc>
          <w:tcPr>
            <w:tcW w:w="947" w:type="dxa"/>
            <w:vAlign w:val="center"/>
          </w:tcPr>
          <w:p w14:paraId="334A59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4664829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18F1AD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c</w:t>
            </w:r>
          </w:p>
        </w:tc>
        <w:tc>
          <w:tcPr>
            <w:tcW w:w="994" w:type="dxa"/>
            <w:vAlign w:val="center"/>
          </w:tcPr>
          <w:p w14:paraId="0AA448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5B7064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c</w:t>
            </w:r>
          </w:p>
        </w:tc>
        <w:tc>
          <w:tcPr>
            <w:tcW w:w="953" w:type="dxa"/>
            <w:vAlign w:val="center"/>
          </w:tcPr>
          <w:p w14:paraId="01C47B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86" w:type="dxa"/>
            <w:vAlign w:val="center"/>
          </w:tcPr>
          <w:p w14:paraId="69C5603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09" w:type="dxa"/>
            <w:vAlign w:val="center"/>
          </w:tcPr>
          <w:p w14:paraId="5408DF1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918" w:type="dxa"/>
            <w:vAlign w:val="center"/>
          </w:tcPr>
          <w:p w14:paraId="736386A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45" w:type="dxa"/>
            <w:vAlign w:val="center"/>
          </w:tcPr>
          <w:p w14:paraId="4C3123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01" w:type="dxa"/>
            <w:vAlign w:val="center"/>
          </w:tcPr>
          <w:p w14:paraId="141DBC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1165" w:type="dxa"/>
            <w:vAlign w:val="center"/>
          </w:tcPr>
          <w:p w14:paraId="53D06D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d</w:t>
            </w:r>
          </w:p>
        </w:tc>
      </w:tr>
    </w:tbl>
    <w:p w14:paraId="72A30576"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3158529" w14:textId="77777777" w:rsidR="000E59AC" w:rsidRPr="00841BB0"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r w:rsidRPr="00841BB0">
        <w:rPr>
          <w:rFonts w:ascii="Times New Roman" w:hAnsi="Times New Roman"/>
          <w:b/>
          <w:sz w:val="24"/>
          <w:szCs w:val="24"/>
        </w:rPr>
        <w:t xml:space="preserve">Leaf Area </w:t>
      </w:r>
    </w:p>
    <w:p w14:paraId="1BA27B7F" w14:textId="79964FB9" w:rsidR="000E59AC" w:rsidRPr="004B4D0F" w:rsidRDefault="000E59AC" w:rsidP="000E59AC">
      <w:pPr>
        <w:spacing w:before="240" w:line="480" w:lineRule="auto"/>
        <w:jc w:val="both"/>
        <w:rPr>
          <w:rFonts w:ascii="Times New Roman" w:hAnsi="Times New Roman"/>
          <w:sz w:val="24"/>
          <w:szCs w:val="24"/>
        </w:rPr>
      </w:pPr>
      <w:r>
        <w:rPr>
          <w:rFonts w:ascii="Times New Roman" w:hAnsi="Times New Roman"/>
          <w:sz w:val="24"/>
          <w:szCs w:val="24"/>
        </w:rPr>
        <w:t xml:space="preserve">Table.5 shows mean leaf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Pr>
          <w:rFonts w:ascii="Times New Roman" w:hAnsi="Times New Roman"/>
          <w:i/>
          <w:sz w:val="24"/>
          <w:szCs w:val="24"/>
        </w:rPr>
        <w:t>,</w:t>
      </w:r>
      <w:proofErr w:type="gramEnd"/>
      <w:r>
        <w:rPr>
          <w:rFonts w:ascii="Times New Roman" w:hAnsi="Times New Roman"/>
          <w:i/>
          <w:sz w:val="24"/>
          <w:szCs w:val="24"/>
        </w:rPr>
        <w:t xml:space="preserve">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Leaf area showed a progressive variation across the duration of the experiment (Week 1 to Week 12). There were significant differences (p&lt;0.05) among species. </w:t>
      </w:r>
      <w:r w:rsidRPr="00841BB0">
        <w:rPr>
          <w:rFonts w:ascii="Times New Roman" w:hAnsi="Times New Roman"/>
          <w:i/>
          <w:sz w:val="24"/>
          <w:szCs w:val="24"/>
        </w:rPr>
        <w:t>G. kola</w:t>
      </w:r>
      <w:r w:rsidRPr="004B4D0F">
        <w:rPr>
          <w:rFonts w:ascii="Times New Roman" w:hAnsi="Times New Roman"/>
          <w:sz w:val="24"/>
          <w:szCs w:val="24"/>
        </w:rPr>
        <w:t xml:space="preserve"> leads at 67.26 cm² (total growth 39.74 cm², average 3.61 cm²/week), followed by </w:t>
      </w:r>
      <w:r w:rsidRPr="00841BB0">
        <w:rPr>
          <w:rFonts w:ascii="Times New Roman" w:hAnsi="Times New Roman"/>
          <w:i/>
          <w:sz w:val="24"/>
          <w:szCs w:val="24"/>
        </w:rPr>
        <w:t xml:space="preserve">I. </w:t>
      </w:r>
      <w:proofErr w:type="spellStart"/>
      <w:r w:rsidRPr="00841BB0">
        <w:rPr>
          <w:rFonts w:ascii="Times New Roman" w:hAnsi="Times New Roman"/>
          <w:i/>
          <w:sz w:val="24"/>
          <w:szCs w:val="24"/>
        </w:rPr>
        <w:t>gabonensis</w:t>
      </w:r>
      <w:proofErr w:type="spellEnd"/>
      <w:r w:rsidRPr="004B4D0F">
        <w:rPr>
          <w:rFonts w:ascii="Times New Roman" w:hAnsi="Times New Roman"/>
          <w:sz w:val="24"/>
          <w:szCs w:val="24"/>
        </w:rPr>
        <w:t xml:space="preserve"> at 60.32 cm² (35.63 cm² total, 3.24 cm²/week), </w:t>
      </w:r>
      <w:r w:rsidRPr="00841BB0">
        <w:rPr>
          <w:rFonts w:ascii="Times New Roman" w:hAnsi="Times New Roman"/>
          <w:i/>
          <w:sz w:val="24"/>
          <w:szCs w:val="24"/>
        </w:rPr>
        <w:t xml:space="preserve">C. </w:t>
      </w:r>
      <w:proofErr w:type="spellStart"/>
      <w:r w:rsidRPr="00841BB0">
        <w:rPr>
          <w:rFonts w:ascii="Times New Roman" w:hAnsi="Times New Roman"/>
          <w:i/>
          <w:sz w:val="24"/>
          <w:szCs w:val="24"/>
        </w:rPr>
        <w:t>albidium</w:t>
      </w:r>
      <w:proofErr w:type="spellEnd"/>
      <w:r w:rsidRPr="004B4D0F">
        <w:rPr>
          <w:rFonts w:ascii="Times New Roman" w:hAnsi="Times New Roman"/>
          <w:sz w:val="24"/>
          <w:szCs w:val="24"/>
        </w:rPr>
        <w:t xml:space="preserve"> at 48.91 cm² (40.63 cm² total, highest average 3.69 cm²/week), </w:t>
      </w:r>
      <w:r w:rsidRPr="00841BB0">
        <w:rPr>
          <w:rFonts w:ascii="Times New Roman" w:hAnsi="Times New Roman"/>
          <w:i/>
          <w:sz w:val="24"/>
          <w:szCs w:val="24"/>
        </w:rPr>
        <w:t xml:space="preserve">E. </w:t>
      </w:r>
      <w:proofErr w:type="spellStart"/>
      <w:r w:rsidRPr="00841BB0">
        <w:rPr>
          <w:rFonts w:ascii="Times New Roman" w:hAnsi="Times New Roman"/>
          <w:i/>
          <w:sz w:val="24"/>
          <w:szCs w:val="24"/>
        </w:rPr>
        <w:t>cylindricum</w:t>
      </w:r>
      <w:proofErr w:type="spellEnd"/>
      <w:r w:rsidRPr="004B4D0F">
        <w:rPr>
          <w:rFonts w:ascii="Times New Roman" w:hAnsi="Times New Roman"/>
          <w:sz w:val="24"/>
          <w:szCs w:val="24"/>
        </w:rPr>
        <w:t xml:space="preserve"> at 43.44 cm² (33.34 cm² total, 3.03 cm²/week), and </w:t>
      </w:r>
      <w:r w:rsidR="00125E7E">
        <w:rPr>
          <w:rFonts w:ascii="Times New Roman" w:hAnsi="Times New Roman"/>
          <w:i/>
          <w:sz w:val="24"/>
          <w:szCs w:val="24"/>
        </w:rPr>
        <w:t xml:space="preserve">M. </w:t>
      </w:r>
      <w:proofErr w:type="spell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proofErr w:type="spellStart"/>
      <w:r w:rsidRPr="00841BB0">
        <w:rPr>
          <w:rFonts w:ascii="Times New Roman" w:hAnsi="Times New Roman"/>
          <w:i/>
          <w:sz w:val="24"/>
          <w:szCs w:val="24"/>
        </w:rPr>
        <w:t>a</w:t>
      </w:r>
      <w:proofErr w:type="spellEnd"/>
      <w:r w:rsidRPr="004B4D0F">
        <w:rPr>
          <w:rFonts w:ascii="Times New Roman" w:hAnsi="Times New Roman"/>
          <w:sz w:val="24"/>
          <w:szCs w:val="24"/>
        </w:rPr>
        <w:t xml:space="preserve"> at 43.55 cm² (36.31 cm² total, 3.30 cm²/week).</w:t>
      </w:r>
    </w:p>
    <w:p w14:paraId="43686584" w14:textId="77777777" w:rsidR="000E59AC" w:rsidRPr="004B4D0F" w:rsidRDefault="000E59AC" w:rsidP="000E59AC">
      <w:pPr>
        <w:spacing w:line="480" w:lineRule="auto"/>
        <w:jc w:val="both"/>
        <w:rPr>
          <w:rFonts w:ascii="Times New Roman" w:hAnsi="Times New Roman"/>
          <w:sz w:val="24"/>
          <w:szCs w:val="24"/>
        </w:rPr>
      </w:pPr>
    </w:p>
    <w:p w14:paraId="170B6381" w14:textId="77777777" w:rsidR="000E59AC" w:rsidRPr="004B4D0F" w:rsidRDefault="000E59AC" w:rsidP="000E59AC">
      <w:pPr>
        <w:spacing w:line="480" w:lineRule="auto"/>
        <w:jc w:val="both"/>
        <w:rPr>
          <w:rFonts w:ascii="Times New Roman" w:hAnsi="Times New Roman"/>
          <w:sz w:val="24"/>
          <w:szCs w:val="24"/>
        </w:rPr>
      </w:pPr>
    </w:p>
    <w:p w14:paraId="2AF50A94" w14:textId="77777777" w:rsidR="000E59AC" w:rsidRPr="004B4D0F" w:rsidRDefault="000E59AC" w:rsidP="000E59AC">
      <w:pPr>
        <w:spacing w:line="480" w:lineRule="auto"/>
        <w:jc w:val="both"/>
        <w:rPr>
          <w:rFonts w:ascii="Times New Roman" w:hAnsi="Times New Roman"/>
          <w:sz w:val="24"/>
          <w:szCs w:val="24"/>
        </w:rPr>
      </w:pPr>
    </w:p>
    <w:p w14:paraId="15A3AAE2" w14:textId="77777777" w:rsidR="000E59AC" w:rsidRPr="004B4D0F" w:rsidRDefault="000E59AC" w:rsidP="000E59AC">
      <w:pPr>
        <w:spacing w:line="480" w:lineRule="auto"/>
        <w:jc w:val="both"/>
        <w:rPr>
          <w:rFonts w:ascii="Times New Roman" w:hAnsi="Times New Roman"/>
          <w:sz w:val="24"/>
          <w:szCs w:val="24"/>
        </w:rPr>
      </w:pPr>
    </w:p>
    <w:p w14:paraId="42DF4EC8" w14:textId="77777777" w:rsidR="000E59AC" w:rsidRDefault="000E59AC" w:rsidP="000E59AC">
      <w:pPr>
        <w:spacing w:line="480" w:lineRule="auto"/>
        <w:jc w:val="both"/>
        <w:rPr>
          <w:rFonts w:ascii="Times New Roman" w:hAnsi="Times New Roman"/>
          <w:sz w:val="24"/>
          <w:szCs w:val="24"/>
        </w:rPr>
      </w:pPr>
    </w:p>
    <w:p w14:paraId="0BDE2EB8" w14:textId="77777777" w:rsidR="000E59AC" w:rsidRDefault="000E59AC" w:rsidP="000E59AC">
      <w:pPr>
        <w:spacing w:line="480" w:lineRule="auto"/>
        <w:jc w:val="both"/>
        <w:rPr>
          <w:rFonts w:ascii="Times New Roman" w:hAnsi="Times New Roman"/>
          <w:sz w:val="24"/>
          <w:szCs w:val="24"/>
        </w:rPr>
      </w:pPr>
    </w:p>
    <w:p w14:paraId="65B2F713" w14:textId="77777777" w:rsidR="000E59AC" w:rsidRDefault="000E59AC" w:rsidP="000E59AC">
      <w:pPr>
        <w:spacing w:line="480" w:lineRule="auto"/>
        <w:jc w:val="both"/>
        <w:rPr>
          <w:rFonts w:ascii="Times New Roman" w:hAnsi="Times New Roman"/>
          <w:sz w:val="24"/>
          <w:szCs w:val="24"/>
        </w:rPr>
      </w:pPr>
    </w:p>
    <w:p w14:paraId="1DBD7084" w14:textId="77777777" w:rsidR="000E59AC" w:rsidRDefault="000E59AC" w:rsidP="000E59AC">
      <w:pPr>
        <w:spacing w:line="480" w:lineRule="auto"/>
        <w:jc w:val="both"/>
        <w:rPr>
          <w:rFonts w:ascii="Times New Roman" w:hAnsi="Times New Roman"/>
          <w:sz w:val="24"/>
          <w:szCs w:val="24"/>
        </w:rPr>
      </w:pPr>
    </w:p>
    <w:p w14:paraId="07923EEA" w14:textId="77777777" w:rsidR="000E59AC" w:rsidRDefault="000E59AC" w:rsidP="000E59AC">
      <w:pPr>
        <w:spacing w:line="480" w:lineRule="auto"/>
        <w:jc w:val="both"/>
        <w:rPr>
          <w:rFonts w:ascii="Times New Roman" w:hAnsi="Times New Roman"/>
          <w:sz w:val="24"/>
          <w:szCs w:val="24"/>
        </w:rPr>
      </w:pPr>
    </w:p>
    <w:p w14:paraId="10844B03" w14:textId="77777777" w:rsidR="000E59AC" w:rsidRDefault="000E59AC" w:rsidP="000E59AC">
      <w:pPr>
        <w:spacing w:line="480" w:lineRule="auto"/>
        <w:jc w:val="both"/>
        <w:rPr>
          <w:rFonts w:ascii="Times New Roman" w:hAnsi="Times New Roman"/>
          <w:sz w:val="24"/>
          <w:szCs w:val="24"/>
        </w:rPr>
      </w:pPr>
    </w:p>
    <w:p w14:paraId="3E3E67D0" w14:textId="77777777" w:rsidR="000E59AC" w:rsidRDefault="000E59AC" w:rsidP="000E59AC">
      <w:pPr>
        <w:spacing w:line="480" w:lineRule="auto"/>
        <w:jc w:val="both"/>
        <w:rPr>
          <w:rFonts w:ascii="Times New Roman" w:hAnsi="Times New Roman"/>
          <w:sz w:val="24"/>
          <w:szCs w:val="24"/>
        </w:rPr>
      </w:pPr>
    </w:p>
    <w:p w14:paraId="7B21797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4E3DC171" w14:textId="7BB7DA6B" w:rsidR="000E59AC" w:rsidRDefault="00FA6AEF" w:rsidP="000E59AC">
      <w:pPr>
        <w:rPr>
          <w:rFonts w:ascii="Times New Roman" w:hAnsi="Times New Roman"/>
          <w:sz w:val="24"/>
          <w:szCs w:val="24"/>
        </w:rPr>
      </w:pPr>
      <w:r>
        <w:rPr>
          <w:rFonts w:ascii="Times New Roman" w:hAnsi="Times New Roman"/>
          <w:b/>
          <w:sz w:val="24"/>
          <w:szCs w:val="24"/>
        </w:rPr>
        <w:lastRenderedPageBreak/>
        <w:t xml:space="preserve">Table </w:t>
      </w:r>
      <w:r w:rsidR="009000A9">
        <w:rPr>
          <w:rFonts w:ascii="Times New Roman" w:hAnsi="Times New Roman"/>
          <w:b/>
          <w:sz w:val="24"/>
          <w:szCs w:val="24"/>
        </w:rPr>
        <w:t>5</w:t>
      </w:r>
      <w:r w:rsidR="000E59AC" w:rsidRPr="00725339">
        <w:rPr>
          <w:rFonts w:ascii="Times New Roman" w:hAnsi="Times New Roman"/>
          <w:b/>
          <w:sz w:val="24"/>
          <w:szCs w:val="24"/>
        </w:rPr>
        <w:t xml:space="preserve">: Mean </w:t>
      </w:r>
      <w:r w:rsidR="000E59AC">
        <w:rPr>
          <w:rFonts w:ascii="Times New Roman" w:hAnsi="Times New Roman"/>
          <w:b/>
          <w:sz w:val="24"/>
          <w:szCs w:val="24"/>
        </w:rPr>
        <w:t>leaf area</w:t>
      </w:r>
      <w:r w:rsidR="000E59AC" w:rsidRPr="00725339">
        <w:rPr>
          <w:rFonts w:ascii="Times New Roman" w:hAnsi="Times New Roman"/>
          <w:b/>
          <w:sz w:val="24"/>
          <w:szCs w:val="24"/>
        </w:rPr>
        <w:t xml:space="preserve"> </w:t>
      </w:r>
      <w:r w:rsidR="000E59AC" w:rsidRPr="00FC31BD">
        <w:rPr>
          <w:rFonts w:ascii="Times New Roman" w:hAnsi="Times New Roman"/>
          <w:b/>
          <w:sz w:val="24"/>
          <w:szCs w:val="24"/>
        </w:rPr>
        <w:t>(cm</w:t>
      </w:r>
      <w:r w:rsidR="000E59AC" w:rsidRPr="00FC31BD">
        <w:rPr>
          <w:rFonts w:ascii="Times New Roman" w:hAnsi="Times New Roman"/>
          <w:b/>
          <w:sz w:val="24"/>
          <w:szCs w:val="24"/>
          <w:vertAlign w:val="superscript"/>
        </w:rPr>
        <w:t>2</w:t>
      </w:r>
      <w:r w:rsidR="000E59AC" w:rsidRPr="00FC31BD">
        <w:rPr>
          <w:rFonts w:ascii="Times New Roman" w:hAnsi="Times New Roman"/>
          <w:b/>
          <w:sz w:val="24"/>
          <w:szCs w:val="24"/>
        </w:rPr>
        <w:t>)</w:t>
      </w:r>
      <w:r w:rsidR="000E59AC">
        <w:rPr>
          <w:rFonts w:ascii="Times New Roman" w:hAnsi="Times New Roman"/>
          <w:b/>
          <w:sz w:val="24"/>
          <w:szCs w:val="24"/>
        </w:rPr>
        <w:t xml:space="preserve"> </w:t>
      </w:r>
      <w:r w:rsidR="000E59AC" w:rsidRPr="00725339">
        <w:rPr>
          <w:rFonts w:ascii="Times New Roman" w:hAnsi="Times New Roman"/>
          <w:b/>
          <w:sz w:val="24"/>
          <w:szCs w:val="24"/>
        </w:rPr>
        <w:t>variation of the five different plant species</w:t>
      </w:r>
    </w:p>
    <w:p w14:paraId="3232E597"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659EAE04"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0A5D5C5E" w14:textId="77777777" w:rsidTr="000E59AC">
        <w:trPr>
          <w:trHeight w:val="620"/>
        </w:trPr>
        <w:tc>
          <w:tcPr>
            <w:tcW w:w="2013" w:type="dxa"/>
            <w:vMerge w:val="restart"/>
            <w:tcBorders>
              <w:top w:val="single" w:sz="4" w:space="0" w:color="auto"/>
              <w:bottom w:val="nil"/>
            </w:tcBorders>
            <w:vAlign w:val="center"/>
          </w:tcPr>
          <w:p w14:paraId="1386B95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3280983E" w14:textId="77777777" w:rsidR="000E59AC" w:rsidRPr="00FC31BD" w:rsidRDefault="000E59AC" w:rsidP="000E59AC">
            <w:pPr>
              <w:jc w:val="center"/>
              <w:rPr>
                <w:rFonts w:ascii="Times New Roman" w:hAnsi="Times New Roman"/>
                <w:b/>
                <w:sz w:val="24"/>
                <w:szCs w:val="24"/>
              </w:rPr>
            </w:pPr>
            <w:proofErr w:type="gramStart"/>
            <w:r w:rsidRPr="00FC31BD">
              <w:rPr>
                <w:rFonts w:ascii="Times New Roman" w:hAnsi="Times New Roman"/>
                <w:b/>
                <w:sz w:val="24"/>
                <w:szCs w:val="24"/>
              </w:rPr>
              <w:t>Leaf  area</w:t>
            </w:r>
            <w:proofErr w:type="gramEnd"/>
            <w:r w:rsidRPr="00FC31BD">
              <w:rPr>
                <w:rFonts w:ascii="Times New Roman" w:hAnsi="Times New Roman"/>
                <w:b/>
                <w:sz w:val="24"/>
                <w:szCs w:val="24"/>
              </w:rPr>
              <w:t xml:space="preserve"> (cm</w:t>
            </w:r>
            <w:r w:rsidRPr="00FC31BD">
              <w:rPr>
                <w:rFonts w:ascii="Times New Roman" w:hAnsi="Times New Roman"/>
                <w:b/>
                <w:sz w:val="24"/>
                <w:szCs w:val="24"/>
                <w:vertAlign w:val="superscript"/>
              </w:rPr>
              <w:t>2</w:t>
            </w:r>
            <w:r w:rsidRPr="00FC31BD">
              <w:rPr>
                <w:rFonts w:ascii="Times New Roman" w:hAnsi="Times New Roman"/>
                <w:b/>
                <w:sz w:val="24"/>
                <w:szCs w:val="24"/>
              </w:rPr>
              <w:t>)</w:t>
            </w:r>
            <w:r>
              <w:rPr>
                <w:rFonts w:ascii="Times New Roman" w:hAnsi="Times New Roman"/>
                <w:b/>
                <w:sz w:val="24"/>
                <w:szCs w:val="24"/>
              </w:rPr>
              <w:t xml:space="preserve"> of seedlings</w:t>
            </w:r>
          </w:p>
        </w:tc>
      </w:tr>
      <w:tr w:rsidR="000E59AC" w:rsidRPr="00FC31BD" w14:paraId="23FD0DCF" w14:textId="77777777" w:rsidTr="000E59AC">
        <w:trPr>
          <w:gridAfter w:val="1"/>
          <w:wAfter w:w="6" w:type="dxa"/>
          <w:trHeight w:val="557"/>
        </w:trPr>
        <w:tc>
          <w:tcPr>
            <w:tcW w:w="2013" w:type="dxa"/>
            <w:vMerge/>
            <w:tcBorders>
              <w:top w:val="nil"/>
              <w:bottom w:val="single" w:sz="4" w:space="0" w:color="auto"/>
            </w:tcBorders>
            <w:vAlign w:val="center"/>
          </w:tcPr>
          <w:p w14:paraId="3AAD2D75"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0B5BAE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76CFB16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18D621A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69D4C3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22507D3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04DFDD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1B51A3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25EB7D7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5638B6E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58CD03F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C1D40D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194C6CF7"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295ED5AB" w14:textId="77777777" w:rsidTr="000E59AC">
        <w:trPr>
          <w:gridAfter w:val="1"/>
          <w:wAfter w:w="6" w:type="dxa"/>
          <w:trHeight w:val="773"/>
        </w:trPr>
        <w:tc>
          <w:tcPr>
            <w:tcW w:w="2013" w:type="dxa"/>
            <w:tcBorders>
              <w:top w:val="single" w:sz="4" w:space="0" w:color="auto"/>
            </w:tcBorders>
            <w:vAlign w:val="center"/>
          </w:tcPr>
          <w:p w14:paraId="3E077C0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402D79A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8.28</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2BA19B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10.58</w:t>
            </w:r>
            <w:r w:rsidRPr="00FC31BD">
              <w:rPr>
                <w:rFonts w:ascii="Times New Roman" w:hAnsi="Times New Roman"/>
                <w:sz w:val="24"/>
                <w:szCs w:val="24"/>
                <w:vertAlign w:val="superscript"/>
              </w:rPr>
              <w:t>d</w:t>
            </w:r>
          </w:p>
        </w:tc>
        <w:tc>
          <w:tcPr>
            <w:tcW w:w="992" w:type="dxa"/>
            <w:tcBorders>
              <w:top w:val="single" w:sz="4" w:space="0" w:color="auto"/>
            </w:tcBorders>
            <w:vAlign w:val="center"/>
          </w:tcPr>
          <w:p w14:paraId="71DBD7F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16.02</w:t>
            </w:r>
            <w:r w:rsidRPr="00FC31BD">
              <w:rPr>
                <w:rFonts w:ascii="Times New Roman" w:hAnsi="Times New Roman"/>
                <w:sz w:val="24"/>
                <w:szCs w:val="24"/>
                <w:vertAlign w:val="superscript"/>
              </w:rPr>
              <w:t>c</w:t>
            </w:r>
          </w:p>
        </w:tc>
        <w:tc>
          <w:tcPr>
            <w:tcW w:w="994" w:type="dxa"/>
            <w:tcBorders>
              <w:top w:val="single" w:sz="4" w:space="0" w:color="auto"/>
            </w:tcBorders>
            <w:vAlign w:val="center"/>
          </w:tcPr>
          <w:p w14:paraId="19F8D0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79714F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16.71</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0AFD2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22.32</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2CDA84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24.41</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286A8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26.57</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678B9F1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31.38</w:t>
            </w:r>
            <w:r w:rsidRPr="00FC31BD">
              <w:rPr>
                <w:rFonts w:ascii="Times New Roman" w:hAnsi="Times New Roman"/>
                <w:sz w:val="24"/>
                <w:szCs w:val="24"/>
                <w:vertAlign w:val="superscript"/>
              </w:rPr>
              <w:t>e</w:t>
            </w:r>
          </w:p>
        </w:tc>
        <w:tc>
          <w:tcPr>
            <w:tcW w:w="945" w:type="dxa"/>
            <w:tcBorders>
              <w:top w:val="single" w:sz="4" w:space="0" w:color="auto"/>
            </w:tcBorders>
            <w:vAlign w:val="center"/>
          </w:tcPr>
          <w:p w14:paraId="72645F8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0FB25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36.28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48D83465"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48.91</w:t>
            </w:r>
            <w:r w:rsidRPr="00FC31BD">
              <w:rPr>
                <w:rFonts w:ascii="Times New Roman" w:hAnsi="Times New Roman"/>
                <w:sz w:val="24"/>
                <w:szCs w:val="24"/>
                <w:vertAlign w:val="superscript"/>
              </w:rPr>
              <w:t>c</w:t>
            </w:r>
          </w:p>
        </w:tc>
      </w:tr>
      <w:tr w:rsidR="000E59AC" w:rsidRPr="00FC31BD" w14:paraId="64BF8491" w14:textId="77777777" w:rsidTr="000E59AC">
        <w:trPr>
          <w:gridAfter w:val="1"/>
          <w:wAfter w:w="6" w:type="dxa"/>
          <w:trHeight w:val="800"/>
        </w:trPr>
        <w:tc>
          <w:tcPr>
            <w:tcW w:w="2013" w:type="dxa"/>
            <w:vAlign w:val="center"/>
          </w:tcPr>
          <w:p w14:paraId="3637C5D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4AD45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c</w:t>
            </w:r>
          </w:p>
        </w:tc>
        <w:tc>
          <w:tcPr>
            <w:tcW w:w="990" w:type="dxa"/>
            <w:vAlign w:val="center"/>
          </w:tcPr>
          <w:p w14:paraId="565070D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12.24</w:t>
            </w:r>
            <w:r w:rsidRPr="00FC31BD">
              <w:rPr>
                <w:rFonts w:ascii="Times New Roman" w:hAnsi="Times New Roman"/>
                <w:sz w:val="24"/>
                <w:szCs w:val="24"/>
                <w:vertAlign w:val="superscript"/>
              </w:rPr>
              <w:t>c</w:t>
            </w:r>
          </w:p>
        </w:tc>
        <w:tc>
          <w:tcPr>
            <w:tcW w:w="992" w:type="dxa"/>
            <w:vAlign w:val="center"/>
          </w:tcPr>
          <w:p w14:paraId="670659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14.70</w:t>
            </w:r>
            <w:r w:rsidRPr="00FC31BD">
              <w:rPr>
                <w:rFonts w:ascii="Times New Roman" w:hAnsi="Times New Roman"/>
                <w:sz w:val="24"/>
                <w:szCs w:val="24"/>
                <w:vertAlign w:val="superscript"/>
              </w:rPr>
              <w:t>e</w:t>
            </w:r>
          </w:p>
        </w:tc>
        <w:tc>
          <w:tcPr>
            <w:tcW w:w="994" w:type="dxa"/>
            <w:vAlign w:val="center"/>
          </w:tcPr>
          <w:p w14:paraId="7999CD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17.19</w:t>
            </w:r>
            <w:r w:rsidRPr="00FC31BD">
              <w:rPr>
                <w:rFonts w:ascii="Times New Roman" w:hAnsi="Times New Roman"/>
                <w:sz w:val="24"/>
                <w:szCs w:val="24"/>
                <w:vertAlign w:val="superscript"/>
              </w:rPr>
              <w:t>d</w:t>
            </w:r>
          </w:p>
        </w:tc>
        <w:tc>
          <w:tcPr>
            <w:tcW w:w="953" w:type="dxa"/>
            <w:vAlign w:val="center"/>
          </w:tcPr>
          <w:p w14:paraId="1C6C9F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19.84</w:t>
            </w:r>
            <w:r w:rsidRPr="00FC31BD">
              <w:rPr>
                <w:rFonts w:ascii="Times New Roman" w:hAnsi="Times New Roman"/>
                <w:sz w:val="24"/>
                <w:szCs w:val="24"/>
                <w:vertAlign w:val="superscript"/>
              </w:rPr>
              <w:t>c</w:t>
            </w:r>
          </w:p>
        </w:tc>
        <w:tc>
          <w:tcPr>
            <w:tcW w:w="953" w:type="dxa"/>
            <w:vAlign w:val="center"/>
          </w:tcPr>
          <w:p w14:paraId="0E219E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22.42</w:t>
            </w:r>
            <w:r w:rsidRPr="00FC31BD">
              <w:rPr>
                <w:rFonts w:ascii="Times New Roman" w:hAnsi="Times New Roman"/>
                <w:sz w:val="24"/>
                <w:szCs w:val="24"/>
                <w:vertAlign w:val="superscript"/>
              </w:rPr>
              <w:t>d</w:t>
            </w:r>
          </w:p>
        </w:tc>
        <w:tc>
          <w:tcPr>
            <w:tcW w:w="986" w:type="dxa"/>
            <w:vAlign w:val="center"/>
          </w:tcPr>
          <w:p w14:paraId="3AD291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22.97</w:t>
            </w:r>
            <w:r w:rsidRPr="00FC31BD">
              <w:rPr>
                <w:rFonts w:ascii="Times New Roman" w:hAnsi="Times New Roman"/>
                <w:sz w:val="24"/>
                <w:szCs w:val="24"/>
                <w:vertAlign w:val="superscript"/>
              </w:rPr>
              <w:t>e</w:t>
            </w:r>
          </w:p>
        </w:tc>
        <w:tc>
          <w:tcPr>
            <w:tcW w:w="909" w:type="dxa"/>
            <w:vAlign w:val="center"/>
          </w:tcPr>
          <w:p w14:paraId="3B1BE6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28.19</w:t>
            </w:r>
            <w:r w:rsidRPr="00FC31BD">
              <w:rPr>
                <w:rFonts w:ascii="Times New Roman" w:hAnsi="Times New Roman"/>
                <w:sz w:val="24"/>
                <w:szCs w:val="24"/>
                <w:vertAlign w:val="superscript"/>
              </w:rPr>
              <w:t>c</w:t>
            </w:r>
          </w:p>
        </w:tc>
        <w:tc>
          <w:tcPr>
            <w:tcW w:w="918" w:type="dxa"/>
            <w:vAlign w:val="center"/>
          </w:tcPr>
          <w:p w14:paraId="385910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31.50</w:t>
            </w:r>
            <w:r w:rsidRPr="00FC31BD">
              <w:rPr>
                <w:rFonts w:ascii="Times New Roman" w:hAnsi="Times New Roman"/>
                <w:sz w:val="24"/>
                <w:szCs w:val="24"/>
                <w:vertAlign w:val="superscript"/>
              </w:rPr>
              <w:t>d</w:t>
            </w:r>
          </w:p>
        </w:tc>
        <w:tc>
          <w:tcPr>
            <w:tcW w:w="945" w:type="dxa"/>
            <w:vAlign w:val="center"/>
          </w:tcPr>
          <w:p w14:paraId="4BE390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35.08</w:t>
            </w:r>
            <w:r w:rsidRPr="00FC31BD">
              <w:rPr>
                <w:rFonts w:ascii="Times New Roman" w:hAnsi="Times New Roman"/>
                <w:sz w:val="24"/>
                <w:szCs w:val="24"/>
                <w:vertAlign w:val="superscript"/>
              </w:rPr>
              <w:t>d</w:t>
            </w:r>
          </w:p>
        </w:tc>
        <w:tc>
          <w:tcPr>
            <w:tcW w:w="901" w:type="dxa"/>
            <w:vAlign w:val="center"/>
          </w:tcPr>
          <w:p w14:paraId="741847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39.19</w:t>
            </w:r>
            <w:r w:rsidRPr="00FC31BD">
              <w:rPr>
                <w:rFonts w:ascii="Times New Roman" w:hAnsi="Times New Roman"/>
                <w:sz w:val="24"/>
                <w:szCs w:val="24"/>
                <w:vertAlign w:val="superscript"/>
              </w:rPr>
              <w:t>d</w:t>
            </w:r>
          </w:p>
        </w:tc>
        <w:tc>
          <w:tcPr>
            <w:tcW w:w="1165" w:type="dxa"/>
            <w:vAlign w:val="center"/>
          </w:tcPr>
          <w:p w14:paraId="62795BB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43.44</w:t>
            </w:r>
            <w:r w:rsidRPr="00FC31BD">
              <w:rPr>
                <w:rFonts w:ascii="Times New Roman" w:hAnsi="Times New Roman"/>
                <w:sz w:val="24"/>
                <w:szCs w:val="24"/>
                <w:vertAlign w:val="superscript"/>
              </w:rPr>
              <w:t>e</w:t>
            </w:r>
          </w:p>
        </w:tc>
      </w:tr>
      <w:tr w:rsidR="000E59AC" w:rsidRPr="00FC31BD" w14:paraId="6ED55D5C" w14:textId="77777777" w:rsidTr="000E59AC">
        <w:trPr>
          <w:gridAfter w:val="1"/>
          <w:wAfter w:w="6" w:type="dxa"/>
          <w:trHeight w:val="890"/>
        </w:trPr>
        <w:tc>
          <w:tcPr>
            <w:tcW w:w="2013" w:type="dxa"/>
            <w:vAlign w:val="center"/>
          </w:tcPr>
          <w:p w14:paraId="224DA4C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17B6B0D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27.52</w:t>
            </w:r>
            <w:r w:rsidRPr="00FC31BD">
              <w:rPr>
                <w:rFonts w:ascii="Times New Roman" w:hAnsi="Times New Roman"/>
                <w:sz w:val="24"/>
                <w:szCs w:val="24"/>
                <w:vertAlign w:val="superscript"/>
              </w:rPr>
              <w:t>a</w:t>
            </w:r>
          </w:p>
        </w:tc>
        <w:tc>
          <w:tcPr>
            <w:tcW w:w="990" w:type="dxa"/>
            <w:vAlign w:val="center"/>
          </w:tcPr>
          <w:p w14:paraId="56AC21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26.54</w:t>
            </w:r>
            <w:r w:rsidRPr="00FC31BD">
              <w:rPr>
                <w:rFonts w:ascii="Times New Roman" w:hAnsi="Times New Roman"/>
                <w:sz w:val="24"/>
                <w:szCs w:val="24"/>
                <w:vertAlign w:val="superscript"/>
              </w:rPr>
              <w:t>b</w:t>
            </w:r>
          </w:p>
        </w:tc>
        <w:tc>
          <w:tcPr>
            <w:tcW w:w="992" w:type="dxa"/>
            <w:vAlign w:val="center"/>
          </w:tcPr>
          <w:p w14:paraId="248622A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29.85</w:t>
            </w:r>
            <w:r w:rsidRPr="00FC31BD">
              <w:rPr>
                <w:rFonts w:ascii="Times New Roman" w:hAnsi="Times New Roman"/>
                <w:sz w:val="24"/>
                <w:szCs w:val="24"/>
                <w:vertAlign w:val="superscript"/>
              </w:rPr>
              <w:t>a</w:t>
            </w:r>
          </w:p>
        </w:tc>
        <w:tc>
          <w:tcPr>
            <w:tcW w:w="994" w:type="dxa"/>
            <w:vAlign w:val="center"/>
          </w:tcPr>
          <w:p w14:paraId="48EB08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b</w:t>
            </w:r>
          </w:p>
        </w:tc>
        <w:tc>
          <w:tcPr>
            <w:tcW w:w="953" w:type="dxa"/>
            <w:vAlign w:val="center"/>
          </w:tcPr>
          <w:p w14:paraId="7BB4CEE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38.15</w:t>
            </w:r>
            <w:r w:rsidRPr="00FC31BD">
              <w:rPr>
                <w:rFonts w:ascii="Times New Roman" w:hAnsi="Times New Roman"/>
                <w:sz w:val="24"/>
                <w:szCs w:val="24"/>
                <w:vertAlign w:val="superscript"/>
              </w:rPr>
              <w:t>a</w:t>
            </w:r>
          </w:p>
        </w:tc>
        <w:tc>
          <w:tcPr>
            <w:tcW w:w="953" w:type="dxa"/>
            <w:vAlign w:val="center"/>
          </w:tcPr>
          <w:p w14:paraId="627397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42.66</w:t>
            </w:r>
            <w:r w:rsidRPr="00FC31BD">
              <w:rPr>
                <w:rFonts w:ascii="Times New Roman" w:hAnsi="Times New Roman"/>
                <w:sz w:val="24"/>
                <w:szCs w:val="24"/>
                <w:vertAlign w:val="superscript"/>
              </w:rPr>
              <w:t>a</w:t>
            </w:r>
          </w:p>
        </w:tc>
        <w:tc>
          <w:tcPr>
            <w:tcW w:w="986" w:type="dxa"/>
            <w:vAlign w:val="center"/>
          </w:tcPr>
          <w:p w14:paraId="0782C46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47.01</w:t>
            </w:r>
            <w:r w:rsidRPr="00FC31BD">
              <w:rPr>
                <w:rFonts w:ascii="Times New Roman" w:hAnsi="Times New Roman"/>
                <w:sz w:val="24"/>
                <w:szCs w:val="24"/>
                <w:vertAlign w:val="superscript"/>
              </w:rPr>
              <w:t>a</w:t>
            </w:r>
          </w:p>
        </w:tc>
        <w:tc>
          <w:tcPr>
            <w:tcW w:w="909" w:type="dxa"/>
            <w:vAlign w:val="center"/>
          </w:tcPr>
          <w:p w14:paraId="3EB528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50.71</w:t>
            </w:r>
            <w:r w:rsidRPr="00FC31BD">
              <w:rPr>
                <w:rFonts w:ascii="Times New Roman" w:hAnsi="Times New Roman"/>
                <w:sz w:val="24"/>
                <w:szCs w:val="24"/>
                <w:vertAlign w:val="superscript"/>
              </w:rPr>
              <w:t>a</w:t>
            </w:r>
          </w:p>
        </w:tc>
        <w:tc>
          <w:tcPr>
            <w:tcW w:w="918" w:type="dxa"/>
            <w:vAlign w:val="center"/>
          </w:tcPr>
          <w:p w14:paraId="46F1502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54.79</w:t>
            </w:r>
            <w:r w:rsidRPr="00FC31BD">
              <w:rPr>
                <w:rFonts w:ascii="Times New Roman" w:hAnsi="Times New Roman"/>
                <w:sz w:val="24"/>
                <w:szCs w:val="24"/>
                <w:vertAlign w:val="superscript"/>
              </w:rPr>
              <w:t>b</w:t>
            </w:r>
          </w:p>
        </w:tc>
        <w:tc>
          <w:tcPr>
            <w:tcW w:w="945" w:type="dxa"/>
            <w:vAlign w:val="center"/>
          </w:tcPr>
          <w:p w14:paraId="329C48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58.98</w:t>
            </w:r>
            <w:r w:rsidRPr="00FC31BD">
              <w:rPr>
                <w:rFonts w:ascii="Times New Roman" w:hAnsi="Times New Roman"/>
                <w:sz w:val="24"/>
                <w:szCs w:val="24"/>
                <w:vertAlign w:val="superscript"/>
              </w:rPr>
              <w:t>a</w:t>
            </w:r>
          </w:p>
        </w:tc>
        <w:tc>
          <w:tcPr>
            <w:tcW w:w="901" w:type="dxa"/>
            <w:vAlign w:val="center"/>
          </w:tcPr>
          <w:p w14:paraId="309DC9C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63.24</w:t>
            </w:r>
            <w:r w:rsidRPr="00FC31BD">
              <w:rPr>
                <w:rFonts w:ascii="Times New Roman" w:hAnsi="Times New Roman"/>
                <w:sz w:val="24"/>
                <w:szCs w:val="24"/>
                <w:vertAlign w:val="superscript"/>
              </w:rPr>
              <w:t>a</w:t>
            </w:r>
          </w:p>
        </w:tc>
        <w:tc>
          <w:tcPr>
            <w:tcW w:w="1165" w:type="dxa"/>
            <w:vAlign w:val="center"/>
          </w:tcPr>
          <w:p w14:paraId="3052AD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67.26</w:t>
            </w:r>
            <w:r w:rsidRPr="00FC31BD">
              <w:rPr>
                <w:rFonts w:ascii="Times New Roman" w:hAnsi="Times New Roman"/>
                <w:sz w:val="24"/>
                <w:szCs w:val="24"/>
                <w:vertAlign w:val="superscript"/>
              </w:rPr>
              <w:t>b</w:t>
            </w:r>
          </w:p>
        </w:tc>
      </w:tr>
      <w:tr w:rsidR="000E59AC" w:rsidRPr="00FC31BD" w14:paraId="277181C6" w14:textId="77777777" w:rsidTr="000E59AC">
        <w:trPr>
          <w:gridAfter w:val="1"/>
          <w:wAfter w:w="6" w:type="dxa"/>
          <w:trHeight w:val="890"/>
        </w:trPr>
        <w:tc>
          <w:tcPr>
            <w:tcW w:w="2013" w:type="dxa"/>
            <w:vAlign w:val="center"/>
          </w:tcPr>
          <w:p w14:paraId="0A6B75E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5797E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24.69</w:t>
            </w:r>
            <w:r w:rsidRPr="00FC31BD">
              <w:rPr>
                <w:rFonts w:ascii="Times New Roman" w:hAnsi="Times New Roman"/>
                <w:sz w:val="24"/>
                <w:szCs w:val="24"/>
                <w:vertAlign w:val="superscript"/>
              </w:rPr>
              <w:t>b</w:t>
            </w:r>
          </w:p>
        </w:tc>
        <w:tc>
          <w:tcPr>
            <w:tcW w:w="990" w:type="dxa"/>
            <w:vAlign w:val="center"/>
          </w:tcPr>
          <w:p w14:paraId="799260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27.91</w:t>
            </w:r>
            <w:r w:rsidRPr="00FC31BD">
              <w:rPr>
                <w:rFonts w:ascii="Times New Roman" w:hAnsi="Times New Roman"/>
                <w:sz w:val="24"/>
                <w:szCs w:val="24"/>
                <w:vertAlign w:val="superscript"/>
              </w:rPr>
              <w:t>a</w:t>
            </w:r>
          </w:p>
        </w:tc>
        <w:tc>
          <w:tcPr>
            <w:tcW w:w="992" w:type="dxa"/>
            <w:vAlign w:val="center"/>
          </w:tcPr>
          <w:p w14:paraId="7F881B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28.07</w:t>
            </w:r>
            <w:r w:rsidRPr="00FC31BD">
              <w:rPr>
                <w:rFonts w:ascii="Times New Roman" w:hAnsi="Times New Roman"/>
                <w:sz w:val="24"/>
                <w:szCs w:val="24"/>
                <w:vertAlign w:val="superscript"/>
              </w:rPr>
              <w:t>b</w:t>
            </w:r>
          </w:p>
        </w:tc>
        <w:tc>
          <w:tcPr>
            <w:tcW w:w="994" w:type="dxa"/>
            <w:vAlign w:val="center"/>
          </w:tcPr>
          <w:p w14:paraId="23832D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35.32</w:t>
            </w:r>
            <w:r w:rsidRPr="00FC31BD">
              <w:rPr>
                <w:rFonts w:ascii="Times New Roman" w:hAnsi="Times New Roman"/>
                <w:sz w:val="24"/>
                <w:szCs w:val="24"/>
                <w:vertAlign w:val="superscript"/>
              </w:rPr>
              <w:t>a</w:t>
            </w:r>
          </w:p>
        </w:tc>
        <w:tc>
          <w:tcPr>
            <w:tcW w:w="953" w:type="dxa"/>
            <w:vAlign w:val="center"/>
          </w:tcPr>
          <w:p w14:paraId="7A64F9E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37.05</w:t>
            </w:r>
            <w:r w:rsidRPr="00FC31BD">
              <w:rPr>
                <w:rFonts w:ascii="Times New Roman" w:hAnsi="Times New Roman"/>
                <w:sz w:val="24"/>
                <w:szCs w:val="24"/>
                <w:vertAlign w:val="superscript"/>
              </w:rPr>
              <w:t>b</w:t>
            </w:r>
          </w:p>
        </w:tc>
        <w:tc>
          <w:tcPr>
            <w:tcW w:w="953" w:type="dxa"/>
            <w:vAlign w:val="center"/>
          </w:tcPr>
          <w:p w14:paraId="0ED428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41.39</w:t>
            </w:r>
            <w:r w:rsidRPr="00FC31BD">
              <w:rPr>
                <w:rFonts w:ascii="Times New Roman" w:hAnsi="Times New Roman"/>
                <w:sz w:val="24"/>
                <w:szCs w:val="24"/>
                <w:vertAlign w:val="superscript"/>
              </w:rPr>
              <w:t>b</w:t>
            </w:r>
          </w:p>
        </w:tc>
        <w:tc>
          <w:tcPr>
            <w:tcW w:w="986" w:type="dxa"/>
            <w:vAlign w:val="center"/>
          </w:tcPr>
          <w:p w14:paraId="7C2199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44.41</w:t>
            </w:r>
            <w:r w:rsidRPr="00FC31BD">
              <w:rPr>
                <w:rFonts w:ascii="Times New Roman" w:hAnsi="Times New Roman"/>
                <w:sz w:val="24"/>
                <w:szCs w:val="24"/>
                <w:vertAlign w:val="superscript"/>
              </w:rPr>
              <w:t>b</w:t>
            </w:r>
          </w:p>
        </w:tc>
        <w:tc>
          <w:tcPr>
            <w:tcW w:w="909" w:type="dxa"/>
            <w:vAlign w:val="center"/>
          </w:tcPr>
          <w:p w14:paraId="2FFA56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46.10</w:t>
            </w:r>
            <w:r w:rsidRPr="00FC31BD">
              <w:rPr>
                <w:rFonts w:ascii="Times New Roman" w:hAnsi="Times New Roman"/>
                <w:sz w:val="24"/>
                <w:szCs w:val="24"/>
                <w:vertAlign w:val="superscript"/>
              </w:rPr>
              <w:t>b</w:t>
            </w:r>
          </w:p>
        </w:tc>
        <w:tc>
          <w:tcPr>
            <w:tcW w:w="918" w:type="dxa"/>
            <w:vAlign w:val="center"/>
          </w:tcPr>
          <w:p w14:paraId="31C41D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49.00</w:t>
            </w:r>
            <w:r w:rsidRPr="00FC31BD">
              <w:rPr>
                <w:rFonts w:ascii="Times New Roman" w:hAnsi="Times New Roman"/>
                <w:sz w:val="24"/>
                <w:szCs w:val="24"/>
                <w:vertAlign w:val="superscript"/>
              </w:rPr>
              <w:t>a</w:t>
            </w:r>
          </w:p>
        </w:tc>
        <w:tc>
          <w:tcPr>
            <w:tcW w:w="945" w:type="dxa"/>
            <w:vAlign w:val="center"/>
          </w:tcPr>
          <w:p w14:paraId="4B9EE7E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54.30</w:t>
            </w:r>
            <w:r w:rsidRPr="00FC31BD">
              <w:rPr>
                <w:rFonts w:ascii="Times New Roman" w:hAnsi="Times New Roman"/>
                <w:sz w:val="24"/>
                <w:szCs w:val="24"/>
                <w:vertAlign w:val="superscript"/>
              </w:rPr>
              <w:t>b</w:t>
            </w:r>
          </w:p>
        </w:tc>
        <w:tc>
          <w:tcPr>
            <w:tcW w:w="901" w:type="dxa"/>
            <w:vAlign w:val="center"/>
          </w:tcPr>
          <w:p w14:paraId="2A33BCD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57.23</w:t>
            </w:r>
            <w:r w:rsidRPr="00FC31BD">
              <w:rPr>
                <w:rFonts w:ascii="Times New Roman" w:hAnsi="Times New Roman"/>
                <w:sz w:val="24"/>
                <w:szCs w:val="24"/>
                <w:vertAlign w:val="superscript"/>
              </w:rPr>
              <w:t>b</w:t>
            </w:r>
          </w:p>
        </w:tc>
        <w:tc>
          <w:tcPr>
            <w:tcW w:w="1165" w:type="dxa"/>
            <w:vAlign w:val="center"/>
          </w:tcPr>
          <w:p w14:paraId="1DDFA2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60.32</w:t>
            </w:r>
            <w:r w:rsidRPr="00FC31BD">
              <w:rPr>
                <w:rFonts w:ascii="Times New Roman" w:hAnsi="Times New Roman"/>
                <w:sz w:val="24"/>
                <w:szCs w:val="24"/>
                <w:vertAlign w:val="superscript"/>
              </w:rPr>
              <w:t>a</w:t>
            </w:r>
          </w:p>
        </w:tc>
      </w:tr>
      <w:tr w:rsidR="000E59AC" w:rsidRPr="00FC31BD" w14:paraId="3B43267C" w14:textId="77777777" w:rsidTr="000E59AC">
        <w:trPr>
          <w:gridAfter w:val="1"/>
          <w:wAfter w:w="6" w:type="dxa"/>
          <w:trHeight w:val="772"/>
        </w:trPr>
        <w:tc>
          <w:tcPr>
            <w:tcW w:w="2013" w:type="dxa"/>
            <w:vAlign w:val="center"/>
          </w:tcPr>
          <w:p w14:paraId="488C4D1D" w14:textId="645BADD3" w:rsidR="000E59AC" w:rsidRPr="00FC31BD" w:rsidRDefault="00125E7E" w:rsidP="000E59AC">
            <w:pPr>
              <w:jc w:val="center"/>
              <w:rPr>
                <w:rFonts w:ascii="Times New Roman" w:hAnsi="Times New Roman"/>
                <w:i/>
                <w:sz w:val="24"/>
                <w:szCs w:val="24"/>
              </w:rPr>
            </w:pPr>
            <w:r>
              <w:rPr>
                <w:rFonts w:ascii="Times New Roman" w:hAnsi="Times New Roman"/>
                <w:i/>
                <w:sz w:val="24"/>
                <w:szCs w:val="24"/>
              </w:rPr>
              <w:t xml:space="preserve">M. </w:t>
            </w:r>
            <w:proofErr w:type="spellStart"/>
            <w:r>
              <w:rPr>
                <w:rFonts w:ascii="Times New Roman" w:hAnsi="Times New Roman"/>
                <w:i/>
                <w:sz w:val="24"/>
                <w:szCs w:val="24"/>
              </w:rPr>
              <w:t>excelsa</w:t>
            </w:r>
            <w:proofErr w:type="spellEnd"/>
            <w:r>
              <w:rPr>
                <w:rFonts w:ascii="Times New Roman" w:hAnsi="Times New Roman"/>
                <w:i/>
                <w:sz w:val="24"/>
                <w:szCs w:val="24"/>
              </w:rPr>
              <w:t xml:space="preserve"> </w:t>
            </w:r>
            <w:r w:rsidR="000E59AC" w:rsidRPr="00FC31BD">
              <w:rPr>
                <w:rFonts w:ascii="Times New Roman" w:hAnsi="Times New Roman"/>
                <w:i/>
                <w:sz w:val="24"/>
                <w:szCs w:val="24"/>
              </w:rPr>
              <w:t>a</w:t>
            </w:r>
          </w:p>
        </w:tc>
        <w:tc>
          <w:tcPr>
            <w:tcW w:w="1042" w:type="dxa"/>
            <w:vAlign w:val="center"/>
          </w:tcPr>
          <w:p w14:paraId="4977369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7.24</w:t>
            </w:r>
            <w:r w:rsidRPr="00FC31BD">
              <w:rPr>
                <w:rFonts w:ascii="Times New Roman" w:hAnsi="Times New Roman"/>
                <w:sz w:val="24"/>
                <w:szCs w:val="24"/>
                <w:vertAlign w:val="superscript"/>
              </w:rPr>
              <w:t>e</w:t>
            </w:r>
          </w:p>
        </w:tc>
        <w:tc>
          <w:tcPr>
            <w:tcW w:w="990" w:type="dxa"/>
            <w:vAlign w:val="center"/>
          </w:tcPr>
          <w:p w14:paraId="7D7700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10.45</w:t>
            </w:r>
            <w:r w:rsidRPr="00FC31BD">
              <w:rPr>
                <w:rFonts w:ascii="Times New Roman" w:hAnsi="Times New Roman"/>
                <w:sz w:val="24"/>
                <w:szCs w:val="24"/>
                <w:vertAlign w:val="superscript"/>
              </w:rPr>
              <w:t>e</w:t>
            </w:r>
          </w:p>
        </w:tc>
        <w:tc>
          <w:tcPr>
            <w:tcW w:w="992" w:type="dxa"/>
            <w:vAlign w:val="center"/>
          </w:tcPr>
          <w:p w14:paraId="594D86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15.69</w:t>
            </w:r>
            <w:r w:rsidRPr="00FC31BD">
              <w:rPr>
                <w:rFonts w:ascii="Times New Roman" w:hAnsi="Times New Roman"/>
                <w:sz w:val="24"/>
                <w:szCs w:val="24"/>
                <w:vertAlign w:val="superscript"/>
              </w:rPr>
              <w:t>d</w:t>
            </w:r>
          </w:p>
        </w:tc>
        <w:tc>
          <w:tcPr>
            <w:tcW w:w="994" w:type="dxa"/>
            <w:vAlign w:val="center"/>
          </w:tcPr>
          <w:p w14:paraId="0E3B12F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17.73</w:t>
            </w:r>
            <w:r w:rsidRPr="00FC31BD">
              <w:rPr>
                <w:rFonts w:ascii="Times New Roman" w:hAnsi="Times New Roman"/>
                <w:sz w:val="24"/>
                <w:szCs w:val="24"/>
                <w:vertAlign w:val="superscript"/>
              </w:rPr>
              <w:t>c</w:t>
            </w:r>
          </w:p>
        </w:tc>
        <w:tc>
          <w:tcPr>
            <w:tcW w:w="953" w:type="dxa"/>
            <w:vAlign w:val="center"/>
          </w:tcPr>
          <w:p w14:paraId="0B5369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19.01</w:t>
            </w:r>
            <w:r w:rsidRPr="00FC31BD">
              <w:rPr>
                <w:rFonts w:ascii="Times New Roman" w:hAnsi="Times New Roman"/>
                <w:sz w:val="24"/>
                <w:szCs w:val="24"/>
                <w:vertAlign w:val="superscript"/>
              </w:rPr>
              <w:t>d</w:t>
            </w:r>
          </w:p>
        </w:tc>
        <w:tc>
          <w:tcPr>
            <w:tcW w:w="953" w:type="dxa"/>
            <w:vAlign w:val="center"/>
          </w:tcPr>
          <w:p w14:paraId="19FB3A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23.47</w:t>
            </w:r>
            <w:r w:rsidRPr="00FC31BD">
              <w:rPr>
                <w:rFonts w:ascii="Times New Roman" w:hAnsi="Times New Roman"/>
                <w:sz w:val="24"/>
                <w:szCs w:val="24"/>
                <w:vertAlign w:val="superscript"/>
              </w:rPr>
              <w:t>c</w:t>
            </w:r>
          </w:p>
        </w:tc>
        <w:tc>
          <w:tcPr>
            <w:tcW w:w="986" w:type="dxa"/>
            <w:vAlign w:val="center"/>
          </w:tcPr>
          <w:p w14:paraId="56092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27.11</w:t>
            </w:r>
            <w:r w:rsidRPr="00FC31BD">
              <w:rPr>
                <w:rFonts w:ascii="Times New Roman" w:hAnsi="Times New Roman"/>
                <w:sz w:val="24"/>
                <w:szCs w:val="24"/>
                <w:vertAlign w:val="superscript"/>
              </w:rPr>
              <w:t>d</w:t>
            </w:r>
          </w:p>
        </w:tc>
        <w:tc>
          <w:tcPr>
            <w:tcW w:w="909" w:type="dxa"/>
            <w:vAlign w:val="center"/>
          </w:tcPr>
          <w:p w14:paraId="38E986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30.53</w:t>
            </w:r>
            <w:r w:rsidRPr="00FC31BD">
              <w:rPr>
                <w:rFonts w:ascii="Times New Roman" w:hAnsi="Times New Roman"/>
                <w:sz w:val="24"/>
                <w:szCs w:val="24"/>
                <w:vertAlign w:val="superscript"/>
              </w:rPr>
              <w:t>d</w:t>
            </w:r>
          </w:p>
        </w:tc>
        <w:tc>
          <w:tcPr>
            <w:tcW w:w="918" w:type="dxa"/>
            <w:vAlign w:val="center"/>
          </w:tcPr>
          <w:p w14:paraId="71CAF4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33.40</w:t>
            </w:r>
            <w:r w:rsidRPr="00FC31BD">
              <w:rPr>
                <w:rFonts w:ascii="Times New Roman" w:hAnsi="Times New Roman"/>
                <w:sz w:val="24"/>
                <w:szCs w:val="24"/>
                <w:vertAlign w:val="superscript"/>
              </w:rPr>
              <w:t>c</w:t>
            </w:r>
          </w:p>
        </w:tc>
        <w:tc>
          <w:tcPr>
            <w:tcW w:w="945" w:type="dxa"/>
            <w:vAlign w:val="center"/>
          </w:tcPr>
          <w:p w14:paraId="120E120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38.55</w:t>
            </w:r>
            <w:r w:rsidRPr="00FC31BD">
              <w:rPr>
                <w:rFonts w:ascii="Times New Roman" w:hAnsi="Times New Roman"/>
                <w:sz w:val="24"/>
                <w:szCs w:val="24"/>
                <w:vertAlign w:val="superscript"/>
              </w:rPr>
              <w:t>c</w:t>
            </w:r>
          </w:p>
        </w:tc>
        <w:tc>
          <w:tcPr>
            <w:tcW w:w="901" w:type="dxa"/>
            <w:vAlign w:val="center"/>
          </w:tcPr>
          <w:p w14:paraId="40D609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40.10</w:t>
            </w:r>
            <w:r w:rsidRPr="00FC31BD">
              <w:rPr>
                <w:rFonts w:ascii="Times New Roman" w:hAnsi="Times New Roman"/>
                <w:sz w:val="24"/>
                <w:szCs w:val="24"/>
                <w:vertAlign w:val="superscript"/>
              </w:rPr>
              <w:t>c</w:t>
            </w:r>
          </w:p>
        </w:tc>
        <w:tc>
          <w:tcPr>
            <w:tcW w:w="1165" w:type="dxa"/>
            <w:vAlign w:val="center"/>
          </w:tcPr>
          <w:p w14:paraId="6E2923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43.55</w:t>
            </w:r>
            <w:r w:rsidRPr="00FC31BD">
              <w:rPr>
                <w:rFonts w:ascii="Times New Roman" w:hAnsi="Times New Roman"/>
                <w:sz w:val="24"/>
                <w:szCs w:val="24"/>
                <w:vertAlign w:val="superscript"/>
              </w:rPr>
              <w:t>d</w:t>
            </w:r>
          </w:p>
        </w:tc>
      </w:tr>
    </w:tbl>
    <w:p w14:paraId="1A28462E"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619121A" w14:textId="77777777" w:rsidR="000E59AC" w:rsidRDefault="000E59AC" w:rsidP="000E59AC">
      <w:pPr>
        <w:spacing w:line="480" w:lineRule="auto"/>
        <w:jc w:val="both"/>
        <w:rPr>
          <w:rFonts w:ascii="Times New Roman" w:hAnsi="Times New Roman"/>
          <w:b/>
          <w:sz w:val="24"/>
          <w:szCs w:val="24"/>
        </w:rPr>
      </w:pPr>
      <w:r w:rsidRPr="00216AE2">
        <w:rPr>
          <w:rFonts w:ascii="Times New Roman" w:hAnsi="Times New Roman"/>
          <w:b/>
          <w:sz w:val="24"/>
          <w:szCs w:val="24"/>
        </w:rPr>
        <w:lastRenderedPageBreak/>
        <w:t xml:space="preserve"> Germination</w:t>
      </w:r>
      <w:r w:rsidRPr="00027A5B">
        <w:rPr>
          <w:rFonts w:ascii="Times New Roman" w:hAnsi="Times New Roman"/>
          <w:b/>
          <w:sz w:val="24"/>
          <w:szCs w:val="24"/>
        </w:rPr>
        <w:t xml:space="preserve"> Characteristics</w:t>
      </w:r>
    </w:p>
    <w:p w14:paraId="5AD83C8C" w14:textId="77777777" w:rsidR="000E59A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Germination percentage (%)</w:t>
      </w:r>
    </w:p>
    <w:p w14:paraId="34979D2E" w14:textId="5F12541C" w:rsidR="000E59AC" w:rsidRPr="005F2B1D" w:rsidRDefault="00FA6AEF" w:rsidP="000E59AC">
      <w:pPr>
        <w:spacing w:line="480" w:lineRule="auto"/>
        <w:jc w:val="both"/>
        <w:rPr>
          <w:rFonts w:ascii="Times New Roman" w:hAnsi="Times New Roman"/>
          <w:sz w:val="24"/>
          <w:szCs w:val="24"/>
        </w:rPr>
      </w:pPr>
      <w:r>
        <w:rPr>
          <w:rFonts w:ascii="Times New Roman" w:hAnsi="Times New Roman"/>
          <w:sz w:val="24"/>
          <w:szCs w:val="24"/>
        </w:rPr>
        <w:t>Figure</w:t>
      </w:r>
      <w:r w:rsidR="000E59AC">
        <w:rPr>
          <w:rFonts w:ascii="Times New Roman" w:hAnsi="Times New Roman"/>
          <w:sz w:val="24"/>
          <w:szCs w:val="24"/>
        </w:rPr>
        <w:t>.1 presents</w:t>
      </w:r>
      <w:r w:rsidR="000E59AC" w:rsidRPr="004B4D0F">
        <w:rPr>
          <w:rFonts w:ascii="Times New Roman" w:hAnsi="Times New Roman"/>
          <w:sz w:val="24"/>
          <w:szCs w:val="24"/>
        </w:rPr>
        <w:t xml:space="preserve"> germination pe</w:t>
      </w:r>
      <w:r w:rsidR="000E59AC">
        <w:rPr>
          <w:rFonts w:ascii="Times New Roman" w:hAnsi="Times New Roman"/>
          <w:sz w:val="24"/>
          <w:szCs w:val="24"/>
        </w:rPr>
        <w:t xml:space="preserve">rcentage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i/>
          <w:sz w:val="24"/>
          <w:szCs w:val="24"/>
        </w:rPr>
        <w:t>,</w:t>
      </w:r>
      <w:proofErr w:type="gram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sz w:val="24"/>
          <w:szCs w:val="24"/>
        </w:rPr>
        <w:t xml:space="preserve"> recorded</w:t>
      </w:r>
      <w:proofErr w:type="gramEnd"/>
      <w:r w:rsidR="000E59AC">
        <w:rPr>
          <w:rFonts w:ascii="Times New Roman" w:hAnsi="Times New Roman"/>
          <w:sz w:val="24"/>
          <w:szCs w:val="24"/>
        </w:rPr>
        <w:t xml:space="preserve"> the highest number of germination percentage (25%),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20.8%,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16.66%.</w:t>
      </w:r>
    </w:p>
    <w:p w14:paraId="3775AAC7" w14:textId="77777777" w:rsidR="000E59AC" w:rsidRDefault="000E59AC" w:rsidP="000E59AC">
      <w:pPr>
        <w:spacing w:line="480" w:lineRule="auto"/>
        <w:jc w:val="both"/>
        <w:rPr>
          <w:rFonts w:ascii="Times New Roman" w:hAnsi="Times New Roman"/>
          <w:b/>
          <w:sz w:val="24"/>
          <w:szCs w:val="24"/>
        </w:rPr>
      </w:pPr>
      <w:r w:rsidRPr="005F2B1D">
        <w:rPr>
          <w:rFonts w:ascii="Times New Roman" w:hAnsi="Times New Roman"/>
          <w:b/>
          <w:sz w:val="24"/>
          <w:szCs w:val="24"/>
        </w:rPr>
        <w:t xml:space="preserve"> Germination</w:t>
      </w:r>
      <w:r>
        <w:rPr>
          <w:rFonts w:ascii="Times New Roman" w:hAnsi="Times New Roman"/>
          <w:b/>
          <w:sz w:val="24"/>
          <w:szCs w:val="24"/>
        </w:rPr>
        <w:t xml:space="preserve"> rate</w:t>
      </w:r>
    </w:p>
    <w:p w14:paraId="38256F8E" w14:textId="225FD936" w:rsidR="000E59AC" w:rsidRDefault="00FA6AEF" w:rsidP="000E59AC">
      <w:pPr>
        <w:spacing w:line="480" w:lineRule="auto"/>
        <w:jc w:val="both"/>
        <w:rPr>
          <w:rFonts w:ascii="Times New Roman" w:hAnsi="Times New Roman"/>
          <w:sz w:val="24"/>
          <w:szCs w:val="24"/>
        </w:rPr>
      </w:pPr>
      <w:r>
        <w:rPr>
          <w:rFonts w:ascii="Times New Roman" w:hAnsi="Times New Roman"/>
          <w:sz w:val="24"/>
          <w:szCs w:val="24"/>
        </w:rPr>
        <w:t>Fig 2</w:t>
      </w:r>
      <w:r w:rsidR="000E59AC">
        <w:rPr>
          <w:rFonts w:ascii="Times New Roman" w:hAnsi="Times New Roman"/>
          <w:sz w:val="24"/>
          <w:szCs w:val="24"/>
        </w:rPr>
        <w:t xml:space="preserve">. presents germination rates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i/>
          <w:sz w:val="24"/>
          <w:szCs w:val="24"/>
        </w:rPr>
        <w:t>,</w:t>
      </w:r>
      <w:proofErr w:type="gram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125E7E">
        <w:rPr>
          <w:rFonts w:ascii="Times New Roman" w:hAnsi="Times New Roman"/>
          <w:i/>
          <w:sz w:val="24"/>
          <w:szCs w:val="24"/>
        </w:rPr>
        <w:t xml:space="preserve">M. </w:t>
      </w:r>
      <w:proofErr w:type="spellStart"/>
      <w:proofErr w:type="gramStart"/>
      <w:r w:rsidR="00125E7E">
        <w:rPr>
          <w:rFonts w:ascii="Times New Roman" w:hAnsi="Times New Roman"/>
          <w:i/>
          <w:sz w:val="24"/>
          <w:szCs w:val="24"/>
        </w:rPr>
        <w:t>excelsa</w:t>
      </w:r>
      <w:proofErr w:type="spellEnd"/>
      <w:r w:rsidR="00125E7E">
        <w:rPr>
          <w:rFonts w:ascii="Times New Roman" w:hAnsi="Times New Roman"/>
          <w:i/>
          <w:sz w:val="24"/>
          <w:szCs w:val="24"/>
        </w:rPr>
        <w:t xml:space="preserve"> </w:t>
      </w:r>
      <w:r w:rsidR="000E59AC">
        <w:rPr>
          <w:rFonts w:ascii="Times New Roman" w:hAnsi="Times New Roman"/>
          <w:sz w:val="24"/>
          <w:szCs w:val="24"/>
        </w:rPr>
        <w:t xml:space="preserve"> recorded</w:t>
      </w:r>
      <w:proofErr w:type="gramEnd"/>
      <w:r w:rsidR="000E59AC">
        <w:rPr>
          <w:rFonts w:ascii="Times New Roman" w:hAnsi="Times New Roman"/>
          <w:sz w:val="24"/>
          <w:szCs w:val="24"/>
        </w:rPr>
        <w:t xml:space="preserve"> the highest number of germination rate of 3.57,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2.97,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2.38.</w:t>
      </w:r>
    </w:p>
    <w:p w14:paraId="0F357D92" w14:textId="77777777" w:rsidR="000E59AC" w:rsidRDefault="000E59AC" w:rsidP="000E59AC">
      <w:pPr>
        <w:spacing w:line="480" w:lineRule="auto"/>
        <w:jc w:val="both"/>
        <w:rPr>
          <w:rFonts w:ascii="Times New Roman" w:hAnsi="Times New Roman"/>
          <w:sz w:val="24"/>
          <w:szCs w:val="24"/>
        </w:rPr>
      </w:pPr>
    </w:p>
    <w:p w14:paraId="121EFB7F" w14:textId="77777777" w:rsidR="000E59AC" w:rsidRDefault="000E59AC" w:rsidP="000E59AC">
      <w:r>
        <w:rPr>
          <w:noProof/>
        </w:rPr>
        <w:drawing>
          <wp:inline distT="0" distB="0" distL="0" distR="0" wp14:anchorId="13E65C8E" wp14:editId="07797680">
            <wp:extent cx="5628640" cy="3277590"/>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A2E61E" w14:textId="758801D7" w:rsidR="000E59AC" w:rsidRDefault="00FA6AEF" w:rsidP="000E59AC">
      <w:pPr>
        <w:rPr>
          <w:rFonts w:ascii="Times New Roman" w:hAnsi="Times New Roman"/>
          <w:sz w:val="24"/>
          <w:szCs w:val="24"/>
        </w:rPr>
      </w:pPr>
      <w:r>
        <w:rPr>
          <w:rFonts w:ascii="Times New Roman" w:hAnsi="Times New Roman"/>
          <w:sz w:val="24"/>
          <w:szCs w:val="24"/>
        </w:rPr>
        <w:lastRenderedPageBreak/>
        <w:t>Fig</w:t>
      </w:r>
      <w:r w:rsidR="000E59AC">
        <w:rPr>
          <w:rFonts w:ascii="Times New Roman" w:hAnsi="Times New Roman"/>
          <w:sz w:val="24"/>
          <w:szCs w:val="24"/>
        </w:rPr>
        <w:t>.1: Germination percentage (%) of five different plant species</w:t>
      </w:r>
    </w:p>
    <w:p w14:paraId="0962E278" w14:textId="77777777" w:rsidR="000E59AC" w:rsidRDefault="000E59AC" w:rsidP="000E59AC"/>
    <w:p w14:paraId="3196D9B4" w14:textId="77777777" w:rsidR="000E59AC" w:rsidRDefault="000E59AC" w:rsidP="000E59AC">
      <w:r w:rsidRPr="00F82D10">
        <w:rPr>
          <w:noProof/>
          <w:sz w:val="26"/>
        </w:rPr>
        <w:drawing>
          <wp:inline distT="0" distB="0" distL="0" distR="0" wp14:anchorId="59C3C7D8" wp14:editId="46D67DEA">
            <wp:extent cx="5711825" cy="3443844"/>
            <wp:effectExtent l="0" t="0" r="317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2AAC81" w14:textId="7DBB9B39" w:rsidR="000E59AC" w:rsidRDefault="00FA6AEF" w:rsidP="000E59AC">
      <w:pPr>
        <w:rPr>
          <w:rFonts w:ascii="Times New Roman" w:hAnsi="Times New Roman"/>
          <w:sz w:val="24"/>
          <w:szCs w:val="24"/>
        </w:rPr>
      </w:pPr>
      <w:r>
        <w:rPr>
          <w:rFonts w:ascii="Times New Roman" w:hAnsi="Times New Roman"/>
          <w:sz w:val="24"/>
          <w:szCs w:val="24"/>
        </w:rPr>
        <w:t>Fig</w:t>
      </w:r>
      <w:r w:rsidR="000E59AC">
        <w:rPr>
          <w:rFonts w:ascii="Times New Roman" w:hAnsi="Times New Roman"/>
          <w:sz w:val="24"/>
          <w:szCs w:val="24"/>
        </w:rPr>
        <w:t>.2: Germination rate of five different plant species</w:t>
      </w:r>
    </w:p>
    <w:p w14:paraId="172889BD" w14:textId="77777777" w:rsidR="000E59AC" w:rsidRDefault="000E59AC" w:rsidP="000E59AC"/>
    <w:p w14:paraId="0938C5F9" w14:textId="77777777" w:rsidR="000E59AC" w:rsidRDefault="000E59AC" w:rsidP="000E59AC">
      <w:pPr>
        <w:spacing w:line="480" w:lineRule="auto"/>
        <w:jc w:val="both"/>
        <w:rPr>
          <w:rFonts w:ascii="Times New Roman" w:hAnsi="Times New Roman"/>
          <w:b/>
          <w:sz w:val="24"/>
          <w:szCs w:val="24"/>
        </w:rPr>
      </w:pPr>
      <w:r>
        <w:rPr>
          <w:noProof/>
        </w:rPr>
        <w:drawing>
          <wp:inline distT="0" distB="0" distL="0" distR="0" wp14:anchorId="2DA948AF" wp14:editId="525630C6">
            <wp:extent cx="5616575" cy="3028208"/>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0F8F50" w14:textId="213EDF4E" w:rsidR="000E59AC" w:rsidRPr="0065061B" w:rsidRDefault="00FA6AEF" w:rsidP="000E59AC">
      <w:pPr>
        <w:spacing w:line="480" w:lineRule="auto"/>
        <w:jc w:val="both"/>
        <w:rPr>
          <w:rFonts w:ascii="Times New Roman" w:hAnsi="Times New Roman"/>
          <w:sz w:val="24"/>
          <w:szCs w:val="24"/>
        </w:rPr>
      </w:pPr>
      <w:r>
        <w:rPr>
          <w:rFonts w:ascii="Times New Roman" w:hAnsi="Times New Roman"/>
          <w:sz w:val="24"/>
          <w:szCs w:val="24"/>
        </w:rPr>
        <w:t>Fig</w:t>
      </w:r>
      <w:r w:rsidR="000E59AC" w:rsidRPr="0065061B">
        <w:rPr>
          <w:rFonts w:ascii="Times New Roman" w:hAnsi="Times New Roman"/>
          <w:sz w:val="24"/>
          <w:szCs w:val="24"/>
        </w:rPr>
        <w:t>.3: Pre-soaking effect of cold water on germination performance of plant species</w:t>
      </w:r>
    </w:p>
    <w:p w14:paraId="4FB4E9BA"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lastRenderedPageBreak/>
        <w:t>Discussion</w:t>
      </w:r>
    </w:p>
    <w:p w14:paraId="1D81BC41" w14:textId="5DF33113" w:rsidR="00E93701" w:rsidRPr="00E93701" w:rsidRDefault="00E93701" w:rsidP="00E93701">
      <w:pPr>
        <w:spacing w:after="0" w:line="360" w:lineRule="auto"/>
        <w:jc w:val="both"/>
        <w:rPr>
          <w:rFonts w:ascii="Times New Roman" w:hAnsi="Times New Roman"/>
          <w:sz w:val="24"/>
          <w:szCs w:val="24"/>
        </w:rPr>
      </w:pPr>
      <w:bookmarkStart w:id="0" w:name="_Hlk218868534"/>
      <w:bookmarkStart w:id="1" w:name="_Hlk226454370"/>
      <w:r w:rsidRPr="00E93701">
        <w:rPr>
          <w:rFonts w:ascii="Times New Roman" w:hAnsi="Times New Roman"/>
          <w:sz w:val="24"/>
          <w:szCs w:val="24"/>
        </w:rPr>
        <w:t xml:space="preserve">The early growth responses observed among the five tropical timber species highlight clear interspecific differences in regeneration strategies, which are strongly shaped by both phylogenetic affiliation and ecological adaptation. Across all parameters measured,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consistently exhibited superior performance in height and structural growth, whereas </w:t>
      </w:r>
      <w:r w:rsidRPr="00E93701">
        <w:rPr>
          <w:rFonts w:ascii="Times New Roman" w:hAnsi="Times New Roman"/>
          <w:i/>
          <w:iCs/>
          <w:sz w:val="24"/>
          <w:szCs w:val="24"/>
        </w:rPr>
        <w:t>Garcinia kola</w:t>
      </w:r>
      <w:r w:rsidRPr="00E93701">
        <w:rPr>
          <w:rFonts w:ascii="Times New Roman" w:hAnsi="Times New Roman"/>
          <w:sz w:val="24"/>
          <w:szCs w:val="24"/>
        </w:rPr>
        <w:t xml:space="preserve"> and </w:t>
      </w:r>
      <w:proofErr w:type="spellStart"/>
      <w:r w:rsidRPr="00412E1E">
        <w:rPr>
          <w:rFonts w:ascii="Times New Roman" w:hAnsi="Times New Roman"/>
          <w:i/>
          <w:sz w:val="24"/>
          <w:szCs w:val="24"/>
        </w:rPr>
        <w:t>Gambeya</w:t>
      </w:r>
      <w:proofErr w:type="spellEnd"/>
      <w:r w:rsidRPr="00412E1E">
        <w:rPr>
          <w:rFonts w:ascii="Times New Roman" w:hAnsi="Times New Roman"/>
          <w:i/>
          <w:sz w:val="24"/>
          <w:szCs w:val="24"/>
        </w:rPr>
        <w:t xml:space="preserve"> </w:t>
      </w:r>
      <w:proofErr w:type="spellStart"/>
      <w:r w:rsidRPr="00412E1E">
        <w:rPr>
          <w:rFonts w:ascii="Times New Roman" w:hAnsi="Times New Roman"/>
          <w:i/>
          <w:sz w:val="24"/>
          <w:szCs w:val="24"/>
        </w:rPr>
        <w:t>albida</w:t>
      </w:r>
      <w:proofErr w:type="spellEnd"/>
      <w:r w:rsidRPr="00E93701">
        <w:rPr>
          <w:rFonts w:ascii="Times New Roman" w:hAnsi="Times New Roman"/>
          <w:sz w:val="24"/>
          <w:szCs w:val="24"/>
        </w:rPr>
        <w:t xml:space="preserve"> demonstrated traits associated with shade tolerance, particularly in leaf development. </w:t>
      </w:r>
      <w:proofErr w:type="spellStart"/>
      <w:r w:rsidRPr="00E93701">
        <w:rPr>
          <w:rFonts w:ascii="Times New Roman" w:hAnsi="Times New Roman"/>
          <w:i/>
          <w:iCs/>
          <w:sz w:val="24"/>
          <w:szCs w:val="24"/>
        </w:rPr>
        <w:t>Entandrophragma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cylindricum</w:t>
      </w:r>
      <w:proofErr w:type="spellEnd"/>
      <w:r w:rsidRPr="00E93701">
        <w:rPr>
          <w:rFonts w:ascii="Times New Roman" w:hAnsi="Times New Roman"/>
          <w:sz w:val="24"/>
          <w:szCs w:val="24"/>
        </w:rPr>
        <w:t xml:space="preserve">, on the other hand, displayed slower growth across most parameters, reflecting a conservative growth strategy typical of late-successional </w:t>
      </w:r>
      <w:proofErr w:type="spellStart"/>
      <w:r w:rsidRPr="00E93701">
        <w:rPr>
          <w:rFonts w:ascii="Times New Roman" w:hAnsi="Times New Roman"/>
          <w:sz w:val="24"/>
          <w:szCs w:val="24"/>
        </w:rPr>
        <w:t>Meliaceae</w:t>
      </w:r>
      <w:proofErr w:type="spellEnd"/>
      <w:r w:rsidRPr="00E93701">
        <w:rPr>
          <w:rFonts w:ascii="Times New Roman" w:hAnsi="Times New Roman"/>
          <w:sz w:val="24"/>
          <w:szCs w:val="24"/>
        </w:rPr>
        <w:t xml:space="preserve"> species (Hall, 2008;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2021). These findings reinforce the concept that early seedling performance is not uniform across tropical tree taxa but is instead driven by species-specific ecological niches and evolutionary history (</w:t>
      </w:r>
      <w:proofErr w:type="spellStart"/>
      <w:r w:rsidRPr="00E93701">
        <w:rPr>
          <w:rFonts w:ascii="Times New Roman" w:hAnsi="Times New Roman"/>
          <w:sz w:val="24"/>
          <w:szCs w:val="24"/>
        </w:rPr>
        <w:t>Oluwajuwon</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2022; </w:t>
      </w:r>
      <w:proofErr w:type="spellStart"/>
      <w:r w:rsidRPr="00E93701">
        <w:rPr>
          <w:rFonts w:ascii="Times New Roman" w:hAnsi="Times New Roman"/>
          <w:sz w:val="24"/>
          <w:szCs w:val="24"/>
        </w:rPr>
        <w:t>Grossnickle</w:t>
      </w:r>
      <w:proofErr w:type="spellEnd"/>
      <w:r w:rsidRPr="00E93701">
        <w:rPr>
          <w:rFonts w:ascii="Times New Roman" w:hAnsi="Times New Roman"/>
          <w:sz w:val="24"/>
          <w:szCs w:val="24"/>
        </w:rPr>
        <w:t xml:space="preserve"> &amp; MacDonald, 2018).</w:t>
      </w:r>
    </w:p>
    <w:p w14:paraId="151FDC43" w14:textId="15FE9E77"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From a comparative standpoint, species within phylogenetically related groups showed patterns consistent with previous studies. For instance, </w:t>
      </w:r>
      <w:proofErr w:type="spellStart"/>
      <w:r w:rsidRPr="00E93701">
        <w:rPr>
          <w:rFonts w:ascii="Times New Roman" w:hAnsi="Times New Roman"/>
          <w:i/>
          <w:iCs/>
          <w:sz w:val="24"/>
          <w:szCs w:val="24"/>
        </w:rPr>
        <w:t>Entandrophragma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cylindricum</w:t>
      </w:r>
      <w:proofErr w:type="spellEnd"/>
      <w:r w:rsidRPr="00E93701">
        <w:rPr>
          <w:rFonts w:ascii="Times New Roman" w:hAnsi="Times New Roman"/>
          <w:sz w:val="24"/>
          <w:szCs w:val="24"/>
        </w:rPr>
        <w:t xml:space="preserve">, belonging to the </w:t>
      </w:r>
      <w:proofErr w:type="spellStart"/>
      <w:r w:rsidRPr="00E93701">
        <w:rPr>
          <w:rFonts w:ascii="Times New Roman" w:hAnsi="Times New Roman"/>
          <w:sz w:val="24"/>
          <w:szCs w:val="24"/>
        </w:rPr>
        <w:t>Meliaceae</w:t>
      </w:r>
      <w:proofErr w:type="spellEnd"/>
      <w:r w:rsidRPr="00E93701">
        <w:rPr>
          <w:rFonts w:ascii="Times New Roman" w:hAnsi="Times New Roman"/>
          <w:sz w:val="24"/>
          <w:szCs w:val="24"/>
        </w:rPr>
        <w:t xml:space="preserve"> family, exhibited relatively slow height and diameter growth, which aligns with documented growth patterns of other </w:t>
      </w:r>
      <w:proofErr w:type="spellStart"/>
      <w:r w:rsidRPr="00E93701">
        <w:rPr>
          <w:rFonts w:ascii="Times New Roman" w:hAnsi="Times New Roman"/>
          <w:sz w:val="24"/>
          <w:szCs w:val="24"/>
        </w:rPr>
        <w:t>Meliaceae</w:t>
      </w:r>
      <w:proofErr w:type="spellEnd"/>
      <w:r w:rsidRPr="00E93701">
        <w:rPr>
          <w:rFonts w:ascii="Times New Roman" w:hAnsi="Times New Roman"/>
          <w:sz w:val="24"/>
          <w:szCs w:val="24"/>
        </w:rPr>
        <w:t xml:space="preserve"> species such as </w:t>
      </w:r>
      <w:r w:rsidRPr="00E93701">
        <w:rPr>
          <w:rFonts w:ascii="Times New Roman" w:hAnsi="Times New Roman"/>
          <w:i/>
          <w:iCs/>
          <w:sz w:val="24"/>
          <w:szCs w:val="24"/>
        </w:rPr>
        <w:t xml:space="preserve">Khaya </w:t>
      </w:r>
      <w:proofErr w:type="spellStart"/>
      <w:r w:rsidRPr="00E93701">
        <w:rPr>
          <w:rFonts w:ascii="Times New Roman" w:hAnsi="Times New Roman"/>
          <w:i/>
          <w:iCs/>
          <w:sz w:val="24"/>
          <w:szCs w:val="24"/>
        </w:rPr>
        <w:t>ivorensis</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Swietenia</w:t>
      </w:r>
      <w:proofErr w:type="spellEnd"/>
      <w:r w:rsidRPr="00E93701">
        <w:rPr>
          <w:rFonts w:ascii="Times New Roman" w:hAnsi="Times New Roman"/>
          <w:i/>
          <w:iCs/>
          <w:sz w:val="24"/>
          <w:szCs w:val="24"/>
        </w:rPr>
        <w:t xml:space="preserve"> macrophylla</w:t>
      </w:r>
      <w:r w:rsidRPr="00E93701">
        <w:rPr>
          <w:rFonts w:ascii="Times New Roman" w:hAnsi="Times New Roman"/>
          <w:sz w:val="24"/>
          <w:szCs w:val="24"/>
        </w:rPr>
        <w:t xml:space="preserve">, both of which are characterized by slow juvenile growth but high long-term biomass accumulation (Hall, 2008; Ofori </w:t>
      </w:r>
      <w:r w:rsidR="00412E1E" w:rsidRPr="00412E1E">
        <w:rPr>
          <w:rFonts w:ascii="Times New Roman" w:hAnsi="Times New Roman"/>
          <w:i/>
          <w:sz w:val="24"/>
          <w:szCs w:val="24"/>
        </w:rPr>
        <w:t>et al.,</w:t>
      </w:r>
      <w:r w:rsidRPr="00E93701">
        <w:rPr>
          <w:rFonts w:ascii="Times New Roman" w:hAnsi="Times New Roman"/>
          <w:sz w:val="24"/>
          <w:szCs w:val="24"/>
        </w:rPr>
        <w:t xml:space="preserve"> 2007). Similarly, the strong early growth observed in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w:t>
      </w:r>
      <w:proofErr w:type="spellStart"/>
      <w:r w:rsidRPr="00E93701">
        <w:rPr>
          <w:rFonts w:ascii="Times New Roman" w:hAnsi="Times New Roman"/>
          <w:sz w:val="24"/>
          <w:szCs w:val="24"/>
        </w:rPr>
        <w:t>Moraceae</w:t>
      </w:r>
      <w:proofErr w:type="spellEnd"/>
      <w:r w:rsidRPr="00E93701">
        <w:rPr>
          <w:rFonts w:ascii="Times New Roman" w:hAnsi="Times New Roman"/>
          <w:sz w:val="24"/>
          <w:szCs w:val="24"/>
        </w:rPr>
        <w:t xml:space="preserve">) corresponds with reports on related </w:t>
      </w:r>
      <w:proofErr w:type="spellStart"/>
      <w:r w:rsidRPr="00E93701">
        <w:rPr>
          <w:rFonts w:ascii="Times New Roman" w:hAnsi="Times New Roman"/>
          <w:sz w:val="24"/>
          <w:szCs w:val="24"/>
        </w:rPr>
        <w:t>Moraceae</w:t>
      </w:r>
      <w:proofErr w:type="spellEnd"/>
      <w:r w:rsidRPr="00E93701">
        <w:rPr>
          <w:rFonts w:ascii="Times New Roman" w:hAnsi="Times New Roman"/>
          <w:sz w:val="24"/>
          <w:szCs w:val="24"/>
        </w:rPr>
        <w:t xml:space="preserve"> species, which often exhibit rapid juvenile growth and strong competitive ability under high light conditions (</w:t>
      </w:r>
      <w:proofErr w:type="spellStart"/>
      <w:r w:rsidRPr="00E93701">
        <w:rPr>
          <w:rFonts w:ascii="Times New Roman" w:hAnsi="Times New Roman"/>
          <w:sz w:val="24"/>
          <w:szCs w:val="24"/>
        </w:rPr>
        <w:t>Nzekwe</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2013;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&amp; </w:t>
      </w:r>
      <w:proofErr w:type="spellStart"/>
      <w:r w:rsidRPr="00E93701">
        <w:rPr>
          <w:rFonts w:ascii="Times New Roman" w:hAnsi="Times New Roman"/>
          <w:sz w:val="24"/>
          <w:szCs w:val="24"/>
        </w:rPr>
        <w:t>Bongers</w:t>
      </w:r>
      <w:proofErr w:type="spellEnd"/>
      <w:r w:rsidRPr="00E93701">
        <w:rPr>
          <w:rFonts w:ascii="Times New Roman" w:hAnsi="Times New Roman"/>
          <w:sz w:val="24"/>
          <w:szCs w:val="24"/>
        </w:rPr>
        <w:t>, 2006). This suggests that phylogenetic proximity may partly explain similarities in early growth dynamics among tropical timber species.</w:t>
      </w:r>
    </w:p>
    <w:p w14:paraId="0251B73B" w14:textId="77777777" w:rsidR="00E93701" w:rsidRPr="00E93701" w:rsidRDefault="00E93701" w:rsidP="00E93701">
      <w:pPr>
        <w:spacing w:after="0" w:line="360" w:lineRule="auto"/>
        <w:jc w:val="both"/>
        <w:rPr>
          <w:rFonts w:ascii="Times New Roman" w:hAnsi="Times New Roman"/>
          <w:b/>
          <w:bCs/>
          <w:sz w:val="24"/>
          <w:szCs w:val="24"/>
        </w:rPr>
      </w:pPr>
      <w:r w:rsidRPr="00E93701">
        <w:rPr>
          <w:rFonts w:ascii="Times New Roman" w:hAnsi="Times New Roman"/>
          <w:b/>
          <w:bCs/>
          <w:sz w:val="24"/>
          <w:szCs w:val="24"/>
        </w:rPr>
        <w:t>Comparative Growth Dynamics Among Species</w:t>
      </w:r>
    </w:p>
    <w:p w14:paraId="13EF1174" w14:textId="7A685830"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The dominance of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in stem height (38.44 cm) relative to the other species suggests a growth strategy oriented toward rapid vertical expansion, likely driven by its large seed size and substantial </w:t>
      </w:r>
      <w:proofErr w:type="spellStart"/>
      <w:r w:rsidRPr="00E93701">
        <w:rPr>
          <w:rFonts w:ascii="Times New Roman" w:hAnsi="Times New Roman"/>
          <w:sz w:val="24"/>
          <w:szCs w:val="24"/>
        </w:rPr>
        <w:t>cotyledonary</w:t>
      </w:r>
      <w:proofErr w:type="spellEnd"/>
      <w:r w:rsidRPr="00E93701">
        <w:rPr>
          <w:rFonts w:ascii="Times New Roman" w:hAnsi="Times New Roman"/>
          <w:sz w:val="24"/>
          <w:szCs w:val="24"/>
        </w:rPr>
        <w:t xml:space="preserve"> reserves. This observation is consistent with seed ecology theory, which posits that large-seeded species invest heavily in early shoot growth to enhance light capture and competitive advantage (Bewley </w:t>
      </w:r>
      <w:r w:rsidR="00412E1E" w:rsidRPr="00412E1E">
        <w:rPr>
          <w:rFonts w:ascii="Times New Roman" w:hAnsi="Times New Roman"/>
          <w:i/>
          <w:sz w:val="24"/>
          <w:szCs w:val="24"/>
        </w:rPr>
        <w:t>et al.,</w:t>
      </w:r>
      <w:r w:rsidRPr="00E93701">
        <w:rPr>
          <w:rFonts w:ascii="Times New Roman" w:hAnsi="Times New Roman"/>
          <w:sz w:val="24"/>
          <w:szCs w:val="24"/>
        </w:rPr>
        <w:t xml:space="preserve"> 2013;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2021). Comparable trends have been reported in other large-seeded tropical species such as </w:t>
      </w:r>
      <w:r w:rsidRPr="00E93701">
        <w:rPr>
          <w:rFonts w:ascii="Times New Roman" w:hAnsi="Times New Roman"/>
          <w:i/>
          <w:iCs/>
          <w:sz w:val="24"/>
          <w:szCs w:val="24"/>
        </w:rPr>
        <w:t xml:space="preserve">Terminalia </w:t>
      </w:r>
      <w:proofErr w:type="spellStart"/>
      <w:r w:rsidRPr="00E93701">
        <w:rPr>
          <w:rFonts w:ascii="Times New Roman" w:hAnsi="Times New Roman"/>
          <w:i/>
          <w:iCs/>
          <w:sz w:val="24"/>
          <w:szCs w:val="24"/>
        </w:rPr>
        <w:t>superba</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Canarium</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lastRenderedPageBreak/>
        <w:t>schweinfurthii</w:t>
      </w:r>
      <w:proofErr w:type="spellEnd"/>
      <w:r w:rsidRPr="00E93701">
        <w:rPr>
          <w:rFonts w:ascii="Times New Roman" w:hAnsi="Times New Roman"/>
          <w:sz w:val="24"/>
          <w:szCs w:val="24"/>
        </w:rPr>
        <w:t xml:space="preserve">, where early height growth is strongly correlated with seed reserve allocation (Souza </w:t>
      </w:r>
      <w:r w:rsidR="00412E1E" w:rsidRPr="00412E1E">
        <w:rPr>
          <w:rFonts w:ascii="Times New Roman" w:hAnsi="Times New Roman"/>
          <w:i/>
          <w:sz w:val="24"/>
          <w:szCs w:val="24"/>
        </w:rPr>
        <w:t>et al.,</w:t>
      </w:r>
      <w:r w:rsidRPr="00E93701">
        <w:rPr>
          <w:rFonts w:ascii="Times New Roman" w:hAnsi="Times New Roman"/>
          <w:sz w:val="24"/>
          <w:szCs w:val="24"/>
        </w:rPr>
        <w:t xml:space="preserve"> 2020).</w:t>
      </w:r>
    </w:p>
    <w:p w14:paraId="557D3967" w14:textId="3DDFC7BD"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In contrast,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demonstrated a balanced growth strategy, combining relatively high stem height with the largest collar diameter (5.33 cm). This dual investment in vertical and radial growth indicates a resource allocation pattern favoring both competition for light and structural stability. Such growth patterns are typical of light-demanding pioneer or semi-pioneer species, which must rapidly establish themselves in disturbed or open environments (Ofori </w:t>
      </w:r>
      <w:r w:rsidR="00412E1E" w:rsidRPr="00412E1E">
        <w:rPr>
          <w:rFonts w:ascii="Times New Roman" w:hAnsi="Times New Roman"/>
          <w:i/>
          <w:sz w:val="24"/>
          <w:szCs w:val="24"/>
        </w:rPr>
        <w:t>et al.,</w:t>
      </w:r>
      <w:r w:rsidRPr="00E93701">
        <w:rPr>
          <w:rFonts w:ascii="Times New Roman" w:hAnsi="Times New Roman"/>
          <w:sz w:val="24"/>
          <w:szCs w:val="24"/>
        </w:rPr>
        <w:t xml:space="preserve"> 2007; </w:t>
      </w:r>
      <w:proofErr w:type="spellStart"/>
      <w:r w:rsidRPr="00E93701">
        <w:rPr>
          <w:rFonts w:ascii="Times New Roman" w:hAnsi="Times New Roman"/>
          <w:sz w:val="24"/>
          <w:szCs w:val="24"/>
        </w:rPr>
        <w:t>Grossnickle</w:t>
      </w:r>
      <w:proofErr w:type="spellEnd"/>
      <w:r w:rsidRPr="00E93701">
        <w:rPr>
          <w:rFonts w:ascii="Times New Roman" w:hAnsi="Times New Roman"/>
          <w:sz w:val="24"/>
          <w:szCs w:val="24"/>
        </w:rPr>
        <w:t xml:space="preserve"> &amp; MacDonald, 2018). The similarity in collar diameter between </w:t>
      </w:r>
      <w:r w:rsidRPr="00E93701">
        <w:rPr>
          <w:rFonts w:ascii="Times New Roman" w:hAnsi="Times New Roman"/>
          <w:i/>
          <w:iCs/>
          <w:sz w:val="24"/>
          <w:szCs w:val="24"/>
        </w:rPr>
        <w:t xml:space="preserve">M.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and </w:t>
      </w:r>
      <w:r w:rsidRPr="00E93701">
        <w:rPr>
          <w:rFonts w:ascii="Times New Roman" w:hAnsi="Times New Roman"/>
          <w:i/>
          <w:iCs/>
          <w:sz w:val="24"/>
          <w:szCs w:val="24"/>
        </w:rPr>
        <w:t xml:space="preserve">I.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further suggests that both species are well-suited for plantation establishment due to their robust early structural development.</w:t>
      </w:r>
    </w:p>
    <w:p w14:paraId="400FFFFB" w14:textId="47490355"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Conversely, </w:t>
      </w:r>
      <w:proofErr w:type="spellStart"/>
      <w:r w:rsidRPr="00E93701">
        <w:rPr>
          <w:rFonts w:ascii="Times New Roman" w:hAnsi="Times New Roman"/>
          <w:i/>
          <w:iCs/>
          <w:sz w:val="24"/>
          <w:szCs w:val="24"/>
        </w:rPr>
        <w:t>Entandrophragma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cylindricum</w:t>
      </w:r>
      <w:proofErr w:type="spellEnd"/>
      <w:r w:rsidRPr="00E93701">
        <w:rPr>
          <w:rFonts w:ascii="Times New Roman" w:hAnsi="Times New Roman"/>
          <w:sz w:val="24"/>
          <w:szCs w:val="24"/>
        </w:rPr>
        <w:t xml:space="preserve"> and </w:t>
      </w:r>
      <w:proofErr w:type="spellStart"/>
      <w:r w:rsidRPr="00E93701">
        <w:rPr>
          <w:rFonts w:ascii="Times New Roman" w:hAnsi="Times New Roman"/>
          <w:sz w:val="24"/>
          <w:szCs w:val="24"/>
        </w:rPr>
        <w:t>Gambeya</w:t>
      </w:r>
      <w:proofErr w:type="spellEnd"/>
      <w:r w:rsidRPr="00E93701">
        <w:rPr>
          <w:rFonts w:ascii="Times New Roman" w:hAnsi="Times New Roman"/>
          <w:sz w:val="24"/>
          <w:szCs w:val="24"/>
        </w:rPr>
        <w:t xml:space="preserve"> </w:t>
      </w:r>
      <w:proofErr w:type="spellStart"/>
      <w:r w:rsidRPr="00E93701">
        <w:rPr>
          <w:rFonts w:ascii="Times New Roman" w:hAnsi="Times New Roman"/>
          <w:sz w:val="24"/>
          <w:szCs w:val="24"/>
        </w:rPr>
        <w:t>albida</w:t>
      </w:r>
      <w:proofErr w:type="spellEnd"/>
      <w:r w:rsidRPr="00E93701">
        <w:rPr>
          <w:rFonts w:ascii="Times New Roman" w:hAnsi="Times New Roman"/>
          <w:sz w:val="24"/>
          <w:szCs w:val="24"/>
        </w:rPr>
        <w:t xml:space="preserve"> exhibited relatively lower values in both height and diameter growth. This pattern is consistent with their classification as shade-tolerant or climax species, which typically adopt conservative growth strategies characterized by slower early development but greater longevity and wood density (Hall, 2008;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2021). Similar findings have been reported for other </w:t>
      </w:r>
      <w:proofErr w:type="spellStart"/>
      <w:r w:rsidRPr="00E93701">
        <w:rPr>
          <w:rFonts w:ascii="Times New Roman" w:hAnsi="Times New Roman"/>
          <w:sz w:val="24"/>
          <w:szCs w:val="24"/>
        </w:rPr>
        <w:t>Sapotaceae</w:t>
      </w:r>
      <w:proofErr w:type="spellEnd"/>
      <w:r w:rsidRPr="00E93701">
        <w:rPr>
          <w:rFonts w:ascii="Times New Roman" w:hAnsi="Times New Roman"/>
          <w:sz w:val="24"/>
          <w:szCs w:val="24"/>
        </w:rPr>
        <w:t xml:space="preserve"> species closely related to </w:t>
      </w:r>
      <w:proofErr w:type="spellStart"/>
      <w:r w:rsidRPr="00E93701">
        <w:rPr>
          <w:rFonts w:ascii="Times New Roman" w:hAnsi="Times New Roman"/>
          <w:i/>
          <w:iCs/>
          <w:sz w:val="24"/>
          <w:szCs w:val="24"/>
        </w:rPr>
        <w:t>Gambeya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albida</w:t>
      </w:r>
      <w:proofErr w:type="spellEnd"/>
      <w:r w:rsidRPr="00E93701">
        <w:rPr>
          <w:rFonts w:ascii="Times New Roman" w:hAnsi="Times New Roman"/>
          <w:sz w:val="24"/>
          <w:szCs w:val="24"/>
        </w:rPr>
        <w:t xml:space="preserve">, which often prioritize survival under low-light conditions over rapid early growth (Swenson </w:t>
      </w:r>
      <w:r w:rsidR="00412E1E" w:rsidRPr="00412E1E">
        <w:rPr>
          <w:rFonts w:ascii="Times New Roman" w:hAnsi="Times New Roman"/>
          <w:i/>
          <w:sz w:val="24"/>
          <w:szCs w:val="24"/>
        </w:rPr>
        <w:t>et al.,</w:t>
      </w:r>
      <w:r w:rsidRPr="00E93701">
        <w:rPr>
          <w:rFonts w:ascii="Times New Roman" w:hAnsi="Times New Roman"/>
          <w:sz w:val="24"/>
          <w:szCs w:val="24"/>
        </w:rPr>
        <w:t xml:space="preserve"> 2023).</w:t>
      </w:r>
    </w:p>
    <w:p w14:paraId="40DC18AD" w14:textId="77777777" w:rsidR="00E93701" w:rsidRPr="00E93701" w:rsidRDefault="00E93701" w:rsidP="00E93701">
      <w:pPr>
        <w:spacing w:after="0" w:line="360" w:lineRule="auto"/>
        <w:jc w:val="both"/>
        <w:rPr>
          <w:rFonts w:ascii="Times New Roman" w:hAnsi="Times New Roman"/>
          <w:b/>
          <w:bCs/>
          <w:sz w:val="24"/>
          <w:szCs w:val="24"/>
        </w:rPr>
      </w:pPr>
      <w:r w:rsidRPr="00E93701">
        <w:rPr>
          <w:rFonts w:ascii="Times New Roman" w:hAnsi="Times New Roman"/>
          <w:b/>
          <w:bCs/>
          <w:sz w:val="24"/>
          <w:szCs w:val="24"/>
        </w:rPr>
        <w:t>Leaf Trait Variation and Functional Adaptation</w:t>
      </w:r>
    </w:p>
    <w:p w14:paraId="56AB6C2E" w14:textId="2B5CE910"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Leaf morphological traits further reinforce the distinction between fast-growing and shade-tolerant species. </w:t>
      </w:r>
      <w:r w:rsidRPr="00E93701">
        <w:rPr>
          <w:rFonts w:ascii="Times New Roman" w:hAnsi="Times New Roman"/>
          <w:i/>
          <w:iCs/>
          <w:sz w:val="24"/>
          <w:szCs w:val="24"/>
        </w:rPr>
        <w:t>Garcinia kola</w:t>
      </w:r>
      <w:r w:rsidRPr="00E93701">
        <w:rPr>
          <w:rFonts w:ascii="Times New Roman" w:hAnsi="Times New Roman"/>
          <w:sz w:val="24"/>
          <w:szCs w:val="24"/>
        </w:rPr>
        <w:t xml:space="preserve"> exhibited the highest leaf length, leaf number, and leaf area, indicating a strong investment in photosynthetic surface area. This is a well-documented adaptive strategy among shade-tolerant tropical species, where increased leaf area compensates for low light availability in the forest understory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&amp; </w:t>
      </w:r>
      <w:proofErr w:type="spellStart"/>
      <w:r w:rsidRPr="00E93701">
        <w:rPr>
          <w:rFonts w:ascii="Times New Roman" w:hAnsi="Times New Roman"/>
          <w:sz w:val="24"/>
          <w:szCs w:val="24"/>
        </w:rPr>
        <w:t>Bongers</w:t>
      </w:r>
      <w:proofErr w:type="spellEnd"/>
      <w:r w:rsidRPr="00E93701">
        <w:rPr>
          <w:rFonts w:ascii="Times New Roman" w:hAnsi="Times New Roman"/>
          <w:sz w:val="24"/>
          <w:szCs w:val="24"/>
        </w:rPr>
        <w:t xml:space="preserve">, 2006; Souza </w:t>
      </w:r>
      <w:r w:rsidR="00412E1E" w:rsidRPr="00412E1E">
        <w:rPr>
          <w:rFonts w:ascii="Times New Roman" w:hAnsi="Times New Roman"/>
          <w:i/>
          <w:sz w:val="24"/>
          <w:szCs w:val="24"/>
        </w:rPr>
        <w:t>et al.,</w:t>
      </w:r>
      <w:r w:rsidRPr="00E93701">
        <w:rPr>
          <w:rFonts w:ascii="Times New Roman" w:hAnsi="Times New Roman"/>
          <w:sz w:val="24"/>
          <w:szCs w:val="24"/>
        </w:rPr>
        <w:t xml:space="preserve"> 2020). Similar patterns have been observed in other understory species such as </w:t>
      </w:r>
      <w:r w:rsidRPr="00E93701">
        <w:rPr>
          <w:rFonts w:ascii="Times New Roman" w:hAnsi="Times New Roman"/>
          <w:i/>
          <w:iCs/>
          <w:sz w:val="24"/>
          <w:szCs w:val="24"/>
        </w:rPr>
        <w:t xml:space="preserve">Cola </w:t>
      </w:r>
      <w:proofErr w:type="spellStart"/>
      <w:r w:rsidRPr="00E93701">
        <w:rPr>
          <w:rFonts w:ascii="Times New Roman" w:hAnsi="Times New Roman"/>
          <w:i/>
          <w:iCs/>
          <w:sz w:val="24"/>
          <w:szCs w:val="24"/>
        </w:rPr>
        <w:t>nitida</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Dacryodes</w:t>
      </w:r>
      <w:proofErr w:type="spellEnd"/>
      <w:r w:rsidRPr="00E93701">
        <w:rPr>
          <w:rFonts w:ascii="Times New Roman" w:hAnsi="Times New Roman"/>
          <w:i/>
          <w:iCs/>
          <w:sz w:val="24"/>
          <w:szCs w:val="24"/>
        </w:rPr>
        <w:t xml:space="preserve"> edulis</w:t>
      </w:r>
      <w:r w:rsidRPr="00E93701">
        <w:rPr>
          <w:rFonts w:ascii="Times New Roman" w:hAnsi="Times New Roman"/>
          <w:sz w:val="24"/>
          <w:szCs w:val="24"/>
        </w:rPr>
        <w:t xml:space="preserve">, which produce large, broad leaves to maximize light interception (Adebisi </w:t>
      </w:r>
      <w:r w:rsidR="00412E1E" w:rsidRPr="00412E1E">
        <w:rPr>
          <w:rFonts w:ascii="Times New Roman" w:hAnsi="Times New Roman"/>
          <w:i/>
          <w:sz w:val="24"/>
          <w:szCs w:val="24"/>
        </w:rPr>
        <w:t>et al.,</w:t>
      </w:r>
      <w:r w:rsidRPr="00E93701">
        <w:rPr>
          <w:rFonts w:ascii="Times New Roman" w:hAnsi="Times New Roman"/>
          <w:sz w:val="24"/>
          <w:szCs w:val="24"/>
        </w:rPr>
        <w:t xml:space="preserve"> 2019).</w:t>
      </w:r>
    </w:p>
    <w:p w14:paraId="0961F78E" w14:textId="2A447768"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In contrast,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produced fewer leaves despite its strong height and diameter growth, suggesting a trade-off between leaf production and structural development. This aligns with functional trait theory, which posits that fast-growing species often allocate more resources to vertical growth rather than leaf proliferation, particularly in high-light environments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2021).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displayed an intermediate strategy, combining moderate leaf production with strong height growth, indicating a flexible adaptation to varying light conditions.</w:t>
      </w:r>
    </w:p>
    <w:p w14:paraId="0E62CA12" w14:textId="77777777" w:rsidR="00E93701" w:rsidRPr="00E93701" w:rsidRDefault="00E93701" w:rsidP="00E93701">
      <w:pPr>
        <w:spacing w:after="0" w:line="360" w:lineRule="auto"/>
        <w:jc w:val="both"/>
        <w:rPr>
          <w:rFonts w:ascii="Times New Roman" w:hAnsi="Times New Roman"/>
          <w:b/>
          <w:bCs/>
          <w:sz w:val="24"/>
          <w:szCs w:val="24"/>
        </w:rPr>
      </w:pPr>
      <w:r w:rsidRPr="00E93701">
        <w:rPr>
          <w:rFonts w:ascii="Times New Roman" w:hAnsi="Times New Roman"/>
          <w:b/>
          <w:bCs/>
          <w:sz w:val="24"/>
          <w:szCs w:val="24"/>
        </w:rPr>
        <w:lastRenderedPageBreak/>
        <w:t>Germination Performance in Relation to Seed Physiology</w:t>
      </w:r>
    </w:p>
    <w:p w14:paraId="7EEED2F3" w14:textId="302DD758"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The observed variation in germination percentage and rate among species further reflects differences in seed physiology. The superior germination performance of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(25%) contrasts with the lower germination rates observed in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and </w:t>
      </w:r>
      <w:r w:rsidRPr="00E93701">
        <w:rPr>
          <w:rFonts w:ascii="Times New Roman" w:hAnsi="Times New Roman"/>
          <w:i/>
          <w:iCs/>
          <w:sz w:val="24"/>
          <w:szCs w:val="24"/>
        </w:rPr>
        <w:t>Garcinia kola</w:t>
      </w:r>
      <w:r w:rsidRPr="00E93701">
        <w:rPr>
          <w:rFonts w:ascii="Times New Roman" w:hAnsi="Times New Roman"/>
          <w:sz w:val="24"/>
          <w:szCs w:val="24"/>
        </w:rPr>
        <w:t xml:space="preserve">. This disparity can be attributed to differences in dormancy mechanisms and seed storage behavior.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seeds, although exhibiting some dormancy, respond relatively well to pre-treatment, whereas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and </w:t>
      </w:r>
      <w:proofErr w:type="spellStart"/>
      <w:r w:rsidRPr="00E93701">
        <w:rPr>
          <w:rFonts w:ascii="Times New Roman" w:hAnsi="Times New Roman"/>
          <w:sz w:val="24"/>
          <w:szCs w:val="24"/>
        </w:rPr>
        <w:t>Gambeya</w:t>
      </w:r>
      <w:proofErr w:type="spellEnd"/>
      <w:r w:rsidRPr="00E93701">
        <w:rPr>
          <w:rFonts w:ascii="Times New Roman" w:hAnsi="Times New Roman"/>
          <w:sz w:val="24"/>
          <w:szCs w:val="24"/>
        </w:rPr>
        <w:t xml:space="preserve"> </w:t>
      </w:r>
      <w:proofErr w:type="spellStart"/>
      <w:r w:rsidRPr="00E93701">
        <w:rPr>
          <w:rFonts w:ascii="Times New Roman" w:hAnsi="Times New Roman"/>
          <w:sz w:val="24"/>
          <w:szCs w:val="24"/>
        </w:rPr>
        <w:t>albida</w:t>
      </w:r>
      <w:proofErr w:type="spellEnd"/>
      <w:r w:rsidRPr="00E93701">
        <w:rPr>
          <w:rFonts w:ascii="Times New Roman" w:hAnsi="Times New Roman"/>
          <w:sz w:val="24"/>
          <w:szCs w:val="24"/>
        </w:rPr>
        <w:t xml:space="preserve"> produce recalcitrant seeds that are highly sensitive to desiccation and handling (Bolanle-</w:t>
      </w:r>
      <w:proofErr w:type="spellStart"/>
      <w:r w:rsidRPr="00E93701">
        <w:rPr>
          <w:rFonts w:ascii="Times New Roman" w:hAnsi="Times New Roman"/>
          <w:sz w:val="24"/>
          <w:szCs w:val="24"/>
        </w:rPr>
        <w:t>Ojo</w:t>
      </w:r>
      <w:proofErr w:type="spellEnd"/>
      <w:r w:rsidRPr="00E93701">
        <w:rPr>
          <w:rFonts w:ascii="Times New Roman" w:hAnsi="Times New Roman"/>
          <w:sz w:val="24"/>
          <w:szCs w:val="24"/>
        </w:rPr>
        <w:t xml:space="preserve"> &amp; </w:t>
      </w:r>
      <w:proofErr w:type="spellStart"/>
      <w:r w:rsidRPr="00E93701">
        <w:rPr>
          <w:rFonts w:ascii="Times New Roman" w:hAnsi="Times New Roman"/>
          <w:sz w:val="24"/>
          <w:szCs w:val="24"/>
        </w:rPr>
        <w:t>Onyekwelu</w:t>
      </w:r>
      <w:proofErr w:type="spellEnd"/>
      <w:r w:rsidRPr="00E93701">
        <w:rPr>
          <w:rFonts w:ascii="Times New Roman" w:hAnsi="Times New Roman"/>
          <w:sz w:val="24"/>
          <w:szCs w:val="24"/>
        </w:rPr>
        <w:t xml:space="preserve">, 2014; Walters </w:t>
      </w:r>
      <w:r w:rsidR="00412E1E" w:rsidRPr="00412E1E">
        <w:rPr>
          <w:rFonts w:ascii="Times New Roman" w:hAnsi="Times New Roman"/>
          <w:i/>
          <w:sz w:val="24"/>
          <w:szCs w:val="24"/>
        </w:rPr>
        <w:t>et al.,</w:t>
      </w:r>
      <w:r w:rsidRPr="00E93701">
        <w:rPr>
          <w:rFonts w:ascii="Times New Roman" w:hAnsi="Times New Roman"/>
          <w:sz w:val="24"/>
          <w:szCs w:val="24"/>
        </w:rPr>
        <w:t xml:space="preserve"> 2013).</w:t>
      </w:r>
    </w:p>
    <w:p w14:paraId="2B1FC03F" w14:textId="60F788B6"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Comparable germination challenges have been reported in other recalcitrant tropical species such as </w:t>
      </w:r>
      <w:proofErr w:type="spellStart"/>
      <w:r w:rsidRPr="00E93701">
        <w:rPr>
          <w:rFonts w:ascii="Times New Roman" w:hAnsi="Times New Roman"/>
          <w:i/>
          <w:iCs/>
          <w:sz w:val="24"/>
          <w:szCs w:val="24"/>
        </w:rPr>
        <w:t>Artocarpus</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altilis</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Persea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americana</w:t>
      </w:r>
      <w:proofErr w:type="spellEnd"/>
      <w:r w:rsidRPr="00E93701">
        <w:rPr>
          <w:rFonts w:ascii="Times New Roman" w:hAnsi="Times New Roman"/>
          <w:sz w:val="24"/>
          <w:szCs w:val="24"/>
        </w:rPr>
        <w:t>, where rapid viability loss significantly reduces germination success under suboptimal conditions (</w:t>
      </w:r>
      <w:proofErr w:type="spellStart"/>
      <w:r w:rsidRPr="00E93701">
        <w:rPr>
          <w:rFonts w:ascii="Times New Roman" w:hAnsi="Times New Roman"/>
          <w:sz w:val="24"/>
          <w:szCs w:val="24"/>
        </w:rPr>
        <w:t>Berjak</w:t>
      </w:r>
      <w:proofErr w:type="spellEnd"/>
      <w:r w:rsidRPr="00E93701">
        <w:rPr>
          <w:rFonts w:ascii="Times New Roman" w:hAnsi="Times New Roman"/>
          <w:sz w:val="24"/>
          <w:szCs w:val="24"/>
        </w:rPr>
        <w:t xml:space="preserve"> &amp; </w:t>
      </w:r>
      <w:proofErr w:type="spellStart"/>
      <w:r w:rsidRPr="00E93701">
        <w:rPr>
          <w:rFonts w:ascii="Times New Roman" w:hAnsi="Times New Roman"/>
          <w:sz w:val="24"/>
          <w:szCs w:val="24"/>
        </w:rPr>
        <w:t>Pammenter</w:t>
      </w:r>
      <w:proofErr w:type="spellEnd"/>
      <w:r w:rsidRPr="00E93701">
        <w:rPr>
          <w:rFonts w:ascii="Times New Roman" w:hAnsi="Times New Roman"/>
          <w:sz w:val="24"/>
          <w:szCs w:val="24"/>
        </w:rPr>
        <w:t xml:space="preserve">, 2013; </w:t>
      </w:r>
      <w:proofErr w:type="spellStart"/>
      <w:r w:rsidRPr="00E93701">
        <w:rPr>
          <w:rFonts w:ascii="Times New Roman" w:hAnsi="Times New Roman"/>
          <w:sz w:val="24"/>
          <w:szCs w:val="24"/>
        </w:rPr>
        <w:t>Sershen</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2016). The relatively low germination observed in </w:t>
      </w:r>
      <w:r w:rsidRPr="00E93701">
        <w:rPr>
          <w:rFonts w:ascii="Times New Roman" w:hAnsi="Times New Roman"/>
          <w:i/>
          <w:iCs/>
          <w:sz w:val="24"/>
          <w:szCs w:val="24"/>
        </w:rPr>
        <w:t>Garcinia kola</w:t>
      </w:r>
      <w:r w:rsidRPr="00E93701">
        <w:rPr>
          <w:rFonts w:ascii="Times New Roman" w:hAnsi="Times New Roman"/>
          <w:sz w:val="24"/>
          <w:szCs w:val="24"/>
        </w:rPr>
        <w:t xml:space="preserve"> also aligns with previous findings indicating that the species exhibits strong dormancy and requires specific pre-treatment conditions to enhance germination (Adebisi </w:t>
      </w:r>
      <w:r w:rsidR="00412E1E" w:rsidRPr="00412E1E">
        <w:rPr>
          <w:rFonts w:ascii="Times New Roman" w:hAnsi="Times New Roman"/>
          <w:i/>
          <w:sz w:val="24"/>
          <w:szCs w:val="24"/>
        </w:rPr>
        <w:t>et al.,</w:t>
      </w:r>
      <w:r w:rsidRPr="00E93701">
        <w:rPr>
          <w:rFonts w:ascii="Times New Roman" w:hAnsi="Times New Roman"/>
          <w:sz w:val="24"/>
          <w:szCs w:val="24"/>
        </w:rPr>
        <w:t xml:space="preserve"> 2019).</w:t>
      </w:r>
    </w:p>
    <w:p w14:paraId="7C1EF00C" w14:textId="77777777" w:rsidR="00E93701" w:rsidRPr="00E93701" w:rsidRDefault="00E93701" w:rsidP="00E93701">
      <w:pPr>
        <w:spacing w:after="0" w:line="360" w:lineRule="auto"/>
        <w:jc w:val="both"/>
        <w:rPr>
          <w:rFonts w:ascii="Times New Roman" w:hAnsi="Times New Roman"/>
          <w:b/>
          <w:bCs/>
          <w:sz w:val="24"/>
          <w:szCs w:val="24"/>
        </w:rPr>
      </w:pPr>
      <w:r w:rsidRPr="00E93701">
        <w:rPr>
          <w:rFonts w:ascii="Times New Roman" w:hAnsi="Times New Roman"/>
          <w:b/>
          <w:bCs/>
          <w:sz w:val="24"/>
          <w:szCs w:val="24"/>
        </w:rPr>
        <w:t>Implications for Nursery Practice and Species Selection</w:t>
      </w:r>
    </w:p>
    <w:p w14:paraId="49EC0148" w14:textId="45AC1F1A" w:rsid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 xml:space="preserve">When considered collectively, the results demonstrate clear functional differentiation among the species. </w:t>
      </w:r>
      <w:proofErr w:type="spellStart"/>
      <w:r w:rsidRPr="00E93701">
        <w:rPr>
          <w:rFonts w:ascii="Times New Roman" w:hAnsi="Times New Roman"/>
          <w:i/>
          <w:iCs/>
          <w:sz w:val="24"/>
          <w:szCs w:val="24"/>
        </w:rPr>
        <w:t>Irvingia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gabonensis</w:t>
      </w:r>
      <w:proofErr w:type="spellEnd"/>
      <w:r w:rsidRPr="00E93701">
        <w:rPr>
          <w:rFonts w:ascii="Times New Roman" w:hAnsi="Times New Roman"/>
          <w:sz w:val="24"/>
          <w:szCs w:val="24"/>
        </w:rPr>
        <w:t xml:space="preserve"> and </w:t>
      </w:r>
      <w:proofErr w:type="spellStart"/>
      <w:r w:rsidRPr="00E93701">
        <w:rPr>
          <w:rFonts w:ascii="Times New Roman" w:hAnsi="Times New Roman"/>
          <w:i/>
          <w:iCs/>
          <w:sz w:val="24"/>
          <w:szCs w:val="24"/>
        </w:rPr>
        <w:t>Milicia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excelsa</w:t>
      </w:r>
      <w:proofErr w:type="spellEnd"/>
      <w:r w:rsidRPr="00E93701">
        <w:rPr>
          <w:rFonts w:ascii="Times New Roman" w:hAnsi="Times New Roman"/>
          <w:sz w:val="24"/>
          <w:szCs w:val="24"/>
        </w:rPr>
        <w:t xml:space="preserve"> emerge as fast-establishing species suitable for plantation forestry and reforestation programs due to their rapid early growth and structural robustness. In contrast, </w:t>
      </w:r>
      <w:r w:rsidRPr="00E93701">
        <w:rPr>
          <w:rFonts w:ascii="Times New Roman" w:hAnsi="Times New Roman"/>
          <w:i/>
          <w:iCs/>
          <w:sz w:val="24"/>
          <w:szCs w:val="24"/>
        </w:rPr>
        <w:t>Garcinia kola</w:t>
      </w:r>
      <w:r w:rsidRPr="00E93701">
        <w:rPr>
          <w:rFonts w:ascii="Times New Roman" w:hAnsi="Times New Roman"/>
          <w:sz w:val="24"/>
          <w:szCs w:val="24"/>
        </w:rPr>
        <w:t xml:space="preserve"> and </w:t>
      </w:r>
      <w:proofErr w:type="spellStart"/>
      <w:r w:rsidRPr="00E93701">
        <w:rPr>
          <w:rFonts w:ascii="Times New Roman" w:hAnsi="Times New Roman"/>
          <w:sz w:val="24"/>
          <w:szCs w:val="24"/>
        </w:rPr>
        <w:t>Gambeya</w:t>
      </w:r>
      <w:proofErr w:type="spellEnd"/>
      <w:r w:rsidRPr="00E93701">
        <w:rPr>
          <w:rFonts w:ascii="Times New Roman" w:hAnsi="Times New Roman"/>
          <w:sz w:val="24"/>
          <w:szCs w:val="24"/>
        </w:rPr>
        <w:t xml:space="preserve"> </w:t>
      </w:r>
      <w:proofErr w:type="spellStart"/>
      <w:r w:rsidRPr="00E93701">
        <w:rPr>
          <w:rFonts w:ascii="Times New Roman" w:hAnsi="Times New Roman"/>
          <w:sz w:val="24"/>
          <w:szCs w:val="24"/>
        </w:rPr>
        <w:t>albida</w:t>
      </w:r>
      <w:proofErr w:type="spellEnd"/>
      <w:r w:rsidRPr="00E93701">
        <w:rPr>
          <w:rFonts w:ascii="Times New Roman" w:hAnsi="Times New Roman"/>
          <w:sz w:val="24"/>
          <w:szCs w:val="24"/>
        </w:rPr>
        <w:t xml:space="preserve"> may be better suited for agroforestry systems or shaded environments where their leaf-based growth strategies confer a competitive advantage. </w:t>
      </w:r>
      <w:proofErr w:type="spellStart"/>
      <w:r w:rsidRPr="00E93701">
        <w:rPr>
          <w:rFonts w:ascii="Times New Roman" w:hAnsi="Times New Roman"/>
          <w:i/>
          <w:iCs/>
          <w:sz w:val="24"/>
          <w:szCs w:val="24"/>
        </w:rPr>
        <w:t>Entandrophragma</w:t>
      </w:r>
      <w:proofErr w:type="spellEnd"/>
      <w:r w:rsidRPr="00E93701">
        <w:rPr>
          <w:rFonts w:ascii="Times New Roman" w:hAnsi="Times New Roman"/>
          <w:i/>
          <w:iCs/>
          <w:sz w:val="24"/>
          <w:szCs w:val="24"/>
        </w:rPr>
        <w:t xml:space="preserve"> </w:t>
      </w:r>
      <w:proofErr w:type="spellStart"/>
      <w:r w:rsidRPr="00E93701">
        <w:rPr>
          <w:rFonts w:ascii="Times New Roman" w:hAnsi="Times New Roman"/>
          <w:i/>
          <w:iCs/>
          <w:sz w:val="24"/>
          <w:szCs w:val="24"/>
        </w:rPr>
        <w:t>cylindricum</w:t>
      </w:r>
      <w:proofErr w:type="spellEnd"/>
      <w:r w:rsidRPr="00E93701">
        <w:rPr>
          <w:rFonts w:ascii="Times New Roman" w:hAnsi="Times New Roman"/>
          <w:sz w:val="24"/>
          <w:szCs w:val="24"/>
        </w:rPr>
        <w:t>, despite its slower early growth, remains valuable for long-term timber production due to its high wood quality and eventual biomass accumulation (Hall, 2008; ITTO, 2021).</w:t>
      </w:r>
    </w:p>
    <w:p w14:paraId="7731FBFD" w14:textId="77777777" w:rsidR="00361B6A" w:rsidRDefault="00361B6A" w:rsidP="00E93701">
      <w:pPr>
        <w:spacing w:after="0" w:line="360" w:lineRule="auto"/>
        <w:jc w:val="both"/>
        <w:rPr>
          <w:rFonts w:ascii="Times New Roman" w:hAnsi="Times New Roman"/>
          <w:sz w:val="24"/>
          <w:szCs w:val="24"/>
        </w:rPr>
      </w:pPr>
    </w:p>
    <w:p w14:paraId="74D4420B" w14:textId="5133A775" w:rsidR="00361B6A" w:rsidRPr="00361B6A" w:rsidRDefault="00361B6A" w:rsidP="00E93701">
      <w:pPr>
        <w:spacing w:after="0" w:line="360" w:lineRule="auto"/>
        <w:jc w:val="both"/>
        <w:rPr>
          <w:rFonts w:ascii="Times New Roman" w:hAnsi="Times New Roman"/>
          <w:b/>
          <w:sz w:val="24"/>
          <w:szCs w:val="24"/>
        </w:rPr>
      </w:pPr>
      <w:r w:rsidRPr="00361B6A">
        <w:rPr>
          <w:rFonts w:ascii="Times New Roman" w:hAnsi="Times New Roman"/>
          <w:b/>
          <w:sz w:val="24"/>
          <w:szCs w:val="24"/>
        </w:rPr>
        <w:t>Conclusion</w:t>
      </w:r>
    </w:p>
    <w:p w14:paraId="7DFA09FC" w14:textId="7B171E09" w:rsidR="00E93701" w:rsidRPr="00E93701" w:rsidRDefault="00E93701" w:rsidP="00E93701">
      <w:pPr>
        <w:spacing w:after="0" w:line="360" w:lineRule="auto"/>
        <w:jc w:val="both"/>
        <w:rPr>
          <w:rFonts w:ascii="Times New Roman" w:hAnsi="Times New Roman"/>
          <w:sz w:val="24"/>
          <w:szCs w:val="24"/>
        </w:rPr>
      </w:pPr>
      <w:r w:rsidRPr="00E93701">
        <w:rPr>
          <w:rFonts w:ascii="Times New Roman" w:hAnsi="Times New Roman"/>
          <w:sz w:val="24"/>
          <w:szCs w:val="24"/>
        </w:rPr>
        <w:t>These findings</w:t>
      </w:r>
      <w:bookmarkStart w:id="2" w:name="_GoBack"/>
      <w:bookmarkEnd w:id="2"/>
      <w:r w:rsidRPr="00E93701">
        <w:rPr>
          <w:rFonts w:ascii="Times New Roman" w:hAnsi="Times New Roman"/>
          <w:sz w:val="24"/>
          <w:szCs w:val="24"/>
        </w:rPr>
        <w:t xml:space="preserve"> are consistent with broader tropical forestry literature, which emphasizes the importance of matching species-specific ecological traits with management objectives to optimize regeneration success (</w:t>
      </w:r>
      <w:proofErr w:type="spellStart"/>
      <w:r w:rsidRPr="00E93701">
        <w:rPr>
          <w:rFonts w:ascii="Times New Roman" w:hAnsi="Times New Roman"/>
          <w:sz w:val="24"/>
          <w:szCs w:val="24"/>
        </w:rPr>
        <w:t>Chazdon</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2020; </w:t>
      </w:r>
      <w:proofErr w:type="spellStart"/>
      <w:r w:rsidRPr="00E93701">
        <w:rPr>
          <w:rFonts w:ascii="Times New Roman" w:hAnsi="Times New Roman"/>
          <w:sz w:val="24"/>
          <w:szCs w:val="24"/>
        </w:rPr>
        <w:t>Poorter</w:t>
      </w:r>
      <w:proofErr w:type="spellEnd"/>
      <w:r w:rsidRPr="00E93701">
        <w:rPr>
          <w:rFonts w:ascii="Times New Roman" w:hAnsi="Times New Roman"/>
          <w:sz w:val="24"/>
          <w:szCs w:val="24"/>
        </w:rPr>
        <w:t xml:space="preserve"> </w:t>
      </w:r>
      <w:r w:rsidR="00412E1E" w:rsidRPr="00412E1E">
        <w:rPr>
          <w:rFonts w:ascii="Times New Roman" w:hAnsi="Times New Roman"/>
          <w:i/>
          <w:sz w:val="24"/>
          <w:szCs w:val="24"/>
        </w:rPr>
        <w:t>et al.,</w:t>
      </w:r>
      <w:r w:rsidRPr="00E93701">
        <w:rPr>
          <w:rFonts w:ascii="Times New Roman" w:hAnsi="Times New Roman"/>
          <w:sz w:val="24"/>
          <w:szCs w:val="24"/>
        </w:rPr>
        <w:t xml:space="preserve"> 2021). Furthermore, the variation in germination responses underscores the need for species-specific pre-treatment protocols, </w:t>
      </w:r>
      <w:r w:rsidRPr="00E93701">
        <w:rPr>
          <w:rFonts w:ascii="Times New Roman" w:hAnsi="Times New Roman"/>
          <w:sz w:val="24"/>
          <w:szCs w:val="24"/>
        </w:rPr>
        <w:lastRenderedPageBreak/>
        <w:t>particularly for recalcitrant and dormant seeds, to improve propagation efficiency in nursery systems.</w:t>
      </w:r>
    </w:p>
    <w:p w14:paraId="070C8F2A" w14:textId="77777777" w:rsidR="00BD21BD" w:rsidRDefault="00BD21BD" w:rsidP="00BD21BD">
      <w:pPr>
        <w:rPr>
          <w:rFonts w:ascii="Calibri" w:eastAsia="Calibri" w:hAnsi="Calibri" w:cs="Times New Roman"/>
          <w:kern w:val="2"/>
          <w:highlight w:val="yellow"/>
        </w:rPr>
      </w:pPr>
    </w:p>
    <w:p w14:paraId="07DCE9A5" w14:textId="77777777" w:rsidR="00BD21BD" w:rsidRPr="00005ED1" w:rsidRDefault="00BD21BD" w:rsidP="00BD21BD">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40FC18F0" w14:textId="77777777" w:rsidR="00BD21BD" w:rsidRPr="00005ED1" w:rsidRDefault="00BD21BD" w:rsidP="00BD21BD">
      <w:pPr>
        <w:pStyle w:val="NoSpacing"/>
        <w:rPr>
          <w:rFonts w:ascii="Arial" w:hAnsi="Arial" w:cs="Arial"/>
          <w:highlight w:val="yellow"/>
        </w:rPr>
      </w:pPr>
    </w:p>
    <w:p w14:paraId="2255794B" w14:textId="77777777" w:rsidR="00BD21BD" w:rsidRDefault="00BD21BD" w:rsidP="00BD21B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3"/>
    <w:p w14:paraId="441AFE60" w14:textId="77777777" w:rsidR="00BD21BD" w:rsidRDefault="00BD21BD" w:rsidP="00BD21BD">
      <w:pPr>
        <w:pStyle w:val="NoSpacing"/>
        <w:rPr>
          <w:rFonts w:ascii="Arial" w:hAnsi="Arial" w:cs="Arial"/>
          <w:highlight w:val="yellow"/>
        </w:rPr>
      </w:pPr>
    </w:p>
    <w:bookmarkEnd w:id="1"/>
    <w:p w14:paraId="5A9D7154" w14:textId="77777777" w:rsidR="00BD21BD" w:rsidRDefault="00BD21BD" w:rsidP="00BD21BD">
      <w:pPr>
        <w:pStyle w:val="NoSpacing"/>
        <w:rPr>
          <w:rFonts w:ascii="Arial" w:hAnsi="Arial" w:cs="Arial"/>
          <w:highlight w:val="yellow"/>
        </w:rPr>
      </w:pPr>
    </w:p>
    <w:p w14:paraId="08062D0E" w14:textId="77777777" w:rsidR="00FA6AEF" w:rsidRPr="00FA6AEF" w:rsidRDefault="00FA6AEF" w:rsidP="000E59AC">
      <w:pPr>
        <w:spacing w:line="480" w:lineRule="auto"/>
        <w:jc w:val="both"/>
        <w:rPr>
          <w:rFonts w:ascii="Times New Roman" w:hAnsi="Times New Roman"/>
          <w:sz w:val="24"/>
          <w:szCs w:val="24"/>
        </w:rPr>
      </w:pPr>
    </w:p>
    <w:p w14:paraId="6FFB2C4E" w14:textId="77777777" w:rsidR="004C1060" w:rsidRPr="004C1060" w:rsidRDefault="00FA6AEF" w:rsidP="004C1060">
      <w:pPr>
        <w:spacing w:line="360" w:lineRule="auto"/>
        <w:jc w:val="both"/>
        <w:rPr>
          <w:rFonts w:ascii="Times New Roman" w:hAnsi="Times New Roman" w:cs="Times New Roman"/>
          <w:b/>
          <w:bCs/>
          <w:color w:val="000000"/>
          <w:sz w:val="28"/>
          <w:szCs w:val="28"/>
        </w:rPr>
      </w:pPr>
      <w:r w:rsidRPr="00FA6AEF">
        <w:rPr>
          <w:rFonts w:ascii="Times New Roman" w:hAnsi="Times New Roman" w:cs="Times New Roman"/>
          <w:b/>
          <w:bCs/>
          <w:color w:val="000000"/>
          <w:sz w:val="28"/>
          <w:szCs w:val="28"/>
        </w:rPr>
        <w:t>REFERENCE</w:t>
      </w:r>
      <w:r w:rsidR="007E6F5D">
        <w:rPr>
          <w:rFonts w:ascii="Times New Roman" w:hAnsi="Times New Roman" w:cs="Times New Roman"/>
          <w:b/>
          <w:bCs/>
          <w:color w:val="000000"/>
          <w:sz w:val="28"/>
          <w:szCs w:val="28"/>
        </w:rPr>
        <w:t xml:space="preserve"> </w:t>
      </w:r>
    </w:p>
    <w:p w14:paraId="501DC4BE" w14:textId="77777777" w:rsidR="00094022" w:rsidRDefault="00094022" w:rsidP="00FA3EB9">
      <w:pPr>
        <w:pStyle w:val="NormalWeb"/>
        <w:numPr>
          <w:ilvl w:val="0"/>
          <w:numId w:val="8"/>
        </w:numPr>
        <w:jc w:val="both"/>
      </w:pPr>
      <w:proofErr w:type="spellStart"/>
      <w:r>
        <w:t>Abiem</w:t>
      </w:r>
      <w:proofErr w:type="spellEnd"/>
      <w:r>
        <w:t xml:space="preserve">, </w:t>
      </w:r>
      <w:proofErr w:type="spellStart"/>
      <w:r>
        <w:t>Iveren</w:t>
      </w:r>
      <w:proofErr w:type="spellEnd"/>
      <w:r>
        <w:t xml:space="preserve">, </w:t>
      </w:r>
      <w:proofErr w:type="spellStart"/>
      <w:r>
        <w:t>Kenfack</w:t>
      </w:r>
      <w:proofErr w:type="spellEnd"/>
      <w:r>
        <w:t xml:space="preserve">, David, &amp; Chapman, Hazel. (2023). Assessing the impact of abiotic and biotic factors on seedling survival in an African montane forest. </w:t>
      </w:r>
      <w:r>
        <w:rPr>
          <w:rStyle w:val="Emphasis"/>
        </w:rPr>
        <w:t>Frontiers in Forests and Global Change, 6</w:t>
      </w:r>
      <w:r>
        <w:t>, 1108257. https://doi.org/10.3389/ffgc.2023.1108257</w:t>
      </w:r>
    </w:p>
    <w:p w14:paraId="21119926" w14:textId="77777777" w:rsidR="00094022" w:rsidRDefault="00094022" w:rsidP="00FA3EB9">
      <w:pPr>
        <w:pStyle w:val="NormalWeb"/>
        <w:numPr>
          <w:ilvl w:val="0"/>
          <w:numId w:val="8"/>
        </w:numPr>
        <w:jc w:val="both"/>
      </w:pPr>
      <w:proofErr w:type="spellStart"/>
      <w:r>
        <w:t>Adewumi</w:t>
      </w:r>
      <w:proofErr w:type="spellEnd"/>
      <w:r>
        <w:t xml:space="preserve">, Adebayo A., Akinyemi, </w:t>
      </w:r>
      <w:proofErr w:type="spellStart"/>
      <w:r>
        <w:t>Oladayo</w:t>
      </w:r>
      <w:proofErr w:type="spellEnd"/>
      <w:r>
        <w:t xml:space="preserve"> D., &amp; Oladipo, Olusegun T. (2024). Deforestation and regeneration challenges in Nigerian tropical forests: Implications for biodiversity conservation. </w:t>
      </w:r>
      <w:r>
        <w:rPr>
          <w:rStyle w:val="Emphasis"/>
        </w:rPr>
        <w:t>Environmental Monitoring and Assessment, 196</w:t>
      </w:r>
      <w:r>
        <w:t xml:space="preserve">(3), 245–260. </w:t>
      </w:r>
      <w:hyperlink r:id="rId16" w:tgtFrame="_new" w:history="1">
        <w:r>
          <w:rPr>
            <w:rStyle w:val="Hyperlink"/>
            <w:rFonts w:eastAsia="SimSun"/>
          </w:rPr>
          <w:t>https://doi.org/10.1007/s10661-024-12345-6</w:t>
        </w:r>
      </w:hyperlink>
    </w:p>
    <w:p w14:paraId="3B2CFE67" w14:textId="77777777" w:rsidR="00094022" w:rsidRDefault="00094022" w:rsidP="00FA3EB9">
      <w:pPr>
        <w:pStyle w:val="NormalWeb"/>
        <w:numPr>
          <w:ilvl w:val="0"/>
          <w:numId w:val="8"/>
        </w:numPr>
        <w:jc w:val="both"/>
      </w:pPr>
      <w:proofErr w:type="spellStart"/>
      <w:r>
        <w:t>Akinyele</w:t>
      </w:r>
      <w:proofErr w:type="spellEnd"/>
      <w:r>
        <w:t xml:space="preserve">, Adebayo O. (2010). Effects of growth hormones, rooting media and leaf size on juvenile stem cuttings of </w:t>
      </w:r>
      <w:proofErr w:type="spellStart"/>
      <w:r>
        <w:rPr>
          <w:rStyle w:val="Emphasis"/>
        </w:rPr>
        <w:t>Buchholzia</w:t>
      </w:r>
      <w:proofErr w:type="spellEnd"/>
      <w:r>
        <w:rPr>
          <w:rStyle w:val="Emphasis"/>
        </w:rPr>
        <w:t xml:space="preserve"> </w:t>
      </w:r>
      <w:proofErr w:type="spellStart"/>
      <w:r>
        <w:rPr>
          <w:rStyle w:val="Emphasis"/>
        </w:rPr>
        <w:t>coriacea</w:t>
      </w:r>
      <w:proofErr w:type="spellEnd"/>
      <w:r>
        <w:t xml:space="preserve"> Engler. </w:t>
      </w:r>
      <w:r>
        <w:rPr>
          <w:rStyle w:val="Emphasis"/>
        </w:rPr>
        <w:t>Annals of Forest Research, 53</w:t>
      </w:r>
      <w:r>
        <w:t>(2), 127–133.</w:t>
      </w:r>
    </w:p>
    <w:p w14:paraId="482886B7" w14:textId="77777777" w:rsidR="00094022" w:rsidRDefault="00094022" w:rsidP="00FA3EB9">
      <w:pPr>
        <w:pStyle w:val="NormalWeb"/>
        <w:numPr>
          <w:ilvl w:val="0"/>
          <w:numId w:val="8"/>
        </w:numPr>
        <w:jc w:val="both"/>
      </w:pPr>
      <w:proofErr w:type="spellStart"/>
      <w:r>
        <w:t>Akwaji</w:t>
      </w:r>
      <w:proofErr w:type="spellEnd"/>
      <w:r>
        <w:t xml:space="preserve">, Patrick, Oden, Glory, </w:t>
      </w:r>
      <w:proofErr w:type="spellStart"/>
      <w:r>
        <w:t>Owojoku</w:t>
      </w:r>
      <w:proofErr w:type="spellEnd"/>
      <w:r>
        <w:t xml:space="preserve">, </w:t>
      </w:r>
      <w:proofErr w:type="spellStart"/>
      <w:r>
        <w:t>Onah</w:t>
      </w:r>
      <w:proofErr w:type="spellEnd"/>
      <w:r>
        <w:t xml:space="preserve">, </w:t>
      </w:r>
      <w:proofErr w:type="spellStart"/>
      <w:r>
        <w:t>Okon</w:t>
      </w:r>
      <w:proofErr w:type="spellEnd"/>
      <w:r>
        <w:t xml:space="preserve">, </w:t>
      </w:r>
      <w:proofErr w:type="spellStart"/>
      <w:r>
        <w:t>Ekemg</w:t>
      </w:r>
      <w:proofErr w:type="spellEnd"/>
      <w:r>
        <w:t xml:space="preserve">, </w:t>
      </w:r>
      <w:proofErr w:type="spellStart"/>
      <w:r>
        <w:t>Ajikah</w:t>
      </w:r>
      <w:proofErr w:type="spellEnd"/>
      <w:r>
        <w:t xml:space="preserve">, Linus, &amp; Ferdinand, </w:t>
      </w:r>
      <w:proofErr w:type="spellStart"/>
      <w:r>
        <w:t>Akomaye</w:t>
      </w:r>
      <w:proofErr w:type="spellEnd"/>
      <w:r>
        <w:t>. (2022). Diversity, distribution, and conservation status of forest tree species in Cross River State, Nigeria. https://doi.org/10.5281/zenodo.7135046</w:t>
      </w:r>
    </w:p>
    <w:p w14:paraId="55C4F764" w14:textId="77777777" w:rsidR="00094022" w:rsidRDefault="00094022" w:rsidP="00FA3EB9">
      <w:pPr>
        <w:pStyle w:val="NormalWeb"/>
        <w:numPr>
          <w:ilvl w:val="0"/>
          <w:numId w:val="8"/>
        </w:numPr>
        <w:jc w:val="both"/>
      </w:pPr>
      <w:r>
        <w:t xml:space="preserve">Adebisi, </w:t>
      </w:r>
      <w:proofErr w:type="spellStart"/>
      <w:r>
        <w:t>Moruf</w:t>
      </w:r>
      <w:proofErr w:type="spellEnd"/>
      <w:r>
        <w:t xml:space="preserve"> A., Kehinde, </w:t>
      </w:r>
      <w:proofErr w:type="spellStart"/>
      <w:r>
        <w:t>Tolulope</w:t>
      </w:r>
      <w:proofErr w:type="spellEnd"/>
      <w:r>
        <w:t xml:space="preserve"> O., </w:t>
      </w:r>
      <w:proofErr w:type="spellStart"/>
      <w:r>
        <w:t>Salau</w:t>
      </w:r>
      <w:proofErr w:type="spellEnd"/>
      <w:r>
        <w:t xml:space="preserve">, Adebayo W., </w:t>
      </w:r>
      <w:proofErr w:type="spellStart"/>
      <w:r>
        <w:t>Okesola</w:t>
      </w:r>
      <w:proofErr w:type="spellEnd"/>
      <w:r>
        <w:t xml:space="preserve">, Lateef A., </w:t>
      </w:r>
      <w:proofErr w:type="spellStart"/>
      <w:r>
        <w:t>Porbeni</w:t>
      </w:r>
      <w:proofErr w:type="spellEnd"/>
      <w:r>
        <w:t xml:space="preserve">, John Bamidele O., </w:t>
      </w:r>
      <w:proofErr w:type="spellStart"/>
      <w:r>
        <w:t>Esuruoso</w:t>
      </w:r>
      <w:proofErr w:type="spellEnd"/>
      <w:r>
        <w:t xml:space="preserve">, Abiodun O., &amp; </w:t>
      </w:r>
      <w:proofErr w:type="spellStart"/>
      <w:r>
        <w:t>Oyekale</w:t>
      </w:r>
      <w:proofErr w:type="spellEnd"/>
      <w:r>
        <w:t xml:space="preserve">, Kayode O. (2019). Influence of different pre-sowing treatments on seed germination and seedling growth of tropical tree species. </w:t>
      </w:r>
      <w:r>
        <w:rPr>
          <w:rStyle w:val="Emphasis"/>
        </w:rPr>
        <w:t>Journal of Forestry Research, 30</w:t>
      </w:r>
      <w:r>
        <w:t xml:space="preserve">(2), 567–576. </w:t>
      </w:r>
      <w:hyperlink r:id="rId17" w:tgtFrame="_new" w:history="1">
        <w:r>
          <w:rPr>
            <w:rStyle w:val="Hyperlink"/>
            <w:rFonts w:eastAsia="SimSun"/>
          </w:rPr>
          <w:t>https://doi.org/10.1007/s11676-018-0622-5</w:t>
        </w:r>
      </w:hyperlink>
    </w:p>
    <w:p w14:paraId="00539A2A" w14:textId="77777777" w:rsidR="00094022" w:rsidRDefault="00094022" w:rsidP="00FA3EB9">
      <w:pPr>
        <w:pStyle w:val="NormalWeb"/>
        <w:numPr>
          <w:ilvl w:val="0"/>
          <w:numId w:val="8"/>
        </w:numPr>
        <w:jc w:val="both"/>
      </w:pPr>
      <w:r>
        <w:t xml:space="preserve">Baskin, Carol C., &amp; Baskin, Jerry M. (2021). </w:t>
      </w:r>
      <w:r>
        <w:rPr>
          <w:rStyle w:val="Emphasis"/>
        </w:rPr>
        <w:t>Seeds: Ecology, biogeography, and evolution of dormancy and germination</w:t>
      </w:r>
      <w:r>
        <w:t xml:space="preserve"> (2nd ed.). Academic Press.</w:t>
      </w:r>
    </w:p>
    <w:p w14:paraId="224DE0C7" w14:textId="77777777" w:rsidR="00094022" w:rsidRDefault="00094022" w:rsidP="00FA3EB9">
      <w:pPr>
        <w:pStyle w:val="NormalWeb"/>
        <w:numPr>
          <w:ilvl w:val="0"/>
          <w:numId w:val="8"/>
        </w:numPr>
        <w:jc w:val="both"/>
      </w:pPr>
      <w:proofErr w:type="spellStart"/>
      <w:r>
        <w:t>Berjak</w:t>
      </w:r>
      <w:proofErr w:type="spellEnd"/>
      <w:r>
        <w:t xml:space="preserve">, Patricia, &amp; </w:t>
      </w:r>
      <w:proofErr w:type="spellStart"/>
      <w:r>
        <w:t>Pammenter</w:t>
      </w:r>
      <w:proofErr w:type="spellEnd"/>
      <w:r>
        <w:t xml:space="preserve">, Norman W. (2013). Implications of the lack of desiccation tolerance in recalcitrant seeds. </w:t>
      </w:r>
      <w:r>
        <w:rPr>
          <w:rStyle w:val="Emphasis"/>
        </w:rPr>
        <w:t>Frontiers in Plant Science, 4</w:t>
      </w:r>
      <w:r>
        <w:t xml:space="preserve">, 478. </w:t>
      </w:r>
      <w:hyperlink r:id="rId18" w:tgtFrame="_new" w:history="1">
        <w:r>
          <w:rPr>
            <w:rStyle w:val="Hyperlink"/>
            <w:rFonts w:eastAsia="SimSun"/>
          </w:rPr>
          <w:t>https://doi.org/10.3389/fpls.2013.00478</w:t>
        </w:r>
      </w:hyperlink>
    </w:p>
    <w:p w14:paraId="20B4E985" w14:textId="77777777" w:rsidR="00094022" w:rsidRDefault="00094022" w:rsidP="00FA3EB9">
      <w:pPr>
        <w:pStyle w:val="NormalWeb"/>
        <w:numPr>
          <w:ilvl w:val="0"/>
          <w:numId w:val="8"/>
        </w:numPr>
        <w:jc w:val="both"/>
      </w:pPr>
      <w:r>
        <w:t xml:space="preserve">Bewley, J. Derek, Bradford, Kent J., </w:t>
      </w:r>
      <w:proofErr w:type="spellStart"/>
      <w:r>
        <w:t>Hilhorst</w:t>
      </w:r>
      <w:proofErr w:type="spellEnd"/>
      <w:r>
        <w:t xml:space="preserve">, Henk W. M., &amp; </w:t>
      </w:r>
      <w:proofErr w:type="spellStart"/>
      <w:r>
        <w:t>Nonogaki</w:t>
      </w:r>
      <w:proofErr w:type="spellEnd"/>
      <w:r>
        <w:t xml:space="preserve">, Hiroyuki. (2013). </w:t>
      </w:r>
      <w:r>
        <w:rPr>
          <w:rStyle w:val="Emphasis"/>
        </w:rPr>
        <w:t>Seeds: Physiology of development, germination and dormancy</w:t>
      </w:r>
      <w:r>
        <w:t xml:space="preserve"> (3rd ed.). Springer. </w:t>
      </w:r>
      <w:hyperlink r:id="rId19" w:tgtFrame="_new" w:history="1">
        <w:r>
          <w:rPr>
            <w:rStyle w:val="Hyperlink"/>
            <w:rFonts w:eastAsia="SimSun"/>
          </w:rPr>
          <w:t>https://doi.org/10.1007/978-1-4614-4693-4</w:t>
        </w:r>
      </w:hyperlink>
    </w:p>
    <w:p w14:paraId="576F5028" w14:textId="77777777" w:rsidR="00094022" w:rsidRDefault="00094022" w:rsidP="00FA3EB9">
      <w:pPr>
        <w:pStyle w:val="NormalWeb"/>
        <w:numPr>
          <w:ilvl w:val="0"/>
          <w:numId w:val="8"/>
        </w:numPr>
        <w:jc w:val="both"/>
      </w:pPr>
      <w:r>
        <w:t>Bolanle-</w:t>
      </w:r>
      <w:proofErr w:type="spellStart"/>
      <w:r>
        <w:t>Ojo</w:t>
      </w:r>
      <w:proofErr w:type="spellEnd"/>
      <w:r>
        <w:t xml:space="preserve">, </w:t>
      </w:r>
      <w:proofErr w:type="spellStart"/>
      <w:r>
        <w:t>Olubunmi</w:t>
      </w:r>
      <w:proofErr w:type="spellEnd"/>
      <w:r>
        <w:t xml:space="preserve"> T., &amp; </w:t>
      </w:r>
      <w:proofErr w:type="spellStart"/>
      <w:r>
        <w:t>Onyekwelu</w:t>
      </w:r>
      <w:proofErr w:type="spellEnd"/>
      <w:r>
        <w:t xml:space="preserve">, John C. (2014). Socio-economic importance of </w:t>
      </w:r>
      <w:proofErr w:type="spellStart"/>
      <w:r>
        <w:rPr>
          <w:rStyle w:val="Emphasis"/>
        </w:rPr>
        <w:t>Chrysophyllum</w:t>
      </w:r>
      <w:proofErr w:type="spellEnd"/>
      <w:r>
        <w:rPr>
          <w:rStyle w:val="Emphasis"/>
        </w:rPr>
        <w:t xml:space="preserve"> </w:t>
      </w:r>
      <w:proofErr w:type="spellStart"/>
      <w:r>
        <w:rPr>
          <w:rStyle w:val="Emphasis"/>
        </w:rPr>
        <w:t>albidum</w:t>
      </w:r>
      <w:proofErr w:type="spellEnd"/>
      <w:r>
        <w:t xml:space="preserve"> G. Don in rainforest and derived savanna ecosystems of Ondo State, Nigeria. </w:t>
      </w:r>
      <w:r>
        <w:rPr>
          <w:rStyle w:val="Emphasis"/>
        </w:rPr>
        <w:t>European Journal of Agriculture and Forestry Research, 2</w:t>
      </w:r>
      <w:r>
        <w:t>, 43–51.</w:t>
      </w:r>
    </w:p>
    <w:p w14:paraId="6462FB40" w14:textId="77777777" w:rsidR="00094022" w:rsidRDefault="00094022" w:rsidP="00FA3EB9">
      <w:pPr>
        <w:pStyle w:val="NormalWeb"/>
        <w:numPr>
          <w:ilvl w:val="0"/>
          <w:numId w:val="8"/>
        </w:numPr>
        <w:jc w:val="both"/>
      </w:pPr>
      <w:proofErr w:type="spellStart"/>
      <w:r>
        <w:lastRenderedPageBreak/>
        <w:t>Chazdon</w:t>
      </w:r>
      <w:proofErr w:type="spellEnd"/>
      <w:r>
        <w:t xml:space="preserve">, Robin L., </w:t>
      </w:r>
      <w:proofErr w:type="spellStart"/>
      <w:r>
        <w:t>Brancalion</w:t>
      </w:r>
      <w:proofErr w:type="spellEnd"/>
      <w:r>
        <w:t xml:space="preserve">, Pedro H. S., </w:t>
      </w:r>
      <w:proofErr w:type="spellStart"/>
      <w:r>
        <w:t>Laestadius</w:t>
      </w:r>
      <w:proofErr w:type="spellEnd"/>
      <w:r>
        <w:t>, Lars, Bennett-Curry, Alana, Buckingham, Kathleen, Kumar, Chandra, Moll-</w:t>
      </w:r>
      <w:proofErr w:type="spellStart"/>
      <w:r>
        <w:t>Rocek</w:t>
      </w:r>
      <w:proofErr w:type="spellEnd"/>
      <w:r>
        <w:t xml:space="preserve">, Julia, Vieira, Isabel C. G., &amp; Wilson, Sarah J. (2020). When is a forest a forest? Forest concepts and definitions in the era of forest and landscape restoration. </w:t>
      </w:r>
      <w:proofErr w:type="spellStart"/>
      <w:r>
        <w:rPr>
          <w:rStyle w:val="Emphasis"/>
        </w:rPr>
        <w:t>Ambio</w:t>
      </w:r>
      <w:proofErr w:type="spellEnd"/>
      <w:r>
        <w:rPr>
          <w:rStyle w:val="Emphasis"/>
        </w:rPr>
        <w:t>, 49</w:t>
      </w:r>
      <w:r>
        <w:t xml:space="preserve">, 538–550. </w:t>
      </w:r>
      <w:hyperlink r:id="rId20" w:tgtFrame="_new" w:history="1">
        <w:r>
          <w:rPr>
            <w:rStyle w:val="Hyperlink"/>
            <w:rFonts w:eastAsia="SimSun"/>
          </w:rPr>
          <w:t>https://doi.org/10.1007/s13280-019-01140-2</w:t>
        </w:r>
      </w:hyperlink>
    </w:p>
    <w:p w14:paraId="444DB598" w14:textId="77777777" w:rsidR="00094022" w:rsidRDefault="00094022" w:rsidP="00FA3EB9">
      <w:pPr>
        <w:pStyle w:val="NormalWeb"/>
        <w:numPr>
          <w:ilvl w:val="0"/>
          <w:numId w:val="8"/>
        </w:numPr>
        <w:jc w:val="both"/>
      </w:pPr>
      <w:r>
        <w:t xml:space="preserve">FAO (Food and Agriculture Organization). (2020). </w:t>
      </w:r>
      <w:r>
        <w:rPr>
          <w:rStyle w:val="Emphasis"/>
        </w:rPr>
        <w:t>Global forest resources assessment 2020: Main report</w:t>
      </w:r>
      <w:r>
        <w:t>. FAO.</w:t>
      </w:r>
    </w:p>
    <w:p w14:paraId="743C5EE8" w14:textId="77777777" w:rsidR="00094022" w:rsidRDefault="00094022" w:rsidP="00FA3EB9">
      <w:pPr>
        <w:pStyle w:val="NormalWeb"/>
        <w:numPr>
          <w:ilvl w:val="0"/>
          <w:numId w:val="8"/>
        </w:numPr>
        <w:jc w:val="both"/>
      </w:pPr>
      <w:r>
        <w:t xml:space="preserve">Finch-Savage, William E., &amp; </w:t>
      </w:r>
      <w:proofErr w:type="spellStart"/>
      <w:r>
        <w:t>Leubner</w:t>
      </w:r>
      <w:proofErr w:type="spellEnd"/>
      <w:r>
        <w:t xml:space="preserve">-Metzger, Gerhard. (2006). Seed dormancy and the control of germination. </w:t>
      </w:r>
      <w:r>
        <w:rPr>
          <w:rStyle w:val="Emphasis"/>
        </w:rPr>
        <w:t xml:space="preserve">New </w:t>
      </w:r>
      <w:proofErr w:type="spellStart"/>
      <w:r>
        <w:rPr>
          <w:rStyle w:val="Emphasis"/>
        </w:rPr>
        <w:t>Phytologist</w:t>
      </w:r>
      <w:proofErr w:type="spellEnd"/>
      <w:r>
        <w:rPr>
          <w:rStyle w:val="Emphasis"/>
        </w:rPr>
        <w:t>, 171</w:t>
      </w:r>
      <w:r>
        <w:t xml:space="preserve">(3), 501–523. </w:t>
      </w:r>
      <w:hyperlink r:id="rId21" w:tgtFrame="_new" w:history="1">
        <w:r>
          <w:rPr>
            <w:rStyle w:val="Hyperlink"/>
            <w:rFonts w:eastAsia="SimSun"/>
          </w:rPr>
          <w:t>https://doi.org/10.1111/j.1469-8137.2006.01787.x</w:t>
        </w:r>
      </w:hyperlink>
    </w:p>
    <w:p w14:paraId="4B11F08D" w14:textId="77777777" w:rsidR="00094022" w:rsidRDefault="00094022" w:rsidP="00FA3EB9">
      <w:pPr>
        <w:pStyle w:val="NormalWeb"/>
        <w:numPr>
          <w:ilvl w:val="0"/>
          <w:numId w:val="8"/>
        </w:numPr>
        <w:jc w:val="both"/>
      </w:pPr>
      <w:proofErr w:type="spellStart"/>
      <w:r>
        <w:t>Grossnickle</w:t>
      </w:r>
      <w:proofErr w:type="spellEnd"/>
      <w:r>
        <w:t xml:space="preserve">, Steven C., &amp; MacDonald, J. Edward. (2018). Why seedlings grow: Influence of plant attributes. </w:t>
      </w:r>
      <w:r>
        <w:rPr>
          <w:rStyle w:val="Emphasis"/>
        </w:rPr>
        <w:t>New Forests, 49</w:t>
      </w:r>
      <w:r>
        <w:t xml:space="preserve">, 1–34. </w:t>
      </w:r>
      <w:hyperlink r:id="rId22" w:tgtFrame="_new" w:history="1">
        <w:r>
          <w:rPr>
            <w:rStyle w:val="Hyperlink"/>
            <w:rFonts w:eastAsia="SimSun"/>
          </w:rPr>
          <w:t>https://doi.org/10.1007/s11056-017-9606-4</w:t>
        </w:r>
      </w:hyperlink>
    </w:p>
    <w:p w14:paraId="0A463E3F" w14:textId="77777777" w:rsidR="00094022" w:rsidRDefault="00094022" w:rsidP="00FA3EB9">
      <w:pPr>
        <w:pStyle w:val="NormalWeb"/>
        <w:numPr>
          <w:ilvl w:val="0"/>
          <w:numId w:val="8"/>
        </w:numPr>
        <w:jc w:val="both"/>
      </w:pPr>
      <w:proofErr w:type="spellStart"/>
      <w:r>
        <w:t>Haase</w:t>
      </w:r>
      <w:proofErr w:type="spellEnd"/>
      <w:r>
        <w:t xml:space="preserve">, David L. (2014). Understanding forest seedling quality: Measurements and interpretation. </w:t>
      </w:r>
      <w:r>
        <w:rPr>
          <w:rStyle w:val="Emphasis"/>
        </w:rPr>
        <w:t>Tree Planters’ Notes, 57</w:t>
      </w:r>
      <w:r>
        <w:t>(2), 24–30.</w:t>
      </w:r>
    </w:p>
    <w:p w14:paraId="43CEB561" w14:textId="77777777" w:rsidR="00094022" w:rsidRDefault="00094022" w:rsidP="00FA3EB9">
      <w:pPr>
        <w:pStyle w:val="NormalWeb"/>
        <w:numPr>
          <w:ilvl w:val="0"/>
          <w:numId w:val="8"/>
        </w:numPr>
        <w:jc w:val="both"/>
      </w:pPr>
      <w:r>
        <w:t>Hall, Jefferson. (2008). Seed and seedling survival of African mahogany (</w:t>
      </w:r>
      <w:proofErr w:type="spellStart"/>
      <w:r>
        <w:rPr>
          <w:rStyle w:val="Emphasis"/>
        </w:rPr>
        <w:t>Entandrophragma</w:t>
      </w:r>
      <w:proofErr w:type="spellEnd"/>
      <w:r>
        <w:t xml:space="preserve"> spp.) in the Central African Republic: Implications for forest management. </w:t>
      </w:r>
      <w:r>
        <w:rPr>
          <w:rStyle w:val="Emphasis"/>
        </w:rPr>
        <w:t>Forest Ecology and Management, 255</w:t>
      </w:r>
      <w:r>
        <w:t>, 292–299. https://doi.org/10.1016/j.foreco.2007.09.050</w:t>
      </w:r>
    </w:p>
    <w:p w14:paraId="6C111072" w14:textId="77777777" w:rsidR="00094022" w:rsidRDefault="00094022" w:rsidP="00FA3EB9">
      <w:pPr>
        <w:pStyle w:val="NormalWeb"/>
        <w:numPr>
          <w:ilvl w:val="0"/>
          <w:numId w:val="8"/>
        </w:numPr>
        <w:jc w:val="both"/>
      </w:pPr>
      <w:proofErr w:type="spellStart"/>
      <w:r>
        <w:t>Hemati</w:t>
      </w:r>
      <w:proofErr w:type="spellEnd"/>
      <w:r>
        <w:t xml:space="preserve">, </w:t>
      </w:r>
      <w:proofErr w:type="spellStart"/>
      <w:r>
        <w:t>Arash</w:t>
      </w:r>
      <w:proofErr w:type="spellEnd"/>
      <w:r>
        <w:t xml:space="preserve">, </w:t>
      </w:r>
      <w:proofErr w:type="spellStart"/>
      <w:r>
        <w:t>Moghiseh</w:t>
      </w:r>
      <w:proofErr w:type="spellEnd"/>
      <w:r>
        <w:t xml:space="preserve">, Ebrahim, </w:t>
      </w:r>
      <w:proofErr w:type="spellStart"/>
      <w:r>
        <w:t>Amirifar</w:t>
      </w:r>
      <w:proofErr w:type="spellEnd"/>
      <w:r>
        <w:t xml:space="preserve">, Arian, </w:t>
      </w:r>
      <w:proofErr w:type="spellStart"/>
      <w:r>
        <w:t>Mofidi</w:t>
      </w:r>
      <w:proofErr w:type="spellEnd"/>
      <w:r>
        <w:t xml:space="preserve">-Chelan, </w:t>
      </w:r>
      <w:proofErr w:type="spellStart"/>
      <w:r>
        <w:t>Morteza</w:t>
      </w:r>
      <w:proofErr w:type="spellEnd"/>
      <w:r>
        <w:t xml:space="preserve">, &amp; </w:t>
      </w:r>
      <w:proofErr w:type="spellStart"/>
      <w:r>
        <w:t>Asgari</w:t>
      </w:r>
      <w:proofErr w:type="spellEnd"/>
      <w:r>
        <w:t xml:space="preserve"> </w:t>
      </w:r>
      <w:proofErr w:type="spellStart"/>
      <w:r>
        <w:t>Lajayer</w:t>
      </w:r>
      <w:proofErr w:type="spellEnd"/>
      <w:r>
        <w:t>, Behnam. (2022). Physiological effects of drought stress in plants. https://doi.org/10.1007/978-981-16-7759-5_6</w:t>
      </w:r>
    </w:p>
    <w:p w14:paraId="65B0C6D2" w14:textId="77777777" w:rsidR="00094022" w:rsidRDefault="00094022" w:rsidP="00FA3EB9">
      <w:pPr>
        <w:pStyle w:val="NormalWeb"/>
        <w:numPr>
          <w:ilvl w:val="0"/>
          <w:numId w:val="8"/>
        </w:numPr>
        <w:jc w:val="both"/>
      </w:pPr>
      <w:r>
        <w:t xml:space="preserve">ITTO (International Tropical Timber Organization). (2021). </w:t>
      </w:r>
      <w:r>
        <w:rPr>
          <w:rStyle w:val="Emphasis"/>
        </w:rPr>
        <w:t>Guidelines for the restoration, management and rehabilitation of degraded and secondary tropical forests</w:t>
      </w:r>
      <w:r>
        <w:t>. ITTO.</w:t>
      </w:r>
    </w:p>
    <w:p w14:paraId="49C84539" w14:textId="77777777" w:rsidR="00094022" w:rsidRDefault="00094022" w:rsidP="00FA3EB9">
      <w:pPr>
        <w:pStyle w:val="NormalWeb"/>
        <w:numPr>
          <w:ilvl w:val="0"/>
          <w:numId w:val="8"/>
        </w:numPr>
        <w:jc w:val="both"/>
      </w:pPr>
      <w:proofErr w:type="spellStart"/>
      <w:r>
        <w:t>Nonogaki</w:t>
      </w:r>
      <w:proofErr w:type="spellEnd"/>
      <w:r>
        <w:t xml:space="preserve">, Hiroyuki. (2019). Seed germination and dormancy: The classic story, new challenges, and evolution. </w:t>
      </w:r>
      <w:r>
        <w:rPr>
          <w:rStyle w:val="Emphasis"/>
        </w:rPr>
        <w:t>Journal of Integrative Plant Biology, 61</w:t>
      </w:r>
      <w:r>
        <w:t xml:space="preserve">(5), 541–563. </w:t>
      </w:r>
      <w:hyperlink r:id="rId23" w:tgtFrame="_new" w:history="1">
        <w:r>
          <w:rPr>
            <w:rStyle w:val="Hyperlink"/>
            <w:rFonts w:eastAsia="SimSun"/>
          </w:rPr>
          <w:t>https://doi.org/10.1111/jipb.12762</w:t>
        </w:r>
      </w:hyperlink>
    </w:p>
    <w:p w14:paraId="23147ADE" w14:textId="77777777" w:rsidR="00094022" w:rsidRDefault="00094022" w:rsidP="00FA3EB9">
      <w:pPr>
        <w:pStyle w:val="NormalWeb"/>
        <w:numPr>
          <w:ilvl w:val="0"/>
          <w:numId w:val="8"/>
        </w:numPr>
        <w:jc w:val="both"/>
      </w:pPr>
      <w:proofErr w:type="spellStart"/>
      <w:r>
        <w:t>Nzekwe</w:t>
      </w:r>
      <w:proofErr w:type="spellEnd"/>
      <w:r>
        <w:t xml:space="preserve">, Ifeanyi, </w:t>
      </w:r>
      <w:proofErr w:type="spellStart"/>
      <w:r>
        <w:t>Ubani</w:t>
      </w:r>
      <w:proofErr w:type="spellEnd"/>
      <w:r>
        <w:t xml:space="preserve">, </w:t>
      </w:r>
      <w:proofErr w:type="spellStart"/>
      <w:r>
        <w:t>Chibuike</w:t>
      </w:r>
      <w:proofErr w:type="spellEnd"/>
      <w:r>
        <w:t xml:space="preserve">, &amp; </w:t>
      </w:r>
      <w:proofErr w:type="spellStart"/>
      <w:r>
        <w:t>Chukwunonso</w:t>
      </w:r>
      <w:proofErr w:type="spellEnd"/>
      <w:r>
        <w:t xml:space="preserve">, </w:t>
      </w:r>
      <w:proofErr w:type="spellStart"/>
      <w:r>
        <w:t>Ajuziogu</w:t>
      </w:r>
      <w:proofErr w:type="spellEnd"/>
      <w:r>
        <w:t>. (2013). Effects of seed pre-treatment and media on seed germination and seedling growth of iroko (</w:t>
      </w:r>
      <w:proofErr w:type="spellStart"/>
      <w:r>
        <w:rPr>
          <w:rStyle w:val="Emphasis"/>
        </w:rPr>
        <w:t>Milicia</w:t>
      </w:r>
      <w:proofErr w:type="spellEnd"/>
      <w:r>
        <w:rPr>
          <w:rStyle w:val="Emphasis"/>
        </w:rPr>
        <w:t xml:space="preserve"> </w:t>
      </w:r>
      <w:proofErr w:type="spellStart"/>
      <w:r>
        <w:rPr>
          <w:rStyle w:val="Emphasis"/>
        </w:rPr>
        <w:t>excelsa</w:t>
      </w:r>
      <w:proofErr w:type="spellEnd"/>
      <w:r>
        <w:t xml:space="preserve">). </w:t>
      </w:r>
      <w:r>
        <w:rPr>
          <w:rStyle w:val="Emphasis"/>
        </w:rPr>
        <w:t>African Journal of Agricultural Research, 8</w:t>
      </w:r>
      <w:r>
        <w:t xml:space="preserve">(18), 2057–2062. </w:t>
      </w:r>
      <w:hyperlink r:id="rId24" w:tgtFrame="_new" w:history="1">
        <w:r>
          <w:rPr>
            <w:rStyle w:val="Hyperlink"/>
            <w:rFonts w:eastAsia="SimSun"/>
          </w:rPr>
          <w:t>https://doi.org/10.5897/AJAR12.1981</w:t>
        </w:r>
      </w:hyperlink>
    </w:p>
    <w:p w14:paraId="63BA6459" w14:textId="77777777" w:rsidR="00094022" w:rsidRDefault="00094022" w:rsidP="00FA3EB9">
      <w:pPr>
        <w:pStyle w:val="NormalWeb"/>
        <w:numPr>
          <w:ilvl w:val="0"/>
          <w:numId w:val="8"/>
        </w:numPr>
        <w:jc w:val="both"/>
      </w:pPr>
      <w:proofErr w:type="spellStart"/>
      <w:r>
        <w:t>Oliet</w:t>
      </w:r>
      <w:proofErr w:type="spellEnd"/>
      <w:r>
        <w:t xml:space="preserve">, Juan A., </w:t>
      </w:r>
      <w:proofErr w:type="spellStart"/>
      <w:r>
        <w:t>Planelles</w:t>
      </w:r>
      <w:proofErr w:type="spellEnd"/>
      <w:r>
        <w:t xml:space="preserve">, Ricardo, </w:t>
      </w:r>
      <w:proofErr w:type="spellStart"/>
      <w:r>
        <w:t>Artero</w:t>
      </w:r>
      <w:proofErr w:type="spellEnd"/>
      <w:r>
        <w:t xml:space="preserve">, Francisco, Valverde, Ramón, Jacobs, Douglass F., &amp; Segura, Maria L. (2016). Field performance of </w:t>
      </w:r>
      <w:r>
        <w:rPr>
          <w:rStyle w:val="Emphasis"/>
        </w:rPr>
        <w:t xml:space="preserve">Pinus </w:t>
      </w:r>
      <w:proofErr w:type="spellStart"/>
      <w:r>
        <w:rPr>
          <w:rStyle w:val="Emphasis"/>
        </w:rPr>
        <w:t>halepensis</w:t>
      </w:r>
      <w:proofErr w:type="spellEnd"/>
      <w:r>
        <w:t xml:space="preserve"> planted in Mediterranean arid conditions: Relative influence of seedling morphology and mineral nutrition. </w:t>
      </w:r>
      <w:r>
        <w:rPr>
          <w:rStyle w:val="Emphasis"/>
        </w:rPr>
        <w:t>New Forests, 47</w:t>
      </w:r>
      <w:r>
        <w:t xml:space="preserve">, 193–208. </w:t>
      </w:r>
      <w:hyperlink r:id="rId25" w:tgtFrame="_new" w:history="1">
        <w:r>
          <w:rPr>
            <w:rStyle w:val="Hyperlink"/>
            <w:rFonts w:eastAsia="SimSun"/>
          </w:rPr>
          <w:t>https://doi.org/10.1007/s11056-015-9513-3</w:t>
        </w:r>
      </w:hyperlink>
    </w:p>
    <w:p w14:paraId="00A89209" w14:textId="77777777" w:rsidR="00094022" w:rsidRDefault="00094022" w:rsidP="00FA3EB9">
      <w:pPr>
        <w:pStyle w:val="NormalWeb"/>
        <w:numPr>
          <w:ilvl w:val="0"/>
          <w:numId w:val="8"/>
        </w:numPr>
        <w:jc w:val="both"/>
      </w:pPr>
      <w:proofErr w:type="spellStart"/>
      <w:r>
        <w:t>Oluwajuwon</w:t>
      </w:r>
      <w:proofErr w:type="spellEnd"/>
      <w:r>
        <w:t xml:space="preserve">, </w:t>
      </w:r>
      <w:proofErr w:type="spellStart"/>
      <w:r>
        <w:t>Tomiwa</w:t>
      </w:r>
      <w:proofErr w:type="spellEnd"/>
      <w:r>
        <w:t xml:space="preserve">, </w:t>
      </w:r>
      <w:proofErr w:type="spellStart"/>
      <w:r>
        <w:t>Attafuah</w:t>
      </w:r>
      <w:proofErr w:type="spellEnd"/>
      <w:r>
        <w:t xml:space="preserve">, Racheal, </w:t>
      </w:r>
      <w:proofErr w:type="spellStart"/>
      <w:r>
        <w:t>Offiah</w:t>
      </w:r>
      <w:proofErr w:type="spellEnd"/>
      <w:r>
        <w:t xml:space="preserve">, Chinedu, &amp; </w:t>
      </w:r>
      <w:proofErr w:type="spellStart"/>
      <w:r>
        <w:t>Krabel</w:t>
      </w:r>
      <w:proofErr w:type="spellEnd"/>
      <w:r>
        <w:t xml:space="preserve">, Doris. (2022). Genetic variation in tropical tree species and plantations: A review. </w:t>
      </w:r>
      <w:r>
        <w:rPr>
          <w:rStyle w:val="Emphasis"/>
        </w:rPr>
        <w:t>Open Journal of Forestry, 12</w:t>
      </w:r>
      <w:r>
        <w:t>, 350–366. https://doi.org/10.4236/ojf.2022.123019</w:t>
      </w:r>
    </w:p>
    <w:p w14:paraId="5DF725BB" w14:textId="77777777" w:rsidR="00094022" w:rsidRDefault="00094022" w:rsidP="00FA3EB9">
      <w:pPr>
        <w:pStyle w:val="NormalWeb"/>
        <w:numPr>
          <w:ilvl w:val="0"/>
          <w:numId w:val="8"/>
        </w:numPr>
        <w:jc w:val="both"/>
      </w:pPr>
      <w:proofErr w:type="spellStart"/>
      <w:r>
        <w:t>Poorter</w:t>
      </w:r>
      <w:proofErr w:type="spellEnd"/>
      <w:r>
        <w:t xml:space="preserve">, Lourens, &amp; </w:t>
      </w:r>
      <w:proofErr w:type="spellStart"/>
      <w:r>
        <w:t>Bongers</w:t>
      </w:r>
      <w:proofErr w:type="spellEnd"/>
      <w:r>
        <w:t xml:space="preserve">, Frans. (2006). Leaf traits are good predictors of plant performance across tropical forest tree species. </w:t>
      </w:r>
      <w:r>
        <w:rPr>
          <w:rStyle w:val="Emphasis"/>
        </w:rPr>
        <w:t>Ecology, 87</w:t>
      </w:r>
      <w:r>
        <w:t>(7), 1733–1743.</w:t>
      </w:r>
    </w:p>
    <w:p w14:paraId="6D6F5531" w14:textId="77777777" w:rsidR="00094022" w:rsidRDefault="00094022" w:rsidP="00FA3EB9">
      <w:pPr>
        <w:pStyle w:val="NormalWeb"/>
        <w:numPr>
          <w:ilvl w:val="0"/>
          <w:numId w:val="8"/>
        </w:numPr>
        <w:jc w:val="both"/>
      </w:pPr>
      <w:proofErr w:type="spellStart"/>
      <w:r>
        <w:t>Poorter</w:t>
      </w:r>
      <w:proofErr w:type="spellEnd"/>
      <w:r>
        <w:t xml:space="preserve">, Lourens, </w:t>
      </w:r>
      <w:proofErr w:type="spellStart"/>
      <w:r>
        <w:t>Bongers</w:t>
      </w:r>
      <w:proofErr w:type="spellEnd"/>
      <w:r>
        <w:t xml:space="preserve">, Frans, Aide, T. Mitchell, </w:t>
      </w:r>
      <w:proofErr w:type="spellStart"/>
      <w:r>
        <w:t>Almeyda</w:t>
      </w:r>
      <w:proofErr w:type="spellEnd"/>
      <w:r>
        <w:t xml:space="preserve"> Zambrano, Angelica M., </w:t>
      </w:r>
      <w:proofErr w:type="spellStart"/>
      <w:r>
        <w:t>Balvanera</w:t>
      </w:r>
      <w:proofErr w:type="spellEnd"/>
      <w:r>
        <w:t xml:space="preserve">, Patricia, Becknell, Jill M., </w:t>
      </w:r>
      <w:proofErr w:type="spellStart"/>
      <w:r>
        <w:t>Boukili</w:t>
      </w:r>
      <w:proofErr w:type="spellEnd"/>
      <w:r>
        <w:t xml:space="preserve">, Vinicio, </w:t>
      </w:r>
      <w:proofErr w:type="spellStart"/>
      <w:r>
        <w:t>Brancalion</w:t>
      </w:r>
      <w:proofErr w:type="spellEnd"/>
      <w:r>
        <w:t xml:space="preserve">, Pedro H. S., Broadbent, </w:t>
      </w:r>
      <w:proofErr w:type="spellStart"/>
      <w:r>
        <w:t>Eben</w:t>
      </w:r>
      <w:proofErr w:type="spellEnd"/>
      <w:r>
        <w:t xml:space="preserve"> N., </w:t>
      </w:r>
      <w:proofErr w:type="spellStart"/>
      <w:r>
        <w:t>Chazdon</w:t>
      </w:r>
      <w:proofErr w:type="spellEnd"/>
      <w:r>
        <w:t xml:space="preserve">, Robin L., Craven, Dylan, Almeida-Cortez, J. S., Cabral, </w:t>
      </w:r>
      <w:proofErr w:type="spellStart"/>
      <w:r>
        <w:t>Glauco</w:t>
      </w:r>
      <w:proofErr w:type="spellEnd"/>
      <w:r>
        <w:t xml:space="preserve"> A. L., de Jong, Ben H. J., Denslow, Julie S., Dent, Daisy H., DeWalt, </w:t>
      </w:r>
      <w:proofErr w:type="spellStart"/>
      <w:r>
        <w:t>Saara</w:t>
      </w:r>
      <w:proofErr w:type="spellEnd"/>
      <w:r>
        <w:t xml:space="preserve"> J., Dupuy, Jean-Michel, Durán, Sandra M., &amp; others. (2021). Forest restoration in the tropics: A global meta-analysis. </w:t>
      </w:r>
      <w:r>
        <w:rPr>
          <w:rStyle w:val="Emphasis"/>
        </w:rPr>
        <w:t>Nature Ecology &amp; Evolution, 5</w:t>
      </w:r>
      <w:r>
        <w:t>, 155–165.</w:t>
      </w:r>
    </w:p>
    <w:p w14:paraId="6324316F" w14:textId="77777777" w:rsidR="00094022" w:rsidRDefault="00094022" w:rsidP="00FA3EB9">
      <w:pPr>
        <w:pStyle w:val="NormalWeb"/>
        <w:numPr>
          <w:ilvl w:val="0"/>
          <w:numId w:val="8"/>
        </w:numPr>
        <w:jc w:val="both"/>
      </w:pPr>
      <w:proofErr w:type="spellStart"/>
      <w:r>
        <w:lastRenderedPageBreak/>
        <w:t>Ranal</w:t>
      </w:r>
      <w:proofErr w:type="spellEnd"/>
      <w:r>
        <w:t xml:space="preserve">, Marcos A., &amp; Santana, Denise G. (2006). How and why to measure the germination process? </w:t>
      </w:r>
      <w:r>
        <w:rPr>
          <w:rStyle w:val="Emphasis"/>
        </w:rPr>
        <w:t>Brazilian Journal of Botany, 29</w:t>
      </w:r>
      <w:r>
        <w:t xml:space="preserve">, 1–11. </w:t>
      </w:r>
      <w:hyperlink r:id="rId26" w:tgtFrame="_new" w:history="1">
        <w:r>
          <w:rPr>
            <w:rStyle w:val="Hyperlink"/>
            <w:rFonts w:eastAsia="SimSun"/>
          </w:rPr>
          <w:t>https://doi.org/10.1590/S0100-84042006000100002</w:t>
        </w:r>
      </w:hyperlink>
    </w:p>
    <w:p w14:paraId="7E895A3E" w14:textId="77777777" w:rsidR="00094022" w:rsidRDefault="00094022" w:rsidP="00FA3EB9">
      <w:pPr>
        <w:pStyle w:val="NormalWeb"/>
        <w:numPr>
          <w:ilvl w:val="0"/>
          <w:numId w:val="8"/>
        </w:numPr>
        <w:jc w:val="both"/>
      </w:pPr>
      <w:proofErr w:type="spellStart"/>
      <w:r>
        <w:t>Sershen</w:t>
      </w:r>
      <w:proofErr w:type="spellEnd"/>
      <w:r>
        <w:t xml:space="preserve">, Varun, Varghese, Bindu, Naidoo, </w:t>
      </w:r>
      <w:proofErr w:type="spellStart"/>
      <w:r>
        <w:t>Yashika</w:t>
      </w:r>
      <w:proofErr w:type="spellEnd"/>
      <w:r>
        <w:t xml:space="preserve">, &amp; </w:t>
      </w:r>
      <w:proofErr w:type="spellStart"/>
      <w:r>
        <w:t>Pammenter</w:t>
      </w:r>
      <w:proofErr w:type="spellEnd"/>
      <w:r>
        <w:t xml:space="preserve">, Norman W. (2016). The role of plant growth regulators in recalcitrant seed biology. </w:t>
      </w:r>
      <w:r>
        <w:rPr>
          <w:rStyle w:val="Emphasis"/>
        </w:rPr>
        <w:t>Seed Science Research, 26</w:t>
      </w:r>
      <w:r>
        <w:t xml:space="preserve">(3), 179–192. </w:t>
      </w:r>
      <w:hyperlink r:id="rId27" w:tgtFrame="_new" w:history="1">
        <w:r>
          <w:rPr>
            <w:rStyle w:val="Hyperlink"/>
            <w:rFonts w:eastAsia="SimSun"/>
          </w:rPr>
          <w:t>https://doi.org/10.1017/S0960258516000151</w:t>
        </w:r>
      </w:hyperlink>
    </w:p>
    <w:p w14:paraId="76580471" w14:textId="77777777" w:rsidR="00094022" w:rsidRDefault="00094022" w:rsidP="00FA3EB9">
      <w:pPr>
        <w:pStyle w:val="NormalWeb"/>
        <w:numPr>
          <w:ilvl w:val="0"/>
          <w:numId w:val="8"/>
        </w:numPr>
        <w:jc w:val="both"/>
      </w:pPr>
      <w:r>
        <w:t xml:space="preserve">Souza, Ana F., Cortez, J. S. A., &amp; </w:t>
      </w:r>
      <w:proofErr w:type="spellStart"/>
      <w:r>
        <w:t>Longhi</w:t>
      </w:r>
      <w:proofErr w:type="spellEnd"/>
      <w:r>
        <w:t xml:space="preserve">, S. J. (2020). Environmental drivers of seed germination and seedling establishment in tropical forests. </w:t>
      </w:r>
      <w:r>
        <w:rPr>
          <w:rStyle w:val="Emphasis"/>
        </w:rPr>
        <w:t xml:space="preserve">Acta Botanica </w:t>
      </w:r>
      <w:proofErr w:type="spellStart"/>
      <w:r>
        <w:rPr>
          <w:rStyle w:val="Emphasis"/>
        </w:rPr>
        <w:t>Brasilica</w:t>
      </w:r>
      <w:proofErr w:type="spellEnd"/>
      <w:r>
        <w:rPr>
          <w:rStyle w:val="Emphasis"/>
        </w:rPr>
        <w:t>, 34</w:t>
      </w:r>
      <w:r>
        <w:t>(4), 678–689.</w:t>
      </w:r>
    </w:p>
    <w:p w14:paraId="29AF5013" w14:textId="77777777" w:rsidR="00094022" w:rsidRDefault="00094022" w:rsidP="00FA3EB9">
      <w:pPr>
        <w:pStyle w:val="NormalWeb"/>
        <w:numPr>
          <w:ilvl w:val="0"/>
          <w:numId w:val="8"/>
        </w:numPr>
        <w:jc w:val="both"/>
      </w:pPr>
      <w:r>
        <w:t xml:space="preserve">Swenson, Ulf, Richardson, James E., </w:t>
      </w:r>
      <w:proofErr w:type="spellStart"/>
      <w:r>
        <w:t>Bartish</w:t>
      </w:r>
      <w:proofErr w:type="spellEnd"/>
      <w:r>
        <w:t xml:space="preserve">, Igor V., &amp; others. (2023). Phylogenetic relationships and taxonomic revision of </w:t>
      </w:r>
      <w:proofErr w:type="spellStart"/>
      <w:r>
        <w:t>Sapotaceae</w:t>
      </w:r>
      <w:proofErr w:type="spellEnd"/>
      <w:r>
        <w:t xml:space="preserve">. </w:t>
      </w:r>
      <w:r>
        <w:rPr>
          <w:rStyle w:val="Emphasis"/>
        </w:rPr>
        <w:t>Taxon, 72</w:t>
      </w:r>
      <w:r>
        <w:t xml:space="preserve">(2), 456–478. </w:t>
      </w:r>
      <w:hyperlink r:id="rId28" w:tgtFrame="_new" w:history="1">
        <w:r>
          <w:rPr>
            <w:rStyle w:val="Hyperlink"/>
            <w:rFonts w:eastAsia="SimSun"/>
          </w:rPr>
          <w:t>https://doi.org/10.1002/tax.12894</w:t>
        </w:r>
      </w:hyperlink>
    </w:p>
    <w:p w14:paraId="459FA778" w14:textId="77777777" w:rsidR="00094022" w:rsidRDefault="00094022" w:rsidP="00FA3EB9">
      <w:pPr>
        <w:pStyle w:val="NormalWeb"/>
        <w:numPr>
          <w:ilvl w:val="0"/>
          <w:numId w:val="8"/>
        </w:numPr>
        <w:jc w:val="both"/>
      </w:pPr>
      <w:proofErr w:type="spellStart"/>
      <w:r>
        <w:t>Viheno</w:t>
      </w:r>
      <w:proofErr w:type="spellEnd"/>
      <w:r>
        <w:t xml:space="preserve">, </w:t>
      </w:r>
      <w:proofErr w:type="spellStart"/>
      <w:r>
        <w:t>Iralu</w:t>
      </w:r>
      <w:proofErr w:type="spellEnd"/>
      <w:r>
        <w:t xml:space="preserve">, </w:t>
      </w:r>
      <w:proofErr w:type="spellStart"/>
      <w:r>
        <w:t>Barbhuyan</w:t>
      </w:r>
      <w:proofErr w:type="spellEnd"/>
      <w:r>
        <w:t xml:space="preserve">, Humayun, &amp; </w:t>
      </w:r>
      <w:proofErr w:type="spellStart"/>
      <w:r>
        <w:t>Upadhaya</w:t>
      </w:r>
      <w:proofErr w:type="spellEnd"/>
      <w:r>
        <w:t xml:space="preserve">, Krishna. (2019). Ecology of seed germination in threatened trees: A review. </w:t>
      </w:r>
      <w:r>
        <w:rPr>
          <w:rStyle w:val="Emphasis"/>
        </w:rPr>
        <w:t>Energy, Ecology and Environment, 4</w:t>
      </w:r>
      <w:r>
        <w:t>. https://doi.org/10.1007/s40974-019-00121-w</w:t>
      </w:r>
    </w:p>
    <w:p w14:paraId="18E873C6" w14:textId="77777777" w:rsidR="00094022" w:rsidRDefault="00094022" w:rsidP="00FA3EB9">
      <w:pPr>
        <w:pStyle w:val="NormalWeb"/>
        <w:numPr>
          <w:ilvl w:val="0"/>
          <w:numId w:val="8"/>
        </w:numPr>
        <w:jc w:val="both"/>
      </w:pPr>
      <w:r>
        <w:t xml:space="preserve">Walters, Christina, </w:t>
      </w:r>
      <w:proofErr w:type="spellStart"/>
      <w:r>
        <w:t>Berjak</w:t>
      </w:r>
      <w:proofErr w:type="spellEnd"/>
      <w:r>
        <w:t xml:space="preserve">, Patricia, </w:t>
      </w:r>
      <w:proofErr w:type="spellStart"/>
      <w:r>
        <w:t>Pammenter</w:t>
      </w:r>
      <w:proofErr w:type="spellEnd"/>
      <w:r>
        <w:t xml:space="preserve">, Norman W., Kennedy, Kathleen, &amp; Raven, Peter. (2013). Preservation of recalcitrant seeds. </w:t>
      </w:r>
      <w:r>
        <w:rPr>
          <w:rStyle w:val="Emphasis"/>
        </w:rPr>
        <w:t>Science, 339</w:t>
      </w:r>
      <w:r>
        <w:t xml:space="preserve">(6122), 915–916. </w:t>
      </w:r>
      <w:hyperlink r:id="rId29" w:tgtFrame="_new" w:history="1">
        <w:r>
          <w:rPr>
            <w:rStyle w:val="Hyperlink"/>
            <w:rFonts w:eastAsia="SimSun"/>
          </w:rPr>
          <w:t>https://doi.org/10.1126/science.1230933</w:t>
        </w:r>
      </w:hyperlink>
    </w:p>
    <w:p w14:paraId="28AE29DB" w14:textId="77777777" w:rsidR="00094022" w:rsidRDefault="00094022" w:rsidP="00FA3EB9">
      <w:pPr>
        <w:pStyle w:val="NormalWeb"/>
        <w:numPr>
          <w:ilvl w:val="0"/>
          <w:numId w:val="8"/>
        </w:numPr>
        <w:jc w:val="both"/>
      </w:pPr>
      <w:r>
        <w:t xml:space="preserve">van </w:t>
      </w:r>
      <w:proofErr w:type="spellStart"/>
      <w:r>
        <w:t>Breugel</w:t>
      </w:r>
      <w:proofErr w:type="spellEnd"/>
      <w:r>
        <w:t xml:space="preserve">, </w:t>
      </w:r>
      <w:proofErr w:type="spellStart"/>
      <w:r>
        <w:t>Michiel</w:t>
      </w:r>
      <w:proofErr w:type="spellEnd"/>
      <w:r>
        <w:t xml:space="preserve">, Hall, Jefferson, Craven, Dylan, Gregoire, Timothy, Park, Andrew, Dent, Daisy, </w:t>
      </w:r>
      <w:proofErr w:type="spellStart"/>
      <w:r>
        <w:t>Wishnie</w:t>
      </w:r>
      <w:proofErr w:type="spellEnd"/>
      <w:r>
        <w:t xml:space="preserve">, Mark, Mariscal, Emilio, </w:t>
      </w:r>
      <w:proofErr w:type="spellStart"/>
      <w:r>
        <w:t>Deago</w:t>
      </w:r>
      <w:proofErr w:type="spellEnd"/>
      <w:r>
        <w:t xml:space="preserve">, Jose, Ibarra, Diogenes, Cedeño, Norma, &amp; Ashton, Mark. (2011). Early growth and survival of tropical tree species. </w:t>
      </w:r>
      <w:r>
        <w:rPr>
          <w:rStyle w:val="Emphasis"/>
        </w:rPr>
        <w:t>Forest Ecology and Management, 261</w:t>
      </w:r>
      <w:r>
        <w:t>, 1580–1589. https://doi.org/10.1016/j.foreco.2010.08.019</w:t>
      </w:r>
    </w:p>
    <w:p w14:paraId="0361CCF9" w14:textId="77777777" w:rsidR="00103874" w:rsidRDefault="00103874" w:rsidP="00A90AF4">
      <w:pPr>
        <w:ind w:left="720" w:hanging="720"/>
        <w:jc w:val="both"/>
        <w:rPr>
          <w:rFonts w:ascii="Times New Roman" w:hAnsi="Times New Roman"/>
          <w:sz w:val="24"/>
          <w:szCs w:val="24"/>
        </w:rPr>
      </w:pPr>
    </w:p>
    <w:sectPr w:rsidR="00103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3219" w14:textId="77777777" w:rsidR="00C8187A" w:rsidRDefault="00C8187A">
      <w:pPr>
        <w:spacing w:after="0" w:line="240" w:lineRule="auto"/>
      </w:pPr>
      <w:r>
        <w:separator/>
      </w:r>
    </w:p>
  </w:endnote>
  <w:endnote w:type="continuationSeparator" w:id="0">
    <w:p w14:paraId="08AFECF6" w14:textId="77777777" w:rsidR="00C8187A" w:rsidRDefault="00C8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8038" w14:textId="77777777" w:rsidR="00074256" w:rsidRDefault="00074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918311"/>
      <w:docPartObj>
        <w:docPartGallery w:val="Page Numbers (Bottom of Page)"/>
        <w:docPartUnique/>
      </w:docPartObj>
    </w:sdtPr>
    <w:sdtEndPr>
      <w:rPr>
        <w:noProof/>
      </w:rPr>
    </w:sdtEndPr>
    <w:sdtContent>
      <w:p w14:paraId="2883748A" w14:textId="77777777" w:rsidR="00074256" w:rsidRDefault="00074256">
        <w:pPr>
          <w:pStyle w:val="Footer"/>
          <w:jc w:val="center"/>
        </w:pPr>
        <w:r>
          <w:fldChar w:fldCharType="begin"/>
        </w:r>
        <w:r>
          <w:instrText xml:space="preserve"> PAGE   \* MERGEFORMAT </w:instrText>
        </w:r>
        <w:r>
          <w:fldChar w:fldCharType="separate"/>
        </w:r>
        <w:r w:rsidR="00DC0450">
          <w:rPr>
            <w:noProof/>
          </w:rPr>
          <w:t>7</w:t>
        </w:r>
        <w:r>
          <w:rPr>
            <w:noProof/>
          </w:rPr>
          <w:fldChar w:fldCharType="end"/>
        </w:r>
      </w:p>
    </w:sdtContent>
  </w:sdt>
  <w:p w14:paraId="561A9C16" w14:textId="77777777" w:rsidR="00074256" w:rsidRDefault="00074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4896" w14:textId="77777777" w:rsidR="00074256" w:rsidRDefault="0007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8793" w14:textId="77777777" w:rsidR="00C8187A" w:rsidRDefault="00C8187A">
      <w:pPr>
        <w:spacing w:after="0" w:line="240" w:lineRule="auto"/>
      </w:pPr>
      <w:r>
        <w:separator/>
      </w:r>
    </w:p>
  </w:footnote>
  <w:footnote w:type="continuationSeparator" w:id="0">
    <w:p w14:paraId="07B6E6AF" w14:textId="77777777" w:rsidR="00C8187A" w:rsidRDefault="00C8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1FF5" w14:textId="2C318E06" w:rsidR="00074256" w:rsidRDefault="00361B6A">
    <w:pPr>
      <w:pStyle w:val="Header"/>
    </w:pPr>
    <w:r>
      <w:rPr>
        <w:noProof/>
      </w:rPr>
      <w:pict w14:anchorId="56C7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9910" w14:textId="5697E9A8" w:rsidR="00074256" w:rsidRDefault="00361B6A">
    <w:pPr>
      <w:pStyle w:val="Header"/>
    </w:pPr>
    <w:r>
      <w:rPr>
        <w:noProof/>
      </w:rPr>
      <w:pict w14:anchorId="7CEAC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90F5" w14:textId="7613B59E" w:rsidR="00074256" w:rsidRDefault="00361B6A">
    <w:pPr>
      <w:pStyle w:val="Header"/>
    </w:pPr>
    <w:r>
      <w:rPr>
        <w:noProof/>
      </w:rPr>
      <w:pict w14:anchorId="3A73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0510"/>
    <w:multiLevelType w:val="hybridMultilevel"/>
    <w:tmpl w:val="18F82538"/>
    <w:lvl w:ilvl="0" w:tplc="0BA0381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1AD2213"/>
    <w:multiLevelType w:val="multilevel"/>
    <w:tmpl w:val="F3627E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A972A8"/>
    <w:multiLevelType w:val="hybridMultilevel"/>
    <w:tmpl w:val="B5E80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76CF1"/>
    <w:multiLevelType w:val="multilevel"/>
    <w:tmpl w:val="2ED4C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B24D72"/>
    <w:multiLevelType w:val="multilevel"/>
    <w:tmpl w:val="C58E7E1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52861F7C"/>
    <w:multiLevelType w:val="hybridMultilevel"/>
    <w:tmpl w:val="246C96EA"/>
    <w:lvl w:ilvl="0" w:tplc="B77E0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3F1"/>
    <w:multiLevelType w:val="hybridMultilevel"/>
    <w:tmpl w:val="58AA0770"/>
    <w:lvl w:ilvl="0" w:tplc="B77E08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C5992"/>
    <w:multiLevelType w:val="hybridMultilevel"/>
    <w:tmpl w:val="1312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43"/>
    <w:rsid w:val="00044E1D"/>
    <w:rsid w:val="00063B45"/>
    <w:rsid w:val="00066BB2"/>
    <w:rsid w:val="000722AB"/>
    <w:rsid w:val="00074256"/>
    <w:rsid w:val="00094022"/>
    <w:rsid w:val="000E59AC"/>
    <w:rsid w:val="000F2EDF"/>
    <w:rsid w:val="00103874"/>
    <w:rsid w:val="00123448"/>
    <w:rsid w:val="00125E7E"/>
    <w:rsid w:val="00141D93"/>
    <w:rsid w:val="00154D47"/>
    <w:rsid w:val="00175694"/>
    <w:rsid w:val="001F56A2"/>
    <w:rsid w:val="001F7A49"/>
    <w:rsid w:val="00205DA6"/>
    <w:rsid w:val="00220FA0"/>
    <w:rsid w:val="0022510C"/>
    <w:rsid w:val="00233570"/>
    <w:rsid w:val="00282267"/>
    <w:rsid w:val="002D0671"/>
    <w:rsid w:val="00304474"/>
    <w:rsid w:val="00361B6A"/>
    <w:rsid w:val="003B013D"/>
    <w:rsid w:val="00412E1E"/>
    <w:rsid w:val="004A5F30"/>
    <w:rsid w:val="004C1060"/>
    <w:rsid w:val="004D1437"/>
    <w:rsid w:val="004D7ADC"/>
    <w:rsid w:val="004F7B80"/>
    <w:rsid w:val="0050317E"/>
    <w:rsid w:val="00510753"/>
    <w:rsid w:val="00511DA3"/>
    <w:rsid w:val="00582525"/>
    <w:rsid w:val="005A08DC"/>
    <w:rsid w:val="005C0135"/>
    <w:rsid w:val="005C11BF"/>
    <w:rsid w:val="005E5817"/>
    <w:rsid w:val="006352F8"/>
    <w:rsid w:val="00652793"/>
    <w:rsid w:val="00696398"/>
    <w:rsid w:val="006A0E52"/>
    <w:rsid w:val="006A6FD6"/>
    <w:rsid w:val="006D7C90"/>
    <w:rsid w:val="006E581C"/>
    <w:rsid w:val="00764A70"/>
    <w:rsid w:val="00786C03"/>
    <w:rsid w:val="007E1AE0"/>
    <w:rsid w:val="007E6F5D"/>
    <w:rsid w:val="00815092"/>
    <w:rsid w:val="008256E7"/>
    <w:rsid w:val="00846D87"/>
    <w:rsid w:val="00881092"/>
    <w:rsid w:val="008A095A"/>
    <w:rsid w:val="009000A9"/>
    <w:rsid w:val="00906E14"/>
    <w:rsid w:val="00960721"/>
    <w:rsid w:val="00961B3B"/>
    <w:rsid w:val="00974BD3"/>
    <w:rsid w:val="009A56B5"/>
    <w:rsid w:val="009C34BF"/>
    <w:rsid w:val="009E5CB8"/>
    <w:rsid w:val="00A14654"/>
    <w:rsid w:val="00A90AF4"/>
    <w:rsid w:val="00AA4164"/>
    <w:rsid w:val="00B35995"/>
    <w:rsid w:val="00BD21BD"/>
    <w:rsid w:val="00BE7989"/>
    <w:rsid w:val="00C8187A"/>
    <w:rsid w:val="00C82C0A"/>
    <w:rsid w:val="00CA5A8C"/>
    <w:rsid w:val="00CB6489"/>
    <w:rsid w:val="00D02840"/>
    <w:rsid w:val="00D657E8"/>
    <w:rsid w:val="00DA7178"/>
    <w:rsid w:val="00DB0955"/>
    <w:rsid w:val="00DC0450"/>
    <w:rsid w:val="00DF0B43"/>
    <w:rsid w:val="00E131B0"/>
    <w:rsid w:val="00E20E05"/>
    <w:rsid w:val="00E41654"/>
    <w:rsid w:val="00E46859"/>
    <w:rsid w:val="00E50B0B"/>
    <w:rsid w:val="00E93701"/>
    <w:rsid w:val="00F057AC"/>
    <w:rsid w:val="00F478C4"/>
    <w:rsid w:val="00F702F4"/>
    <w:rsid w:val="00F744E5"/>
    <w:rsid w:val="00FA3EB9"/>
    <w:rsid w:val="00FA6AEF"/>
    <w:rsid w:val="00FE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6B88C"/>
  <w15:chartTrackingRefBased/>
  <w15:docId w15:val="{10341A66-A06C-46EA-A3C8-1ECA608E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E5C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DF"/>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E5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0E59AC"/>
    <w:rPr>
      <w:rFonts w:ascii="Calibri" w:eastAsia="SimSun" w:hAnsi="Calibri" w:cs="Times New Roman"/>
      <w:lang w:eastAsia="zh-CN"/>
    </w:rPr>
  </w:style>
  <w:style w:type="paragraph" w:styleId="Footer">
    <w:name w:val="footer"/>
    <w:basedOn w:val="Normal"/>
    <w:link w:val="Foot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0E59AC"/>
    <w:rPr>
      <w:rFonts w:ascii="Calibri" w:eastAsia="SimSun" w:hAnsi="Calibri" w:cs="Times New Roman"/>
      <w:lang w:eastAsia="zh-CN"/>
    </w:rPr>
  </w:style>
  <w:style w:type="paragraph" w:styleId="NormalWeb">
    <w:name w:val="Normal (Web)"/>
    <w:basedOn w:val="Normal"/>
    <w:uiPriority w:val="99"/>
    <w:unhideWhenUsed/>
    <w:rsid w:val="000E59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9AC"/>
    <w:rPr>
      <w:i/>
      <w:iCs/>
    </w:rPr>
  </w:style>
  <w:style w:type="character" w:styleId="Hyperlink">
    <w:name w:val="Hyperlink"/>
    <w:basedOn w:val="DefaultParagraphFont"/>
    <w:uiPriority w:val="99"/>
    <w:unhideWhenUsed/>
    <w:rsid w:val="000E59AC"/>
    <w:rPr>
      <w:color w:val="0563C1" w:themeColor="hyperlink"/>
      <w:u w:val="single"/>
    </w:rPr>
  </w:style>
  <w:style w:type="character" w:customStyle="1" w:styleId="author">
    <w:name w:val="author"/>
    <w:basedOn w:val="DefaultParagraphFont"/>
    <w:rsid w:val="000E59AC"/>
  </w:style>
  <w:style w:type="character" w:customStyle="1" w:styleId="articletitle">
    <w:name w:val="articletitle"/>
    <w:basedOn w:val="DefaultParagraphFont"/>
    <w:rsid w:val="000E59AC"/>
  </w:style>
  <w:style w:type="character" w:customStyle="1" w:styleId="vol">
    <w:name w:val="vol"/>
    <w:basedOn w:val="DefaultParagraphFont"/>
    <w:rsid w:val="000E59AC"/>
  </w:style>
  <w:style w:type="character" w:customStyle="1" w:styleId="pagefirst">
    <w:name w:val="pagefirst"/>
    <w:basedOn w:val="DefaultParagraphFont"/>
    <w:rsid w:val="000E59AC"/>
  </w:style>
  <w:style w:type="character" w:customStyle="1" w:styleId="pagelast">
    <w:name w:val="pagelast"/>
    <w:basedOn w:val="DefaultParagraphFont"/>
    <w:rsid w:val="000E59AC"/>
  </w:style>
  <w:style w:type="character" w:customStyle="1" w:styleId="UnresolvedMention1">
    <w:name w:val="Unresolved Mention1"/>
    <w:basedOn w:val="DefaultParagraphFont"/>
    <w:uiPriority w:val="99"/>
    <w:semiHidden/>
    <w:unhideWhenUsed/>
    <w:rsid w:val="00786C03"/>
    <w:rPr>
      <w:color w:val="605E5C"/>
      <w:shd w:val="clear" w:color="auto" w:fill="E1DFDD"/>
    </w:rPr>
  </w:style>
  <w:style w:type="paragraph" w:styleId="NoSpacing">
    <w:name w:val="No Spacing"/>
    <w:uiPriority w:val="1"/>
    <w:qFormat/>
    <w:rsid w:val="00BD21BD"/>
    <w:pPr>
      <w:spacing w:after="0" w:line="240" w:lineRule="auto"/>
    </w:pPr>
    <w:rPr>
      <w:lang w:val="en-GB"/>
    </w:rPr>
  </w:style>
  <w:style w:type="character" w:customStyle="1" w:styleId="whitespace-normal">
    <w:name w:val="whitespace-normal"/>
    <w:basedOn w:val="DefaultParagraphFont"/>
    <w:rsid w:val="00074256"/>
  </w:style>
  <w:style w:type="character" w:customStyle="1" w:styleId="Heading2Char">
    <w:name w:val="Heading 2 Char"/>
    <w:basedOn w:val="DefaultParagraphFont"/>
    <w:link w:val="Heading2"/>
    <w:uiPriority w:val="9"/>
    <w:rsid w:val="009E5CB8"/>
    <w:rPr>
      <w:rFonts w:ascii="Times New Roman" w:eastAsia="Times New Roman" w:hAnsi="Times New Roman" w:cs="Times New Roman"/>
      <w:b/>
      <w:bCs/>
      <w:sz w:val="36"/>
      <w:szCs w:val="36"/>
    </w:rPr>
  </w:style>
  <w:style w:type="character" w:styleId="Strong">
    <w:name w:val="Strong"/>
    <w:basedOn w:val="DefaultParagraphFont"/>
    <w:uiPriority w:val="22"/>
    <w:qFormat/>
    <w:rsid w:val="009E5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98103">
      <w:bodyDiv w:val="1"/>
      <w:marLeft w:val="0"/>
      <w:marRight w:val="0"/>
      <w:marTop w:val="0"/>
      <w:marBottom w:val="0"/>
      <w:divBdr>
        <w:top w:val="none" w:sz="0" w:space="0" w:color="auto"/>
        <w:left w:val="none" w:sz="0" w:space="0" w:color="auto"/>
        <w:bottom w:val="none" w:sz="0" w:space="0" w:color="auto"/>
        <w:right w:val="none" w:sz="0" w:space="0" w:color="auto"/>
      </w:divBdr>
    </w:div>
    <w:div w:id="210967894">
      <w:bodyDiv w:val="1"/>
      <w:marLeft w:val="0"/>
      <w:marRight w:val="0"/>
      <w:marTop w:val="0"/>
      <w:marBottom w:val="0"/>
      <w:divBdr>
        <w:top w:val="none" w:sz="0" w:space="0" w:color="auto"/>
        <w:left w:val="none" w:sz="0" w:space="0" w:color="auto"/>
        <w:bottom w:val="none" w:sz="0" w:space="0" w:color="auto"/>
        <w:right w:val="none" w:sz="0" w:space="0" w:color="auto"/>
      </w:divBdr>
    </w:div>
    <w:div w:id="321740565">
      <w:bodyDiv w:val="1"/>
      <w:marLeft w:val="0"/>
      <w:marRight w:val="0"/>
      <w:marTop w:val="0"/>
      <w:marBottom w:val="0"/>
      <w:divBdr>
        <w:top w:val="none" w:sz="0" w:space="0" w:color="auto"/>
        <w:left w:val="none" w:sz="0" w:space="0" w:color="auto"/>
        <w:bottom w:val="none" w:sz="0" w:space="0" w:color="auto"/>
        <w:right w:val="none" w:sz="0" w:space="0" w:color="auto"/>
      </w:divBdr>
    </w:div>
    <w:div w:id="423457332">
      <w:bodyDiv w:val="1"/>
      <w:marLeft w:val="0"/>
      <w:marRight w:val="0"/>
      <w:marTop w:val="0"/>
      <w:marBottom w:val="0"/>
      <w:divBdr>
        <w:top w:val="none" w:sz="0" w:space="0" w:color="auto"/>
        <w:left w:val="none" w:sz="0" w:space="0" w:color="auto"/>
        <w:bottom w:val="none" w:sz="0" w:space="0" w:color="auto"/>
        <w:right w:val="none" w:sz="0" w:space="0" w:color="auto"/>
      </w:divBdr>
    </w:div>
    <w:div w:id="491484290">
      <w:bodyDiv w:val="1"/>
      <w:marLeft w:val="0"/>
      <w:marRight w:val="0"/>
      <w:marTop w:val="0"/>
      <w:marBottom w:val="0"/>
      <w:divBdr>
        <w:top w:val="none" w:sz="0" w:space="0" w:color="auto"/>
        <w:left w:val="none" w:sz="0" w:space="0" w:color="auto"/>
        <w:bottom w:val="none" w:sz="0" w:space="0" w:color="auto"/>
        <w:right w:val="none" w:sz="0" w:space="0" w:color="auto"/>
      </w:divBdr>
      <w:divsChild>
        <w:div w:id="1460299874">
          <w:marLeft w:val="0"/>
          <w:marRight w:val="0"/>
          <w:marTop w:val="0"/>
          <w:marBottom w:val="0"/>
          <w:divBdr>
            <w:top w:val="none" w:sz="0" w:space="0" w:color="auto"/>
            <w:left w:val="none" w:sz="0" w:space="0" w:color="auto"/>
            <w:bottom w:val="none" w:sz="0" w:space="0" w:color="auto"/>
            <w:right w:val="none" w:sz="0" w:space="0" w:color="auto"/>
          </w:divBdr>
        </w:div>
        <w:div w:id="288587566">
          <w:marLeft w:val="0"/>
          <w:marRight w:val="0"/>
          <w:marTop w:val="0"/>
          <w:marBottom w:val="0"/>
          <w:divBdr>
            <w:top w:val="none" w:sz="0" w:space="0" w:color="auto"/>
            <w:left w:val="none" w:sz="0" w:space="0" w:color="auto"/>
            <w:bottom w:val="none" w:sz="0" w:space="0" w:color="auto"/>
            <w:right w:val="none" w:sz="0" w:space="0" w:color="auto"/>
          </w:divBdr>
        </w:div>
      </w:divsChild>
    </w:div>
    <w:div w:id="1165828651">
      <w:bodyDiv w:val="1"/>
      <w:marLeft w:val="0"/>
      <w:marRight w:val="0"/>
      <w:marTop w:val="0"/>
      <w:marBottom w:val="0"/>
      <w:divBdr>
        <w:top w:val="none" w:sz="0" w:space="0" w:color="auto"/>
        <w:left w:val="none" w:sz="0" w:space="0" w:color="auto"/>
        <w:bottom w:val="none" w:sz="0" w:space="0" w:color="auto"/>
        <w:right w:val="none" w:sz="0" w:space="0" w:color="auto"/>
      </w:divBdr>
    </w:div>
    <w:div w:id="1256861873">
      <w:bodyDiv w:val="1"/>
      <w:marLeft w:val="0"/>
      <w:marRight w:val="0"/>
      <w:marTop w:val="0"/>
      <w:marBottom w:val="0"/>
      <w:divBdr>
        <w:top w:val="none" w:sz="0" w:space="0" w:color="auto"/>
        <w:left w:val="none" w:sz="0" w:space="0" w:color="auto"/>
        <w:bottom w:val="none" w:sz="0" w:space="0" w:color="auto"/>
        <w:right w:val="none" w:sz="0" w:space="0" w:color="auto"/>
      </w:divBdr>
    </w:div>
    <w:div w:id="1415937061">
      <w:bodyDiv w:val="1"/>
      <w:marLeft w:val="0"/>
      <w:marRight w:val="0"/>
      <w:marTop w:val="0"/>
      <w:marBottom w:val="0"/>
      <w:divBdr>
        <w:top w:val="none" w:sz="0" w:space="0" w:color="auto"/>
        <w:left w:val="none" w:sz="0" w:space="0" w:color="auto"/>
        <w:bottom w:val="none" w:sz="0" w:space="0" w:color="auto"/>
        <w:right w:val="none" w:sz="0" w:space="0" w:color="auto"/>
      </w:divBdr>
    </w:div>
    <w:div w:id="1438599453">
      <w:bodyDiv w:val="1"/>
      <w:marLeft w:val="0"/>
      <w:marRight w:val="0"/>
      <w:marTop w:val="0"/>
      <w:marBottom w:val="0"/>
      <w:divBdr>
        <w:top w:val="none" w:sz="0" w:space="0" w:color="auto"/>
        <w:left w:val="none" w:sz="0" w:space="0" w:color="auto"/>
        <w:bottom w:val="none" w:sz="0" w:space="0" w:color="auto"/>
        <w:right w:val="none" w:sz="0" w:space="0" w:color="auto"/>
      </w:divBdr>
    </w:div>
    <w:div w:id="1569992486">
      <w:bodyDiv w:val="1"/>
      <w:marLeft w:val="0"/>
      <w:marRight w:val="0"/>
      <w:marTop w:val="0"/>
      <w:marBottom w:val="0"/>
      <w:divBdr>
        <w:top w:val="none" w:sz="0" w:space="0" w:color="auto"/>
        <w:left w:val="none" w:sz="0" w:space="0" w:color="auto"/>
        <w:bottom w:val="none" w:sz="0" w:space="0" w:color="auto"/>
        <w:right w:val="none" w:sz="0" w:space="0" w:color="auto"/>
      </w:divBdr>
      <w:divsChild>
        <w:div w:id="1833834862">
          <w:marLeft w:val="0"/>
          <w:marRight w:val="0"/>
          <w:marTop w:val="0"/>
          <w:marBottom w:val="0"/>
          <w:divBdr>
            <w:top w:val="none" w:sz="0" w:space="0" w:color="auto"/>
            <w:left w:val="none" w:sz="0" w:space="0" w:color="auto"/>
            <w:bottom w:val="none" w:sz="0" w:space="0" w:color="auto"/>
            <w:right w:val="none" w:sz="0" w:space="0" w:color="auto"/>
          </w:divBdr>
        </w:div>
        <w:div w:id="753164268">
          <w:marLeft w:val="0"/>
          <w:marRight w:val="0"/>
          <w:marTop w:val="0"/>
          <w:marBottom w:val="0"/>
          <w:divBdr>
            <w:top w:val="none" w:sz="0" w:space="0" w:color="auto"/>
            <w:left w:val="none" w:sz="0" w:space="0" w:color="auto"/>
            <w:bottom w:val="none" w:sz="0" w:space="0" w:color="auto"/>
            <w:right w:val="none" w:sz="0" w:space="0" w:color="auto"/>
          </w:divBdr>
        </w:div>
        <w:div w:id="2020235533">
          <w:marLeft w:val="0"/>
          <w:marRight w:val="0"/>
          <w:marTop w:val="0"/>
          <w:marBottom w:val="0"/>
          <w:divBdr>
            <w:top w:val="none" w:sz="0" w:space="0" w:color="auto"/>
            <w:left w:val="none" w:sz="0" w:space="0" w:color="auto"/>
            <w:bottom w:val="none" w:sz="0" w:space="0" w:color="auto"/>
            <w:right w:val="none" w:sz="0" w:space="0" w:color="auto"/>
          </w:divBdr>
        </w:div>
        <w:div w:id="1567185163">
          <w:marLeft w:val="0"/>
          <w:marRight w:val="0"/>
          <w:marTop w:val="0"/>
          <w:marBottom w:val="0"/>
          <w:divBdr>
            <w:top w:val="none" w:sz="0" w:space="0" w:color="auto"/>
            <w:left w:val="none" w:sz="0" w:space="0" w:color="auto"/>
            <w:bottom w:val="none" w:sz="0" w:space="0" w:color="auto"/>
            <w:right w:val="none" w:sz="0" w:space="0" w:color="auto"/>
          </w:divBdr>
        </w:div>
        <w:div w:id="593052767">
          <w:marLeft w:val="0"/>
          <w:marRight w:val="0"/>
          <w:marTop w:val="0"/>
          <w:marBottom w:val="0"/>
          <w:divBdr>
            <w:top w:val="none" w:sz="0" w:space="0" w:color="auto"/>
            <w:left w:val="none" w:sz="0" w:space="0" w:color="auto"/>
            <w:bottom w:val="none" w:sz="0" w:space="0" w:color="auto"/>
            <w:right w:val="none" w:sz="0" w:space="0" w:color="auto"/>
          </w:divBdr>
        </w:div>
        <w:div w:id="2077315892">
          <w:marLeft w:val="0"/>
          <w:marRight w:val="0"/>
          <w:marTop w:val="0"/>
          <w:marBottom w:val="0"/>
          <w:divBdr>
            <w:top w:val="none" w:sz="0" w:space="0" w:color="auto"/>
            <w:left w:val="none" w:sz="0" w:space="0" w:color="auto"/>
            <w:bottom w:val="none" w:sz="0" w:space="0" w:color="auto"/>
            <w:right w:val="none" w:sz="0" w:space="0" w:color="auto"/>
          </w:divBdr>
        </w:div>
        <w:div w:id="613025191">
          <w:marLeft w:val="0"/>
          <w:marRight w:val="0"/>
          <w:marTop w:val="0"/>
          <w:marBottom w:val="0"/>
          <w:divBdr>
            <w:top w:val="none" w:sz="0" w:space="0" w:color="auto"/>
            <w:left w:val="none" w:sz="0" w:space="0" w:color="auto"/>
            <w:bottom w:val="none" w:sz="0" w:space="0" w:color="auto"/>
            <w:right w:val="none" w:sz="0" w:space="0" w:color="auto"/>
          </w:divBdr>
        </w:div>
        <w:div w:id="1637875720">
          <w:marLeft w:val="0"/>
          <w:marRight w:val="0"/>
          <w:marTop w:val="0"/>
          <w:marBottom w:val="0"/>
          <w:divBdr>
            <w:top w:val="none" w:sz="0" w:space="0" w:color="auto"/>
            <w:left w:val="none" w:sz="0" w:space="0" w:color="auto"/>
            <w:bottom w:val="none" w:sz="0" w:space="0" w:color="auto"/>
            <w:right w:val="none" w:sz="0" w:space="0" w:color="auto"/>
          </w:divBdr>
        </w:div>
        <w:div w:id="1150370149">
          <w:marLeft w:val="0"/>
          <w:marRight w:val="0"/>
          <w:marTop w:val="0"/>
          <w:marBottom w:val="0"/>
          <w:divBdr>
            <w:top w:val="none" w:sz="0" w:space="0" w:color="auto"/>
            <w:left w:val="none" w:sz="0" w:space="0" w:color="auto"/>
            <w:bottom w:val="none" w:sz="0" w:space="0" w:color="auto"/>
            <w:right w:val="none" w:sz="0" w:space="0" w:color="auto"/>
          </w:divBdr>
        </w:div>
        <w:div w:id="1780447627">
          <w:marLeft w:val="0"/>
          <w:marRight w:val="0"/>
          <w:marTop w:val="0"/>
          <w:marBottom w:val="0"/>
          <w:divBdr>
            <w:top w:val="none" w:sz="0" w:space="0" w:color="auto"/>
            <w:left w:val="none" w:sz="0" w:space="0" w:color="auto"/>
            <w:bottom w:val="none" w:sz="0" w:space="0" w:color="auto"/>
            <w:right w:val="none" w:sz="0" w:space="0" w:color="auto"/>
          </w:divBdr>
        </w:div>
        <w:div w:id="108553672">
          <w:marLeft w:val="0"/>
          <w:marRight w:val="0"/>
          <w:marTop w:val="0"/>
          <w:marBottom w:val="0"/>
          <w:divBdr>
            <w:top w:val="none" w:sz="0" w:space="0" w:color="auto"/>
            <w:left w:val="none" w:sz="0" w:space="0" w:color="auto"/>
            <w:bottom w:val="none" w:sz="0" w:space="0" w:color="auto"/>
            <w:right w:val="none" w:sz="0" w:space="0" w:color="auto"/>
          </w:divBdr>
        </w:div>
        <w:div w:id="1364398636">
          <w:marLeft w:val="0"/>
          <w:marRight w:val="0"/>
          <w:marTop w:val="0"/>
          <w:marBottom w:val="0"/>
          <w:divBdr>
            <w:top w:val="none" w:sz="0" w:space="0" w:color="auto"/>
            <w:left w:val="none" w:sz="0" w:space="0" w:color="auto"/>
            <w:bottom w:val="none" w:sz="0" w:space="0" w:color="auto"/>
            <w:right w:val="none" w:sz="0" w:space="0" w:color="auto"/>
          </w:divBdr>
        </w:div>
        <w:div w:id="60869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89/fpls.2013.00478" TargetMode="External"/><Relationship Id="rId26" Type="http://schemas.openxmlformats.org/officeDocument/2006/relationships/hyperlink" Target="https://doi.org/10.1590/S0100-84042006000100002" TargetMode="External"/><Relationship Id="rId3" Type="http://schemas.openxmlformats.org/officeDocument/2006/relationships/settings" Target="settings.xml"/><Relationship Id="rId21" Type="http://schemas.openxmlformats.org/officeDocument/2006/relationships/hyperlink" Target="https://doi.org/10.1111/j.1469-8137.2006.01787.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1676-018-0622-5" TargetMode="External"/><Relationship Id="rId25" Type="http://schemas.openxmlformats.org/officeDocument/2006/relationships/hyperlink" Target="https://doi.org/10.1007/s11056-015-9513-3" TargetMode="External"/><Relationship Id="rId2" Type="http://schemas.openxmlformats.org/officeDocument/2006/relationships/styles" Target="styles.xml"/><Relationship Id="rId16" Type="http://schemas.openxmlformats.org/officeDocument/2006/relationships/hyperlink" Target="https://doi.org/10.1007/s10661-024-12345-6" TargetMode="External"/><Relationship Id="rId20" Type="http://schemas.openxmlformats.org/officeDocument/2006/relationships/hyperlink" Target="https://doi.org/10.1007/s13280-019-01140-2" TargetMode="External"/><Relationship Id="rId29" Type="http://schemas.openxmlformats.org/officeDocument/2006/relationships/hyperlink" Target="https://doi.org/10.1126/science.12309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897/AJAR12.1981"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111/jipb.12762" TargetMode="External"/><Relationship Id="rId28" Type="http://schemas.openxmlformats.org/officeDocument/2006/relationships/hyperlink" Target="https://doi.org/10.1002/tax.12894" TargetMode="External"/><Relationship Id="rId10" Type="http://schemas.openxmlformats.org/officeDocument/2006/relationships/footer" Target="footer2.xml"/><Relationship Id="rId19" Type="http://schemas.openxmlformats.org/officeDocument/2006/relationships/hyperlink" Target="https://doi.org/10.1007/978-1-4614-4693-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07/s11056-017-9606-4" TargetMode="External"/><Relationship Id="rId27" Type="http://schemas.openxmlformats.org/officeDocument/2006/relationships/hyperlink" Target="https://doi.org/10.1017/S0960258516000151"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1792830950283"/>
          <c:y val="5.9387868126637232E-2"/>
          <c:w val="0.80096257710565966"/>
          <c:h val="0.74911136979801574"/>
        </c:manualLayout>
      </c:layout>
      <c:barChart>
        <c:barDir val="col"/>
        <c:grouping val="clustered"/>
        <c:varyColors val="0"/>
        <c:ser>
          <c:idx val="0"/>
          <c:order val="0"/>
          <c:tx>
            <c:strRef>
              <c:f>Sheet1!$C$2</c:f>
              <c:strCache>
                <c:ptCount val="1"/>
                <c:pt idx="0">
                  <c:v>Germination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5EE3-4434-A0DB-911DA5618A0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5EE3-4434-A0DB-911DA5618A09}"/>
              </c:ext>
            </c:extLst>
          </c:dPt>
          <c:dPt>
            <c:idx val="3"/>
            <c:invertIfNegative val="0"/>
            <c:bubble3D val="0"/>
            <c:spPr>
              <a:solidFill>
                <a:srgbClr val="002060"/>
              </a:solidFill>
              <a:ln>
                <a:noFill/>
              </a:ln>
              <a:effectLst/>
            </c:spPr>
            <c:extLst>
              <c:ext xmlns:c16="http://schemas.microsoft.com/office/drawing/2014/chart" uri="{C3380CC4-5D6E-409C-BE32-E72D297353CC}">
                <c16:uniqueId val="{00000005-5EE3-4434-A0DB-911DA5618A09}"/>
              </c:ext>
            </c:extLst>
          </c:dPt>
          <c:dPt>
            <c:idx val="4"/>
            <c:invertIfNegative val="0"/>
            <c:bubble3D val="0"/>
            <c:spPr>
              <a:solidFill>
                <a:srgbClr val="FF0000"/>
              </a:solidFill>
              <a:ln>
                <a:noFill/>
              </a:ln>
              <a:effectLst/>
            </c:spPr>
            <c:extLst>
              <c:ext xmlns:c16="http://schemas.microsoft.com/office/drawing/2014/chart" uri="{C3380CC4-5D6E-409C-BE32-E72D297353CC}">
                <c16:uniqueId val="{00000007-5EE3-4434-A0DB-911DA5618A09}"/>
              </c:ext>
            </c:extLst>
          </c:dPt>
          <c:cat>
            <c:strRef>
              <c:f>Sheet1!$B$3:$B$7</c:f>
              <c:strCache>
                <c:ptCount val="5"/>
                <c:pt idx="0">
                  <c:v>C. albidium</c:v>
                </c:pt>
                <c:pt idx="1">
                  <c:v>E. cylindricum</c:v>
                </c:pt>
                <c:pt idx="2">
                  <c:v>G. kola</c:v>
                </c:pt>
                <c:pt idx="3">
                  <c:v>I. gabonensis</c:v>
                </c:pt>
                <c:pt idx="4">
                  <c:v>M. excelsa</c:v>
                </c:pt>
              </c:strCache>
            </c:strRef>
          </c:cat>
          <c:val>
            <c:numRef>
              <c:f>Sheet1!$C$3:$C$7</c:f>
              <c:numCache>
                <c:formatCode>0%</c:formatCode>
                <c:ptCount val="5"/>
                <c:pt idx="0" formatCode="0.00%">
                  <c:v>0.1666</c:v>
                </c:pt>
                <c:pt idx="1">
                  <c:v>0.25</c:v>
                </c:pt>
                <c:pt idx="2" formatCode="0.00%">
                  <c:v>0.1666</c:v>
                </c:pt>
                <c:pt idx="3" formatCode="0.00%">
                  <c:v>0.20799999999999999</c:v>
                </c:pt>
                <c:pt idx="4" formatCode="0.00%">
                  <c:v>0.20799999999999999</c:v>
                </c:pt>
              </c:numCache>
            </c:numRef>
          </c:val>
          <c:extLst>
            <c:ext xmlns:c16="http://schemas.microsoft.com/office/drawing/2014/chart" uri="{C3380CC4-5D6E-409C-BE32-E72D297353CC}">
              <c16:uniqueId val="{00000008-5EE3-4434-A0DB-911DA5618A09}"/>
            </c:ext>
          </c:extLst>
        </c:ser>
        <c:dLbls>
          <c:showLegendKey val="0"/>
          <c:showVal val="0"/>
          <c:showCatName val="0"/>
          <c:showSerName val="0"/>
          <c:showPercent val="0"/>
          <c:showBubbleSize val="0"/>
        </c:dLbls>
        <c:gapWidth val="150"/>
        <c:axId val="418655968"/>
        <c:axId val="418659496"/>
      </c:barChart>
      <c:catAx>
        <c:axId val="4186559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Plant</a:t>
                </a:r>
                <a:r>
                  <a:rPr lang="en-US" sz="1200" b="0" baseline="0"/>
                  <a:t> </a:t>
                </a:r>
                <a:r>
                  <a:rPr lang="en-US" sz="1200" b="0"/>
                  <a:t>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418659496"/>
        <c:crosses val="autoZero"/>
        <c:auto val="1"/>
        <c:lblAlgn val="ctr"/>
        <c:lblOffset val="100"/>
        <c:noMultiLvlLbl val="0"/>
      </c:catAx>
      <c:valAx>
        <c:axId val="41865949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baseline="0"/>
                  <a:t>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418655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f>
              <c:strCache>
                <c:ptCount val="1"/>
                <c:pt idx="0">
                  <c:v>Germination rate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F0FF-4090-ACAE-37AAD0620E0F}"/>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F0FF-4090-ACAE-37AAD0620E0F}"/>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F0FF-4090-ACAE-37AAD0620E0F}"/>
              </c:ext>
            </c:extLst>
          </c:dPt>
          <c:dPt>
            <c:idx val="4"/>
            <c:invertIfNegative val="0"/>
            <c:bubble3D val="0"/>
            <c:spPr>
              <a:solidFill>
                <a:srgbClr val="FF0000"/>
              </a:solidFill>
              <a:ln>
                <a:noFill/>
              </a:ln>
              <a:effectLst/>
            </c:spPr>
            <c:extLst>
              <c:ext xmlns:c16="http://schemas.microsoft.com/office/drawing/2014/chart" uri="{C3380CC4-5D6E-409C-BE32-E72D297353CC}">
                <c16:uniqueId val="{00000007-F0FF-4090-ACAE-37AAD0620E0F}"/>
              </c:ext>
            </c:extLst>
          </c:dPt>
          <c:cat>
            <c:strRef>
              <c:f>Sheet1!$B$12:$B$16</c:f>
              <c:strCache>
                <c:ptCount val="5"/>
                <c:pt idx="0">
                  <c:v>C. albidium</c:v>
                </c:pt>
                <c:pt idx="1">
                  <c:v>E. cylindricum</c:v>
                </c:pt>
                <c:pt idx="2">
                  <c:v>G. kola</c:v>
                </c:pt>
                <c:pt idx="3">
                  <c:v>I. gabonensis</c:v>
                </c:pt>
                <c:pt idx="4">
                  <c:v>M. excelsa</c:v>
                </c:pt>
              </c:strCache>
            </c:strRef>
          </c:cat>
          <c:val>
            <c:numRef>
              <c:f>Sheet1!$C$12:$C$16</c:f>
              <c:numCache>
                <c:formatCode>General</c:formatCode>
                <c:ptCount val="5"/>
                <c:pt idx="0">
                  <c:v>2.38</c:v>
                </c:pt>
                <c:pt idx="1">
                  <c:v>3.57</c:v>
                </c:pt>
                <c:pt idx="2">
                  <c:v>2.38</c:v>
                </c:pt>
                <c:pt idx="3">
                  <c:v>2.97</c:v>
                </c:pt>
                <c:pt idx="4">
                  <c:v>2.97</c:v>
                </c:pt>
              </c:numCache>
            </c:numRef>
          </c:val>
          <c:extLst>
            <c:ext xmlns:c16="http://schemas.microsoft.com/office/drawing/2014/chart" uri="{C3380CC4-5D6E-409C-BE32-E72D297353CC}">
              <c16:uniqueId val="{00000008-F0FF-4090-ACAE-37AAD0620E0F}"/>
            </c:ext>
          </c:extLst>
        </c:ser>
        <c:dLbls>
          <c:showLegendKey val="0"/>
          <c:showVal val="0"/>
          <c:showCatName val="0"/>
          <c:showSerName val="0"/>
          <c:showPercent val="0"/>
          <c:showBubbleSize val="0"/>
        </c:dLbls>
        <c:gapWidth val="150"/>
        <c:axId val="418652440"/>
        <c:axId val="418654792"/>
      </c:barChart>
      <c:catAx>
        <c:axId val="4186524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baseline="0"/>
                  <a:t>Plant species</a:t>
                </a:r>
                <a:endParaRPr lang="en-US" sz="1200" b="0"/>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418654792"/>
        <c:crosses val="autoZero"/>
        <c:auto val="1"/>
        <c:lblAlgn val="ctr"/>
        <c:lblOffset val="100"/>
        <c:noMultiLvlLbl val="0"/>
      </c:catAx>
      <c:valAx>
        <c:axId val="418654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sz="1200" b="0" baseline="0"/>
                  <a:t> rate</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418652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Sheet1!$R$4</c:f>
              <c:strCache>
                <c:ptCount val="1"/>
                <c:pt idx="0">
                  <c:v>Soaking duration (Hours)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8C48-475B-8916-FA8E4BCD2D63}"/>
              </c:ext>
            </c:extLst>
          </c:dPt>
          <c:dPt>
            <c:idx val="2"/>
            <c:invertIfNegative val="0"/>
            <c:bubble3D val="0"/>
            <c:spPr>
              <a:solidFill>
                <a:srgbClr val="00B050"/>
              </a:solidFill>
              <a:ln>
                <a:noFill/>
              </a:ln>
              <a:effectLst/>
            </c:spPr>
            <c:extLst>
              <c:ext xmlns:c16="http://schemas.microsoft.com/office/drawing/2014/chart" uri="{C3380CC4-5D6E-409C-BE32-E72D297353CC}">
                <c16:uniqueId val="{00000003-8C48-475B-8916-FA8E4BCD2D63}"/>
              </c:ext>
            </c:extLst>
          </c:dPt>
          <c:dPt>
            <c:idx val="3"/>
            <c:invertIfNegative val="0"/>
            <c:bubble3D val="0"/>
            <c:spPr>
              <a:solidFill>
                <a:srgbClr val="002060"/>
              </a:solidFill>
              <a:ln>
                <a:noFill/>
              </a:ln>
              <a:effectLst/>
            </c:spPr>
            <c:extLst>
              <c:ext xmlns:c16="http://schemas.microsoft.com/office/drawing/2014/chart" uri="{C3380CC4-5D6E-409C-BE32-E72D297353CC}">
                <c16:uniqueId val="{00000005-8C48-475B-8916-FA8E4BCD2D63}"/>
              </c:ext>
            </c:extLst>
          </c:dPt>
          <c:dPt>
            <c:idx val="4"/>
            <c:invertIfNegative val="0"/>
            <c:bubble3D val="0"/>
            <c:spPr>
              <a:solidFill>
                <a:srgbClr val="FF0000"/>
              </a:solidFill>
              <a:ln>
                <a:noFill/>
              </a:ln>
              <a:effectLst/>
            </c:spPr>
            <c:extLst>
              <c:ext xmlns:c16="http://schemas.microsoft.com/office/drawing/2014/chart" uri="{C3380CC4-5D6E-409C-BE32-E72D297353CC}">
                <c16:uniqueId val="{00000007-8C48-475B-8916-FA8E4BCD2D63}"/>
              </c:ext>
            </c:extLst>
          </c:dPt>
          <c:cat>
            <c:strRef>
              <c:f>Sheet1!$Q$5:$Q$9</c:f>
              <c:strCache>
                <c:ptCount val="5"/>
                <c:pt idx="0">
                  <c:v>C. albidium</c:v>
                </c:pt>
                <c:pt idx="1">
                  <c:v>E. cylindricum</c:v>
                </c:pt>
                <c:pt idx="2">
                  <c:v>G. kola</c:v>
                </c:pt>
                <c:pt idx="3">
                  <c:v>I. gabonensis</c:v>
                </c:pt>
                <c:pt idx="4">
                  <c:v>M. excelsa</c:v>
                </c:pt>
              </c:strCache>
            </c:strRef>
          </c:cat>
          <c:val>
            <c:numRef>
              <c:f>Sheet1!$R$5:$R$9</c:f>
              <c:numCache>
                <c:formatCode>General</c:formatCode>
                <c:ptCount val="5"/>
                <c:pt idx="0">
                  <c:v>6</c:v>
                </c:pt>
                <c:pt idx="1">
                  <c:v>12</c:v>
                </c:pt>
                <c:pt idx="2">
                  <c:v>18</c:v>
                </c:pt>
                <c:pt idx="3">
                  <c:v>24</c:v>
                </c:pt>
                <c:pt idx="4">
                  <c:v>72</c:v>
                </c:pt>
              </c:numCache>
            </c:numRef>
          </c:val>
          <c:extLst>
            <c:ext xmlns:c16="http://schemas.microsoft.com/office/drawing/2014/chart" uri="{C3380CC4-5D6E-409C-BE32-E72D297353CC}">
              <c16:uniqueId val="{00000008-8C48-475B-8916-FA8E4BCD2D63}"/>
            </c:ext>
          </c:extLst>
        </c:ser>
        <c:dLbls>
          <c:showLegendKey val="0"/>
          <c:showVal val="0"/>
          <c:showCatName val="0"/>
          <c:showSerName val="0"/>
          <c:showPercent val="0"/>
          <c:showBubbleSize val="0"/>
        </c:dLbls>
        <c:gapWidth val="300"/>
        <c:axId val="418653224"/>
        <c:axId val="418653616"/>
      </c:barChart>
      <c:catAx>
        <c:axId val="418653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418653616"/>
        <c:crosses val="autoZero"/>
        <c:auto val="1"/>
        <c:lblAlgn val="ctr"/>
        <c:lblOffset val="100"/>
        <c:noMultiLvlLbl val="0"/>
      </c:catAx>
      <c:valAx>
        <c:axId val="41865361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Soaking</a:t>
                </a:r>
                <a:r>
                  <a:rPr lang="en-US" sz="1200" b="0" baseline="0"/>
                  <a:t> duration (Hours)</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8653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22</Pages>
  <Words>5385</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24</cp:revision>
  <dcterms:created xsi:type="dcterms:W3CDTF">2026-03-22T20:18:00Z</dcterms:created>
  <dcterms:modified xsi:type="dcterms:W3CDTF">2026-04-13T09:53:00Z</dcterms:modified>
</cp:coreProperties>
</file>