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B7AC5" w14:textId="77777777" w:rsidR="00654D85" w:rsidRPr="00654D85" w:rsidRDefault="00654D85" w:rsidP="00654D85">
      <w:pPr>
        <w:spacing w:line="480" w:lineRule="auto"/>
        <w:rPr>
          <w:rFonts w:eastAsia="Times New Roman"/>
          <w:b/>
          <w:bCs/>
          <w:i/>
          <w:iCs/>
          <w:u w:val="single"/>
        </w:rPr>
      </w:pPr>
      <w:r w:rsidRPr="00654D85">
        <w:rPr>
          <w:rFonts w:eastAsia="Times New Roman"/>
          <w:b/>
          <w:bCs/>
          <w:i/>
          <w:iCs/>
          <w:u w:val="single"/>
        </w:rPr>
        <w:t>Review Article</w:t>
      </w:r>
    </w:p>
    <w:p w14:paraId="6AF1128C" w14:textId="1A18A16B" w:rsidR="00390142" w:rsidRPr="00866DF7" w:rsidRDefault="00565CAB" w:rsidP="000A2B77">
      <w:pPr>
        <w:spacing w:line="480" w:lineRule="auto"/>
        <w:rPr>
          <w:rFonts w:eastAsia="Times New Roman"/>
          <w:b/>
          <w:bCs/>
        </w:rPr>
      </w:pPr>
      <w:r w:rsidRPr="00866DF7">
        <w:rPr>
          <w:rFonts w:eastAsia="Times New Roman"/>
          <w:b/>
          <w:bCs/>
        </w:rPr>
        <w:t xml:space="preserve">A </w:t>
      </w:r>
      <w:r w:rsidR="00814566">
        <w:rPr>
          <w:rFonts w:eastAsia="Times New Roman"/>
          <w:b/>
          <w:bCs/>
        </w:rPr>
        <w:t xml:space="preserve">Narrative </w:t>
      </w:r>
      <w:r w:rsidR="00B60B50" w:rsidRPr="00866DF7">
        <w:rPr>
          <w:rFonts w:eastAsia="Times New Roman"/>
          <w:b/>
          <w:bCs/>
        </w:rPr>
        <w:t xml:space="preserve">Review on Policy Responses to Social Determinants of Health Related to Dementia in </w:t>
      </w:r>
      <w:r w:rsidRPr="00866DF7">
        <w:rPr>
          <w:rFonts w:eastAsia="Times New Roman"/>
          <w:b/>
          <w:bCs/>
        </w:rPr>
        <w:t>England</w:t>
      </w:r>
    </w:p>
    <w:p w14:paraId="5C9A90B9" w14:textId="5134AB25" w:rsidR="009A1776" w:rsidRDefault="009A1776" w:rsidP="000A2B77">
      <w:pPr>
        <w:spacing w:line="480" w:lineRule="auto"/>
        <w:rPr>
          <w:rFonts w:eastAsia="Times New Roman"/>
          <w:b/>
          <w:bCs/>
        </w:rPr>
      </w:pPr>
    </w:p>
    <w:p w14:paraId="6C9690A4" w14:textId="77777777" w:rsidR="00E42200" w:rsidRPr="00866DF7" w:rsidRDefault="00E42200" w:rsidP="000A2B77">
      <w:pPr>
        <w:spacing w:line="480" w:lineRule="auto"/>
        <w:rPr>
          <w:rFonts w:eastAsia="Times New Roman"/>
          <w:b/>
          <w:bCs/>
        </w:rPr>
      </w:pPr>
    </w:p>
    <w:p w14:paraId="00000005" w14:textId="16AB1B7B" w:rsidR="00964328" w:rsidRDefault="003B1935" w:rsidP="009A1776">
      <w:pPr>
        <w:spacing w:after="180" w:line="480" w:lineRule="auto"/>
        <w:rPr>
          <w:b/>
          <w:bCs/>
        </w:rPr>
      </w:pPr>
      <w:r w:rsidRPr="00866DF7">
        <w:rPr>
          <w:b/>
          <w:bCs/>
        </w:rPr>
        <w:t>Abstract</w:t>
      </w:r>
    </w:p>
    <w:p w14:paraId="00000006" w14:textId="2150E960" w:rsidR="00964328" w:rsidRPr="00866DF7" w:rsidRDefault="002F52D6" w:rsidP="009A1776">
      <w:pPr>
        <w:pStyle w:val="Quote"/>
        <w:spacing w:line="480" w:lineRule="auto"/>
        <w:jc w:val="both"/>
        <w:rPr>
          <w:i w:val="0"/>
          <w:sz w:val="20"/>
          <w:szCs w:val="20"/>
        </w:rPr>
      </w:pPr>
      <w:r w:rsidRPr="00866DF7">
        <w:rPr>
          <w:i w:val="0"/>
          <w:sz w:val="20"/>
          <w:szCs w:val="20"/>
        </w:rPr>
        <w:t xml:space="preserve">Dementia, being </w:t>
      </w:r>
      <w:r w:rsidR="00300E62" w:rsidRPr="00866DF7">
        <w:rPr>
          <w:i w:val="0"/>
          <w:sz w:val="20"/>
          <w:szCs w:val="20"/>
        </w:rPr>
        <w:t>the leading cause of death in England</w:t>
      </w:r>
      <w:r w:rsidRPr="00866DF7">
        <w:rPr>
          <w:i w:val="0"/>
          <w:sz w:val="20"/>
          <w:szCs w:val="20"/>
        </w:rPr>
        <w:t xml:space="preserve">, </w:t>
      </w:r>
      <w:r w:rsidR="00300E62" w:rsidRPr="00866DF7">
        <w:rPr>
          <w:i w:val="0"/>
          <w:sz w:val="20"/>
          <w:szCs w:val="20"/>
        </w:rPr>
        <w:t>has led to dementia-focused strategy and policy implementation si</w:t>
      </w:r>
      <w:r w:rsidRPr="00866DF7">
        <w:rPr>
          <w:i w:val="0"/>
          <w:sz w:val="20"/>
          <w:szCs w:val="20"/>
        </w:rPr>
        <w:t>nce 2009. However, deaths due to dementia are still increasing</w:t>
      </w:r>
      <w:r w:rsidR="00300E62" w:rsidRPr="00866DF7">
        <w:rPr>
          <w:i w:val="0"/>
          <w:sz w:val="20"/>
          <w:szCs w:val="20"/>
        </w:rPr>
        <w:t>. The aim of this study is to identify the policy implementation gap by exploring the social determinants</w:t>
      </w:r>
      <w:r w:rsidR="00DD21BB" w:rsidRPr="00866DF7">
        <w:rPr>
          <w:i w:val="0"/>
          <w:sz w:val="20"/>
          <w:szCs w:val="20"/>
        </w:rPr>
        <w:t xml:space="preserve"> of health related to dementia. </w:t>
      </w:r>
      <w:r w:rsidR="007B0D82">
        <w:rPr>
          <w:i w:val="0"/>
          <w:sz w:val="20"/>
          <w:szCs w:val="20"/>
        </w:rPr>
        <w:t>In this narrative review, first</w:t>
      </w:r>
      <w:r w:rsidR="007C0D36">
        <w:rPr>
          <w:i w:val="0"/>
          <w:sz w:val="20"/>
          <w:szCs w:val="20"/>
        </w:rPr>
        <w:t>ly,</w:t>
      </w:r>
      <w:r w:rsidR="007B0D82">
        <w:rPr>
          <w:i w:val="0"/>
          <w:sz w:val="20"/>
          <w:szCs w:val="20"/>
        </w:rPr>
        <w:t xml:space="preserve"> the determinants were identified </w:t>
      </w:r>
      <w:r w:rsidR="007C0A99">
        <w:rPr>
          <w:i w:val="0"/>
          <w:sz w:val="20"/>
          <w:szCs w:val="20"/>
        </w:rPr>
        <w:t xml:space="preserve">through </w:t>
      </w:r>
      <w:r w:rsidR="007B0D82">
        <w:rPr>
          <w:i w:val="0"/>
          <w:sz w:val="20"/>
          <w:szCs w:val="20"/>
        </w:rPr>
        <w:t>peer-reviewed articles published in English between 2000 and 2026</w:t>
      </w:r>
      <w:r w:rsidR="00731207">
        <w:rPr>
          <w:i w:val="0"/>
          <w:sz w:val="20"/>
          <w:szCs w:val="20"/>
        </w:rPr>
        <w:t>,</w:t>
      </w:r>
      <w:r w:rsidR="007B0D82">
        <w:rPr>
          <w:i w:val="0"/>
          <w:sz w:val="20"/>
          <w:szCs w:val="20"/>
        </w:rPr>
        <w:t xml:space="preserve"> </w:t>
      </w:r>
      <w:r w:rsidR="007C0A99">
        <w:rPr>
          <w:i w:val="0"/>
          <w:sz w:val="20"/>
          <w:szCs w:val="20"/>
        </w:rPr>
        <w:t>retrieved from</w:t>
      </w:r>
      <w:r w:rsidR="007B0D82">
        <w:rPr>
          <w:i w:val="0"/>
          <w:sz w:val="20"/>
          <w:szCs w:val="20"/>
        </w:rPr>
        <w:t xml:space="preserve"> PubMed, Google Scholar, JSTOR and ScienceDirect databases. Second</w:t>
      </w:r>
      <w:r w:rsidR="007C0D36">
        <w:rPr>
          <w:i w:val="0"/>
          <w:sz w:val="20"/>
          <w:szCs w:val="20"/>
        </w:rPr>
        <w:t>ly</w:t>
      </w:r>
      <w:r w:rsidR="007B0D82">
        <w:rPr>
          <w:i w:val="0"/>
          <w:sz w:val="20"/>
          <w:szCs w:val="20"/>
        </w:rPr>
        <w:t xml:space="preserve">, policies </w:t>
      </w:r>
      <w:r w:rsidR="007C0D36">
        <w:rPr>
          <w:i w:val="0"/>
          <w:sz w:val="20"/>
          <w:szCs w:val="20"/>
        </w:rPr>
        <w:t xml:space="preserve">that address all the social determinants of health related to </w:t>
      </w:r>
      <w:r w:rsidR="007B0D82">
        <w:rPr>
          <w:i w:val="0"/>
          <w:sz w:val="20"/>
          <w:szCs w:val="20"/>
        </w:rPr>
        <w:t>dementia were identifie</w:t>
      </w:r>
      <w:r w:rsidR="007C0A99">
        <w:rPr>
          <w:i w:val="0"/>
          <w:sz w:val="20"/>
          <w:szCs w:val="20"/>
        </w:rPr>
        <w:t>d</w:t>
      </w:r>
      <w:r w:rsidR="007B0D82">
        <w:rPr>
          <w:i w:val="0"/>
          <w:sz w:val="20"/>
          <w:szCs w:val="20"/>
        </w:rPr>
        <w:t xml:space="preserve"> </w:t>
      </w:r>
      <w:r w:rsidR="007C0D36">
        <w:rPr>
          <w:i w:val="0"/>
          <w:sz w:val="20"/>
          <w:szCs w:val="20"/>
        </w:rPr>
        <w:t xml:space="preserve">through </w:t>
      </w:r>
      <w:r w:rsidR="007B0D82">
        <w:rPr>
          <w:i w:val="0"/>
          <w:sz w:val="20"/>
          <w:szCs w:val="20"/>
        </w:rPr>
        <w:t>government policy briefs</w:t>
      </w:r>
      <w:r w:rsidR="007C0D36">
        <w:rPr>
          <w:i w:val="0"/>
          <w:sz w:val="20"/>
          <w:szCs w:val="20"/>
        </w:rPr>
        <w:t xml:space="preserve"> and reports</w:t>
      </w:r>
      <w:r w:rsidR="007B0D82">
        <w:rPr>
          <w:i w:val="0"/>
          <w:sz w:val="20"/>
          <w:szCs w:val="20"/>
        </w:rPr>
        <w:t xml:space="preserve">. The extracted data was </w:t>
      </w:r>
      <w:r w:rsidR="007C0D36">
        <w:rPr>
          <w:i w:val="0"/>
          <w:sz w:val="20"/>
          <w:szCs w:val="20"/>
        </w:rPr>
        <w:t xml:space="preserve">subsequently </w:t>
      </w:r>
      <w:r w:rsidR="007B0D82">
        <w:rPr>
          <w:i w:val="0"/>
          <w:sz w:val="20"/>
          <w:szCs w:val="20"/>
        </w:rPr>
        <w:t xml:space="preserve">assessed to identify the policy implementation gaps. </w:t>
      </w:r>
      <w:r w:rsidR="001F6132" w:rsidRPr="00866DF7">
        <w:rPr>
          <w:i w:val="0"/>
          <w:sz w:val="20"/>
          <w:szCs w:val="20"/>
        </w:rPr>
        <w:t xml:space="preserve">Drawing on the </w:t>
      </w:r>
      <w:r w:rsidR="00DD21BB" w:rsidRPr="00866DF7">
        <w:rPr>
          <w:i w:val="0"/>
          <w:sz w:val="20"/>
          <w:szCs w:val="20"/>
        </w:rPr>
        <w:t>e</w:t>
      </w:r>
      <w:r w:rsidR="005A04B6" w:rsidRPr="00866DF7">
        <w:rPr>
          <w:i w:val="0"/>
          <w:sz w:val="20"/>
          <w:szCs w:val="20"/>
        </w:rPr>
        <w:t>vidence from peer r</w:t>
      </w:r>
      <w:r w:rsidR="00FC6730" w:rsidRPr="00866DF7">
        <w:rPr>
          <w:i w:val="0"/>
          <w:sz w:val="20"/>
          <w:szCs w:val="20"/>
        </w:rPr>
        <w:t xml:space="preserve">eviewed, published articles, this review demonstrates a wide range of social determinants of health linked to dementia under </w:t>
      </w:r>
      <w:r w:rsidR="00FC6730" w:rsidRPr="00866DF7">
        <w:rPr>
          <w:i w:val="0"/>
          <w:color w:val="auto"/>
          <w:sz w:val="20"/>
          <w:szCs w:val="20"/>
        </w:rPr>
        <w:t>social, economic, biological, technological and environmental</w:t>
      </w:r>
      <w:r w:rsidR="00FC6730" w:rsidRPr="00866DF7">
        <w:rPr>
          <w:i w:val="0"/>
          <w:sz w:val="20"/>
          <w:szCs w:val="20"/>
        </w:rPr>
        <w:t xml:space="preserve"> categories.</w:t>
      </w:r>
      <w:r w:rsidR="001F6132" w:rsidRPr="00866DF7">
        <w:rPr>
          <w:i w:val="0"/>
          <w:sz w:val="20"/>
          <w:szCs w:val="20"/>
        </w:rPr>
        <w:t xml:space="preserve"> </w:t>
      </w:r>
      <w:r w:rsidR="007C0D36">
        <w:rPr>
          <w:i w:val="0"/>
          <w:sz w:val="20"/>
          <w:szCs w:val="20"/>
        </w:rPr>
        <w:t xml:space="preserve">The identified policies were further categorized into </w:t>
      </w:r>
      <w:r w:rsidR="007C0A99">
        <w:rPr>
          <w:i w:val="0"/>
          <w:sz w:val="20"/>
          <w:szCs w:val="20"/>
        </w:rPr>
        <w:t xml:space="preserve">three categories; health promotion, health protection and healthcare services. </w:t>
      </w:r>
      <w:r w:rsidR="00DD21BB" w:rsidRPr="00866DF7">
        <w:rPr>
          <w:i w:val="0"/>
          <w:sz w:val="20"/>
          <w:szCs w:val="20"/>
        </w:rPr>
        <w:t xml:space="preserve">The review highlights the need of attention to the policies that </w:t>
      </w:r>
      <w:r w:rsidR="007C0A99">
        <w:rPr>
          <w:i w:val="0"/>
          <w:sz w:val="20"/>
          <w:szCs w:val="20"/>
        </w:rPr>
        <w:t xml:space="preserve">mainly </w:t>
      </w:r>
      <w:r w:rsidR="00DD21BB" w:rsidRPr="00866DF7">
        <w:rPr>
          <w:i w:val="0"/>
          <w:sz w:val="20"/>
          <w:szCs w:val="20"/>
        </w:rPr>
        <w:t xml:space="preserve">address </w:t>
      </w:r>
      <w:r w:rsidR="00300E62" w:rsidRPr="00866DF7">
        <w:rPr>
          <w:i w:val="0"/>
          <w:sz w:val="20"/>
          <w:szCs w:val="20"/>
        </w:rPr>
        <w:t>deprivation</w:t>
      </w:r>
      <w:r w:rsidR="007C0A99">
        <w:rPr>
          <w:i w:val="0"/>
          <w:sz w:val="20"/>
          <w:szCs w:val="20"/>
        </w:rPr>
        <w:t>. Additionally</w:t>
      </w:r>
      <w:r w:rsidR="00731207">
        <w:rPr>
          <w:i w:val="0"/>
          <w:sz w:val="20"/>
          <w:szCs w:val="20"/>
        </w:rPr>
        <w:t>,</w:t>
      </w:r>
      <w:r w:rsidR="007C0A99">
        <w:rPr>
          <w:i w:val="0"/>
          <w:sz w:val="20"/>
          <w:szCs w:val="20"/>
        </w:rPr>
        <w:t xml:space="preserve"> </w:t>
      </w:r>
      <w:r w:rsidR="00731207">
        <w:rPr>
          <w:i w:val="0"/>
          <w:sz w:val="20"/>
          <w:szCs w:val="20"/>
        </w:rPr>
        <w:t xml:space="preserve">policy </w:t>
      </w:r>
      <w:r w:rsidR="007C0A99">
        <w:rPr>
          <w:i w:val="0"/>
          <w:sz w:val="20"/>
          <w:szCs w:val="20"/>
        </w:rPr>
        <w:t>focus on prevention</w:t>
      </w:r>
      <w:r w:rsidR="00731207">
        <w:rPr>
          <w:i w:val="0"/>
          <w:sz w:val="20"/>
          <w:szCs w:val="20"/>
        </w:rPr>
        <w:t xml:space="preserve"> and management of dementia </w:t>
      </w:r>
      <w:r w:rsidR="007C0A99">
        <w:rPr>
          <w:i w:val="0"/>
          <w:sz w:val="20"/>
          <w:szCs w:val="20"/>
        </w:rPr>
        <w:t xml:space="preserve">and </w:t>
      </w:r>
      <w:r w:rsidR="00731207">
        <w:rPr>
          <w:i w:val="0"/>
          <w:sz w:val="20"/>
          <w:szCs w:val="20"/>
        </w:rPr>
        <w:t xml:space="preserve">advances in </w:t>
      </w:r>
      <w:r w:rsidR="007C0A99">
        <w:rPr>
          <w:i w:val="0"/>
          <w:sz w:val="20"/>
          <w:szCs w:val="20"/>
        </w:rPr>
        <w:t xml:space="preserve">research industry is important </w:t>
      </w:r>
      <w:r w:rsidR="00300E62" w:rsidRPr="00866DF7">
        <w:rPr>
          <w:i w:val="0"/>
          <w:sz w:val="20"/>
          <w:szCs w:val="20"/>
        </w:rPr>
        <w:t>to reduce the prevalence of dementia in England. A multi-faceted, collaborative approach would be beneficial to achieve this. Future research should gather the perspectives of the stakeholders and inform more responsive policies.</w:t>
      </w:r>
    </w:p>
    <w:p w14:paraId="15B583F1" w14:textId="3D4A0910" w:rsidR="00390142" w:rsidRPr="00866DF7" w:rsidRDefault="00300E62" w:rsidP="009A1776">
      <w:pPr>
        <w:spacing w:line="480" w:lineRule="auto"/>
        <w:jc w:val="both"/>
        <w:rPr>
          <w:i/>
          <w:iCs/>
          <w:sz w:val="20"/>
          <w:szCs w:val="20"/>
        </w:rPr>
      </w:pPr>
      <w:r w:rsidRPr="00866DF7">
        <w:rPr>
          <w:i/>
          <w:iCs/>
          <w:sz w:val="20"/>
          <w:szCs w:val="20"/>
        </w:rPr>
        <w:t xml:space="preserve">Keywords: Dementia; policy making; social determinants of health; </w:t>
      </w:r>
      <w:r w:rsidR="00565CAB" w:rsidRPr="00866DF7">
        <w:rPr>
          <w:i/>
          <w:iCs/>
          <w:sz w:val="20"/>
          <w:szCs w:val="20"/>
        </w:rPr>
        <w:t>England</w:t>
      </w:r>
      <w:r w:rsidR="003B1935" w:rsidRPr="00866DF7">
        <w:rPr>
          <w:i/>
          <w:iCs/>
          <w:sz w:val="20"/>
          <w:szCs w:val="20"/>
        </w:rPr>
        <w:t>.</w:t>
      </w:r>
    </w:p>
    <w:p w14:paraId="00000009" w14:textId="77777777" w:rsidR="00964328" w:rsidRDefault="00964328" w:rsidP="009A1776">
      <w:pPr>
        <w:spacing w:line="480" w:lineRule="auto"/>
        <w:rPr>
          <w:rFonts w:ascii="Times New Roman" w:eastAsia="Times New Roman" w:hAnsi="Times New Roman" w:cs="Times New Roman"/>
          <w:sz w:val="20"/>
          <w:szCs w:val="20"/>
        </w:rPr>
      </w:pPr>
    </w:p>
    <w:p w14:paraId="79DBB9A1" w14:textId="77777777" w:rsidR="00F71C6D" w:rsidRDefault="00F71C6D" w:rsidP="009A1776">
      <w:pPr>
        <w:spacing w:line="480" w:lineRule="auto"/>
        <w:rPr>
          <w:rFonts w:ascii="Times New Roman" w:eastAsia="Times New Roman" w:hAnsi="Times New Roman" w:cs="Times New Roman"/>
          <w:sz w:val="20"/>
          <w:szCs w:val="20"/>
        </w:rPr>
      </w:pPr>
    </w:p>
    <w:p w14:paraId="63979A69" w14:textId="77777777" w:rsidR="00F71C6D" w:rsidRDefault="00F71C6D" w:rsidP="009A1776">
      <w:pPr>
        <w:spacing w:line="480" w:lineRule="auto"/>
        <w:rPr>
          <w:rFonts w:ascii="Times New Roman" w:eastAsia="Times New Roman" w:hAnsi="Times New Roman" w:cs="Times New Roman"/>
          <w:sz w:val="20"/>
          <w:szCs w:val="20"/>
        </w:rPr>
      </w:pPr>
    </w:p>
    <w:p w14:paraId="3C85A581" w14:textId="77777777" w:rsidR="00F71C6D" w:rsidRPr="00866DF7" w:rsidRDefault="00F71C6D" w:rsidP="009A1776">
      <w:pPr>
        <w:spacing w:line="480" w:lineRule="auto"/>
        <w:rPr>
          <w:rFonts w:ascii="Times New Roman" w:eastAsia="Times New Roman" w:hAnsi="Times New Roman" w:cs="Times New Roman"/>
          <w:sz w:val="20"/>
          <w:szCs w:val="20"/>
        </w:rPr>
      </w:pPr>
    </w:p>
    <w:p w14:paraId="4AE322C6" w14:textId="002D330A" w:rsidR="00F57010" w:rsidRPr="00866DF7" w:rsidRDefault="003B1935" w:rsidP="00F57010">
      <w:pPr>
        <w:pStyle w:val="ListParagraph"/>
        <w:numPr>
          <w:ilvl w:val="0"/>
          <w:numId w:val="4"/>
        </w:numPr>
        <w:spacing w:line="480" w:lineRule="auto"/>
        <w:rPr>
          <w:b/>
          <w:bCs/>
        </w:rPr>
      </w:pPr>
      <w:r w:rsidRPr="00866DF7">
        <w:rPr>
          <w:b/>
          <w:bCs/>
        </w:rPr>
        <w:lastRenderedPageBreak/>
        <w:t xml:space="preserve">Introduction </w:t>
      </w:r>
    </w:p>
    <w:p w14:paraId="6660A284" w14:textId="075B2E92" w:rsidR="009A1776" w:rsidRDefault="00F57010" w:rsidP="009A1776">
      <w:pPr>
        <w:pStyle w:val="ListParagraph"/>
        <w:numPr>
          <w:ilvl w:val="1"/>
          <w:numId w:val="4"/>
        </w:numPr>
        <w:spacing w:before="240" w:after="240" w:line="480" w:lineRule="auto"/>
        <w:jc w:val="both"/>
        <w:rPr>
          <w:rFonts w:eastAsia="Times New Roman"/>
          <w:b/>
        </w:rPr>
      </w:pPr>
      <w:r w:rsidRPr="00866DF7">
        <w:rPr>
          <w:rFonts w:eastAsia="Times New Roman"/>
          <w:b/>
        </w:rPr>
        <w:t xml:space="preserve">The </w:t>
      </w:r>
      <w:r w:rsidR="003B1935" w:rsidRPr="00866DF7">
        <w:rPr>
          <w:rFonts w:eastAsia="Times New Roman"/>
          <w:b/>
        </w:rPr>
        <w:t>b</w:t>
      </w:r>
      <w:r w:rsidRPr="00866DF7">
        <w:rPr>
          <w:rFonts w:eastAsia="Times New Roman"/>
          <w:b/>
        </w:rPr>
        <w:t>urden o</w:t>
      </w:r>
      <w:r w:rsidR="003B1935" w:rsidRPr="00866DF7">
        <w:rPr>
          <w:rFonts w:eastAsia="Times New Roman"/>
          <w:b/>
        </w:rPr>
        <w:t>f d</w:t>
      </w:r>
      <w:r w:rsidRPr="00866DF7">
        <w:rPr>
          <w:rFonts w:eastAsia="Times New Roman"/>
          <w:b/>
        </w:rPr>
        <w:t>ementia</w:t>
      </w:r>
    </w:p>
    <w:p w14:paraId="14F77288" w14:textId="07693466" w:rsidR="00222C80" w:rsidRPr="00731207" w:rsidRDefault="00222C80" w:rsidP="00F54D8C">
      <w:pPr>
        <w:spacing w:after="180" w:line="480" w:lineRule="auto"/>
        <w:jc w:val="both"/>
        <w:rPr>
          <w:sz w:val="20"/>
          <w:szCs w:val="20"/>
        </w:rPr>
      </w:pPr>
      <w:r w:rsidRPr="00731207">
        <w:rPr>
          <w:sz w:val="20"/>
          <w:szCs w:val="20"/>
        </w:rPr>
        <w:t>Major Neurocognitive Disorder or the most commonly known ‘Dementia’ is a collection of symptoms precipitated by a cognitive decline in at least one of the six key domains of cognitive function which include complex attention, learning, memory, perpetual-motor control, executive function and social cognition. This condition is progressive over time and may extend from having difficulty in instrumental activities such as managing finance to being fully dependent (</w:t>
      </w:r>
      <w:r w:rsidR="00843C6B" w:rsidRPr="00CE3F05">
        <w:rPr>
          <w:sz w:val="20"/>
          <w:szCs w:val="20"/>
        </w:rPr>
        <w:t>Sachdev</w:t>
      </w:r>
      <w:r w:rsidR="00843C6B">
        <w:rPr>
          <w:sz w:val="20"/>
          <w:szCs w:val="20"/>
        </w:rPr>
        <w:t xml:space="preserve"> et al., 2014</w:t>
      </w:r>
      <w:r w:rsidRPr="00731207">
        <w:rPr>
          <w:sz w:val="20"/>
          <w:szCs w:val="20"/>
        </w:rPr>
        <w:t xml:space="preserve">). Among the subtypes of Major Neurocognitive Disorder, Alzheimer’s disease is the leading subtype which manifests due to deposition of neurofibrillary tangles and Amyloid β plaques in the hippocampus of the brain which is responsible for the cognitive function </w:t>
      </w:r>
      <w:r w:rsidRPr="00731207">
        <w:rPr>
          <w:rFonts w:cstheme="minorHAnsi"/>
          <w:sz w:val="20"/>
          <w:szCs w:val="20"/>
          <w:shd w:val="clear" w:color="auto" w:fill="FFFFFF"/>
        </w:rPr>
        <w:t xml:space="preserve">(American Psychiatric Association, 2013; </w:t>
      </w:r>
      <w:proofErr w:type="spellStart"/>
      <w:r w:rsidR="0056634C" w:rsidRPr="00731207">
        <w:rPr>
          <w:rFonts w:cstheme="minorHAnsi"/>
          <w:sz w:val="20"/>
          <w:szCs w:val="20"/>
          <w:shd w:val="clear" w:color="auto" w:fill="FFFFFF"/>
        </w:rPr>
        <w:t>Kamatham</w:t>
      </w:r>
      <w:proofErr w:type="spellEnd"/>
      <w:r w:rsidR="0056634C" w:rsidRPr="00731207">
        <w:rPr>
          <w:rFonts w:cstheme="minorHAnsi"/>
          <w:sz w:val="20"/>
          <w:szCs w:val="20"/>
          <w:shd w:val="clear" w:color="auto" w:fill="FFFFFF"/>
        </w:rPr>
        <w:t xml:space="preserve"> </w:t>
      </w:r>
      <w:r w:rsidRPr="00731207">
        <w:rPr>
          <w:rFonts w:cstheme="minorHAnsi"/>
          <w:sz w:val="20"/>
          <w:szCs w:val="20"/>
          <w:shd w:val="clear" w:color="auto" w:fill="FFFFFF"/>
        </w:rPr>
        <w:t>et al., 2024).</w:t>
      </w:r>
    </w:p>
    <w:p w14:paraId="124B1B3D" w14:textId="02794C63" w:rsidR="009A1776" w:rsidRPr="00866DF7" w:rsidRDefault="00222C80" w:rsidP="009A1776">
      <w:pPr>
        <w:shd w:val="clear" w:color="auto" w:fill="FFFFFF" w:themeFill="background1"/>
        <w:spacing w:before="240" w:after="240" w:line="480" w:lineRule="auto"/>
        <w:jc w:val="both"/>
        <w:rPr>
          <w:rFonts w:eastAsia="Times New Roman"/>
          <w:sz w:val="20"/>
          <w:szCs w:val="20"/>
        </w:rPr>
      </w:pPr>
      <w:r>
        <w:rPr>
          <w:rFonts w:eastAsia="Times New Roman"/>
          <w:sz w:val="20"/>
          <w:szCs w:val="20"/>
        </w:rPr>
        <w:t>Due to the nature of the disease, d</w:t>
      </w:r>
      <w:r w:rsidR="00300E62" w:rsidRPr="00866DF7">
        <w:rPr>
          <w:rFonts w:eastAsia="Times New Roman"/>
          <w:sz w:val="20"/>
          <w:szCs w:val="20"/>
        </w:rPr>
        <w:t>ementia has become a global health challenge that it is one of the main causes of dependency and disability in older age groups. In addition, it is the seventh leading cause of death globally. Currently there are over 55 million dementia patients</w:t>
      </w:r>
      <w:r w:rsidR="00565C28" w:rsidRPr="00866DF7">
        <w:rPr>
          <w:rFonts w:eastAsia="Times New Roman"/>
          <w:sz w:val="20"/>
          <w:szCs w:val="20"/>
        </w:rPr>
        <w:t xml:space="preserve"> worldwide (</w:t>
      </w:r>
      <w:r w:rsidR="0096438B" w:rsidRPr="00866DF7">
        <w:rPr>
          <w:rFonts w:eastAsia="Times New Roman"/>
          <w:sz w:val="20"/>
          <w:szCs w:val="20"/>
        </w:rPr>
        <w:t>World Health Organization [</w:t>
      </w:r>
      <w:r w:rsidR="00565C28" w:rsidRPr="00866DF7">
        <w:rPr>
          <w:rFonts w:eastAsia="Times New Roman"/>
          <w:sz w:val="20"/>
          <w:szCs w:val="20"/>
        </w:rPr>
        <w:t>WHO</w:t>
      </w:r>
      <w:r w:rsidR="0096438B" w:rsidRPr="00866DF7">
        <w:rPr>
          <w:rFonts w:eastAsia="Times New Roman"/>
          <w:sz w:val="20"/>
          <w:szCs w:val="20"/>
        </w:rPr>
        <w:t>]</w:t>
      </w:r>
      <w:r w:rsidR="00565C28" w:rsidRPr="00866DF7">
        <w:rPr>
          <w:rFonts w:eastAsia="Times New Roman"/>
          <w:sz w:val="20"/>
          <w:szCs w:val="20"/>
        </w:rPr>
        <w:t>, 2025</w:t>
      </w:r>
      <w:r w:rsidR="00466E48" w:rsidRPr="00866DF7">
        <w:rPr>
          <w:rFonts w:eastAsia="Times New Roman"/>
          <w:sz w:val="20"/>
          <w:szCs w:val="20"/>
        </w:rPr>
        <w:t>a</w:t>
      </w:r>
      <w:r w:rsidR="00565C28" w:rsidRPr="00866DF7">
        <w:rPr>
          <w:rFonts w:eastAsia="Times New Roman"/>
          <w:sz w:val="20"/>
          <w:szCs w:val="20"/>
        </w:rPr>
        <w:t>)</w:t>
      </w:r>
      <w:r w:rsidR="00300E62" w:rsidRPr="00866DF7">
        <w:rPr>
          <w:rFonts w:eastAsia="Times New Roman"/>
          <w:sz w:val="20"/>
          <w:szCs w:val="20"/>
        </w:rPr>
        <w:t>. Annually this number increases by approximately 10 million. More than half of them live in low- and middle-income countries with the highest number of cases reported in Asia (Naheed et al., 2023). The economic burden of dementia is considerable, that it has accounted for a global annual cost of 1.3 trillion US dollars in 2019 (WHO, 2025</w:t>
      </w:r>
      <w:r w:rsidR="00F9180E" w:rsidRPr="00866DF7">
        <w:rPr>
          <w:rFonts w:eastAsia="Times New Roman"/>
          <w:sz w:val="20"/>
          <w:szCs w:val="20"/>
        </w:rPr>
        <w:t>a</w:t>
      </w:r>
      <w:r w:rsidR="00300E62" w:rsidRPr="00866DF7">
        <w:rPr>
          <w:rFonts w:eastAsia="Times New Roman"/>
          <w:sz w:val="20"/>
          <w:szCs w:val="20"/>
        </w:rPr>
        <w:t>). In England, this cost was £24.2 billion in 2015 (</w:t>
      </w:r>
      <w:proofErr w:type="spellStart"/>
      <w:r w:rsidR="00300E62" w:rsidRPr="00866DF7">
        <w:rPr>
          <w:rFonts w:eastAsia="Times New Roman"/>
          <w:sz w:val="20"/>
          <w:szCs w:val="20"/>
        </w:rPr>
        <w:t>Writtenburg</w:t>
      </w:r>
      <w:proofErr w:type="spellEnd"/>
      <w:r w:rsidR="00300E62" w:rsidRPr="00866DF7">
        <w:rPr>
          <w:rFonts w:eastAsia="Times New Roman"/>
          <w:sz w:val="20"/>
          <w:szCs w:val="20"/>
        </w:rPr>
        <w:t xml:space="preserve"> et al., 2019). In terms of financial wellbeing of primary carers of dementia in England, it is reported that they face financial insecurity as 20% of the primary carers have left employment to dedicate themselves to caring and 12% have declined their working hours. This has led to a loss of £3.2 billion cost of working time. In addition, the mentality of the carers is negatively affected (Office for Health Improvement and Disparities</w:t>
      </w:r>
      <w:r w:rsidR="0096438B" w:rsidRPr="00866DF7">
        <w:rPr>
          <w:rFonts w:eastAsia="Times New Roman"/>
          <w:sz w:val="20"/>
          <w:szCs w:val="20"/>
        </w:rPr>
        <w:t xml:space="preserve"> [OHID]</w:t>
      </w:r>
      <w:r w:rsidR="00300E62" w:rsidRPr="00866DF7">
        <w:rPr>
          <w:rFonts w:eastAsia="Times New Roman"/>
          <w:sz w:val="20"/>
          <w:szCs w:val="20"/>
        </w:rPr>
        <w:t>, 2022).</w:t>
      </w:r>
    </w:p>
    <w:p w14:paraId="3FEAF29A" w14:textId="2532542D" w:rsidR="006B6DF6" w:rsidRPr="00866DF7" w:rsidRDefault="00F57010" w:rsidP="00B84787">
      <w:pPr>
        <w:pStyle w:val="ListParagraph"/>
        <w:numPr>
          <w:ilvl w:val="1"/>
          <w:numId w:val="3"/>
        </w:numPr>
        <w:shd w:val="clear" w:color="auto" w:fill="FFFFFF" w:themeFill="background1"/>
        <w:spacing w:before="240" w:after="240" w:line="480" w:lineRule="auto"/>
        <w:jc w:val="both"/>
        <w:rPr>
          <w:rFonts w:eastAsia="Times New Roman"/>
          <w:b/>
        </w:rPr>
      </w:pPr>
      <w:r w:rsidRPr="00866DF7">
        <w:rPr>
          <w:rFonts w:eastAsia="Times New Roman"/>
          <w:b/>
        </w:rPr>
        <w:t xml:space="preserve">Past </w:t>
      </w:r>
      <w:r w:rsidR="003B1935" w:rsidRPr="00866DF7">
        <w:rPr>
          <w:rFonts w:eastAsia="Times New Roman"/>
          <w:b/>
        </w:rPr>
        <w:t>policies and s</w:t>
      </w:r>
      <w:r w:rsidRPr="00866DF7">
        <w:rPr>
          <w:rFonts w:eastAsia="Times New Roman"/>
          <w:b/>
        </w:rPr>
        <w:t>trategies in England</w:t>
      </w:r>
    </w:p>
    <w:p w14:paraId="1C205F5B" w14:textId="65425EE1" w:rsidR="009A1776" w:rsidRPr="00866DF7" w:rsidRDefault="00300E62">
      <w:pPr>
        <w:spacing w:before="240" w:after="240" w:line="480" w:lineRule="auto"/>
        <w:jc w:val="both"/>
        <w:rPr>
          <w:sz w:val="20"/>
        </w:rPr>
      </w:pPr>
      <w:r w:rsidRPr="00866DF7">
        <w:rPr>
          <w:sz w:val="20"/>
        </w:rPr>
        <w:t xml:space="preserve">With the consideration of the increasing dementia prevalence and burden, the England Government established the first National Dementia Strategy in 2009 which was named ‘Living well with Dementia’; the first strategy of its kind in the world. The strategy made a large impact leading to establishment of </w:t>
      </w:r>
      <w:r w:rsidRPr="00866DF7">
        <w:rPr>
          <w:sz w:val="20"/>
        </w:rPr>
        <w:lastRenderedPageBreak/>
        <w:t xml:space="preserve">dedicated memory services for dementia in more than 90% of primary care trusts in England (Department of Health and Social Care, 2015). In 2012, the Prime Minister launched a three-year period strategy called ‘Dementia 2012: A national challenge’. At the end of this period, England was the leading country to have the largest number of people trained for dementia services and awareness in </w:t>
      </w:r>
      <w:r w:rsidR="00B07390" w:rsidRPr="00866DF7">
        <w:rPr>
          <w:sz w:val="20"/>
        </w:rPr>
        <w:t xml:space="preserve">the National Health Service (NHS) </w:t>
      </w:r>
      <w:r w:rsidRPr="00866DF7">
        <w:rPr>
          <w:sz w:val="20"/>
        </w:rPr>
        <w:t xml:space="preserve">staff and social care workers (Public Health England, 2015). In 2015, ‘Prime Minister’s Challenge on Dementia 2020’ was established. Several important achievements were reported at the end of this strategy. In 2017, the UK Dementia Research Institute (UKDRI) was established to discover treatments for dementia (House of Common Library, 2021). Development of the two medicines; Donanemab and </w:t>
      </w:r>
      <w:proofErr w:type="spellStart"/>
      <w:r w:rsidRPr="00866DF7">
        <w:rPr>
          <w:sz w:val="20"/>
        </w:rPr>
        <w:t>Lecanemab</w:t>
      </w:r>
      <w:proofErr w:type="spellEnd"/>
      <w:r w:rsidRPr="00866DF7">
        <w:rPr>
          <w:sz w:val="20"/>
        </w:rPr>
        <w:t xml:space="preserve"> is a breakthrough of dementia treatments which introduced the first effective medicines for neurodegeneration. Although the latter is approved for use in the United Kingdom, it is not in use in </w:t>
      </w:r>
      <w:r w:rsidR="00B07390" w:rsidRPr="00866DF7">
        <w:rPr>
          <w:sz w:val="20"/>
        </w:rPr>
        <w:t>NHS</w:t>
      </w:r>
      <w:r w:rsidRPr="00866DF7">
        <w:rPr>
          <w:sz w:val="20"/>
        </w:rPr>
        <w:t xml:space="preserve"> (UK</w:t>
      </w:r>
      <w:r w:rsidR="0096438B" w:rsidRPr="00866DF7">
        <w:rPr>
          <w:sz w:val="20"/>
        </w:rPr>
        <w:t>DRI</w:t>
      </w:r>
      <w:r w:rsidRPr="00866DF7">
        <w:rPr>
          <w:sz w:val="20"/>
        </w:rPr>
        <w:t>, 2025</w:t>
      </w:r>
      <w:r w:rsidR="00466E48" w:rsidRPr="00866DF7">
        <w:rPr>
          <w:sz w:val="20"/>
        </w:rPr>
        <w:t>b</w:t>
      </w:r>
      <w:r w:rsidRPr="00866DF7">
        <w:rPr>
          <w:sz w:val="20"/>
        </w:rPr>
        <w:t>). There is an ongoing project conducted by UKDRI with the collaboration of Alzheimer's Research UK, The Alzheimer's Society and National Institute for Health and Care Research to discover blood tests for the diagnosis of Alzheimer’s Disease (AD) (UK</w:t>
      </w:r>
      <w:r w:rsidR="0096438B" w:rsidRPr="00866DF7">
        <w:rPr>
          <w:sz w:val="20"/>
        </w:rPr>
        <w:t>DRI</w:t>
      </w:r>
      <w:r w:rsidRPr="00866DF7">
        <w:rPr>
          <w:sz w:val="20"/>
        </w:rPr>
        <w:t>, 2025</w:t>
      </w:r>
      <w:r w:rsidR="00466E48" w:rsidRPr="00866DF7">
        <w:rPr>
          <w:sz w:val="20"/>
        </w:rPr>
        <w:t>a</w:t>
      </w:r>
      <w:r w:rsidRPr="00866DF7">
        <w:rPr>
          <w:sz w:val="20"/>
        </w:rPr>
        <w:t>). In 2019, the NHS announced ‘NHS Long Term Plan’ which is a ten-year plan to optimize patient outcomes including supporting wellbeing in later life of dementia patients by making improvements in care for them (</w:t>
      </w:r>
      <w:r w:rsidR="00B07390" w:rsidRPr="00866DF7">
        <w:rPr>
          <w:sz w:val="20"/>
        </w:rPr>
        <w:t>NHS</w:t>
      </w:r>
      <w:r w:rsidRPr="00866DF7">
        <w:rPr>
          <w:sz w:val="20"/>
        </w:rPr>
        <w:t>, 2019</w:t>
      </w:r>
      <w:r w:rsidR="00F83507" w:rsidRPr="00866DF7">
        <w:rPr>
          <w:sz w:val="20"/>
        </w:rPr>
        <w:t>b</w:t>
      </w:r>
      <w:r w:rsidRPr="00866DF7">
        <w:rPr>
          <w:sz w:val="20"/>
        </w:rPr>
        <w:t>).  Later, in 2022, the government launched ‘Dame Barbara Windsor Dementia Mission’ with a £95 million of a fund to tackle the slow progress of treatment development for dementia and other neurodegenerative disorders (Department of Health and Social Care, 2022). In March 2025, the National Institute for Health and Care Research and the UK Research and Innovation Engineering and Physical Sciences Research Council, in collaboration with Alzheimer’s Society provided a fund of £6.7 million to create technology to build safe and independent home environments for demented people (Smyth et al., 2025). Subsequently, in April 2025, a set of 100 criteria known as ‘Dementia 100: Pathway Assessment Tool’ was developed to identify the requirements necessary to design, implement and deliver services and care tailored to the individuals living with dementia (Department of Health and Social Care, 2025).</w:t>
      </w:r>
    </w:p>
    <w:p w14:paraId="14575DC9" w14:textId="595D951D" w:rsidR="008C6120" w:rsidRPr="00866DF7" w:rsidRDefault="00F57010" w:rsidP="00B84787">
      <w:pPr>
        <w:pStyle w:val="ListParagraph"/>
        <w:numPr>
          <w:ilvl w:val="1"/>
          <w:numId w:val="3"/>
        </w:numPr>
        <w:spacing w:before="240" w:after="240" w:line="480" w:lineRule="auto"/>
        <w:jc w:val="both"/>
        <w:rPr>
          <w:b/>
        </w:rPr>
      </w:pPr>
      <w:r w:rsidRPr="00866DF7">
        <w:rPr>
          <w:b/>
        </w:rPr>
        <w:t xml:space="preserve">Current Dementia Related Challenges </w:t>
      </w:r>
    </w:p>
    <w:p w14:paraId="3B4A5797" w14:textId="350734F8" w:rsidR="009A1776" w:rsidRPr="00866DF7" w:rsidRDefault="00300E62" w:rsidP="00EA0C7C">
      <w:pPr>
        <w:shd w:val="clear" w:color="auto" w:fill="FFFFFF" w:themeFill="background1"/>
        <w:spacing w:before="240" w:after="240" w:line="480" w:lineRule="auto"/>
        <w:jc w:val="both"/>
        <w:rPr>
          <w:rFonts w:eastAsia="Times New Roman"/>
          <w:sz w:val="20"/>
          <w:szCs w:val="20"/>
        </w:rPr>
      </w:pPr>
      <w:r w:rsidRPr="00866DF7">
        <w:rPr>
          <w:rFonts w:eastAsia="Times New Roman"/>
          <w:sz w:val="20"/>
          <w:szCs w:val="20"/>
        </w:rPr>
        <w:t>Although many dementia-focused policies and strategies have been implemented since 2009, Offi</w:t>
      </w:r>
      <w:r w:rsidR="0028235B" w:rsidRPr="00866DF7">
        <w:rPr>
          <w:rFonts w:eastAsia="Times New Roman"/>
          <w:sz w:val="20"/>
          <w:szCs w:val="20"/>
        </w:rPr>
        <w:t>ce for National Statistics (2025</w:t>
      </w:r>
      <w:r w:rsidRPr="00866DF7">
        <w:rPr>
          <w:rFonts w:eastAsia="Times New Roman"/>
          <w:sz w:val="20"/>
          <w:szCs w:val="20"/>
        </w:rPr>
        <w:t xml:space="preserve">) observes that Dementia is still the leading cause of death in Wales and England </w:t>
      </w:r>
      <w:r w:rsidRPr="00866DF7">
        <w:rPr>
          <w:rFonts w:eastAsia="Times New Roman"/>
          <w:sz w:val="20"/>
          <w:szCs w:val="20"/>
        </w:rPr>
        <w:lastRenderedPageBreak/>
        <w:t>and the pe</w:t>
      </w:r>
      <w:r w:rsidR="00D549C5" w:rsidRPr="00866DF7">
        <w:rPr>
          <w:rFonts w:eastAsia="Times New Roman"/>
          <w:sz w:val="20"/>
          <w:szCs w:val="20"/>
        </w:rPr>
        <w:t xml:space="preserve">rcentage has increased from </w:t>
      </w:r>
      <w:r w:rsidR="006B4DE7">
        <w:rPr>
          <w:rFonts w:eastAsia="Times New Roman"/>
          <w:sz w:val="20"/>
          <w:szCs w:val="20"/>
        </w:rPr>
        <w:t xml:space="preserve">11.5% of total deaths in 2023 to </w:t>
      </w:r>
      <w:r w:rsidR="00D549C5" w:rsidRPr="00866DF7">
        <w:rPr>
          <w:rFonts w:eastAsia="Times New Roman"/>
          <w:sz w:val="20"/>
          <w:szCs w:val="20"/>
        </w:rPr>
        <w:t>12.1</w:t>
      </w:r>
      <w:r w:rsidRPr="00866DF7">
        <w:rPr>
          <w:rFonts w:eastAsia="Times New Roman"/>
          <w:sz w:val="20"/>
          <w:szCs w:val="20"/>
        </w:rPr>
        <w:t xml:space="preserve">% </w:t>
      </w:r>
      <w:r w:rsidR="006B4DE7">
        <w:rPr>
          <w:rFonts w:eastAsia="Times New Roman"/>
          <w:sz w:val="20"/>
          <w:szCs w:val="20"/>
        </w:rPr>
        <w:t>in 2024</w:t>
      </w:r>
      <w:r w:rsidRPr="00866DF7">
        <w:rPr>
          <w:rFonts w:eastAsia="Times New Roman"/>
          <w:sz w:val="20"/>
          <w:szCs w:val="20"/>
        </w:rPr>
        <w:t>. In addition, since 2022 dementia and Alzheimer’s disease are the main causes of death among females, reporting 15</w:t>
      </w:r>
      <w:r w:rsidR="00EA0C7C" w:rsidRPr="00866DF7">
        <w:rPr>
          <w:rFonts w:eastAsia="Times New Roman"/>
          <w:sz w:val="20"/>
          <w:szCs w:val="20"/>
        </w:rPr>
        <w:t>.6</w:t>
      </w:r>
      <w:r w:rsidRPr="00866DF7">
        <w:rPr>
          <w:rFonts w:eastAsia="Times New Roman"/>
          <w:sz w:val="20"/>
          <w:szCs w:val="20"/>
        </w:rPr>
        <w:t>% of total female deaths. Approximately £34.7 billion is spent currently in a year for all sorts of dementia care in the United Kingdom and this number is expected to rise above £94 billion by the year 2040 (Department for Science, Technology and Innovation, 2024). Moreover, there is a large impact of dementia on hospital occupancy as well. 25% of the acute hospital admissions are occurred by patients affected with dementia. Among them, patients over the age 65 remain double as long as other patients, while 43% of them are due to respiratory and urinary tract infections which are treatable at the medical centers. In addition, 25% of them are due to a condition which can be treated within a period of one year, but neglected because of staying at their own homes (</w:t>
      </w:r>
      <w:r w:rsidR="00B07390" w:rsidRPr="00866DF7">
        <w:rPr>
          <w:rFonts w:eastAsia="Times New Roman"/>
          <w:sz w:val="20"/>
          <w:szCs w:val="20"/>
        </w:rPr>
        <w:t>NHS</w:t>
      </w:r>
      <w:r w:rsidRPr="00866DF7">
        <w:rPr>
          <w:rFonts w:eastAsia="Times New Roman"/>
          <w:sz w:val="20"/>
          <w:szCs w:val="20"/>
        </w:rPr>
        <w:t>, 2024).</w:t>
      </w:r>
    </w:p>
    <w:p w14:paraId="5E0857A3" w14:textId="1A596883" w:rsidR="00B84787" w:rsidRPr="00866DF7" w:rsidRDefault="00F57010" w:rsidP="00EA0C7C">
      <w:pPr>
        <w:shd w:val="clear" w:color="auto" w:fill="FFFFFF" w:themeFill="background1"/>
        <w:spacing w:before="240" w:after="240" w:line="480" w:lineRule="auto"/>
        <w:jc w:val="both"/>
        <w:rPr>
          <w:rFonts w:eastAsia="Times New Roman"/>
          <w:b/>
          <w:szCs w:val="20"/>
        </w:rPr>
      </w:pPr>
      <w:r w:rsidRPr="00866DF7">
        <w:rPr>
          <w:rFonts w:eastAsia="Times New Roman"/>
          <w:b/>
          <w:szCs w:val="20"/>
        </w:rPr>
        <w:t>1.4 Aim a</w:t>
      </w:r>
      <w:r w:rsidR="003B1935" w:rsidRPr="00866DF7">
        <w:rPr>
          <w:rFonts w:eastAsia="Times New Roman"/>
          <w:b/>
          <w:szCs w:val="20"/>
        </w:rPr>
        <w:t>nd s</w:t>
      </w:r>
      <w:r w:rsidRPr="00866DF7">
        <w:rPr>
          <w:rFonts w:eastAsia="Times New Roman"/>
          <w:b/>
          <w:szCs w:val="20"/>
        </w:rPr>
        <w:t>cope</w:t>
      </w:r>
    </w:p>
    <w:p w14:paraId="3002490A" w14:textId="088849C2" w:rsidR="009A1776" w:rsidRPr="00607344" w:rsidRDefault="00300E62">
      <w:pPr>
        <w:spacing w:before="240" w:after="240" w:line="480" w:lineRule="auto"/>
        <w:jc w:val="both"/>
        <w:rPr>
          <w:sz w:val="20"/>
        </w:rPr>
      </w:pPr>
      <w:r w:rsidRPr="00866DF7">
        <w:rPr>
          <w:sz w:val="20"/>
        </w:rPr>
        <w:t xml:space="preserve">This oversight highlights the need for an exploration of under-addressed social determinants of health related to dementia as these determinants help the policymakers to develop more responsive policies to overcome the burden. Therefore, </w:t>
      </w:r>
      <w:r w:rsidR="00125A9A" w:rsidRPr="00866DF7">
        <w:rPr>
          <w:sz w:val="20"/>
        </w:rPr>
        <w:t xml:space="preserve">this review </w:t>
      </w:r>
      <w:r w:rsidRPr="00866DF7">
        <w:rPr>
          <w:sz w:val="20"/>
        </w:rPr>
        <w:t xml:space="preserve">aims to identify the policy implementation gap by exploring the social determinants related to dementia in a broader view and discussing how those determinants are </w:t>
      </w:r>
      <w:r w:rsidRPr="00607344">
        <w:rPr>
          <w:sz w:val="20"/>
        </w:rPr>
        <w:t>addressed in England through health protection, health promotion and health care services.</w:t>
      </w:r>
    </w:p>
    <w:p w14:paraId="093112F3" w14:textId="77777777" w:rsidR="00DC7AE4" w:rsidRPr="008D569F" w:rsidRDefault="00DC7AE4" w:rsidP="00DC7AE4">
      <w:pPr>
        <w:pStyle w:val="ListParagraph"/>
        <w:numPr>
          <w:ilvl w:val="0"/>
          <w:numId w:val="4"/>
        </w:numPr>
        <w:spacing w:before="240" w:after="240" w:line="480" w:lineRule="auto"/>
        <w:jc w:val="both"/>
        <w:rPr>
          <w:b/>
          <w:bCs/>
          <w:szCs w:val="24"/>
        </w:rPr>
      </w:pPr>
      <w:r w:rsidRPr="008D569F">
        <w:rPr>
          <w:b/>
          <w:bCs/>
          <w:szCs w:val="24"/>
        </w:rPr>
        <w:t>Methodology</w:t>
      </w:r>
    </w:p>
    <w:p w14:paraId="0BA128C8" w14:textId="2836FE6B" w:rsidR="00BA1094" w:rsidRPr="00607344" w:rsidRDefault="00DC7AE4" w:rsidP="00BA1094">
      <w:pPr>
        <w:spacing w:before="240" w:after="240" w:line="480" w:lineRule="auto"/>
        <w:jc w:val="both"/>
        <w:rPr>
          <w:sz w:val="20"/>
        </w:rPr>
      </w:pPr>
      <w:r w:rsidRPr="00607344">
        <w:rPr>
          <w:sz w:val="20"/>
        </w:rPr>
        <w:t xml:space="preserve">This study adopts a </w:t>
      </w:r>
      <w:r w:rsidR="0030147B" w:rsidRPr="00607344">
        <w:rPr>
          <w:sz w:val="20"/>
        </w:rPr>
        <w:t xml:space="preserve">narrative </w:t>
      </w:r>
      <w:r w:rsidRPr="00607344">
        <w:rPr>
          <w:sz w:val="20"/>
        </w:rPr>
        <w:t xml:space="preserve">review research design to identify the policy implementation gap which does not address social determinants of health related to dementia. Data on social determinants of health related to dementia and policies, strategies and regulations implemented in England which explicitly target dementia and which do not directly target, but have impacts on dementia were gathered from academic and grey literature search. PubMed, Google Scholar, JSTOR and ScienceDirect academic databases were accessed to identify published, peer-reviewed articles on dementia related social determinants of health. </w:t>
      </w:r>
      <w:r w:rsidR="006D5F39" w:rsidRPr="00607344">
        <w:rPr>
          <w:sz w:val="20"/>
        </w:rPr>
        <w:t>Terms related to social determinants of health associated with dementia such as “dementia”, “</w:t>
      </w:r>
      <w:r w:rsidR="0003157B" w:rsidRPr="00607344">
        <w:rPr>
          <w:sz w:val="20"/>
        </w:rPr>
        <w:t>Alzheimer’s disease”, “social determinants of health”</w:t>
      </w:r>
      <w:r w:rsidR="00D73156" w:rsidRPr="00607344">
        <w:rPr>
          <w:sz w:val="20"/>
        </w:rPr>
        <w:t xml:space="preserve">, </w:t>
      </w:r>
      <w:r w:rsidR="00D36E57" w:rsidRPr="00607344">
        <w:rPr>
          <w:sz w:val="20"/>
        </w:rPr>
        <w:t xml:space="preserve">“prevention”, </w:t>
      </w:r>
      <w:r w:rsidR="00D73156" w:rsidRPr="00607344">
        <w:rPr>
          <w:sz w:val="20"/>
        </w:rPr>
        <w:t xml:space="preserve">“cognitive impairment” and “cognitive decline” were searched. </w:t>
      </w:r>
      <w:r w:rsidR="001E598C" w:rsidRPr="00607344">
        <w:rPr>
          <w:sz w:val="20"/>
        </w:rPr>
        <w:t>Systematic reviews</w:t>
      </w:r>
      <w:r w:rsidR="00E24314" w:rsidRPr="00607344">
        <w:rPr>
          <w:sz w:val="20"/>
        </w:rPr>
        <w:t xml:space="preserve"> and meta-analyses and </w:t>
      </w:r>
      <w:r w:rsidR="008D569F">
        <w:rPr>
          <w:sz w:val="20"/>
        </w:rPr>
        <w:t xml:space="preserve">empirical </w:t>
      </w:r>
      <w:r w:rsidR="00E24314" w:rsidRPr="00607344">
        <w:rPr>
          <w:sz w:val="20"/>
        </w:rPr>
        <w:t xml:space="preserve">studies </w:t>
      </w:r>
      <w:r w:rsidR="00D73156" w:rsidRPr="00607344">
        <w:rPr>
          <w:sz w:val="20"/>
        </w:rPr>
        <w:lastRenderedPageBreak/>
        <w:t xml:space="preserve">published in English between 2000 and 2026 were </w:t>
      </w:r>
      <w:r w:rsidR="00E24314" w:rsidRPr="00607344">
        <w:rPr>
          <w:sz w:val="20"/>
        </w:rPr>
        <w:t>included</w:t>
      </w:r>
      <w:r w:rsidR="006B7273" w:rsidRPr="00607344">
        <w:rPr>
          <w:sz w:val="20"/>
        </w:rPr>
        <w:t xml:space="preserve"> </w:t>
      </w:r>
      <w:r w:rsidR="00E24314" w:rsidRPr="00607344">
        <w:rPr>
          <w:sz w:val="20"/>
        </w:rPr>
        <w:t xml:space="preserve">as the </w:t>
      </w:r>
      <w:r w:rsidR="006B7273" w:rsidRPr="00607344">
        <w:rPr>
          <w:sz w:val="20"/>
        </w:rPr>
        <w:t>dementia related researches became prominent from the early 21</w:t>
      </w:r>
      <w:r w:rsidR="006B7273" w:rsidRPr="00607344">
        <w:rPr>
          <w:sz w:val="20"/>
          <w:vertAlign w:val="superscript"/>
        </w:rPr>
        <w:t>st</w:t>
      </w:r>
      <w:r w:rsidR="006B7273" w:rsidRPr="00607344">
        <w:rPr>
          <w:sz w:val="20"/>
        </w:rPr>
        <w:t xml:space="preserve"> century.</w:t>
      </w:r>
      <w:r w:rsidR="00BA1094" w:rsidRPr="00607344">
        <w:rPr>
          <w:sz w:val="20"/>
        </w:rPr>
        <w:t xml:space="preserve"> </w:t>
      </w:r>
      <w:r w:rsidR="008D569F">
        <w:rPr>
          <w:sz w:val="20"/>
        </w:rPr>
        <w:t xml:space="preserve">Studies were screened through title, abstract and full-text review. </w:t>
      </w:r>
      <w:r w:rsidR="00BA1094" w:rsidRPr="00607344">
        <w:rPr>
          <w:sz w:val="20"/>
        </w:rPr>
        <w:t>Evaluation of the policies, strategies and regulations which address the social determinants were assessed using reports and policy briefs from government units including Department of Health and Social Care, National Health Service</w:t>
      </w:r>
      <w:r w:rsidR="005C19D8">
        <w:rPr>
          <w:sz w:val="20"/>
        </w:rPr>
        <w:t xml:space="preserve"> and</w:t>
      </w:r>
      <w:r w:rsidR="00BA1094" w:rsidRPr="00607344">
        <w:rPr>
          <w:sz w:val="20"/>
        </w:rPr>
        <w:t xml:space="preserve"> Office for National Statistics</w:t>
      </w:r>
      <w:r w:rsidR="002C4D93" w:rsidRPr="00607344">
        <w:rPr>
          <w:sz w:val="20"/>
        </w:rPr>
        <w:t>.</w:t>
      </w:r>
      <w:r w:rsidR="00BA1094" w:rsidRPr="00607344">
        <w:rPr>
          <w:sz w:val="20"/>
        </w:rPr>
        <w:t xml:space="preserve"> Furthermore, reports from established organizations such as Alzheimer’s Research UK and Royal College of Psychiatrists were accessed </w:t>
      </w:r>
      <w:r w:rsidR="00AC2801" w:rsidRPr="00607344">
        <w:rPr>
          <w:sz w:val="20"/>
        </w:rPr>
        <w:t xml:space="preserve">to obtain a </w:t>
      </w:r>
      <w:r w:rsidR="00BA1094" w:rsidRPr="00607344">
        <w:rPr>
          <w:sz w:val="20"/>
        </w:rPr>
        <w:t>comprehensive understanding of the current challenges in dementia management in England.</w:t>
      </w:r>
      <w:r w:rsidR="00AC2801" w:rsidRPr="00607344">
        <w:rPr>
          <w:sz w:val="20"/>
        </w:rPr>
        <w:t xml:space="preserve"> </w:t>
      </w:r>
      <w:r w:rsidR="002C4D93" w:rsidRPr="00607344">
        <w:rPr>
          <w:sz w:val="20"/>
        </w:rPr>
        <w:t>The quality of the evidence was considered based on credibility of the source, relevance to dementia related policies and social determinants of health and the study design</w:t>
      </w:r>
      <w:r w:rsidR="001E598C" w:rsidRPr="00607344">
        <w:rPr>
          <w:sz w:val="20"/>
        </w:rPr>
        <w:t>. Finally, recommendations were given to address the policy implementation gaps.</w:t>
      </w:r>
    </w:p>
    <w:p w14:paraId="00000012" w14:textId="38A06586" w:rsidR="00964328" w:rsidRPr="00866DF7" w:rsidRDefault="003B1935" w:rsidP="009A1776">
      <w:pPr>
        <w:pStyle w:val="ListParagraph"/>
        <w:numPr>
          <w:ilvl w:val="0"/>
          <w:numId w:val="4"/>
        </w:numPr>
        <w:spacing w:before="240" w:after="240" w:line="480" w:lineRule="auto"/>
        <w:rPr>
          <w:b/>
          <w:bCs/>
        </w:rPr>
      </w:pPr>
      <w:r w:rsidRPr="00866DF7">
        <w:rPr>
          <w:b/>
          <w:bCs/>
        </w:rPr>
        <w:t xml:space="preserve">Social determinants of health related to dementia </w:t>
      </w:r>
    </w:p>
    <w:p w14:paraId="3A9C9F8A" w14:textId="6F824FF8" w:rsidR="009A1776" w:rsidRPr="00866DF7" w:rsidRDefault="00300E62">
      <w:pPr>
        <w:spacing w:before="240" w:after="240" w:line="480" w:lineRule="auto"/>
        <w:jc w:val="both"/>
        <w:rPr>
          <w:rFonts w:eastAsia="Times New Roman"/>
          <w:sz w:val="20"/>
          <w:szCs w:val="20"/>
        </w:rPr>
      </w:pPr>
      <w:r w:rsidRPr="00AD7563">
        <w:rPr>
          <w:rFonts w:eastAsia="Times New Roman"/>
          <w:sz w:val="20"/>
          <w:szCs w:val="20"/>
        </w:rPr>
        <w:t>“</w:t>
      </w:r>
      <w:r w:rsidR="000B6E29" w:rsidRPr="00AD7563">
        <w:rPr>
          <w:sz w:val="20"/>
          <w:szCs w:val="20"/>
          <w:shd w:val="clear" w:color="auto" w:fill="FFFFFF"/>
        </w:rPr>
        <w:t>The social determinants of health are the conditions in which people are born, grow, work, live and age, and the wider forces that shape the conditions of daily life</w:t>
      </w:r>
      <w:r w:rsidR="000B6E29" w:rsidRPr="00AD7563">
        <w:rPr>
          <w:rFonts w:eastAsia="Times New Roman"/>
          <w:sz w:val="20"/>
          <w:szCs w:val="20"/>
        </w:rPr>
        <w:t xml:space="preserve">” </w:t>
      </w:r>
      <w:r w:rsidR="000B6E29" w:rsidRPr="00866DF7">
        <w:rPr>
          <w:rFonts w:eastAsia="Times New Roman"/>
          <w:sz w:val="20"/>
          <w:szCs w:val="20"/>
        </w:rPr>
        <w:t>(WHO, 2025</w:t>
      </w:r>
      <w:r w:rsidR="00F9180E" w:rsidRPr="00866DF7">
        <w:rPr>
          <w:rFonts w:eastAsia="Times New Roman"/>
          <w:sz w:val="20"/>
          <w:szCs w:val="20"/>
        </w:rPr>
        <w:t>b</w:t>
      </w:r>
      <w:r w:rsidRPr="00866DF7">
        <w:rPr>
          <w:rFonts w:eastAsia="Times New Roman"/>
          <w:sz w:val="20"/>
          <w:szCs w:val="20"/>
        </w:rPr>
        <w:t>). Social determinants of health related to dementia were identified under the following categories: social, biological, economic, technological and environmental elements.</w:t>
      </w:r>
    </w:p>
    <w:p w14:paraId="00000014" w14:textId="58A92D67" w:rsidR="00964328" w:rsidRPr="00866DF7" w:rsidRDefault="00DC7AE4">
      <w:pPr>
        <w:spacing w:before="240" w:after="240" w:line="480" w:lineRule="auto"/>
        <w:rPr>
          <w:b/>
          <w:bCs/>
        </w:rPr>
      </w:pPr>
      <w:r>
        <w:rPr>
          <w:b/>
          <w:bCs/>
        </w:rPr>
        <w:t>3</w:t>
      </w:r>
      <w:r w:rsidR="003B1935" w:rsidRPr="00866DF7">
        <w:rPr>
          <w:b/>
          <w:bCs/>
        </w:rPr>
        <w:t>.1 Social e</w:t>
      </w:r>
      <w:r w:rsidR="00300E62" w:rsidRPr="00866DF7">
        <w:rPr>
          <w:b/>
          <w:bCs/>
        </w:rPr>
        <w:t>lements</w:t>
      </w:r>
    </w:p>
    <w:p w14:paraId="00000015"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There is strong evidence that education affects dementia. In a systematic review (Sharp &amp; Gatz, 2011), 51 studies out of 88 studies show that lower educational level is associated with high risk of dementia. Social engagement is another social determinant of dementia. A retrospective analysis by Barnes </w:t>
      </w:r>
      <w:r w:rsidRPr="00866DF7">
        <w:rPr>
          <w:rFonts w:eastAsia="Times New Roman"/>
          <w:i/>
          <w:iCs/>
          <w:sz w:val="20"/>
          <w:szCs w:val="20"/>
        </w:rPr>
        <w:t>et al.</w:t>
      </w:r>
      <w:r w:rsidRPr="00866DF7">
        <w:rPr>
          <w:rFonts w:eastAsia="Times New Roman"/>
          <w:sz w:val="20"/>
          <w:szCs w:val="20"/>
        </w:rPr>
        <w:t xml:space="preserve"> (2004) show that social networks and social engagement reduce the rate of cognitive decline.</w:t>
      </w:r>
    </w:p>
    <w:p w14:paraId="21FBB172" w14:textId="7542DBA5" w:rsidR="0060771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Discrimination based on ethnicity, race or sex is considered as a social determinant of dementia. There is a higher incidence of dementia in minority ethnic groups compared with the white population (Matthews et al., 2019). Nevertheless, ethnicity may overlap the educational level. </w:t>
      </w:r>
      <w:proofErr w:type="spellStart"/>
      <w:r w:rsidRPr="00866DF7">
        <w:rPr>
          <w:rFonts w:eastAsia="Times New Roman"/>
          <w:sz w:val="20"/>
          <w:szCs w:val="20"/>
        </w:rPr>
        <w:t>Shadlen</w:t>
      </w:r>
      <w:proofErr w:type="spellEnd"/>
      <w:r w:rsidRPr="00866DF7">
        <w:rPr>
          <w:rFonts w:eastAsia="Times New Roman"/>
          <w:sz w:val="20"/>
          <w:szCs w:val="20"/>
        </w:rPr>
        <w:t xml:space="preserve"> </w:t>
      </w:r>
      <w:r w:rsidRPr="00866DF7">
        <w:rPr>
          <w:rFonts w:eastAsia="Times New Roman"/>
          <w:i/>
          <w:iCs/>
          <w:sz w:val="20"/>
          <w:szCs w:val="20"/>
        </w:rPr>
        <w:t>et al.</w:t>
      </w:r>
      <w:r w:rsidRPr="00866DF7">
        <w:rPr>
          <w:rFonts w:eastAsia="Times New Roman"/>
          <w:sz w:val="20"/>
          <w:szCs w:val="20"/>
        </w:rPr>
        <w:t xml:space="preserve"> (2006) show that the risk of dementia in highly educated American African people is twice higher than the low educated white people. Sisco </w:t>
      </w:r>
      <w:r w:rsidRPr="00866DF7">
        <w:rPr>
          <w:rFonts w:eastAsia="Times New Roman"/>
          <w:i/>
          <w:iCs/>
          <w:sz w:val="20"/>
          <w:szCs w:val="20"/>
        </w:rPr>
        <w:t>et al.</w:t>
      </w:r>
      <w:r w:rsidRPr="00866DF7">
        <w:rPr>
          <w:rFonts w:eastAsia="Times New Roman"/>
          <w:sz w:val="20"/>
          <w:szCs w:val="20"/>
        </w:rPr>
        <w:t xml:space="preserve"> (2015) clearly argue that the decreased protective level of education in African </w:t>
      </w:r>
      <w:r w:rsidRPr="00866DF7">
        <w:rPr>
          <w:rFonts w:eastAsia="Times New Roman"/>
          <w:sz w:val="20"/>
          <w:szCs w:val="20"/>
        </w:rPr>
        <w:lastRenderedPageBreak/>
        <w:t>American people may be attributable to low quality of education. In addition, evidence show that social elements interact with economic elements. Racial differences in employment and socio-economic status may affect the risk of developing dementia. African Americans face more unemployment and gain less wage than the white population (Tomaskovic-Devey et al., 2005).</w:t>
      </w:r>
    </w:p>
    <w:p w14:paraId="00000017" w14:textId="3E2C450B" w:rsidR="00964328" w:rsidRPr="00866DF7" w:rsidRDefault="00DC7AE4">
      <w:pPr>
        <w:spacing w:before="240" w:after="240" w:line="480" w:lineRule="auto"/>
        <w:rPr>
          <w:b/>
          <w:bCs/>
        </w:rPr>
      </w:pPr>
      <w:r>
        <w:rPr>
          <w:b/>
          <w:bCs/>
        </w:rPr>
        <w:t>3</w:t>
      </w:r>
      <w:r w:rsidR="00300E62" w:rsidRPr="00866DF7">
        <w:rPr>
          <w:b/>
          <w:bCs/>
        </w:rPr>
        <w:t xml:space="preserve">.2 </w:t>
      </w:r>
      <w:r w:rsidR="003B1935" w:rsidRPr="00866DF7">
        <w:rPr>
          <w:b/>
          <w:bCs/>
        </w:rPr>
        <w:t>Economic e</w:t>
      </w:r>
      <w:r w:rsidR="00300E62" w:rsidRPr="00866DF7">
        <w:rPr>
          <w:b/>
          <w:bCs/>
        </w:rPr>
        <w:t>lements</w:t>
      </w:r>
    </w:p>
    <w:p w14:paraId="152496F1" w14:textId="20F14134" w:rsidR="0060771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Socio-economic status is a significant social determinant of dementia. Cadar </w:t>
      </w:r>
      <w:r w:rsidRPr="00866DF7">
        <w:rPr>
          <w:rFonts w:eastAsia="Times New Roman"/>
          <w:i/>
          <w:iCs/>
          <w:sz w:val="20"/>
          <w:szCs w:val="20"/>
        </w:rPr>
        <w:t>et al.</w:t>
      </w:r>
      <w:r w:rsidRPr="00866DF7">
        <w:rPr>
          <w:rFonts w:eastAsia="Times New Roman"/>
          <w:sz w:val="20"/>
          <w:szCs w:val="20"/>
        </w:rPr>
        <w:t xml:space="preserve"> (2018) demonstrate that people belonging to the lowest quintile of wealth have 1.68 times higher possibility of dementia compared to those in the highest quintile. Risk of dementia also varies with the type of occupation. Occupations involved with manual labor are associated with cognitive decline, whereas occupations that require higher intellectual demands will protect cognitive function (Hughes and Ganguli, 2009). In addition, jobs which involve reasoning, language and mathematics are associated with lower risk of dementia (Potter et al.,2007). Food insecurity is another significant social determinant of dementia. Risk gets doubled when a person experiences food insecurity in early life (Na et al., 2020).</w:t>
      </w:r>
    </w:p>
    <w:p w14:paraId="00000019" w14:textId="1206A785" w:rsidR="00964328" w:rsidRPr="00866DF7" w:rsidRDefault="00DC7AE4">
      <w:pPr>
        <w:spacing w:before="240" w:after="240" w:line="480" w:lineRule="auto"/>
        <w:jc w:val="both"/>
        <w:rPr>
          <w:b/>
          <w:bCs/>
        </w:rPr>
      </w:pPr>
      <w:r>
        <w:rPr>
          <w:b/>
          <w:bCs/>
        </w:rPr>
        <w:t>3</w:t>
      </w:r>
      <w:r w:rsidR="00300E62" w:rsidRPr="00866DF7">
        <w:rPr>
          <w:b/>
          <w:bCs/>
        </w:rPr>
        <w:t>.3 Bi</w:t>
      </w:r>
      <w:r w:rsidR="003B1935" w:rsidRPr="00866DF7">
        <w:rPr>
          <w:b/>
          <w:bCs/>
        </w:rPr>
        <w:t>ological e</w:t>
      </w:r>
      <w:r w:rsidR="00300E62" w:rsidRPr="00866DF7">
        <w:rPr>
          <w:b/>
          <w:bCs/>
        </w:rPr>
        <w:t xml:space="preserve">lements </w:t>
      </w:r>
    </w:p>
    <w:p w14:paraId="0000001A"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Body Mass Index (BMI) in different stages of life is associated with dementia. In midlife, obesity is associated with high risk of dementia (Gustafson, 2006). In contrast, there is a 35% increase in the risk when BMI decreases from one unit in later life (Buchman et al., 2005). Age is another significant determinant of dementia. Risk of Vascular dementia doubles in every 5.3 years of life (O’Brien &amp; Thomas, 2015).</w:t>
      </w:r>
    </w:p>
    <w:p w14:paraId="0000001B"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Genetics also play an important role in dementia. There is a higher risk of developing AD in the First-degree relatives of Alzheimer patients (Green et al., 2002). However, the effect of the gene related to AD decreases with age (</w:t>
      </w:r>
      <w:proofErr w:type="spellStart"/>
      <w:r w:rsidRPr="00866DF7">
        <w:rPr>
          <w:rFonts w:eastAsia="Times New Roman"/>
          <w:sz w:val="20"/>
          <w:szCs w:val="20"/>
        </w:rPr>
        <w:t>Blennow</w:t>
      </w:r>
      <w:proofErr w:type="spellEnd"/>
      <w:r w:rsidRPr="00866DF7">
        <w:rPr>
          <w:rFonts w:eastAsia="Times New Roman"/>
          <w:sz w:val="20"/>
          <w:szCs w:val="20"/>
        </w:rPr>
        <w:t xml:space="preserve"> et al., 2006).</w:t>
      </w:r>
    </w:p>
    <w:p w14:paraId="0000001C"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 xml:space="preserve">Tobacco smokers have a higher prevalence of having AD than the nonsmokers (Aggarwal et al., 2006). In addition, long term excessive alcohol consumption may lead to cognitive decline. Heavy drinking may </w:t>
      </w:r>
      <w:r w:rsidRPr="00866DF7">
        <w:rPr>
          <w:rFonts w:eastAsia="Times New Roman"/>
          <w:sz w:val="20"/>
          <w:szCs w:val="20"/>
        </w:rPr>
        <w:lastRenderedPageBreak/>
        <w:t>cause more than three times higher risk of developing dementia, while light to moderate consumption has a protective effect against dementia (Anttila et al., 2004).</w:t>
      </w:r>
    </w:p>
    <w:p w14:paraId="0000001D"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 xml:space="preserve">It is known that hypertension and hyperlipidemia in midlife increase the risk of AD (Qiu et al., 2009). In contrast, Morris </w:t>
      </w:r>
      <w:r w:rsidRPr="00866DF7">
        <w:rPr>
          <w:rFonts w:eastAsia="Times New Roman"/>
          <w:i/>
          <w:iCs/>
          <w:sz w:val="20"/>
          <w:szCs w:val="20"/>
        </w:rPr>
        <w:t>et al</w:t>
      </w:r>
      <w:r w:rsidRPr="00866DF7">
        <w:rPr>
          <w:rFonts w:eastAsia="Times New Roman"/>
          <w:sz w:val="20"/>
          <w:szCs w:val="20"/>
        </w:rPr>
        <w:t>. (2001) observe that hypotension in late life act as a risk factor of AD and dementia. Similarly, hyperlipidemia in late life seems to reduce the risk of dementia and AD (Tan et al., 2003). Among the metabolic diseases, diabetes may also increase the risk of dementia (Roberts et al., 2008).</w:t>
      </w:r>
    </w:p>
    <w:p w14:paraId="0000001E"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In terms of diet, follow-up studies reflect the importance of antioxidants and polyunsaturated fatty acids against AD, whereas saturated fatty acids may have the deleterious effect (Qiu et al., 2009). Physical</w:t>
      </w:r>
      <w:r w:rsidRPr="00866DF7">
        <w:rPr>
          <w:rFonts w:eastAsia="Times New Roman"/>
          <w:color w:val="603620"/>
          <w:sz w:val="20"/>
          <w:szCs w:val="20"/>
        </w:rPr>
        <w:t xml:space="preserve"> </w:t>
      </w:r>
      <w:r w:rsidRPr="00866DF7">
        <w:rPr>
          <w:rFonts w:eastAsia="Times New Roman"/>
          <w:sz w:val="20"/>
          <w:szCs w:val="20"/>
        </w:rPr>
        <w:t xml:space="preserve">activity has a strong protective effect against dementia. Rovio </w:t>
      </w:r>
      <w:r w:rsidRPr="00866DF7">
        <w:rPr>
          <w:rFonts w:eastAsia="Times New Roman"/>
          <w:i/>
          <w:iCs/>
          <w:sz w:val="20"/>
          <w:szCs w:val="20"/>
        </w:rPr>
        <w:t>et al.</w:t>
      </w:r>
      <w:r w:rsidRPr="00866DF7">
        <w:rPr>
          <w:rFonts w:eastAsia="Times New Roman"/>
          <w:sz w:val="20"/>
          <w:szCs w:val="20"/>
        </w:rPr>
        <w:t xml:space="preserve"> (2005) demonstrate that regular physical exercise is strong enough to overcome the detrimental effect of genetics. Similarly, mental activities have a protective effect against dementia. A longitudinal study (Crowe et al., 2003) reports that mental activities such as gardening decrease cognitive decline.</w:t>
      </w:r>
      <w:r w:rsidRPr="00866DF7">
        <w:rPr>
          <w:rFonts w:eastAsia="Times New Roman"/>
          <w:color w:val="212121"/>
          <w:sz w:val="20"/>
          <w:szCs w:val="20"/>
        </w:rPr>
        <w:t xml:space="preserve"> In a population-based cohort study, it was evidenced </w:t>
      </w:r>
      <w:r w:rsidRPr="00866DF7">
        <w:rPr>
          <w:rFonts w:eastAsia="Times New Roman"/>
          <w:sz w:val="20"/>
          <w:szCs w:val="20"/>
        </w:rPr>
        <w:t>that depression may act as a risk factor of dementia (Anderson et al., 2005). However, it remains arguable whether depression is a risk factor or a preclinical symptom (</w:t>
      </w:r>
      <w:proofErr w:type="spellStart"/>
      <w:r w:rsidRPr="00866DF7">
        <w:rPr>
          <w:rFonts w:eastAsia="Times New Roman"/>
          <w:sz w:val="20"/>
          <w:szCs w:val="20"/>
        </w:rPr>
        <w:t>Ameiva</w:t>
      </w:r>
      <w:proofErr w:type="spellEnd"/>
      <w:r w:rsidRPr="00866DF7">
        <w:rPr>
          <w:rFonts w:eastAsia="Times New Roman"/>
          <w:sz w:val="20"/>
          <w:szCs w:val="20"/>
        </w:rPr>
        <w:t xml:space="preserve"> et al., 2008).</w:t>
      </w:r>
    </w:p>
    <w:p w14:paraId="0000001F"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 xml:space="preserve">Finally, Age Related Hearing Loss (ARHL) is believed to be another risk factor in recent studies. Livingston </w:t>
      </w:r>
      <w:r w:rsidRPr="00866DF7">
        <w:rPr>
          <w:rFonts w:eastAsia="Times New Roman"/>
          <w:i/>
          <w:iCs/>
          <w:sz w:val="20"/>
          <w:szCs w:val="20"/>
        </w:rPr>
        <w:t>et al</w:t>
      </w:r>
      <w:r w:rsidRPr="00866DF7">
        <w:rPr>
          <w:rFonts w:eastAsia="Times New Roman"/>
          <w:sz w:val="20"/>
          <w:szCs w:val="20"/>
        </w:rPr>
        <w:t>. (2017) investigate that ARHL has the highest population attributable fraction for dementia when compared to other risk factors.</w:t>
      </w:r>
    </w:p>
    <w:p w14:paraId="00000020" w14:textId="780B126E" w:rsidR="00964328" w:rsidRPr="00866DF7" w:rsidRDefault="00DC7AE4">
      <w:pPr>
        <w:spacing w:before="240" w:after="240" w:line="480" w:lineRule="auto"/>
        <w:jc w:val="both"/>
        <w:rPr>
          <w:b/>
          <w:bCs/>
        </w:rPr>
      </w:pPr>
      <w:r>
        <w:rPr>
          <w:b/>
          <w:bCs/>
        </w:rPr>
        <w:t>3</w:t>
      </w:r>
      <w:r w:rsidR="003B1935" w:rsidRPr="00866DF7">
        <w:rPr>
          <w:b/>
          <w:bCs/>
        </w:rPr>
        <w:t>.4 Technological e</w:t>
      </w:r>
      <w:r w:rsidR="00300E62" w:rsidRPr="00866DF7">
        <w:rPr>
          <w:b/>
          <w:bCs/>
        </w:rPr>
        <w:t xml:space="preserve">lements </w:t>
      </w:r>
    </w:p>
    <w:p w14:paraId="00000021"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Technology is widely used for dementia assessment. Digital clock drawing test is an example of a cognitive assessment used in applications and websites (</w:t>
      </w:r>
      <w:proofErr w:type="spellStart"/>
      <w:r w:rsidRPr="00866DF7">
        <w:rPr>
          <w:rFonts w:eastAsia="Times New Roman"/>
          <w:sz w:val="20"/>
          <w:szCs w:val="20"/>
        </w:rPr>
        <w:t>Souillard</w:t>
      </w:r>
      <w:proofErr w:type="spellEnd"/>
      <w:r w:rsidRPr="00866DF7">
        <w:rPr>
          <w:rFonts w:eastAsia="Times New Roman"/>
          <w:sz w:val="20"/>
          <w:szCs w:val="20"/>
        </w:rPr>
        <w:t>-Mandar et al., 2016). Furthermore, imaging tests such as Magnetic Resonance imaging is important in dementia diagnosis (Cheng et al., 2015). Studies also explore how technology can be utilized for non-imaging tests such as speech and gait analysis for early detection of cognitive decline (</w:t>
      </w:r>
      <w:proofErr w:type="spellStart"/>
      <w:r w:rsidRPr="00866DF7">
        <w:rPr>
          <w:rFonts w:eastAsia="Times New Roman"/>
          <w:sz w:val="20"/>
          <w:szCs w:val="20"/>
        </w:rPr>
        <w:t>Korcovelos</w:t>
      </w:r>
      <w:proofErr w:type="spellEnd"/>
      <w:r w:rsidRPr="00866DF7">
        <w:rPr>
          <w:rFonts w:eastAsia="Times New Roman"/>
          <w:sz w:val="20"/>
          <w:szCs w:val="20"/>
        </w:rPr>
        <w:t xml:space="preserve"> et al., 2017; Dodge et al., 2012).</w:t>
      </w:r>
    </w:p>
    <w:p w14:paraId="00000022"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Technology has the potential to support demented persons in their daily activities. For an instance, the Gloucester Smart Home is built with an interior design which has sensors, locators for lost objects and </w:t>
      </w:r>
      <w:r w:rsidRPr="00866DF7">
        <w:rPr>
          <w:rFonts w:eastAsia="Times New Roman"/>
          <w:sz w:val="20"/>
          <w:szCs w:val="20"/>
        </w:rPr>
        <w:lastRenderedPageBreak/>
        <w:t>reminder units to assist dementia patients, which in turn reduces the requirement of caregivers (University of Bath, 2004).</w:t>
      </w:r>
    </w:p>
    <w:p w14:paraId="00000023"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Another dimension of technology is using it for leisure and social activities. Projects have leveraged to engage the demented people in music and arts such as simple-music making interface in which a touch screen of cords is used to produce sounds (Riley et al., 2009). Moreover, </w:t>
      </w:r>
      <w:proofErr w:type="spellStart"/>
      <w:r w:rsidRPr="00866DF7">
        <w:rPr>
          <w:rFonts w:eastAsia="Times New Roman"/>
          <w:sz w:val="20"/>
          <w:szCs w:val="20"/>
        </w:rPr>
        <w:t>Schikhof</w:t>
      </w:r>
      <w:proofErr w:type="spellEnd"/>
      <w:r w:rsidRPr="00866DF7">
        <w:rPr>
          <w:rFonts w:eastAsia="Times New Roman"/>
          <w:sz w:val="20"/>
          <w:szCs w:val="20"/>
        </w:rPr>
        <w:t xml:space="preserve"> &amp; </w:t>
      </w:r>
      <w:proofErr w:type="spellStart"/>
      <w:r w:rsidRPr="00866DF7">
        <w:rPr>
          <w:rFonts w:eastAsia="Times New Roman"/>
          <w:sz w:val="20"/>
          <w:szCs w:val="20"/>
        </w:rPr>
        <w:t>Wauben</w:t>
      </w:r>
      <w:proofErr w:type="spellEnd"/>
      <w:r w:rsidRPr="00866DF7">
        <w:rPr>
          <w:rFonts w:eastAsia="Times New Roman"/>
          <w:sz w:val="20"/>
          <w:szCs w:val="20"/>
        </w:rPr>
        <w:t xml:space="preserve"> (</w:t>
      </w:r>
      <w:proofErr w:type="spellStart"/>
      <w:r w:rsidRPr="00866DF7">
        <w:rPr>
          <w:rFonts w:eastAsia="Times New Roman"/>
          <w:sz w:val="20"/>
          <w:szCs w:val="20"/>
        </w:rPr>
        <w:t>Schikhof</w:t>
      </w:r>
      <w:proofErr w:type="spellEnd"/>
      <w:r w:rsidRPr="00866DF7">
        <w:rPr>
          <w:rFonts w:eastAsia="Times New Roman"/>
          <w:sz w:val="20"/>
          <w:szCs w:val="20"/>
        </w:rPr>
        <w:t xml:space="preserve"> &amp; </w:t>
      </w:r>
      <w:proofErr w:type="spellStart"/>
      <w:r w:rsidRPr="00866DF7">
        <w:rPr>
          <w:rFonts w:eastAsia="Times New Roman"/>
          <w:sz w:val="20"/>
          <w:szCs w:val="20"/>
        </w:rPr>
        <w:t>Wauben</w:t>
      </w:r>
      <w:proofErr w:type="spellEnd"/>
      <w:r w:rsidRPr="00866DF7">
        <w:rPr>
          <w:rFonts w:eastAsia="Times New Roman"/>
          <w:sz w:val="20"/>
          <w:szCs w:val="20"/>
        </w:rPr>
        <w:t>, 2016) explored that people with dementia who are not able to go outside, experience improved moods during virtual cycling.</w:t>
      </w:r>
    </w:p>
    <w:p w14:paraId="00000024"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Utilization of robots is a technological solution for problems related to caregiving. The projects of robotic involvement include virtual visits in which robots are used to monitor dementia persons remotely with videoconferencing (</w:t>
      </w:r>
      <w:proofErr w:type="spellStart"/>
      <w:r w:rsidRPr="00866DF7">
        <w:rPr>
          <w:rFonts w:eastAsia="Times New Roman"/>
          <w:sz w:val="20"/>
          <w:szCs w:val="20"/>
        </w:rPr>
        <w:t>Coradeschi</w:t>
      </w:r>
      <w:proofErr w:type="spellEnd"/>
      <w:r w:rsidRPr="00866DF7">
        <w:rPr>
          <w:rFonts w:eastAsia="Times New Roman"/>
          <w:sz w:val="20"/>
          <w:szCs w:val="20"/>
        </w:rPr>
        <w:t xml:space="preserve"> et al., 2013).</w:t>
      </w:r>
    </w:p>
    <w:p w14:paraId="00000025" w14:textId="31403E97" w:rsidR="00964328" w:rsidRPr="00866DF7" w:rsidRDefault="00DC7AE4">
      <w:pPr>
        <w:spacing w:before="240" w:after="240" w:line="480" w:lineRule="auto"/>
        <w:jc w:val="both"/>
        <w:rPr>
          <w:b/>
          <w:bCs/>
        </w:rPr>
      </w:pPr>
      <w:r>
        <w:rPr>
          <w:b/>
          <w:bCs/>
        </w:rPr>
        <w:t>3</w:t>
      </w:r>
      <w:r w:rsidR="003B1935" w:rsidRPr="00866DF7">
        <w:rPr>
          <w:b/>
          <w:bCs/>
        </w:rPr>
        <w:t>.5 Environmental e</w:t>
      </w:r>
      <w:r w:rsidR="00300E62" w:rsidRPr="00866DF7">
        <w:rPr>
          <w:b/>
          <w:bCs/>
        </w:rPr>
        <w:t>lements</w:t>
      </w:r>
    </w:p>
    <w:p w14:paraId="00000026" w14:textId="7F90DE72" w:rsidR="00964328" w:rsidRPr="00866DF7" w:rsidRDefault="00300E62">
      <w:pPr>
        <w:shd w:val="clear" w:color="auto" w:fill="FFFFFF"/>
        <w:spacing w:before="240" w:after="240" w:line="480" w:lineRule="auto"/>
        <w:ind w:right="220"/>
        <w:jc w:val="both"/>
        <w:rPr>
          <w:rFonts w:eastAsia="Times New Roman"/>
          <w:sz w:val="20"/>
          <w:szCs w:val="20"/>
        </w:rPr>
      </w:pPr>
      <w:r w:rsidRPr="00866DF7">
        <w:rPr>
          <w:rFonts w:eastAsia="Times New Roman"/>
          <w:sz w:val="20"/>
          <w:szCs w:val="20"/>
        </w:rPr>
        <w:t>Dementia is also affected by environmental elements. Wu et al. (2015) observed that local deprivation is associated with high risk of cognitive decline. Local deprivation interacts with other elements of social determinants such as smoking and obesity.</w:t>
      </w:r>
      <w:hyperlink r:id="rId7">
        <w:r w:rsidRPr="00866DF7">
          <w:rPr>
            <w:rFonts w:eastAsia="Times New Roman"/>
            <w:sz w:val="20"/>
            <w:szCs w:val="20"/>
          </w:rPr>
          <w:t xml:space="preserve"> Department of Health and Social Care</w:t>
        </w:r>
      </w:hyperlink>
      <w:r w:rsidRPr="00866DF7">
        <w:rPr>
          <w:rFonts w:eastAsia="Times New Roman"/>
          <w:sz w:val="20"/>
          <w:szCs w:val="20"/>
        </w:rPr>
        <w:t xml:space="preserve"> and </w:t>
      </w:r>
      <w:r w:rsidR="009E1A34" w:rsidRPr="00866DF7">
        <w:rPr>
          <w:rFonts w:eastAsia="Times New Roman"/>
          <w:sz w:val="20"/>
          <w:szCs w:val="20"/>
        </w:rPr>
        <w:t xml:space="preserve">OHID </w:t>
      </w:r>
      <w:r w:rsidRPr="00866DF7">
        <w:rPr>
          <w:rFonts w:eastAsia="Times New Roman"/>
          <w:sz w:val="20"/>
          <w:szCs w:val="20"/>
        </w:rPr>
        <w:t xml:space="preserve">(2021) state that smoking and obesity are more prevalent in deprived areas of England, which in turn leads to a rise in dementia cases. Clarke </w:t>
      </w:r>
      <w:r w:rsidRPr="00866DF7">
        <w:rPr>
          <w:rFonts w:eastAsia="Times New Roman"/>
          <w:i/>
          <w:iCs/>
          <w:sz w:val="20"/>
          <w:szCs w:val="20"/>
        </w:rPr>
        <w:t>et al.</w:t>
      </w:r>
      <w:r w:rsidRPr="00866DF7">
        <w:rPr>
          <w:rFonts w:eastAsia="Times New Roman"/>
          <w:sz w:val="20"/>
          <w:szCs w:val="20"/>
        </w:rPr>
        <w:t xml:space="preserve"> (2015) suggest that several factors of neighborhood environment including proximity to public transport may slow the cognitive decline rate.</w:t>
      </w:r>
    </w:p>
    <w:p w14:paraId="00000027" w14:textId="77777777" w:rsidR="00964328" w:rsidRPr="00866DF7" w:rsidRDefault="00300E62">
      <w:pPr>
        <w:spacing w:line="480" w:lineRule="auto"/>
        <w:jc w:val="both"/>
        <w:rPr>
          <w:sz w:val="20"/>
          <w:szCs w:val="20"/>
        </w:rPr>
      </w:pPr>
      <w:r w:rsidRPr="00866DF7">
        <w:rPr>
          <w:sz w:val="20"/>
          <w:szCs w:val="20"/>
        </w:rPr>
        <w:t>Recent studies have extended on exploring the environmental impact on dementia. In a systematic review by Wilker et al. (2023), it was reported that nitrogen dioxide, nitrogen oxide and PM2.5 which is a fine particulate matter might increase the risk of dementia. Furthermore, it suggests that increase in every 1µg/m3 of PM2.5 may increase dementia risk in 3%.</w:t>
      </w:r>
    </w:p>
    <w:p w14:paraId="00000028"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Finally, toxic exposures in the work environment may lead to manifestation of dementia. Rondeau </w:t>
      </w:r>
      <w:r w:rsidRPr="00866DF7">
        <w:rPr>
          <w:rFonts w:eastAsia="Times New Roman"/>
          <w:i/>
          <w:iCs/>
          <w:sz w:val="20"/>
          <w:szCs w:val="20"/>
        </w:rPr>
        <w:t>et al</w:t>
      </w:r>
      <w:r w:rsidRPr="00866DF7">
        <w:rPr>
          <w:rFonts w:eastAsia="Times New Roman"/>
          <w:sz w:val="20"/>
          <w:szCs w:val="20"/>
        </w:rPr>
        <w:t xml:space="preserve">. (2009) believe that exposure to heavy metals might cause AD. The association between aluminum in drinking water and increased risk of dementia is inconsistent in epidemiological studies. Moreover, </w:t>
      </w:r>
      <w:r w:rsidRPr="00866DF7">
        <w:rPr>
          <w:rFonts w:eastAsia="Times New Roman"/>
          <w:sz w:val="20"/>
          <w:szCs w:val="20"/>
        </w:rPr>
        <w:lastRenderedPageBreak/>
        <w:t>exposure to extremely-low-frequency electromagnetic fields appears to be a plausible risk factor of dementia (Garcia et al., 2008).</w:t>
      </w:r>
    </w:p>
    <w:p w14:paraId="1A8AD27F" w14:textId="158BA7C8" w:rsidR="00384D7A" w:rsidRPr="00866DF7" w:rsidRDefault="00DC7AE4" w:rsidP="00F3490B">
      <w:pPr>
        <w:spacing w:before="240" w:after="240" w:line="480" w:lineRule="auto"/>
        <w:jc w:val="both"/>
        <w:rPr>
          <w:rFonts w:ascii="Times New Roman" w:eastAsia="Times New Roman" w:hAnsi="Times New Roman" w:cs="Times New Roman"/>
          <w:b/>
          <w:sz w:val="20"/>
          <w:szCs w:val="20"/>
        </w:rPr>
      </w:pPr>
      <w:r>
        <w:rPr>
          <w:b/>
          <w:bCs/>
        </w:rPr>
        <w:t>4</w:t>
      </w:r>
      <w:r w:rsidR="000A2B77" w:rsidRPr="00866DF7">
        <w:rPr>
          <w:b/>
          <w:bCs/>
        </w:rPr>
        <w:t xml:space="preserve">.  </w:t>
      </w:r>
      <w:r w:rsidR="003B1935" w:rsidRPr="00866DF7">
        <w:rPr>
          <w:b/>
          <w:bCs/>
        </w:rPr>
        <w:t>Health protection, health promotion and healthcare services</w:t>
      </w:r>
    </w:p>
    <w:p w14:paraId="53A3D398" w14:textId="3E47F5F0" w:rsidR="00F3490B" w:rsidRPr="00866DF7" w:rsidRDefault="00300E62">
      <w:pPr>
        <w:spacing w:before="240" w:after="240" w:line="480" w:lineRule="auto"/>
        <w:jc w:val="both"/>
        <w:rPr>
          <w:rFonts w:eastAsia="Times New Roman"/>
          <w:sz w:val="20"/>
          <w:szCs w:val="20"/>
        </w:rPr>
      </w:pPr>
      <w:r w:rsidRPr="00866DF7">
        <w:rPr>
          <w:rFonts w:eastAsia="Times New Roman"/>
          <w:sz w:val="20"/>
          <w:szCs w:val="20"/>
        </w:rPr>
        <w:t>Policy frameworks, strategies and regulations were identified that address the above social determinants of health linked to dementia under health protection, health promotion and healthcare services.</w:t>
      </w:r>
    </w:p>
    <w:p w14:paraId="0000002C" w14:textId="6C117046" w:rsidR="00964328" w:rsidRPr="00866DF7" w:rsidRDefault="00DC7AE4">
      <w:pPr>
        <w:spacing w:before="240" w:after="240" w:line="480" w:lineRule="auto"/>
        <w:jc w:val="both"/>
        <w:rPr>
          <w:b/>
          <w:bCs/>
        </w:rPr>
      </w:pPr>
      <w:r>
        <w:rPr>
          <w:b/>
          <w:bCs/>
        </w:rPr>
        <w:t>4</w:t>
      </w:r>
      <w:r w:rsidR="00300E62" w:rsidRPr="00866DF7">
        <w:rPr>
          <w:b/>
          <w:bCs/>
        </w:rPr>
        <w:t xml:space="preserve">.1 </w:t>
      </w:r>
      <w:r w:rsidR="003B1935" w:rsidRPr="00866DF7">
        <w:rPr>
          <w:b/>
          <w:bCs/>
        </w:rPr>
        <w:t>Health p</w:t>
      </w:r>
      <w:r w:rsidR="00300E62" w:rsidRPr="00866DF7">
        <w:rPr>
          <w:b/>
          <w:bCs/>
        </w:rPr>
        <w:t xml:space="preserve">rotection </w:t>
      </w:r>
    </w:p>
    <w:p w14:paraId="0000002D"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“Health protection is the protection of individuals, groups and populations through the effective collaboration of experts in identifying, preventing and mitigating the impacts of infectious diseases and of environmental, chemical and radiological threats” (Rubin, 2017).</w:t>
      </w:r>
    </w:p>
    <w:p w14:paraId="03DA414B" w14:textId="06E62CCE" w:rsidR="00A15776" w:rsidRDefault="00300E62">
      <w:pPr>
        <w:spacing w:before="240" w:after="240" w:line="480" w:lineRule="auto"/>
        <w:jc w:val="both"/>
        <w:rPr>
          <w:rFonts w:eastAsia="Times New Roman"/>
          <w:sz w:val="20"/>
          <w:szCs w:val="20"/>
        </w:rPr>
      </w:pPr>
      <w:r w:rsidRPr="00B427E2">
        <w:rPr>
          <w:rFonts w:eastAsia="Times New Roman"/>
          <w:sz w:val="20"/>
          <w:szCs w:val="20"/>
        </w:rPr>
        <w:t>In 2017, transportations to NHS were accounted for 3.5% of all transports in England. More than 200 hospitals and 2000 GP practices were affected by polluted air (British Lung Foundation, 2018). Therefore, air pollution which is a risk factor of dementia is addressed in NHS Long Term Plan to reduce air pollutant emissions by 20%. The strategies are to extinguish heating with coal and oil in NHS sites, promote virtual appointments and to use low emission engines by 90% of NHS fleet (</w:t>
      </w:r>
      <w:r w:rsidR="00B07390" w:rsidRPr="00B427E2">
        <w:rPr>
          <w:rFonts w:eastAsia="Times New Roman"/>
          <w:sz w:val="20"/>
          <w:szCs w:val="20"/>
        </w:rPr>
        <w:t>NHS</w:t>
      </w:r>
      <w:r w:rsidRPr="00B427E2">
        <w:rPr>
          <w:rFonts w:eastAsia="Times New Roman"/>
          <w:sz w:val="20"/>
          <w:szCs w:val="20"/>
        </w:rPr>
        <w:t>, 2019</w:t>
      </w:r>
      <w:r w:rsidR="00F83507" w:rsidRPr="00B427E2">
        <w:rPr>
          <w:rFonts w:eastAsia="Times New Roman"/>
          <w:sz w:val="20"/>
          <w:szCs w:val="20"/>
        </w:rPr>
        <w:t>a</w:t>
      </w:r>
      <w:r w:rsidRPr="00B427E2">
        <w:rPr>
          <w:rFonts w:eastAsia="Times New Roman"/>
          <w:sz w:val="20"/>
          <w:szCs w:val="20"/>
        </w:rPr>
        <w:t>). Moreover, the government launched ‘Clean Air Strategy 2019’ to tackle air pollution by ensuring that only safe stoves are available at sales by 2022, inhibiting sales of most polluting fuels, upgrading polluting heaters and introducing low emission farming techniques (Department for Environment, Food and Rural Affairs &amp; Department of Health and Social Care, 2019). In addition, government introduced clean air zones in 2020 to improve air quality by charging for travelling across clean air zones if the vehicle does not meet emission standards (Department for Environment, Food and Rural Affairs, 2020).</w:t>
      </w:r>
      <w:r w:rsidR="00B427E2" w:rsidRPr="00B427E2">
        <w:rPr>
          <w:rFonts w:eastAsia="Times New Roman"/>
          <w:sz w:val="20"/>
          <w:szCs w:val="20"/>
        </w:rPr>
        <w:t xml:space="preserve"> </w:t>
      </w:r>
      <w:r w:rsidR="00A15776" w:rsidRPr="00B427E2">
        <w:rPr>
          <w:rFonts w:eastAsia="Times New Roman"/>
          <w:sz w:val="20"/>
          <w:szCs w:val="20"/>
        </w:rPr>
        <w:t xml:space="preserve">Although </w:t>
      </w:r>
      <w:r w:rsidR="007E0F8D" w:rsidRPr="00B427E2">
        <w:rPr>
          <w:rFonts w:eastAsia="Times New Roman"/>
          <w:sz w:val="20"/>
          <w:szCs w:val="20"/>
        </w:rPr>
        <w:t xml:space="preserve">numerous </w:t>
      </w:r>
      <w:r w:rsidR="00A15776" w:rsidRPr="00B427E2">
        <w:rPr>
          <w:rFonts w:eastAsia="Times New Roman"/>
          <w:sz w:val="20"/>
          <w:szCs w:val="20"/>
        </w:rPr>
        <w:t xml:space="preserve">strategies have been implemented to </w:t>
      </w:r>
      <w:r w:rsidR="007E0F8D" w:rsidRPr="00B427E2">
        <w:rPr>
          <w:rFonts w:eastAsia="Times New Roman"/>
          <w:sz w:val="20"/>
          <w:szCs w:val="20"/>
        </w:rPr>
        <w:t xml:space="preserve">reduce </w:t>
      </w:r>
      <w:r w:rsidR="00A15776" w:rsidRPr="00B427E2">
        <w:rPr>
          <w:rFonts w:eastAsia="Times New Roman"/>
          <w:sz w:val="20"/>
          <w:szCs w:val="20"/>
        </w:rPr>
        <w:t xml:space="preserve">air pollution, it may result in unintended consequences to the health. Evidence from a </w:t>
      </w:r>
      <w:r w:rsidR="0030147B" w:rsidRPr="00B427E2">
        <w:rPr>
          <w:rFonts w:eastAsia="Times New Roman"/>
          <w:sz w:val="20"/>
          <w:szCs w:val="20"/>
        </w:rPr>
        <w:t xml:space="preserve">longitudinal </w:t>
      </w:r>
      <w:r w:rsidR="00A15776" w:rsidRPr="00B427E2">
        <w:rPr>
          <w:rFonts w:eastAsia="Times New Roman"/>
          <w:sz w:val="20"/>
          <w:szCs w:val="20"/>
        </w:rPr>
        <w:t xml:space="preserve">cohort study </w:t>
      </w:r>
      <w:r w:rsidR="007E0F8D" w:rsidRPr="00B427E2">
        <w:rPr>
          <w:rFonts w:eastAsia="Times New Roman"/>
          <w:sz w:val="20"/>
          <w:szCs w:val="20"/>
        </w:rPr>
        <w:t xml:space="preserve">suggests </w:t>
      </w:r>
      <w:r w:rsidR="00A15776" w:rsidRPr="00B427E2">
        <w:rPr>
          <w:rFonts w:eastAsia="Times New Roman"/>
          <w:sz w:val="20"/>
          <w:szCs w:val="20"/>
        </w:rPr>
        <w:t xml:space="preserve">that measures </w:t>
      </w:r>
      <w:r w:rsidR="0030147B" w:rsidRPr="00B427E2">
        <w:rPr>
          <w:rFonts w:eastAsia="Times New Roman"/>
          <w:sz w:val="20"/>
          <w:szCs w:val="20"/>
        </w:rPr>
        <w:t xml:space="preserve">such as clean air zones </w:t>
      </w:r>
      <w:r w:rsidR="007E0F8D" w:rsidRPr="00B427E2">
        <w:rPr>
          <w:rFonts w:eastAsia="Times New Roman"/>
          <w:sz w:val="20"/>
          <w:szCs w:val="20"/>
        </w:rPr>
        <w:t xml:space="preserve">which </w:t>
      </w:r>
      <w:r w:rsidR="0030147B" w:rsidRPr="00B427E2">
        <w:rPr>
          <w:rFonts w:eastAsia="Times New Roman"/>
          <w:sz w:val="20"/>
          <w:szCs w:val="20"/>
        </w:rPr>
        <w:t xml:space="preserve">aim to reduce nitrogen dioxide and particulate matter </w:t>
      </w:r>
      <w:r w:rsidR="007E0F8D" w:rsidRPr="00B427E2">
        <w:rPr>
          <w:rFonts w:eastAsia="Times New Roman"/>
          <w:sz w:val="20"/>
          <w:szCs w:val="20"/>
        </w:rPr>
        <w:t xml:space="preserve">levels, may result in </w:t>
      </w:r>
      <w:r w:rsidR="0030147B" w:rsidRPr="00B427E2">
        <w:rPr>
          <w:rFonts w:eastAsia="Times New Roman"/>
          <w:sz w:val="20"/>
          <w:szCs w:val="20"/>
        </w:rPr>
        <w:t>high ozone levels</w:t>
      </w:r>
      <w:r w:rsidR="007E0F8D" w:rsidRPr="00B427E2">
        <w:rPr>
          <w:rFonts w:eastAsia="Times New Roman"/>
          <w:sz w:val="20"/>
          <w:szCs w:val="20"/>
        </w:rPr>
        <w:t>,</w:t>
      </w:r>
      <w:r w:rsidR="0030147B" w:rsidRPr="00B427E2">
        <w:rPr>
          <w:rFonts w:eastAsia="Times New Roman"/>
          <w:sz w:val="20"/>
          <w:szCs w:val="20"/>
        </w:rPr>
        <w:t xml:space="preserve"> </w:t>
      </w:r>
      <w:r w:rsidR="007E0F8D" w:rsidRPr="00B427E2">
        <w:rPr>
          <w:rFonts w:eastAsia="Times New Roman"/>
          <w:sz w:val="20"/>
          <w:szCs w:val="20"/>
        </w:rPr>
        <w:t xml:space="preserve">thereby negatively </w:t>
      </w:r>
      <w:r w:rsidR="00DB5885" w:rsidRPr="00B427E2">
        <w:rPr>
          <w:rFonts w:eastAsia="Times New Roman"/>
          <w:sz w:val="20"/>
          <w:szCs w:val="20"/>
        </w:rPr>
        <w:t xml:space="preserve">affecting </w:t>
      </w:r>
      <w:r w:rsidR="0030147B" w:rsidRPr="00B427E2">
        <w:rPr>
          <w:rFonts w:eastAsia="Times New Roman"/>
          <w:sz w:val="20"/>
          <w:szCs w:val="20"/>
        </w:rPr>
        <w:t>cognitive health</w:t>
      </w:r>
      <w:r w:rsidR="00E94F84" w:rsidRPr="00B427E2">
        <w:rPr>
          <w:rFonts w:eastAsia="Times New Roman"/>
          <w:sz w:val="20"/>
          <w:szCs w:val="20"/>
        </w:rPr>
        <w:t xml:space="preserve"> (Thompson et al., 2024).</w:t>
      </w:r>
      <w:r w:rsidR="0030147B" w:rsidRPr="00B427E2">
        <w:rPr>
          <w:rFonts w:eastAsia="Times New Roman"/>
          <w:sz w:val="20"/>
          <w:szCs w:val="20"/>
        </w:rPr>
        <w:t xml:space="preserve"> This reflects the importance of a more-integrated approach </w:t>
      </w:r>
      <w:r w:rsidR="00DB5885" w:rsidRPr="00B427E2">
        <w:rPr>
          <w:rFonts w:eastAsia="Times New Roman"/>
          <w:sz w:val="20"/>
          <w:szCs w:val="20"/>
        </w:rPr>
        <w:t xml:space="preserve">to avoid the fragmented nature of </w:t>
      </w:r>
      <w:r w:rsidR="0030147B" w:rsidRPr="00B427E2">
        <w:rPr>
          <w:rFonts w:eastAsia="Times New Roman"/>
          <w:sz w:val="20"/>
          <w:szCs w:val="20"/>
        </w:rPr>
        <w:t>policy implementation</w:t>
      </w:r>
      <w:r w:rsidR="00E94F84" w:rsidRPr="00B427E2">
        <w:rPr>
          <w:rFonts w:eastAsia="Times New Roman"/>
          <w:sz w:val="20"/>
          <w:szCs w:val="20"/>
        </w:rPr>
        <w:t>.</w:t>
      </w:r>
    </w:p>
    <w:p w14:paraId="5532D39F" w14:textId="2789FEF1" w:rsidR="00557230" w:rsidRDefault="00300E62">
      <w:pPr>
        <w:shd w:val="clear" w:color="auto" w:fill="FFFFFF"/>
        <w:spacing w:after="300" w:line="480" w:lineRule="auto"/>
        <w:jc w:val="both"/>
        <w:rPr>
          <w:sz w:val="20"/>
          <w:szCs w:val="20"/>
        </w:rPr>
      </w:pPr>
      <w:r w:rsidRPr="00866DF7">
        <w:rPr>
          <w:sz w:val="20"/>
          <w:szCs w:val="20"/>
        </w:rPr>
        <w:lastRenderedPageBreak/>
        <w:t>Under the</w:t>
      </w:r>
      <w:hyperlink r:id="rId8">
        <w:r w:rsidRPr="00866DF7">
          <w:rPr>
            <w:sz w:val="20"/>
            <w:szCs w:val="20"/>
          </w:rPr>
          <w:t xml:space="preserve"> Control of Substances Hazardous to Health Regulations 2002</w:t>
        </w:r>
      </w:hyperlink>
      <w:r w:rsidRPr="00866DF7">
        <w:rPr>
          <w:sz w:val="20"/>
          <w:szCs w:val="20"/>
        </w:rPr>
        <w:t>, Health and Safety Executive (2022) has set workplace exposure limits to protect the health of workers from hazardous substances that cause diseases. Furthermore,</w:t>
      </w:r>
      <w:hyperlink r:id="rId9">
        <w:r w:rsidRPr="00866DF7">
          <w:rPr>
            <w:sz w:val="20"/>
            <w:szCs w:val="20"/>
          </w:rPr>
          <w:t xml:space="preserve"> </w:t>
        </w:r>
      </w:hyperlink>
      <w:hyperlink r:id="rId10">
        <w:r w:rsidRPr="00866DF7">
          <w:rPr>
            <w:sz w:val="20"/>
            <w:szCs w:val="20"/>
          </w:rPr>
          <w:t xml:space="preserve">The Control of Electronic Fields at Work Regulations 2016 </w:t>
        </w:r>
      </w:hyperlink>
      <w:r w:rsidRPr="00866DF7">
        <w:rPr>
          <w:sz w:val="20"/>
          <w:szCs w:val="20"/>
        </w:rPr>
        <w:t xml:space="preserve">mentions the minimum requirements needed to control risks caused by electromagnetic fields in workplaces (Health and Safety Executive, 2016). </w:t>
      </w:r>
      <w:r w:rsidR="00557230">
        <w:rPr>
          <w:sz w:val="20"/>
          <w:szCs w:val="20"/>
        </w:rPr>
        <w:t>In terms of food quality, a</w:t>
      </w:r>
      <w:r w:rsidR="00557230" w:rsidRPr="00866DF7">
        <w:rPr>
          <w:sz w:val="20"/>
          <w:szCs w:val="20"/>
        </w:rPr>
        <w:t>ccording to Food Safety Act 1990, all food businesses should not treat food in a way that may cause damage to health and food should be labelled properly (Food Standards Agency, 2022).</w:t>
      </w:r>
      <w:r w:rsidR="00557230">
        <w:rPr>
          <w:sz w:val="20"/>
          <w:szCs w:val="20"/>
        </w:rPr>
        <w:t xml:space="preserve"> </w:t>
      </w:r>
      <w:r w:rsidRPr="00866DF7">
        <w:rPr>
          <w:sz w:val="20"/>
          <w:szCs w:val="20"/>
        </w:rPr>
        <w:t>In addition, The Drinking Water Inspectorate (2016) has set drinking water standards to avoid substances in water that may cause risk to health.</w:t>
      </w:r>
      <w:hyperlink r:id="rId11">
        <w:r w:rsidRPr="00866DF7">
          <w:rPr>
            <w:sz w:val="20"/>
            <w:szCs w:val="20"/>
          </w:rPr>
          <w:t xml:space="preserve"> </w:t>
        </w:r>
      </w:hyperlink>
      <w:hyperlink r:id="rId12">
        <w:r w:rsidRPr="00866DF7">
          <w:rPr>
            <w:sz w:val="20"/>
            <w:szCs w:val="20"/>
          </w:rPr>
          <w:t>The Water Supply (Water Quality) Regulations 2016</w:t>
        </w:r>
      </w:hyperlink>
      <w:r w:rsidRPr="00866DF7">
        <w:rPr>
          <w:sz w:val="20"/>
          <w:szCs w:val="20"/>
        </w:rPr>
        <w:t xml:space="preserve"> covers maximum acceptable concentrations of chemicals, micro-organisms and metals that may be in water. For instances, the maximum concentrations of aluminum and mercury are 200 µ</w:t>
      </w:r>
      <w:proofErr w:type="spellStart"/>
      <w:r w:rsidRPr="00866DF7">
        <w:rPr>
          <w:sz w:val="20"/>
          <w:szCs w:val="20"/>
        </w:rPr>
        <w:t>gAl</w:t>
      </w:r>
      <w:proofErr w:type="spellEnd"/>
      <w:r w:rsidRPr="00866DF7">
        <w:rPr>
          <w:sz w:val="20"/>
          <w:szCs w:val="20"/>
        </w:rPr>
        <w:t xml:space="preserve">/l and 1µgHg/l respectively. </w:t>
      </w:r>
      <w:r w:rsidR="00557230">
        <w:rPr>
          <w:sz w:val="20"/>
          <w:szCs w:val="20"/>
        </w:rPr>
        <w:t xml:space="preserve">Despite the standards of drinking water, its application remains limited as a review </w:t>
      </w:r>
      <w:r w:rsidR="00845732">
        <w:rPr>
          <w:sz w:val="20"/>
          <w:szCs w:val="20"/>
        </w:rPr>
        <w:t>on drinking water quality in British rivers shows that the pesticide concentration in drinking water exceeds the standard maximum</w:t>
      </w:r>
      <w:r w:rsidR="00B31D85">
        <w:rPr>
          <w:sz w:val="20"/>
          <w:szCs w:val="20"/>
        </w:rPr>
        <w:t xml:space="preserve"> acceptable </w:t>
      </w:r>
      <w:r w:rsidR="00845732">
        <w:rPr>
          <w:sz w:val="20"/>
          <w:szCs w:val="20"/>
        </w:rPr>
        <w:t>concentration</w:t>
      </w:r>
      <w:r w:rsidR="00B31D85">
        <w:rPr>
          <w:sz w:val="20"/>
          <w:szCs w:val="20"/>
        </w:rPr>
        <w:t xml:space="preserve"> of 0.</w:t>
      </w:r>
      <w:r w:rsidR="00B31D85" w:rsidRPr="00B427E2">
        <w:rPr>
          <w:sz w:val="20"/>
          <w:szCs w:val="20"/>
        </w:rPr>
        <w:t>1</w:t>
      </w:r>
      <w:r w:rsidR="00B31D85" w:rsidRPr="005518DA">
        <w:rPr>
          <w:sz w:val="20"/>
          <w:szCs w:val="20"/>
        </w:rPr>
        <w:t>μg/L</w:t>
      </w:r>
      <w:r w:rsidR="00B31D85">
        <w:rPr>
          <w:sz w:val="20"/>
          <w:szCs w:val="20"/>
        </w:rPr>
        <w:t xml:space="preserve"> for individual pesticide</w:t>
      </w:r>
      <w:r w:rsidR="00640484">
        <w:rPr>
          <w:sz w:val="20"/>
          <w:szCs w:val="20"/>
        </w:rPr>
        <w:t>s</w:t>
      </w:r>
      <w:r w:rsidR="00B31D85">
        <w:rPr>
          <w:sz w:val="20"/>
          <w:szCs w:val="20"/>
        </w:rPr>
        <w:t xml:space="preserve">. </w:t>
      </w:r>
      <w:r w:rsidR="00640484">
        <w:rPr>
          <w:sz w:val="20"/>
          <w:szCs w:val="20"/>
        </w:rPr>
        <w:t xml:space="preserve">This has been attributed to </w:t>
      </w:r>
      <w:r w:rsidR="00B31D85">
        <w:rPr>
          <w:sz w:val="20"/>
          <w:szCs w:val="20"/>
        </w:rPr>
        <w:t xml:space="preserve">the difficulty of removing the compounds with </w:t>
      </w:r>
      <w:r w:rsidR="007337C4">
        <w:rPr>
          <w:sz w:val="20"/>
          <w:szCs w:val="20"/>
        </w:rPr>
        <w:t xml:space="preserve">the </w:t>
      </w:r>
      <w:r w:rsidR="00640484">
        <w:rPr>
          <w:sz w:val="20"/>
          <w:szCs w:val="20"/>
        </w:rPr>
        <w:t xml:space="preserve">existing </w:t>
      </w:r>
      <w:r w:rsidR="007337C4">
        <w:rPr>
          <w:sz w:val="20"/>
          <w:szCs w:val="20"/>
        </w:rPr>
        <w:t>mechanisms</w:t>
      </w:r>
      <w:r w:rsidR="00E94F84">
        <w:rPr>
          <w:sz w:val="20"/>
          <w:szCs w:val="20"/>
        </w:rPr>
        <w:t xml:space="preserve"> (Whelan et al., 2022).</w:t>
      </w:r>
      <w:r w:rsidR="007337C4">
        <w:rPr>
          <w:sz w:val="20"/>
          <w:szCs w:val="20"/>
        </w:rPr>
        <w:t xml:space="preserve"> This highlights the need of conducting future researches </w:t>
      </w:r>
      <w:r w:rsidR="00640484">
        <w:rPr>
          <w:sz w:val="20"/>
          <w:szCs w:val="20"/>
        </w:rPr>
        <w:t>to develop e</w:t>
      </w:r>
      <w:r w:rsidR="007337C4">
        <w:rPr>
          <w:sz w:val="20"/>
          <w:szCs w:val="20"/>
        </w:rPr>
        <w:t xml:space="preserve">ffective mechanisms for purifying water </w:t>
      </w:r>
      <w:r w:rsidR="00640484">
        <w:rPr>
          <w:sz w:val="20"/>
          <w:szCs w:val="20"/>
        </w:rPr>
        <w:t>as a preventive measure of reducing dementia risk</w:t>
      </w:r>
      <w:r w:rsidR="00E94F84">
        <w:rPr>
          <w:sz w:val="20"/>
          <w:szCs w:val="20"/>
        </w:rPr>
        <w:t>.</w:t>
      </w:r>
    </w:p>
    <w:p w14:paraId="00000031" w14:textId="7406275C" w:rsidR="00964328" w:rsidRPr="00866DF7" w:rsidRDefault="00DC7AE4">
      <w:pPr>
        <w:spacing w:before="240" w:after="240" w:line="480" w:lineRule="auto"/>
        <w:jc w:val="both"/>
        <w:rPr>
          <w:b/>
          <w:bCs/>
        </w:rPr>
      </w:pPr>
      <w:r>
        <w:rPr>
          <w:b/>
          <w:bCs/>
        </w:rPr>
        <w:t>4</w:t>
      </w:r>
      <w:r w:rsidR="003B1935" w:rsidRPr="00866DF7">
        <w:rPr>
          <w:b/>
          <w:bCs/>
        </w:rPr>
        <w:t>.2 Health p</w:t>
      </w:r>
      <w:r w:rsidR="00300E62" w:rsidRPr="00866DF7">
        <w:rPr>
          <w:b/>
          <w:bCs/>
        </w:rPr>
        <w:t xml:space="preserve">romotion </w:t>
      </w:r>
    </w:p>
    <w:p w14:paraId="79C5F63F" w14:textId="542215A6" w:rsidR="00D259B7" w:rsidRPr="00866DF7" w:rsidRDefault="00AB16A7">
      <w:pPr>
        <w:spacing w:before="240" w:after="240" w:line="480" w:lineRule="auto"/>
        <w:jc w:val="both"/>
        <w:rPr>
          <w:rFonts w:eastAsia="Times New Roman"/>
          <w:sz w:val="20"/>
          <w:szCs w:val="20"/>
        </w:rPr>
      </w:pPr>
      <w:r w:rsidRPr="00866DF7">
        <w:rPr>
          <w:rFonts w:ascii="Times New Roman" w:eastAsia="Times New Roman" w:hAnsi="Times New Roman" w:cs="Times New Roman"/>
          <w:sz w:val="20"/>
          <w:szCs w:val="20"/>
        </w:rPr>
        <w:t xml:space="preserve"> </w:t>
      </w:r>
      <w:r w:rsidRPr="00866DF7">
        <w:rPr>
          <w:rFonts w:eastAsia="Times New Roman"/>
          <w:sz w:val="20"/>
          <w:szCs w:val="20"/>
        </w:rPr>
        <w:t>WHO</w:t>
      </w:r>
      <w:r w:rsidR="00D259B7" w:rsidRPr="00866DF7">
        <w:rPr>
          <w:rFonts w:eastAsia="Times New Roman"/>
          <w:sz w:val="20"/>
          <w:szCs w:val="20"/>
        </w:rPr>
        <w:t xml:space="preserve"> (2026) defines health promotion as the process of enabling people to increase control over, and to improve their health.</w:t>
      </w:r>
    </w:p>
    <w:p w14:paraId="4D6DCA8B" w14:textId="36EFE86D" w:rsidR="009D4E82" w:rsidRPr="00866DF7" w:rsidRDefault="00300E62">
      <w:pPr>
        <w:spacing w:before="240" w:after="240" w:line="480" w:lineRule="auto"/>
        <w:jc w:val="both"/>
        <w:rPr>
          <w:rFonts w:eastAsia="Times New Roman"/>
          <w:bCs/>
          <w:sz w:val="20"/>
          <w:szCs w:val="20"/>
        </w:rPr>
      </w:pPr>
      <w:r w:rsidRPr="00866DF7">
        <w:rPr>
          <w:bCs/>
          <w:sz w:val="20"/>
          <w:szCs w:val="20"/>
        </w:rPr>
        <w:t xml:space="preserve">NHS addresses most of the social determinants of dementia including deprivation, dietary intake, smoking, alcoholism, obesity, healthy ageing, physical activity and mental health by health promotion. </w:t>
      </w:r>
      <w:r w:rsidR="00672807">
        <w:rPr>
          <w:bCs/>
          <w:sz w:val="20"/>
          <w:szCs w:val="20"/>
        </w:rPr>
        <w:t>Among these,</w:t>
      </w:r>
      <w:r w:rsidR="00424EEE">
        <w:rPr>
          <w:bCs/>
          <w:sz w:val="20"/>
          <w:szCs w:val="20"/>
        </w:rPr>
        <w:t xml:space="preserve"> </w:t>
      </w:r>
      <w:r w:rsidR="00672807">
        <w:rPr>
          <w:rFonts w:eastAsia="Times New Roman"/>
          <w:sz w:val="20"/>
          <w:szCs w:val="20"/>
        </w:rPr>
        <w:t>t</w:t>
      </w:r>
      <w:r w:rsidRPr="00866DF7">
        <w:rPr>
          <w:rFonts w:eastAsia="Times New Roman"/>
          <w:sz w:val="20"/>
          <w:szCs w:val="20"/>
        </w:rPr>
        <w:t xml:space="preserve">ackling health inequalities is addressed in the NHS long term plan. The approaches include more funds to the areas with high health inequalities, adding 110,000 people per year for physical health checks, investing extra £30 million to ensure homeless people will have a better access to </w:t>
      </w:r>
      <w:r w:rsidRPr="00866DF7">
        <w:rPr>
          <w:rFonts w:eastAsia="Times New Roman"/>
          <w:bCs/>
          <w:sz w:val="20"/>
          <w:szCs w:val="20"/>
        </w:rPr>
        <w:t xml:space="preserve">specialist homelessness NHS mental health support, supporting carers from vulnerable communities as they are more likely to have a poor health, increasing access to mental health support, interacting with </w:t>
      </w:r>
      <w:r w:rsidRPr="00866DF7">
        <w:rPr>
          <w:rFonts w:eastAsia="Times New Roman"/>
          <w:bCs/>
          <w:sz w:val="20"/>
          <w:szCs w:val="20"/>
        </w:rPr>
        <w:lastRenderedPageBreak/>
        <w:t>local charities and community welfare companies to support at-risk groups and expanding NHS services for people with serious gambling problems (</w:t>
      </w:r>
      <w:r w:rsidR="00B07390" w:rsidRPr="00866DF7">
        <w:rPr>
          <w:rFonts w:eastAsia="Times New Roman"/>
          <w:bCs/>
          <w:sz w:val="20"/>
          <w:szCs w:val="20"/>
        </w:rPr>
        <w:t>NHS</w:t>
      </w:r>
      <w:r w:rsidRPr="00866DF7">
        <w:rPr>
          <w:rFonts w:eastAsia="Times New Roman"/>
          <w:bCs/>
          <w:sz w:val="20"/>
          <w:szCs w:val="20"/>
        </w:rPr>
        <w:t>, 2019</w:t>
      </w:r>
      <w:r w:rsidR="00F83507" w:rsidRPr="00866DF7">
        <w:rPr>
          <w:rFonts w:eastAsia="Times New Roman"/>
          <w:bCs/>
          <w:sz w:val="20"/>
          <w:szCs w:val="20"/>
        </w:rPr>
        <w:t>c</w:t>
      </w:r>
      <w:r w:rsidRPr="00866DF7">
        <w:rPr>
          <w:rFonts w:eastAsia="Times New Roman"/>
          <w:bCs/>
          <w:sz w:val="20"/>
          <w:szCs w:val="20"/>
        </w:rPr>
        <w:t>).</w:t>
      </w:r>
      <w:r w:rsidR="00424EEE">
        <w:rPr>
          <w:rFonts w:eastAsia="Times New Roman"/>
          <w:bCs/>
          <w:sz w:val="20"/>
          <w:szCs w:val="20"/>
        </w:rPr>
        <w:t xml:space="preserve"> </w:t>
      </w:r>
      <w:r w:rsidR="009D4E82">
        <w:rPr>
          <w:rFonts w:eastAsia="Times New Roman"/>
          <w:bCs/>
          <w:sz w:val="20"/>
          <w:szCs w:val="20"/>
        </w:rPr>
        <w:t xml:space="preserve">These initiatives reflect </w:t>
      </w:r>
      <w:r w:rsidR="00BF103D">
        <w:rPr>
          <w:rFonts w:eastAsia="Times New Roman"/>
          <w:bCs/>
          <w:sz w:val="20"/>
          <w:szCs w:val="20"/>
        </w:rPr>
        <w:t xml:space="preserve">the </w:t>
      </w:r>
      <w:r w:rsidR="009D4E82">
        <w:rPr>
          <w:rFonts w:eastAsia="Times New Roman"/>
          <w:bCs/>
          <w:sz w:val="20"/>
          <w:szCs w:val="20"/>
        </w:rPr>
        <w:t xml:space="preserve">importance </w:t>
      </w:r>
      <w:r w:rsidR="00BF103D">
        <w:rPr>
          <w:rFonts w:eastAsia="Times New Roman"/>
          <w:bCs/>
          <w:sz w:val="20"/>
          <w:szCs w:val="20"/>
        </w:rPr>
        <w:t xml:space="preserve">given </w:t>
      </w:r>
      <w:r w:rsidR="009D4E82">
        <w:rPr>
          <w:rFonts w:eastAsia="Times New Roman"/>
          <w:bCs/>
          <w:sz w:val="20"/>
          <w:szCs w:val="20"/>
        </w:rPr>
        <w:t xml:space="preserve">to mitigate health inequalities. However, UNICEF </w:t>
      </w:r>
      <w:r w:rsidR="00424EEE">
        <w:rPr>
          <w:rFonts w:eastAsia="Times New Roman"/>
          <w:bCs/>
          <w:sz w:val="20"/>
          <w:szCs w:val="20"/>
        </w:rPr>
        <w:t xml:space="preserve">(United Nations International Children’s Emergency Fund) </w:t>
      </w:r>
      <w:r w:rsidR="009D4E82">
        <w:rPr>
          <w:rFonts w:eastAsia="Times New Roman"/>
          <w:bCs/>
          <w:sz w:val="20"/>
          <w:szCs w:val="20"/>
        </w:rPr>
        <w:t xml:space="preserve">(2025) reports that the UK </w:t>
      </w:r>
      <w:r w:rsidR="00BF103D">
        <w:rPr>
          <w:rFonts w:eastAsia="Times New Roman"/>
          <w:bCs/>
          <w:sz w:val="20"/>
          <w:szCs w:val="20"/>
        </w:rPr>
        <w:t xml:space="preserve">experienced the largest increase </w:t>
      </w:r>
      <w:r w:rsidR="009D4E82">
        <w:rPr>
          <w:rFonts w:eastAsia="Times New Roman"/>
          <w:bCs/>
          <w:sz w:val="20"/>
          <w:szCs w:val="20"/>
        </w:rPr>
        <w:t xml:space="preserve">in </w:t>
      </w:r>
      <w:r w:rsidR="00BF103D">
        <w:rPr>
          <w:rFonts w:eastAsia="Times New Roman"/>
          <w:bCs/>
          <w:sz w:val="20"/>
          <w:szCs w:val="20"/>
        </w:rPr>
        <w:t xml:space="preserve">relative </w:t>
      </w:r>
      <w:r w:rsidR="009D4E82">
        <w:rPr>
          <w:rFonts w:eastAsia="Times New Roman"/>
          <w:bCs/>
          <w:sz w:val="20"/>
          <w:szCs w:val="20"/>
        </w:rPr>
        <w:t xml:space="preserve">child </w:t>
      </w:r>
      <w:r w:rsidR="00BF103D">
        <w:rPr>
          <w:rFonts w:eastAsia="Times New Roman"/>
          <w:bCs/>
          <w:sz w:val="20"/>
          <w:szCs w:val="20"/>
        </w:rPr>
        <w:t xml:space="preserve">income </w:t>
      </w:r>
      <w:r w:rsidR="009D4E82">
        <w:rPr>
          <w:rFonts w:eastAsia="Times New Roman"/>
          <w:bCs/>
          <w:sz w:val="20"/>
          <w:szCs w:val="20"/>
        </w:rPr>
        <w:t>poverty between 2013 and 2023 in 34%</w:t>
      </w:r>
      <w:r w:rsidR="00BF103D">
        <w:rPr>
          <w:rFonts w:eastAsia="Times New Roman"/>
          <w:bCs/>
          <w:sz w:val="20"/>
          <w:szCs w:val="20"/>
        </w:rPr>
        <w:t>,</w:t>
      </w:r>
      <w:r w:rsidR="009D4E82">
        <w:rPr>
          <w:rFonts w:eastAsia="Times New Roman"/>
          <w:bCs/>
          <w:sz w:val="20"/>
          <w:szCs w:val="20"/>
        </w:rPr>
        <w:t xml:space="preserve"> </w:t>
      </w:r>
      <w:r w:rsidR="00BF103D">
        <w:rPr>
          <w:rFonts w:eastAsia="Times New Roman"/>
          <w:bCs/>
          <w:sz w:val="20"/>
          <w:szCs w:val="20"/>
        </w:rPr>
        <w:t xml:space="preserve">compared </w:t>
      </w:r>
      <w:r w:rsidR="009D4E82">
        <w:rPr>
          <w:rFonts w:eastAsia="Times New Roman"/>
          <w:bCs/>
          <w:sz w:val="20"/>
          <w:szCs w:val="20"/>
        </w:rPr>
        <w:t xml:space="preserve">with 37 high income countries. Similarly, in the same period, the </w:t>
      </w:r>
      <w:r w:rsidR="00BF103D">
        <w:rPr>
          <w:rFonts w:eastAsia="Times New Roman"/>
          <w:bCs/>
          <w:sz w:val="20"/>
          <w:szCs w:val="20"/>
        </w:rPr>
        <w:t xml:space="preserve">largest increase </w:t>
      </w:r>
      <w:r w:rsidR="009D4E82">
        <w:rPr>
          <w:rFonts w:eastAsia="Times New Roman"/>
          <w:bCs/>
          <w:sz w:val="20"/>
          <w:szCs w:val="20"/>
        </w:rPr>
        <w:t xml:space="preserve">of deep </w:t>
      </w:r>
      <w:r w:rsidR="00BF103D">
        <w:rPr>
          <w:rFonts w:eastAsia="Times New Roman"/>
          <w:bCs/>
          <w:sz w:val="20"/>
          <w:szCs w:val="20"/>
        </w:rPr>
        <w:t xml:space="preserve">child </w:t>
      </w:r>
      <w:r w:rsidR="009D4E82">
        <w:rPr>
          <w:rFonts w:eastAsia="Times New Roman"/>
          <w:bCs/>
          <w:sz w:val="20"/>
          <w:szCs w:val="20"/>
        </w:rPr>
        <w:t xml:space="preserve">poverty was reported in the UK </w:t>
      </w:r>
      <w:r w:rsidR="00BF103D">
        <w:rPr>
          <w:rFonts w:eastAsia="Times New Roman"/>
          <w:bCs/>
          <w:sz w:val="20"/>
          <w:szCs w:val="20"/>
        </w:rPr>
        <w:t xml:space="preserve">in 67%, compared </w:t>
      </w:r>
      <w:r w:rsidR="009D4E82">
        <w:rPr>
          <w:rFonts w:eastAsia="Times New Roman"/>
          <w:bCs/>
          <w:sz w:val="20"/>
          <w:szCs w:val="20"/>
        </w:rPr>
        <w:t xml:space="preserve">with European countries. </w:t>
      </w:r>
      <w:r w:rsidR="00BF103D">
        <w:rPr>
          <w:rFonts w:eastAsia="Times New Roman"/>
          <w:bCs/>
          <w:sz w:val="20"/>
          <w:szCs w:val="20"/>
        </w:rPr>
        <w:t xml:space="preserve">This suggests that </w:t>
      </w:r>
      <w:r w:rsidR="009D4E82">
        <w:rPr>
          <w:rFonts w:eastAsia="Times New Roman"/>
          <w:bCs/>
          <w:sz w:val="20"/>
          <w:szCs w:val="20"/>
        </w:rPr>
        <w:t xml:space="preserve">the policies which address health inequalities may fall </w:t>
      </w:r>
      <w:r w:rsidR="00BF103D">
        <w:rPr>
          <w:rFonts w:eastAsia="Times New Roman"/>
          <w:bCs/>
          <w:sz w:val="20"/>
          <w:szCs w:val="20"/>
        </w:rPr>
        <w:t>short if the underlying factors such as child poverty are not adequately addressed</w:t>
      </w:r>
      <w:r w:rsidR="00553689">
        <w:rPr>
          <w:rFonts w:eastAsia="Times New Roman"/>
          <w:bCs/>
          <w:sz w:val="20"/>
          <w:szCs w:val="20"/>
        </w:rPr>
        <w:t xml:space="preserve">. </w:t>
      </w:r>
    </w:p>
    <w:p w14:paraId="10D81EC4" w14:textId="4D5C7C49" w:rsidR="00643169" w:rsidRDefault="00300E62">
      <w:pPr>
        <w:shd w:val="clear" w:color="auto" w:fill="FFFFFF"/>
        <w:spacing w:before="240" w:after="240" w:line="480" w:lineRule="auto"/>
        <w:ind w:right="220"/>
        <w:jc w:val="both"/>
        <w:rPr>
          <w:bCs/>
          <w:sz w:val="20"/>
          <w:szCs w:val="20"/>
        </w:rPr>
      </w:pPr>
      <w:r w:rsidRPr="00600FC3">
        <w:rPr>
          <w:bCs/>
          <w:sz w:val="20"/>
          <w:szCs w:val="20"/>
        </w:rPr>
        <w:t xml:space="preserve">In terms of diet, the Eatwell Guide shows the quantity of foods that are needed to be taken to have a balanced diet. Based on advice from </w:t>
      </w:r>
      <w:r w:rsidR="00AB16A7" w:rsidRPr="00600FC3">
        <w:rPr>
          <w:bCs/>
          <w:sz w:val="20"/>
          <w:szCs w:val="20"/>
        </w:rPr>
        <w:t>WHO</w:t>
      </w:r>
      <w:r w:rsidRPr="00600FC3">
        <w:rPr>
          <w:bCs/>
          <w:sz w:val="20"/>
          <w:szCs w:val="20"/>
        </w:rPr>
        <w:t xml:space="preserve">, 5 A Day campaign which includes 5 fruits and vegetables per day with one portion of 80g was launched to have more vitamins, minerals and fiber in diet to reduce the risk of diseases. Furthermore, nutrition labels help the consumers to choose between foods to have a better diet. </w:t>
      </w:r>
      <w:r w:rsidRPr="00600FC3">
        <w:rPr>
          <w:sz w:val="20"/>
          <w:szCs w:val="20"/>
        </w:rPr>
        <w:t xml:space="preserve">Red, amber and green </w:t>
      </w:r>
      <w:proofErr w:type="spellStart"/>
      <w:r w:rsidRPr="00600FC3">
        <w:rPr>
          <w:sz w:val="20"/>
          <w:szCs w:val="20"/>
        </w:rPr>
        <w:t>colour</w:t>
      </w:r>
      <w:proofErr w:type="spellEnd"/>
      <w:r w:rsidRPr="00600FC3">
        <w:rPr>
          <w:sz w:val="20"/>
          <w:szCs w:val="20"/>
        </w:rPr>
        <w:t xml:space="preserve"> coding indicates whether the food product is having low, medium or high amounts of fat, saturated fat, sugar and salt </w:t>
      </w:r>
      <w:r w:rsidRPr="00600FC3">
        <w:rPr>
          <w:bCs/>
          <w:sz w:val="20"/>
          <w:szCs w:val="20"/>
        </w:rPr>
        <w:t>(</w:t>
      </w:r>
      <w:r w:rsidR="00324D10" w:rsidRPr="00600FC3">
        <w:rPr>
          <w:bCs/>
          <w:sz w:val="20"/>
          <w:szCs w:val="20"/>
        </w:rPr>
        <w:t>NHS</w:t>
      </w:r>
      <w:r w:rsidRPr="00600FC3">
        <w:rPr>
          <w:bCs/>
          <w:sz w:val="20"/>
          <w:szCs w:val="20"/>
        </w:rPr>
        <w:t>, 2022</w:t>
      </w:r>
      <w:r w:rsidR="00256157" w:rsidRPr="00600FC3">
        <w:rPr>
          <w:bCs/>
          <w:sz w:val="20"/>
          <w:szCs w:val="20"/>
        </w:rPr>
        <w:t>a</w:t>
      </w:r>
      <w:r w:rsidRPr="00600FC3">
        <w:rPr>
          <w:bCs/>
          <w:sz w:val="20"/>
          <w:szCs w:val="20"/>
        </w:rPr>
        <w:t>).</w:t>
      </w:r>
      <w:r w:rsidR="000673E7" w:rsidRPr="00600FC3">
        <w:rPr>
          <w:bCs/>
          <w:sz w:val="20"/>
          <w:szCs w:val="20"/>
        </w:rPr>
        <w:t xml:space="preserve"> Nonetheless, the ability to </w:t>
      </w:r>
      <w:r w:rsidR="00B33D62" w:rsidRPr="00600FC3">
        <w:rPr>
          <w:bCs/>
          <w:sz w:val="20"/>
          <w:szCs w:val="20"/>
        </w:rPr>
        <w:t xml:space="preserve">adhere to </w:t>
      </w:r>
      <w:r w:rsidR="000673E7" w:rsidRPr="00600FC3">
        <w:rPr>
          <w:bCs/>
          <w:sz w:val="20"/>
          <w:szCs w:val="20"/>
        </w:rPr>
        <w:t xml:space="preserve">government’s recommended diet may be constrained by deprivation. </w:t>
      </w:r>
      <w:r w:rsidR="001573CE" w:rsidRPr="00600FC3">
        <w:rPr>
          <w:bCs/>
          <w:sz w:val="20"/>
          <w:szCs w:val="20"/>
        </w:rPr>
        <w:t>Due to the r</w:t>
      </w:r>
      <w:r w:rsidR="00B33D62" w:rsidRPr="00600FC3">
        <w:rPr>
          <w:bCs/>
          <w:sz w:val="20"/>
          <w:szCs w:val="20"/>
        </w:rPr>
        <w:t>ising inflation in the UK</w:t>
      </w:r>
      <w:r w:rsidR="001573CE" w:rsidRPr="00600FC3">
        <w:rPr>
          <w:bCs/>
          <w:sz w:val="20"/>
          <w:szCs w:val="20"/>
        </w:rPr>
        <w:t>,</w:t>
      </w:r>
      <w:r w:rsidR="00B33D62" w:rsidRPr="00600FC3">
        <w:rPr>
          <w:bCs/>
          <w:sz w:val="20"/>
          <w:szCs w:val="20"/>
        </w:rPr>
        <w:t xml:space="preserve"> </w:t>
      </w:r>
      <w:r w:rsidR="001573CE" w:rsidRPr="00600FC3">
        <w:rPr>
          <w:bCs/>
          <w:sz w:val="20"/>
          <w:szCs w:val="20"/>
        </w:rPr>
        <w:t xml:space="preserve">the cost of food and non-alcoholic </w:t>
      </w:r>
      <w:r w:rsidR="000673E7" w:rsidRPr="00600FC3">
        <w:rPr>
          <w:bCs/>
          <w:sz w:val="20"/>
          <w:szCs w:val="20"/>
        </w:rPr>
        <w:t>beverages</w:t>
      </w:r>
      <w:r w:rsidR="001573CE" w:rsidRPr="00600FC3">
        <w:rPr>
          <w:bCs/>
          <w:sz w:val="20"/>
          <w:szCs w:val="20"/>
        </w:rPr>
        <w:t xml:space="preserve"> has increased. Consequently, the deprived population has a greater reliance on low priced, processed food while poorly consuming nutritious food. </w:t>
      </w:r>
      <w:r w:rsidR="000673E7" w:rsidRPr="00600FC3">
        <w:rPr>
          <w:bCs/>
          <w:sz w:val="20"/>
          <w:szCs w:val="20"/>
        </w:rPr>
        <w:t xml:space="preserve">This points out deprivation as a decisive factor </w:t>
      </w:r>
      <w:r w:rsidR="00B33D62" w:rsidRPr="00600FC3">
        <w:rPr>
          <w:bCs/>
          <w:sz w:val="20"/>
          <w:szCs w:val="20"/>
        </w:rPr>
        <w:t xml:space="preserve">for </w:t>
      </w:r>
      <w:r w:rsidR="000673E7" w:rsidRPr="00600FC3">
        <w:rPr>
          <w:bCs/>
          <w:sz w:val="20"/>
          <w:szCs w:val="20"/>
        </w:rPr>
        <w:t xml:space="preserve">dementia management </w:t>
      </w:r>
      <w:r w:rsidR="00B33D62" w:rsidRPr="00600FC3">
        <w:rPr>
          <w:bCs/>
          <w:sz w:val="20"/>
          <w:szCs w:val="20"/>
        </w:rPr>
        <w:t>(</w:t>
      </w:r>
      <w:r w:rsidR="00600FC3" w:rsidRPr="00600FC3">
        <w:rPr>
          <w:bCs/>
          <w:sz w:val="20"/>
          <w:szCs w:val="20"/>
        </w:rPr>
        <w:t>T</w:t>
      </w:r>
      <w:r w:rsidR="00424EEE" w:rsidRPr="00600FC3">
        <w:rPr>
          <w:bCs/>
          <w:sz w:val="20"/>
          <w:szCs w:val="20"/>
        </w:rPr>
        <w:t xml:space="preserve">he Lancet </w:t>
      </w:r>
      <w:r w:rsidR="00600FC3" w:rsidRPr="00600FC3">
        <w:rPr>
          <w:bCs/>
          <w:sz w:val="20"/>
          <w:szCs w:val="20"/>
        </w:rPr>
        <w:t xml:space="preserve">Gastroenterology &amp; Hepatology, </w:t>
      </w:r>
      <w:r w:rsidR="00B33D62" w:rsidRPr="00600FC3">
        <w:rPr>
          <w:bCs/>
          <w:sz w:val="20"/>
          <w:szCs w:val="20"/>
        </w:rPr>
        <w:t>2022).</w:t>
      </w:r>
      <w:r w:rsidR="00B33D62">
        <w:rPr>
          <w:bCs/>
          <w:sz w:val="20"/>
          <w:szCs w:val="20"/>
        </w:rPr>
        <w:t xml:space="preserve"> </w:t>
      </w:r>
    </w:p>
    <w:p w14:paraId="00000035" w14:textId="02D806EE" w:rsidR="00964328" w:rsidRDefault="00700D69">
      <w:pPr>
        <w:shd w:val="clear" w:color="auto" w:fill="FFFFFF"/>
        <w:spacing w:before="240" w:after="240" w:line="480" w:lineRule="auto"/>
        <w:ind w:right="220"/>
        <w:jc w:val="both"/>
        <w:rPr>
          <w:bCs/>
          <w:sz w:val="20"/>
          <w:szCs w:val="20"/>
        </w:rPr>
      </w:pPr>
      <w:r w:rsidRPr="00866DF7">
        <w:rPr>
          <w:bCs/>
          <w:sz w:val="20"/>
          <w:szCs w:val="20"/>
        </w:rPr>
        <w:t>The Royal Society for Public Health (2021) announced the public health achievements in the United Kingdom from 2001 to 2020. It included interventions related to smoking, alcoholism</w:t>
      </w:r>
      <w:r>
        <w:rPr>
          <w:bCs/>
          <w:sz w:val="20"/>
          <w:szCs w:val="20"/>
        </w:rPr>
        <w:t xml:space="preserve"> and</w:t>
      </w:r>
      <w:r w:rsidRPr="00866DF7">
        <w:rPr>
          <w:bCs/>
          <w:sz w:val="20"/>
          <w:szCs w:val="20"/>
        </w:rPr>
        <w:t xml:space="preserve"> high sugar drinks, which are social determinants of dementia.</w:t>
      </w:r>
      <w:r>
        <w:rPr>
          <w:bCs/>
          <w:sz w:val="20"/>
          <w:szCs w:val="20"/>
        </w:rPr>
        <w:t xml:space="preserve"> </w:t>
      </w:r>
      <w:r w:rsidR="0088716A">
        <w:rPr>
          <w:bCs/>
          <w:sz w:val="20"/>
          <w:szCs w:val="20"/>
        </w:rPr>
        <w:t xml:space="preserve">Building on these interventions, NHS continues to expand health promotion which also contributes to dementia prevention. </w:t>
      </w:r>
      <w:r w:rsidR="00300E62" w:rsidRPr="00866DF7">
        <w:rPr>
          <w:bCs/>
          <w:sz w:val="20"/>
          <w:szCs w:val="20"/>
        </w:rPr>
        <w:t>NHS offers stop smoking services to people who are addicted in smoking. The service includes one-to-one and group sessions with expert advisers and nicotine replacement therapies (</w:t>
      </w:r>
      <w:r w:rsidR="00324D10" w:rsidRPr="00866DF7">
        <w:rPr>
          <w:bCs/>
          <w:sz w:val="20"/>
          <w:szCs w:val="20"/>
        </w:rPr>
        <w:t>NHS</w:t>
      </w:r>
      <w:r w:rsidR="00300E62" w:rsidRPr="00866DF7">
        <w:rPr>
          <w:bCs/>
          <w:sz w:val="20"/>
          <w:szCs w:val="20"/>
        </w:rPr>
        <w:t>, 2022</w:t>
      </w:r>
      <w:r w:rsidR="00256157" w:rsidRPr="00866DF7">
        <w:rPr>
          <w:bCs/>
          <w:sz w:val="20"/>
          <w:szCs w:val="20"/>
        </w:rPr>
        <w:t>c</w:t>
      </w:r>
      <w:r w:rsidR="00300E62" w:rsidRPr="00866DF7">
        <w:rPr>
          <w:bCs/>
          <w:sz w:val="20"/>
          <w:szCs w:val="20"/>
        </w:rPr>
        <w:t xml:space="preserve">). As a part of Better Health campaign, NHS utilizes technology to tackle obesity, quit smoking, increase physical activity level and to minimize alcohol consumption by introducing apps named as NHS Weight Loss Plan, NHS Quit </w:t>
      </w:r>
      <w:r w:rsidR="00300E62" w:rsidRPr="00866DF7">
        <w:rPr>
          <w:bCs/>
          <w:sz w:val="20"/>
          <w:szCs w:val="20"/>
        </w:rPr>
        <w:lastRenderedPageBreak/>
        <w:t>Smoking, Couch To 5K and Drink Free Days respectively (</w:t>
      </w:r>
      <w:r w:rsidR="00324D10" w:rsidRPr="00866DF7">
        <w:rPr>
          <w:bCs/>
          <w:sz w:val="20"/>
          <w:szCs w:val="20"/>
        </w:rPr>
        <w:t>NHS</w:t>
      </w:r>
      <w:r w:rsidR="00300E62" w:rsidRPr="00866DF7">
        <w:rPr>
          <w:bCs/>
          <w:sz w:val="20"/>
          <w:szCs w:val="20"/>
        </w:rPr>
        <w:t>, 2022</w:t>
      </w:r>
      <w:r w:rsidR="00256157" w:rsidRPr="00866DF7">
        <w:rPr>
          <w:bCs/>
          <w:sz w:val="20"/>
          <w:szCs w:val="20"/>
        </w:rPr>
        <w:t>b</w:t>
      </w:r>
      <w:r w:rsidR="00300E62" w:rsidRPr="00866DF7">
        <w:rPr>
          <w:bCs/>
          <w:sz w:val="20"/>
          <w:szCs w:val="20"/>
        </w:rPr>
        <w:t>). Another technological use is the NHS Digital W</w:t>
      </w:r>
      <w:r w:rsidR="00256157" w:rsidRPr="00866DF7">
        <w:rPr>
          <w:bCs/>
          <w:sz w:val="20"/>
          <w:szCs w:val="20"/>
        </w:rPr>
        <w:t xml:space="preserve">eight Management </w:t>
      </w:r>
      <w:proofErr w:type="spellStart"/>
      <w:r w:rsidR="00256157" w:rsidRPr="00866DF7">
        <w:rPr>
          <w:bCs/>
          <w:sz w:val="20"/>
          <w:szCs w:val="20"/>
        </w:rPr>
        <w:t>Programme</w:t>
      </w:r>
      <w:proofErr w:type="spellEnd"/>
      <w:r w:rsidR="00256157" w:rsidRPr="00866DF7">
        <w:rPr>
          <w:bCs/>
          <w:sz w:val="20"/>
          <w:szCs w:val="20"/>
        </w:rPr>
        <w:t xml:space="preserve"> whi</w:t>
      </w:r>
      <w:r w:rsidR="00300E62" w:rsidRPr="00866DF7">
        <w:rPr>
          <w:bCs/>
          <w:sz w:val="20"/>
          <w:szCs w:val="20"/>
        </w:rPr>
        <w:t xml:space="preserve">ch is a free online </w:t>
      </w:r>
      <w:proofErr w:type="spellStart"/>
      <w:r w:rsidR="00300E62" w:rsidRPr="00866DF7">
        <w:rPr>
          <w:bCs/>
          <w:sz w:val="20"/>
          <w:szCs w:val="20"/>
        </w:rPr>
        <w:t>programme</w:t>
      </w:r>
      <w:proofErr w:type="spellEnd"/>
      <w:r w:rsidR="00300E62" w:rsidRPr="00866DF7">
        <w:rPr>
          <w:bCs/>
          <w:sz w:val="20"/>
          <w:szCs w:val="20"/>
        </w:rPr>
        <w:t xml:space="preserve"> for people with obesity, who also have hypertension, diabetes or both to improve their health and manage weight (</w:t>
      </w:r>
      <w:r w:rsidR="00324D10" w:rsidRPr="00866DF7">
        <w:rPr>
          <w:bCs/>
          <w:sz w:val="20"/>
          <w:szCs w:val="20"/>
        </w:rPr>
        <w:t>NHS</w:t>
      </w:r>
      <w:r w:rsidR="00300E62" w:rsidRPr="00866DF7">
        <w:rPr>
          <w:bCs/>
          <w:sz w:val="20"/>
          <w:szCs w:val="20"/>
        </w:rPr>
        <w:t>, 2021).</w:t>
      </w:r>
      <w:r w:rsidR="0082325B">
        <w:rPr>
          <w:bCs/>
          <w:sz w:val="20"/>
          <w:szCs w:val="20"/>
        </w:rPr>
        <w:t xml:space="preserve"> </w:t>
      </w:r>
    </w:p>
    <w:p w14:paraId="0045FA7B" w14:textId="605E94BD" w:rsidR="0082325B" w:rsidRPr="00866DF7" w:rsidRDefault="00715595">
      <w:pPr>
        <w:shd w:val="clear" w:color="auto" w:fill="FFFFFF"/>
        <w:spacing w:before="240" w:after="240" w:line="480" w:lineRule="auto"/>
        <w:ind w:right="220"/>
        <w:jc w:val="both"/>
        <w:rPr>
          <w:bCs/>
          <w:sz w:val="20"/>
          <w:szCs w:val="20"/>
        </w:rPr>
      </w:pPr>
      <w:r w:rsidRPr="00600FC3">
        <w:rPr>
          <w:bCs/>
          <w:sz w:val="20"/>
          <w:szCs w:val="20"/>
        </w:rPr>
        <w:t xml:space="preserve">These strategies demonstrate the use of technology for health promotion. However, the effectiveness may be limited by the persistent inequalities </w:t>
      </w:r>
      <w:r w:rsidR="00754D30" w:rsidRPr="00600FC3">
        <w:rPr>
          <w:bCs/>
          <w:sz w:val="20"/>
          <w:szCs w:val="20"/>
        </w:rPr>
        <w:t xml:space="preserve">within </w:t>
      </w:r>
      <w:r w:rsidRPr="00600FC3">
        <w:rPr>
          <w:bCs/>
          <w:sz w:val="20"/>
          <w:szCs w:val="20"/>
        </w:rPr>
        <w:t>the population. NHS (2023</w:t>
      </w:r>
      <w:r w:rsidR="00600FC3" w:rsidRPr="00600FC3">
        <w:rPr>
          <w:bCs/>
          <w:sz w:val="20"/>
          <w:szCs w:val="20"/>
        </w:rPr>
        <w:t>b</w:t>
      </w:r>
      <w:r w:rsidRPr="00600FC3">
        <w:rPr>
          <w:bCs/>
          <w:sz w:val="20"/>
          <w:szCs w:val="20"/>
        </w:rPr>
        <w:t xml:space="preserve">) reports </w:t>
      </w:r>
      <w:r w:rsidR="00754D30" w:rsidRPr="00600FC3">
        <w:rPr>
          <w:bCs/>
          <w:sz w:val="20"/>
          <w:szCs w:val="20"/>
        </w:rPr>
        <w:t xml:space="preserve">that around 7% households lack home internet access, approximately one million people have cancelled their home broadband services due to high living cost and around ten million people lack the basic digital skills.  </w:t>
      </w:r>
      <w:r w:rsidRPr="00600FC3">
        <w:rPr>
          <w:bCs/>
          <w:sz w:val="20"/>
          <w:szCs w:val="20"/>
        </w:rPr>
        <w:t xml:space="preserve">This indicates the need of </w:t>
      </w:r>
      <w:r w:rsidR="00754D30" w:rsidRPr="00600FC3">
        <w:rPr>
          <w:bCs/>
          <w:sz w:val="20"/>
          <w:szCs w:val="20"/>
        </w:rPr>
        <w:t xml:space="preserve">improving digital health literacy </w:t>
      </w:r>
      <w:r w:rsidRPr="00600FC3">
        <w:rPr>
          <w:bCs/>
          <w:sz w:val="20"/>
          <w:szCs w:val="20"/>
        </w:rPr>
        <w:t>as well as increas</w:t>
      </w:r>
      <w:r w:rsidR="00754D30" w:rsidRPr="00600FC3">
        <w:rPr>
          <w:bCs/>
          <w:sz w:val="20"/>
          <w:szCs w:val="20"/>
        </w:rPr>
        <w:t xml:space="preserve">ing </w:t>
      </w:r>
      <w:r w:rsidRPr="00600FC3">
        <w:rPr>
          <w:bCs/>
          <w:sz w:val="20"/>
          <w:szCs w:val="20"/>
        </w:rPr>
        <w:t xml:space="preserve">access to non-digital interventions especially among the vulnerable groups without </w:t>
      </w:r>
      <w:r w:rsidR="00754D30" w:rsidRPr="00600FC3">
        <w:rPr>
          <w:bCs/>
          <w:sz w:val="20"/>
          <w:szCs w:val="20"/>
        </w:rPr>
        <w:t xml:space="preserve">the reliance </w:t>
      </w:r>
      <w:r w:rsidRPr="00600FC3">
        <w:rPr>
          <w:bCs/>
          <w:sz w:val="20"/>
          <w:szCs w:val="20"/>
        </w:rPr>
        <w:t>on the digital interventions which may unintentionally widen the existing health inequalities</w:t>
      </w:r>
      <w:r w:rsidR="00600FC3" w:rsidRPr="00600FC3">
        <w:rPr>
          <w:bCs/>
          <w:sz w:val="20"/>
          <w:szCs w:val="20"/>
        </w:rPr>
        <w:t>.</w:t>
      </w:r>
    </w:p>
    <w:p w14:paraId="5552B556" w14:textId="01803B7A" w:rsidR="00374268" w:rsidRPr="0088716A" w:rsidRDefault="00300E62">
      <w:pPr>
        <w:shd w:val="clear" w:color="auto" w:fill="FFFFFF"/>
        <w:spacing w:before="240" w:after="240" w:line="480" w:lineRule="auto"/>
        <w:ind w:right="220"/>
        <w:jc w:val="both"/>
        <w:rPr>
          <w:sz w:val="20"/>
          <w:szCs w:val="20"/>
        </w:rPr>
      </w:pPr>
      <w:r w:rsidRPr="00866DF7">
        <w:rPr>
          <w:bCs/>
          <w:sz w:val="20"/>
          <w:szCs w:val="20"/>
        </w:rPr>
        <w:t xml:space="preserve"> In 2017, as a recommendation of </w:t>
      </w:r>
      <w:r w:rsidRPr="00866DF7">
        <w:rPr>
          <w:sz w:val="20"/>
          <w:szCs w:val="20"/>
        </w:rPr>
        <w:t>the ‘</w:t>
      </w:r>
      <w:hyperlink r:id="rId13">
        <w:r w:rsidRPr="00866DF7">
          <w:rPr>
            <w:sz w:val="20"/>
            <w:szCs w:val="20"/>
          </w:rPr>
          <w:t>Five Year Forward View for Mental Health</w:t>
        </w:r>
      </w:hyperlink>
      <w:r w:rsidRPr="00866DF7">
        <w:rPr>
          <w:sz w:val="20"/>
          <w:szCs w:val="20"/>
        </w:rPr>
        <w:t xml:space="preserve"> and the </w:t>
      </w:r>
      <w:hyperlink r:id="rId14">
        <w:r w:rsidRPr="00866DF7">
          <w:rPr>
            <w:sz w:val="20"/>
            <w:szCs w:val="20"/>
          </w:rPr>
          <w:t>Prevention Green Paper: Advancing our health: prevention in the 2020s</w:t>
        </w:r>
      </w:hyperlink>
      <w:r w:rsidRPr="00866DF7">
        <w:rPr>
          <w:sz w:val="20"/>
          <w:szCs w:val="20"/>
        </w:rPr>
        <w:t xml:space="preserve">’, </w:t>
      </w:r>
      <w:bookmarkStart w:id="0" w:name="_Hlk229349976"/>
      <w:r w:rsidRPr="00866DF7">
        <w:rPr>
          <w:sz w:val="20"/>
          <w:szCs w:val="20"/>
        </w:rPr>
        <w:t xml:space="preserve">Prevention Concordat for Better Mental Health </w:t>
      </w:r>
      <w:bookmarkEnd w:id="0"/>
      <w:r w:rsidRPr="00866DF7">
        <w:rPr>
          <w:sz w:val="20"/>
          <w:szCs w:val="20"/>
        </w:rPr>
        <w:t>was launched to improve mental health of the public with the consideration of the wider determinants of mental health. The integrated care systems, local authorities, voluntary and community organizations, NHS, justice systems, employers and educational settings have signed to commit to deliver the approaches (</w:t>
      </w:r>
      <w:r w:rsidR="00AB16A7" w:rsidRPr="00866DF7">
        <w:rPr>
          <w:sz w:val="20"/>
          <w:szCs w:val="20"/>
        </w:rPr>
        <w:t>OHID</w:t>
      </w:r>
      <w:r w:rsidRPr="00866DF7">
        <w:rPr>
          <w:sz w:val="20"/>
          <w:szCs w:val="20"/>
        </w:rPr>
        <w:t>, 2023</w:t>
      </w:r>
      <w:r w:rsidR="00A84615" w:rsidRPr="00866DF7">
        <w:rPr>
          <w:sz w:val="20"/>
          <w:szCs w:val="20"/>
        </w:rPr>
        <w:t>b</w:t>
      </w:r>
      <w:r w:rsidRPr="00866DF7">
        <w:rPr>
          <w:sz w:val="20"/>
          <w:szCs w:val="20"/>
        </w:rPr>
        <w:t xml:space="preserve">). </w:t>
      </w:r>
      <w:r w:rsidR="00AB16A7" w:rsidRPr="00866DF7">
        <w:rPr>
          <w:sz w:val="20"/>
          <w:szCs w:val="20"/>
        </w:rPr>
        <w:t xml:space="preserve">OHID </w:t>
      </w:r>
      <w:r w:rsidRPr="00866DF7">
        <w:rPr>
          <w:sz w:val="20"/>
          <w:szCs w:val="20"/>
        </w:rPr>
        <w:t>(2023</w:t>
      </w:r>
      <w:r w:rsidR="00A84615" w:rsidRPr="00866DF7">
        <w:rPr>
          <w:sz w:val="20"/>
          <w:szCs w:val="20"/>
        </w:rPr>
        <w:t>a</w:t>
      </w:r>
      <w:r w:rsidRPr="00866DF7">
        <w:rPr>
          <w:sz w:val="20"/>
          <w:szCs w:val="20"/>
        </w:rPr>
        <w:t>) developed a consensus statement on healthy ageing, in collaboration with the Centre for Ageing Better and other 120 organizations to make England the best country of the world for ageing.</w:t>
      </w:r>
      <w:r w:rsidR="003B493F">
        <w:rPr>
          <w:sz w:val="20"/>
          <w:szCs w:val="20"/>
        </w:rPr>
        <w:t xml:space="preserve"> Despite the </w:t>
      </w:r>
      <w:r w:rsidR="00607344">
        <w:rPr>
          <w:sz w:val="20"/>
          <w:szCs w:val="20"/>
        </w:rPr>
        <w:t xml:space="preserve">integrated </w:t>
      </w:r>
      <w:r w:rsidR="003B493F">
        <w:rPr>
          <w:sz w:val="20"/>
          <w:szCs w:val="20"/>
        </w:rPr>
        <w:t xml:space="preserve">approach, poor </w:t>
      </w:r>
      <w:r w:rsidR="00357D72">
        <w:rPr>
          <w:sz w:val="20"/>
          <w:szCs w:val="20"/>
        </w:rPr>
        <w:t xml:space="preserve">cross-governance </w:t>
      </w:r>
      <w:r w:rsidR="003B493F">
        <w:rPr>
          <w:sz w:val="20"/>
          <w:szCs w:val="20"/>
        </w:rPr>
        <w:t>may act as an implementation barrier</w:t>
      </w:r>
      <w:r w:rsidR="00E411A6">
        <w:rPr>
          <w:sz w:val="20"/>
          <w:szCs w:val="20"/>
        </w:rPr>
        <w:t xml:space="preserve">. </w:t>
      </w:r>
      <w:r w:rsidR="00357D72">
        <w:rPr>
          <w:sz w:val="20"/>
          <w:szCs w:val="20"/>
        </w:rPr>
        <w:t xml:space="preserve">A policy paper by the </w:t>
      </w:r>
      <w:r w:rsidR="00607344">
        <w:rPr>
          <w:sz w:val="20"/>
          <w:szCs w:val="20"/>
        </w:rPr>
        <w:t>C</w:t>
      </w:r>
      <w:r w:rsidR="00357D72">
        <w:rPr>
          <w:sz w:val="20"/>
          <w:szCs w:val="20"/>
        </w:rPr>
        <w:t xml:space="preserve">abinet </w:t>
      </w:r>
      <w:r w:rsidR="00607344">
        <w:rPr>
          <w:sz w:val="20"/>
          <w:szCs w:val="20"/>
        </w:rPr>
        <w:t>O</w:t>
      </w:r>
      <w:r w:rsidR="00357D72">
        <w:rPr>
          <w:sz w:val="20"/>
          <w:szCs w:val="20"/>
        </w:rPr>
        <w:t xml:space="preserve">ffice (2020) emphasizes the poor coordination between departments as well as between departments and public bodies. Consequently, although partnerships are signed between organizations and the government, the progress may hinder </w:t>
      </w:r>
      <w:r w:rsidR="00607344">
        <w:rPr>
          <w:sz w:val="20"/>
          <w:szCs w:val="20"/>
        </w:rPr>
        <w:t>by the poor working systems.</w:t>
      </w:r>
    </w:p>
    <w:p w14:paraId="00000038" w14:textId="12848E47" w:rsidR="00964328" w:rsidRPr="00866DF7" w:rsidRDefault="00DC7AE4">
      <w:pPr>
        <w:shd w:val="clear" w:color="auto" w:fill="FFFFFF"/>
        <w:spacing w:before="240" w:after="240" w:line="480" w:lineRule="auto"/>
        <w:ind w:right="220"/>
        <w:jc w:val="both"/>
        <w:rPr>
          <w:b/>
          <w:bCs/>
        </w:rPr>
      </w:pPr>
      <w:r>
        <w:rPr>
          <w:b/>
          <w:bCs/>
        </w:rPr>
        <w:t>4</w:t>
      </w:r>
      <w:r w:rsidR="003B1935" w:rsidRPr="00866DF7">
        <w:rPr>
          <w:b/>
          <w:bCs/>
        </w:rPr>
        <w:t>.3 Healthcare services</w:t>
      </w:r>
    </w:p>
    <w:p w14:paraId="53040507" w14:textId="6F322519" w:rsidR="00F12A41" w:rsidRPr="004B3C1E" w:rsidRDefault="00300E62" w:rsidP="004B3C1E">
      <w:pPr>
        <w:shd w:val="clear" w:color="auto" w:fill="FFFFFF"/>
        <w:spacing w:before="240" w:after="240" w:line="480" w:lineRule="auto"/>
        <w:ind w:right="220"/>
        <w:jc w:val="both"/>
        <w:rPr>
          <w:i/>
          <w:iCs/>
          <w:sz w:val="20"/>
        </w:rPr>
      </w:pPr>
      <w:r w:rsidRPr="001541DD">
        <w:rPr>
          <w:sz w:val="20"/>
        </w:rPr>
        <w:t xml:space="preserve">In terms of dementia, healthcare services are provided by the NHS, while personal and social care is provided by social care services. NHS Continuing Healthcare is a package of care outside the hospital </w:t>
      </w:r>
      <w:r w:rsidRPr="001541DD">
        <w:rPr>
          <w:sz w:val="20"/>
        </w:rPr>
        <w:lastRenderedPageBreak/>
        <w:t>such as care homes and own homes for people who require specialized nursing. In addition, NHS announced the Well Pathway for Dementia; an evidence-based procedure for dementia to increase access to services, timely accurate diagnosis and access to high quality health and social care support. Similarly, National Institute for Health and Care Excellence also published guidelines on prevention, diagnosis and management of dementia for a better practice (House of Common Library, 2021). Health Education England (2021) introduced an e-learning platform named as ‘The Dementia Education and Learning Through Simulation 2’ for the staff working with dementia patients to improve person-centered care.</w:t>
      </w:r>
      <w:r w:rsidR="009347D6" w:rsidRPr="001541DD">
        <w:rPr>
          <w:sz w:val="20"/>
        </w:rPr>
        <w:t xml:space="preserve"> Despite </w:t>
      </w:r>
      <w:r w:rsidR="004B3C1E" w:rsidRPr="001541DD">
        <w:rPr>
          <w:sz w:val="20"/>
        </w:rPr>
        <w:t xml:space="preserve">the fact that </w:t>
      </w:r>
      <w:r w:rsidR="009347D6" w:rsidRPr="001541DD">
        <w:rPr>
          <w:sz w:val="20"/>
        </w:rPr>
        <w:t xml:space="preserve">the </w:t>
      </w:r>
      <w:r w:rsidR="00C668D5" w:rsidRPr="001541DD">
        <w:rPr>
          <w:sz w:val="20"/>
        </w:rPr>
        <w:t xml:space="preserve">above </w:t>
      </w:r>
      <w:r w:rsidR="009347D6" w:rsidRPr="001541DD">
        <w:rPr>
          <w:sz w:val="20"/>
        </w:rPr>
        <w:t xml:space="preserve">strategies </w:t>
      </w:r>
      <w:r w:rsidR="00C668D5" w:rsidRPr="001541DD">
        <w:rPr>
          <w:sz w:val="20"/>
        </w:rPr>
        <w:t xml:space="preserve">aim </w:t>
      </w:r>
      <w:r w:rsidR="009347D6" w:rsidRPr="001541DD">
        <w:rPr>
          <w:sz w:val="20"/>
        </w:rPr>
        <w:t>to provide a</w:t>
      </w:r>
      <w:r w:rsidR="004B3C1E" w:rsidRPr="001541DD">
        <w:rPr>
          <w:sz w:val="20"/>
        </w:rPr>
        <w:t xml:space="preserve"> high-quality </w:t>
      </w:r>
      <w:r w:rsidR="009347D6" w:rsidRPr="001541DD">
        <w:rPr>
          <w:sz w:val="20"/>
        </w:rPr>
        <w:t xml:space="preserve">service for the dementia patients, </w:t>
      </w:r>
      <w:r w:rsidR="00C668D5" w:rsidRPr="001541DD">
        <w:rPr>
          <w:sz w:val="20"/>
        </w:rPr>
        <w:t>its application may be limited by the workforce shortages. A recent study reveals that the NHS is short of both clinical and non-clinical staff (Dixon-Woods</w:t>
      </w:r>
      <w:r w:rsidR="001541DD" w:rsidRPr="001541DD">
        <w:rPr>
          <w:sz w:val="20"/>
        </w:rPr>
        <w:t xml:space="preserve"> &amp;</w:t>
      </w:r>
      <w:r w:rsidR="00C668D5" w:rsidRPr="001541DD">
        <w:rPr>
          <w:sz w:val="20"/>
        </w:rPr>
        <w:t xml:space="preserve"> Morgan</w:t>
      </w:r>
      <w:r w:rsidR="001541DD" w:rsidRPr="001541DD">
        <w:rPr>
          <w:sz w:val="20"/>
        </w:rPr>
        <w:t>,</w:t>
      </w:r>
      <w:r w:rsidR="00C668D5" w:rsidRPr="001541DD">
        <w:rPr>
          <w:sz w:val="20"/>
        </w:rPr>
        <w:t xml:space="preserve"> 2024).</w:t>
      </w:r>
      <w:r w:rsidR="00C668D5" w:rsidRPr="001541DD">
        <w:rPr>
          <w:i/>
          <w:iCs/>
          <w:sz w:val="20"/>
        </w:rPr>
        <w:t xml:space="preserve"> </w:t>
      </w:r>
      <w:r w:rsidR="00C668D5" w:rsidRPr="001541DD">
        <w:rPr>
          <w:sz w:val="20"/>
        </w:rPr>
        <w:t xml:space="preserve">This may </w:t>
      </w:r>
      <w:r w:rsidR="004B3C1E" w:rsidRPr="001541DD">
        <w:rPr>
          <w:sz w:val="20"/>
        </w:rPr>
        <w:t xml:space="preserve">negatively affect the </w:t>
      </w:r>
      <w:r w:rsidR="00C668D5" w:rsidRPr="001541DD">
        <w:rPr>
          <w:sz w:val="20"/>
        </w:rPr>
        <w:t xml:space="preserve">quality of care </w:t>
      </w:r>
      <w:r w:rsidR="004B3C1E" w:rsidRPr="001541DD">
        <w:rPr>
          <w:sz w:val="20"/>
        </w:rPr>
        <w:t>as well as the staff wellbeing. Significantly, providing a high-quality care for dementia patients is important, but there is a need to have a sustainable plan to strengthen the workforce to deliver the services.</w:t>
      </w:r>
      <w:r w:rsidR="004B3C1E">
        <w:rPr>
          <w:sz w:val="20"/>
        </w:rPr>
        <w:t xml:space="preserve"> </w:t>
      </w:r>
    </w:p>
    <w:p w14:paraId="0DEAE012" w14:textId="72121778" w:rsidR="00D7615B" w:rsidRDefault="00892B81">
      <w:pPr>
        <w:shd w:val="clear" w:color="auto" w:fill="FFFFFF"/>
        <w:spacing w:before="240" w:after="240" w:line="480" w:lineRule="auto"/>
        <w:ind w:right="220"/>
        <w:jc w:val="both"/>
        <w:rPr>
          <w:sz w:val="20"/>
        </w:rPr>
      </w:pPr>
      <w:r w:rsidRPr="00F54D8C">
        <w:rPr>
          <w:sz w:val="20"/>
        </w:rPr>
        <w:t xml:space="preserve">Unlike </w:t>
      </w:r>
      <w:r w:rsidR="005C19D8" w:rsidRPr="00F54D8C">
        <w:rPr>
          <w:sz w:val="20"/>
        </w:rPr>
        <w:t xml:space="preserve">the </w:t>
      </w:r>
      <w:r w:rsidRPr="00F54D8C">
        <w:rPr>
          <w:sz w:val="20"/>
        </w:rPr>
        <w:t xml:space="preserve">other diseases, currently there are no screening tests available for dementia and the patient </w:t>
      </w:r>
      <w:r w:rsidR="005C19D8" w:rsidRPr="00F54D8C">
        <w:rPr>
          <w:sz w:val="20"/>
        </w:rPr>
        <w:t xml:space="preserve">examination </w:t>
      </w:r>
      <w:r w:rsidRPr="00F54D8C">
        <w:rPr>
          <w:sz w:val="20"/>
        </w:rPr>
        <w:t xml:space="preserve">is </w:t>
      </w:r>
      <w:r w:rsidR="005C19D8" w:rsidRPr="00F54D8C">
        <w:rPr>
          <w:sz w:val="20"/>
        </w:rPr>
        <w:t xml:space="preserve">conducted </w:t>
      </w:r>
      <w:r w:rsidRPr="00F54D8C">
        <w:rPr>
          <w:sz w:val="20"/>
        </w:rPr>
        <w:t>using the range of memory assessments and tests</w:t>
      </w:r>
      <w:r w:rsidR="005C19D8" w:rsidRPr="00F54D8C">
        <w:rPr>
          <w:sz w:val="20"/>
        </w:rPr>
        <w:t xml:space="preserve"> which assess mental abilities such as concentration, communication, orientation and short- and long-term memory (NHS, 2023</w:t>
      </w:r>
      <w:r w:rsidR="00600FC3" w:rsidRPr="00F54D8C">
        <w:rPr>
          <w:sz w:val="20"/>
        </w:rPr>
        <w:t>c</w:t>
      </w:r>
      <w:r w:rsidR="005C19D8" w:rsidRPr="00F54D8C">
        <w:rPr>
          <w:sz w:val="20"/>
        </w:rPr>
        <w:t xml:space="preserve">). </w:t>
      </w:r>
      <w:r w:rsidR="00BA2D40" w:rsidRPr="00F54D8C">
        <w:rPr>
          <w:sz w:val="20"/>
        </w:rPr>
        <w:t>C</w:t>
      </w:r>
      <w:r w:rsidR="005C19D8" w:rsidRPr="00F54D8C">
        <w:rPr>
          <w:sz w:val="20"/>
        </w:rPr>
        <w:t>onsequently</w:t>
      </w:r>
      <w:r w:rsidR="00BA2D40" w:rsidRPr="00F54D8C">
        <w:rPr>
          <w:sz w:val="20"/>
        </w:rPr>
        <w:t xml:space="preserve">, absence of screening tests may contribute to delays in early detection and timely intervention. This indicates the need for a better research involvement in discovering screening tests as well as treatments. Evidence indicates that </w:t>
      </w:r>
      <w:r w:rsidR="00927EC5" w:rsidRPr="00F54D8C">
        <w:rPr>
          <w:sz w:val="20"/>
        </w:rPr>
        <w:t xml:space="preserve">the </w:t>
      </w:r>
      <w:r w:rsidR="00BA2D40" w:rsidRPr="00F54D8C">
        <w:rPr>
          <w:sz w:val="20"/>
        </w:rPr>
        <w:t>UK is behind Germany and France</w:t>
      </w:r>
      <w:r w:rsidR="00DA103D" w:rsidRPr="00F54D8C">
        <w:rPr>
          <w:sz w:val="20"/>
        </w:rPr>
        <w:t xml:space="preserve"> in conducting phase III dementia trials. Moreover, the US has conducted more clinical trials </w:t>
      </w:r>
      <w:r w:rsidR="00927EC5" w:rsidRPr="00F54D8C">
        <w:rPr>
          <w:sz w:val="20"/>
        </w:rPr>
        <w:t xml:space="preserve">on dementia </w:t>
      </w:r>
      <w:r w:rsidR="00DA103D" w:rsidRPr="00F54D8C">
        <w:rPr>
          <w:sz w:val="20"/>
        </w:rPr>
        <w:t xml:space="preserve">when compared with the UK. </w:t>
      </w:r>
      <w:r w:rsidR="00927EC5" w:rsidRPr="00F54D8C">
        <w:rPr>
          <w:sz w:val="20"/>
        </w:rPr>
        <w:t xml:space="preserve">This may </w:t>
      </w:r>
      <w:r w:rsidR="008741DC" w:rsidRPr="00F54D8C">
        <w:rPr>
          <w:sz w:val="20"/>
        </w:rPr>
        <w:t xml:space="preserve">have </w:t>
      </w:r>
      <w:r w:rsidR="00927EC5" w:rsidRPr="00F54D8C">
        <w:rPr>
          <w:sz w:val="20"/>
        </w:rPr>
        <w:t xml:space="preserve">resulted from the fragmentation of the healthcare system which may contribute to the poor coordination between the clinics and the research field. </w:t>
      </w:r>
      <w:r w:rsidR="008741DC" w:rsidRPr="00F54D8C">
        <w:rPr>
          <w:sz w:val="20"/>
        </w:rPr>
        <w:t xml:space="preserve">Unawareness of the research opportunities </w:t>
      </w:r>
      <w:r w:rsidR="00927EC5" w:rsidRPr="00F54D8C">
        <w:rPr>
          <w:sz w:val="20"/>
        </w:rPr>
        <w:t xml:space="preserve">may ultimately hinder the advances of dementia research </w:t>
      </w:r>
      <w:r w:rsidR="008741DC" w:rsidRPr="00F54D8C">
        <w:rPr>
          <w:sz w:val="20"/>
        </w:rPr>
        <w:t>(</w:t>
      </w:r>
      <w:r w:rsidR="008741DC" w:rsidRPr="00F54D8C">
        <w:rPr>
          <w:rFonts w:eastAsia="Times New Roman"/>
          <w:sz w:val="20"/>
          <w:szCs w:val="20"/>
        </w:rPr>
        <w:t xml:space="preserve">Alzheimer’s Research UK, 2021). Moreover, </w:t>
      </w:r>
      <w:r w:rsidR="008741DC" w:rsidRPr="00F54D8C">
        <w:rPr>
          <w:sz w:val="20"/>
        </w:rPr>
        <w:t>although PET scans are recommended for dementia diagnosis by the National Institute for health and Care Excellence, only 2% of the UK population can benefit from it at NHS due to equipment scarcity (Royal College of Psychiatrists, 2022).</w:t>
      </w:r>
      <w:r w:rsidR="00C27FFC" w:rsidRPr="00F54D8C">
        <w:rPr>
          <w:sz w:val="20"/>
        </w:rPr>
        <w:t xml:space="preserve"> Furthermore</w:t>
      </w:r>
      <w:r w:rsidR="008741DC" w:rsidRPr="00F54D8C">
        <w:rPr>
          <w:sz w:val="20"/>
        </w:rPr>
        <w:t>, other European countries such as Germany, France, Spain, the US and Italy use high power scanners, whereas UK uses low power ones (USC Dornsife- Center for Economic and Social Research, 2020).</w:t>
      </w:r>
    </w:p>
    <w:p w14:paraId="2056DF08" w14:textId="77777777" w:rsidR="00F54D8C" w:rsidRPr="00866DF7" w:rsidRDefault="00F54D8C">
      <w:pPr>
        <w:shd w:val="clear" w:color="auto" w:fill="FFFFFF"/>
        <w:spacing w:before="240" w:after="240" w:line="480" w:lineRule="auto"/>
        <w:ind w:right="220"/>
        <w:jc w:val="both"/>
        <w:rPr>
          <w:sz w:val="20"/>
        </w:rPr>
      </w:pPr>
    </w:p>
    <w:p w14:paraId="0000003B" w14:textId="4C061AAC" w:rsidR="00964328" w:rsidRDefault="003B1935" w:rsidP="00DC7AE4">
      <w:pPr>
        <w:pStyle w:val="ListParagraph"/>
        <w:numPr>
          <w:ilvl w:val="0"/>
          <w:numId w:val="7"/>
        </w:numPr>
        <w:shd w:val="clear" w:color="auto" w:fill="FFFFFF"/>
        <w:spacing w:before="240" w:after="240" w:line="480" w:lineRule="auto"/>
        <w:ind w:right="220"/>
        <w:rPr>
          <w:b/>
          <w:bCs/>
        </w:rPr>
      </w:pPr>
      <w:r w:rsidRPr="00DC7AE4">
        <w:rPr>
          <w:b/>
          <w:bCs/>
        </w:rPr>
        <w:t>Recommendations</w:t>
      </w:r>
    </w:p>
    <w:p w14:paraId="3D033FD8" w14:textId="56169117" w:rsidR="001A2393" w:rsidRPr="00F54D8C" w:rsidRDefault="001A2393" w:rsidP="00F54D8C">
      <w:pPr>
        <w:shd w:val="clear" w:color="auto" w:fill="FFFFFF"/>
        <w:spacing w:before="240" w:after="240" w:line="480" w:lineRule="auto"/>
        <w:ind w:right="220"/>
        <w:jc w:val="both"/>
        <w:rPr>
          <w:sz w:val="20"/>
          <w:szCs w:val="20"/>
        </w:rPr>
      </w:pPr>
      <w:r w:rsidRPr="00F54D8C">
        <w:rPr>
          <w:sz w:val="20"/>
          <w:szCs w:val="20"/>
        </w:rPr>
        <w:t xml:space="preserve">Although the policy frameworks discussed in the review are aimed at addressing the wider determinants of health, there is a clear implementation gap between policy and practice. The findings </w:t>
      </w:r>
      <w:r w:rsidR="007B16C8" w:rsidRPr="00F54D8C">
        <w:rPr>
          <w:sz w:val="20"/>
          <w:szCs w:val="20"/>
        </w:rPr>
        <w:t xml:space="preserve">of </w:t>
      </w:r>
      <w:r w:rsidRPr="00F54D8C">
        <w:rPr>
          <w:sz w:val="20"/>
          <w:szCs w:val="20"/>
        </w:rPr>
        <w:t xml:space="preserve">this review </w:t>
      </w:r>
      <w:r w:rsidR="0030160A" w:rsidRPr="00F54D8C">
        <w:rPr>
          <w:sz w:val="20"/>
          <w:szCs w:val="20"/>
        </w:rPr>
        <w:t xml:space="preserve">highlights </w:t>
      </w:r>
      <w:r w:rsidR="007B16C8" w:rsidRPr="00F54D8C">
        <w:rPr>
          <w:sz w:val="20"/>
          <w:szCs w:val="20"/>
        </w:rPr>
        <w:t xml:space="preserve">four key </w:t>
      </w:r>
      <w:r w:rsidR="0030160A" w:rsidRPr="00F54D8C">
        <w:rPr>
          <w:sz w:val="20"/>
          <w:szCs w:val="20"/>
        </w:rPr>
        <w:t xml:space="preserve">recommendations to overcome the </w:t>
      </w:r>
      <w:r w:rsidR="007B16C8" w:rsidRPr="00F54D8C">
        <w:rPr>
          <w:sz w:val="20"/>
          <w:szCs w:val="20"/>
        </w:rPr>
        <w:t>limitations that reduce the effectiveness of the policies</w:t>
      </w:r>
      <w:r w:rsidR="0030160A" w:rsidRPr="00F54D8C">
        <w:rPr>
          <w:sz w:val="20"/>
          <w:szCs w:val="20"/>
        </w:rPr>
        <w:t>.</w:t>
      </w:r>
    </w:p>
    <w:p w14:paraId="5C3BD75F" w14:textId="5E959A17" w:rsidR="00B82B01" w:rsidRPr="00866DF7" w:rsidRDefault="001A0EB9" w:rsidP="00B82B01">
      <w:pPr>
        <w:shd w:val="clear" w:color="auto" w:fill="FFFFFF"/>
        <w:spacing w:before="240" w:after="240" w:line="480" w:lineRule="auto"/>
        <w:ind w:right="220"/>
        <w:jc w:val="both"/>
        <w:rPr>
          <w:sz w:val="20"/>
        </w:rPr>
      </w:pPr>
      <w:r w:rsidRPr="00F54D8C">
        <w:rPr>
          <w:sz w:val="20"/>
          <w:szCs w:val="20"/>
        </w:rPr>
        <w:t xml:space="preserve">Firstly, </w:t>
      </w:r>
      <w:r w:rsidR="00111CDB" w:rsidRPr="00F54D8C">
        <w:rPr>
          <w:sz w:val="20"/>
          <w:szCs w:val="20"/>
        </w:rPr>
        <w:t xml:space="preserve">it is crucial to prioritize reduction of socio-economic inequalities as </w:t>
      </w:r>
      <w:r w:rsidR="00B82B01" w:rsidRPr="00F54D8C">
        <w:rPr>
          <w:sz w:val="20"/>
          <w:szCs w:val="20"/>
        </w:rPr>
        <w:t xml:space="preserve">deprivation has a strong link with a majority of wider determinants. </w:t>
      </w:r>
      <w:r w:rsidR="00B82B01" w:rsidRPr="00866DF7">
        <w:rPr>
          <w:sz w:val="20"/>
        </w:rPr>
        <w:t>Office for National Statistics (2021) explores the economic inequality within the United Kingdom by examining the productivity in regional level and income in regional, local authority and neighborhood levels. Public health professionals may utilize this map to address the high risk of dementia in areas with low economic status. OHID (2024) issues a guide for Allied Health Professional system leaders to address the health inequalities across regions, local authorities, integrated care systems and provider organizations. The risk for developing dementia due to health inequalities can be reduced by following this four-step guide which includes identifying the health inequalities in the specific geographical area, investigating the causative factors, identifying the approaches to address them and finally carrying out trials of the strategies following with expanding them to other geographical areas in need. Government and Non-Government Organizations can play a crucial role in advancing health equality in the community. For an instance, ‘Bevan’ is a successful funded project of Bradford District and Craven Health and Care Partnership to provide healthcare services for vulnerable health groups in Central Bradford which is one of the most deprived cities in the United Kingdom. It conducts several tailored health services including a Street Health Bus which runs regularly in the mornings to meet the high-risk individuals (NHS, 2023a). Other deprived cities may conduct similar projects to address healthcare services deprivation.</w:t>
      </w:r>
    </w:p>
    <w:p w14:paraId="27E4F91B" w14:textId="6A23A3BE" w:rsidR="004F6A1A" w:rsidRPr="002444BA" w:rsidRDefault="008C7BB1" w:rsidP="002444BA">
      <w:pPr>
        <w:shd w:val="clear" w:color="auto" w:fill="FFFFFF"/>
        <w:spacing w:before="240" w:after="240" w:line="480" w:lineRule="auto"/>
        <w:ind w:right="220"/>
        <w:rPr>
          <w:sz w:val="20"/>
          <w:szCs w:val="20"/>
        </w:rPr>
      </w:pPr>
      <w:r w:rsidRPr="00F54D8C">
        <w:rPr>
          <w:sz w:val="20"/>
          <w:szCs w:val="20"/>
        </w:rPr>
        <w:t xml:space="preserve">Secondly, it is important </w:t>
      </w:r>
      <w:r w:rsidR="00A07794" w:rsidRPr="00F54D8C">
        <w:rPr>
          <w:sz w:val="20"/>
          <w:szCs w:val="20"/>
        </w:rPr>
        <w:t xml:space="preserve">to </w:t>
      </w:r>
      <w:r w:rsidRPr="00F54D8C">
        <w:rPr>
          <w:sz w:val="20"/>
          <w:szCs w:val="20"/>
        </w:rPr>
        <w:t>build a strong cross-sector</w:t>
      </w:r>
      <w:r w:rsidR="00F54D8C">
        <w:rPr>
          <w:sz w:val="20"/>
          <w:szCs w:val="20"/>
        </w:rPr>
        <w:t>a</w:t>
      </w:r>
      <w:r w:rsidR="00A1453F" w:rsidRPr="00F54D8C">
        <w:rPr>
          <w:sz w:val="20"/>
          <w:szCs w:val="20"/>
        </w:rPr>
        <w:t>l</w:t>
      </w:r>
      <w:r w:rsidR="00337BA8" w:rsidRPr="00F54D8C">
        <w:rPr>
          <w:sz w:val="20"/>
          <w:szCs w:val="20"/>
        </w:rPr>
        <w:t xml:space="preserve"> collaboration</w:t>
      </w:r>
      <w:r w:rsidRPr="00F54D8C">
        <w:rPr>
          <w:sz w:val="20"/>
          <w:szCs w:val="20"/>
        </w:rPr>
        <w:t>. Dementia</w:t>
      </w:r>
      <w:r w:rsidR="00754FCA" w:rsidRPr="00F54D8C">
        <w:rPr>
          <w:sz w:val="20"/>
          <w:szCs w:val="20"/>
        </w:rPr>
        <w:t>, being</w:t>
      </w:r>
      <w:r w:rsidRPr="00F54D8C">
        <w:rPr>
          <w:sz w:val="20"/>
          <w:szCs w:val="20"/>
        </w:rPr>
        <w:t xml:space="preserve"> a major public health issue in the UK, has wider determinants </w:t>
      </w:r>
      <w:r w:rsidR="00754FCA" w:rsidRPr="00F54D8C">
        <w:rPr>
          <w:sz w:val="20"/>
          <w:szCs w:val="20"/>
        </w:rPr>
        <w:t xml:space="preserve">that extend </w:t>
      </w:r>
      <w:r w:rsidR="00AE6917" w:rsidRPr="00F54D8C">
        <w:rPr>
          <w:sz w:val="20"/>
          <w:szCs w:val="20"/>
        </w:rPr>
        <w:t xml:space="preserve">across multiple sectors. </w:t>
      </w:r>
      <w:r w:rsidR="004D12C8">
        <w:rPr>
          <w:sz w:val="20"/>
          <w:szCs w:val="20"/>
        </w:rPr>
        <w:t>C</w:t>
      </w:r>
      <w:r w:rsidR="00B13AD3">
        <w:rPr>
          <w:sz w:val="20"/>
          <w:szCs w:val="20"/>
        </w:rPr>
        <w:t>oherent strategies</w:t>
      </w:r>
      <w:r w:rsidR="004D12C8">
        <w:rPr>
          <w:sz w:val="20"/>
          <w:szCs w:val="20"/>
        </w:rPr>
        <w:t xml:space="preserve"> </w:t>
      </w:r>
      <w:r w:rsidR="005E68F1">
        <w:rPr>
          <w:sz w:val="20"/>
          <w:szCs w:val="20"/>
        </w:rPr>
        <w:t xml:space="preserve">implemented across </w:t>
      </w:r>
      <w:r w:rsidR="002D492A">
        <w:rPr>
          <w:sz w:val="20"/>
          <w:szCs w:val="20"/>
        </w:rPr>
        <w:t xml:space="preserve">multiple sectors </w:t>
      </w:r>
      <w:r w:rsidR="004D12C8">
        <w:rPr>
          <w:sz w:val="20"/>
          <w:szCs w:val="20"/>
        </w:rPr>
        <w:t xml:space="preserve">have the ability to address the wider determinants such as </w:t>
      </w:r>
      <w:r w:rsidR="004D12C8">
        <w:rPr>
          <w:sz w:val="20"/>
          <w:szCs w:val="20"/>
        </w:rPr>
        <w:lastRenderedPageBreak/>
        <w:t>education, built environment</w:t>
      </w:r>
      <w:r w:rsidR="002D492A">
        <w:rPr>
          <w:sz w:val="20"/>
          <w:szCs w:val="20"/>
        </w:rPr>
        <w:t>, food marketing</w:t>
      </w:r>
      <w:r w:rsidR="004D12C8">
        <w:rPr>
          <w:sz w:val="20"/>
          <w:szCs w:val="20"/>
        </w:rPr>
        <w:t xml:space="preserve"> and air pollution</w:t>
      </w:r>
      <w:r w:rsidR="002D492A">
        <w:rPr>
          <w:sz w:val="20"/>
          <w:szCs w:val="20"/>
        </w:rPr>
        <w:t xml:space="preserve"> effectively</w:t>
      </w:r>
      <w:r w:rsidR="004D12C8">
        <w:rPr>
          <w:sz w:val="20"/>
          <w:szCs w:val="20"/>
        </w:rPr>
        <w:t>.</w:t>
      </w:r>
      <w:r w:rsidR="002444BA">
        <w:rPr>
          <w:sz w:val="20"/>
          <w:szCs w:val="20"/>
        </w:rPr>
        <w:t xml:space="preserve"> </w:t>
      </w:r>
      <w:r w:rsidR="004F6A1A" w:rsidRPr="00866DF7">
        <w:rPr>
          <w:sz w:val="20"/>
        </w:rPr>
        <w:t xml:space="preserve">Awareness programs to reduce early drop-outs from schools and increased affordability and accessibility to higher education may help more engagement in education. In terms of air pollution, some strategies that can be developed include restriction of urban traffic and prevention of non-essential activities such as operating road cleaning machines on highly polluted days (Burns et al., 2019). Furthermore, utilization of sustainable energy sources and development of more green spaces may help tackle air pollution which in return will enhance cognitive function (United Nations Development </w:t>
      </w:r>
      <w:proofErr w:type="spellStart"/>
      <w:r w:rsidR="004F6A1A" w:rsidRPr="00866DF7">
        <w:rPr>
          <w:sz w:val="20"/>
        </w:rPr>
        <w:t>Programme</w:t>
      </w:r>
      <w:proofErr w:type="spellEnd"/>
      <w:r w:rsidR="004F6A1A" w:rsidRPr="00866DF7">
        <w:rPr>
          <w:sz w:val="20"/>
        </w:rPr>
        <w:t>, 2021). Moreover, implementation of policies to develop built environment which promotes healthy behaviors such as increased accessibility to healthy food and development of walking paths in deprived cities may help mitigate environmental racism.</w:t>
      </w:r>
      <w:r w:rsidR="004F6A1A">
        <w:rPr>
          <w:sz w:val="20"/>
        </w:rPr>
        <w:t xml:space="preserve"> </w:t>
      </w:r>
      <w:r w:rsidR="002444BA">
        <w:rPr>
          <w:sz w:val="20"/>
        </w:rPr>
        <w:t xml:space="preserve">Integration of these strategies with healthcare sector would enable evaluation of the </w:t>
      </w:r>
      <w:r w:rsidR="00CF1A11">
        <w:rPr>
          <w:sz w:val="20"/>
        </w:rPr>
        <w:t>outcomes</w:t>
      </w:r>
      <w:r w:rsidR="002444BA">
        <w:rPr>
          <w:sz w:val="20"/>
        </w:rPr>
        <w:t xml:space="preserve"> effectively</w:t>
      </w:r>
      <w:r w:rsidR="00CF1A11">
        <w:rPr>
          <w:sz w:val="20"/>
        </w:rPr>
        <w:t xml:space="preserve"> and inform policy adjustments</w:t>
      </w:r>
      <w:r w:rsidR="002444BA">
        <w:rPr>
          <w:sz w:val="20"/>
        </w:rPr>
        <w:t>.</w:t>
      </w:r>
    </w:p>
    <w:p w14:paraId="693D3955" w14:textId="09586FDA" w:rsidR="00E2108E" w:rsidRPr="00B75957" w:rsidRDefault="00C3196A" w:rsidP="00BE6CA0">
      <w:pPr>
        <w:shd w:val="clear" w:color="auto" w:fill="FFFFFF"/>
        <w:spacing w:before="240" w:after="240" w:line="480" w:lineRule="auto"/>
        <w:ind w:right="220"/>
        <w:rPr>
          <w:sz w:val="20"/>
        </w:rPr>
      </w:pPr>
      <w:r w:rsidRPr="00573EBB">
        <w:rPr>
          <w:sz w:val="20"/>
          <w:szCs w:val="20"/>
        </w:rPr>
        <w:t xml:space="preserve">Thirdly, </w:t>
      </w:r>
      <w:r w:rsidR="005602E0" w:rsidRPr="00573EBB">
        <w:rPr>
          <w:sz w:val="20"/>
          <w:szCs w:val="20"/>
        </w:rPr>
        <w:t xml:space="preserve">enhancing </w:t>
      </w:r>
      <w:r w:rsidR="005F6DD0">
        <w:rPr>
          <w:sz w:val="20"/>
          <w:szCs w:val="20"/>
        </w:rPr>
        <w:t xml:space="preserve">the government </w:t>
      </w:r>
      <w:r w:rsidR="005602E0" w:rsidRPr="00573EBB">
        <w:rPr>
          <w:sz w:val="20"/>
          <w:szCs w:val="20"/>
        </w:rPr>
        <w:t xml:space="preserve">capacity </w:t>
      </w:r>
      <w:r w:rsidR="00FA5D60" w:rsidRPr="00573EBB">
        <w:rPr>
          <w:sz w:val="20"/>
          <w:szCs w:val="20"/>
        </w:rPr>
        <w:t>for prevention</w:t>
      </w:r>
      <w:r w:rsidR="00337BA8" w:rsidRPr="00573EBB">
        <w:rPr>
          <w:sz w:val="20"/>
          <w:szCs w:val="20"/>
        </w:rPr>
        <w:t xml:space="preserve">, </w:t>
      </w:r>
      <w:r w:rsidR="00FA5D60" w:rsidRPr="00573EBB">
        <w:rPr>
          <w:sz w:val="20"/>
          <w:szCs w:val="20"/>
        </w:rPr>
        <w:t>early diagnosis</w:t>
      </w:r>
      <w:r w:rsidR="00337BA8" w:rsidRPr="00573EBB">
        <w:rPr>
          <w:sz w:val="20"/>
          <w:szCs w:val="20"/>
        </w:rPr>
        <w:t xml:space="preserve"> and treatment </w:t>
      </w:r>
      <w:r w:rsidR="005602E0" w:rsidRPr="00573EBB">
        <w:rPr>
          <w:sz w:val="20"/>
          <w:szCs w:val="20"/>
        </w:rPr>
        <w:t xml:space="preserve">would be highly beneficial. </w:t>
      </w:r>
      <w:r w:rsidR="000B0C1F" w:rsidRPr="00573EBB">
        <w:rPr>
          <w:sz w:val="20"/>
        </w:rPr>
        <w:t xml:space="preserve">Type 2 diabetes, high blood pressure and obesity </w:t>
      </w:r>
      <w:r w:rsidR="00D2707E" w:rsidRPr="00573EBB">
        <w:rPr>
          <w:sz w:val="20"/>
        </w:rPr>
        <w:t xml:space="preserve">which are risk factors of dementia </w:t>
      </w:r>
      <w:r w:rsidR="000B0C1F" w:rsidRPr="00573EBB">
        <w:rPr>
          <w:sz w:val="20"/>
        </w:rPr>
        <w:t xml:space="preserve">can be prevented as well as managed once manifested with healthy eating, regular exercise and healthy mental condition. </w:t>
      </w:r>
      <w:r w:rsidR="005F6DD0">
        <w:rPr>
          <w:sz w:val="20"/>
        </w:rPr>
        <w:t>Therefore, a</w:t>
      </w:r>
      <w:r w:rsidR="000B0C1F" w:rsidRPr="00573EBB">
        <w:rPr>
          <w:sz w:val="20"/>
        </w:rPr>
        <w:t xml:space="preserve">wareness through proper education </w:t>
      </w:r>
      <w:r w:rsidR="00A947A3" w:rsidRPr="00573EBB">
        <w:rPr>
          <w:sz w:val="20"/>
        </w:rPr>
        <w:t xml:space="preserve">regulated by the NHS and the local health authorities </w:t>
      </w:r>
      <w:r w:rsidR="000B0C1F" w:rsidRPr="00573EBB">
        <w:rPr>
          <w:sz w:val="20"/>
        </w:rPr>
        <w:t>and lowering NHS Health Check Eligibility age to 30</w:t>
      </w:r>
      <w:r w:rsidR="00A947A3" w:rsidRPr="00573EBB">
        <w:rPr>
          <w:sz w:val="20"/>
        </w:rPr>
        <w:t xml:space="preserve"> are </w:t>
      </w:r>
      <w:r w:rsidR="005F6DD0">
        <w:rPr>
          <w:sz w:val="20"/>
        </w:rPr>
        <w:t xml:space="preserve">recommended. The latter </w:t>
      </w:r>
      <w:r w:rsidR="000B0C1F" w:rsidRPr="00573EBB">
        <w:rPr>
          <w:sz w:val="20"/>
        </w:rPr>
        <w:t xml:space="preserve">can prevent 2% of dementia cases caused by the above metabolic diseases (Alzheimer’s research UK, 2023b). Although it remains unclear about the plausible mechanisms of how hearing loss causes dementia, 8% of dementia cases can be potentially delayed or prevented by treating hearing loss in mid-life (Livingston et al., 2020).  As a solution, it is recommended to include audiology tests in NHS Health Checks. </w:t>
      </w:r>
      <w:r w:rsidR="004C1C47">
        <w:rPr>
          <w:sz w:val="20"/>
        </w:rPr>
        <w:t xml:space="preserve">Furthermore, it is equally important to execute retention strategies to support long-term recruitment to address NHS workforce shortage. </w:t>
      </w:r>
      <w:r w:rsidR="005F6DD0">
        <w:rPr>
          <w:sz w:val="20"/>
        </w:rPr>
        <w:t xml:space="preserve">To </w:t>
      </w:r>
      <w:r w:rsidR="00475F86" w:rsidRPr="00573EBB">
        <w:rPr>
          <w:sz w:val="20"/>
        </w:rPr>
        <w:t xml:space="preserve">accelerate early diagnosis, </w:t>
      </w:r>
      <w:r w:rsidR="00A947A3" w:rsidRPr="00573EBB">
        <w:rPr>
          <w:sz w:val="20"/>
        </w:rPr>
        <w:t>the Department of Health and Social Care</w:t>
      </w:r>
      <w:r w:rsidR="004F16C9" w:rsidRPr="00573EBB">
        <w:rPr>
          <w:sz w:val="20"/>
        </w:rPr>
        <w:t xml:space="preserve">, </w:t>
      </w:r>
      <w:r w:rsidR="00A947A3" w:rsidRPr="00573EBB">
        <w:rPr>
          <w:sz w:val="20"/>
        </w:rPr>
        <w:t xml:space="preserve">NHS </w:t>
      </w:r>
      <w:r w:rsidR="004F16C9" w:rsidRPr="00573EBB">
        <w:rPr>
          <w:sz w:val="20"/>
        </w:rPr>
        <w:t xml:space="preserve">and other related government bodies </w:t>
      </w:r>
      <w:r w:rsidR="00A947A3" w:rsidRPr="00573EBB">
        <w:rPr>
          <w:sz w:val="20"/>
        </w:rPr>
        <w:t xml:space="preserve">should prioritize investment </w:t>
      </w:r>
      <w:r w:rsidR="00475F86" w:rsidRPr="00573EBB">
        <w:rPr>
          <w:sz w:val="20"/>
        </w:rPr>
        <w:t xml:space="preserve">to ensure the availability of </w:t>
      </w:r>
      <w:r w:rsidR="00A947A3" w:rsidRPr="00573EBB">
        <w:rPr>
          <w:sz w:val="20"/>
        </w:rPr>
        <w:t>high-quality</w:t>
      </w:r>
      <w:r w:rsidR="00475F86" w:rsidRPr="00573EBB">
        <w:rPr>
          <w:sz w:val="20"/>
        </w:rPr>
        <w:t xml:space="preserve"> diagnostic tools at NHS equally across regions. </w:t>
      </w:r>
      <w:r w:rsidR="009C5626" w:rsidRPr="00573EBB">
        <w:rPr>
          <w:sz w:val="20"/>
        </w:rPr>
        <w:t>The biggest challenge of prescribing the newly discovered dementia medicines is its lack of affordability for the use at NHS</w:t>
      </w:r>
      <w:r w:rsidR="000506D3">
        <w:rPr>
          <w:sz w:val="20"/>
        </w:rPr>
        <w:t xml:space="preserve"> </w:t>
      </w:r>
      <w:r w:rsidR="000506D3" w:rsidRPr="000A2B77">
        <w:rPr>
          <w:sz w:val="20"/>
        </w:rPr>
        <w:t>(</w:t>
      </w:r>
      <w:r w:rsidR="000506D3" w:rsidRPr="000A2B77">
        <w:rPr>
          <w:rFonts w:eastAsia="Times New Roman"/>
          <w:sz w:val="20"/>
        </w:rPr>
        <w:t>Alzheimer’s Research UK, 2023a</w:t>
      </w:r>
      <w:r w:rsidR="000506D3" w:rsidRPr="000A2B77">
        <w:rPr>
          <w:sz w:val="20"/>
        </w:rPr>
        <w:t>)</w:t>
      </w:r>
      <w:r w:rsidR="000506D3">
        <w:rPr>
          <w:sz w:val="20"/>
        </w:rPr>
        <w:t xml:space="preserve">. </w:t>
      </w:r>
      <w:r w:rsidR="00573EBB" w:rsidRPr="00573EBB">
        <w:rPr>
          <w:sz w:val="20"/>
        </w:rPr>
        <w:t>Therefore, i</w:t>
      </w:r>
      <w:r w:rsidR="00B75957" w:rsidRPr="00573EBB">
        <w:rPr>
          <w:sz w:val="20"/>
        </w:rPr>
        <w:t>t is important to bring the pharmaceutical industry</w:t>
      </w:r>
      <w:r w:rsidR="004F16C9" w:rsidRPr="00573EBB">
        <w:rPr>
          <w:sz w:val="20"/>
        </w:rPr>
        <w:t xml:space="preserve">, Medicines and Healthcare products Regulatory Agency and </w:t>
      </w:r>
      <w:r w:rsidR="00E2108E" w:rsidRPr="00573EBB">
        <w:rPr>
          <w:sz w:val="20"/>
        </w:rPr>
        <w:t xml:space="preserve">other responsible </w:t>
      </w:r>
      <w:r w:rsidR="004F16C9" w:rsidRPr="00573EBB">
        <w:rPr>
          <w:sz w:val="20"/>
        </w:rPr>
        <w:lastRenderedPageBreak/>
        <w:t xml:space="preserve">bodies together </w:t>
      </w:r>
      <w:r w:rsidR="00093815" w:rsidRPr="00573EBB">
        <w:rPr>
          <w:sz w:val="20"/>
        </w:rPr>
        <w:t xml:space="preserve">to </w:t>
      </w:r>
      <w:r w:rsidR="00573EBB" w:rsidRPr="00573EBB">
        <w:rPr>
          <w:sz w:val="20"/>
        </w:rPr>
        <w:t xml:space="preserve">work on a risk sharing framework to support the patient access to new drugs while reducing the financial burden on the government. </w:t>
      </w:r>
    </w:p>
    <w:p w14:paraId="6B1F44A1" w14:textId="66FE59F5" w:rsidR="006A71F5" w:rsidRDefault="005F6DD0">
      <w:pPr>
        <w:shd w:val="clear" w:color="auto" w:fill="FFFFFF"/>
        <w:spacing w:before="240" w:after="240" w:line="480" w:lineRule="auto"/>
        <w:ind w:right="220"/>
        <w:jc w:val="both"/>
        <w:rPr>
          <w:sz w:val="20"/>
        </w:rPr>
      </w:pPr>
      <w:r>
        <w:rPr>
          <w:sz w:val="20"/>
        </w:rPr>
        <w:t>The fourth recommendation is to build a strong dementia research infrastructur</w:t>
      </w:r>
      <w:r w:rsidR="008F4734">
        <w:rPr>
          <w:sz w:val="20"/>
        </w:rPr>
        <w:t xml:space="preserve">e to improve early diagnosis and </w:t>
      </w:r>
      <w:r w:rsidR="00F47706">
        <w:rPr>
          <w:sz w:val="20"/>
        </w:rPr>
        <w:t xml:space="preserve">discover </w:t>
      </w:r>
      <w:r w:rsidR="008F4734">
        <w:rPr>
          <w:sz w:val="20"/>
        </w:rPr>
        <w:t>treatments.</w:t>
      </w:r>
      <w:r w:rsidR="00C068C5">
        <w:rPr>
          <w:sz w:val="20"/>
        </w:rPr>
        <w:t xml:space="preserve"> For this, a long-term plan for dementia research funding </w:t>
      </w:r>
      <w:r w:rsidR="00025A68">
        <w:rPr>
          <w:sz w:val="20"/>
        </w:rPr>
        <w:t>would be beneficial to ensure a sustained progress</w:t>
      </w:r>
      <w:r w:rsidR="006A71F5">
        <w:rPr>
          <w:sz w:val="20"/>
        </w:rPr>
        <w:t xml:space="preserve"> of research</w:t>
      </w:r>
      <w:r w:rsidR="00025A68">
        <w:rPr>
          <w:sz w:val="20"/>
        </w:rPr>
        <w:t>.</w:t>
      </w:r>
      <w:r w:rsidR="00F47706">
        <w:rPr>
          <w:sz w:val="20"/>
        </w:rPr>
        <w:t xml:space="preserve"> Furthermore, it is important to involve dementia patients in research from all the regions of </w:t>
      </w:r>
      <w:r w:rsidR="006A71F5">
        <w:rPr>
          <w:sz w:val="20"/>
        </w:rPr>
        <w:t xml:space="preserve">the </w:t>
      </w:r>
      <w:r w:rsidR="00F47706">
        <w:rPr>
          <w:sz w:val="20"/>
        </w:rPr>
        <w:t>UK to deepen the knowledge of the disease and to</w:t>
      </w:r>
      <w:r w:rsidR="00DB2C1C">
        <w:rPr>
          <w:sz w:val="20"/>
        </w:rPr>
        <w:t xml:space="preserve"> </w:t>
      </w:r>
      <w:r w:rsidR="00F47706">
        <w:rPr>
          <w:sz w:val="20"/>
        </w:rPr>
        <w:t>discover treatments which works for all</w:t>
      </w:r>
      <w:r w:rsidR="00DB2C1C">
        <w:rPr>
          <w:sz w:val="20"/>
        </w:rPr>
        <w:t xml:space="preserve">. </w:t>
      </w:r>
      <w:r w:rsidR="006A71F5">
        <w:rPr>
          <w:sz w:val="20"/>
        </w:rPr>
        <w:t>Finally, focus on strong integration between the research industry and the health clinics is essential to enhance the opportunities for research participation and to ensure equitable access across all the regions.</w:t>
      </w:r>
    </w:p>
    <w:p w14:paraId="265CD7A7" w14:textId="6EAC144A" w:rsidR="00D922A5" w:rsidRDefault="008A1B3F">
      <w:pPr>
        <w:shd w:val="clear" w:color="auto" w:fill="FFFFFF"/>
        <w:spacing w:before="240" w:after="240" w:line="480" w:lineRule="auto"/>
        <w:ind w:right="220"/>
        <w:jc w:val="both"/>
        <w:rPr>
          <w:sz w:val="20"/>
        </w:rPr>
      </w:pPr>
      <w:r>
        <w:rPr>
          <w:sz w:val="20"/>
        </w:rPr>
        <w:t xml:space="preserve">Japan, having the highest ageing population in the world, has valuable insights of dementia policies which UK can adopt. The National Framework for Promotion of Dementia Policies 2019 </w:t>
      </w:r>
      <w:r w:rsidR="00C749C4">
        <w:rPr>
          <w:sz w:val="20"/>
        </w:rPr>
        <w:t>is mainly based on cross-sectoral collaboration. Ministries of Economy, Trade and Industry, Education and Health, Labor and Welfare jointly work on dementia prevention and management. Equally, community</w:t>
      </w:r>
      <w:r w:rsidR="009968E1">
        <w:rPr>
          <w:sz w:val="20"/>
        </w:rPr>
        <w:t>-</w:t>
      </w:r>
      <w:r w:rsidR="00C749C4">
        <w:rPr>
          <w:sz w:val="20"/>
        </w:rPr>
        <w:t xml:space="preserve">based </w:t>
      </w:r>
      <w:r w:rsidR="009968E1">
        <w:rPr>
          <w:sz w:val="20"/>
        </w:rPr>
        <w:t xml:space="preserve">support </w:t>
      </w:r>
      <w:r w:rsidR="00C749C4">
        <w:rPr>
          <w:sz w:val="20"/>
        </w:rPr>
        <w:t>system</w:t>
      </w:r>
      <w:r w:rsidR="009968E1">
        <w:rPr>
          <w:sz w:val="20"/>
        </w:rPr>
        <w:t>s</w:t>
      </w:r>
      <w:r w:rsidR="00C749C4">
        <w:rPr>
          <w:sz w:val="20"/>
        </w:rPr>
        <w:t xml:space="preserve"> ha</w:t>
      </w:r>
      <w:r w:rsidR="009968E1">
        <w:rPr>
          <w:sz w:val="20"/>
        </w:rPr>
        <w:t>ve</w:t>
      </w:r>
      <w:r w:rsidR="00C749C4">
        <w:rPr>
          <w:sz w:val="20"/>
        </w:rPr>
        <w:t xml:space="preserve"> been developed to </w:t>
      </w:r>
      <w:r w:rsidR="009968E1">
        <w:rPr>
          <w:sz w:val="20"/>
        </w:rPr>
        <w:t xml:space="preserve">improve social interaction of dementia patients through dementia friendly communities and dementia inclusive cities. Furthermore, </w:t>
      </w:r>
      <w:r w:rsidR="00E146F3">
        <w:rPr>
          <w:sz w:val="20"/>
        </w:rPr>
        <w:t xml:space="preserve">task-shifting strategies </w:t>
      </w:r>
      <w:r w:rsidR="00A90F6D">
        <w:rPr>
          <w:sz w:val="20"/>
        </w:rPr>
        <w:t xml:space="preserve">to overcome workforce shortages </w:t>
      </w:r>
      <w:r w:rsidR="00E146F3">
        <w:rPr>
          <w:sz w:val="20"/>
        </w:rPr>
        <w:t xml:space="preserve">such as </w:t>
      </w:r>
      <w:r w:rsidR="00A90F6D">
        <w:rPr>
          <w:sz w:val="20"/>
        </w:rPr>
        <w:t>providing training to empower non-physician roles</w:t>
      </w:r>
      <w:r w:rsidR="00E146F3">
        <w:rPr>
          <w:sz w:val="20"/>
        </w:rPr>
        <w:t xml:space="preserve"> have given positive outcomes.</w:t>
      </w:r>
      <w:r w:rsidR="00A90F6D">
        <w:rPr>
          <w:sz w:val="20"/>
        </w:rPr>
        <w:t xml:space="preserve"> </w:t>
      </w:r>
      <w:r w:rsidR="00B6197F">
        <w:rPr>
          <w:sz w:val="20"/>
        </w:rPr>
        <w:t xml:space="preserve">Most recently, Japan has used the modern technology to develop an AI-based cognition assessment tool for early detection of dementia which enhances the opportunities for dementia treatment. </w:t>
      </w:r>
      <w:r w:rsidR="00D0058C">
        <w:rPr>
          <w:sz w:val="20"/>
        </w:rPr>
        <w:t>This reflects the importance of reviewing policy frameworks in a global perspective that provides innovative responses to alleviate the burden of dementia</w:t>
      </w:r>
      <w:r w:rsidR="00CB0ECA">
        <w:rPr>
          <w:sz w:val="20"/>
        </w:rPr>
        <w:t xml:space="preserve"> (Deng et al., 2025).</w:t>
      </w:r>
    </w:p>
    <w:p w14:paraId="2F88753C" w14:textId="21064A2D" w:rsidR="00D922A5" w:rsidRPr="00866DF7" w:rsidRDefault="005F6DD0">
      <w:pPr>
        <w:shd w:val="clear" w:color="auto" w:fill="FFFFFF"/>
        <w:spacing w:before="240" w:after="240" w:line="480" w:lineRule="auto"/>
        <w:ind w:right="220"/>
        <w:jc w:val="both"/>
        <w:rPr>
          <w:sz w:val="20"/>
        </w:rPr>
      </w:pPr>
      <w:r>
        <w:rPr>
          <w:sz w:val="20"/>
        </w:rPr>
        <w:t>Overall, d</w:t>
      </w:r>
      <w:r w:rsidRPr="00866DF7">
        <w:rPr>
          <w:sz w:val="20"/>
        </w:rPr>
        <w:t>espite the reliance of this review on secondary data from literature-based sources which may not accurately demonstrate the current status of policy effectiveness and practical insights of policy execution, its comprehensive, multidisciplinary approach provides a broader perspective of the policy implementation gap where policies have underexplored crucial determinants such as deprivation, health inequality and health services.</w:t>
      </w:r>
    </w:p>
    <w:p w14:paraId="00000041" w14:textId="65ED5E9A" w:rsidR="00964328" w:rsidRPr="00866DF7" w:rsidRDefault="003B1935" w:rsidP="00DC7AE4">
      <w:pPr>
        <w:pStyle w:val="ListParagraph"/>
        <w:numPr>
          <w:ilvl w:val="0"/>
          <w:numId w:val="7"/>
        </w:numPr>
        <w:shd w:val="clear" w:color="auto" w:fill="FFFFFF"/>
        <w:spacing w:before="240" w:after="240" w:line="480" w:lineRule="auto"/>
        <w:ind w:right="220"/>
        <w:jc w:val="both"/>
        <w:rPr>
          <w:b/>
          <w:bCs/>
        </w:rPr>
      </w:pPr>
      <w:r w:rsidRPr="00866DF7">
        <w:rPr>
          <w:b/>
          <w:bCs/>
        </w:rPr>
        <w:t>Conclusion</w:t>
      </w:r>
    </w:p>
    <w:p w14:paraId="00000042" w14:textId="77777777" w:rsidR="00964328" w:rsidRPr="00866DF7" w:rsidRDefault="00300E62">
      <w:pPr>
        <w:shd w:val="clear" w:color="auto" w:fill="FFFFFF"/>
        <w:spacing w:before="240" w:after="240" w:line="480" w:lineRule="auto"/>
        <w:ind w:right="220"/>
        <w:jc w:val="both"/>
        <w:rPr>
          <w:sz w:val="20"/>
        </w:rPr>
      </w:pPr>
      <w:r w:rsidRPr="00866DF7">
        <w:rPr>
          <w:sz w:val="20"/>
        </w:rPr>
        <w:lastRenderedPageBreak/>
        <w:t>Despite the expanding literature on social determinants of health related to dementia, the existing dementia policies in England lack consideration of many of these determinants. This might hinder the progress in reducing the dementia burden nationally. Therefore, there is a need for a more integrated, equity-driven approach in designing policies to reduce the prevalence of dementia. In future, it is suggested to conduct research to gather the perspectives of the stakeholders and inform more responsive policies.</w:t>
      </w:r>
    </w:p>
    <w:p w14:paraId="64C5D170" w14:textId="77777777" w:rsidR="00E42200" w:rsidRDefault="00E42200">
      <w:pPr>
        <w:spacing w:before="240" w:after="240" w:line="480" w:lineRule="auto"/>
        <w:jc w:val="both"/>
        <w:rPr>
          <w:b/>
          <w:bCs/>
        </w:rPr>
      </w:pPr>
    </w:p>
    <w:p w14:paraId="00000049" w14:textId="6737DA7D" w:rsidR="00964328" w:rsidRPr="00866DF7" w:rsidRDefault="003B1935">
      <w:pPr>
        <w:spacing w:before="240" w:after="240" w:line="480" w:lineRule="auto"/>
        <w:jc w:val="both"/>
        <w:rPr>
          <w:b/>
          <w:bCs/>
        </w:rPr>
      </w:pPr>
      <w:r w:rsidRPr="00866DF7">
        <w:rPr>
          <w:b/>
          <w:bCs/>
        </w:rPr>
        <w:t>Consent and ethical approval</w:t>
      </w:r>
    </w:p>
    <w:p w14:paraId="0000004A" w14:textId="68A034BC" w:rsidR="00964328" w:rsidRDefault="00300E62">
      <w:pPr>
        <w:spacing w:before="240" w:after="240" w:line="480" w:lineRule="auto"/>
        <w:jc w:val="both"/>
        <w:rPr>
          <w:rFonts w:eastAsia="Times New Roman"/>
          <w:sz w:val="20"/>
        </w:rPr>
      </w:pPr>
      <w:r w:rsidRPr="00866DF7">
        <w:rPr>
          <w:rFonts w:eastAsia="Times New Roman"/>
          <w:sz w:val="20"/>
        </w:rPr>
        <w:t>Not applicable.</w:t>
      </w:r>
    </w:p>
    <w:p w14:paraId="6513EE41" w14:textId="48A82B46" w:rsidR="00F53619" w:rsidRDefault="00F53619">
      <w:pPr>
        <w:spacing w:before="240" w:after="240" w:line="480" w:lineRule="auto"/>
        <w:jc w:val="both"/>
        <w:rPr>
          <w:rFonts w:eastAsia="Times New Roman"/>
          <w:sz w:val="20"/>
        </w:rPr>
      </w:pPr>
    </w:p>
    <w:p w14:paraId="32BA6170" w14:textId="77777777" w:rsidR="00F53619" w:rsidRDefault="00F53619" w:rsidP="00F53619">
      <w:pPr>
        <w:rPr>
          <w:rFonts w:ascii="Calibri" w:eastAsia="Calibri" w:hAnsi="Calibri" w:cs="Times New Roman"/>
          <w:kern w:val="2"/>
          <w:highlight w:val="yellow"/>
        </w:rPr>
      </w:pPr>
      <w:bookmarkStart w:id="1" w:name="_Hlk218868534"/>
    </w:p>
    <w:p w14:paraId="3338CFA5" w14:textId="77777777" w:rsidR="00F53619" w:rsidRPr="00005ED1" w:rsidRDefault="00F53619" w:rsidP="00F53619">
      <w:pPr>
        <w:pStyle w:val="NoSpacing"/>
        <w:rPr>
          <w:rFonts w:ascii="Arial" w:hAnsi="Arial" w:cs="Arial"/>
          <w:highlight w:val="yellow"/>
        </w:rPr>
      </w:pPr>
      <w:bookmarkStart w:id="2" w:name="_Hlk221624953"/>
      <w:r w:rsidRPr="00005ED1">
        <w:rPr>
          <w:rFonts w:ascii="Arial" w:hAnsi="Arial" w:cs="Arial"/>
          <w:highlight w:val="yellow"/>
        </w:rPr>
        <w:t>Disclaimer (Artificial intelligence)</w:t>
      </w:r>
    </w:p>
    <w:p w14:paraId="2582AB22" w14:textId="77777777" w:rsidR="00F53619" w:rsidRPr="00005ED1" w:rsidRDefault="00F53619" w:rsidP="00F53619">
      <w:pPr>
        <w:pStyle w:val="NoSpacing"/>
        <w:rPr>
          <w:rFonts w:ascii="Arial" w:hAnsi="Arial" w:cs="Arial"/>
          <w:highlight w:val="yellow"/>
        </w:rPr>
      </w:pPr>
    </w:p>
    <w:p w14:paraId="20EC080D" w14:textId="77777777" w:rsidR="00F53619" w:rsidRDefault="00F53619" w:rsidP="00F53619">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bookmarkEnd w:id="1"/>
    </w:p>
    <w:bookmarkEnd w:id="2"/>
    <w:p w14:paraId="7690F956" w14:textId="77777777" w:rsidR="00F53619" w:rsidRPr="00866DF7" w:rsidRDefault="00F53619" w:rsidP="00F60A1B">
      <w:pPr>
        <w:spacing w:before="240" w:after="240" w:line="480" w:lineRule="auto"/>
        <w:jc w:val="both"/>
        <w:rPr>
          <w:rFonts w:eastAsia="Times New Roman"/>
          <w:sz w:val="20"/>
        </w:rPr>
      </w:pPr>
    </w:p>
    <w:p w14:paraId="0000004B" w14:textId="1AC0A484" w:rsidR="00964328" w:rsidRPr="00866DF7" w:rsidRDefault="003B1935" w:rsidP="00F60A1B">
      <w:pPr>
        <w:spacing w:before="240" w:after="240" w:line="480" w:lineRule="auto"/>
        <w:jc w:val="both"/>
        <w:rPr>
          <w:b/>
          <w:bCs/>
        </w:rPr>
      </w:pPr>
      <w:r w:rsidRPr="00866DF7">
        <w:rPr>
          <w:b/>
          <w:bCs/>
        </w:rPr>
        <w:t xml:space="preserve">References </w:t>
      </w:r>
    </w:p>
    <w:p w14:paraId="6947B059" w14:textId="7A8A8751" w:rsidR="001145DB" w:rsidRDefault="001145DB"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Aggarwal, N. T., Bienias, J. L., Bennett, D. A., Wilson, R. S., Morris, M. C., Schneider, J. A., Shah, R. C., &amp; Evans, D. A. (2006). The relation of cigarette smoking to incident Alzheimer's disease in a biracial urban community population. </w:t>
      </w:r>
      <w:r w:rsidRPr="00866DF7">
        <w:rPr>
          <w:rFonts w:eastAsia="Helvetica Neue"/>
          <w:i/>
          <w:iCs/>
          <w:sz w:val="20"/>
          <w:szCs w:val="20"/>
        </w:rPr>
        <w:t>Neuroepidemiology</w:t>
      </w:r>
      <w:r w:rsidRPr="00866DF7">
        <w:rPr>
          <w:rFonts w:eastAsia="Helvetica Neue"/>
          <w:sz w:val="20"/>
          <w:szCs w:val="20"/>
        </w:rPr>
        <w:t xml:space="preserve">, </w:t>
      </w:r>
      <w:r w:rsidRPr="00866DF7">
        <w:rPr>
          <w:rFonts w:eastAsia="Helvetica Neue"/>
          <w:i/>
          <w:iCs/>
          <w:sz w:val="20"/>
          <w:szCs w:val="20"/>
        </w:rPr>
        <w:t>26</w:t>
      </w:r>
      <w:r w:rsidRPr="00866DF7">
        <w:rPr>
          <w:rFonts w:eastAsia="Helvetica Neue"/>
          <w:sz w:val="20"/>
          <w:szCs w:val="20"/>
        </w:rPr>
        <w:t xml:space="preserve">(3), 140–146. </w:t>
      </w:r>
      <w:hyperlink r:id="rId15" w:history="1">
        <w:r w:rsidR="008741DC" w:rsidRPr="00232B4A">
          <w:rPr>
            <w:rStyle w:val="Hyperlink"/>
            <w:rFonts w:eastAsia="Helvetica Neue"/>
            <w:sz w:val="20"/>
            <w:szCs w:val="20"/>
          </w:rPr>
          <w:t>https://doi.org/10.1159/000091654</w:t>
        </w:r>
      </w:hyperlink>
    </w:p>
    <w:p w14:paraId="35A703A7" w14:textId="1099A9C1" w:rsidR="008741DC" w:rsidRPr="00F54D8C" w:rsidRDefault="008741DC" w:rsidP="00F60A1B">
      <w:pPr>
        <w:spacing w:before="240" w:after="240" w:line="480" w:lineRule="auto"/>
        <w:ind w:left="720" w:hanging="720"/>
        <w:jc w:val="both"/>
        <w:rPr>
          <w:rFonts w:eastAsia="Times New Roman"/>
          <w:sz w:val="20"/>
          <w:szCs w:val="20"/>
        </w:rPr>
      </w:pPr>
      <w:r w:rsidRPr="00866DF7">
        <w:rPr>
          <w:rFonts w:eastAsia="Times New Roman"/>
          <w:sz w:val="20"/>
          <w:szCs w:val="20"/>
        </w:rPr>
        <w:t>Alzheimer’s Research UK</w:t>
      </w:r>
      <w:r w:rsidR="00F54D8C">
        <w:rPr>
          <w:rFonts w:eastAsia="Times New Roman"/>
          <w:sz w:val="20"/>
          <w:szCs w:val="20"/>
        </w:rPr>
        <w:t>.</w:t>
      </w:r>
      <w:r>
        <w:rPr>
          <w:rFonts w:eastAsia="Times New Roman"/>
          <w:sz w:val="20"/>
          <w:szCs w:val="20"/>
        </w:rPr>
        <w:t xml:space="preserve"> </w:t>
      </w:r>
      <w:r w:rsidR="00F54D8C">
        <w:rPr>
          <w:rFonts w:eastAsia="Times New Roman"/>
          <w:sz w:val="20"/>
          <w:szCs w:val="20"/>
        </w:rPr>
        <w:t>(</w:t>
      </w:r>
      <w:r>
        <w:rPr>
          <w:rFonts w:eastAsia="Times New Roman"/>
          <w:sz w:val="20"/>
          <w:szCs w:val="20"/>
        </w:rPr>
        <w:t>2021</w:t>
      </w:r>
      <w:r w:rsidR="00F54D8C">
        <w:rPr>
          <w:rFonts w:eastAsia="Times New Roman"/>
          <w:sz w:val="20"/>
          <w:szCs w:val="20"/>
        </w:rPr>
        <w:t>).</w:t>
      </w:r>
      <w:r>
        <w:rPr>
          <w:rFonts w:eastAsia="Times New Roman"/>
          <w:sz w:val="20"/>
          <w:szCs w:val="20"/>
        </w:rPr>
        <w:t xml:space="preserve"> </w:t>
      </w:r>
      <w:r w:rsidRPr="00F54D8C">
        <w:rPr>
          <w:rFonts w:eastAsia="Times New Roman"/>
          <w:sz w:val="20"/>
          <w:szCs w:val="20"/>
        </w:rPr>
        <w:t>Poor delivery of dementia trials could leave UK trailing behind in search for breakthrough</w:t>
      </w:r>
      <w:r w:rsidR="00F54D8C">
        <w:rPr>
          <w:rFonts w:eastAsia="Times New Roman"/>
          <w:sz w:val="20"/>
          <w:szCs w:val="20"/>
        </w:rPr>
        <w:t xml:space="preserve">. </w:t>
      </w:r>
      <w:r w:rsidR="00F54D8C" w:rsidRPr="00866DF7">
        <w:rPr>
          <w:rFonts w:eastAsia="Times New Roman"/>
          <w:sz w:val="20"/>
          <w:szCs w:val="20"/>
        </w:rPr>
        <w:t>Alzheimer’s Research UK press.</w:t>
      </w:r>
      <w:r w:rsidR="00F54D8C">
        <w:rPr>
          <w:rFonts w:eastAsia="Times New Roman"/>
          <w:sz w:val="20"/>
          <w:szCs w:val="20"/>
        </w:rPr>
        <w:t xml:space="preserve"> </w:t>
      </w:r>
      <w:r w:rsidR="00F54D8C" w:rsidRPr="00F54D8C">
        <w:rPr>
          <w:rFonts w:eastAsia="Times New Roman"/>
          <w:sz w:val="20"/>
          <w:szCs w:val="20"/>
        </w:rPr>
        <w:t>https://www.alzheimersresearchuk.org/news/poor-delivery-dementia-trials-leave-uk-trailing-behind/</w:t>
      </w:r>
    </w:p>
    <w:p w14:paraId="2734AF0D" w14:textId="78276351" w:rsidR="001D6CEF" w:rsidRPr="00866DF7" w:rsidRDefault="001D6CEF" w:rsidP="00F60A1B">
      <w:pPr>
        <w:spacing w:before="240" w:after="240" w:line="480" w:lineRule="auto"/>
        <w:ind w:left="720" w:hanging="720"/>
        <w:jc w:val="both"/>
        <w:rPr>
          <w:rFonts w:eastAsia="Times New Roman"/>
          <w:sz w:val="20"/>
          <w:szCs w:val="20"/>
        </w:rPr>
      </w:pPr>
      <w:r w:rsidRPr="00866DF7">
        <w:rPr>
          <w:rFonts w:eastAsia="Times New Roman"/>
          <w:sz w:val="20"/>
          <w:szCs w:val="20"/>
        </w:rPr>
        <w:lastRenderedPageBreak/>
        <w:t>Alzheimer’s Research UK. (2023</w:t>
      </w:r>
      <w:r w:rsidR="00D417BF" w:rsidRPr="00866DF7">
        <w:rPr>
          <w:rFonts w:eastAsia="Times New Roman"/>
          <w:sz w:val="20"/>
          <w:szCs w:val="20"/>
        </w:rPr>
        <w:t>a</w:t>
      </w:r>
      <w:r w:rsidRPr="00866DF7">
        <w:rPr>
          <w:rFonts w:eastAsia="Times New Roman"/>
          <w:sz w:val="20"/>
          <w:szCs w:val="20"/>
        </w:rPr>
        <w:t xml:space="preserve">). Tipping point: the future of dementia. Alzheimer’s Research UK press. </w:t>
      </w:r>
      <w:hyperlink r:id="rId16">
        <w:r w:rsidRPr="00866DF7">
          <w:rPr>
            <w:rFonts w:eastAsia="Times New Roman"/>
            <w:sz w:val="20"/>
            <w:szCs w:val="20"/>
          </w:rPr>
          <w:t>https://www.alzheimersresearchuk.org/wp-content/uploads/2023/08/Tipping-Point-Report.pdf</w:t>
        </w:r>
      </w:hyperlink>
    </w:p>
    <w:p w14:paraId="665C6C8C" w14:textId="57D40E11" w:rsidR="001145DB" w:rsidRDefault="001145DB" w:rsidP="00F60A1B">
      <w:pPr>
        <w:spacing w:before="240" w:after="240" w:line="480" w:lineRule="auto"/>
        <w:ind w:left="720" w:hanging="720"/>
        <w:jc w:val="both"/>
      </w:pPr>
      <w:r w:rsidRPr="00866DF7">
        <w:rPr>
          <w:rFonts w:eastAsia="Times New Roman"/>
          <w:sz w:val="20"/>
          <w:szCs w:val="20"/>
        </w:rPr>
        <w:t>Alzheimer’s research UK. (2023</w:t>
      </w:r>
      <w:r w:rsidR="00D417BF" w:rsidRPr="00866DF7">
        <w:rPr>
          <w:rFonts w:eastAsia="Times New Roman"/>
          <w:sz w:val="20"/>
          <w:szCs w:val="20"/>
        </w:rPr>
        <w:t>b</w:t>
      </w:r>
      <w:r w:rsidRPr="00866DF7">
        <w:rPr>
          <w:rFonts w:eastAsia="Times New Roman"/>
          <w:sz w:val="20"/>
          <w:szCs w:val="20"/>
        </w:rPr>
        <w:t xml:space="preserve">). Towards brain health Equity. Alzheimer’s research UK press. </w:t>
      </w:r>
      <w:hyperlink r:id="rId17">
        <w:r w:rsidRPr="00866DF7">
          <w:rPr>
            <w:rFonts w:eastAsia="Times New Roman"/>
            <w:sz w:val="20"/>
            <w:szCs w:val="20"/>
          </w:rPr>
          <w:t>https://www.alzheimersresearchuk.org/wp-content/uploads/2023/10/Health-inequalties-full-report.pdf</w:t>
        </w:r>
      </w:hyperlink>
    </w:p>
    <w:p w14:paraId="63B0865F" w14:textId="2630E9D1" w:rsidR="00222C80" w:rsidRPr="0053430E" w:rsidRDefault="00222C80" w:rsidP="00F60A1B">
      <w:pPr>
        <w:spacing w:before="120" w:after="120" w:line="480" w:lineRule="auto"/>
        <w:ind w:left="720" w:hanging="720"/>
        <w:jc w:val="both"/>
        <w:rPr>
          <w:rFonts w:cstheme="minorHAnsi"/>
          <w:sz w:val="20"/>
          <w:szCs w:val="20"/>
        </w:rPr>
      </w:pPr>
      <w:r w:rsidRPr="0053430E">
        <w:rPr>
          <w:rFonts w:cstheme="minorHAnsi"/>
          <w:sz w:val="20"/>
          <w:szCs w:val="20"/>
          <w:shd w:val="clear" w:color="auto" w:fill="FFFFFF"/>
        </w:rPr>
        <w:t xml:space="preserve">American Psychiatric Association. (2013). </w:t>
      </w:r>
      <w:hyperlink r:id="rId18" w:tooltip="Diagnostic and Statistical Manual of Mental Disorders" w:history="1">
        <w:r w:rsidRPr="0053430E">
          <w:rPr>
            <w:rStyle w:val="Hyperlink"/>
            <w:rFonts w:cstheme="minorHAnsi"/>
            <w:color w:val="auto"/>
            <w:sz w:val="20"/>
            <w:szCs w:val="20"/>
            <w:u w:val="none"/>
          </w:rPr>
          <w:t>Diagnostic and Statistical Manual of Mental Disorders</w:t>
        </w:r>
      </w:hyperlink>
      <w:r w:rsidR="0053430E" w:rsidRPr="0053430E">
        <w:rPr>
          <w:rFonts w:cstheme="minorHAnsi"/>
          <w:sz w:val="20"/>
          <w:szCs w:val="20"/>
        </w:rPr>
        <w:t xml:space="preserve"> (</w:t>
      </w:r>
      <w:r w:rsidRPr="0053430E">
        <w:rPr>
          <w:rFonts w:cstheme="minorHAnsi"/>
          <w:sz w:val="20"/>
          <w:szCs w:val="20"/>
          <w:shd w:val="clear" w:color="auto" w:fill="FFFFFF"/>
        </w:rPr>
        <w:t>5th ed</w:t>
      </w:r>
      <w:r w:rsidR="0053430E" w:rsidRPr="0053430E">
        <w:rPr>
          <w:rFonts w:cstheme="minorHAnsi"/>
          <w:sz w:val="20"/>
          <w:szCs w:val="20"/>
          <w:shd w:val="clear" w:color="auto" w:fill="FFFFFF"/>
        </w:rPr>
        <w:t>.)</w:t>
      </w:r>
      <w:r w:rsidRPr="0053430E">
        <w:rPr>
          <w:rFonts w:cstheme="minorHAnsi"/>
          <w:sz w:val="20"/>
          <w:szCs w:val="20"/>
          <w:shd w:val="clear" w:color="auto" w:fill="FFFFFF"/>
        </w:rPr>
        <w:t>.  American Psychiatric Publishing.</w:t>
      </w:r>
      <w:r w:rsidRPr="0053430E">
        <w:rPr>
          <w:rFonts w:cstheme="minorHAnsi"/>
          <w:sz w:val="20"/>
          <w:szCs w:val="20"/>
        </w:rPr>
        <w:t xml:space="preserve"> </w:t>
      </w:r>
      <w:r w:rsidR="009F04CC" w:rsidRPr="009F04CC">
        <w:rPr>
          <w:rFonts w:cstheme="minorHAnsi"/>
          <w:sz w:val="20"/>
          <w:szCs w:val="20"/>
        </w:rPr>
        <w:t>https://ia800804.us.archive.org/6/items/dsm-5-tr_202412/DSM-5-TR.pdf</w:t>
      </w:r>
    </w:p>
    <w:p w14:paraId="2BB4B4A3" w14:textId="34274710" w:rsidR="00A70E37" w:rsidRPr="00866DF7" w:rsidRDefault="00A70E37" w:rsidP="00F60A1B">
      <w:pPr>
        <w:spacing w:before="240" w:after="24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Amieva, H., Le Goff, M., Millet, X., </w:t>
      </w:r>
      <w:proofErr w:type="spellStart"/>
      <w:r w:rsidRPr="00866DF7">
        <w:rPr>
          <w:rFonts w:eastAsia="Helvetica Neue"/>
          <w:sz w:val="20"/>
          <w:szCs w:val="20"/>
        </w:rPr>
        <w:t>Orgogozo</w:t>
      </w:r>
      <w:proofErr w:type="spellEnd"/>
      <w:r w:rsidRPr="00866DF7">
        <w:rPr>
          <w:rFonts w:eastAsia="Helvetica Neue"/>
          <w:sz w:val="20"/>
          <w:szCs w:val="20"/>
        </w:rPr>
        <w:t xml:space="preserve">, J. M., Pérès, K., Barberger-Gateau, P., Jacqmin-Gadda, H., &amp; </w:t>
      </w:r>
      <w:proofErr w:type="spellStart"/>
      <w:r w:rsidRPr="00866DF7">
        <w:rPr>
          <w:rFonts w:eastAsia="Helvetica Neue"/>
          <w:sz w:val="20"/>
          <w:szCs w:val="20"/>
        </w:rPr>
        <w:t>Dartigues</w:t>
      </w:r>
      <w:proofErr w:type="spellEnd"/>
      <w:r w:rsidRPr="00866DF7">
        <w:rPr>
          <w:rFonts w:eastAsia="Helvetica Neue"/>
          <w:sz w:val="20"/>
          <w:szCs w:val="20"/>
        </w:rPr>
        <w:t xml:space="preserve">, J. F. (2008). Prodromal Alzheimer's disease: successive emergence of the clinical symptoms. </w:t>
      </w:r>
      <w:r w:rsidRPr="00866DF7">
        <w:rPr>
          <w:rFonts w:eastAsia="Helvetica Neue"/>
          <w:i/>
          <w:iCs/>
          <w:sz w:val="20"/>
          <w:szCs w:val="20"/>
        </w:rPr>
        <w:t>Annals of neurology</w:t>
      </w:r>
      <w:r w:rsidRPr="00866DF7">
        <w:rPr>
          <w:rFonts w:eastAsia="Helvetica Neue"/>
          <w:sz w:val="20"/>
          <w:szCs w:val="20"/>
        </w:rPr>
        <w:t xml:space="preserve">, </w:t>
      </w:r>
      <w:r w:rsidRPr="00866DF7">
        <w:rPr>
          <w:rFonts w:eastAsia="Helvetica Neue"/>
          <w:i/>
          <w:iCs/>
          <w:sz w:val="20"/>
          <w:szCs w:val="20"/>
        </w:rPr>
        <w:t>64</w:t>
      </w:r>
      <w:r w:rsidRPr="00866DF7">
        <w:rPr>
          <w:rFonts w:eastAsia="Helvetica Neue"/>
          <w:sz w:val="20"/>
          <w:szCs w:val="20"/>
        </w:rPr>
        <w:t xml:space="preserve">(5), 492–498. </w:t>
      </w:r>
      <w:hyperlink r:id="rId19" w:history="1">
        <w:r w:rsidR="001D6CEF" w:rsidRPr="00866DF7">
          <w:rPr>
            <w:rStyle w:val="Hyperlink"/>
            <w:rFonts w:eastAsia="Helvetica Neue"/>
            <w:color w:val="auto"/>
            <w:sz w:val="20"/>
            <w:szCs w:val="20"/>
            <w:u w:val="none"/>
          </w:rPr>
          <w:t>https://doi.org/10.1002/ana.21509</w:t>
        </w:r>
      </w:hyperlink>
    </w:p>
    <w:p w14:paraId="08CE8CB9" w14:textId="147E41D8" w:rsidR="001145DB" w:rsidRPr="00866DF7" w:rsidRDefault="001145DB" w:rsidP="00F60A1B">
      <w:pPr>
        <w:spacing w:before="240" w:after="240" w:line="480" w:lineRule="auto"/>
        <w:ind w:left="720" w:hanging="720"/>
        <w:jc w:val="both"/>
        <w:rPr>
          <w:rFonts w:eastAsia="Times New Roman"/>
          <w:sz w:val="20"/>
          <w:szCs w:val="20"/>
        </w:rPr>
      </w:pPr>
      <w:r w:rsidRPr="00866DF7">
        <w:rPr>
          <w:rFonts w:eastAsia="Helvetica Neue"/>
          <w:sz w:val="20"/>
          <w:szCs w:val="20"/>
        </w:rPr>
        <w:t xml:space="preserve">Andersen, K., Lolk, A., Kragh-Sørensen, P., Petersen, N. E., &amp; Green, A. (2005). Depression and the risk of Alzheimer disease. </w:t>
      </w:r>
      <w:r w:rsidRPr="00866DF7">
        <w:rPr>
          <w:rFonts w:eastAsia="Helvetica Neue"/>
          <w:i/>
          <w:iCs/>
          <w:sz w:val="20"/>
          <w:szCs w:val="20"/>
        </w:rPr>
        <w:t>Epidemiology (Cambridge, Mass.)</w:t>
      </w:r>
      <w:r w:rsidRPr="00866DF7">
        <w:rPr>
          <w:rFonts w:eastAsia="Helvetica Neue"/>
          <w:sz w:val="20"/>
          <w:szCs w:val="20"/>
        </w:rPr>
        <w:t xml:space="preserve">, </w:t>
      </w:r>
      <w:r w:rsidRPr="00866DF7">
        <w:rPr>
          <w:rFonts w:eastAsia="Helvetica Neue"/>
          <w:i/>
          <w:iCs/>
          <w:sz w:val="20"/>
          <w:szCs w:val="20"/>
        </w:rPr>
        <w:t>16</w:t>
      </w:r>
      <w:r w:rsidRPr="00866DF7">
        <w:rPr>
          <w:rFonts w:eastAsia="Helvetica Neue"/>
          <w:sz w:val="20"/>
          <w:szCs w:val="20"/>
        </w:rPr>
        <w:t>(2), 233–238. https://doi.org/10.1097/01.ede.0000152116.32580.24</w:t>
      </w:r>
    </w:p>
    <w:p w14:paraId="4D2F4149" w14:textId="66CC92FC" w:rsidR="00A90B1F" w:rsidRPr="00866DF7" w:rsidRDefault="00A90B1F" w:rsidP="00F60A1B">
      <w:pPr>
        <w:spacing w:before="240" w:after="240" w:line="480" w:lineRule="auto"/>
        <w:ind w:left="720" w:hanging="720"/>
        <w:jc w:val="both"/>
        <w:rPr>
          <w:b/>
          <w:bCs/>
          <w:sz w:val="20"/>
          <w:szCs w:val="20"/>
        </w:rPr>
      </w:pPr>
      <w:r w:rsidRPr="00866DF7">
        <w:rPr>
          <w:rFonts w:eastAsia="Helvetica Neue"/>
          <w:sz w:val="20"/>
          <w:szCs w:val="20"/>
        </w:rPr>
        <w:t xml:space="preserve">Anttila, T., </w:t>
      </w:r>
      <w:proofErr w:type="spellStart"/>
      <w:r w:rsidRPr="00866DF7">
        <w:rPr>
          <w:rFonts w:eastAsia="Helvetica Neue"/>
          <w:sz w:val="20"/>
          <w:szCs w:val="20"/>
        </w:rPr>
        <w:t>Helkala</w:t>
      </w:r>
      <w:proofErr w:type="spellEnd"/>
      <w:r w:rsidRPr="00866DF7">
        <w:rPr>
          <w:rFonts w:eastAsia="Helvetica Neue"/>
          <w:sz w:val="20"/>
          <w:szCs w:val="20"/>
        </w:rPr>
        <w:t xml:space="preserve">, E. L., Viitanen, M., </w:t>
      </w:r>
      <w:proofErr w:type="spellStart"/>
      <w:r w:rsidRPr="00866DF7">
        <w:rPr>
          <w:rFonts w:eastAsia="Helvetica Neue"/>
          <w:sz w:val="20"/>
          <w:szCs w:val="20"/>
        </w:rPr>
        <w:t>Kåreholt</w:t>
      </w:r>
      <w:proofErr w:type="spellEnd"/>
      <w:r w:rsidRPr="00866DF7">
        <w:rPr>
          <w:rFonts w:eastAsia="Helvetica Neue"/>
          <w:sz w:val="20"/>
          <w:szCs w:val="20"/>
        </w:rPr>
        <w:t xml:space="preserve">, I., </w:t>
      </w:r>
      <w:proofErr w:type="spellStart"/>
      <w:r w:rsidRPr="00866DF7">
        <w:rPr>
          <w:rFonts w:eastAsia="Helvetica Neue"/>
          <w:sz w:val="20"/>
          <w:szCs w:val="20"/>
        </w:rPr>
        <w:t>Fratiglioni</w:t>
      </w:r>
      <w:proofErr w:type="spellEnd"/>
      <w:r w:rsidRPr="00866DF7">
        <w:rPr>
          <w:rFonts w:eastAsia="Helvetica Neue"/>
          <w:sz w:val="20"/>
          <w:szCs w:val="20"/>
        </w:rPr>
        <w:t xml:space="preserve">, L., Winblad, B., Soininen, H., </w:t>
      </w:r>
      <w:proofErr w:type="spellStart"/>
      <w:r w:rsidRPr="00866DF7">
        <w:rPr>
          <w:rFonts w:eastAsia="Helvetica Neue"/>
          <w:sz w:val="20"/>
          <w:szCs w:val="20"/>
        </w:rPr>
        <w:t>Tuomilehto</w:t>
      </w:r>
      <w:proofErr w:type="spellEnd"/>
      <w:r w:rsidRPr="00866DF7">
        <w:rPr>
          <w:rFonts w:eastAsia="Helvetica Neue"/>
          <w:sz w:val="20"/>
          <w:szCs w:val="20"/>
        </w:rPr>
        <w:t xml:space="preserve">, J., Nissinen, A., &amp; </w:t>
      </w:r>
      <w:proofErr w:type="spellStart"/>
      <w:r w:rsidRPr="00866DF7">
        <w:rPr>
          <w:rFonts w:eastAsia="Helvetica Neue"/>
          <w:sz w:val="20"/>
          <w:szCs w:val="20"/>
        </w:rPr>
        <w:t>Kivipelto</w:t>
      </w:r>
      <w:proofErr w:type="spellEnd"/>
      <w:r w:rsidRPr="00866DF7">
        <w:rPr>
          <w:rFonts w:eastAsia="Helvetica Neue"/>
          <w:sz w:val="20"/>
          <w:szCs w:val="20"/>
        </w:rPr>
        <w:t xml:space="preserve">, M. (2004). Alcohol drinking in middle age and subsequent risk of mild cognitive impairment and dementia in old age: a prospective population based study. </w:t>
      </w:r>
      <w:r w:rsidRPr="00866DF7">
        <w:rPr>
          <w:rFonts w:eastAsia="Helvetica Neue"/>
          <w:i/>
          <w:iCs/>
          <w:sz w:val="20"/>
          <w:szCs w:val="20"/>
        </w:rPr>
        <w:t>BMJ (Clinical research ed.)</w:t>
      </w:r>
      <w:r w:rsidRPr="00866DF7">
        <w:rPr>
          <w:rFonts w:eastAsia="Helvetica Neue"/>
          <w:sz w:val="20"/>
          <w:szCs w:val="20"/>
        </w:rPr>
        <w:t xml:space="preserve">, </w:t>
      </w:r>
      <w:r w:rsidRPr="00866DF7">
        <w:rPr>
          <w:rFonts w:eastAsia="Helvetica Neue"/>
          <w:i/>
          <w:iCs/>
          <w:sz w:val="20"/>
          <w:szCs w:val="20"/>
        </w:rPr>
        <w:t>329</w:t>
      </w:r>
      <w:r w:rsidRPr="00866DF7">
        <w:rPr>
          <w:rFonts w:eastAsia="Helvetica Neue"/>
          <w:sz w:val="20"/>
          <w:szCs w:val="20"/>
        </w:rPr>
        <w:t>(7465), 539. https://doi.org/10.1136/bmj.38181.418958.BE</w:t>
      </w:r>
    </w:p>
    <w:p w14:paraId="0F85D7DE" w14:textId="0312F050" w:rsidR="005D2C49" w:rsidRPr="00866DF7" w:rsidRDefault="005D2C49"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Barnes, L. L., Mendes de Leon, C. F., Wilson, R. S., Bienias, J. L., &amp; Evans, D. A. (2004). Social resources and cognitive decline in a population of older African Americans and whites. </w:t>
      </w:r>
      <w:r w:rsidRPr="00866DF7">
        <w:rPr>
          <w:rFonts w:eastAsia="Helvetica Neue"/>
          <w:i/>
          <w:iCs/>
          <w:sz w:val="20"/>
          <w:szCs w:val="20"/>
        </w:rPr>
        <w:t>Neurology</w:t>
      </w:r>
      <w:r w:rsidRPr="00866DF7">
        <w:rPr>
          <w:rFonts w:eastAsia="Helvetica Neue"/>
          <w:sz w:val="20"/>
          <w:szCs w:val="20"/>
        </w:rPr>
        <w:t xml:space="preserve">, </w:t>
      </w:r>
      <w:r w:rsidRPr="00866DF7">
        <w:rPr>
          <w:rFonts w:eastAsia="Helvetica Neue"/>
          <w:i/>
          <w:iCs/>
          <w:sz w:val="20"/>
          <w:szCs w:val="20"/>
        </w:rPr>
        <w:t>63</w:t>
      </w:r>
      <w:r w:rsidRPr="00866DF7">
        <w:rPr>
          <w:rFonts w:eastAsia="Helvetica Neue"/>
          <w:sz w:val="20"/>
          <w:szCs w:val="20"/>
        </w:rPr>
        <w:t xml:space="preserve">(12), 2322–2326. </w:t>
      </w:r>
      <w:hyperlink r:id="rId20">
        <w:r w:rsidRPr="00866DF7">
          <w:rPr>
            <w:rFonts w:eastAsia="Helvetica Neue"/>
            <w:sz w:val="20"/>
            <w:szCs w:val="20"/>
          </w:rPr>
          <w:t>https://doi.org/10.1212/01.wnl.0000147473.04043.b3</w:t>
        </w:r>
      </w:hyperlink>
    </w:p>
    <w:p w14:paraId="1FC5DE55" w14:textId="14D34759" w:rsidR="00D417BF" w:rsidRPr="00866DF7" w:rsidRDefault="00D417BF" w:rsidP="00F60A1B">
      <w:pPr>
        <w:spacing w:before="240" w:after="240" w:line="480" w:lineRule="auto"/>
        <w:ind w:left="720" w:hanging="720"/>
        <w:jc w:val="both"/>
        <w:rPr>
          <w:rFonts w:eastAsia="Helvetica Neue"/>
          <w:sz w:val="20"/>
          <w:szCs w:val="20"/>
        </w:rPr>
      </w:pPr>
      <w:proofErr w:type="spellStart"/>
      <w:r w:rsidRPr="00866DF7">
        <w:rPr>
          <w:rFonts w:eastAsia="Helvetica Neue"/>
          <w:sz w:val="20"/>
          <w:szCs w:val="20"/>
        </w:rPr>
        <w:t>Blennow</w:t>
      </w:r>
      <w:proofErr w:type="spellEnd"/>
      <w:r w:rsidRPr="00866DF7">
        <w:rPr>
          <w:rFonts w:eastAsia="Helvetica Neue"/>
          <w:sz w:val="20"/>
          <w:szCs w:val="20"/>
        </w:rPr>
        <w:t xml:space="preserve">, K., de Leon, M. J., &amp; Zetterberg, H. (2006). Alzheimer's disease.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368</w:t>
      </w:r>
      <w:r w:rsidRPr="00866DF7">
        <w:rPr>
          <w:rFonts w:eastAsia="Helvetica Neue"/>
          <w:sz w:val="20"/>
          <w:szCs w:val="20"/>
        </w:rPr>
        <w:t xml:space="preserve">(9533), 387–403. </w:t>
      </w:r>
      <w:hyperlink r:id="rId21" w:history="1">
        <w:r w:rsidRPr="00866DF7">
          <w:rPr>
            <w:rStyle w:val="Hyperlink"/>
            <w:rFonts w:eastAsia="Helvetica Neue"/>
            <w:color w:val="auto"/>
            <w:sz w:val="20"/>
            <w:szCs w:val="20"/>
            <w:u w:val="none"/>
          </w:rPr>
          <w:t>https://doi.org/10.1016/S0140-6736(06)69113-7</w:t>
        </w:r>
      </w:hyperlink>
    </w:p>
    <w:p w14:paraId="5BD0A725" w14:textId="07E3F023" w:rsidR="001D6CEF" w:rsidRPr="00866DF7" w:rsidRDefault="001D6CEF" w:rsidP="00F60A1B">
      <w:pPr>
        <w:spacing w:before="240" w:after="240" w:line="480" w:lineRule="auto"/>
        <w:ind w:left="720" w:hanging="720"/>
        <w:jc w:val="both"/>
        <w:rPr>
          <w:rFonts w:eastAsia="Times New Roman"/>
          <w:sz w:val="20"/>
          <w:szCs w:val="20"/>
        </w:rPr>
      </w:pPr>
      <w:r w:rsidRPr="00866DF7">
        <w:rPr>
          <w:rFonts w:eastAsia="Times New Roman"/>
          <w:sz w:val="20"/>
          <w:szCs w:val="20"/>
        </w:rPr>
        <w:lastRenderedPageBreak/>
        <w:t xml:space="preserve">British Lung Foundation. (2018). Toxic air at the door of the NHS. British Lung Foundation press. </w:t>
      </w:r>
      <w:hyperlink r:id="rId22">
        <w:r w:rsidRPr="00866DF7">
          <w:rPr>
            <w:rFonts w:eastAsia="Times New Roman"/>
            <w:sz w:val="20"/>
            <w:szCs w:val="20"/>
          </w:rPr>
          <w:t>https://www.blf.org.uk/take-action/campaign/nhs-toxic-air-report</w:t>
        </w:r>
      </w:hyperlink>
    </w:p>
    <w:p w14:paraId="2AA7B819" w14:textId="71D9D85B" w:rsidR="00D417BF" w:rsidRPr="00866DF7" w:rsidRDefault="00D417BF"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Buchman, A. S., Wilson, R. S., Bienias, J. L., Shah, R. C., Evans, D. A., &amp; Bennett, D. A. (2005). Change in body mass index and risk of incident Alzheimer disease. </w:t>
      </w:r>
      <w:r w:rsidRPr="00866DF7">
        <w:rPr>
          <w:rFonts w:eastAsia="Helvetica Neue"/>
          <w:i/>
          <w:iCs/>
          <w:sz w:val="20"/>
          <w:szCs w:val="20"/>
        </w:rPr>
        <w:t>Neurology</w:t>
      </w:r>
      <w:r w:rsidRPr="00866DF7">
        <w:rPr>
          <w:rFonts w:eastAsia="Helvetica Neue"/>
          <w:sz w:val="20"/>
          <w:szCs w:val="20"/>
        </w:rPr>
        <w:t xml:space="preserve">, </w:t>
      </w:r>
      <w:r w:rsidRPr="00866DF7">
        <w:rPr>
          <w:rFonts w:eastAsia="Helvetica Neue"/>
          <w:i/>
          <w:iCs/>
          <w:sz w:val="20"/>
          <w:szCs w:val="20"/>
        </w:rPr>
        <w:t>65</w:t>
      </w:r>
      <w:r w:rsidRPr="00866DF7">
        <w:rPr>
          <w:rFonts w:eastAsia="Helvetica Neue"/>
          <w:sz w:val="20"/>
          <w:szCs w:val="20"/>
        </w:rPr>
        <w:t xml:space="preserve">(6), 892–897. </w:t>
      </w:r>
      <w:hyperlink r:id="rId23" w:history="1">
        <w:r w:rsidRPr="00866DF7">
          <w:rPr>
            <w:rStyle w:val="Hyperlink"/>
            <w:rFonts w:eastAsia="Helvetica Neue"/>
            <w:color w:val="auto"/>
            <w:sz w:val="20"/>
            <w:szCs w:val="20"/>
            <w:u w:val="none"/>
          </w:rPr>
          <w:t>https://doi.org/10.1212/01.wnl.0000176061.33817.90</w:t>
        </w:r>
      </w:hyperlink>
    </w:p>
    <w:p w14:paraId="1C8049BC" w14:textId="52799FB6" w:rsidR="001D6CEF" w:rsidRDefault="001D6CEF" w:rsidP="00F60A1B">
      <w:pPr>
        <w:spacing w:before="240" w:after="240" w:line="480" w:lineRule="auto"/>
        <w:ind w:left="720" w:hanging="720"/>
        <w:jc w:val="both"/>
      </w:pPr>
      <w:r w:rsidRPr="00866DF7">
        <w:rPr>
          <w:rFonts w:eastAsia="Helvetica Neue"/>
          <w:sz w:val="20"/>
          <w:szCs w:val="20"/>
        </w:rPr>
        <w:t xml:space="preserve">Burns, J., Boogaard, H., Polus, S., Pfadenhauer, L. M., Rohwer, A. C., van Erp, A. M., Turley, R., &amp; </w:t>
      </w:r>
      <w:proofErr w:type="spellStart"/>
      <w:r w:rsidRPr="00866DF7">
        <w:rPr>
          <w:rFonts w:eastAsia="Helvetica Neue"/>
          <w:sz w:val="20"/>
          <w:szCs w:val="20"/>
        </w:rPr>
        <w:t>Rehfuess</w:t>
      </w:r>
      <w:proofErr w:type="spellEnd"/>
      <w:r w:rsidRPr="00866DF7">
        <w:rPr>
          <w:rFonts w:eastAsia="Helvetica Neue"/>
          <w:sz w:val="20"/>
          <w:szCs w:val="20"/>
        </w:rPr>
        <w:t xml:space="preserve">, E. (2019). Interventions to reduce ambient particulate matter air pollution and their effect on health. </w:t>
      </w:r>
      <w:r w:rsidRPr="00866DF7">
        <w:rPr>
          <w:rFonts w:eastAsia="Helvetica Neue"/>
          <w:i/>
          <w:iCs/>
          <w:sz w:val="20"/>
          <w:szCs w:val="20"/>
        </w:rPr>
        <w:t>The Cochrane database of systematic reviews</w:t>
      </w:r>
      <w:r w:rsidRPr="00866DF7">
        <w:rPr>
          <w:rFonts w:eastAsia="Helvetica Neue"/>
          <w:sz w:val="20"/>
          <w:szCs w:val="20"/>
        </w:rPr>
        <w:t xml:space="preserve">, </w:t>
      </w:r>
      <w:r w:rsidRPr="00866DF7">
        <w:rPr>
          <w:rFonts w:eastAsia="Helvetica Neue"/>
          <w:i/>
          <w:iCs/>
          <w:sz w:val="20"/>
          <w:szCs w:val="20"/>
        </w:rPr>
        <w:t>5</w:t>
      </w:r>
      <w:r w:rsidRPr="00866DF7">
        <w:rPr>
          <w:rFonts w:eastAsia="Helvetica Neue"/>
          <w:sz w:val="20"/>
          <w:szCs w:val="20"/>
        </w:rPr>
        <w:t xml:space="preserve">(5), CD010919. </w:t>
      </w:r>
      <w:hyperlink r:id="rId24" w:history="1">
        <w:r w:rsidR="00D417BF" w:rsidRPr="00866DF7">
          <w:rPr>
            <w:rStyle w:val="Hyperlink"/>
            <w:rFonts w:eastAsia="Helvetica Neue"/>
            <w:color w:val="auto"/>
            <w:sz w:val="20"/>
            <w:szCs w:val="20"/>
            <w:u w:val="none"/>
          </w:rPr>
          <w:t>https://doi.org/10.1002/14651858.CD010919.pub2</w:t>
        </w:r>
      </w:hyperlink>
    </w:p>
    <w:p w14:paraId="0C3C0AD6" w14:textId="1B699706" w:rsidR="00607344" w:rsidRPr="00866DF7" w:rsidRDefault="00600FC3" w:rsidP="00F60A1B">
      <w:pPr>
        <w:spacing w:before="240" w:after="240" w:line="480" w:lineRule="auto"/>
        <w:ind w:left="720" w:hanging="720"/>
        <w:jc w:val="both"/>
        <w:rPr>
          <w:rFonts w:eastAsia="Helvetica Neue"/>
          <w:sz w:val="20"/>
          <w:szCs w:val="20"/>
        </w:rPr>
      </w:pPr>
      <w:r w:rsidRPr="00607344">
        <w:rPr>
          <w:rFonts w:eastAsia="Helvetica Neue"/>
          <w:sz w:val="20"/>
          <w:szCs w:val="20"/>
        </w:rPr>
        <w:t xml:space="preserve">Cabinet </w:t>
      </w:r>
      <w:r w:rsidR="001541DD">
        <w:rPr>
          <w:rFonts w:eastAsia="Helvetica Neue"/>
          <w:sz w:val="20"/>
          <w:szCs w:val="20"/>
        </w:rPr>
        <w:t>O</w:t>
      </w:r>
      <w:r w:rsidRPr="00607344">
        <w:rPr>
          <w:rFonts w:eastAsia="Helvetica Neue"/>
          <w:sz w:val="20"/>
          <w:szCs w:val="20"/>
        </w:rPr>
        <w:t>ffice</w:t>
      </w:r>
      <w:r>
        <w:rPr>
          <w:rFonts w:eastAsia="Helvetica Neue"/>
          <w:sz w:val="20"/>
          <w:szCs w:val="20"/>
        </w:rPr>
        <w:t>. (2020).</w:t>
      </w:r>
      <w:r w:rsidRPr="00607344">
        <w:rPr>
          <w:rFonts w:eastAsia="Helvetica Neue"/>
          <w:sz w:val="20"/>
          <w:szCs w:val="20"/>
        </w:rPr>
        <w:t xml:space="preserve"> </w:t>
      </w:r>
      <w:r w:rsidR="001541DD">
        <w:rPr>
          <w:rFonts w:eastAsia="Helvetica Neue"/>
          <w:sz w:val="20"/>
          <w:szCs w:val="20"/>
        </w:rPr>
        <w:t>S</w:t>
      </w:r>
      <w:r w:rsidRPr="00607344">
        <w:rPr>
          <w:rFonts w:eastAsia="Helvetica Neue"/>
          <w:sz w:val="20"/>
          <w:szCs w:val="20"/>
        </w:rPr>
        <w:t>haping our future together</w:t>
      </w:r>
      <w:r w:rsidR="001541DD">
        <w:rPr>
          <w:rFonts w:eastAsia="Helvetica Neue"/>
          <w:sz w:val="20"/>
          <w:szCs w:val="20"/>
        </w:rPr>
        <w:t>.</w:t>
      </w:r>
      <w:r w:rsidRPr="00607344">
        <w:rPr>
          <w:rFonts w:eastAsia="Helvetica Neue"/>
          <w:sz w:val="20"/>
          <w:szCs w:val="20"/>
        </w:rPr>
        <w:t xml:space="preserve"> </w:t>
      </w:r>
      <w:r w:rsidR="001541DD">
        <w:rPr>
          <w:rFonts w:eastAsia="Helvetica Neue"/>
          <w:sz w:val="20"/>
          <w:szCs w:val="20"/>
        </w:rPr>
        <w:t xml:space="preserve">Cabinet office press. </w:t>
      </w:r>
      <w:r w:rsidR="001541DD" w:rsidRPr="001541DD">
        <w:rPr>
          <w:rFonts w:eastAsia="Helvetica Neue"/>
          <w:sz w:val="20"/>
          <w:szCs w:val="20"/>
        </w:rPr>
        <w:t>https://www.gov.uk/government/publications/shaping-our-future-together</w:t>
      </w:r>
    </w:p>
    <w:p w14:paraId="6DB24ABB" w14:textId="5E4057E2" w:rsidR="00D417BF" w:rsidRDefault="00D417BF" w:rsidP="00F60A1B">
      <w:pPr>
        <w:spacing w:before="240" w:after="240" w:line="480" w:lineRule="auto"/>
        <w:ind w:left="720" w:hanging="720"/>
        <w:jc w:val="both"/>
      </w:pPr>
      <w:r w:rsidRPr="00866DF7">
        <w:rPr>
          <w:rFonts w:eastAsia="Helvetica Neue"/>
          <w:sz w:val="20"/>
          <w:szCs w:val="20"/>
        </w:rPr>
        <w:t xml:space="preserve">Cadar, D., </w:t>
      </w:r>
      <w:proofErr w:type="spellStart"/>
      <w:r w:rsidRPr="00866DF7">
        <w:rPr>
          <w:rFonts w:eastAsia="Helvetica Neue"/>
          <w:sz w:val="20"/>
          <w:szCs w:val="20"/>
        </w:rPr>
        <w:t>Lassale</w:t>
      </w:r>
      <w:proofErr w:type="spellEnd"/>
      <w:r w:rsidRPr="00866DF7">
        <w:rPr>
          <w:rFonts w:eastAsia="Helvetica Neue"/>
          <w:sz w:val="20"/>
          <w:szCs w:val="20"/>
        </w:rPr>
        <w:t xml:space="preserve">, C., Davies, H., Llewellyn, D. J., Batty, G. D., &amp; Steptoe, A. (2018). Individual and Area-Based Socioeconomic Factors Associated With Dementia Incidence in England: Evidence From a 12-Year Follow-up in the English Longitudinal Study of Ageing. </w:t>
      </w:r>
      <w:r w:rsidRPr="00866DF7">
        <w:rPr>
          <w:rFonts w:eastAsia="Helvetica Neue"/>
          <w:i/>
          <w:iCs/>
          <w:sz w:val="20"/>
          <w:szCs w:val="20"/>
        </w:rPr>
        <w:t>JAMA psychiatry</w:t>
      </w:r>
      <w:r w:rsidRPr="00866DF7">
        <w:rPr>
          <w:rFonts w:eastAsia="Helvetica Neue"/>
          <w:sz w:val="20"/>
          <w:szCs w:val="20"/>
        </w:rPr>
        <w:t xml:space="preserve">, </w:t>
      </w:r>
      <w:r w:rsidRPr="00866DF7">
        <w:rPr>
          <w:rFonts w:eastAsia="Helvetica Neue"/>
          <w:i/>
          <w:iCs/>
          <w:sz w:val="20"/>
          <w:szCs w:val="20"/>
        </w:rPr>
        <w:t>75</w:t>
      </w:r>
      <w:r w:rsidRPr="00866DF7">
        <w:rPr>
          <w:rFonts w:eastAsia="Helvetica Neue"/>
          <w:sz w:val="20"/>
          <w:szCs w:val="20"/>
        </w:rPr>
        <w:t xml:space="preserve">(7), 723–732. </w:t>
      </w:r>
      <w:hyperlink r:id="rId25" w:history="1">
        <w:r w:rsidRPr="00866DF7">
          <w:rPr>
            <w:rStyle w:val="Hyperlink"/>
            <w:rFonts w:eastAsia="Helvetica Neue"/>
            <w:color w:val="auto"/>
            <w:sz w:val="20"/>
            <w:szCs w:val="20"/>
            <w:u w:val="none"/>
          </w:rPr>
          <w:t>https://doi.org/10.1001/jamapsychiatry.2018.1012</w:t>
        </w:r>
      </w:hyperlink>
    </w:p>
    <w:p w14:paraId="13886889" w14:textId="4A6BBB44" w:rsidR="000A7D77" w:rsidRPr="00866DF7" w:rsidRDefault="000A7D77" w:rsidP="00F60A1B">
      <w:pPr>
        <w:spacing w:before="240" w:after="240" w:line="480" w:lineRule="auto"/>
        <w:ind w:left="720" w:hanging="720"/>
        <w:jc w:val="both"/>
        <w:rPr>
          <w:rStyle w:val="Hyperlink"/>
          <w:rFonts w:eastAsia="Helvetica Neue"/>
          <w:color w:val="auto"/>
          <w:sz w:val="20"/>
          <w:szCs w:val="20"/>
          <w:u w:val="none"/>
        </w:rPr>
      </w:pPr>
      <w:proofErr w:type="spellStart"/>
      <w:r w:rsidRPr="000A7D77">
        <w:rPr>
          <w:rFonts w:eastAsia="Helvetica Neue"/>
          <w:sz w:val="20"/>
          <w:szCs w:val="20"/>
        </w:rPr>
        <w:t>Calabrò</w:t>
      </w:r>
      <w:proofErr w:type="spellEnd"/>
      <w:r w:rsidRPr="000A7D77">
        <w:rPr>
          <w:rFonts w:eastAsia="Helvetica Neue"/>
          <w:sz w:val="20"/>
          <w:szCs w:val="20"/>
        </w:rPr>
        <w:t>, M., Rinaldi, C., Santoro, G., &amp; Crisafulli, C. (2020). The biological pathways of Alzheimer disease: a review. </w:t>
      </w:r>
      <w:r w:rsidRPr="000A7D77">
        <w:rPr>
          <w:rFonts w:eastAsia="Helvetica Neue"/>
          <w:i/>
          <w:iCs/>
          <w:sz w:val="20"/>
          <w:szCs w:val="20"/>
        </w:rPr>
        <w:t>AIMS neuroscience</w:t>
      </w:r>
      <w:r w:rsidRPr="000A7D77">
        <w:rPr>
          <w:rFonts w:eastAsia="Helvetica Neue"/>
          <w:sz w:val="20"/>
          <w:szCs w:val="20"/>
        </w:rPr>
        <w:t>, </w:t>
      </w:r>
      <w:r w:rsidRPr="000A7D77">
        <w:rPr>
          <w:rFonts w:eastAsia="Helvetica Neue"/>
          <w:i/>
          <w:iCs/>
          <w:sz w:val="20"/>
          <w:szCs w:val="20"/>
        </w:rPr>
        <w:t>8</w:t>
      </w:r>
      <w:r w:rsidRPr="000A7D77">
        <w:rPr>
          <w:rFonts w:eastAsia="Helvetica Neue"/>
          <w:sz w:val="20"/>
          <w:szCs w:val="20"/>
        </w:rPr>
        <w:t>(1), 86–132. https://doi.org/10.3934/Neuroscience.2021005</w:t>
      </w:r>
    </w:p>
    <w:p w14:paraId="032894DF" w14:textId="2398F9F4" w:rsidR="00D417BF" w:rsidRPr="00866DF7" w:rsidRDefault="00D417BF" w:rsidP="00F60A1B">
      <w:pPr>
        <w:spacing w:before="240" w:after="240" w:line="480" w:lineRule="auto"/>
        <w:ind w:left="720" w:hanging="720"/>
        <w:jc w:val="both"/>
        <w:rPr>
          <w:rStyle w:val="Hyperlink"/>
          <w:rFonts w:eastAsia="Helvetica Neue"/>
          <w:sz w:val="20"/>
          <w:szCs w:val="20"/>
        </w:rPr>
      </w:pPr>
      <w:r w:rsidRPr="00866DF7">
        <w:rPr>
          <w:rFonts w:eastAsia="Helvetica Neue"/>
          <w:sz w:val="20"/>
          <w:szCs w:val="20"/>
        </w:rPr>
        <w:t xml:space="preserve">Cheng, B., Liu, M., Zhang, D., Munsell, B. C., &amp; Shen, D. (2015). Domain Transfer Learning for MCI Conversion Prediction. </w:t>
      </w:r>
      <w:r w:rsidRPr="00866DF7">
        <w:rPr>
          <w:rFonts w:eastAsia="Helvetica Neue"/>
          <w:i/>
          <w:iCs/>
          <w:sz w:val="20"/>
          <w:szCs w:val="20"/>
        </w:rPr>
        <w:t>IEEE transactions on bio-medical engineering</w:t>
      </w:r>
      <w:r w:rsidRPr="00866DF7">
        <w:rPr>
          <w:rFonts w:eastAsia="Helvetica Neue"/>
          <w:sz w:val="20"/>
          <w:szCs w:val="20"/>
        </w:rPr>
        <w:t xml:space="preserve">, </w:t>
      </w:r>
      <w:r w:rsidRPr="00866DF7">
        <w:rPr>
          <w:rFonts w:eastAsia="Helvetica Neue"/>
          <w:i/>
          <w:iCs/>
          <w:sz w:val="20"/>
          <w:szCs w:val="20"/>
        </w:rPr>
        <w:t>62</w:t>
      </w:r>
      <w:r w:rsidRPr="00866DF7">
        <w:rPr>
          <w:rFonts w:eastAsia="Helvetica Neue"/>
          <w:sz w:val="20"/>
          <w:szCs w:val="20"/>
        </w:rPr>
        <w:t xml:space="preserve">(7), 1805–1817. </w:t>
      </w:r>
      <w:hyperlink r:id="rId26" w:history="1">
        <w:r w:rsidRPr="00866DF7">
          <w:rPr>
            <w:rStyle w:val="Hyperlink"/>
            <w:rFonts w:eastAsia="Helvetica Neue"/>
            <w:color w:val="auto"/>
            <w:sz w:val="20"/>
            <w:szCs w:val="20"/>
            <w:u w:val="none"/>
          </w:rPr>
          <w:t>https://doi.org/10.1109/TBME.2015.2404809</w:t>
        </w:r>
      </w:hyperlink>
    </w:p>
    <w:p w14:paraId="08C93416" w14:textId="70103347" w:rsidR="00D417BF" w:rsidRPr="00866DF7" w:rsidRDefault="00D417BF"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Clarke, P. J., Weuve, J., Barnes, L., Evans, D. A., &amp; Mendes de Leon, C. F. (2015). Cognitive decline and the neighborhood environment. </w:t>
      </w:r>
      <w:r w:rsidRPr="00866DF7">
        <w:rPr>
          <w:rFonts w:eastAsia="Helvetica Neue"/>
          <w:i/>
          <w:iCs/>
          <w:sz w:val="20"/>
          <w:szCs w:val="20"/>
        </w:rPr>
        <w:t>Annals of epidemiology</w:t>
      </w:r>
      <w:r w:rsidRPr="00866DF7">
        <w:rPr>
          <w:rFonts w:eastAsia="Helvetica Neue"/>
          <w:sz w:val="20"/>
          <w:szCs w:val="20"/>
        </w:rPr>
        <w:t xml:space="preserve">, </w:t>
      </w:r>
      <w:r w:rsidRPr="00866DF7">
        <w:rPr>
          <w:rFonts w:eastAsia="Helvetica Neue"/>
          <w:i/>
          <w:iCs/>
          <w:sz w:val="20"/>
          <w:szCs w:val="20"/>
        </w:rPr>
        <w:t>25</w:t>
      </w:r>
      <w:r w:rsidRPr="00866DF7">
        <w:rPr>
          <w:rFonts w:eastAsia="Helvetica Neue"/>
          <w:sz w:val="20"/>
          <w:szCs w:val="20"/>
        </w:rPr>
        <w:t>(11), 849–854. https://doi.org/10.1016/j.annepidem.2015.07.001</w:t>
      </w:r>
    </w:p>
    <w:p w14:paraId="7E13EE6E" w14:textId="2522C238" w:rsidR="00917586" w:rsidRPr="00866DF7" w:rsidRDefault="00917586" w:rsidP="00F60A1B">
      <w:pPr>
        <w:spacing w:before="240" w:after="240" w:line="480" w:lineRule="auto"/>
        <w:ind w:left="720" w:hanging="720"/>
        <w:jc w:val="both"/>
        <w:rPr>
          <w:rFonts w:eastAsia="Times New Roman"/>
          <w:sz w:val="20"/>
          <w:szCs w:val="20"/>
        </w:rPr>
      </w:pPr>
      <w:proofErr w:type="spellStart"/>
      <w:r w:rsidRPr="00866DF7">
        <w:rPr>
          <w:rFonts w:eastAsia="Times New Roman"/>
          <w:sz w:val="20"/>
          <w:szCs w:val="20"/>
        </w:rPr>
        <w:lastRenderedPageBreak/>
        <w:t>Coradeschi</w:t>
      </w:r>
      <w:proofErr w:type="spellEnd"/>
      <w:r w:rsidRPr="00866DF7">
        <w:rPr>
          <w:rFonts w:eastAsia="Times New Roman"/>
          <w:sz w:val="20"/>
          <w:szCs w:val="20"/>
        </w:rPr>
        <w:t>, S. C., Cortellessa, G. J., Coraci, L.</w:t>
      </w:r>
      <w:proofErr w:type="gramStart"/>
      <w:r w:rsidRPr="00866DF7">
        <w:rPr>
          <w:rFonts w:eastAsia="Times New Roman"/>
          <w:sz w:val="20"/>
          <w:szCs w:val="20"/>
        </w:rPr>
        <w:t>,  Cesta</w:t>
      </w:r>
      <w:proofErr w:type="gramEnd"/>
      <w:r w:rsidRPr="00866DF7">
        <w:rPr>
          <w:rFonts w:eastAsia="Times New Roman"/>
          <w:sz w:val="20"/>
          <w:szCs w:val="20"/>
        </w:rPr>
        <w:t xml:space="preserve">, A., Gonzalez-Jimenez, J., Karlsson, L., Furfari, F., Loutfi, A., Orlandini, A. &amp; Palumbo, F. (2013). </w:t>
      </w:r>
      <w:proofErr w:type="spellStart"/>
      <w:r w:rsidRPr="00866DF7">
        <w:rPr>
          <w:rFonts w:eastAsia="Times New Roman"/>
          <w:sz w:val="20"/>
          <w:szCs w:val="20"/>
        </w:rPr>
        <w:t>GiraffPlus</w:t>
      </w:r>
      <w:proofErr w:type="spellEnd"/>
      <w:r w:rsidRPr="00866DF7">
        <w:rPr>
          <w:rFonts w:eastAsia="Times New Roman"/>
          <w:sz w:val="20"/>
          <w:szCs w:val="20"/>
        </w:rPr>
        <w:t xml:space="preserve">: Combining social interaction and long term monitoring for promoting independent living. </w:t>
      </w:r>
      <w:r w:rsidRPr="00866DF7">
        <w:rPr>
          <w:rFonts w:eastAsia="Times New Roman"/>
          <w:i/>
          <w:iCs/>
          <w:sz w:val="20"/>
          <w:szCs w:val="20"/>
        </w:rPr>
        <w:t xml:space="preserve">2013 6th International Conference on Human System Interactions (HSI), </w:t>
      </w:r>
      <w:r w:rsidRPr="00866DF7">
        <w:rPr>
          <w:rFonts w:eastAsia="Times New Roman"/>
          <w:sz w:val="20"/>
          <w:szCs w:val="20"/>
        </w:rPr>
        <w:t xml:space="preserve">578–585. IEEE. </w:t>
      </w:r>
      <w:hyperlink r:id="rId27" w:history="1">
        <w:r w:rsidR="00D417BF" w:rsidRPr="00866DF7">
          <w:rPr>
            <w:rStyle w:val="Hyperlink"/>
            <w:rFonts w:eastAsia="Times New Roman"/>
            <w:color w:val="auto"/>
            <w:sz w:val="20"/>
            <w:szCs w:val="20"/>
            <w:u w:val="none"/>
          </w:rPr>
          <w:t>https://doi.org/10.1109/HSI.2013.6577883</w:t>
        </w:r>
      </w:hyperlink>
    </w:p>
    <w:p w14:paraId="38928C8A" w14:textId="0C6700AF" w:rsidR="00D417BF" w:rsidRDefault="00D417BF" w:rsidP="00F60A1B">
      <w:pPr>
        <w:spacing w:before="240" w:after="240" w:line="480" w:lineRule="auto"/>
        <w:ind w:left="720" w:hanging="720"/>
        <w:jc w:val="both"/>
      </w:pPr>
      <w:r w:rsidRPr="00866DF7">
        <w:rPr>
          <w:rFonts w:eastAsia="Helvetica Neue"/>
          <w:sz w:val="20"/>
          <w:szCs w:val="20"/>
        </w:rPr>
        <w:t xml:space="preserve">Crowe, M., Andel, R., Pedersen, N. L., Johansson, B., &amp; Gatz, M. (2003). Does participation in leisure activities lead to reduced risk of Alzheimer's disease? A prospective study of Swedish twins. </w:t>
      </w:r>
      <w:r w:rsidRPr="00866DF7">
        <w:rPr>
          <w:rFonts w:eastAsia="Helvetica Neue"/>
          <w:i/>
          <w:iCs/>
          <w:sz w:val="20"/>
          <w:szCs w:val="20"/>
        </w:rPr>
        <w:t>The journals of gerontology. Series B, Psychological sciences and social sciences</w:t>
      </w:r>
      <w:r w:rsidRPr="00866DF7">
        <w:rPr>
          <w:rFonts w:eastAsia="Helvetica Neue"/>
          <w:sz w:val="20"/>
          <w:szCs w:val="20"/>
        </w:rPr>
        <w:t xml:space="preserve">, </w:t>
      </w:r>
      <w:r w:rsidRPr="00866DF7">
        <w:rPr>
          <w:rFonts w:eastAsia="Helvetica Neue"/>
          <w:i/>
          <w:iCs/>
          <w:sz w:val="20"/>
          <w:szCs w:val="20"/>
        </w:rPr>
        <w:t>58</w:t>
      </w:r>
      <w:r w:rsidRPr="00866DF7">
        <w:rPr>
          <w:rFonts w:eastAsia="Helvetica Neue"/>
          <w:sz w:val="20"/>
          <w:szCs w:val="20"/>
        </w:rPr>
        <w:t xml:space="preserve">(5), P249–P255. </w:t>
      </w:r>
      <w:hyperlink r:id="rId28" w:history="1">
        <w:r w:rsidR="00AB6E21" w:rsidRPr="00866DF7">
          <w:rPr>
            <w:rStyle w:val="Hyperlink"/>
            <w:rFonts w:eastAsia="Helvetica Neue"/>
            <w:color w:val="auto"/>
            <w:sz w:val="20"/>
            <w:szCs w:val="20"/>
            <w:u w:val="none"/>
          </w:rPr>
          <w:t>https://doi.org/10.1093/geronb/58.5.p249</w:t>
        </w:r>
      </w:hyperlink>
    </w:p>
    <w:p w14:paraId="62C3C52F" w14:textId="740C606C" w:rsidR="00CB0ECA" w:rsidRPr="00ED5BDA" w:rsidRDefault="00CB0ECA" w:rsidP="00F60A1B">
      <w:pPr>
        <w:spacing w:before="240" w:after="240" w:line="480" w:lineRule="auto"/>
        <w:ind w:left="720" w:hanging="720"/>
        <w:jc w:val="both"/>
        <w:rPr>
          <w:rFonts w:eastAsia="Helvetica Neue"/>
          <w:sz w:val="20"/>
          <w:szCs w:val="20"/>
        </w:rPr>
      </w:pPr>
      <w:r w:rsidRPr="00CB0ECA">
        <w:rPr>
          <w:rFonts w:eastAsia="Helvetica Neue"/>
          <w:sz w:val="20"/>
          <w:szCs w:val="20"/>
        </w:rPr>
        <w:t xml:space="preserve">Deng, </w:t>
      </w:r>
      <w:r w:rsidR="00F54D8C">
        <w:rPr>
          <w:rFonts w:eastAsia="Helvetica Neue"/>
          <w:sz w:val="20"/>
          <w:szCs w:val="20"/>
        </w:rPr>
        <w:t xml:space="preserve">Y., </w:t>
      </w:r>
      <w:r w:rsidRPr="00CB0ECA">
        <w:rPr>
          <w:rFonts w:eastAsia="Helvetica Neue"/>
          <w:sz w:val="20"/>
          <w:szCs w:val="20"/>
        </w:rPr>
        <w:t>Ma</w:t>
      </w:r>
      <w:r w:rsidR="00F54D8C">
        <w:rPr>
          <w:rFonts w:eastAsia="Helvetica Neue"/>
          <w:sz w:val="20"/>
          <w:szCs w:val="20"/>
        </w:rPr>
        <w:t>, Y.,</w:t>
      </w:r>
      <w:r w:rsidR="00ED5BDA">
        <w:rPr>
          <w:rFonts w:eastAsia="Helvetica Neue"/>
          <w:sz w:val="20"/>
          <w:szCs w:val="20"/>
        </w:rPr>
        <w:t xml:space="preserve"> </w:t>
      </w:r>
      <w:r w:rsidRPr="00CB0ECA">
        <w:rPr>
          <w:rFonts w:eastAsia="Helvetica Neue"/>
          <w:sz w:val="20"/>
          <w:szCs w:val="20"/>
        </w:rPr>
        <w:t>Yamauchi</w:t>
      </w:r>
      <w:r w:rsidR="00ED5BDA">
        <w:rPr>
          <w:rFonts w:eastAsia="Helvetica Neue"/>
          <w:sz w:val="20"/>
          <w:szCs w:val="20"/>
        </w:rPr>
        <w:t>, K.</w:t>
      </w:r>
      <w:r w:rsidRPr="00CB0ECA">
        <w:rPr>
          <w:rFonts w:eastAsia="Helvetica Neue"/>
          <w:sz w:val="20"/>
          <w:szCs w:val="20"/>
        </w:rPr>
        <w:t>, Kenji</w:t>
      </w:r>
      <w:r w:rsidR="00ED5BDA">
        <w:rPr>
          <w:rFonts w:eastAsia="Helvetica Neue"/>
          <w:sz w:val="20"/>
          <w:szCs w:val="20"/>
        </w:rPr>
        <w:t>,</w:t>
      </w:r>
      <w:r w:rsidRPr="00CB0ECA">
        <w:rPr>
          <w:rFonts w:eastAsia="Helvetica Neue"/>
          <w:sz w:val="20"/>
          <w:szCs w:val="20"/>
        </w:rPr>
        <w:t xml:space="preserve"> Karako</w:t>
      </w:r>
      <w:r w:rsidR="00ED5BDA">
        <w:rPr>
          <w:rFonts w:eastAsia="Helvetica Neue"/>
          <w:sz w:val="20"/>
          <w:szCs w:val="20"/>
        </w:rPr>
        <w:t>, K. &amp; Song, P.</w:t>
      </w:r>
      <w:r>
        <w:rPr>
          <w:rFonts w:eastAsia="Helvetica Neue"/>
          <w:sz w:val="20"/>
          <w:szCs w:val="20"/>
        </w:rPr>
        <w:t xml:space="preserve"> </w:t>
      </w:r>
      <w:r w:rsidR="00ED5BDA">
        <w:rPr>
          <w:rFonts w:eastAsia="Helvetica Neue"/>
          <w:sz w:val="20"/>
          <w:szCs w:val="20"/>
        </w:rPr>
        <w:t>(</w:t>
      </w:r>
      <w:r>
        <w:rPr>
          <w:rFonts w:eastAsia="Helvetica Neue"/>
          <w:sz w:val="20"/>
          <w:szCs w:val="20"/>
        </w:rPr>
        <w:t>2025</w:t>
      </w:r>
      <w:r w:rsidR="00ED5BDA">
        <w:rPr>
          <w:rFonts w:eastAsia="Helvetica Neue"/>
          <w:sz w:val="20"/>
          <w:szCs w:val="20"/>
        </w:rPr>
        <w:t>).</w:t>
      </w:r>
      <w:r>
        <w:rPr>
          <w:rFonts w:eastAsia="Helvetica Neue"/>
          <w:sz w:val="20"/>
          <w:szCs w:val="20"/>
        </w:rPr>
        <w:t xml:space="preserve"> </w:t>
      </w:r>
      <w:r w:rsidRPr="00CB0ECA">
        <w:rPr>
          <w:rFonts w:eastAsia="Helvetica Neue"/>
          <w:sz w:val="20"/>
          <w:szCs w:val="20"/>
        </w:rPr>
        <w:t>Dementia strategies in an aging society: Policies, care, and global insights from the Japanese experience</w:t>
      </w:r>
      <w:r w:rsidR="00ED5BDA">
        <w:rPr>
          <w:rFonts w:eastAsia="Helvetica Neue"/>
          <w:sz w:val="20"/>
          <w:szCs w:val="20"/>
        </w:rPr>
        <w:t>.</w:t>
      </w:r>
      <w:r>
        <w:rPr>
          <w:rFonts w:eastAsia="Helvetica Neue"/>
          <w:sz w:val="20"/>
          <w:szCs w:val="20"/>
        </w:rPr>
        <w:t xml:space="preserve"> </w:t>
      </w:r>
      <w:proofErr w:type="spellStart"/>
      <w:r w:rsidRPr="00ED5BDA">
        <w:rPr>
          <w:rFonts w:eastAsia="Helvetica Neue"/>
          <w:i/>
          <w:iCs/>
          <w:sz w:val="20"/>
          <w:szCs w:val="20"/>
        </w:rPr>
        <w:t>BioScience</w:t>
      </w:r>
      <w:proofErr w:type="spellEnd"/>
      <w:r w:rsidRPr="00ED5BDA">
        <w:rPr>
          <w:rFonts w:eastAsia="Helvetica Neue"/>
          <w:i/>
          <w:iCs/>
          <w:sz w:val="20"/>
          <w:szCs w:val="20"/>
        </w:rPr>
        <w:t xml:space="preserve"> Trends</w:t>
      </w:r>
      <w:r w:rsidR="00ED5BDA">
        <w:rPr>
          <w:rFonts w:eastAsia="Helvetica Neue"/>
          <w:sz w:val="20"/>
          <w:szCs w:val="20"/>
        </w:rPr>
        <w:t xml:space="preserve">, </w:t>
      </w:r>
      <w:r w:rsidRPr="00ED5BDA">
        <w:rPr>
          <w:rFonts w:eastAsia="Helvetica Neue"/>
          <w:i/>
          <w:iCs/>
          <w:sz w:val="20"/>
          <w:szCs w:val="20"/>
        </w:rPr>
        <w:t>19</w:t>
      </w:r>
      <w:r w:rsidRPr="00CB0ECA">
        <w:rPr>
          <w:rFonts w:eastAsia="Helvetica Neue"/>
          <w:sz w:val="20"/>
          <w:szCs w:val="20"/>
        </w:rPr>
        <w:t>(6)</w:t>
      </w:r>
      <w:r w:rsidR="00ED5BDA">
        <w:rPr>
          <w:rFonts w:eastAsia="Helvetica Neue"/>
          <w:sz w:val="20"/>
          <w:szCs w:val="20"/>
        </w:rPr>
        <w:t xml:space="preserve">, </w:t>
      </w:r>
      <w:r w:rsidRPr="00CB0ECA">
        <w:rPr>
          <w:rFonts w:eastAsia="Helvetica Neue"/>
          <w:sz w:val="20"/>
          <w:szCs w:val="20"/>
        </w:rPr>
        <w:t>607-618.</w:t>
      </w:r>
      <w:r w:rsidR="00ED5BDA">
        <w:rPr>
          <w:rFonts w:eastAsia="Helvetica Neue"/>
          <w:sz w:val="20"/>
          <w:szCs w:val="20"/>
        </w:rPr>
        <w:t xml:space="preserve"> </w:t>
      </w:r>
      <w:r w:rsidR="00ED5BDA" w:rsidRPr="00ED5BDA">
        <w:rPr>
          <w:rFonts w:eastAsia="Helvetica Neue" w:hint="eastAsia"/>
          <w:sz w:val="20"/>
          <w:szCs w:val="20"/>
        </w:rPr>
        <w:t> </w:t>
      </w:r>
      <w:hyperlink r:id="rId29" w:history="1">
        <w:r w:rsidR="00ED5BDA" w:rsidRPr="00ED5BDA">
          <w:rPr>
            <w:rStyle w:val="Hyperlink"/>
            <w:rFonts w:eastAsia="Helvetica Neue" w:hint="eastAsia"/>
            <w:color w:val="auto"/>
            <w:sz w:val="20"/>
            <w:szCs w:val="20"/>
            <w:u w:val="none"/>
          </w:rPr>
          <w:t>https://doi.org/10.5582/bst.2025.01309</w:t>
        </w:r>
      </w:hyperlink>
    </w:p>
    <w:p w14:paraId="163979D7" w14:textId="1D07EF61" w:rsidR="00AB6E21" w:rsidRPr="00866DF7" w:rsidRDefault="00AB6E21" w:rsidP="00F60A1B">
      <w:pPr>
        <w:spacing w:before="240" w:after="240" w:line="480" w:lineRule="auto"/>
        <w:ind w:left="720" w:hanging="720"/>
        <w:jc w:val="both"/>
        <w:rPr>
          <w:sz w:val="20"/>
          <w:szCs w:val="20"/>
        </w:rPr>
      </w:pPr>
      <w:r w:rsidRPr="00866DF7">
        <w:rPr>
          <w:rFonts w:eastAsia="Times New Roman"/>
          <w:sz w:val="20"/>
          <w:szCs w:val="20"/>
        </w:rPr>
        <w:t xml:space="preserve">Department for Environment, Food &amp; Rural Affairs, </w:t>
      </w:r>
      <w:hyperlink r:id="rId30">
        <w:r w:rsidRPr="00866DF7">
          <w:rPr>
            <w:rFonts w:eastAsia="Times New Roman"/>
            <w:sz w:val="20"/>
            <w:szCs w:val="20"/>
          </w:rPr>
          <w:t>Department of Health and Social Care</w:t>
        </w:r>
      </w:hyperlink>
      <w:r w:rsidRPr="00866DF7">
        <w:rPr>
          <w:rFonts w:eastAsia="Times New Roman"/>
          <w:sz w:val="20"/>
          <w:szCs w:val="20"/>
        </w:rPr>
        <w:t xml:space="preserve">. (2019). Government launches world leading plan to tackle air pollution. </w:t>
      </w:r>
      <w:hyperlink r:id="rId31">
        <w:r w:rsidRPr="00866DF7">
          <w:rPr>
            <w:rFonts w:eastAsia="Times New Roman"/>
            <w:sz w:val="20"/>
            <w:szCs w:val="20"/>
          </w:rPr>
          <w:t>Department of Health and Social Care</w:t>
        </w:r>
      </w:hyperlink>
      <w:r w:rsidRPr="00866DF7">
        <w:rPr>
          <w:rFonts w:eastAsia="Times New Roman"/>
          <w:i/>
          <w:iCs/>
          <w:sz w:val="20"/>
          <w:szCs w:val="20"/>
        </w:rPr>
        <w:t xml:space="preserve"> </w:t>
      </w:r>
      <w:r w:rsidRPr="00866DF7">
        <w:rPr>
          <w:rFonts w:eastAsia="Times New Roman"/>
          <w:sz w:val="20"/>
          <w:szCs w:val="20"/>
        </w:rPr>
        <w:t xml:space="preserve">press. </w:t>
      </w:r>
      <w:hyperlink r:id="rId32">
        <w:r w:rsidRPr="00866DF7">
          <w:rPr>
            <w:rFonts w:eastAsia="Times New Roman"/>
            <w:sz w:val="20"/>
            <w:szCs w:val="20"/>
          </w:rPr>
          <w:t>https://www.gov.uk/government/news/government-launches-world-leading-plan-to-tackle-air-pollution</w:t>
        </w:r>
      </w:hyperlink>
    </w:p>
    <w:p w14:paraId="5B2E31CD" w14:textId="7F1180D7" w:rsidR="00AB6E21" w:rsidRPr="00866DF7" w:rsidRDefault="00AB6E21" w:rsidP="00F60A1B">
      <w:pPr>
        <w:spacing w:before="240" w:after="240" w:line="480" w:lineRule="auto"/>
        <w:ind w:left="720" w:hanging="720"/>
        <w:jc w:val="both"/>
        <w:rPr>
          <w:rFonts w:eastAsia="Helvetica Neue"/>
          <w:sz w:val="20"/>
          <w:szCs w:val="20"/>
        </w:rPr>
      </w:pPr>
      <w:r w:rsidRPr="00866DF7">
        <w:rPr>
          <w:rFonts w:eastAsia="Times New Roman"/>
          <w:sz w:val="20"/>
          <w:szCs w:val="20"/>
        </w:rPr>
        <w:t xml:space="preserve">Department for Environment, Food &amp; Rural Affairs. (2020). Guidance- Clean air zones. Department for Environment, Food &amp; Rural Affairs press. </w:t>
      </w:r>
      <w:hyperlink r:id="rId33" w:anchor="full-publication-update-history">
        <w:r w:rsidRPr="00866DF7">
          <w:rPr>
            <w:rFonts w:eastAsia="Times New Roman"/>
            <w:sz w:val="20"/>
            <w:szCs w:val="20"/>
          </w:rPr>
          <w:t>https://www.gov.uk/guidance/driving-in-a-clean-air-zone#full-publication-update-history</w:t>
        </w:r>
      </w:hyperlink>
    </w:p>
    <w:p w14:paraId="0FC66303" w14:textId="303CD734" w:rsidR="00AB6E21" w:rsidRPr="00866DF7" w:rsidRDefault="00AB6E21" w:rsidP="00F60A1B">
      <w:pPr>
        <w:spacing w:before="240" w:after="240" w:line="480" w:lineRule="auto"/>
        <w:ind w:left="720" w:hanging="720"/>
        <w:jc w:val="both"/>
        <w:rPr>
          <w:rFonts w:eastAsia="Times New Roman"/>
          <w:sz w:val="20"/>
          <w:szCs w:val="20"/>
        </w:rPr>
      </w:pPr>
      <w:r w:rsidRPr="00866DF7">
        <w:rPr>
          <w:rFonts w:eastAsia="Times New Roman"/>
          <w:sz w:val="20"/>
          <w:szCs w:val="20"/>
        </w:rPr>
        <w:t>Department for Science, Technology &amp; Innovation. (2024). Dame Barbara Windsor Dementia Goals.</w:t>
      </w:r>
      <w:r w:rsidRPr="00866DF7">
        <w:rPr>
          <w:rFonts w:eastAsia="Times New Roman"/>
          <w:i/>
          <w:iCs/>
          <w:sz w:val="20"/>
          <w:szCs w:val="20"/>
        </w:rPr>
        <w:t xml:space="preserve"> </w:t>
      </w:r>
      <w:r w:rsidRPr="00866DF7">
        <w:rPr>
          <w:rFonts w:eastAsia="Times New Roman"/>
          <w:sz w:val="20"/>
          <w:szCs w:val="20"/>
        </w:rPr>
        <w:t xml:space="preserve">Department for Science, Technology &amp; Innovation press. </w:t>
      </w:r>
      <w:hyperlink r:id="rId34">
        <w:r w:rsidRPr="00866DF7">
          <w:rPr>
            <w:rFonts w:eastAsia="Times New Roman"/>
            <w:sz w:val="20"/>
            <w:szCs w:val="20"/>
          </w:rPr>
          <w:t>https://www.gov.uk/government/publications/life-sciences-healthcare-goals/dame-barbara-windsor-dementia-goals</w:t>
        </w:r>
      </w:hyperlink>
    </w:p>
    <w:p w14:paraId="19BDD647" w14:textId="3BFBF8CA" w:rsidR="003F6C22" w:rsidRPr="00866DF7" w:rsidRDefault="003F6C22"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Department of Health and Social Care. (2015). Prime Minister’s challenge on dementia Delivering major improvements in dementia care and research by 2015. Department of Health and Social Care </w:t>
      </w:r>
      <w:r w:rsidRPr="00866DF7">
        <w:rPr>
          <w:rFonts w:eastAsia="Times New Roman"/>
          <w:sz w:val="20"/>
          <w:szCs w:val="20"/>
        </w:rPr>
        <w:lastRenderedPageBreak/>
        <w:t xml:space="preserve">press. </w:t>
      </w:r>
      <w:hyperlink r:id="rId35" w:history="1">
        <w:r w:rsidRPr="00866DF7">
          <w:rPr>
            <w:rStyle w:val="Hyperlink"/>
            <w:rFonts w:eastAsia="Times New Roman"/>
            <w:color w:val="auto"/>
            <w:sz w:val="20"/>
            <w:szCs w:val="20"/>
            <w:u w:val="none"/>
          </w:rPr>
          <w:t>https://assets.publishing.service.gov.uk/media/5a7c8d5240f0b62aff6c2789/dh_133176.pdf</w:t>
        </w:r>
      </w:hyperlink>
      <w:r w:rsidRPr="00866DF7">
        <w:rPr>
          <w:rFonts w:eastAsia="Times New Roman"/>
          <w:sz w:val="20"/>
          <w:szCs w:val="20"/>
        </w:rPr>
        <w:t>.</w:t>
      </w:r>
    </w:p>
    <w:p w14:paraId="6B2F0116" w14:textId="457BA4C6" w:rsidR="00917586" w:rsidRPr="00866DF7" w:rsidRDefault="00917586" w:rsidP="00F60A1B">
      <w:pPr>
        <w:spacing w:before="240" w:after="240" w:line="480" w:lineRule="auto"/>
        <w:ind w:left="720" w:hanging="720"/>
        <w:jc w:val="both"/>
        <w:rPr>
          <w:rFonts w:eastAsia="Times New Roman"/>
          <w:sz w:val="20"/>
          <w:szCs w:val="20"/>
        </w:rPr>
      </w:pPr>
      <w:r w:rsidRPr="00866DF7">
        <w:rPr>
          <w:rFonts w:eastAsia="Times New Roman"/>
          <w:sz w:val="20"/>
          <w:szCs w:val="20"/>
        </w:rPr>
        <w:t>Department of Health and Social Care &amp;</w:t>
      </w:r>
      <w:r w:rsidR="00C92FE3" w:rsidRPr="00866DF7">
        <w:rPr>
          <w:sz w:val="20"/>
          <w:szCs w:val="20"/>
        </w:rPr>
        <w:t xml:space="preserve"> OHID</w:t>
      </w:r>
      <w:r w:rsidRPr="00866DF7">
        <w:rPr>
          <w:rFonts w:eastAsia="Times New Roman"/>
          <w:sz w:val="20"/>
          <w:szCs w:val="20"/>
        </w:rPr>
        <w:t xml:space="preserve">. (2021). New era of public health to tackle inequalities and level up the UK. </w:t>
      </w:r>
      <w:r w:rsidR="00C92FE3" w:rsidRPr="00866DF7">
        <w:rPr>
          <w:sz w:val="20"/>
          <w:szCs w:val="20"/>
        </w:rPr>
        <w:t xml:space="preserve">OHID </w:t>
      </w:r>
      <w:r w:rsidRPr="00866DF7">
        <w:rPr>
          <w:rFonts w:eastAsia="Times New Roman"/>
          <w:sz w:val="20"/>
          <w:szCs w:val="20"/>
        </w:rPr>
        <w:t xml:space="preserve">press. </w:t>
      </w:r>
      <w:hyperlink r:id="rId36">
        <w:r w:rsidRPr="00866DF7">
          <w:rPr>
            <w:rFonts w:eastAsia="Times New Roman"/>
            <w:sz w:val="20"/>
            <w:szCs w:val="20"/>
          </w:rPr>
          <w:t>https://www.gov.uk/government/news/new-era-of-public-health-to-tackle-inequalities-and-level-up-the-uk</w:t>
        </w:r>
      </w:hyperlink>
    </w:p>
    <w:p w14:paraId="186669F4" w14:textId="5E5A9F5D" w:rsidR="001B7A6C" w:rsidRPr="00866DF7" w:rsidRDefault="001B7A6C" w:rsidP="00F60A1B">
      <w:pPr>
        <w:spacing w:before="240" w:after="240" w:line="480" w:lineRule="auto"/>
        <w:ind w:left="720" w:hanging="720"/>
        <w:jc w:val="both"/>
        <w:rPr>
          <w:rFonts w:eastAsia="Times New Roman"/>
          <w:sz w:val="20"/>
          <w:szCs w:val="20"/>
        </w:rPr>
      </w:pPr>
      <w:r w:rsidRPr="00866DF7">
        <w:rPr>
          <w:rFonts w:eastAsia="Times New Roman"/>
          <w:sz w:val="20"/>
          <w:szCs w:val="20"/>
        </w:rPr>
        <w:t>Department of Health and Social Care. (2022). Prime Minister launches 'Dame Barbara Windsor Dementia Mission’</w:t>
      </w:r>
      <w:r w:rsidRPr="00866DF7">
        <w:rPr>
          <w:rFonts w:eastAsia="Times New Roman"/>
          <w:i/>
          <w:iCs/>
          <w:sz w:val="20"/>
          <w:szCs w:val="20"/>
        </w:rPr>
        <w:t xml:space="preserve">. </w:t>
      </w:r>
      <w:r w:rsidRPr="00866DF7">
        <w:rPr>
          <w:rFonts w:eastAsia="Times New Roman"/>
          <w:sz w:val="20"/>
          <w:szCs w:val="20"/>
        </w:rPr>
        <w:t xml:space="preserve">Department of Health and Social Care press. </w:t>
      </w:r>
      <w:hyperlink r:id="rId37">
        <w:r w:rsidRPr="00866DF7">
          <w:rPr>
            <w:rFonts w:eastAsia="Times New Roman"/>
            <w:sz w:val="20"/>
            <w:szCs w:val="20"/>
          </w:rPr>
          <w:t>https://www.gov.uk/government/news/prime-minister-launches-dame-barbara-windsor-dementia-mission--2</w:t>
        </w:r>
      </w:hyperlink>
    </w:p>
    <w:p w14:paraId="710BB90B" w14:textId="51B1ED78" w:rsidR="001D6CEF" w:rsidRDefault="005D2C49" w:rsidP="00F60A1B">
      <w:pPr>
        <w:spacing w:before="240" w:after="240" w:line="480" w:lineRule="auto"/>
        <w:ind w:left="720" w:hanging="720"/>
        <w:jc w:val="both"/>
      </w:pPr>
      <w:hyperlink r:id="rId38">
        <w:r w:rsidRPr="00866DF7">
          <w:rPr>
            <w:rFonts w:eastAsia="Times New Roman"/>
            <w:sz w:val="20"/>
            <w:szCs w:val="20"/>
          </w:rPr>
          <w:t>Department of Health and Social Care</w:t>
        </w:r>
      </w:hyperlink>
      <w:r w:rsidRPr="00866DF7">
        <w:rPr>
          <w:rFonts w:eastAsia="Times New Roman"/>
          <w:sz w:val="20"/>
          <w:szCs w:val="20"/>
        </w:rPr>
        <w:t xml:space="preserve">. (2025). Dementia 100: Pathway Assessment Tool. </w:t>
      </w:r>
      <w:hyperlink r:id="rId39">
        <w:r w:rsidRPr="00866DF7">
          <w:rPr>
            <w:rFonts w:eastAsia="Times New Roman"/>
            <w:sz w:val="20"/>
            <w:szCs w:val="20"/>
          </w:rPr>
          <w:t>Department of Health and Social Care</w:t>
        </w:r>
      </w:hyperlink>
      <w:r w:rsidRPr="00866DF7">
        <w:rPr>
          <w:rFonts w:eastAsia="Times New Roman"/>
          <w:sz w:val="20"/>
          <w:szCs w:val="20"/>
        </w:rPr>
        <w:t xml:space="preserve"> press. </w:t>
      </w:r>
      <w:hyperlink r:id="rId40">
        <w:r w:rsidRPr="00866DF7">
          <w:rPr>
            <w:rFonts w:eastAsia="Times New Roman"/>
            <w:sz w:val="20"/>
            <w:szCs w:val="20"/>
          </w:rPr>
          <w:t>https://www.rcpsych.ac.uk/docs/default-source/improving-care/nccmh/dementia-100/ml-nhs-dhsc-dementia-100-summary-guidance-2025.pdf?sfvrsn=c40f5695_5</w:t>
        </w:r>
      </w:hyperlink>
    </w:p>
    <w:p w14:paraId="58356B22" w14:textId="0A312767" w:rsidR="004B3C1E" w:rsidRPr="00F54D8C" w:rsidRDefault="001541DD" w:rsidP="00F60A1B">
      <w:pPr>
        <w:spacing w:before="240" w:after="240" w:line="480" w:lineRule="auto"/>
        <w:ind w:left="720" w:hanging="720"/>
        <w:jc w:val="both"/>
        <w:rPr>
          <w:sz w:val="20"/>
          <w:szCs w:val="20"/>
        </w:rPr>
      </w:pPr>
      <w:r w:rsidRPr="00F54D8C">
        <w:rPr>
          <w:sz w:val="20"/>
          <w:szCs w:val="20"/>
        </w:rPr>
        <w:t xml:space="preserve">Dixon-woods, M. &amp; Morgan, M. (2024). </w:t>
      </w:r>
      <w:r w:rsidR="004B3C1E" w:rsidRPr="004B3C1E">
        <w:rPr>
          <w:sz w:val="20"/>
          <w:szCs w:val="20"/>
        </w:rPr>
        <w:t>The future of the NHS depends on its workforce</w:t>
      </w:r>
      <w:r w:rsidRPr="00F54D8C">
        <w:rPr>
          <w:sz w:val="20"/>
          <w:szCs w:val="20"/>
        </w:rPr>
        <w:t xml:space="preserve">. </w:t>
      </w:r>
      <w:r w:rsidRPr="00F54D8C">
        <w:rPr>
          <w:i/>
          <w:iCs/>
          <w:sz w:val="20"/>
          <w:szCs w:val="20"/>
        </w:rPr>
        <w:t xml:space="preserve">BMJ, </w:t>
      </w:r>
      <w:r w:rsidR="00F54D8C" w:rsidRPr="00F54D8C">
        <w:rPr>
          <w:sz w:val="20"/>
          <w:szCs w:val="20"/>
        </w:rPr>
        <w:t>384.  </w:t>
      </w:r>
      <w:hyperlink r:id="rId41" w:history="1">
        <w:r w:rsidR="00F54D8C" w:rsidRPr="00F54D8C">
          <w:rPr>
            <w:rStyle w:val="Hyperlink"/>
            <w:color w:val="auto"/>
            <w:sz w:val="20"/>
            <w:szCs w:val="20"/>
            <w:u w:val="none"/>
          </w:rPr>
          <w:t>https://doi.org/10.1136/bmj-2024-079474</w:t>
        </w:r>
      </w:hyperlink>
    </w:p>
    <w:p w14:paraId="691C5AB8" w14:textId="264013E4" w:rsidR="00AB6E21" w:rsidRPr="00866DF7" w:rsidRDefault="00AB6E21" w:rsidP="00F60A1B">
      <w:pPr>
        <w:spacing w:before="240" w:after="240" w:line="480" w:lineRule="auto"/>
        <w:ind w:left="720" w:hanging="720"/>
        <w:jc w:val="both"/>
        <w:rPr>
          <w:b/>
          <w:bCs/>
          <w:sz w:val="20"/>
          <w:szCs w:val="20"/>
        </w:rPr>
      </w:pPr>
      <w:r w:rsidRPr="00866DF7">
        <w:rPr>
          <w:rFonts w:eastAsia="Helvetica Neue"/>
          <w:sz w:val="20"/>
          <w:szCs w:val="20"/>
        </w:rPr>
        <w:t xml:space="preserve">Dodge, H. H., Mattek, N. C., Austin, D., Hayes, T. L., &amp; Kaye, J. A. (2012). In-home walking speeds and variability trajectories associated with mild cognitive impairment. </w:t>
      </w:r>
      <w:r w:rsidRPr="00866DF7">
        <w:rPr>
          <w:rFonts w:eastAsia="Helvetica Neue"/>
          <w:i/>
          <w:iCs/>
          <w:sz w:val="20"/>
          <w:szCs w:val="20"/>
        </w:rPr>
        <w:t>Neurology</w:t>
      </w:r>
      <w:r w:rsidRPr="00866DF7">
        <w:rPr>
          <w:rFonts w:eastAsia="Helvetica Neue"/>
          <w:sz w:val="20"/>
          <w:szCs w:val="20"/>
        </w:rPr>
        <w:t xml:space="preserve">, </w:t>
      </w:r>
      <w:r w:rsidRPr="00866DF7">
        <w:rPr>
          <w:rFonts w:eastAsia="Helvetica Neue"/>
          <w:i/>
          <w:iCs/>
          <w:sz w:val="20"/>
          <w:szCs w:val="20"/>
        </w:rPr>
        <w:t>78</w:t>
      </w:r>
      <w:r w:rsidRPr="00866DF7">
        <w:rPr>
          <w:rFonts w:eastAsia="Helvetica Neue"/>
          <w:sz w:val="20"/>
          <w:szCs w:val="20"/>
        </w:rPr>
        <w:t>(24), 1946–1952. https://doi.org/10.1212/WNL.0b013e318259e1de</w:t>
      </w:r>
    </w:p>
    <w:p w14:paraId="4AC9DCA4" w14:textId="4BA11016" w:rsidR="001D6CEF" w:rsidRPr="00866DF7" w:rsidRDefault="001D6CEF" w:rsidP="00F60A1B">
      <w:pPr>
        <w:spacing w:before="240" w:after="240" w:line="480" w:lineRule="auto"/>
        <w:ind w:left="720" w:hanging="720"/>
        <w:jc w:val="both"/>
        <w:rPr>
          <w:sz w:val="20"/>
          <w:szCs w:val="20"/>
        </w:rPr>
      </w:pPr>
      <w:r w:rsidRPr="00866DF7">
        <w:rPr>
          <w:rFonts w:eastAsia="Times New Roman"/>
          <w:sz w:val="20"/>
          <w:szCs w:val="20"/>
        </w:rPr>
        <w:t xml:space="preserve">Drinking Water Inspectorate. (2016). Drinking Water Standards and Regulations. Drinking Water Inspectorate press. </w:t>
      </w:r>
      <w:r w:rsidRPr="00866DF7">
        <w:rPr>
          <w:sz w:val="20"/>
          <w:szCs w:val="20"/>
        </w:rPr>
        <w:t>https://www.dwi.gov.uk/drinking-water-standards-and-regulations/</w:t>
      </w:r>
    </w:p>
    <w:p w14:paraId="687A7C88" w14:textId="026D43DB" w:rsidR="001D6CEF" w:rsidRPr="00866DF7" w:rsidRDefault="001D6CEF"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Food Standards Agency. (2022). Key regulations. Food Standards Agency press. </w:t>
      </w:r>
      <w:hyperlink r:id="rId42">
        <w:r w:rsidRPr="00866DF7">
          <w:rPr>
            <w:rFonts w:eastAsia="Times New Roman"/>
            <w:sz w:val="20"/>
            <w:szCs w:val="20"/>
          </w:rPr>
          <w:t>https://www.food.gov.uk/about-us/key-regulations</w:t>
        </w:r>
      </w:hyperlink>
    </w:p>
    <w:p w14:paraId="13B0EB5D" w14:textId="02E264D2" w:rsidR="00917586" w:rsidRPr="00866DF7" w:rsidRDefault="00917586" w:rsidP="00F60A1B">
      <w:pPr>
        <w:spacing w:before="240" w:after="240" w:line="480" w:lineRule="auto"/>
        <w:ind w:left="720" w:hanging="720"/>
        <w:jc w:val="both"/>
        <w:rPr>
          <w:rFonts w:eastAsia="Times New Roman"/>
          <w:sz w:val="20"/>
          <w:szCs w:val="20"/>
        </w:rPr>
      </w:pPr>
      <w:r w:rsidRPr="00866DF7">
        <w:rPr>
          <w:rFonts w:eastAsia="Helvetica Neue"/>
          <w:sz w:val="20"/>
          <w:szCs w:val="20"/>
        </w:rPr>
        <w:lastRenderedPageBreak/>
        <w:t xml:space="preserve">García, A. M., </w:t>
      </w:r>
      <w:proofErr w:type="spellStart"/>
      <w:r w:rsidRPr="00866DF7">
        <w:rPr>
          <w:rFonts w:eastAsia="Helvetica Neue"/>
          <w:sz w:val="20"/>
          <w:szCs w:val="20"/>
        </w:rPr>
        <w:t>Sisternas</w:t>
      </w:r>
      <w:proofErr w:type="spellEnd"/>
      <w:r w:rsidRPr="00866DF7">
        <w:rPr>
          <w:rFonts w:eastAsia="Helvetica Neue"/>
          <w:sz w:val="20"/>
          <w:szCs w:val="20"/>
        </w:rPr>
        <w:t xml:space="preserve">, A., &amp; Hoyos, S. P. (2008). Occupational exposure to extremely low frequency electric and magnetic fields and Alzheimer disease: a meta-analysis. </w:t>
      </w:r>
      <w:r w:rsidRPr="00866DF7">
        <w:rPr>
          <w:rFonts w:eastAsia="Helvetica Neue"/>
          <w:i/>
          <w:iCs/>
          <w:sz w:val="20"/>
          <w:szCs w:val="20"/>
        </w:rPr>
        <w:t>International journal of epidemiology</w:t>
      </w:r>
      <w:r w:rsidRPr="00866DF7">
        <w:rPr>
          <w:rFonts w:eastAsia="Helvetica Neue"/>
          <w:sz w:val="20"/>
          <w:szCs w:val="20"/>
        </w:rPr>
        <w:t xml:space="preserve">, </w:t>
      </w:r>
      <w:r w:rsidRPr="00866DF7">
        <w:rPr>
          <w:rFonts w:eastAsia="Helvetica Neue"/>
          <w:i/>
          <w:iCs/>
          <w:sz w:val="20"/>
          <w:szCs w:val="20"/>
        </w:rPr>
        <w:t>37</w:t>
      </w:r>
      <w:r w:rsidRPr="00866DF7">
        <w:rPr>
          <w:rFonts w:eastAsia="Helvetica Neue"/>
          <w:sz w:val="20"/>
          <w:szCs w:val="20"/>
        </w:rPr>
        <w:t>(2), 329–340. https://doi.org/10.1093/ije/dym295</w:t>
      </w:r>
    </w:p>
    <w:p w14:paraId="06EB8A6C" w14:textId="09E1B42B" w:rsidR="003F6C22" w:rsidRPr="00866DF7" w:rsidRDefault="00A90B1F"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Green, R. C., Cupples, L. A., Go, R., Benke, K. S., </w:t>
      </w:r>
      <w:proofErr w:type="spellStart"/>
      <w:r w:rsidRPr="00866DF7">
        <w:rPr>
          <w:rFonts w:eastAsia="Helvetica Neue"/>
          <w:sz w:val="20"/>
          <w:szCs w:val="20"/>
        </w:rPr>
        <w:t>Edeki</w:t>
      </w:r>
      <w:proofErr w:type="spellEnd"/>
      <w:r w:rsidRPr="00866DF7">
        <w:rPr>
          <w:rFonts w:eastAsia="Helvetica Neue"/>
          <w:sz w:val="20"/>
          <w:szCs w:val="20"/>
        </w:rPr>
        <w:t xml:space="preserve">, T., Griffith, P. A., Williams, M., Hipps, Y., Graff-Radford, N., Bachman, D., Farrer, L. A., &amp; MIRAGE Study Group (2002). Risk of dementia among white and African American relatives of patients with Alzheimer disease. </w:t>
      </w:r>
      <w:r w:rsidRPr="00866DF7">
        <w:rPr>
          <w:rFonts w:eastAsia="Helvetica Neue"/>
          <w:i/>
          <w:iCs/>
          <w:sz w:val="20"/>
          <w:szCs w:val="20"/>
        </w:rPr>
        <w:t>JAMA</w:t>
      </w:r>
      <w:r w:rsidRPr="00866DF7">
        <w:rPr>
          <w:rFonts w:eastAsia="Helvetica Neue"/>
          <w:sz w:val="20"/>
          <w:szCs w:val="20"/>
        </w:rPr>
        <w:t xml:space="preserve">, </w:t>
      </w:r>
      <w:r w:rsidRPr="00866DF7">
        <w:rPr>
          <w:rFonts w:eastAsia="Helvetica Neue"/>
          <w:i/>
          <w:iCs/>
          <w:sz w:val="20"/>
          <w:szCs w:val="20"/>
        </w:rPr>
        <w:t>287</w:t>
      </w:r>
      <w:r w:rsidRPr="00866DF7">
        <w:rPr>
          <w:rFonts w:eastAsia="Helvetica Neue"/>
          <w:sz w:val="20"/>
          <w:szCs w:val="20"/>
        </w:rPr>
        <w:t xml:space="preserve">(3), 329–336. </w:t>
      </w:r>
      <w:hyperlink r:id="rId43" w:history="1">
        <w:r w:rsidR="003F6C22" w:rsidRPr="00866DF7">
          <w:rPr>
            <w:rStyle w:val="Hyperlink"/>
            <w:rFonts w:eastAsia="Helvetica Neue"/>
            <w:color w:val="auto"/>
            <w:sz w:val="20"/>
            <w:szCs w:val="20"/>
            <w:u w:val="none"/>
          </w:rPr>
          <w:t>https://doi.org/10.1001/jama.287.3.329</w:t>
        </w:r>
      </w:hyperlink>
    </w:p>
    <w:p w14:paraId="256AFBAD" w14:textId="615498FD" w:rsidR="00A90B1F" w:rsidRPr="00866DF7" w:rsidRDefault="00A90B1F"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Gustafson D. (2006). Adiposity indices and dementia. </w:t>
      </w:r>
      <w:r w:rsidRPr="00866DF7">
        <w:rPr>
          <w:rFonts w:eastAsia="Helvetica Neue"/>
          <w:i/>
          <w:iCs/>
          <w:sz w:val="20"/>
          <w:szCs w:val="20"/>
        </w:rPr>
        <w:t>The Lancet. Neurology</w:t>
      </w:r>
      <w:r w:rsidRPr="00866DF7">
        <w:rPr>
          <w:rFonts w:eastAsia="Helvetica Neue"/>
          <w:sz w:val="20"/>
          <w:szCs w:val="20"/>
        </w:rPr>
        <w:t xml:space="preserve">, </w:t>
      </w:r>
      <w:r w:rsidRPr="00866DF7">
        <w:rPr>
          <w:rFonts w:eastAsia="Helvetica Neue"/>
          <w:i/>
          <w:iCs/>
          <w:sz w:val="20"/>
          <w:szCs w:val="20"/>
        </w:rPr>
        <w:t>5</w:t>
      </w:r>
      <w:r w:rsidRPr="00866DF7">
        <w:rPr>
          <w:rFonts w:eastAsia="Helvetica Neue"/>
          <w:sz w:val="20"/>
          <w:szCs w:val="20"/>
        </w:rPr>
        <w:t xml:space="preserve">(8), 713–720. </w:t>
      </w:r>
      <w:hyperlink r:id="rId44" w:history="1">
        <w:r w:rsidR="003F6C22" w:rsidRPr="00866DF7">
          <w:rPr>
            <w:rStyle w:val="Hyperlink"/>
            <w:rFonts w:eastAsia="Helvetica Neue"/>
            <w:color w:val="auto"/>
            <w:sz w:val="20"/>
            <w:szCs w:val="20"/>
            <w:u w:val="none"/>
          </w:rPr>
          <w:t>https://doi.org/10.1016/S1474-4422(06)70526-9</w:t>
        </w:r>
      </w:hyperlink>
    </w:p>
    <w:p w14:paraId="04B8DA2E" w14:textId="64FFC520" w:rsidR="003F6C22" w:rsidRPr="00866DF7" w:rsidRDefault="003F6C22" w:rsidP="00F60A1B">
      <w:pPr>
        <w:spacing w:before="240" w:after="240" w:line="480" w:lineRule="auto"/>
        <w:ind w:left="720" w:hanging="720"/>
        <w:jc w:val="both"/>
        <w:rPr>
          <w:rFonts w:eastAsia="Times New Roman"/>
          <w:sz w:val="20"/>
          <w:szCs w:val="20"/>
        </w:rPr>
      </w:pPr>
      <w:r w:rsidRPr="00866DF7">
        <w:rPr>
          <w:rFonts w:eastAsia="Times New Roman"/>
          <w:sz w:val="20"/>
          <w:szCs w:val="20"/>
        </w:rPr>
        <w:t>Health and Safety Executive. (2016). Electromagnetic fields.</w:t>
      </w:r>
      <w:r w:rsidRPr="00866DF7">
        <w:rPr>
          <w:rFonts w:eastAsia="Times New Roman"/>
          <w:i/>
          <w:iCs/>
          <w:sz w:val="20"/>
          <w:szCs w:val="20"/>
        </w:rPr>
        <w:t xml:space="preserve"> </w:t>
      </w:r>
      <w:r w:rsidRPr="00866DF7">
        <w:rPr>
          <w:rFonts w:eastAsia="Times New Roman"/>
          <w:sz w:val="20"/>
          <w:szCs w:val="20"/>
        </w:rPr>
        <w:t xml:space="preserve">Health and Safety Executive press. </w:t>
      </w:r>
      <w:hyperlink r:id="rId45">
        <w:r w:rsidRPr="00866DF7">
          <w:rPr>
            <w:rFonts w:eastAsia="Times New Roman"/>
            <w:sz w:val="20"/>
            <w:szCs w:val="20"/>
          </w:rPr>
          <w:t>https://www.hse.gov.uk/radiation/nonionising/emf.htm</w:t>
        </w:r>
      </w:hyperlink>
    </w:p>
    <w:p w14:paraId="4296D1E8" w14:textId="5DA38F3E" w:rsidR="003F6C22" w:rsidRPr="00866DF7" w:rsidRDefault="003F6C22" w:rsidP="00F60A1B">
      <w:pPr>
        <w:spacing w:before="240" w:after="240" w:line="480" w:lineRule="auto"/>
        <w:ind w:left="720" w:hanging="720"/>
        <w:jc w:val="both"/>
        <w:rPr>
          <w:sz w:val="20"/>
          <w:szCs w:val="20"/>
        </w:rPr>
      </w:pPr>
      <w:r w:rsidRPr="00866DF7">
        <w:rPr>
          <w:rFonts w:eastAsia="Times New Roman"/>
          <w:sz w:val="20"/>
          <w:szCs w:val="20"/>
        </w:rPr>
        <w:t>Health and Safety Executive. (2022). Workplace exposure limits</w:t>
      </w:r>
      <w:r w:rsidRPr="00866DF7">
        <w:rPr>
          <w:rFonts w:eastAsia="Times New Roman"/>
          <w:i/>
          <w:iCs/>
          <w:sz w:val="20"/>
          <w:szCs w:val="20"/>
        </w:rPr>
        <w:t xml:space="preserve">. </w:t>
      </w:r>
      <w:r w:rsidRPr="00866DF7">
        <w:rPr>
          <w:rFonts w:eastAsia="Times New Roman"/>
          <w:sz w:val="20"/>
          <w:szCs w:val="20"/>
        </w:rPr>
        <w:t xml:space="preserve">Health and Safety Executive press. </w:t>
      </w:r>
      <w:hyperlink r:id="rId46">
        <w:r w:rsidRPr="00866DF7">
          <w:rPr>
            <w:rFonts w:eastAsia="Times New Roman"/>
            <w:sz w:val="20"/>
            <w:szCs w:val="20"/>
          </w:rPr>
          <w:t>https://www.hse.gov.uk/coshh/basics/exposurelimits.htm</w:t>
        </w:r>
      </w:hyperlink>
    </w:p>
    <w:p w14:paraId="01770778" w14:textId="632528D4" w:rsidR="003F6C22" w:rsidRPr="00866DF7" w:rsidRDefault="003F6C22" w:rsidP="00F60A1B">
      <w:pPr>
        <w:spacing w:before="240" w:after="240" w:line="480" w:lineRule="auto"/>
        <w:ind w:left="720" w:hanging="720"/>
        <w:jc w:val="both"/>
        <w:rPr>
          <w:rFonts w:eastAsia="Times New Roman"/>
          <w:sz w:val="20"/>
          <w:szCs w:val="20"/>
        </w:rPr>
      </w:pPr>
      <w:r w:rsidRPr="00866DF7">
        <w:rPr>
          <w:rFonts w:eastAsia="Times New Roman"/>
          <w:sz w:val="20"/>
          <w:szCs w:val="20"/>
        </w:rPr>
        <w:t>Health Education England. (2021). Dementia Education and Learning Through Simulation 2</w:t>
      </w:r>
      <w:r w:rsidRPr="00866DF7">
        <w:rPr>
          <w:rFonts w:eastAsia="Times New Roman"/>
          <w:i/>
          <w:iCs/>
          <w:sz w:val="20"/>
          <w:szCs w:val="20"/>
        </w:rPr>
        <w:t>.</w:t>
      </w:r>
      <w:r w:rsidRPr="00866DF7">
        <w:rPr>
          <w:rFonts w:eastAsia="Times New Roman"/>
          <w:sz w:val="20"/>
          <w:szCs w:val="20"/>
        </w:rPr>
        <w:t xml:space="preserve"> Health education England press. </w:t>
      </w:r>
      <w:hyperlink r:id="rId47">
        <w:r w:rsidRPr="00866DF7">
          <w:rPr>
            <w:rFonts w:eastAsia="Times New Roman"/>
            <w:sz w:val="20"/>
            <w:szCs w:val="20"/>
          </w:rPr>
          <w:t>https://www.hee.nhs.uk/our-work/dementia-awareness/dementia-education-learning-through-simulation-2</w:t>
        </w:r>
      </w:hyperlink>
    </w:p>
    <w:p w14:paraId="1B676AEE" w14:textId="1F4C91A1" w:rsidR="00332F2F" w:rsidRPr="00866DF7" w:rsidRDefault="00332F2F" w:rsidP="00F60A1B">
      <w:pPr>
        <w:spacing w:line="480" w:lineRule="auto"/>
        <w:ind w:left="720" w:hanging="720"/>
        <w:jc w:val="both"/>
        <w:rPr>
          <w:rFonts w:eastAsia="Times New Roman"/>
          <w:sz w:val="20"/>
          <w:szCs w:val="20"/>
        </w:rPr>
      </w:pPr>
      <w:r w:rsidRPr="00866DF7">
        <w:rPr>
          <w:rFonts w:eastAsia="Times New Roman"/>
          <w:sz w:val="20"/>
          <w:szCs w:val="20"/>
        </w:rPr>
        <w:t xml:space="preserve">House of Commons Library. (2021). Dementia: policy, services and statistics.    House of Commons Library press. </w:t>
      </w:r>
      <w:hyperlink r:id="rId48">
        <w:r w:rsidRPr="00866DF7">
          <w:rPr>
            <w:rFonts w:eastAsia="Times New Roman"/>
            <w:sz w:val="20"/>
            <w:szCs w:val="20"/>
          </w:rPr>
          <w:t>https://researchbriefings.files.parliament.uk/documents/SN07007/SN07007.pdf</w:t>
        </w:r>
      </w:hyperlink>
      <w:r w:rsidRPr="00866DF7">
        <w:rPr>
          <w:rFonts w:eastAsia="Times New Roman"/>
          <w:sz w:val="20"/>
          <w:szCs w:val="20"/>
        </w:rPr>
        <w:t xml:space="preserve">. </w:t>
      </w:r>
    </w:p>
    <w:p w14:paraId="546C960A" w14:textId="7E526ADF" w:rsidR="00A90B1F" w:rsidRDefault="00A90B1F" w:rsidP="00F60A1B">
      <w:pPr>
        <w:shd w:val="clear" w:color="auto" w:fill="FFFFFF"/>
        <w:spacing w:before="240" w:after="240" w:line="480" w:lineRule="auto"/>
        <w:ind w:left="720" w:hanging="720"/>
        <w:jc w:val="both"/>
      </w:pPr>
      <w:r w:rsidRPr="00866DF7">
        <w:rPr>
          <w:rFonts w:eastAsia="Helvetica Neue"/>
          <w:sz w:val="20"/>
          <w:szCs w:val="20"/>
        </w:rPr>
        <w:t xml:space="preserve">Hughes, T. F., &amp; Ganguli, M. (2009). Modifiable Midlife Risk Factors for Late-Life Cognitive Impairment and Dementia. </w:t>
      </w:r>
      <w:r w:rsidRPr="00866DF7">
        <w:rPr>
          <w:rFonts w:eastAsia="Helvetica Neue"/>
          <w:i/>
          <w:iCs/>
          <w:sz w:val="20"/>
          <w:szCs w:val="20"/>
        </w:rPr>
        <w:t>Current psychiatry reviews</w:t>
      </w:r>
      <w:r w:rsidRPr="00866DF7">
        <w:rPr>
          <w:rFonts w:eastAsia="Helvetica Neue"/>
          <w:sz w:val="20"/>
          <w:szCs w:val="20"/>
        </w:rPr>
        <w:t xml:space="preserve">, </w:t>
      </w:r>
      <w:r w:rsidRPr="00866DF7">
        <w:rPr>
          <w:rFonts w:eastAsia="Helvetica Neue"/>
          <w:i/>
          <w:iCs/>
          <w:sz w:val="20"/>
          <w:szCs w:val="20"/>
        </w:rPr>
        <w:t>5</w:t>
      </w:r>
      <w:r w:rsidRPr="00866DF7">
        <w:rPr>
          <w:rFonts w:eastAsia="Helvetica Neue"/>
          <w:sz w:val="20"/>
          <w:szCs w:val="20"/>
        </w:rPr>
        <w:t xml:space="preserve">(2), 73–92. </w:t>
      </w:r>
      <w:hyperlink r:id="rId49" w:history="1">
        <w:r w:rsidR="00A70E37" w:rsidRPr="00866DF7">
          <w:rPr>
            <w:rStyle w:val="Hyperlink"/>
            <w:rFonts w:eastAsia="Helvetica Neue"/>
            <w:color w:val="auto"/>
            <w:sz w:val="20"/>
            <w:szCs w:val="20"/>
            <w:u w:val="none"/>
          </w:rPr>
          <w:t>https://doi.org/10.2174/157340009788167347</w:t>
        </w:r>
      </w:hyperlink>
    </w:p>
    <w:p w14:paraId="63B1A32D" w14:textId="4990A381" w:rsidR="0056634C" w:rsidRPr="00866DF7" w:rsidRDefault="0056634C" w:rsidP="00F60A1B">
      <w:pPr>
        <w:shd w:val="clear" w:color="auto" w:fill="FFFFFF"/>
        <w:spacing w:before="240" w:after="240" w:line="480" w:lineRule="auto"/>
        <w:ind w:left="720" w:hanging="720"/>
        <w:jc w:val="both"/>
        <w:rPr>
          <w:rFonts w:eastAsia="Helvetica Neue"/>
          <w:sz w:val="20"/>
          <w:szCs w:val="20"/>
        </w:rPr>
      </w:pPr>
      <w:proofErr w:type="spellStart"/>
      <w:r w:rsidRPr="0056634C">
        <w:rPr>
          <w:rFonts w:eastAsia="Helvetica Neue"/>
          <w:sz w:val="20"/>
          <w:szCs w:val="20"/>
        </w:rPr>
        <w:t>Kamatham</w:t>
      </w:r>
      <w:proofErr w:type="spellEnd"/>
      <w:r w:rsidR="009F04CC">
        <w:rPr>
          <w:rFonts w:eastAsia="Helvetica Neue"/>
          <w:sz w:val="20"/>
          <w:szCs w:val="20"/>
        </w:rPr>
        <w:t xml:space="preserve">, P. T., </w:t>
      </w:r>
      <w:r w:rsidRPr="0056634C">
        <w:rPr>
          <w:rFonts w:eastAsia="Helvetica Neue"/>
          <w:sz w:val="20"/>
          <w:szCs w:val="20"/>
        </w:rPr>
        <w:t>Shukla</w:t>
      </w:r>
      <w:r w:rsidR="009F04CC">
        <w:rPr>
          <w:rFonts w:eastAsia="Helvetica Neue"/>
          <w:sz w:val="20"/>
          <w:szCs w:val="20"/>
        </w:rPr>
        <w:t>, R.</w:t>
      </w:r>
      <w:r w:rsidRPr="0056634C">
        <w:rPr>
          <w:rFonts w:eastAsia="Helvetica Neue"/>
          <w:sz w:val="20"/>
          <w:szCs w:val="20"/>
        </w:rPr>
        <w:t>, </w:t>
      </w:r>
      <w:bookmarkStart w:id="3" w:name="bau0015-profile"/>
      <w:r w:rsidR="009F04CC">
        <w:rPr>
          <w:rFonts w:eastAsia="Helvetica Neue"/>
          <w:sz w:val="20"/>
          <w:szCs w:val="20"/>
        </w:rPr>
        <w:t>Khatri, D. K.</w:t>
      </w:r>
      <w:bookmarkEnd w:id="3"/>
      <w:r w:rsidR="009F04CC">
        <w:rPr>
          <w:rFonts w:eastAsia="Helvetica Neue"/>
          <w:sz w:val="20"/>
          <w:szCs w:val="20"/>
        </w:rPr>
        <w:t xml:space="preserve"> &amp; Vora, L. K.</w:t>
      </w:r>
      <w:r w:rsidRPr="0056634C">
        <w:rPr>
          <w:rFonts w:eastAsia="Helvetica Neue"/>
          <w:sz w:val="20"/>
          <w:szCs w:val="20"/>
        </w:rPr>
        <w:t> </w:t>
      </w:r>
      <w:r w:rsidR="009F04CC">
        <w:rPr>
          <w:rFonts w:eastAsia="Helvetica Neue"/>
          <w:sz w:val="20"/>
          <w:szCs w:val="20"/>
        </w:rPr>
        <w:t>(</w:t>
      </w:r>
      <w:r>
        <w:rPr>
          <w:rFonts w:eastAsia="Helvetica Neue"/>
          <w:sz w:val="20"/>
          <w:szCs w:val="20"/>
        </w:rPr>
        <w:t>2024</w:t>
      </w:r>
      <w:r w:rsidR="009F04CC">
        <w:rPr>
          <w:rFonts w:eastAsia="Helvetica Neue"/>
          <w:sz w:val="20"/>
          <w:szCs w:val="20"/>
        </w:rPr>
        <w:t>).</w:t>
      </w:r>
      <w:r>
        <w:rPr>
          <w:rFonts w:eastAsia="Helvetica Neue"/>
          <w:sz w:val="20"/>
          <w:szCs w:val="20"/>
        </w:rPr>
        <w:t xml:space="preserve"> </w:t>
      </w:r>
      <w:r w:rsidRPr="0056634C">
        <w:rPr>
          <w:rFonts w:eastAsia="Helvetica Neue"/>
          <w:sz w:val="20"/>
          <w:szCs w:val="20"/>
        </w:rPr>
        <w:t>Pathogenesis, diagnostics, and therapeutics for Alzheimer's disease: Breaking the memory barrier</w:t>
      </w:r>
      <w:r w:rsidR="009F04CC">
        <w:rPr>
          <w:rFonts w:eastAsia="Helvetica Neue"/>
          <w:sz w:val="20"/>
          <w:szCs w:val="20"/>
        </w:rPr>
        <w:t>.</w:t>
      </w:r>
      <w:r>
        <w:rPr>
          <w:rFonts w:eastAsia="Helvetica Neue"/>
          <w:sz w:val="20"/>
          <w:szCs w:val="20"/>
        </w:rPr>
        <w:t xml:space="preserve"> </w:t>
      </w:r>
      <w:hyperlink r:id="rId50" w:tooltip="Go to Ageing Research Reviews on ScienceDirect" w:history="1">
        <w:r w:rsidRPr="009F04CC">
          <w:rPr>
            <w:rStyle w:val="Hyperlink"/>
            <w:rFonts w:eastAsia="Helvetica Neue"/>
            <w:i/>
            <w:iCs/>
            <w:color w:val="auto"/>
            <w:sz w:val="20"/>
            <w:szCs w:val="20"/>
            <w:u w:val="none"/>
          </w:rPr>
          <w:t>Ageing Research Reviews</w:t>
        </w:r>
      </w:hyperlink>
      <w:r w:rsidRPr="009F04CC">
        <w:rPr>
          <w:rFonts w:eastAsia="Helvetica Neue"/>
          <w:i/>
          <w:iCs/>
          <w:sz w:val="20"/>
          <w:szCs w:val="20"/>
        </w:rPr>
        <w:t>,</w:t>
      </w:r>
      <w:r w:rsidRPr="0056634C">
        <w:rPr>
          <w:rFonts w:eastAsia="Helvetica Neue"/>
          <w:sz w:val="20"/>
          <w:szCs w:val="20"/>
        </w:rPr>
        <w:t xml:space="preserve"> </w:t>
      </w:r>
      <w:r w:rsidR="009F04CC">
        <w:rPr>
          <w:rFonts w:eastAsia="Helvetica Neue"/>
          <w:i/>
          <w:iCs/>
          <w:sz w:val="20"/>
          <w:szCs w:val="20"/>
        </w:rPr>
        <w:t>101</w:t>
      </w:r>
      <w:r w:rsidR="009F04CC" w:rsidRPr="008D569F">
        <w:rPr>
          <w:rFonts w:eastAsia="Helvetica Neue"/>
          <w:sz w:val="20"/>
          <w:szCs w:val="20"/>
        </w:rPr>
        <w:t xml:space="preserve">, </w:t>
      </w:r>
      <w:hyperlink r:id="rId51" w:tgtFrame="_blank" w:tooltip="Persistent link using digital object identifier" w:history="1">
        <w:r w:rsidR="009F04CC" w:rsidRPr="008D569F">
          <w:rPr>
            <w:rStyle w:val="Hyperlink"/>
            <w:rFonts w:eastAsia="Helvetica Neue"/>
            <w:color w:val="auto"/>
            <w:sz w:val="20"/>
            <w:szCs w:val="20"/>
            <w:u w:val="none"/>
          </w:rPr>
          <w:t>https://doi.org/10.1016/j.arr.2024.102481</w:t>
        </w:r>
      </w:hyperlink>
      <w:r w:rsidR="009F04CC">
        <w:rPr>
          <w:rFonts w:eastAsia="Helvetica Neue"/>
          <w:i/>
          <w:iCs/>
          <w:sz w:val="20"/>
          <w:szCs w:val="20"/>
        </w:rPr>
        <w:t xml:space="preserve"> </w:t>
      </w:r>
    </w:p>
    <w:p w14:paraId="20E533BF" w14:textId="1CA2D8FA" w:rsidR="001D6CEF" w:rsidRPr="00866DF7" w:rsidRDefault="001D6CEF" w:rsidP="00F60A1B">
      <w:pPr>
        <w:pStyle w:val="Heading1"/>
        <w:keepNext w:val="0"/>
        <w:keepLines w:val="0"/>
        <w:shd w:val="clear" w:color="auto" w:fill="FFFFFF"/>
        <w:spacing w:before="0" w:after="280" w:line="480" w:lineRule="auto"/>
        <w:ind w:left="720" w:hanging="720"/>
        <w:jc w:val="both"/>
        <w:rPr>
          <w:rFonts w:eastAsia="Times New Roman"/>
          <w:sz w:val="20"/>
          <w:szCs w:val="20"/>
        </w:rPr>
      </w:pPr>
      <w:r w:rsidRPr="00866DF7">
        <w:rPr>
          <w:rFonts w:eastAsia="Times New Roman"/>
          <w:sz w:val="20"/>
          <w:szCs w:val="20"/>
        </w:rPr>
        <w:lastRenderedPageBreak/>
        <w:t xml:space="preserve">Kirby, J. (2023). Poorest people in England ‘will not be smoke-free until after 2050’. The Independent. </w:t>
      </w:r>
      <w:hyperlink r:id="rId52">
        <w:r w:rsidRPr="00866DF7">
          <w:rPr>
            <w:rFonts w:eastAsia="Times New Roman"/>
            <w:sz w:val="20"/>
            <w:szCs w:val="20"/>
          </w:rPr>
          <w:t>https://www.independent.co.uk/news/uk/england-government-cancer-research-uk-jeremy-hunt-prime-minister-b2419914.html</w:t>
        </w:r>
      </w:hyperlink>
    </w:p>
    <w:p w14:paraId="182E3BD5" w14:textId="6866CAB6" w:rsidR="00917586" w:rsidRPr="00866DF7" w:rsidRDefault="00917586" w:rsidP="00F60A1B">
      <w:pPr>
        <w:shd w:val="clear" w:color="auto" w:fill="FFFFFF"/>
        <w:spacing w:before="240" w:after="240" w:line="480" w:lineRule="auto"/>
        <w:ind w:left="720" w:hanging="720"/>
        <w:jc w:val="both"/>
        <w:rPr>
          <w:sz w:val="20"/>
          <w:szCs w:val="20"/>
        </w:rPr>
      </w:pPr>
      <w:proofErr w:type="spellStart"/>
      <w:r w:rsidRPr="00866DF7">
        <w:rPr>
          <w:sz w:val="20"/>
          <w:szCs w:val="20"/>
        </w:rPr>
        <w:t>Korcovelos</w:t>
      </w:r>
      <w:proofErr w:type="spellEnd"/>
      <w:r w:rsidRPr="00866DF7">
        <w:rPr>
          <w:sz w:val="20"/>
          <w:szCs w:val="20"/>
        </w:rPr>
        <w:t xml:space="preserve">, E. A. F. K., Meltzer, J., Hirst, G., Fraser, K. C. &amp; Rudzicz, F. (2017). Studying neurodegeneration with automated linguistic analysis of speech data. </w:t>
      </w:r>
      <w:r w:rsidRPr="00866DF7">
        <w:rPr>
          <w:i/>
          <w:iCs/>
          <w:sz w:val="20"/>
          <w:szCs w:val="20"/>
        </w:rPr>
        <w:t>Alzheimer's and Dementia. 13</w:t>
      </w:r>
      <w:r w:rsidRPr="00866DF7">
        <w:rPr>
          <w:sz w:val="20"/>
          <w:szCs w:val="20"/>
        </w:rPr>
        <w:t>(7S). 164-165. https://doi.org/10.1016/j.jalz.2017.06.2612</w:t>
      </w:r>
    </w:p>
    <w:p w14:paraId="6E98A9BF" w14:textId="5FB3ACAF" w:rsidR="00A70E37" w:rsidRPr="00866DF7" w:rsidRDefault="00A70E37" w:rsidP="00F60A1B">
      <w:pPr>
        <w:shd w:val="clear" w:color="auto" w:fill="FFFFFF"/>
        <w:spacing w:before="240" w:after="240" w:line="480" w:lineRule="auto"/>
        <w:ind w:left="720" w:hanging="720"/>
        <w:jc w:val="both"/>
        <w:rPr>
          <w:rFonts w:eastAsia="Helvetica Neue"/>
          <w:sz w:val="20"/>
          <w:szCs w:val="20"/>
        </w:rPr>
      </w:pPr>
      <w:r w:rsidRPr="00866DF7">
        <w:rPr>
          <w:rFonts w:eastAsia="Helvetica Neue"/>
          <w:sz w:val="20"/>
          <w:szCs w:val="20"/>
        </w:rPr>
        <w:t xml:space="preserve">Livingston, G., </w:t>
      </w:r>
      <w:proofErr w:type="spellStart"/>
      <w:r w:rsidRPr="00866DF7">
        <w:rPr>
          <w:rFonts w:eastAsia="Helvetica Neue"/>
          <w:sz w:val="20"/>
          <w:szCs w:val="20"/>
        </w:rPr>
        <w:t>Sommerlad</w:t>
      </w:r>
      <w:proofErr w:type="spellEnd"/>
      <w:r w:rsidRPr="00866DF7">
        <w:rPr>
          <w:rFonts w:eastAsia="Helvetica Neue"/>
          <w:sz w:val="20"/>
          <w:szCs w:val="20"/>
        </w:rPr>
        <w:t xml:space="preserve">, A., Orgeta, V., Costafreda, S. G., Huntley, J., Ames, D., Ballard, C., Banerjee, S., Burns, A., Cohen-Mansfield, J., Cooper, C., Fox, N., Gitlin, L. N., Howard, R., Kales, H. C., Larson, E. B., Ritchie, K., Rockwood, K., Sampson, E. L., Samus, Q., … Mukadam, N. (2017). Dementia prevention, intervention, and care.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390</w:t>
      </w:r>
      <w:r w:rsidRPr="00866DF7">
        <w:rPr>
          <w:rFonts w:eastAsia="Helvetica Neue"/>
          <w:sz w:val="20"/>
          <w:szCs w:val="20"/>
        </w:rPr>
        <w:t xml:space="preserve">(10113), 2673–2734. </w:t>
      </w:r>
      <w:hyperlink r:id="rId53" w:history="1">
        <w:r w:rsidR="006E2E44" w:rsidRPr="00866DF7">
          <w:rPr>
            <w:rStyle w:val="Hyperlink"/>
            <w:rFonts w:eastAsia="Helvetica Neue"/>
            <w:color w:val="auto"/>
            <w:sz w:val="20"/>
            <w:szCs w:val="20"/>
            <w:u w:val="none"/>
          </w:rPr>
          <w:t>https://doi.org/10.1016/S0140-6736(17)31363-6</w:t>
        </w:r>
      </w:hyperlink>
    </w:p>
    <w:p w14:paraId="13E176A0" w14:textId="60DC58FA" w:rsidR="005B2E7B" w:rsidRPr="00866DF7" w:rsidRDefault="006E2E44" w:rsidP="00F60A1B">
      <w:pPr>
        <w:pStyle w:val="Heading1"/>
        <w:keepNext w:val="0"/>
        <w:keepLines w:val="0"/>
        <w:shd w:val="clear" w:color="auto" w:fill="FFFFFF"/>
        <w:spacing w:before="48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Livingston, G., Huntley, J., </w:t>
      </w:r>
      <w:proofErr w:type="spellStart"/>
      <w:r w:rsidRPr="00866DF7">
        <w:rPr>
          <w:rFonts w:eastAsia="Helvetica Neue"/>
          <w:sz w:val="20"/>
          <w:szCs w:val="20"/>
        </w:rPr>
        <w:t>Sommerlad</w:t>
      </w:r>
      <w:proofErr w:type="spellEnd"/>
      <w:r w:rsidRPr="00866DF7">
        <w:rPr>
          <w:rFonts w:eastAsia="Helvetica Neue"/>
          <w:sz w:val="20"/>
          <w:szCs w:val="20"/>
        </w:rPr>
        <w:t xml:space="preserve">, A., Ames, D., Ballard, C., Banerjee, S., </w:t>
      </w:r>
      <w:proofErr w:type="spellStart"/>
      <w:r w:rsidRPr="00866DF7">
        <w:rPr>
          <w:rFonts w:eastAsia="Helvetica Neue"/>
          <w:sz w:val="20"/>
          <w:szCs w:val="20"/>
        </w:rPr>
        <w:t>Brayne</w:t>
      </w:r>
      <w:proofErr w:type="spellEnd"/>
      <w:r w:rsidRPr="00866DF7">
        <w:rPr>
          <w:rFonts w:eastAsia="Helvetica Neue"/>
          <w:sz w:val="20"/>
          <w:szCs w:val="20"/>
        </w:rPr>
        <w:t xml:space="preserve">, C., Burns, A., Cohen-Mansfield, J., Cooper, C., </w:t>
      </w:r>
      <w:proofErr w:type="spellStart"/>
      <w:r w:rsidRPr="00866DF7">
        <w:rPr>
          <w:rFonts w:eastAsia="Helvetica Neue"/>
          <w:sz w:val="20"/>
          <w:szCs w:val="20"/>
        </w:rPr>
        <w:t>Costafreda</w:t>
      </w:r>
      <w:proofErr w:type="spellEnd"/>
      <w:r w:rsidRPr="00866DF7">
        <w:rPr>
          <w:rFonts w:eastAsia="Helvetica Neue"/>
          <w:sz w:val="20"/>
          <w:szCs w:val="20"/>
        </w:rPr>
        <w:t xml:space="preserve">, S. G., Dias, A., Fox, N., Gitlin, L. N., Howard, R., Kales, H. C., Kivimäki, M., Larson, E. B., Ogunniyi, A., Orgeta, V., … Mukadam, N. (2020). Dementia prevention, intervention, and care: 2020 report of the Lancet Commission.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396</w:t>
      </w:r>
      <w:r w:rsidRPr="00866DF7">
        <w:rPr>
          <w:rFonts w:eastAsia="Helvetica Neue"/>
          <w:sz w:val="20"/>
          <w:szCs w:val="20"/>
        </w:rPr>
        <w:t xml:space="preserve">(10248), 413–446. </w:t>
      </w:r>
      <w:hyperlink r:id="rId54" w:history="1">
        <w:r w:rsidR="00017187" w:rsidRPr="00866DF7">
          <w:rPr>
            <w:rStyle w:val="Hyperlink"/>
            <w:rFonts w:eastAsia="Helvetica Neue"/>
            <w:color w:val="auto"/>
            <w:sz w:val="20"/>
            <w:szCs w:val="20"/>
            <w:u w:val="none"/>
          </w:rPr>
          <w:t>https://doi.org/10.1016/S0140-6736(20)30367-6</w:t>
        </w:r>
      </w:hyperlink>
    </w:p>
    <w:p w14:paraId="1C759AEF" w14:textId="4B90860E" w:rsidR="00017187" w:rsidRPr="00866DF7" w:rsidRDefault="00017187" w:rsidP="00F60A1B">
      <w:pPr>
        <w:pStyle w:val="Heading1"/>
        <w:keepNext w:val="0"/>
        <w:keepLines w:val="0"/>
        <w:shd w:val="clear" w:color="auto" w:fill="FFFFFF"/>
        <w:spacing w:before="480" w:line="480" w:lineRule="auto"/>
        <w:ind w:left="720" w:hanging="720"/>
        <w:jc w:val="both"/>
        <w:rPr>
          <w:rFonts w:eastAsia="Helvetica Neue"/>
          <w:sz w:val="20"/>
          <w:szCs w:val="20"/>
        </w:rPr>
      </w:pPr>
      <w:r w:rsidRPr="00866DF7">
        <w:rPr>
          <w:rFonts w:eastAsia="Arial Unicode MS"/>
          <w:sz w:val="20"/>
          <w:szCs w:val="20"/>
        </w:rPr>
        <w:t xml:space="preserve">Matthews, K. A., Xu, W., Gaglioti, A. H., Holt, J. B., Croft, J. B., Mack, D., &amp; McGuire, L. C. (2019). Racial and ethnic estimates of Alzheimer's disease and related dementias in the United States (2015-2060) in adults aged ≥65 years. </w:t>
      </w:r>
      <w:r w:rsidRPr="00866DF7">
        <w:rPr>
          <w:rFonts w:eastAsia="Helvetica Neue"/>
          <w:i/>
          <w:iCs/>
          <w:sz w:val="20"/>
          <w:szCs w:val="20"/>
        </w:rPr>
        <w:t xml:space="preserve">Alzheimer's &amp; </w:t>
      </w:r>
      <w:proofErr w:type="gramStart"/>
      <w:r w:rsidRPr="00866DF7">
        <w:rPr>
          <w:rFonts w:eastAsia="Helvetica Neue"/>
          <w:i/>
          <w:iCs/>
          <w:sz w:val="20"/>
          <w:szCs w:val="20"/>
        </w:rPr>
        <w:t>dementia :</w:t>
      </w:r>
      <w:proofErr w:type="gramEnd"/>
      <w:r w:rsidRPr="00866DF7">
        <w:rPr>
          <w:rFonts w:eastAsia="Helvetica Neue"/>
          <w:i/>
          <w:iCs/>
          <w:sz w:val="20"/>
          <w:szCs w:val="20"/>
        </w:rPr>
        <w:t xml:space="preserve"> the journal of the Alzheimer's Association</w:t>
      </w:r>
      <w:r w:rsidRPr="00866DF7">
        <w:rPr>
          <w:rFonts w:eastAsia="Helvetica Neue"/>
          <w:sz w:val="20"/>
          <w:szCs w:val="20"/>
        </w:rPr>
        <w:t xml:space="preserve">, </w:t>
      </w:r>
      <w:r w:rsidRPr="00866DF7">
        <w:rPr>
          <w:rFonts w:eastAsia="Helvetica Neue"/>
          <w:i/>
          <w:iCs/>
          <w:sz w:val="20"/>
          <w:szCs w:val="20"/>
        </w:rPr>
        <w:t>15</w:t>
      </w:r>
      <w:r w:rsidRPr="00866DF7">
        <w:rPr>
          <w:rFonts w:eastAsia="Helvetica Neue"/>
          <w:sz w:val="20"/>
          <w:szCs w:val="20"/>
        </w:rPr>
        <w:t xml:space="preserve">(1), 17–24. </w:t>
      </w:r>
      <w:hyperlink r:id="rId55">
        <w:r w:rsidRPr="00866DF7">
          <w:rPr>
            <w:rFonts w:eastAsia="Helvetica Neue"/>
            <w:sz w:val="20"/>
            <w:szCs w:val="20"/>
          </w:rPr>
          <w:t>https://doi.org/10.1016/j.jalz.2018.06.3063</w:t>
        </w:r>
      </w:hyperlink>
    </w:p>
    <w:p w14:paraId="03A7FD8D" w14:textId="2F0D5D98" w:rsidR="00A70E37" w:rsidRPr="00866DF7" w:rsidRDefault="00A70E37"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Morris, M. C., Scherr, P. A., Hebert, L. E., Glynn, R. J., Bennett, D. A., &amp; Evans, D. A. (2001). Association of incident Alzheimer disease and blood pressure measured from 13 years before to 2 years after diagnosis in a large community study. </w:t>
      </w:r>
      <w:r w:rsidRPr="00866DF7">
        <w:rPr>
          <w:rFonts w:eastAsia="Helvetica Neue"/>
          <w:i/>
          <w:iCs/>
          <w:sz w:val="20"/>
          <w:szCs w:val="20"/>
        </w:rPr>
        <w:t>Archives of neurology</w:t>
      </w:r>
      <w:r w:rsidRPr="00866DF7">
        <w:rPr>
          <w:rFonts w:eastAsia="Helvetica Neue"/>
          <w:sz w:val="20"/>
          <w:szCs w:val="20"/>
        </w:rPr>
        <w:t xml:space="preserve">, </w:t>
      </w:r>
      <w:r w:rsidRPr="00866DF7">
        <w:rPr>
          <w:rFonts w:eastAsia="Helvetica Neue"/>
          <w:i/>
          <w:iCs/>
          <w:sz w:val="20"/>
          <w:szCs w:val="20"/>
        </w:rPr>
        <w:t>58</w:t>
      </w:r>
      <w:r w:rsidRPr="00866DF7">
        <w:rPr>
          <w:rFonts w:eastAsia="Helvetica Neue"/>
          <w:sz w:val="20"/>
          <w:szCs w:val="20"/>
        </w:rPr>
        <w:t xml:space="preserve">(10), 1640–1646. </w:t>
      </w:r>
      <w:hyperlink r:id="rId56" w:history="1">
        <w:r w:rsidR="00017187" w:rsidRPr="00866DF7">
          <w:rPr>
            <w:rStyle w:val="Hyperlink"/>
            <w:rFonts w:eastAsia="Helvetica Neue"/>
            <w:color w:val="auto"/>
            <w:sz w:val="20"/>
            <w:szCs w:val="20"/>
            <w:u w:val="none"/>
          </w:rPr>
          <w:t>https://doi.org/10.1001/archneur.58.10.1640</w:t>
        </w:r>
      </w:hyperlink>
    </w:p>
    <w:p w14:paraId="559EFC4F" w14:textId="15F159C6" w:rsidR="00017187" w:rsidRPr="00866DF7" w:rsidRDefault="00017187" w:rsidP="00F60A1B">
      <w:pPr>
        <w:spacing w:before="240" w:after="240" w:line="480" w:lineRule="auto"/>
        <w:ind w:left="720" w:hanging="720"/>
        <w:jc w:val="both"/>
        <w:rPr>
          <w:rFonts w:eastAsia="Helvetica Neue"/>
          <w:sz w:val="20"/>
          <w:szCs w:val="20"/>
        </w:rPr>
      </w:pPr>
      <w:r w:rsidRPr="00866DF7">
        <w:rPr>
          <w:rFonts w:eastAsia="Helvetica Neue"/>
          <w:sz w:val="20"/>
          <w:szCs w:val="20"/>
        </w:rPr>
        <w:lastRenderedPageBreak/>
        <w:t xml:space="preserve">Na, M., Dou, N., Ji, N., Xie, D., Huang, J., Tucker, K. L., &amp; Gao, X. (2020). Food Insecurity and Cognitive Function in Middle to Older Adulthood: A Systematic Review. </w:t>
      </w:r>
      <w:r w:rsidRPr="00866DF7">
        <w:rPr>
          <w:rFonts w:eastAsia="Helvetica Neue"/>
          <w:i/>
          <w:iCs/>
          <w:sz w:val="20"/>
          <w:szCs w:val="20"/>
        </w:rPr>
        <w:t>Advances in nutrition (Bethesda, Md.)</w:t>
      </w:r>
      <w:r w:rsidRPr="00866DF7">
        <w:rPr>
          <w:rFonts w:eastAsia="Helvetica Neue"/>
          <w:sz w:val="20"/>
          <w:szCs w:val="20"/>
        </w:rPr>
        <w:t xml:space="preserve">, </w:t>
      </w:r>
      <w:r w:rsidRPr="00866DF7">
        <w:rPr>
          <w:rFonts w:eastAsia="Helvetica Neue"/>
          <w:i/>
          <w:iCs/>
          <w:sz w:val="20"/>
          <w:szCs w:val="20"/>
        </w:rPr>
        <w:t>11</w:t>
      </w:r>
      <w:r w:rsidRPr="00866DF7">
        <w:rPr>
          <w:rFonts w:eastAsia="Helvetica Neue"/>
          <w:sz w:val="20"/>
          <w:szCs w:val="20"/>
        </w:rPr>
        <w:t xml:space="preserve">(3), 667–676. </w:t>
      </w:r>
      <w:hyperlink r:id="rId57" w:history="1">
        <w:r w:rsidRPr="00866DF7">
          <w:rPr>
            <w:rStyle w:val="Hyperlink"/>
            <w:rFonts w:eastAsia="Helvetica Neue"/>
            <w:color w:val="auto"/>
            <w:sz w:val="20"/>
            <w:szCs w:val="20"/>
            <w:u w:val="none"/>
          </w:rPr>
          <w:t>https://doi.org/10.1093/advances/nmz122</w:t>
        </w:r>
      </w:hyperlink>
    </w:p>
    <w:p w14:paraId="6A1298F5" w14:textId="4F0CCE5C" w:rsidR="00332F2F" w:rsidRPr="00866DF7" w:rsidRDefault="00332F2F" w:rsidP="00F60A1B">
      <w:pPr>
        <w:spacing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Naheed, A., Hakim, M., Islam, M. S., Islam, M. B., Tang, E. Y. H., </w:t>
      </w:r>
      <w:proofErr w:type="spellStart"/>
      <w:r w:rsidRPr="00866DF7">
        <w:rPr>
          <w:rFonts w:eastAsia="Helvetica Neue"/>
          <w:sz w:val="20"/>
          <w:szCs w:val="20"/>
        </w:rPr>
        <w:t>Prodhan</w:t>
      </w:r>
      <w:proofErr w:type="spellEnd"/>
      <w:r w:rsidRPr="00866DF7">
        <w:rPr>
          <w:rFonts w:eastAsia="Helvetica Neue"/>
          <w:sz w:val="20"/>
          <w:szCs w:val="20"/>
        </w:rPr>
        <w:t xml:space="preserve">, A. A., Amin, M. R., Stephan, B. C. M., &amp; Mohammad, Q. D. (2023). Prevalence of dementia among older age people and variation across different sociodemographic characteristics: a cross-sectional study in Bangladesh. </w:t>
      </w:r>
      <w:r w:rsidRPr="00866DF7">
        <w:rPr>
          <w:rFonts w:eastAsia="Helvetica Neue"/>
          <w:i/>
          <w:iCs/>
          <w:sz w:val="20"/>
          <w:szCs w:val="20"/>
        </w:rPr>
        <w:t>The Lancet regional health. Southeast Asia</w:t>
      </w:r>
      <w:r w:rsidRPr="00866DF7">
        <w:rPr>
          <w:rFonts w:eastAsia="Helvetica Neue"/>
          <w:sz w:val="20"/>
          <w:szCs w:val="20"/>
        </w:rPr>
        <w:t xml:space="preserve">, </w:t>
      </w:r>
      <w:r w:rsidRPr="00866DF7">
        <w:rPr>
          <w:rFonts w:eastAsia="Helvetica Neue"/>
          <w:i/>
          <w:iCs/>
          <w:sz w:val="20"/>
          <w:szCs w:val="20"/>
        </w:rPr>
        <w:t>17</w:t>
      </w:r>
      <w:r w:rsidRPr="00866DF7">
        <w:rPr>
          <w:rFonts w:eastAsia="Helvetica Neue"/>
          <w:sz w:val="20"/>
          <w:szCs w:val="20"/>
        </w:rPr>
        <w:t xml:space="preserve">, 100257. </w:t>
      </w:r>
      <w:hyperlink r:id="rId58" w:history="1">
        <w:r w:rsidRPr="00866DF7">
          <w:rPr>
            <w:rStyle w:val="Hyperlink"/>
            <w:rFonts w:eastAsia="Helvetica Neue"/>
            <w:color w:val="auto"/>
            <w:sz w:val="20"/>
            <w:szCs w:val="20"/>
            <w:u w:val="none"/>
          </w:rPr>
          <w:t>https://doi.org/10.1016/j.lansea.2023.100257</w:t>
        </w:r>
      </w:hyperlink>
    </w:p>
    <w:p w14:paraId="29A5C962" w14:textId="128F5A35" w:rsidR="00074D41" w:rsidRPr="00866DF7" w:rsidRDefault="00074D41" w:rsidP="00F60A1B">
      <w:pPr>
        <w:spacing w:before="240" w:after="240" w:line="480" w:lineRule="auto"/>
        <w:ind w:left="720" w:hanging="720"/>
        <w:jc w:val="both"/>
        <w:rPr>
          <w:rFonts w:eastAsia="Times New Roman"/>
          <w:sz w:val="20"/>
          <w:szCs w:val="20"/>
        </w:rPr>
      </w:pPr>
      <w:r w:rsidRPr="00866DF7">
        <w:rPr>
          <w:rFonts w:eastAsia="Times New Roman"/>
          <w:sz w:val="20"/>
          <w:szCs w:val="20"/>
        </w:rPr>
        <w:t>NHS. (2019</w:t>
      </w:r>
      <w:r w:rsidR="00F83507" w:rsidRPr="00866DF7">
        <w:rPr>
          <w:rFonts w:eastAsia="Times New Roman"/>
          <w:sz w:val="20"/>
          <w:szCs w:val="20"/>
        </w:rPr>
        <w:t>a</w:t>
      </w:r>
      <w:r w:rsidRPr="00866DF7">
        <w:rPr>
          <w:rFonts w:eastAsia="Times New Roman"/>
          <w:sz w:val="20"/>
          <w:szCs w:val="20"/>
        </w:rPr>
        <w:t xml:space="preserve">). Air pollution. </w:t>
      </w:r>
      <w:r w:rsidR="009E1A34" w:rsidRPr="00866DF7">
        <w:rPr>
          <w:rFonts w:eastAsia="Times New Roman"/>
          <w:sz w:val="20"/>
          <w:szCs w:val="20"/>
        </w:rPr>
        <w:t xml:space="preserve">NHS </w:t>
      </w:r>
      <w:r w:rsidRPr="00866DF7">
        <w:rPr>
          <w:rFonts w:eastAsia="Times New Roman"/>
          <w:sz w:val="20"/>
          <w:szCs w:val="20"/>
        </w:rPr>
        <w:t xml:space="preserve">press. </w:t>
      </w:r>
      <w:hyperlink r:id="rId59" w:anchor="ref">
        <w:r w:rsidRPr="00866DF7">
          <w:rPr>
            <w:rFonts w:eastAsia="Times New Roman"/>
            <w:sz w:val="20"/>
            <w:szCs w:val="20"/>
          </w:rPr>
          <w:t>https://www.longtermplan.nhs.uk/online-version/chapter-2-more-nhs-action-on-prevention-and-health-inequalities/air-pollution/#ref</w:t>
        </w:r>
      </w:hyperlink>
    </w:p>
    <w:p w14:paraId="6FD15E0D" w14:textId="59CC7FB3" w:rsidR="00074D41" w:rsidRPr="00866DF7" w:rsidRDefault="00074D41" w:rsidP="00F60A1B">
      <w:pPr>
        <w:spacing w:line="480" w:lineRule="auto"/>
        <w:ind w:left="720" w:hanging="720"/>
        <w:jc w:val="both"/>
        <w:rPr>
          <w:rFonts w:eastAsia="Times New Roman"/>
          <w:sz w:val="20"/>
          <w:szCs w:val="20"/>
        </w:rPr>
      </w:pPr>
      <w:r w:rsidRPr="00866DF7">
        <w:rPr>
          <w:rFonts w:eastAsia="Times New Roman"/>
          <w:sz w:val="20"/>
          <w:szCs w:val="20"/>
        </w:rPr>
        <w:t>NHS. (2019</w:t>
      </w:r>
      <w:r w:rsidR="00F83507" w:rsidRPr="00866DF7">
        <w:rPr>
          <w:rFonts w:eastAsia="Times New Roman"/>
          <w:sz w:val="20"/>
          <w:szCs w:val="20"/>
        </w:rPr>
        <w:t>b</w:t>
      </w:r>
      <w:r w:rsidRPr="00866DF7">
        <w:rPr>
          <w:rFonts w:eastAsia="Times New Roman"/>
          <w:sz w:val="20"/>
          <w:szCs w:val="20"/>
        </w:rPr>
        <w:t xml:space="preserve">). The NHS Long Term Plan – summary. </w:t>
      </w:r>
      <w:r w:rsidR="009E1A34" w:rsidRPr="00866DF7">
        <w:rPr>
          <w:rFonts w:eastAsia="Times New Roman"/>
          <w:sz w:val="20"/>
          <w:szCs w:val="20"/>
        </w:rPr>
        <w:t xml:space="preserve">NHS </w:t>
      </w:r>
      <w:r w:rsidRPr="00866DF7">
        <w:rPr>
          <w:rFonts w:eastAsia="Times New Roman"/>
          <w:sz w:val="20"/>
          <w:szCs w:val="20"/>
        </w:rPr>
        <w:t xml:space="preserve">press. </w:t>
      </w:r>
      <w:hyperlink r:id="rId60">
        <w:r w:rsidRPr="00866DF7">
          <w:rPr>
            <w:rFonts w:eastAsia="Times New Roman"/>
            <w:sz w:val="20"/>
            <w:szCs w:val="20"/>
          </w:rPr>
          <w:t>https://www.england.nhs.uk/wp-content/uploads/2022/07/the-nhs-long-term-plan-summary.pdf</w:t>
        </w:r>
      </w:hyperlink>
    </w:p>
    <w:p w14:paraId="77F914F4" w14:textId="5409F8A6" w:rsidR="00074D41" w:rsidRPr="00866DF7" w:rsidRDefault="00074D41" w:rsidP="00F60A1B">
      <w:pPr>
        <w:spacing w:line="480" w:lineRule="auto"/>
        <w:ind w:left="720" w:hanging="720"/>
        <w:jc w:val="both"/>
        <w:rPr>
          <w:rFonts w:eastAsia="Times New Roman"/>
          <w:sz w:val="20"/>
          <w:szCs w:val="20"/>
        </w:rPr>
      </w:pPr>
      <w:r w:rsidRPr="00866DF7">
        <w:rPr>
          <w:rFonts w:eastAsia="Times New Roman"/>
          <w:sz w:val="20"/>
          <w:szCs w:val="20"/>
        </w:rPr>
        <w:t>NHS. (2019</w:t>
      </w:r>
      <w:r w:rsidR="00F83507" w:rsidRPr="00866DF7">
        <w:rPr>
          <w:rFonts w:eastAsia="Times New Roman"/>
          <w:sz w:val="20"/>
          <w:szCs w:val="20"/>
        </w:rPr>
        <w:t>c</w:t>
      </w:r>
      <w:r w:rsidRPr="00866DF7">
        <w:rPr>
          <w:rFonts w:eastAsia="Times New Roman"/>
          <w:sz w:val="20"/>
          <w:szCs w:val="20"/>
        </w:rPr>
        <w:t xml:space="preserve">). Stronger NHS action on health inequalities. </w:t>
      </w:r>
      <w:r w:rsidR="009E1A34" w:rsidRPr="00866DF7">
        <w:rPr>
          <w:rFonts w:eastAsia="Times New Roman"/>
          <w:sz w:val="20"/>
          <w:szCs w:val="20"/>
        </w:rPr>
        <w:t xml:space="preserve">NHS </w:t>
      </w:r>
      <w:r w:rsidRPr="00866DF7">
        <w:rPr>
          <w:rFonts w:eastAsia="Times New Roman"/>
          <w:sz w:val="20"/>
          <w:szCs w:val="20"/>
        </w:rPr>
        <w:t xml:space="preserve">press. </w:t>
      </w:r>
      <w:hyperlink r:id="rId61">
        <w:r w:rsidRPr="00866DF7">
          <w:rPr>
            <w:rFonts w:eastAsia="Times New Roman"/>
            <w:sz w:val="20"/>
            <w:szCs w:val="20"/>
          </w:rPr>
          <w:t>https://www.longtermplan.nhs.uk/online-version/chapter-2-more-nhs-action-on-prevention-and-health-inequalities/stronger-nhs-action-on-health-inequalities/</w:t>
        </w:r>
      </w:hyperlink>
    </w:p>
    <w:p w14:paraId="25DA7EB7" w14:textId="706B1FAC" w:rsidR="00074D41" w:rsidRPr="00866DF7" w:rsidRDefault="00074D41" w:rsidP="00F60A1B">
      <w:pPr>
        <w:spacing w:before="240" w:after="240" w:line="480" w:lineRule="auto"/>
        <w:ind w:left="720" w:hanging="720"/>
        <w:jc w:val="both"/>
        <w:rPr>
          <w:rStyle w:val="Hyperlink"/>
          <w:rFonts w:eastAsia="Times New Roman"/>
          <w:color w:val="auto"/>
          <w:sz w:val="20"/>
          <w:szCs w:val="20"/>
          <w:u w:val="none"/>
        </w:rPr>
      </w:pPr>
      <w:r w:rsidRPr="00866DF7">
        <w:rPr>
          <w:rFonts w:eastAsia="Times New Roman"/>
          <w:sz w:val="20"/>
          <w:szCs w:val="20"/>
        </w:rPr>
        <w:t xml:space="preserve">NHS. (2021). The NHS Digital Weight Management </w:t>
      </w:r>
      <w:proofErr w:type="spellStart"/>
      <w:r w:rsidRPr="00866DF7">
        <w:rPr>
          <w:rFonts w:eastAsia="Times New Roman"/>
          <w:sz w:val="20"/>
          <w:szCs w:val="20"/>
        </w:rPr>
        <w:t>Programme</w:t>
      </w:r>
      <w:proofErr w:type="spellEnd"/>
      <w:r w:rsidRPr="00866DF7">
        <w:rPr>
          <w:rFonts w:eastAsia="Times New Roman"/>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62">
        <w:r w:rsidRPr="00866DF7">
          <w:rPr>
            <w:rFonts w:eastAsia="Times New Roman"/>
            <w:sz w:val="20"/>
            <w:szCs w:val="20"/>
          </w:rPr>
          <w:t>https://www.england.nhs.uk/digital-weight-management/</w:t>
        </w:r>
      </w:hyperlink>
    </w:p>
    <w:p w14:paraId="75BB414D" w14:textId="345DEE1E" w:rsidR="001D6CEF" w:rsidRPr="00866DF7" w:rsidRDefault="001D6CEF" w:rsidP="00F60A1B">
      <w:pPr>
        <w:spacing w:before="240" w:after="240" w:line="480" w:lineRule="auto"/>
        <w:ind w:left="720" w:hanging="720"/>
        <w:jc w:val="both"/>
        <w:rPr>
          <w:rFonts w:eastAsia="Times New Roman"/>
          <w:sz w:val="20"/>
          <w:szCs w:val="20"/>
        </w:rPr>
      </w:pPr>
      <w:r w:rsidRPr="00866DF7">
        <w:rPr>
          <w:rFonts w:eastAsia="Times New Roman"/>
          <w:sz w:val="20"/>
          <w:szCs w:val="20"/>
        </w:rPr>
        <w:t>NHS. (2022</w:t>
      </w:r>
      <w:r w:rsidR="00F83507" w:rsidRPr="00866DF7">
        <w:rPr>
          <w:rFonts w:eastAsia="Times New Roman"/>
          <w:sz w:val="20"/>
          <w:szCs w:val="20"/>
        </w:rPr>
        <w:t>a</w:t>
      </w:r>
      <w:r w:rsidRPr="00866DF7">
        <w:rPr>
          <w:rFonts w:eastAsia="Times New Roman"/>
          <w:sz w:val="20"/>
          <w:szCs w:val="20"/>
        </w:rPr>
        <w:t>). Eat well.</w:t>
      </w:r>
      <w:r w:rsidRPr="00866DF7">
        <w:rPr>
          <w:rFonts w:eastAsia="Times New Roman"/>
          <w:i/>
          <w:iCs/>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63">
        <w:r w:rsidRPr="00866DF7">
          <w:rPr>
            <w:rFonts w:eastAsia="Times New Roman"/>
            <w:sz w:val="20"/>
            <w:szCs w:val="20"/>
          </w:rPr>
          <w:t>https://www.nhs.uk/live-well/eat-well/</w:t>
        </w:r>
      </w:hyperlink>
    </w:p>
    <w:p w14:paraId="6987A609" w14:textId="4BD949CF" w:rsidR="00F83507" w:rsidRPr="00866DF7" w:rsidRDefault="00F83507"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NHS. (2022b). Kickstart your health. </w:t>
      </w:r>
      <w:r w:rsidR="009E1A34" w:rsidRPr="00866DF7">
        <w:rPr>
          <w:rFonts w:eastAsia="Times New Roman"/>
          <w:sz w:val="20"/>
          <w:szCs w:val="20"/>
        </w:rPr>
        <w:t xml:space="preserve">NHS </w:t>
      </w:r>
      <w:r w:rsidRPr="00866DF7">
        <w:rPr>
          <w:rFonts w:eastAsia="Times New Roman"/>
          <w:sz w:val="20"/>
          <w:szCs w:val="20"/>
        </w:rPr>
        <w:t xml:space="preserve">press. </w:t>
      </w:r>
      <w:hyperlink r:id="rId64">
        <w:r w:rsidRPr="00866DF7">
          <w:rPr>
            <w:rFonts w:eastAsia="Times New Roman"/>
            <w:sz w:val="20"/>
            <w:szCs w:val="20"/>
          </w:rPr>
          <w:t>https://www.nhs.uk/better-health/</w:t>
        </w:r>
      </w:hyperlink>
    </w:p>
    <w:p w14:paraId="2BC5138C" w14:textId="210A976C" w:rsidR="001D6CEF" w:rsidRPr="00866DF7" w:rsidRDefault="001D6CEF" w:rsidP="00F60A1B">
      <w:pPr>
        <w:spacing w:before="240" w:after="240" w:line="480" w:lineRule="auto"/>
        <w:ind w:left="720" w:hanging="720"/>
        <w:jc w:val="both"/>
        <w:rPr>
          <w:sz w:val="20"/>
          <w:szCs w:val="20"/>
        </w:rPr>
      </w:pPr>
      <w:r w:rsidRPr="00866DF7">
        <w:rPr>
          <w:rFonts w:eastAsia="Times New Roman"/>
          <w:sz w:val="20"/>
          <w:szCs w:val="20"/>
        </w:rPr>
        <w:t>NHS. (2022</w:t>
      </w:r>
      <w:r w:rsidR="00F83507" w:rsidRPr="00866DF7">
        <w:rPr>
          <w:rFonts w:eastAsia="Times New Roman"/>
          <w:sz w:val="20"/>
          <w:szCs w:val="20"/>
        </w:rPr>
        <w:t>c</w:t>
      </w:r>
      <w:r w:rsidRPr="00866DF7">
        <w:rPr>
          <w:rFonts w:eastAsia="Times New Roman"/>
          <w:sz w:val="20"/>
          <w:szCs w:val="20"/>
        </w:rPr>
        <w:t xml:space="preserve">). NHS stop smoking services help you quit. </w:t>
      </w:r>
      <w:r w:rsidR="009E1A34" w:rsidRPr="00866DF7">
        <w:rPr>
          <w:rFonts w:eastAsia="Times New Roman"/>
          <w:sz w:val="20"/>
          <w:szCs w:val="20"/>
        </w:rPr>
        <w:t xml:space="preserve">NHS </w:t>
      </w:r>
      <w:r w:rsidRPr="00866DF7">
        <w:rPr>
          <w:rFonts w:eastAsia="Times New Roman"/>
          <w:sz w:val="20"/>
          <w:szCs w:val="20"/>
        </w:rPr>
        <w:t xml:space="preserve">press. </w:t>
      </w:r>
      <w:hyperlink r:id="rId65">
        <w:r w:rsidRPr="00866DF7">
          <w:rPr>
            <w:rFonts w:eastAsia="Times New Roman"/>
            <w:sz w:val="20"/>
            <w:szCs w:val="20"/>
          </w:rPr>
          <w:t>https://www.nhs.uk/live-well/quit-smoking/nhs-stop-smoking-services-help-you-quit/</w:t>
        </w:r>
      </w:hyperlink>
    </w:p>
    <w:p w14:paraId="262182D0" w14:textId="3A4EBD2B" w:rsidR="00074D41" w:rsidRDefault="00074D41" w:rsidP="00F60A1B">
      <w:pPr>
        <w:spacing w:before="240" w:after="240" w:line="480" w:lineRule="auto"/>
        <w:ind w:left="720" w:hanging="720"/>
        <w:jc w:val="both"/>
      </w:pPr>
      <w:r w:rsidRPr="00866DF7">
        <w:rPr>
          <w:rFonts w:eastAsia="Times New Roman"/>
          <w:sz w:val="20"/>
          <w:szCs w:val="20"/>
        </w:rPr>
        <w:t>NHS. (2023</w:t>
      </w:r>
      <w:r w:rsidR="00256157" w:rsidRPr="00866DF7">
        <w:rPr>
          <w:rFonts w:eastAsia="Times New Roman"/>
          <w:sz w:val="20"/>
          <w:szCs w:val="20"/>
        </w:rPr>
        <w:t>a</w:t>
      </w:r>
      <w:r w:rsidRPr="00866DF7">
        <w:rPr>
          <w:rFonts w:eastAsia="Times New Roman"/>
          <w:sz w:val="20"/>
          <w:szCs w:val="20"/>
        </w:rPr>
        <w:t>). City-</w:t>
      </w:r>
      <w:proofErr w:type="spellStart"/>
      <w:r w:rsidRPr="00866DF7">
        <w:rPr>
          <w:rFonts w:eastAsia="Times New Roman"/>
          <w:sz w:val="20"/>
          <w:szCs w:val="20"/>
        </w:rPr>
        <w:t>centre</w:t>
      </w:r>
      <w:proofErr w:type="spellEnd"/>
      <w:r w:rsidRPr="00866DF7">
        <w:rPr>
          <w:rFonts w:eastAsia="Times New Roman"/>
          <w:sz w:val="20"/>
          <w:szCs w:val="20"/>
        </w:rPr>
        <w:t xml:space="preserve"> clinic supports inclusion health groups.</w:t>
      </w:r>
      <w:r w:rsidRPr="00866DF7">
        <w:rPr>
          <w:rFonts w:eastAsia="Times New Roman"/>
          <w:i/>
          <w:iCs/>
          <w:sz w:val="20"/>
          <w:szCs w:val="20"/>
        </w:rPr>
        <w:t xml:space="preserve"> </w:t>
      </w:r>
      <w:r w:rsidRPr="00866DF7">
        <w:rPr>
          <w:rFonts w:eastAsia="Times New Roman"/>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66">
        <w:r w:rsidRPr="00866DF7">
          <w:rPr>
            <w:rFonts w:eastAsia="Times New Roman"/>
            <w:sz w:val="20"/>
            <w:szCs w:val="20"/>
          </w:rPr>
          <w:t>https://www.england.nhs.uk/about/equality/equality-hub/case-studies/city-centre-clinic-supports-inclusion-health-groups/</w:t>
        </w:r>
      </w:hyperlink>
    </w:p>
    <w:p w14:paraId="471907F0" w14:textId="0EE9869A" w:rsidR="00600FC3" w:rsidRPr="00600FC3" w:rsidRDefault="00600FC3" w:rsidP="00F60A1B">
      <w:pPr>
        <w:spacing w:line="480" w:lineRule="auto"/>
        <w:ind w:left="720" w:hanging="720"/>
        <w:jc w:val="both"/>
        <w:rPr>
          <w:sz w:val="20"/>
          <w:szCs w:val="20"/>
        </w:rPr>
      </w:pPr>
      <w:r w:rsidRPr="00600FC3">
        <w:rPr>
          <w:sz w:val="20"/>
          <w:szCs w:val="20"/>
        </w:rPr>
        <w:lastRenderedPageBreak/>
        <w:t>NHS. (2023b). Inclusive digital healthcare: a framework for NHS action on digital inclusion. NHS press. https://www.england.nhs.uk/long-read/inclusive-digital-healthcare-a-framework-for-nhs-action-on-digital-inclusion/</w:t>
      </w:r>
    </w:p>
    <w:p w14:paraId="22BCFBEA" w14:textId="77777777" w:rsidR="00600FC3" w:rsidRPr="00866DF7" w:rsidRDefault="00600FC3" w:rsidP="00F60A1B">
      <w:pPr>
        <w:spacing w:before="240" w:after="240" w:line="480" w:lineRule="auto"/>
        <w:ind w:left="720" w:hanging="720"/>
        <w:jc w:val="both"/>
        <w:rPr>
          <w:rFonts w:eastAsia="Times New Roman"/>
          <w:sz w:val="20"/>
          <w:szCs w:val="20"/>
        </w:rPr>
      </w:pPr>
    </w:p>
    <w:p w14:paraId="002CD7AD" w14:textId="5C593424" w:rsidR="00074D41" w:rsidRDefault="00074D41" w:rsidP="00F60A1B">
      <w:pPr>
        <w:pStyle w:val="Heading1"/>
        <w:keepNext w:val="0"/>
        <w:keepLines w:val="0"/>
        <w:shd w:val="clear" w:color="auto" w:fill="FFFFFF"/>
        <w:spacing w:before="480" w:line="480" w:lineRule="auto"/>
        <w:ind w:left="720" w:hanging="720"/>
        <w:jc w:val="both"/>
        <w:rPr>
          <w:rFonts w:eastAsia="Times New Roman"/>
          <w:sz w:val="20"/>
          <w:szCs w:val="20"/>
        </w:rPr>
      </w:pPr>
      <w:r w:rsidRPr="00866DF7">
        <w:rPr>
          <w:rFonts w:eastAsia="Times New Roman"/>
          <w:sz w:val="20"/>
          <w:szCs w:val="20"/>
        </w:rPr>
        <w:t>NHS. (2023</w:t>
      </w:r>
      <w:r w:rsidR="00600FC3">
        <w:rPr>
          <w:rFonts w:eastAsia="Times New Roman"/>
          <w:sz w:val="20"/>
          <w:szCs w:val="20"/>
        </w:rPr>
        <w:t>c</w:t>
      </w:r>
      <w:r w:rsidRPr="00866DF7">
        <w:rPr>
          <w:rFonts w:eastAsia="Times New Roman"/>
          <w:sz w:val="20"/>
          <w:szCs w:val="20"/>
        </w:rPr>
        <w:t xml:space="preserve">). Tests for diagnosing dementia. </w:t>
      </w:r>
      <w:r w:rsidR="009E1A34" w:rsidRPr="00866DF7">
        <w:rPr>
          <w:rFonts w:eastAsia="Times New Roman"/>
          <w:sz w:val="20"/>
          <w:szCs w:val="20"/>
        </w:rPr>
        <w:t xml:space="preserve">NHS </w:t>
      </w:r>
      <w:r w:rsidRPr="00866DF7">
        <w:rPr>
          <w:rFonts w:eastAsia="Times New Roman"/>
          <w:sz w:val="20"/>
          <w:szCs w:val="20"/>
        </w:rPr>
        <w:t xml:space="preserve">press. </w:t>
      </w:r>
      <w:hyperlink r:id="rId67">
        <w:r w:rsidRPr="00866DF7">
          <w:rPr>
            <w:rFonts w:eastAsia="Times New Roman"/>
            <w:sz w:val="20"/>
            <w:szCs w:val="20"/>
          </w:rPr>
          <w:t>https://www.nhs.uk/conditions/dementia/symptoms-and-diagnosis/tests/</w:t>
        </w:r>
      </w:hyperlink>
      <w:r w:rsidRPr="00866DF7">
        <w:rPr>
          <w:rFonts w:eastAsia="Times New Roman"/>
          <w:sz w:val="20"/>
          <w:szCs w:val="20"/>
        </w:rPr>
        <w:t xml:space="preserve"> </w:t>
      </w:r>
    </w:p>
    <w:p w14:paraId="7F8CAE8E" w14:textId="4E465E5F" w:rsidR="00754D30" w:rsidRPr="00754D30" w:rsidRDefault="00754D30" w:rsidP="00F60A1B">
      <w:pPr>
        <w:jc w:val="both"/>
      </w:pPr>
    </w:p>
    <w:p w14:paraId="1A29515B" w14:textId="72475AF7" w:rsidR="005D2C49" w:rsidRPr="00866DF7" w:rsidRDefault="005D2C49" w:rsidP="00F60A1B">
      <w:pPr>
        <w:spacing w:line="480" w:lineRule="auto"/>
        <w:ind w:left="720" w:hanging="720"/>
        <w:jc w:val="both"/>
        <w:rPr>
          <w:rFonts w:eastAsia="Times New Roman"/>
          <w:sz w:val="20"/>
          <w:szCs w:val="20"/>
        </w:rPr>
      </w:pPr>
      <w:r w:rsidRPr="00866DF7">
        <w:rPr>
          <w:rFonts w:eastAsia="Times New Roman"/>
          <w:sz w:val="20"/>
          <w:szCs w:val="20"/>
        </w:rPr>
        <w:t xml:space="preserve">NHS. (2024). Dementia </w:t>
      </w:r>
      <w:proofErr w:type="spellStart"/>
      <w:r w:rsidRPr="00866DF7">
        <w:rPr>
          <w:rFonts w:eastAsia="Times New Roman"/>
          <w:sz w:val="20"/>
          <w:szCs w:val="20"/>
        </w:rPr>
        <w:t>programme</w:t>
      </w:r>
      <w:proofErr w:type="spellEnd"/>
      <w:r w:rsidRPr="00866DF7">
        <w:rPr>
          <w:rFonts w:eastAsia="Times New Roman"/>
          <w:sz w:val="20"/>
          <w:szCs w:val="20"/>
        </w:rPr>
        <w:t xml:space="preserve"> and preparation for new Alzheimer’s disease modifying treatments.</w:t>
      </w:r>
      <w:r w:rsidRPr="00866DF7">
        <w:rPr>
          <w:rFonts w:eastAsia="Times New Roman"/>
          <w:i/>
          <w:iCs/>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68">
        <w:r w:rsidRPr="00866DF7">
          <w:rPr>
            <w:rFonts w:eastAsia="Times New Roman"/>
            <w:sz w:val="20"/>
            <w:szCs w:val="20"/>
          </w:rPr>
          <w:t>https://www.england.nhs.uk/long-read/dementia-programme-and-preparation-for-new-alzheimers-disease-modifying-treatments/</w:t>
        </w:r>
      </w:hyperlink>
    </w:p>
    <w:p w14:paraId="1303979A" w14:textId="0656CB88" w:rsidR="00A90B1F" w:rsidRPr="00866DF7" w:rsidRDefault="00A90B1F" w:rsidP="00F60A1B">
      <w:pPr>
        <w:spacing w:before="240" w:after="240" w:line="480" w:lineRule="auto"/>
        <w:ind w:left="720" w:hanging="720"/>
        <w:jc w:val="both"/>
        <w:rPr>
          <w:rFonts w:eastAsia="Times New Roman"/>
          <w:sz w:val="20"/>
          <w:szCs w:val="20"/>
        </w:rPr>
      </w:pPr>
      <w:r w:rsidRPr="00866DF7">
        <w:rPr>
          <w:rFonts w:eastAsia="Helvetica Neue"/>
          <w:sz w:val="20"/>
          <w:szCs w:val="20"/>
        </w:rPr>
        <w:t xml:space="preserve">O'Brien, J. T., &amp; Thomas, A. (2015). Vascular dementia.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386</w:t>
      </w:r>
      <w:r w:rsidRPr="00866DF7">
        <w:rPr>
          <w:rFonts w:eastAsia="Helvetica Neue"/>
          <w:sz w:val="20"/>
          <w:szCs w:val="20"/>
        </w:rPr>
        <w:t>(10004), 1698–1706. https://doi.org/10.1016/S0140-6736(15)00463-8</w:t>
      </w:r>
    </w:p>
    <w:p w14:paraId="58426E64" w14:textId="16055EAA" w:rsidR="00332F2F" w:rsidRPr="00866DF7" w:rsidRDefault="00C92FE3" w:rsidP="00F60A1B">
      <w:pPr>
        <w:spacing w:line="480" w:lineRule="auto"/>
        <w:ind w:left="720" w:hanging="720"/>
        <w:jc w:val="both"/>
        <w:rPr>
          <w:rFonts w:eastAsia="Times New Roman"/>
          <w:sz w:val="20"/>
          <w:szCs w:val="20"/>
        </w:rPr>
      </w:pPr>
      <w:r w:rsidRPr="00866DF7">
        <w:rPr>
          <w:rFonts w:eastAsia="Times New Roman"/>
          <w:sz w:val="20"/>
          <w:szCs w:val="20"/>
        </w:rPr>
        <w:t>OHID</w:t>
      </w:r>
      <w:r w:rsidR="00332F2F" w:rsidRPr="00866DF7">
        <w:rPr>
          <w:rFonts w:eastAsia="Times New Roman"/>
          <w:sz w:val="20"/>
          <w:szCs w:val="20"/>
        </w:rPr>
        <w:t xml:space="preserve">. (2022). Dementia: applying All Our Health. </w:t>
      </w:r>
      <w:r w:rsidRPr="00866DF7">
        <w:rPr>
          <w:rFonts w:eastAsia="Times New Roman"/>
          <w:sz w:val="20"/>
          <w:szCs w:val="20"/>
        </w:rPr>
        <w:t xml:space="preserve">OHID </w:t>
      </w:r>
      <w:r w:rsidR="00332F2F" w:rsidRPr="00866DF7">
        <w:rPr>
          <w:rFonts w:eastAsia="Times New Roman"/>
          <w:sz w:val="20"/>
          <w:szCs w:val="20"/>
        </w:rPr>
        <w:t xml:space="preserve">press. </w:t>
      </w:r>
      <w:hyperlink r:id="rId69">
        <w:r w:rsidR="00332F2F" w:rsidRPr="00866DF7">
          <w:rPr>
            <w:rFonts w:eastAsia="Times New Roman"/>
            <w:sz w:val="20"/>
            <w:szCs w:val="20"/>
          </w:rPr>
          <w:t>https://www.gov.uk/government/publications/dementia-applying-all-our-health/dementia-applying-all-our-health</w:t>
        </w:r>
      </w:hyperlink>
    </w:p>
    <w:p w14:paraId="3D068BF6" w14:textId="38012E05" w:rsidR="00A84615" w:rsidRPr="00866DF7" w:rsidRDefault="00C92FE3" w:rsidP="00F60A1B">
      <w:pPr>
        <w:pStyle w:val="Heading1"/>
        <w:keepNext w:val="0"/>
        <w:keepLines w:val="0"/>
        <w:shd w:val="clear" w:color="auto" w:fill="FFFFFF"/>
        <w:spacing w:before="0" w:after="240" w:line="480" w:lineRule="auto"/>
        <w:ind w:left="720" w:hanging="720"/>
        <w:jc w:val="both"/>
        <w:rPr>
          <w:sz w:val="20"/>
          <w:szCs w:val="20"/>
        </w:rPr>
      </w:pPr>
      <w:r w:rsidRPr="00866DF7">
        <w:rPr>
          <w:rFonts w:eastAsia="Times New Roman"/>
          <w:sz w:val="20"/>
          <w:szCs w:val="20"/>
        </w:rPr>
        <w:t>OHID</w:t>
      </w:r>
      <w:r w:rsidR="00A84615" w:rsidRPr="00866DF7">
        <w:rPr>
          <w:rFonts w:eastAsia="Times New Roman"/>
          <w:sz w:val="20"/>
          <w:szCs w:val="20"/>
        </w:rPr>
        <w:t xml:space="preserve">. (2023a). A consensus on healthy ageing. </w:t>
      </w:r>
      <w:r w:rsidRPr="00866DF7">
        <w:rPr>
          <w:rFonts w:eastAsia="Times New Roman"/>
          <w:sz w:val="20"/>
          <w:szCs w:val="20"/>
        </w:rPr>
        <w:t xml:space="preserve">OHID </w:t>
      </w:r>
      <w:r w:rsidR="00A84615" w:rsidRPr="00866DF7">
        <w:rPr>
          <w:rFonts w:eastAsia="Times New Roman"/>
          <w:sz w:val="20"/>
          <w:szCs w:val="20"/>
        </w:rPr>
        <w:t xml:space="preserve">press. </w:t>
      </w:r>
      <w:hyperlink r:id="rId70">
        <w:r w:rsidR="00A84615" w:rsidRPr="00866DF7">
          <w:rPr>
            <w:rFonts w:eastAsia="Times New Roman"/>
            <w:sz w:val="20"/>
            <w:szCs w:val="20"/>
          </w:rPr>
          <w:t>https://www.gov.uk/government/publications/healthy-ageing-consensus-statement/a-consensus-on-healthy-ageing</w:t>
        </w:r>
      </w:hyperlink>
    </w:p>
    <w:p w14:paraId="0C0FEC3D" w14:textId="3F801076" w:rsidR="00A84615" w:rsidRPr="00866DF7" w:rsidRDefault="00C92FE3" w:rsidP="00F60A1B">
      <w:pPr>
        <w:pStyle w:val="Heading1"/>
        <w:keepNext w:val="0"/>
        <w:keepLines w:val="0"/>
        <w:shd w:val="clear" w:color="auto" w:fill="FFFFFF"/>
        <w:spacing w:before="0" w:after="240" w:line="480" w:lineRule="auto"/>
        <w:ind w:left="720" w:hanging="720"/>
        <w:jc w:val="both"/>
        <w:rPr>
          <w:rFonts w:eastAsia="Times New Roman"/>
          <w:sz w:val="20"/>
          <w:szCs w:val="20"/>
        </w:rPr>
      </w:pPr>
      <w:r w:rsidRPr="00866DF7">
        <w:rPr>
          <w:rFonts w:eastAsia="Times New Roman"/>
          <w:sz w:val="20"/>
          <w:szCs w:val="20"/>
        </w:rPr>
        <w:t>OHID</w:t>
      </w:r>
      <w:r w:rsidR="00A84615" w:rsidRPr="00866DF7">
        <w:rPr>
          <w:rFonts w:eastAsia="Times New Roman"/>
          <w:sz w:val="20"/>
          <w:szCs w:val="20"/>
        </w:rPr>
        <w:t xml:space="preserve">. (2023b). Prevention Concordat for Better Mental Health. </w:t>
      </w:r>
      <w:r w:rsidRPr="00866DF7">
        <w:rPr>
          <w:rFonts w:eastAsia="Times New Roman"/>
          <w:sz w:val="20"/>
          <w:szCs w:val="20"/>
        </w:rPr>
        <w:t xml:space="preserve">OHID </w:t>
      </w:r>
      <w:r w:rsidR="00A84615" w:rsidRPr="00866DF7">
        <w:rPr>
          <w:rFonts w:eastAsia="Times New Roman"/>
          <w:sz w:val="20"/>
          <w:szCs w:val="20"/>
        </w:rPr>
        <w:t xml:space="preserve">press. </w:t>
      </w:r>
      <w:hyperlink r:id="rId71">
        <w:r w:rsidR="00A84615" w:rsidRPr="00866DF7">
          <w:rPr>
            <w:rFonts w:eastAsia="Times New Roman"/>
            <w:sz w:val="20"/>
            <w:szCs w:val="20"/>
          </w:rPr>
          <w:t>https://www.gov.uk/government/publications/prevention-concordat-for-better-mental-health-consensus-statement/prevention-concordat-for-better-mental-health</w:t>
        </w:r>
      </w:hyperlink>
    </w:p>
    <w:p w14:paraId="3E48DB40" w14:textId="6097AD13" w:rsidR="00A84615" w:rsidRPr="00866DF7" w:rsidRDefault="00C92FE3" w:rsidP="00F60A1B">
      <w:pPr>
        <w:spacing w:before="240" w:after="240" w:line="480" w:lineRule="auto"/>
        <w:ind w:left="720" w:hanging="720"/>
        <w:jc w:val="both"/>
        <w:rPr>
          <w:rFonts w:eastAsia="Times New Roman"/>
          <w:sz w:val="20"/>
          <w:szCs w:val="20"/>
        </w:rPr>
      </w:pPr>
      <w:bookmarkStart w:id="4" w:name="_hkdltrovpdqo" w:colFirst="0" w:colLast="0"/>
      <w:bookmarkEnd w:id="4"/>
      <w:r w:rsidRPr="00866DF7">
        <w:rPr>
          <w:rFonts w:eastAsia="Times New Roman"/>
          <w:sz w:val="20"/>
          <w:szCs w:val="20"/>
        </w:rPr>
        <w:t>OHID</w:t>
      </w:r>
      <w:r w:rsidR="00A84615" w:rsidRPr="00866DF7">
        <w:rPr>
          <w:rFonts w:eastAsia="Times New Roman"/>
          <w:sz w:val="20"/>
          <w:szCs w:val="20"/>
        </w:rPr>
        <w:t xml:space="preserve">. (2024). Addressing health inequalities across allied health professional (AHP) services: a guide for AHP system leaders. </w:t>
      </w:r>
      <w:r w:rsidRPr="00866DF7">
        <w:rPr>
          <w:rFonts w:eastAsia="Times New Roman"/>
          <w:sz w:val="20"/>
          <w:szCs w:val="20"/>
        </w:rPr>
        <w:t xml:space="preserve">OHID </w:t>
      </w:r>
      <w:r w:rsidR="00A84615" w:rsidRPr="00866DF7">
        <w:rPr>
          <w:rFonts w:eastAsia="Times New Roman"/>
          <w:sz w:val="20"/>
          <w:szCs w:val="20"/>
        </w:rPr>
        <w:t xml:space="preserve">press. </w:t>
      </w:r>
      <w:hyperlink r:id="rId72">
        <w:r w:rsidR="00A84615" w:rsidRPr="00866DF7">
          <w:rPr>
            <w:rFonts w:eastAsia="Times New Roman"/>
            <w:sz w:val="20"/>
            <w:szCs w:val="20"/>
          </w:rPr>
          <w:t>https://www.gov.uk/government/publications/addressing-health-inequalities-across-allied-health-professional-ahp-services-a-guide-for-ahp-system-</w:t>
        </w:r>
        <w:r w:rsidR="00A84615" w:rsidRPr="00866DF7">
          <w:rPr>
            <w:rFonts w:eastAsia="Times New Roman"/>
            <w:sz w:val="20"/>
            <w:szCs w:val="20"/>
          </w:rPr>
          <w:lastRenderedPageBreak/>
          <w:t>leaders/addressing-health-inequalities-across-allied-health-professional-ahp-services-a-guide-for-ahp-system-leaders</w:t>
        </w:r>
      </w:hyperlink>
    </w:p>
    <w:p w14:paraId="79420575" w14:textId="2598735E" w:rsidR="00A84615" w:rsidRPr="00866DF7" w:rsidRDefault="00A84615"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Office for National Statistics. (2021). What are the regional differences in income and </w:t>
      </w:r>
      <w:proofErr w:type="gramStart"/>
      <w:r w:rsidRPr="00866DF7">
        <w:rPr>
          <w:rFonts w:eastAsia="Times New Roman"/>
          <w:sz w:val="20"/>
          <w:szCs w:val="20"/>
        </w:rPr>
        <w:t>productivity?.</w:t>
      </w:r>
      <w:proofErr w:type="gramEnd"/>
      <w:r w:rsidRPr="00866DF7">
        <w:rPr>
          <w:rFonts w:eastAsia="Times New Roman"/>
          <w:sz w:val="20"/>
          <w:szCs w:val="20"/>
        </w:rPr>
        <w:t xml:space="preserve"> Office for National Statistics press. </w:t>
      </w:r>
      <w:hyperlink r:id="rId73">
        <w:r w:rsidRPr="00866DF7">
          <w:rPr>
            <w:rFonts w:eastAsia="Times New Roman"/>
            <w:sz w:val="20"/>
            <w:szCs w:val="20"/>
          </w:rPr>
          <w:t>https://www.ons.gov.uk/visualisations/dvc1370/</w:t>
        </w:r>
      </w:hyperlink>
    </w:p>
    <w:p w14:paraId="616884EF" w14:textId="6BA6C9E0" w:rsidR="006E2E44" w:rsidRPr="00866DF7" w:rsidRDefault="005D2C49" w:rsidP="00F60A1B">
      <w:pPr>
        <w:spacing w:line="480" w:lineRule="auto"/>
        <w:ind w:left="720" w:hanging="720"/>
        <w:jc w:val="both"/>
        <w:rPr>
          <w:rStyle w:val="Hyperlink"/>
          <w:rFonts w:eastAsia="Times New Roman"/>
          <w:color w:val="auto"/>
          <w:sz w:val="20"/>
          <w:szCs w:val="20"/>
          <w:u w:val="none"/>
        </w:rPr>
      </w:pPr>
      <w:r w:rsidRPr="00866DF7">
        <w:rPr>
          <w:rFonts w:eastAsia="Times New Roman"/>
          <w:sz w:val="20"/>
          <w:szCs w:val="20"/>
        </w:rPr>
        <w:t>Office for National Statistics. (2025). Death registration summary statistics, England and Wales: 2024.</w:t>
      </w:r>
      <w:r w:rsidRPr="00866DF7">
        <w:rPr>
          <w:rFonts w:eastAsia="Times New Roman"/>
          <w:i/>
          <w:iCs/>
          <w:sz w:val="20"/>
          <w:szCs w:val="20"/>
        </w:rPr>
        <w:t xml:space="preserve"> </w:t>
      </w:r>
      <w:r w:rsidRPr="00866DF7">
        <w:rPr>
          <w:rFonts w:eastAsia="Times New Roman"/>
          <w:sz w:val="20"/>
          <w:szCs w:val="20"/>
        </w:rPr>
        <w:t xml:space="preserve">Office for National Statistics press. </w:t>
      </w:r>
      <w:hyperlink r:id="rId74" w:history="1">
        <w:r w:rsidR="006E2E44" w:rsidRPr="00866DF7">
          <w:rPr>
            <w:rStyle w:val="Hyperlink"/>
            <w:rFonts w:eastAsia="Times New Roman"/>
            <w:color w:val="auto"/>
            <w:sz w:val="20"/>
            <w:szCs w:val="20"/>
            <w:u w:val="none"/>
          </w:rPr>
          <w:t>https://www.ons.gov.uk/peoplepopulationandcommunity/birthsdeathsandmarriages/deaths/bulletins/deathregistrationsummarystatisticsenglandandwales/2024</w:t>
        </w:r>
      </w:hyperlink>
      <w:r w:rsidR="006E2E44" w:rsidRPr="00866DF7">
        <w:rPr>
          <w:rStyle w:val="Hyperlink"/>
          <w:color w:val="auto"/>
          <w:sz w:val="20"/>
          <w:szCs w:val="20"/>
          <w:u w:val="none"/>
        </w:rPr>
        <w:tab/>
      </w:r>
    </w:p>
    <w:p w14:paraId="3ECB4B89" w14:textId="746AACAB" w:rsidR="006E2E44" w:rsidRPr="00866DF7" w:rsidRDefault="006E2E44"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Potter, G. G., Helms, M. J., Burke, J. R., Steffens, D. C., &amp; Plassman, B. L. (2007). Job demands and dementia risk among male twin pairs. </w:t>
      </w:r>
      <w:r w:rsidRPr="00866DF7">
        <w:rPr>
          <w:rFonts w:eastAsia="Helvetica Neue"/>
          <w:i/>
          <w:iCs/>
          <w:sz w:val="20"/>
          <w:szCs w:val="20"/>
        </w:rPr>
        <w:t xml:space="preserve">Alzheimer's &amp; </w:t>
      </w:r>
      <w:proofErr w:type="gramStart"/>
      <w:r w:rsidRPr="00866DF7">
        <w:rPr>
          <w:rFonts w:eastAsia="Helvetica Neue"/>
          <w:i/>
          <w:iCs/>
          <w:sz w:val="20"/>
          <w:szCs w:val="20"/>
        </w:rPr>
        <w:t>dementia :</w:t>
      </w:r>
      <w:proofErr w:type="gramEnd"/>
      <w:r w:rsidRPr="00866DF7">
        <w:rPr>
          <w:rFonts w:eastAsia="Helvetica Neue"/>
          <w:i/>
          <w:iCs/>
          <w:sz w:val="20"/>
          <w:szCs w:val="20"/>
        </w:rPr>
        <w:t xml:space="preserve"> the journal of the Alzheimer's Association</w:t>
      </w:r>
      <w:r w:rsidRPr="00866DF7">
        <w:rPr>
          <w:rFonts w:eastAsia="Helvetica Neue"/>
          <w:sz w:val="20"/>
          <w:szCs w:val="20"/>
        </w:rPr>
        <w:t xml:space="preserve">, </w:t>
      </w:r>
      <w:r w:rsidRPr="00866DF7">
        <w:rPr>
          <w:rFonts w:eastAsia="Helvetica Neue"/>
          <w:i/>
          <w:iCs/>
          <w:sz w:val="20"/>
          <w:szCs w:val="20"/>
        </w:rPr>
        <w:t>3</w:t>
      </w:r>
      <w:r w:rsidRPr="00866DF7">
        <w:rPr>
          <w:rFonts w:eastAsia="Helvetica Neue"/>
          <w:sz w:val="20"/>
          <w:szCs w:val="20"/>
        </w:rPr>
        <w:t xml:space="preserve">(3), 192–199. </w:t>
      </w:r>
      <w:hyperlink r:id="rId75" w:history="1">
        <w:r w:rsidRPr="00866DF7">
          <w:rPr>
            <w:rStyle w:val="Hyperlink"/>
            <w:rFonts w:eastAsia="Helvetica Neue"/>
            <w:color w:val="auto"/>
            <w:sz w:val="20"/>
            <w:szCs w:val="20"/>
            <w:u w:val="none"/>
          </w:rPr>
          <w:t>https://doi.org/10.1016/j.jalz.2007.04.377</w:t>
        </w:r>
      </w:hyperlink>
    </w:p>
    <w:p w14:paraId="5C67FEFA" w14:textId="1FF680FB" w:rsidR="00332F2F" w:rsidRPr="00866DF7" w:rsidRDefault="00332F2F" w:rsidP="00F60A1B">
      <w:pPr>
        <w:spacing w:line="480" w:lineRule="auto"/>
        <w:ind w:left="720" w:hanging="720"/>
        <w:jc w:val="both"/>
        <w:rPr>
          <w:rFonts w:eastAsia="Times New Roman"/>
          <w:sz w:val="20"/>
          <w:szCs w:val="20"/>
        </w:rPr>
      </w:pPr>
      <w:r w:rsidRPr="00866DF7">
        <w:rPr>
          <w:rFonts w:eastAsia="Times New Roman"/>
          <w:sz w:val="20"/>
          <w:szCs w:val="20"/>
        </w:rPr>
        <w:t>Public Health England. (2015). PM launches next phase of Britain’s fight against dementia.</w:t>
      </w:r>
      <w:r w:rsidRPr="00866DF7">
        <w:rPr>
          <w:rFonts w:eastAsia="Times New Roman"/>
          <w:i/>
          <w:iCs/>
          <w:sz w:val="20"/>
          <w:szCs w:val="20"/>
        </w:rPr>
        <w:t xml:space="preserve"> </w:t>
      </w:r>
      <w:r w:rsidRPr="00866DF7">
        <w:rPr>
          <w:rFonts w:eastAsia="Times New Roman"/>
          <w:sz w:val="20"/>
          <w:szCs w:val="20"/>
        </w:rPr>
        <w:t xml:space="preserve">Public Health England press. </w:t>
      </w:r>
      <w:hyperlink r:id="rId76">
        <w:r w:rsidRPr="00866DF7">
          <w:rPr>
            <w:rFonts w:eastAsia="Times New Roman"/>
            <w:sz w:val="20"/>
            <w:szCs w:val="20"/>
          </w:rPr>
          <w:t>https://www.gov.uk/government/news/pm-launches-next-phase-of-britains-fight-against-dementia</w:t>
        </w:r>
      </w:hyperlink>
    </w:p>
    <w:p w14:paraId="32531548" w14:textId="69EDA136" w:rsidR="006E2E44" w:rsidRPr="00866DF7" w:rsidRDefault="00A70E37" w:rsidP="00F60A1B">
      <w:pPr>
        <w:spacing w:line="480" w:lineRule="auto"/>
        <w:ind w:left="720" w:hanging="720"/>
        <w:jc w:val="both"/>
        <w:rPr>
          <w:rFonts w:eastAsia="Helvetica Neue"/>
          <w:sz w:val="20"/>
          <w:szCs w:val="20"/>
        </w:rPr>
      </w:pPr>
      <w:r w:rsidRPr="00866DF7">
        <w:rPr>
          <w:rFonts w:eastAsia="Helvetica Neue"/>
          <w:sz w:val="20"/>
          <w:szCs w:val="20"/>
        </w:rPr>
        <w:t xml:space="preserve">Qiu, C., </w:t>
      </w:r>
      <w:proofErr w:type="spellStart"/>
      <w:r w:rsidRPr="00866DF7">
        <w:rPr>
          <w:rFonts w:eastAsia="Helvetica Neue"/>
          <w:sz w:val="20"/>
          <w:szCs w:val="20"/>
        </w:rPr>
        <w:t>Kivipelto</w:t>
      </w:r>
      <w:proofErr w:type="spellEnd"/>
      <w:r w:rsidRPr="00866DF7">
        <w:rPr>
          <w:rFonts w:eastAsia="Helvetica Neue"/>
          <w:sz w:val="20"/>
          <w:szCs w:val="20"/>
        </w:rPr>
        <w:t xml:space="preserve">, M., &amp; von Strauss, E. (2009). Epidemiology of Alzheimer's disease: occurrence, determinants, and strategies toward intervention. </w:t>
      </w:r>
      <w:r w:rsidRPr="00866DF7">
        <w:rPr>
          <w:rFonts w:eastAsia="Helvetica Neue"/>
          <w:i/>
          <w:iCs/>
          <w:sz w:val="20"/>
          <w:szCs w:val="20"/>
        </w:rPr>
        <w:t>Dialogues in clinical neuroscience</w:t>
      </w:r>
      <w:r w:rsidRPr="00866DF7">
        <w:rPr>
          <w:rFonts w:eastAsia="Helvetica Neue"/>
          <w:sz w:val="20"/>
          <w:szCs w:val="20"/>
        </w:rPr>
        <w:t xml:space="preserve">, </w:t>
      </w:r>
      <w:r w:rsidRPr="00866DF7">
        <w:rPr>
          <w:rFonts w:eastAsia="Helvetica Neue"/>
          <w:i/>
          <w:iCs/>
          <w:sz w:val="20"/>
          <w:szCs w:val="20"/>
        </w:rPr>
        <w:t>11</w:t>
      </w:r>
      <w:r w:rsidRPr="00866DF7">
        <w:rPr>
          <w:rFonts w:eastAsia="Helvetica Neue"/>
          <w:sz w:val="20"/>
          <w:szCs w:val="20"/>
        </w:rPr>
        <w:t xml:space="preserve">(2), 111–128. </w:t>
      </w:r>
      <w:hyperlink r:id="rId77" w:history="1">
        <w:r w:rsidRPr="00866DF7">
          <w:rPr>
            <w:rStyle w:val="Hyperlink"/>
            <w:rFonts w:eastAsia="Helvetica Neue"/>
            <w:color w:val="auto"/>
            <w:sz w:val="20"/>
            <w:szCs w:val="20"/>
            <w:u w:val="none"/>
          </w:rPr>
          <w:t>https://doi.org/10.31887/DCNS.2009.11.2/cqiu</w:t>
        </w:r>
      </w:hyperlink>
      <w:bookmarkStart w:id="5" w:name="_hy9vvaaqhmgf" w:colFirst="0" w:colLast="0"/>
      <w:bookmarkEnd w:id="5"/>
    </w:p>
    <w:p w14:paraId="2CE09AEE" w14:textId="74C70689" w:rsidR="00917586" w:rsidRPr="00866DF7" w:rsidRDefault="00917586" w:rsidP="00F60A1B">
      <w:pPr>
        <w:spacing w:before="240" w:after="240" w:line="480" w:lineRule="auto"/>
        <w:ind w:left="720" w:hanging="720"/>
        <w:jc w:val="both"/>
        <w:rPr>
          <w:rStyle w:val="Hyperlink"/>
          <w:rFonts w:eastAsia="Times New Roman"/>
          <w:color w:val="auto"/>
          <w:sz w:val="20"/>
          <w:szCs w:val="20"/>
          <w:u w:val="none"/>
        </w:rPr>
      </w:pPr>
      <w:r w:rsidRPr="00866DF7">
        <w:rPr>
          <w:rFonts w:eastAsia="Times New Roman"/>
          <w:sz w:val="20"/>
          <w:szCs w:val="20"/>
        </w:rPr>
        <w:t xml:space="preserve">Riley, P., Alm, N. &amp; Newell, A. (2009). An interactive tool to promote musical creativity in people with dementia. </w:t>
      </w:r>
      <w:r w:rsidRPr="00866DF7">
        <w:rPr>
          <w:rFonts w:eastAsia="Times New Roman"/>
          <w:i/>
          <w:iCs/>
          <w:sz w:val="20"/>
          <w:szCs w:val="20"/>
        </w:rPr>
        <w:t>Computers in Human Behavior, 25</w:t>
      </w:r>
      <w:r w:rsidRPr="00866DF7">
        <w:rPr>
          <w:rFonts w:eastAsia="Times New Roman"/>
          <w:sz w:val="20"/>
          <w:szCs w:val="20"/>
        </w:rPr>
        <w:t xml:space="preserve">(3), 599–608. </w:t>
      </w:r>
      <w:hyperlink r:id="rId78" w:history="1">
        <w:r w:rsidRPr="00866DF7">
          <w:rPr>
            <w:rStyle w:val="Hyperlink"/>
            <w:rFonts w:eastAsia="Times New Roman"/>
            <w:color w:val="auto"/>
            <w:sz w:val="20"/>
            <w:szCs w:val="20"/>
            <w:u w:val="none"/>
          </w:rPr>
          <w:t>https://doi.org/10.1016/j.chb.2008.08.014</w:t>
        </w:r>
      </w:hyperlink>
    </w:p>
    <w:p w14:paraId="7BBA5D2A" w14:textId="6929EC79" w:rsidR="008D6B69" w:rsidRPr="00866DF7" w:rsidRDefault="008D6B69"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Roberts, R. O., Geda, Y. E., </w:t>
      </w:r>
      <w:proofErr w:type="spellStart"/>
      <w:r w:rsidRPr="00866DF7">
        <w:rPr>
          <w:rFonts w:eastAsia="Helvetica Neue"/>
          <w:sz w:val="20"/>
          <w:szCs w:val="20"/>
        </w:rPr>
        <w:t>Knopman</w:t>
      </w:r>
      <w:proofErr w:type="spellEnd"/>
      <w:r w:rsidRPr="00866DF7">
        <w:rPr>
          <w:rFonts w:eastAsia="Helvetica Neue"/>
          <w:sz w:val="20"/>
          <w:szCs w:val="20"/>
        </w:rPr>
        <w:t xml:space="preserve">, D. S., Christianson, T. J., Pankratz, V. S., Boeve, B. F., Vella, A., Rocca, W. A., &amp; Petersen, R. C. (2008). Association of duration and severity of diabetes mellitus with mild cognitive impairment. </w:t>
      </w:r>
      <w:r w:rsidRPr="00866DF7">
        <w:rPr>
          <w:rFonts w:eastAsia="Helvetica Neue"/>
          <w:i/>
          <w:iCs/>
          <w:sz w:val="20"/>
          <w:szCs w:val="20"/>
        </w:rPr>
        <w:t>Archives of neurology</w:t>
      </w:r>
      <w:r w:rsidRPr="00866DF7">
        <w:rPr>
          <w:rFonts w:eastAsia="Helvetica Neue"/>
          <w:sz w:val="20"/>
          <w:szCs w:val="20"/>
        </w:rPr>
        <w:t xml:space="preserve">, </w:t>
      </w:r>
      <w:r w:rsidRPr="00866DF7">
        <w:rPr>
          <w:rFonts w:eastAsia="Helvetica Neue"/>
          <w:i/>
          <w:iCs/>
          <w:sz w:val="20"/>
          <w:szCs w:val="20"/>
        </w:rPr>
        <w:t>65</w:t>
      </w:r>
      <w:r w:rsidRPr="00866DF7">
        <w:rPr>
          <w:rFonts w:eastAsia="Helvetica Neue"/>
          <w:sz w:val="20"/>
          <w:szCs w:val="20"/>
        </w:rPr>
        <w:t xml:space="preserve">(8), 1066–1073. </w:t>
      </w:r>
      <w:hyperlink r:id="rId79" w:history="1">
        <w:r w:rsidRPr="00866DF7">
          <w:rPr>
            <w:rStyle w:val="Hyperlink"/>
            <w:rFonts w:eastAsia="Helvetica Neue"/>
            <w:color w:val="auto"/>
            <w:sz w:val="20"/>
            <w:szCs w:val="20"/>
            <w:u w:val="none"/>
          </w:rPr>
          <w:t>https://doi.org/10.1001/archneur.65.8.1066</w:t>
        </w:r>
      </w:hyperlink>
    </w:p>
    <w:p w14:paraId="63CCA0BF" w14:textId="2265DCB3" w:rsidR="008D6B69" w:rsidRPr="00866DF7" w:rsidRDefault="008D6B69" w:rsidP="00F60A1B">
      <w:pPr>
        <w:spacing w:before="240" w:after="240" w:line="480" w:lineRule="auto"/>
        <w:ind w:left="720" w:hanging="720"/>
        <w:jc w:val="both"/>
        <w:rPr>
          <w:rFonts w:eastAsia="Times New Roman"/>
          <w:sz w:val="20"/>
          <w:szCs w:val="20"/>
        </w:rPr>
      </w:pPr>
      <w:r w:rsidRPr="00866DF7">
        <w:rPr>
          <w:rFonts w:eastAsia="Helvetica Neue"/>
          <w:sz w:val="20"/>
          <w:szCs w:val="20"/>
        </w:rPr>
        <w:lastRenderedPageBreak/>
        <w:t xml:space="preserve">Rondeau, V., Jacqmin-Gadda, H., </w:t>
      </w:r>
      <w:proofErr w:type="spellStart"/>
      <w:r w:rsidRPr="00866DF7">
        <w:rPr>
          <w:rFonts w:eastAsia="Helvetica Neue"/>
          <w:sz w:val="20"/>
          <w:szCs w:val="20"/>
        </w:rPr>
        <w:t>Commenges</w:t>
      </w:r>
      <w:proofErr w:type="spellEnd"/>
      <w:r w:rsidRPr="00866DF7">
        <w:rPr>
          <w:rFonts w:eastAsia="Helvetica Neue"/>
          <w:sz w:val="20"/>
          <w:szCs w:val="20"/>
        </w:rPr>
        <w:t xml:space="preserve">, D., Helmer, C., &amp; </w:t>
      </w:r>
      <w:proofErr w:type="spellStart"/>
      <w:r w:rsidRPr="00866DF7">
        <w:rPr>
          <w:rFonts w:eastAsia="Helvetica Neue"/>
          <w:sz w:val="20"/>
          <w:szCs w:val="20"/>
        </w:rPr>
        <w:t>Dartigues</w:t>
      </w:r>
      <w:proofErr w:type="spellEnd"/>
      <w:r w:rsidRPr="00866DF7">
        <w:rPr>
          <w:rFonts w:eastAsia="Helvetica Neue"/>
          <w:sz w:val="20"/>
          <w:szCs w:val="20"/>
        </w:rPr>
        <w:t xml:space="preserve">, J. F. (2009). Aluminum and silica in drinking water and the risk of Alzheimer's disease or cognitive decline: findings from 15-year follow-up of the PAQUID cohort. </w:t>
      </w:r>
      <w:r w:rsidRPr="00866DF7">
        <w:rPr>
          <w:rFonts w:eastAsia="Helvetica Neue"/>
          <w:i/>
          <w:iCs/>
          <w:sz w:val="20"/>
          <w:szCs w:val="20"/>
        </w:rPr>
        <w:t>American journal of epidemiology</w:t>
      </w:r>
      <w:r w:rsidRPr="00866DF7">
        <w:rPr>
          <w:rFonts w:eastAsia="Helvetica Neue"/>
          <w:sz w:val="20"/>
          <w:szCs w:val="20"/>
        </w:rPr>
        <w:t xml:space="preserve">, </w:t>
      </w:r>
      <w:r w:rsidRPr="00866DF7">
        <w:rPr>
          <w:rFonts w:eastAsia="Helvetica Neue"/>
          <w:i/>
          <w:iCs/>
          <w:sz w:val="20"/>
          <w:szCs w:val="20"/>
        </w:rPr>
        <w:t>169</w:t>
      </w:r>
      <w:r w:rsidRPr="00866DF7">
        <w:rPr>
          <w:rFonts w:eastAsia="Helvetica Neue"/>
          <w:sz w:val="20"/>
          <w:szCs w:val="20"/>
        </w:rPr>
        <w:t>(4), 489–496. https://doi.org/10.1093/aje/kwn348</w:t>
      </w:r>
    </w:p>
    <w:p w14:paraId="64FD4854" w14:textId="0CA91522" w:rsidR="008D6B69" w:rsidRPr="00866DF7" w:rsidRDefault="008D6B69" w:rsidP="00F60A1B">
      <w:pPr>
        <w:spacing w:before="240" w:after="24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Rovio, S., </w:t>
      </w:r>
      <w:proofErr w:type="spellStart"/>
      <w:r w:rsidRPr="00866DF7">
        <w:rPr>
          <w:rFonts w:eastAsia="Helvetica Neue"/>
          <w:sz w:val="20"/>
          <w:szCs w:val="20"/>
        </w:rPr>
        <w:t>Kåreholt</w:t>
      </w:r>
      <w:proofErr w:type="spellEnd"/>
      <w:r w:rsidRPr="00866DF7">
        <w:rPr>
          <w:rFonts w:eastAsia="Helvetica Neue"/>
          <w:sz w:val="20"/>
          <w:szCs w:val="20"/>
        </w:rPr>
        <w:t xml:space="preserve">, I., </w:t>
      </w:r>
      <w:proofErr w:type="spellStart"/>
      <w:r w:rsidRPr="00866DF7">
        <w:rPr>
          <w:rFonts w:eastAsia="Helvetica Neue"/>
          <w:sz w:val="20"/>
          <w:szCs w:val="20"/>
        </w:rPr>
        <w:t>Helkala</w:t>
      </w:r>
      <w:proofErr w:type="spellEnd"/>
      <w:r w:rsidRPr="00866DF7">
        <w:rPr>
          <w:rFonts w:eastAsia="Helvetica Neue"/>
          <w:sz w:val="20"/>
          <w:szCs w:val="20"/>
        </w:rPr>
        <w:t xml:space="preserve">, E. L., Viitanen, M., Winblad, B., </w:t>
      </w:r>
      <w:proofErr w:type="spellStart"/>
      <w:r w:rsidRPr="00866DF7">
        <w:rPr>
          <w:rFonts w:eastAsia="Helvetica Neue"/>
          <w:sz w:val="20"/>
          <w:szCs w:val="20"/>
        </w:rPr>
        <w:t>Tuomilehto</w:t>
      </w:r>
      <w:proofErr w:type="spellEnd"/>
      <w:r w:rsidRPr="00866DF7">
        <w:rPr>
          <w:rFonts w:eastAsia="Helvetica Neue"/>
          <w:sz w:val="20"/>
          <w:szCs w:val="20"/>
        </w:rPr>
        <w:t xml:space="preserve">, J., Soininen, H., Nissinen, A., &amp; </w:t>
      </w:r>
      <w:proofErr w:type="spellStart"/>
      <w:r w:rsidRPr="00866DF7">
        <w:rPr>
          <w:rFonts w:eastAsia="Helvetica Neue"/>
          <w:sz w:val="20"/>
          <w:szCs w:val="20"/>
        </w:rPr>
        <w:t>Kivipelto</w:t>
      </w:r>
      <w:proofErr w:type="spellEnd"/>
      <w:r w:rsidRPr="00866DF7">
        <w:rPr>
          <w:rFonts w:eastAsia="Helvetica Neue"/>
          <w:sz w:val="20"/>
          <w:szCs w:val="20"/>
        </w:rPr>
        <w:t xml:space="preserve">, M. (2005). Leisure-time physical activity at midlife and the risk of dementia and Alzheimer's disease. </w:t>
      </w:r>
      <w:r w:rsidRPr="00866DF7">
        <w:rPr>
          <w:rFonts w:eastAsia="Helvetica Neue"/>
          <w:i/>
          <w:iCs/>
          <w:sz w:val="20"/>
          <w:szCs w:val="20"/>
        </w:rPr>
        <w:t>The Lancet. Neurology</w:t>
      </w:r>
      <w:r w:rsidRPr="00866DF7">
        <w:rPr>
          <w:rFonts w:eastAsia="Helvetica Neue"/>
          <w:sz w:val="20"/>
          <w:szCs w:val="20"/>
        </w:rPr>
        <w:t xml:space="preserve">, </w:t>
      </w:r>
      <w:r w:rsidRPr="00866DF7">
        <w:rPr>
          <w:rFonts w:eastAsia="Helvetica Neue"/>
          <w:i/>
          <w:iCs/>
          <w:sz w:val="20"/>
          <w:szCs w:val="20"/>
        </w:rPr>
        <w:t>4</w:t>
      </w:r>
      <w:r w:rsidRPr="00866DF7">
        <w:rPr>
          <w:rFonts w:eastAsia="Helvetica Neue"/>
          <w:sz w:val="20"/>
          <w:szCs w:val="20"/>
        </w:rPr>
        <w:t xml:space="preserve">(11), 705–711. </w:t>
      </w:r>
      <w:hyperlink r:id="rId80" w:history="1">
        <w:r w:rsidRPr="00866DF7">
          <w:rPr>
            <w:rStyle w:val="Hyperlink"/>
            <w:rFonts w:eastAsia="Helvetica Neue"/>
            <w:color w:val="auto"/>
            <w:sz w:val="20"/>
            <w:szCs w:val="20"/>
            <w:u w:val="none"/>
          </w:rPr>
          <w:t>https://doi.org/10.1016/S1474-4422(05)70198-8</w:t>
        </w:r>
      </w:hyperlink>
    </w:p>
    <w:p w14:paraId="6DE2016A" w14:textId="33B69557" w:rsidR="00A70E37" w:rsidRPr="00866DF7" w:rsidRDefault="008D6B69" w:rsidP="00F60A1B">
      <w:pPr>
        <w:pStyle w:val="Heading1"/>
        <w:keepNext w:val="0"/>
        <w:keepLines w:val="0"/>
        <w:shd w:val="clear" w:color="auto" w:fill="FFFFFF"/>
        <w:spacing w:before="0" w:after="240" w:line="480" w:lineRule="auto"/>
        <w:ind w:left="720" w:hanging="720"/>
        <w:jc w:val="both"/>
        <w:rPr>
          <w:sz w:val="20"/>
          <w:szCs w:val="20"/>
        </w:rPr>
      </w:pPr>
      <w:r w:rsidRPr="00866DF7">
        <w:rPr>
          <w:rFonts w:eastAsia="Times New Roman"/>
          <w:sz w:val="20"/>
          <w:szCs w:val="20"/>
        </w:rPr>
        <w:t xml:space="preserve">Royal Society for Public Health. (2021). Top 20 public health achievements of the 21st century. Royal Society for Public Health press. </w:t>
      </w:r>
      <w:hyperlink r:id="rId81">
        <w:r w:rsidRPr="00866DF7">
          <w:rPr>
            <w:rFonts w:eastAsia="Times New Roman"/>
            <w:sz w:val="20"/>
            <w:szCs w:val="20"/>
          </w:rPr>
          <w:t>https://www.rsph.org.uk/our-work/policy/top-20-public-health-achievements-of-the-21st-century.html</w:t>
        </w:r>
      </w:hyperlink>
    </w:p>
    <w:p w14:paraId="7B5C55E8" w14:textId="2A808294" w:rsidR="001D6CEF" w:rsidRPr="00866DF7" w:rsidRDefault="001D6CEF"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Royal College of Psychiatrists. (2022). Memory Services Spotlight Audit-2021- National Report Publication. Royal College of Psychiatrists press. </w:t>
      </w:r>
      <w:hyperlink r:id="rId82">
        <w:r w:rsidRPr="00866DF7">
          <w:rPr>
            <w:rFonts w:eastAsia="Times New Roman"/>
            <w:sz w:val="20"/>
            <w:szCs w:val="20"/>
          </w:rPr>
          <w:t>https://www.rcpsych.ac.uk/improving-care/ccqi/national-clinical-audits/national-audit-of-dementia/fifth-round-of-audit/memory-services-spotlight-audit-national-report</w:t>
        </w:r>
      </w:hyperlink>
    </w:p>
    <w:p w14:paraId="12E78752" w14:textId="470B3282" w:rsidR="008D6B69" w:rsidRDefault="008D6B69" w:rsidP="00F60A1B">
      <w:pPr>
        <w:spacing w:line="480" w:lineRule="auto"/>
        <w:ind w:left="720" w:hanging="720"/>
        <w:jc w:val="both"/>
        <w:rPr>
          <w:sz w:val="20"/>
          <w:szCs w:val="20"/>
        </w:rPr>
      </w:pPr>
      <w:r w:rsidRPr="00866DF7">
        <w:rPr>
          <w:sz w:val="20"/>
          <w:szCs w:val="20"/>
        </w:rPr>
        <w:t xml:space="preserve">Rubin, G., (2017). Health Protection: Principles and Practice. </w:t>
      </w:r>
      <w:r w:rsidRPr="00866DF7">
        <w:rPr>
          <w:i/>
          <w:iCs/>
          <w:sz w:val="20"/>
          <w:szCs w:val="20"/>
        </w:rPr>
        <w:t>International Journal of Epidemiology</w:t>
      </w:r>
      <w:r w:rsidRPr="00866DF7">
        <w:rPr>
          <w:sz w:val="20"/>
          <w:szCs w:val="20"/>
        </w:rPr>
        <w:t xml:space="preserve">, </w:t>
      </w:r>
      <w:r w:rsidRPr="00866DF7">
        <w:rPr>
          <w:i/>
          <w:iCs/>
          <w:sz w:val="20"/>
          <w:szCs w:val="20"/>
        </w:rPr>
        <w:t>46</w:t>
      </w:r>
      <w:r w:rsidRPr="00866DF7">
        <w:rPr>
          <w:sz w:val="20"/>
          <w:szCs w:val="20"/>
        </w:rPr>
        <w:t xml:space="preserve">(5), 1722–1723. </w:t>
      </w:r>
      <w:hyperlink r:id="rId83" w:history="1">
        <w:r w:rsidR="00CE3F05" w:rsidRPr="00232B4A">
          <w:rPr>
            <w:rStyle w:val="Hyperlink"/>
            <w:sz w:val="20"/>
            <w:szCs w:val="20"/>
          </w:rPr>
          <w:t>https://doi.org/10.1093/ije/dyx094</w:t>
        </w:r>
      </w:hyperlink>
    </w:p>
    <w:p w14:paraId="3D35A95D" w14:textId="7C81DA4F" w:rsidR="00CE3F05" w:rsidRPr="00866DF7" w:rsidRDefault="00CE3F05" w:rsidP="00F60A1B">
      <w:pPr>
        <w:spacing w:line="480" w:lineRule="auto"/>
        <w:ind w:left="720" w:hanging="720"/>
        <w:jc w:val="both"/>
        <w:rPr>
          <w:sz w:val="20"/>
          <w:szCs w:val="20"/>
        </w:rPr>
      </w:pPr>
      <w:r w:rsidRPr="00CE3F05">
        <w:rPr>
          <w:sz w:val="20"/>
          <w:szCs w:val="20"/>
        </w:rPr>
        <w:t>Sachdev</w:t>
      </w:r>
      <w:r>
        <w:rPr>
          <w:sz w:val="20"/>
          <w:szCs w:val="20"/>
        </w:rPr>
        <w:t>,</w:t>
      </w:r>
      <w:r w:rsidRPr="00CE3F05">
        <w:rPr>
          <w:sz w:val="20"/>
          <w:szCs w:val="20"/>
        </w:rPr>
        <w:t xml:space="preserve"> P</w:t>
      </w:r>
      <w:r>
        <w:rPr>
          <w:sz w:val="20"/>
          <w:szCs w:val="20"/>
        </w:rPr>
        <w:t>. S.</w:t>
      </w:r>
      <w:r w:rsidRPr="00CE3F05">
        <w:rPr>
          <w:sz w:val="20"/>
          <w:szCs w:val="20"/>
        </w:rPr>
        <w:t>, Blacker</w:t>
      </w:r>
      <w:r>
        <w:rPr>
          <w:sz w:val="20"/>
          <w:szCs w:val="20"/>
        </w:rPr>
        <w:t>,</w:t>
      </w:r>
      <w:r w:rsidRPr="00CE3F05">
        <w:rPr>
          <w:sz w:val="20"/>
          <w:szCs w:val="20"/>
        </w:rPr>
        <w:t xml:space="preserve"> D</w:t>
      </w:r>
      <w:r>
        <w:rPr>
          <w:sz w:val="20"/>
          <w:szCs w:val="20"/>
        </w:rPr>
        <w:t>.</w:t>
      </w:r>
      <w:r w:rsidRPr="00CE3F05">
        <w:rPr>
          <w:sz w:val="20"/>
          <w:szCs w:val="20"/>
        </w:rPr>
        <w:t>, Blazer</w:t>
      </w:r>
      <w:r>
        <w:rPr>
          <w:sz w:val="20"/>
          <w:szCs w:val="20"/>
        </w:rPr>
        <w:t>,</w:t>
      </w:r>
      <w:r w:rsidRPr="00CE3F05">
        <w:rPr>
          <w:sz w:val="20"/>
          <w:szCs w:val="20"/>
        </w:rPr>
        <w:t xml:space="preserve"> D</w:t>
      </w:r>
      <w:r>
        <w:rPr>
          <w:sz w:val="20"/>
          <w:szCs w:val="20"/>
        </w:rPr>
        <w:t>. G., Ganguli, M., Jeste, D. V., Paulsen, J. S.</w:t>
      </w:r>
      <w:r w:rsidR="00843C6B">
        <w:rPr>
          <w:sz w:val="20"/>
          <w:szCs w:val="20"/>
        </w:rPr>
        <w:t xml:space="preserve"> &amp; Petersen, R. C. (2014). </w:t>
      </w:r>
      <w:r w:rsidRPr="00CE3F05">
        <w:rPr>
          <w:sz w:val="20"/>
          <w:szCs w:val="20"/>
        </w:rPr>
        <w:t>Classifying neurocognitive disorders: the DSM-5</w:t>
      </w:r>
      <w:r w:rsidR="00843C6B">
        <w:rPr>
          <w:sz w:val="20"/>
          <w:szCs w:val="20"/>
        </w:rPr>
        <w:t xml:space="preserve"> </w:t>
      </w:r>
      <w:r w:rsidRPr="00CE3F05">
        <w:rPr>
          <w:sz w:val="20"/>
          <w:szCs w:val="20"/>
        </w:rPr>
        <w:t>approach. </w:t>
      </w:r>
      <w:r w:rsidRPr="00843C6B">
        <w:rPr>
          <w:i/>
          <w:iCs/>
          <w:sz w:val="20"/>
          <w:szCs w:val="20"/>
        </w:rPr>
        <w:t>Nature reviews neurology</w:t>
      </w:r>
      <w:r w:rsidR="00843C6B">
        <w:rPr>
          <w:sz w:val="20"/>
          <w:szCs w:val="20"/>
        </w:rPr>
        <w:t xml:space="preserve">, </w:t>
      </w:r>
      <w:r w:rsidRPr="00843C6B">
        <w:rPr>
          <w:i/>
          <w:iCs/>
          <w:sz w:val="20"/>
          <w:szCs w:val="20"/>
        </w:rPr>
        <w:t>10</w:t>
      </w:r>
      <w:r w:rsidR="00843C6B">
        <w:rPr>
          <w:sz w:val="20"/>
          <w:szCs w:val="20"/>
        </w:rPr>
        <w:t>,</w:t>
      </w:r>
      <w:r w:rsidRPr="00CE3F05">
        <w:rPr>
          <w:sz w:val="20"/>
          <w:szCs w:val="20"/>
        </w:rPr>
        <w:t xml:space="preserve"> 634-642.</w:t>
      </w:r>
      <w:r w:rsidR="00843C6B">
        <w:rPr>
          <w:sz w:val="20"/>
          <w:szCs w:val="20"/>
        </w:rPr>
        <w:t xml:space="preserve"> </w:t>
      </w:r>
      <w:r w:rsidR="00843C6B" w:rsidRPr="00843C6B">
        <w:rPr>
          <w:sz w:val="20"/>
          <w:szCs w:val="20"/>
        </w:rPr>
        <w:t>https://doi.org/10.1038/nrneurol.2014.181</w:t>
      </w:r>
    </w:p>
    <w:p w14:paraId="1F86AFA9" w14:textId="783AE150" w:rsidR="008D6B69" w:rsidRPr="00866DF7" w:rsidRDefault="008D6B69" w:rsidP="00F60A1B">
      <w:pPr>
        <w:spacing w:before="240" w:after="240" w:line="480" w:lineRule="auto"/>
        <w:ind w:left="720" w:hanging="720"/>
        <w:jc w:val="both"/>
        <w:rPr>
          <w:rStyle w:val="Hyperlink"/>
          <w:rFonts w:eastAsia="Times New Roman"/>
          <w:color w:val="auto"/>
          <w:sz w:val="20"/>
          <w:szCs w:val="20"/>
          <w:u w:val="none"/>
        </w:rPr>
      </w:pPr>
      <w:proofErr w:type="spellStart"/>
      <w:r w:rsidRPr="00866DF7">
        <w:rPr>
          <w:rFonts w:eastAsia="Times New Roman"/>
          <w:sz w:val="20"/>
          <w:szCs w:val="20"/>
        </w:rPr>
        <w:t>Schikhof</w:t>
      </w:r>
      <w:proofErr w:type="spellEnd"/>
      <w:r w:rsidRPr="00866DF7">
        <w:rPr>
          <w:rFonts w:eastAsia="Times New Roman"/>
          <w:sz w:val="20"/>
          <w:szCs w:val="20"/>
        </w:rPr>
        <w:t xml:space="preserve">, Y. &amp; </w:t>
      </w:r>
      <w:proofErr w:type="spellStart"/>
      <w:r w:rsidRPr="00866DF7">
        <w:rPr>
          <w:rFonts w:eastAsia="Times New Roman"/>
          <w:sz w:val="20"/>
          <w:szCs w:val="20"/>
        </w:rPr>
        <w:t>Wauben</w:t>
      </w:r>
      <w:proofErr w:type="spellEnd"/>
      <w:r w:rsidRPr="00866DF7">
        <w:rPr>
          <w:rFonts w:eastAsia="Times New Roman"/>
          <w:sz w:val="20"/>
          <w:szCs w:val="20"/>
        </w:rPr>
        <w:t xml:space="preserve">, L. (2016). Two types of stimuli in virtual cycling for people with dementia. </w:t>
      </w:r>
      <w:proofErr w:type="spellStart"/>
      <w:r w:rsidRPr="00866DF7">
        <w:rPr>
          <w:rFonts w:eastAsia="Times New Roman"/>
          <w:i/>
          <w:iCs/>
          <w:sz w:val="20"/>
          <w:szCs w:val="20"/>
        </w:rPr>
        <w:t>Gerontechnology</w:t>
      </w:r>
      <w:proofErr w:type="spellEnd"/>
      <w:r w:rsidRPr="00866DF7">
        <w:rPr>
          <w:rFonts w:eastAsia="Times New Roman"/>
          <w:sz w:val="20"/>
          <w:szCs w:val="20"/>
        </w:rPr>
        <w:t xml:space="preserve">, </w:t>
      </w:r>
      <w:r w:rsidRPr="00866DF7">
        <w:rPr>
          <w:rFonts w:eastAsia="Times New Roman"/>
          <w:i/>
          <w:iCs/>
          <w:sz w:val="20"/>
          <w:szCs w:val="20"/>
        </w:rPr>
        <w:t>15</w:t>
      </w:r>
      <w:r w:rsidRPr="00866DF7">
        <w:rPr>
          <w:rFonts w:eastAsia="Times New Roman"/>
          <w:sz w:val="20"/>
          <w:szCs w:val="20"/>
        </w:rPr>
        <w:t>(0), 163.</w:t>
      </w:r>
    </w:p>
    <w:p w14:paraId="26CD365B" w14:textId="0AD16267" w:rsidR="008D6B69" w:rsidRPr="00866DF7" w:rsidRDefault="008D6B69" w:rsidP="00F60A1B">
      <w:pPr>
        <w:pStyle w:val="Heading1"/>
        <w:keepNext w:val="0"/>
        <w:keepLines w:val="0"/>
        <w:shd w:val="clear" w:color="auto" w:fill="FFFFFF"/>
        <w:spacing w:before="240" w:after="240" w:line="480" w:lineRule="auto"/>
        <w:ind w:left="720" w:hanging="720"/>
        <w:jc w:val="both"/>
        <w:rPr>
          <w:rStyle w:val="Hyperlink"/>
          <w:rFonts w:eastAsia="Times New Roman"/>
          <w:color w:val="auto"/>
          <w:sz w:val="20"/>
          <w:szCs w:val="20"/>
          <w:u w:val="none"/>
        </w:rPr>
      </w:pPr>
      <w:proofErr w:type="spellStart"/>
      <w:r w:rsidRPr="00866DF7">
        <w:rPr>
          <w:rFonts w:eastAsia="Helvetica Neue"/>
          <w:sz w:val="20"/>
          <w:szCs w:val="20"/>
        </w:rPr>
        <w:t>Shadlen</w:t>
      </w:r>
      <w:proofErr w:type="spellEnd"/>
      <w:r w:rsidRPr="00866DF7">
        <w:rPr>
          <w:rFonts w:eastAsia="Helvetica Neue"/>
          <w:sz w:val="20"/>
          <w:szCs w:val="20"/>
        </w:rPr>
        <w:t xml:space="preserve">, M. F., </w:t>
      </w:r>
      <w:proofErr w:type="spellStart"/>
      <w:r w:rsidRPr="00866DF7">
        <w:rPr>
          <w:rFonts w:eastAsia="Helvetica Neue"/>
          <w:sz w:val="20"/>
          <w:szCs w:val="20"/>
        </w:rPr>
        <w:t>Siscovick</w:t>
      </w:r>
      <w:proofErr w:type="spellEnd"/>
      <w:r w:rsidRPr="00866DF7">
        <w:rPr>
          <w:rFonts w:eastAsia="Helvetica Neue"/>
          <w:sz w:val="20"/>
          <w:szCs w:val="20"/>
        </w:rPr>
        <w:t xml:space="preserve">, D., Fitzpatrick, A. L., Dulberg, C., Kuller, L. H., &amp; Jackson, S. (2006). Education, cognitive test scores, and black-white differences in dementia risk. </w:t>
      </w:r>
      <w:r w:rsidRPr="00866DF7">
        <w:rPr>
          <w:rFonts w:eastAsia="Helvetica Neue"/>
          <w:i/>
          <w:iCs/>
          <w:sz w:val="20"/>
          <w:szCs w:val="20"/>
        </w:rPr>
        <w:t>Journal of the American Geriatrics Society</w:t>
      </w:r>
      <w:r w:rsidRPr="00866DF7">
        <w:rPr>
          <w:rFonts w:eastAsia="Helvetica Neue"/>
          <w:sz w:val="20"/>
          <w:szCs w:val="20"/>
        </w:rPr>
        <w:t xml:space="preserve">, </w:t>
      </w:r>
      <w:r w:rsidRPr="00866DF7">
        <w:rPr>
          <w:rFonts w:eastAsia="Helvetica Neue"/>
          <w:i/>
          <w:iCs/>
          <w:sz w:val="20"/>
          <w:szCs w:val="20"/>
        </w:rPr>
        <w:t>54</w:t>
      </w:r>
      <w:r w:rsidRPr="00866DF7">
        <w:rPr>
          <w:rFonts w:eastAsia="Helvetica Neue"/>
          <w:sz w:val="20"/>
          <w:szCs w:val="20"/>
        </w:rPr>
        <w:t>(6), 898–905. https://doi.org/10.1111/j.1532-5415.2006.00747.x</w:t>
      </w:r>
    </w:p>
    <w:p w14:paraId="602ED78F" w14:textId="4478D024" w:rsidR="005D2C49" w:rsidRPr="00866DF7" w:rsidRDefault="005D2C49" w:rsidP="00F60A1B">
      <w:pPr>
        <w:spacing w:before="240" w:after="240" w:line="480" w:lineRule="auto"/>
        <w:ind w:left="720" w:hanging="720"/>
        <w:jc w:val="both"/>
        <w:rPr>
          <w:rFonts w:eastAsia="Helvetica Neue"/>
          <w:sz w:val="20"/>
          <w:szCs w:val="20"/>
        </w:rPr>
      </w:pPr>
      <w:r w:rsidRPr="00866DF7">
        <w:rPr>
          <w:rFonts w:eastAsia="Helvetica Neue"/>
          <w:sz w:val="20"/>
          <w:szCs w:val="20"/>
        </w:rPr>
        <w:lastRenderedPageBreak/>
        <w:t xml:space="preserve">Sharp, E. S., &amp; Gatz, M. (2011). Relationship between education and dementia: an updated systematic review. </w:t>
      </w:r>
      <w:r w:rsidRPr="00866DF7">
        <w:rPr>
          <w:rFonts w:eastAsia="Helvetica Neue"/>
          <w:i/>
          <w:iCs/>
          <w:sz w:val="20"/>
          <w:szCs w:val="20"/>
        </w:rPr>
        <w:t>Alzheimer disease and associated disorders</w:t>
      </w:r>
      <w:r w:rsidRPr="00866DF7">
        <w:rPr>
          <w:rFonts w:eastAsia="Helvetica Neue"/>
          <w:sz w:val="20"/>
          <w:szCs w:val="20"/>
        </w:rPr>
        <w:t xml:space="preserve">, </w:t>
      </w:r>
      <w:r w:rsidRPr="00866DF7">
        <w:rPr>
          <w:rFonts w:eastAsia="Helvetica Neue"/>
          <w:i/>
          <w:iCs/>
          <w:sz w:val="20"/>
          <w:szCs w:val="20"/>
        </w:rPr>
        <w:t>25</w:t>
      </w:r>
      <w:r w:rsidRPr="00866DF7">
        <w:rPr>
          <w:rFonts w:eastAsia="Helvetica Neue"/>
          <w:sz w:val="20"/>
          <w:szCs w:val="20"/>
        </w:rPr>
        <w:t xml:space="preserve">(4), 289–304. </w:t>
      </w:r>
      <w:hyperlink r:id="rId84" w:history="1">
        <w:r w:rsidR="00CE3F05" w:rsidRPr="00232B4A">
          <w:rPr>
            <w:rStyle w:val="Hyperlink"/>
            <w:rFonts w:eastAsia="Helvetica Neue"/>
            <w:sz w:val="20"/>
            <w:szCs w:val="20"/>
          </w:rPr>
          <w:t>https://doi.org/10.1097/WAD.0b013e318211c83c</w:t>
        </w:r>
      </w:hyperlink>
    </w:p>
    <w:p w14:paraId="58A8FD44" w14:textId="67E71B2F" w:rsidR="008D6B69" w:rsidRPr="00866DF7" w:rsidRDefault="008D6B69" w:rsidP="00F60A1B">
      <w:pPr>
        <w:pStyle w:val="Heading1"/>
        <w:keepNext w:val="0"/>
        <w:keepLines w:val="0"/>
        <w:shd w:val="clear" w:color="auto" w:fill="FFFFFF"/>
        <w:spacing w:before="240" w:after="24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Sisco, S., Gross, A. L., Shih, R. A., Sachs, B. C., </w:t>
      </w:r>
      <w:proofErr w:type="spellStart"/>
      <w:r w:rsidRPr="00866DF7">
        <w:rPr>
          <w:rFonts w:eastAsia="Helvetica Neue"/>
          <w:sz w:val="20"/>
          <w:szCs w:val="20"/>
        </w:rPr>
        <w:t>Glymour</w:t>
      </w:r>
      <w:proofErr w:type="spellEnd"/>
      <w:r w:rsidRPr="00866DF7">
        <w:rPr>
          <w:rFonts w:eastAsia="Helvetica Neue"/>
          <w:sz w:val="20"/>
          <w:szCs w:val="20"/>
        </w:rPr>
        <w:t xml:space="preserve">, M. M., Bangen, K. J., Benitez, A., Skinner, J., Schneider, B. C., &amp; Manly, J. J. (2015). The role of early-life educational quality and literacy in explaining racial disparities in cognition in late life. </w:t>
      </w:r>
      <w:r w:rsidRPr="00866DF7">
        <w:rPr>
          <w:rFonts w:eastAsia="Helvetica Neue"/>
          <w:i/>
          <w:iCs/>
          <w:sz w:val="20"/>
          <w:szCs w:val="20"/>
        </w:rPr>
        <w:t>The journals of gerontology. Series B, Psychological sciences and social sciences</w:t>
      </w:r>
      <w:r w:rsidRPr="00866DF7">
        <w:rPr>
          <w:rFonts w:eastAsia="Helvetica Neue"/>
          <w:sz w:val="20"/>
          <w:szCs w:val="20"/>
        </w:rPr>
        <w:t xml:space="preserve">, </w:t>
      </w:r>
      <w:r w:rsidRPr="00866DF7">
        <w:rPr>
          <w:rFonts w:eastAsia="Helvetica Neue"/>
          <w:i/>
          <w:iCs/>
          <w:sz w:val="20"/>
          <w:szCs w:val="20"/>
        </w:rPr>
        <w:t>70</w:t>
      </w:r>
      <w:r w:rsidRPr="00866DF7">
        <w:rPr>
          <w:rFonts w:eastAsia="Helvetica Neue"/>
          <w:sz w:val="20"/>
          <w:szCs w:val="20"/>
        </w:rPr>
        <w:t xml:space="preserve">(4), 557–567. </w:t>
      </w:r>
      <w:hyperlink r:id="rId85" w:history="1">
        <w:r w:rsidRPr="00866DF7">
          <w:rPr>
            <w:rStyle w:val="Hyperlink"/>
            <w:rFonts w:eastAsia="Helvetica Neue"/>
            <w:color w:val="auto"/>
            <w:sz w:val="20"/>
            <w:szCs w:val="20"/>
            <w:u w:val="none"/>
          </w:rPr>
          <w:t>https://doi.org/10.1093/geronb/gbt133</w:t>
        </w:r>
      </w:hyperlink>
    </w:p>
    <w:p w14:paraId="33AB98A9" w14:textId="709A9921" w:rsidR="005D2C49" w:rsidRPr="00866DF7" w:rsidRDefault="005D2C49"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Smyth, K., Kinnock, S. &amp; </w:t>
      </w:r>
      <w:hyperlink r:id="rId86">
        <w:r w:rsidRPr="00866DF7">
          <w:rPr>
            <w:rFonts w:eastAsia="Times New Roman"/>
            <w:sz w:val="20"/>
            <w:szCs w:val="20"/>
          </w:rPr>
          <w:t>Department of Health and Social Care</w:t>
        </w:r>
      </w:hyperlink>
      <w:r w:rsidRPr="00866DF7">
        <w:rPr>
          <w:rFonts w:eastAsia="Times New Roman"/>
          <w:sz w:val="20"/>
          <w:szCs w:val="20"/>
        </w:rPr>
        <w:t xml:space="preserve">. (2025). Government-backed technologies support those living with dementia. </w:t>
      </w:r>
      <w:hyperlink r:id="rId87">
        <w:r w:rsidRPr="00866DF7">
          <w:rPr>
            <w:rFonts w:eastAsia="Times New Roman"/>
            <w:sz w:val="20"/>
            <w:szCs w:val="20"/>
          </w:rPr>
          <w:t>Department of Health and Social Care</w:t>
        </w:r>
      </w:hyperlink>
      <w:r w:rsidRPr="00866DF7">
        <w:rPr>
          <w:rFonts w:eastAsia="Times New Roman"/>
          <w:sz w:val="20"/>
          <w:szCs w:val="20"/>
        </w:rPr>
        <w:t xml:space="preserve">  press. </w:t>
      </w:r>
      <w:hyperlink r:id="rId88">
        <w:r w:rsidRPr="00866DF7">
          <w:rPr>
            <w:rFonts w:eastAsia="Times New Roman"/>
            <w:sz w:val="20"/>
            <w:szCs w:val="20"/>
          </w:rPr>
          <w:t>https://www.gov.uk/government/news/government-backed-technologies-support-those-living-with-dementia</w:t>
        </w:r>
      </w:hyperlink>
    </w:p>
    <w:p w14:paraId="5C670822" w14:textId="42A63C8F" w:rsidR="00917586" w:rsidRPr="00866DF7" w:rsidRDefault="00917586" w:rsidP="00F60A1B">
      <w:pPr>
        <w:shd w:val="clear" w:color="auto" w:fill="FFFFFF"/>
        <w:spacing w:before="240" w:after="240" w:line="480" w:lineRule="auto"/>
        <w:ind w:left="720" w:hanging="720"/>
        <w:jc w:val="both"/>
        <w:rPr>
          <w:rFonts w:eastAsia="Times New Roman"/>
          <w:sz w:val="20"/>
          <w:szCs w:val="20"/>
        </w:rPr>
      </w:pPr>
      <w:bookmarkStart w:id="6" w:name="_6rdsvmgkacn2" w:colFirst="0" w:colLast="0"/>
      <w:bookmarkEnd w:id="6"/>
      <w:proofErr w:type="spellStart"/>
      <w:r w:rsidRPr="00866DF7">
        <w:rPr>
          <w:rFonts w:eastAsia="Helvetica Neue"/>
          <w:sz w:val="20"/>
          <w:szCs w:val="20"/>
        </w:rPr>
        <w:t>Souillard</w:t>
      </w:r>
      <w:proofErr w:type="spellEnd"/>
      <w:r w:rsidRPr="00866DF7">
        <w:rPr>
          <w:rFonts w:eastAsia="Helvetica Neue"/>
          <w:sz w:val="20"/>
          <w:szCs w:val="20"/>
        </w:rPr>
        <w:t xml:space="preserve">-Mandar, W., Davis, R., Rudin, C., Au, R., </w:t>
      </w:r>
      <w:proofErr w:type="spellStart"/>
      <w:r w:rsidRPr="00866DF7">
        <w:rPr>
          <w:rFonts w:eastAsia="Helvetica Neue"/>
          <w:sz w:val="20"/>
          <w:szCs w:val="20"/>
        </w:rPr>
        <w:t>Libon</w:t>
      </w:r>
      <w:proofErr w:type="spellEnd"/>
      <w:r w:rsidRPr="00866DF7">
        <w:rPr>
          <w:rFonts w:eastAsia="Helvetica Neue"/>
          <w:sz w:val="20"/>
          <w:szCs w:val="20"/>
        </w:rPr>
        <w:t xml:space="preserve">, D. J., Swenson, R., Price, C. C., Lamar, M., &amp; Penney, D. L. (2016). Learning Classification Models of Cognitive Conditions from Subtle Behaviors in the Digital Clock Drawing Test. </w:t>
      </w:r>
      <w:r w:rsidRPr="00866DF7">
        <w:rPr>
          <w:rFonts w:eastAsia="Helvetica Neue"/>
          <w:i/>
          <w:iCs/>
          <w:sz w:val="20"/>
          <w:szCs w:val="20"/>
        </w:rPr>
        <w:t>Machine learning</w:t>
      </w:r>
      <w:r w:rsidRPr="00866DF7">
        <w:rPr>
          <w:rFonts w:eastAsia="Helvetica Neue"/>
          <w:sz w:val="20"/>
          <w:szCs w:val="20"/>
        </w:rPr>
        <w:t xml:space="preserve">, </w:t>
      </w:r>
      <w:r w:rsidRPr="00866DF7">
        <w:rPr>
          <w:rFonts w:eastAsia="Helvetica Neue"/>
          <w:i/>
          <w:iCs/>
          <w:sz w:val="20"/>
          <w:szCs w:val="20"/>
        </w:rPr>
        <w:t>102</w:t>
      </w:r>
      <w:r w:rsidRPr="00866DF7">
        <w:rPr>
          <w:rFonts w:eastAsia="Helvetica Neue"/>
          <w:sz w:val="20"/>
          <w:szCs w:val="20"/>
        </w:rPr>
        <w:t>(3), 393–441. https://doi.org/10.1007/s10994-015-5529-5</w:t>
      </w:r>
    </w:p>
    <w:p w14:paraId="4A365DC2" w14:textId="1695268E" w:rsidR="00A70E37" w:rsidRDefault="00A70E37" w:rsidP="00F60A1B">
      <w:pPr>
        <w:shd w:val="clear" w:color="auto" w:fill="FFFFFF"/>
        <w:spacing w:before="240" w:after="240" w:line="480" w:lineRule="auto"/>
        <w:ind w:left="720" w:hanging="720"/>
        <w:jc w:val="both"/>
        <w:rPr>
          <w:rFonts w:eastAsia="Helvetica Neue"/>
          <w:sz w:val="20"/>
          <w:szCs w:val="20"/>
        </w:rPr>
      </w:pPr>
      <w:r w:rsidRPr="00866DF7">
        <w:rPr>
          <w:rFonts w:eastAsia="Helvetica Neue"/>
          <w:sz w:val="20"/>
          <w:szCs w:val="20"/>
        </w:rPr>
        <w:t xml:space="preserve">Tan, Z. S., Seshadri, S., Beiser, A., Wilson, P. W., Kiel, D. P., Tocco, M., D'Agostino, R. B., &amp; Wolf, P. A. (2003). Plasma total cholesterol level as a risk factor for Alzheimer disease: the Framingham Study. </w:t>
      </w:r>
      <w:r w:rsidRPr="00866DF7">
        <w:rPr>
          <w:rFonts w:eastAsia="Helvetica Neue"/>
          <w:i/>
          <w:iCs/>
          <w:sz w:val="20"/>
          <w:szCs w:val="20"/>
        </w:rPr>
        <w:t>Archives of internal medicine</w:t>
      </w:r>
      <w:r w:rsidRPr="00866DF7">
        <w:rPr>
          <w:rFonts w:eastAsia="Helvetica Neue"/>
          <w:sz w:val="20"/>
          <w:szCs w:val="20"/>
        </w:rPr>
        <w:t xml:space="preserve">, </w:t>
      </w:r>
      <w:r w:rsidRPr="00866DF7">
        <w:rPr>
          <w:rFonts w:eastAsia="Helvetica Neue"/>
          <w:i/>
          <w:iCs/>
          <w:sz w:val="20"/>
          <w:szCs w:val="20"/>
        </w:rPr>
        <w:t>163</w:t>
      </w:r>
      <w:r w:rsidRPr="00866DF7">
        <w:rPr>
          <w:rFonts w:eastAsia="Helvetica Neue"/>
          <w:sz w:val="20"/>
          <w:szCs w:val="20"/>
        </w:rPr>
        <w:t xml:space="preserve">(9), 1053–1057. </w:t>
      </w:r>
      <w:hyperlink r:id="rId89" w:history="1">
        <w:r w:rsidR="0030147B" w:rsidRPr="00232B4A">
          <w:rPr>
            <w:rStyle w:val="Hyperlink"/>
            <w:rFonts w:eastAsia="Helvetica Neue"/>
            <w:sz w:val="20"/>
            <w:szCs w:val="20"/>
          </w:rPr>
          <w:t>https://doi.org/10.1001/archinte.163.9.1053</w:t>
        </w:r>
      </w:hyperlink>
    </w:p>
    <w:p w14:paraId="0D490348" w14:textId="40BE73BD" w:rsidR="00ED4B5B" w:rsidRPr="00ED4B5B" w:rsidRDefault="00ED4B5B" w:rsidP="00F60A1B">
      <w:pPr>
        <w:shd w:val="clear" w:color="auto" w:fill="FFFFFF"/>
        <w:spacing w:before="240" w:after="240" w:line="480" w:lineRule="auto"/>
        <w:ind w:left="720" w:hanging="720"/>
        <w:jc w:val="both"/>
        <w:rPr>
          <w:rFonts w:eastAsia="Helvetica Neue"/>
          <w:sz w:val="20"/>
          <w:szCs w:val="20"/>
        </w:rPr>
      </w:pPr>
      <w:r>
        <w:rPr>
          <w:rFonts w:eastAsia="Helvetica Neue"/>
          <w:sz w:val="20"/>
          <w:szCs w:val="20"/>
        </w:rPr>
        <w:t xml:space="preserve">The Lancet Gastroenterology &amp; Hepatology. (2022). </w:t>
      </w:r>
      <w:r w:rsidRPr="00ED4B5B">
        <w:rPr>
          <w:rFonts w:eastAsia="Helvetica Neue"/>
          <w:sz w:val="20"/>
          <w:szCs w:val="20"/>
        </w:rPr>
        <w:t>Food insecurity in the UK: a public health issue left to feste</w:t>
      </w:r>
      <w:r>
        <w:rPr>
          <w:rFonts w:eastAsia="Helvetica Neue"/>
          <w:sz w:val="20"/>
          <w:szCs w:val="20"/>
        </w:rPr>
        <w:t xml:space="preserve">r [Editorial]. </w:t>
      </w:r>
      <w:r>
        <w:rPr>
          <w:rFonts w:eastAsia="Helvetica Neue"/>
          <w:i/>
          <w:iCs/>
          <w:sz w:val="20"/>
          <w:szCs w:val="20"/>
        </w:rPr>
        <w:t xml:space="preserve">The Lancet Gastroenterology &amp; Hepatology, 7, </w:t>
      </w:r>
      <w:r>
        <w:rPr>
          <w:rFonts w:eastAsia="Helvetica Neue"/>
          <w:sz w:val="20"/>
          <w:szCs w:val="20"/>
        </w:rPr>
        <w:t xml:space="preserve">585. </w:t>
      </w:r>
    </w:p>
    <w:p w14:paraId="33DDBBF8" w14:textId="038B8674" w:rsidR="0030147B" w:rsidRPr="00866DF7" w:rsidRDefault="0030147B" w:rsidP="00F60A1B">
      <w:pPr>
        <w:shd w:val="clear" w:color="auto" w:fill="FFFFFF"/>
        <w:spacing w:before="240" w:after="240" w:line="480" w:lineRule="auto"/>
        <w:ind w:left="720" w:hanging="720"/>
        <w:jc w:val="both"/>
        <w:rPr>
          <w:rFonts w:eastAsia="Times New Roman"/>
          <w:sz w:val="20"/>
          <w:szCs w:val="20"/>
        </w:rPr>
      </w:pPr>
      <w:r w:rsidRPr="0030147B">
        <w:rPr>
          <w:rFonts w:eastAsia="Times New Roman"/>
          <w:sz w:val="20"/>
          <w:szCs w:val="20"/>
        </w:rPr>
        <w:t xml:space="preserve">Thompson, R., Stewart, G., Vu, T., </w:t>
      </w:r>
      <w:proofErr w:type="spellStart"/>
      <w:r w:rsidRPr="0030147B">
        <w:rPr>
          <w:rFonts w:eastAsia="Times New Roman"/>
          <w:sz w:val="20"/>
          <w:szCs w:val="20"/>
        </w:rPr>
        <w:t>Jephcote</w:t>
      </w:r>
      <w:proofErr w:type="spellEnd"/>
      <w:r w:rsidRPr="0030147B">
        <w:rPr>
          <w:rFonts w:eastAsia="Times New Roman"/>
          <w:sz w:val="20"/>
          <w:szCs w:val="20"/>
        </w:rPr>
        <w:t xml:space="preserve">, C., Lim, S., Barratt, B., Smith, R. B., Karim, Y. B., Mussa, A., </w:t>
      </w:r>
      <w:proofErr w:type="spellStart"/>
      <w:r w:rsidRPr="0030147B">
        <w:rPr>
          <w:rFonts w:eastAsia="Times New Roman"/>
          <w:sz w:val="20"/>
          <w:szCs w:val="20"/>
        </w:rPr>
        <w:t>Mudway</w:t>
      </w:r>
      <w:proofErr w:type="spellEnd"/>
      <w:r w:rsidRPr="0030147B">
        <w:rPr>
          <w:rFonts w:eastAsia="Times New Roman"/>
          <w:sz w:val="20"/>
          <w:szCs w:val="20"/>
        </w:rPr>
        <w:t xml:space="preserve">, I., Fisher, H. L., </w:t>
      </w:r>
      <w:proofErr w:type="spellStart"/>
      <w:r w:rsidRPr="0030147B">
        <w:rPr>
          <w:rFonts w:eastAsia="Times New Roman"/>
          <w:sz w:val="20"/>
          <w:szCs w:val="20"/>
        </w:rPr>
        <w:t>Dumontheil</w:t>
      </w:r>
      <w:proofErr w:type="spellEnd"/>
      <w:r w:rsidRPr="0030147B">
        <w:rPr>
          <w:rFonts w:eastAsia="Times New Roman"/>
          <w:sz w:val="20"/>
          <w:szCs w:val="20"/>
        </w:rPr>
        <w:t xml:space="preserve">, I., Thomas, M. S. C., Gulliver, J., Beevers, S., Kelly, F. J., &amp; Toledano, M. B. (2024). Air pollution, traffic noise, mental health, and cognitive </w:t>
      </w:r>
      <w:r w:rsidRPr="0030147B">
        <w:rPr>
          <w:rFonts w:eastAsia="Times New Roman"/>
          <w:sz w:val="20"/>
          <w:szCs w:val="20"/>
        </w:rPr>
        <w:lastRenderedPageBreak/>
        <w:t>development: A multi-exposure longitudinal study of London adolescents in the SCAMP cohort. </w:t>
      </w:r>
      <w:r w:rsidRPr="0030147B">
        <w:rPr>
          <w:rFonts w:eastAsia="Times New Roman"/>
          <w:i/>
          <w:iCs/>
          <w:sz w:val="20"/>
          <w:szCs w:val="20"/>
        </w:rPr>
        <w:t>Environment international</w:t>
      </w:r>
      <w:r w:rsidRPr="0030147B">
        <w:rPr>
          <w:rFonts w:eastAsia="Times New Roman"/>
          <w:sz w:val="20"/>
          <w:szCs w:val="20"/>
        </w:rPr>
        <w:t>, </w:t>
      </w:r>
      <w:r w:rsidRPr="0030147B">
        <w:rPr>
          <w:rFonts w:eastAsia="Times New Roman"/>
          <w:i/>
          <w:iCs/>
          <w:sz w:val="20"/>
          <w:szCs w:val="20"/>
        </w:rPr>
        <w:t>191</w:t>
      </w:r>
      <w:r w:rsidRPr="0030147B">
        <w:rPr>
          <w:rFonts w:eastAsia="Times New Roman"/>
          <w:sz w:val="20"/>
          <w:szCs w:val="20"/>
        </w:rPr>
        <w:t>, 108963. https://doi.org/10.1016/j.envint.2024.10896</w:t>
      </w:r>
    </w:p>
    <w:p w14:paraId="5D6FA69C" w14:textId="5FD55B3E" w:rsidR="005D2C49" w:rsidRPr="00866DF7" w:rsidRDefault="005D2C49" w:rsidP="00F60A1B">
      <w:pPr>
        <w:spacing w:before="240" w:after="240" w:line="480" w:lineRule="auto"/>
        <w:ind w:left="720" w:hanging="720"/>
        <w:jc w:val="both"/>
        <w:rPr>
          <w:rStyle w:val="Hyperlink"/>
          <w:rFonts w:eastAsia="Times New Roman"/>
          <w:sz w:val="20"/>
          <w:szCs w:val="20"/>
        </w:rPr>
      </w:pPr>
      <w:bookmarkStart w:id="7" w:name="_qd08bc1ufgyj" w:colFirst="0" w:colLast="0"/>
      <w:bookmarkEnd w:id="7"/>
      <w:r w:rsidRPr="00866DF7">
        <w:rPr>
          <w:rFonts w:eastAsia="Times New Roman"/>
          <w:sz w:val="20"/>
          <w:szCs w:val="20"/>
        </w:rPr>
        <w:t>Tomaskovic</w:t>
      </w:r>
      <w:r w:rsidRPr="00866DF7">
        <w:rPr>
          <w:rFonts w:ascii="Cambria Math" w:eastAsia="Times New Roman" w:hAnsi="Cambria Math" w:cs="Cambria Math"/>
          <w:sz w:val="20"/>
          <w:szCs w:val="20"/>
        </w:rPr>
        <w:t>‐</w:t>
      </w:r>
      <w:r w:rsidRPr="00866DF7">
        <w:rPr>
          <w:rFonts w:eastAsia="Times New Roman"/>
          <w:sz w:val="20"/>
          <w:szCs w:val="20"/>
        </w:rPr>
        <w:t>Devey, D., Thomas, M., &amp; Johnson, K. (2005). Race and the Accumulation of Human Capital across the Career: A Theoretical Model and Fixed</w:t>
      </w:r>
      <w:r w:rsidRPr="00866DF7">
        <w:rPr>
          <w:rFonts w:ascii="Cambria Math" w:eastAsia="Times New Roman" w:hAnsi="Cambria Math" w:cs="Cambria Math"/>
          <w:sz w:val="20"/>
          <w:szCs w:val="20"/>
        </w:rPr>
        <w:t>‐</w:t>
      </w:r>
      <w:r w:rsidRPr="00866DF7">
        <w:rPr>
          <w:rFonts w:eastAsia="Times New Roman"/>
          <w:sz w:val="20"/>
          <w:szCs w:val="20"/>
        </w:rPr>
        <w:t xml:space="preserve">Effects Application. </w:t>
      </w:r>
      <w:r w:rsidRPr="00866DF7">
        <w:rPr>
          <w:rFonts w:eastAsia="Times New Roman"/>
          <w:i/>
          <w:iCs/>
          <w:sz w:val="20"/>
          <w:szCs w:val="20"/>
        </w:rPr>
        <w:t>American Journal of Sociology</w:t>
      </w:r>
      <w:r w:rsidRPr="00866DF7">
        <w:rPr>
          <w:rFonts w:eastAsia="Times New Roman"/>
          <w:sz w:val="20"/>
          <w:szCs w:val="20"/>
        </w:rPr>
        <w:t xml:space="preserve">, </w:t>
      </w:r>
      <w:r w:rsidRPr="00866DF7">
        <w:rPr>
          <w:rFonts w:eastAsia="Times New Roman"/>
          <w:i/>
          <w:iCs/>
          <w:sz w:val="20"/>
          <w:szCs w:val="20"/>
        </w:rPr>
        <w:t>111</w:t>
      </w:r>
      <w:r w:rsidRPr="00866DF7">
        <w:rPr>
          <w:rFonts w:eastAsia="Times New Roman"/>
          <w:sz w:val="20"/>
          <w:szCs w:val="20"/>
        </w:rPr>
        <w:t xml:space="preserve">(1), 58–89. </w:t>
      </w:r>
      <w:hyperlink r:id="rId90" w:history="1">
        <w:r w:rsidR="001D6CEF" w:rsidRPr="00866DF7">
          <w:rPr>
            <w:rStyle w:val="Hyperlink"/>
            <w:rFonts w:eastAsia="Times New Roman"/>
            <w:color w:val="auto"/>
            <w:sz w:val="20"/>
            <w:szCs w:val="20"/>
            <w:u w:val="none"/>
          </w:rPr>
          <w:t>https://doi.org/10.1086/431779</w:t>
        </w:r>
      </w:hyperlink>
    </w:p>
    <w:p w14:paraId="1F49439C" w14:textId="547CCD99" w:rsidR="008D6B69" w:rsidRPr="00866DF7" w:rsidRDefault="008D6B69" w:rsidP="00F60A1B">
      <w:pPr>
        <w:spacing w:before="240" w:after="240" w:line="480" w:lineRule="auto"/>
        <w:ind w:left="720" w:hanging="720"/>
        <w:jc w:val="both"/>
        <w:rPr>
          <w:rStyle w:val="Hyperlink"/>
          <w:rFonts w:eastAsia="Times New Roman"/>
          <w:color w:val="auto"/>
          <w:sz w:val="20"/>
          <w:szCs w:val="20"/>
          <w:u w:val="none"/>
        </w:rPr>
      </w:pPr>
      <w:r w:rsidRPr="00866DF7">
        <w:rPr>
          <w:rFonts w:eastAsia="Times New Roman"/>
          <w:sz w:val="20"/>
          <w:szCs w:val="20"/>
        </w:rPr>
        <w:t>UK Dementia Research Institute. (2025</w:t>
      </w:r>
      <w:r w:rsidR="00466E48" w:rsidRPr="00866DF7">
        <w:rPr>
          <w:rFonts w:eastAsia="Times New Roman"/>
          <w:sz w:val="20"/>
          <w:szCs w:val="20"/>
        </w:rPr>
        <w:t>a</w:t>
      </w:r>
      <w:r w:rsidRPr="00866DF7">
        <w:rPr>
          <w:rFonts w:eastAsia="Times New Roman"/>
          <w:sz w:val="20"/>
          <w:szCs w:val="20"/>
        </w:rPr>
        <w:t>). Biomarkers &amp; diagnostics.</w:t>
      </w:r>
      <w:r w:rsidRPr="00866DF7">
        <w:rPr>
          <w:rFonts w:eastAsia="Times New Roman"/>
          <w:i/>
          <w:iCs/>
          <w:sz w:val="20"/>
          <w:szCs w:val="20"/>
        </w:rPr>
        <w:t xml:space="preserve"> </w:t>
      </w:r>
      <w:r w:rsidRPr="00866DF7">
        <w:rPr>
          <w:rFonts w:eastAsia="Times New Roman"/>
          <w:sz w:val="20"/>
          <w:szCs w:val="20"/>
        </w:rPr>
        <w:t xml:space="preserve">UK Dementia Research Institute press. </w:t>
      </w:r>
      <w:hyperlink r:id="rId91">
        <w:r w:rsidRPr="00866DF7">
          <w:rPr>
            <w:rFonts w:eastAsia="Times New Roman"/>
            <w:sz w:val="20"/>
            <w:szCs w:val="20"/>
          </w:rPr>
          <w:t>https://www.ukdri.ac.uk/research-topic/biomarkers-diagnostics</w:t>
        </w:r>
      </w:hyperlink>
    </w:p>
    <w:p w14:paraId="19F17433" w14:textId="45452011" w:rsidR="008D6B69" w:rsidRPr="00866DF7" w:rsidRDefault="008D6B69" w:rsidP="00F60A1B">
      <w:pPr>
        <w:spacing w:before="240" w:after="240" w:line="480" w:lineRule="auto"/>
        <w:ind w:left="720" w:hanging="720"/>
        <w:jc w:val="both"/>
        <w:rPr>
          <w:sz w:val="20"/>
          <w:szCs w:val="20"/>
        </w:rPr>
      </w:pPr>
      <w:r w:rsidRPr="00866DF7">
        <w:rPr>
          <w:rFonts w:eastAsia="Times New Roman"/>
          <w:sz w:val="20"/>
          <w:szCs w:val="20"/>
        </w:rPr>
        <w:t>UK Dementia Research Institute. (2025</w:t>
      </w:r>
      <w:r w:rsidR="00466E48" w:rsidRPr="00866DF7">
        <w:rPr>
          <w:rFonts w:eastAsia="Times New Roman"/>
          <w:sz w:val="20"/>
          <w:szCs w:val="20"/>
        </w:rPr>
        <w:t>b</w:t>
      </w:r>
      <w:r w:rsidRPr="00866DF7">
        <w:rPr>
          <w:rFonts w:eastAsia="Times New Roman"/>
          <w:sz w:val="20"/>
          <w:szCs w:val="20"/>
        </w:rPr>
        <w:t xml:space="preserve">). Treatments &amp; interventions.  UK Dementia Research Institute press. </w:t>
      </w:r>
      <w:hyperlink r:id="rId92">
        <w:r w:rsidRPr="00866DF7">
          <w:rPr>
            <w:rFonts w:eastAsia="Times New Roman"/>
            <w:sz w:val="20"/>
            <w:szCs w:val="20"/>
          </w:rPr>
          <w:t>https://www.ukdri.ac.uk/public-information/information/treatments-interventions</w:t>
        </w:r>
      </w:hyperlink>
    </w:p>
    <w:p w14:paraId="4D6C7367" w14:textId="26F2EEF3" w:rsidR="006A4514" w:rsidRPr="00424EEE" w:rsidRDefault="006A4514" w:rsidP="00F60A1B">
      <w:pPr>
        <w:spacing w:before="240" w:after="240" w:line="480" w:lineRule="auto"/>
        <w:ind w:left="720" w:hanging="720"/>
        <w:jc w:val="both"/>
        <w:rPr>
          <w:rFonts w:eastAsia="Times New Roman"/>
          <w:sz w:val="18"/>
          <w:szCs w:val="18"/>
        </w:rPr>
      </w:pPr>
      <w:r w:rsidRPr="00424EEE">
        <w:rPr>
          <w:sz w:val="20"/>
          <w:szCs w:val="20"/>
        </w:rPr>
        <w:t>UNICEF</w:t>
      </w:r>
      <w:r w:rsidR="00424EEE" w:rsidRPr="00424EEE">
        <w:rPr>
          <w:sz w:val="20"/>
          <w:szCs w:val="20"/>
        </w:rPr>
        <w:t>. (</w:t>
      </w:r>
      <w:r w:rsidRPr="00424EEE">
        <w:rPr>
          <w:sz w:val="20"/>
          <w:szCs w:val="20"/>
        </w:rPr>
        <w:t>2025</w:t>
      </w:r>
      <w:r w:rsidR="00424EEE" w:rsidRPr="00424EEE">
        <w:rPr>
          <w:sz w:val="20"/>
          <w:szCs w:val="20"/>
        </w:rPr>
        <w:t>).</w:t>
      </w:r>
      <w:r w:rsidR="00672807" w:rsidRPr="00424EEE">
        <w:rPr>
          <w:sz w:val="20"/>
          <w:szCs w:val="20"/>
        </w:rPr>
        <w:t xml:space="preserve"> UNICEF’s 2025 State of the World’s Children Report.</w:t>
      </w:r>
      <w:r w:rsidR="00424EEE" w:rsidRPr="00424EEE">
        <w:rPr>
          <w:sz w:val="20"/>
          <w:szCs w:val="20"/>
        </w:rPr>
        <w:t xml:space="preserve"> UNICEF press. https://www.unicef.org/media/176436/file/SOWC-2025-full-report-EN.pdf</w:t>
      </w:r>
    </w:p>
    <w:p w14:paraId="22F02673" w14:textId="12A1F4B6" w:rsidR="001D6CEF" w:rsidRPr="00866DF7" w:rsidRDefault="001D6CEF"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United Nations Development </w:t>
      </w:r>
      <w:proofErr w:type="spellStart"/>
      <w:r w:rsidRPr="00866DF7">
        <w:rPr>
          <w:rFonts w:eastAsia="Times New Roman"/>
          <w:sz w:val="20"/>
          <w:szCs w:val="20"/>
        </w:rPr>
        <w:t>Programme</w:t>
      </w:r>
      <w:proofErr w:type="spellEnd"/>
      <w:r w:rsidRPr="00866DF7">
        <w:rPr>
          <w:rFonts w:eastAsia="Times New Roman"/>
          <w:sz w:val="20"/>
          <w:szCs w:val="20"/>
        </w:rPr>
        <w:t xml:space="preserve">. (2021). Tackling air pollution for improved health and a greener future. United Nations press. </w:t>
      </w:r>
      <w:hyperlink r:id="rId93">
        <w:r w:rsidRPr="00866DF7">
          <w:rPr>
            <w:rFonts w:eastAsia="Times New Roman"/>
            <w:sz w:val="20"/>
            <w:szCs w:val="20"/>
          </w:rPr>
          <w:t>https://unece.org/sites/default/files/2021-11/S8_4_UNDP_Tackling%20air%20pollution%20for%20improved%20health%20and%20a%20greener%20future.pdf</w:t>
        </w:r>
      </w:hyperlink>
    </w:p>
    <w:p w14:paraId="762D6C5F" w14:textId="0BF545F4" w:rsidR="008D6B69" w:rsidRPr="00866DF7" w:rsidRDefault="008D6B69" w:rsidP="00F60A1B">
      <w:pPr>
        <w:spacing w:before="240" w:after="240" w:line="480" w:lineRule="auto"/>
        <w:ind w:left="720" w:hanging="720"/>
        <w:jc w:val="both"/>
        <w:rPr>
          <w:sz w:val="20"/>
          <w:szCs w:val="20"/>
        </w:rPr>
      </w:pPr>
      <w:r w:rsidRPr="00866DF7">
        <w:rPr>
          <w:rFonts w:eastAsia="Times New Roman"/>
          <w:sz w:val="20"/>
          <w:szCs w:val="20"/>
        </w:rPr>
        <w:t xml:space="preserve">University of Bath (2004). The Gloucester Smart House for People with Dementia. University of Bath press. </w:t>
      </w:r>
      <w:hyperlink r:id="rId94">
        <w:r w:rsidRPr="00866DF7">
          <w:rPr>
            <w:rFonts w:eastAsia="Times New Roman"/>
            <w:sz w:val="20"/>
            <w:szCs w:val="20"/>
          </w:rPr>
          <w:t>https://www.cise.ufl.edu/~helal/pre-icadi/pdf/Orpwood.pdf</w:t>
        </w:r>
      </w:hyperlink>
    </w:p>
    <w:p w14:paraId="7699CAFC" w14:textId="5EA3D64E" w:rsidR="00332F2F" w:rsidRDefault="001D6CEF" w:rsidP="00F60A1B">
      <w:pPr>
        <w:spacing w:before="240" w:after="240" w:line="480" w:lineRule="auto"/>
        <w:ind w:left="720" w:hanging="720"/>
        <w:jc w:val="both"/>
        <w:rPr>
          <w:rFonts w:eastAsia="Times New Roman"/>
          <w:sz w:val="20"/>
          <w:szCs w:val="20"/>
        </w:rPr>
      </w:pPr>
      <w:r w:rsidRPr="00866DF7">
        <w:rPr>
          <w:rFonts w:eastAsia="Times New Roman"/>
          <w:sz w:val="20"/>
          <w:szCs w:val="20"/>
        </w:rPr>
        <w:t xml:space="preserve">USC Dornsife- Center for Economic and Social Research. (2020). Implications of Alzheimer’s treatment for organization and payment of medical practices in the Eu-5 countries. University of Southern California press. </w:t>
      </w:r>
      <w:hyperlink r:id="rId95">
        <w:r w:rsidRPr="00866DF7">
          <w:rPr>
            <w:rFonts w:eastAsia="Times New Roman"/>
            <w:sz w:val="20"/>
            <w:szCs w:val="20"/>
          </w:rPr>
          <w:t>https://globalcoalitiononaging.com/wp-content/uploads/2020/07/USC-IATOP-EU5-July-2020.pdf</w:t>
        </w:r>
      </w:hyperlink>
      <w:r w:rsidRPr="00866DF7">
        <w:rPr>
          <w:rFonts w:eastAsia="Times New Roman"/>
          <w:sz w:val="20"/>
          <w:szCs w:val="20"/>
        </w:rPr>
        <w:t xml:space="preserve"> </w:t>
      </w:r>
    </w:p>
    <w:p w14:paraId="7A0A72F0" w14:textId="5347184C" w:rsidR="00E94F84" w:rsidRPr="00B427E2" w:rsidRDefault="00E94F84" w:rsidP="00F60A1B">
      <w:pPr>
        <w:spacing w:before="240" w:after="240" w:line="480" w:lineRule="auto"/>
        <w:ind w:left="720" w:hanging="720"/>
        <w:jc w:val="both"/>
        <w:rPr>
          <w:rFonts w:eastAsia="Times New Roman"/>
          <w:sz w:val="20"/>
          <w:szCs w:val="20"/>
        </w:rPr>
      </w:pPr>
      <w:r w:rsidRPr="00B427E2">
        <w:rPr>
          <w:rFonts w:eastAsia="Times New Roman"/>
          <w:sz w:val="20"/>
          <w:szCs w:val="20"/>
        </w:rPr>
        <w:t>Whelan</w:t>
      </w:r>
      <w:r w:rsidR="00B427E2" w:rsidRPr="00B427E2">
        <w:rPr>
          <w:rFonts w:eastAsia="Times New Roman"/>
          <w:sz w:val="20"/>
          <w:szCs w:val="20"/>
        </w:rPr>
        <w:t xml:space="preserve">, M. J., </w:t>
      </w:r>
      <w:r w:rsidRPr="00B427E2">
        <w:rPr>
          <w:rFonts w:eastAsia="Times New Roman"/>
          <w:sz w:val="20"/>
          <w:szCs w:val="20"/>
        </w:rPr>
        <w:t>Linstead</w:t>
      </w:r>
      <w:r w:rsidR="00B427E2" w:rsidRPr="00B427E2">
        <w:rPr>
          <w:rFonts w:eastAsia="Times New Roman"/>
          <w:sz w:val="20"/>
          <w:szCs w:val="20"/>
        </w:rPr>
        <w:t>, C.</w:t>
      </w:r>
      <w:r w:rsidRPr="00B427E2">
        <w:rPr>
          <w:rFonts w:eastAsia="Times New Roman"/>
          <w:sz w:val="20"/>
          <w:szCs w:val="20"/>
        </w:rPr>
        <w:t>, </w:t>
      </w:r>
      <w:r w:rsidR="00B427E2" w:rsidRPr="00B427E2">
        <w:rPr>
          <w:rFonts w:eastAsia="Times New Roman"/>
          <w:sz w:val="20"/>
          <w:szCs w:val="20"/>
        </w:rPr>
        <w:t xml:space="preserve">Worrall, F., Ormerod, S. J., Durance, I., Johnson, A. C., Owen, M., Wiik, E., Howden, N. J. k., Burt, T. P., Boxall, A., Brown, C. D., Oliver, D. M. &amp; Tickner, D. (2022). </w:t>
      </w:r>
      <w:r w:rsidRPr="00B427E2">
        <w:rPr>
          <w:rFonts w:eastAsia="Times New Roman"/>
          <w:sz w:val="20"/>
          <w:szCs w:val="20"/>
        </w:rPr>
        <w:t xml:space="preserve">Is water </w:t>
      </w:r>
      <w:r w:rsidRPr="00B427E2">
        <w:rPr>
          <w:rFonts w:eastAsia="Times New Roman"/>
          <w:sz w:val="20"/>
          <w:szCs w:val="20"/>
        </w:rPr>
        <w:lastRenderedPageBreak/>
        <w:t>quality in British rivers “better than at any time since the end of the Industrial Revolution</w:t>
      </w:r>
      <w:proofErr w:type="gramStart"/>
      <w:r w:rsidRPr="00B427E2">
        <w:rPr>
          <w:rFonts w:eastAsia="Times New Roman"/>
          <w:sz w:val="20"/>
          <w:szCs w:val="20"/>
        </w:rPr>
        <w:t>”?</w:t>
      </w:r>
      <w:r w:rsidR="00B427E2" w:rsidRPr="00B427E2">
        <w:rPr>
          <w:rFonts w:eastAsia="Times New Roman"/>
          <w:sz w:val="20"/>
          <w:szCs w:val="20"/>
        </w:rPr>
        <w:t>.</w:t>
      </w:r>
      <w:proofErr w:type="gramEnd"/>
      <w:r w:rsidR="00B427E2" w:rsidRPr="00B427E2">
        <w:rPr>
          <w:rFonts w:eastAsia="Times New Roman"/>
          <w:sz w:val="20"/>
          <w:szCs w:val="20"/>
        </w:rPr>
        <w:t xml:space="preserve"> </w:t>
      </w:r>
      <w:r w:rsidR="00B427E2" w:rsidRPr="00B427E2">
        <w:rPr>
          <w:rFonts w:eastAsia="Times New Roman"/>
          <w:i/>
          <w:iCs/>
          <w:sz w:val="20"/>
          <w:szCs w:val="20"/>
        </w:rPr>
        <w:t xml:space="preserve">Science of The Total Environment, 843, </w:t>
      </w:r>
      <w:hyperlink r:id="rId96" w:tgtFrame="_blank" w:tooltip="Persistent link using digital object identifier" w:history="1">
        <w:r w:rsidR="00B427E2" w:rsidRPr="00B427E2">
          <w:rPr>
            <w:rStyle w:val="Hyperlink"/>
            <w:rFonts w:eastAsia="Times New Roman"/>
            <w:color w:val="auto"/>
            <w:sz w:val="20"/>
            <w:szCs w:val="20"/>
            <w:u w:val="none"/>
          </w:rPr>
          <w:t>https://doi.org/10.1016/j.scitotenv.2022.157014</w:t>
        </w:r>
      </w:hyperlink>
    </w:p>
    <w:p w14:paraId="7F4515D6" w14:textId="6D6B2462" w:rsidR="00466E48" w:rsidRPr="00866DF7" w:rsidRDefault="00466E48" w:rsidP="00F60A1B">
      <w:pPr>
        <w:spacing w:line="480" w:lineRule="auto"/>
        <w:ind w:left="720" w:hanging="720"/>
        <w:jc w:val="both"/>
        <w:rPr>
          <w:rFonts w:eastAsia="Times New Roman"/>
          <w:sz w:val="20"/>
          <w:szCs w:val="20"/>
        </w:rPr>
      </w:pPr>
      <w:r w:rsidRPr="00866DF7">
        <w:rPr>
          <w:rFonts w:eastAsia="Times New Roman"/>
          <w:sz w:val="20"/>
          <w:szCs w:val="20"/>
        </w:rPr>
        <w:t>WHO. (2025a</w:t>
      </w:r>
      <w:r w:rsidR="00C92FE3" w:rsidRPr="00866DF7">
        <w:rPr>
          <w:rFonts w:eastAsia="Times New Roman"/>
          <w:sz w:val="20"/>
          <w:szCs w:val="20"/>
        </w:rPr>
        <w:t xml:space="preserve">). </w:t>
      </w:r>
      <w:r w:rsidRPr="00866DF7">
        <w:rPr>
          <w:rFonts w:eastAsia="Times New Roman"/>
          <w:sz w:val="20"/>
          <w:szCs w:val="20"/>
        </w:rPr>
        <w:t xml:space="preserve">Dementia. </w:t>
      </w:r>
      <w:r w:rsidR="00C92FE3" w:rsidRPr="00866DF7">
        <w:rPr>
          <w:rFonts w:eastAsia="Times New Roman"/>
          <w:sz w:val="20"/>
          <w:szCs w:val="20"/>
        </w:rPr>
        <w:t xml:space="preserve">WHO </w:t>
      </w:r>
      <w:r w:rsidRPr="00866DF7">
        <w:rPr>
          <w:rFonts w:eastAsia="Times New Roman"/>
          <w:sz w:val="20"/>
          <w:szCs w:val="20"/>
        </w:rPr>
        <w:t xml:space="preserve">press. </w:t>
      </w:r>
      <w:hyperlink r:id="rId97" w:history="1">
        <w:r w:rsidR="00B427E2" w:rsidRPr="00232B4A">
          <w:rPr>
            <w:rStyle w:val="Hyperlink"/>
            <w:rFonts w:eastAsia="Times New Roman"/>
            <w:sz w:val="20"/>
            <w:szCs w:val="20"/>
          </w:rPr>
          <w:t>https://www.who.int/news-room/fact-sheets/detail/dementia</w:t>
        </w:r>
      </w:hyperlink>
      <w:r w:rsidRPr="00866DF7">
        <w:rPr>
          <w:rFonts w:eastAsia="Times New Roman"/>
          <w:sz w:val="20"/>
          <w:szCs w:val="20"/>
        </w:rPr>
        <w:t xml:space="preserve">. </w:t>
      </w:r>
    </w:p>
    <w:p w14:paraId="19918918" w14:textId="43C356FE" w:rsidR="00466E48" w:rsidRPr="00866DF7" w:rsidRDefault="00466E48" w:rsidP="00F60A1B">
      <w:pPr>
        <w:spacing w:before="240" w:after="240" w:line="480" w:lineRule="auto"/>
        <w:ind w:left="720" w:hanging="720"/>
        <w:jc w:val="both"/>
        <w:rPr>
          <w:rFonts w:eastAsia="Times New Roman"/>
          <w:sz w:val="20"/>
          <w:szCs w:val="20"/>
        </w:rPr>
      </w:pPr>
      <w:r w:rsidRPr="00866DF7">
        <w:rPr>
          <w:rFonts w:eastAsia="Times New Roman"/>
          <w:sz w:val="20"/>
          <w:szCs w:val="20"/>
        </w:rPr>
        <w:t>WHO. (2025b</w:t>
      </w:r>
      <w:r w:rsidR="00C92FE3" w:rsidRPr="00866DF7">
        <w:rPr>
          <w:rFonts w:eastAsia="Times New Roman"/>
          <w:sz w:val="20"/>
          <w:szCs w:val="20"/>
        </w:rPr>
        <w:t xml:space="preserve">). </w:t>
      </w:r>
      <w:r w:rsidRPr="00866DF7">
        <w:rPr>
          <w:rFonts w:eastAsia="Times New Roman"/>
          <w:sz w:val="20"/>
          <w:szCs w:val="20"/>
        </w:rPr>
        <w:t>Social determinants of health</w:t>
      </w:r>
      <w:r w:rsidRPr="00866DF7">
        <w:rPr>
          <w:rFonts w:eastAsia="Times New Roman"/>
          <w:i/>
          <w:iCs/>
          <w:sz w:val="20"/>
          <w:szCs w:val="20"/>
        </w:rPr>
        <w:t>.</w:t>
      </w:r>
      <w:r w:rsidRPr="00866DF7">
        <w:rPr>
          <w:rFonts w:eastAsia="Times New Roman"/>
          <w:sz w:val="20"/>
          <w:szCs w:val="20"/>
        </w:rPr>
        <w:t xml:space="preserve"> </w:t>
      </w:r>
      <w:r w:rsidR="00C92FE3" w:rsidRPr="00866DF7">
        <w:rPr>
          <w:rFonts w:eastAsia="Times New Roman"/>
          <w:sz w:val="20"/>
          <w:szCs w:val="20"/>
        </w:rPr>
        <w:t xml:space="preserve">WHO </w:t>
      </w:r>
      <w:r w:rsidRPr="00866DF7">
        <w:rPr>
          <w:rFonts w:eastAsia="Times New Roman"/>
          <w:sz w:val="20"/>
          <w:szCs w:val="20"/>
        </w:rPr>
        <w:t>press. https://www.who.int/news-room/fact-sheets/detail/social-determinants-of-health</w:t>
      </w:r>
    </w:p>
    <w:p w14:paraId="0000004F" w14:textId="5A84252F" w:rsidR="00964328" w:rsidRPr="00866DF7" w:rsidRDefault="00A70E37" w:rsidP="00F60A1B">
      <w:pPr>
        <w:spacing w:before="240" w:after="240" w:line="480" w:lineRule="auto"/>
        <w:ind w:left="720" w:hanging="720"/>
        <w:jc w:val="both"/>
        <w:rPr>
          <w:rStyle w:val="Hyperlink"/>
          <w:color w:val="auto"/>
          <w:sz w:val="20"/>
          <w:szCs w:val="20"/>
          <w:u w:val="none"/>
        </w:rPr>
      </w:pPr>
      <w:r w:rsidRPr="00866DF7">
        <w:rPr>
          <w:rFonts w:eastAsia="Times New Roman"/>
          <w:sz w:val="20"/>
          <w:szCs w:val="20"/>
        </w:rPr>
        <w:t xml:space="preserve">WHO. (2026). </w:t>
      </w:r>
      <w:r w:rsidR="00C92FE3" w:rsidRPr="00866DF7">
        <w:rPr>
          <w:rFonts w:eastAsia="Times New Roman"/>
          <w:sz w:val="20"/>
          <w:szCs w:val="20"/>
        </w:rPr>
        <w:t xml:space="preserve"> </w:t>
      </w:r>
      <w:r w:rsidRPr="00866DF7">
        <w:rPr>
          <w:rFonts w:eastAsia="Times New Roman"/>
          <w:sz w:val="20"/>
          <w:szCs w:val="20"/>
        </w:rPr>
        <w:t xml:space="preserve">Health promotion. </w:t>
      </w:r>
      <w:r w:rsidR="00C92FE3" w:rsidRPr="00866DF7">
        <w:rPr>
          <w:rFonts w:eastAsia="Times New Roman"/>
          <w:sz w:val="20"/>
          <w:szCs w:val="20"/>
        </w:rPr>
        <w:t xml:space="preserve">WHO </w:t>
      </w:r>
      <w:r w:rsidRPr="00866DF7">
        <w:rPr>
          <w:rFonts w:eastAsia="Times New Roman"/>
          <w:sz w:val="20"/>
          <w:szCs w:val="20"/>
        </w:rPr>
        <w:t xml:space="preserve">press. </w:t>
      </w:r>
      <w:hyperlink r:id="rId98" w:anchor="tab=tab_1" w:history="1">
        <w:r w:rsidRPr="00866DF7">
          <w:rPr>
            <w:rStyle w:val="Hyperlink"/>
            <w:color w:val="auto"/>
            <w:sz w:val="20"/>
            <w:szCs w:val="20"/>
            <w:u w:val="none"/>
          </w:rPr>
          <w:t>https://www.who.int/health-topics/health-promotion#tab=tab_1</w:t>
        </w:r>
      </w:hyperlink>
    </w:p>
    <w:p w14:paraId="63B4E5BD" w14:textId="6F387DB3" w:rsidR="00466E48" w:rsidRPr="00866DF7" w:rsidRDefault="00466E48" w:rsidP="00F60A1B">
      <w:pPr>
        <w:spacing w:before="240" w:after="240" w:line="480" w:lineRule="auto"/>
        <w:ind w:left="720" w:hanging="720"/>
        <w:jc w:val="both"/>
        <w:rPr>
          <w:rFonts w:eastAsia="Helvetica Neue"/>
          <w:sz w:val="20"/>
          <w:szCs w:val="20"/>
        </w:rPr>
      </w:pPr>
      <w:r w:rsidRPr="00866DF7">
        <w:rPr>
          <w:rFonts w:eastAsia="Helvetica Neue"/>
          <w:sz w:val="20"/>
          <w:szCs w:val="20"/>
        </w:rPr>
        <w:t xml:space="preserve">Wilker, E. H., Osman, M., &amp; Weisskopf, M. G. (2023). Ambient air pollution and clinical dementia: systematic review and meta-analysis. </w:t>
      </w:r>
      <w:r w:rsidRPr="00866DF7">
        <w:rPr>
          <w:rFonts w:eastAsia="Helvetica Neue"/>
          <w:i/>
          <w:iCs/>
          <w:sz w:val="20"/>
          <w:szCs w:val="20"/>
        </w:rPr>
        <w:t>BMJ (Clinical research ed.)</w:t>
      </w:r>
      <w:r w:rsidRPr="00866DF7">
        <w:rPr>
          <w:rFonts w:eastAsia="Helvetica Neue"/>
          <w:sz w:val="20"/>
          <w:szCs w:val="20"/>
        </w:rPr>
        <w:t xml:space="preserve">, </w:t>
      </w:r>
      <w:r w:rsidRPr="00866DF7">
        <w:rPr>
          <w:rFonts w:eastAsia="Helvetica Neue"/>
          <w:i/>
          <w:iCs/>
          <w:sz w:val="20"/>
          <w:szCs w:val="20"/>
        </w:rPr>
        <w:t>381</w:t>
      </w:r>
      <w:r w:rsidRPr="00866DF7">
        <w:rPr>
          <w:rFonts w:eastAsia="Helvetica Neue"/>
          <w:sz w:val="20"/>
          <w:szCs w:val="20"/>
        </w:rPr>
        <w:t xml:space="preserve">, e071620. </w:t>
      </w:r>
      <w:hyperlink r:id="rId99" w:history="1">
        <w:r w:rsidRPr="00866DF7">
          <w:rPr>
            <w:rStyle w:val="Hyperlink"/>
            <w:rFonts w:eastAsia="Helvetica Neue"/>
            <w:color w:val="auto"/>
            <w:sz w:val="20"/>
            <w:szCs w:val="20"/>
            <w:u w:val="none"/>
          </w:rPr>
          <w:t>https://doi.org/10.1136/bmj-2022-071620</w:t>
        </w:r>
      </w:hyperlink>
    </w:p>
    <w:p w14:paraId="2E576B09" w14:textId="58AAF91A" w:rsidR="005D2C49" w:rsidRPr="00866DF7" w:rsidRDefault="00300E62" w:rsidP="00F60A1B">
      <w:pPr>
        <w:spacing w:before="240" w:after="240" w:line="480" w:lineRule="auto"/>
        <w:ind w:left="720" w:hanging="720"/>
        <w:jc w:val="both"/>
        <w:rPr>
          <w:rFonts w:eastAsia="Times New Roman"/>
          <w:sz w:val="20"/>
          <w:szCs w:val="20"/>
        </w:rPr>
      </w:pPr>
      <w:r w:rsidRPr="00866DF7">
        <w:rPr>
          <w:rFonts w:eastAsia="Helvetica Neue"/>
          <w:sz w:val="20"/>
          <w:szCs w:val="20"/>
        </w:rPr>
        <w:t xml:space="preserve">Wittenberg, R., Knapp, M., Hu, B., Comas-Herrera, A., King, D., Rehill, A., Shi, C., Banerjee, S., Patel, A., Jagger, C., &amp; Kingston, A. (2019). The costs of dementia in England. </w:t>
      </w:r>
      <w:r w:rsidRPr="00866DF7">
        <w:rPr>
          <w:rFonts w:eastAsia="Helvetica Neue"/>
          <w:i/>
          <w:iCs/>
          <w:sz w:val="20"/>
          <w:szCs w:val="20"/>
        </w:rPr>
        <w:t>International journal of geriatric psychiatry</w:t>
      </w:r>
      <w:r w:rsidRPr="00866DF7">
        <w:rPr>
          <w:rFonts w:eastAsia="Helvetica Neue"/>
          <w:sz w:val="20"/>
          <w:szCs w:val="20"/>
        </w:rPr>
        <w:t xml:space="preserve">, </w:t>
      </w:r>
      <w:r w:rsidRPr="00866DF7">
        <w:rPr>
          <w:rFonts w:eastAsia="Helvetica Neue"/>
          <w:i/>
          <w:iCs/>
          <w:sz w:val="20"/>
          <w:szCs w:val="20"/>
        </w:rPr>
        <w:t>34</w:t>
      </w:r>
      <w:r w:rsidRPr="00866DF7">
        <w:rPr>
          <w:rFonts w:eastAsia="Helvetica Neue"/>
          <w:sz w:val="20"/>
          <w:szCs w:val="20"/>
        </w:rPr>
        <w:t xml:space="preserve">(7), 1095–1103. </w:t>
      </w:r>
      <w:hyperlink r:id="rId100" w:history="1">
        <w:r w:rsidR="005D2C49" w:rsidRPr="00866DF7">
          <w:rPr>
            <w:rStyle w:val="Hyperlink"/>
            <w:rFonts w:eastAsia="Helvetica Neue"/>
            <w:color w:val="auto"/>
            <w:sz w:val="20"/>
            <w:szCs w:val="20"/>
            <w:u w:val="none"/>
          </w:rPr>
          <w:t>https://doi.org/10.1002/gps.5113</w:t>
        </w:r>
      </w:hyperlink>
    </w:p>
    <w:p w14:paraId="280299B7" w14:textId="42F906EA" w:rsidR="00300E62" w:rsidRPr="005E7809" w:rsidRDefault="00300E62" w:rsidP="00F60A1B">
      <w:pPr>
        <w:spacing w:before="240" w:after="240" w:line="480" w:lineRule="auto"/>
        <w:ind w:left="720" w:hanging="720"/>
        <w:jc w:val="both"/>
        <w:rPr>
          <w:rFonts w:eastAsia="Times New Roman"/>
          <w:sz w:val="20"/>
          <w:szCs w:val="20"/>
        </w:rPr>
      </w:pPr>
      <w:bookmarkStart w:id="8" w:name="_jo3tfd1rg1ap" w:colFirst="0" w:colLast="0"/>
      <w:bookmarkStart w:id="9" w:name="_oifxsy5y3e1d" w:colFirst="0" w:colLast="0"/>
      <w:bookmarkStart w:id="10" w:name="_izae3mpd41ro" w:colFirst="0" w:colLast="0"/>
      <w:bookmarkStart w:id="11" w:name="_vwbde6hx8j7k" w:colFirst="0" w:colLast="0"/>
      <w:bookmarkEnd w:id="8"/>
      <w:bookmarkEnd w:id="9"/>
      <w:bookmarkEnd w:id="10"/>
      <w:bookmarkEnd w:id="11"/>
      <w:r w:rsidRPr="00866DF7">
        <w:rPr>
          <w:rFonts w:eastAsia="Helvetica Neue"/>
          <w:sz w:val="20"/>
          <w:szCs w:val="20"/>
        </w:rPr>
        <w:t xml:space="preserve">Wu, Y. T., Prina, A. M., &amp; </w:t>
      </w:r>
      <w:proofErr w:type="spellStart"/>
      <w:r w:rsidRPr="00866DF7">
        <w:rPr>
          <w:rFonts w:eastAsia="Helvetica Neue"/>
          <w:sz w:val="20"/>
          <w:szCs w:val="20"/>
        </w:rPr>
        <w:t>Brayne</w:t>
      </w:r>
      <w:proofErr w:type="spellEnd"/>
      <w:r w:rsidRPr="00866DF7">
        <w:rPr>
          <w:rFonts w:eastAsia="Helvetica Neue"/>
          <w:sz w:val="20"/>
          <w:szCs w:val="20"/>
        </w:rPr>
        <w:t xml:space="preserve">, C. (2015). The association between community environment and cognitive function: a systematic review. </w:t>
      </w:r>
      <w:r w:rsidRPr="00866DF7">
        <w:rPr>
          <w:rFonts w:eastAsia="Helvetica Neue"/>
          <w:i/>
          <w:iCs/>
          <w:sz w:val="20"/>
          <w:szCs w:val="20"/>
        </w:rPr>
        <w:t>Social psychiatry and psychiatric epidemiology</w:t>
      </w:r>
      <w:r w:rsidRPr="00866DF7">
        <w:rPr>
          <w:rFonts w:eastAsia="Helvetica Neue"/>
          <w:sz w:val="20"/>
          <w:szCs w:val="20"/>
        </w:rPr>
        <w:t xml:space="preserve">, </w:t>
      </w:r>
      <w:r w:rsidRPr="00866DF7">
        <w:rPr>
          <w:rFonts w:eastAsia="Helvetica Neue"/>
          <w:i/>
          <w:iCs/>
          <w:sz w:val="20"/>
          <w:szCs w:val="20"/>
        </w:rPr>
        <w:t>50</w:t>
      </w:r>
      <w:r w:rsidRPr="00866DF7">
        <w:rPr>
          <w:rFonts w:eastAsia="Helvetica Neue"/>
          <w:sz w:val="20"/>
          <w:szCs w:val="20"/>
        </w:rPr>
        <w:t>(3), 351–362. https://doi.org/10.1007/s00127-014-0945-6</w:t>
      </w:r>
      <w:bookmarkStart w:id="12" w:name="_dxbd51mgz60y" w:colFirst="0" w:colLast="0"/>
      <w:bookmarkStart w:id="13" w:name="_pdmcj6crnw48" w:colFirst="0" w:colLast="0"/>
      <w:bookmarkStart w:id="14" w:name="_j501zg6erycc" w:colFirst="0" w:colLast="0"/>
      <w:bookmarkStart w:id="15" w:name="_cz40yosml03v" w:colFirst="0" w:colLast="0"/>
      <w:bookmarkStart w:id="16" w:name="_k58ahfnw42t" w:colFirst="0" w:colLast="0"/>
      <w:bookmarkEnd w:id="12"/>
      <w:bookmarkEnd w:id="13"/>
      <w:bookmarkEnd w:id="14"/>
      <w:bookmarkEnd w:id="15"/>
      <w:bookmarkEnd w:id="16"/>
      <w:r w:rsidRPr="00E93DC5">
        <w:rPr>
          <w:sz w:val="20"/>
          <w:szCs w:val="20"/>
        </w:rPr>
        <w:t xml:space="preserve">                                                                </w:t>
      </w:r>
    </w:p>
    <w:sectPr w:rsidR="00300E62" w:rsidRPr="005E7809">
      <w:headerReference w:type="even" r:id="rId101"/>
      <w:headerReference w:type="default" r:id="rId102"/>
      <w:footerReference w:type="even" r:id="rId103"/>
      <w:footerReference w:type="default" r:id="rId104"/>
      <w:headerReference w:type="first" r:id="rId105"/>
      <w:footerReference w:type="first" r:id="rId10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11C92" w14:textId="77777777" w:rsidR="00083E4C" w:rsidRDefault="00083E4C" w:rsidP="00E42200">
      <w:pPr>
        <w:spacing w:line="240" w:lineRule="auto"/>
      </w:pPr>
      <w:r>
        <w:separator/>
      </w:r>
    </w:p>
  </w:endnote>
  <w:endnote w:type="continuationSeparator" w:id="0">
    <w:p w14:paraId="627B8B83" w14:textId="77777777" w:rsidR="00083E4C" w:rsidRDefault="00083E4C" w:rsidP="00E42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6832D9C-3A63-4DD1-BD47-F734D81901D3}"/>
  </w:font>
  <w:font w:name="Calibri">
    <w:panose1 w:val="020F0502020204030204"/>
    <w:charset w:val="00"/>
    <w:family w:val="swiss"/>
    <w:pitch w:val="variable"/>
    <w:sig w:usb0="E4002EFF" w:usb1="C000247B" w:usb2="00000009" w:usb3="00000000" w:csb0="000001FF" w:csb1="00000000"/>
    <w:embedRegular r:id="rId2" w:fontKey="{C8179A99-510C-4654-BDC2-810C7786794F}"/>
  </w:font>
  <w:font w:name="Helvetica Neue">
    <w:altName w:val="Times New Roman"/>
    <w:charset w:val="00"/>
    <w:family w:val="auto"/>
    <w:pitch w:val="default"/>
    <w:embedRegular r:id="rId3" w:fontKey="{E5F1ACA1-B9D5-41C5-ABF3-DA523ADE0D95}"/>
    <w:embedItalic r:id="rId4" w:fontKey="{BBCD3D26-39F1-40E1-8408-96AF5F1AEBDB}"/>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5" w:fontKey="{84717EA2-67E2-4A93-B31A-9C5284833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6172" w14:textId="77777777" w:rsidR="00E42200" w:rsidRDefault="00E42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7A42D" w14:textId="77777777" w:rsidR="00E42200" w:rsidRDefault="00E42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E8E9" w14:textId="77777777" w:rsidR="00E42200" w:rsidRDefault="00E42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0421C" w14:textId="77777777" w:rsidR="00083E4C" w:rsidRDefault="00083E4C" w:rsidP="00E42200">
      <w:pPr>
        <w:spacing w:line="240" w:lineRule="auto"/>
      </w:pPr>
      <w:r>
        <w:separator/>
      </w:r>
    </w:p>
  </w:footnote>
  <w:footnote w:type="continuationSeparator" w:id="0">
    <w:p w14:paraId="66298036" w14:textId="77777777" w:rsidR="00083E4C" w:rsidRDefault="00083E4C" w:rsidP="00E422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939F" w14:textId="65FFE964" w:rsidR="00E42200" w:rsidRDefault="00000000">
    <w:pPr>
      <w:pStyle w:val="Header"/>
    </w:pPr>
    <w:r>
      <w:rPr>
        <w:noProof/>
      </w:rPr>
      <w:pict w14:anchorId="70F79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79001"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1BFF" w14:textId="39CB76C4" w:rsidR="00E42200" w:rsidRDefault="00000000">
    <w:pPr>
      <w:pStyle w:val="Header"/>
    </w:pPr>
    <w:r>
      <w:rPr>
        <w:noProof/>
      </w:rPr>
      <w:pict w14:anchorId="6FD0D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79002"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1C06" w14:textId="2F1A7765" w:rsidR="00E42200" w:rsidRDefault="00000000">
    <w:pPr>
      <w:pStyle w:val="Header"/>
    </w:pPr>
    <w:r>
      <w:rPr>
        <w:noProof/>
      </w:rPr>
      <w:pict w14:anchorId="75F0B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79000"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152C6"/>
    <w:multiLevelType w:val="multilevel"/>
    <w:tmpl w:val="95BCF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655E3B"/>
    <w:multiLevelType w:val="hybridMultilevel"/>
    <w:tmpl w:val="C96AA284"/>
    <w:lvl w:ilvl="0" w:tplc="24286DF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C626E"/>
    <w:multiLevelType w:val="multilevel"/>
    <w:tmpl w:val="AA6ECC14"/>
    <w:lvl w:ilvl="0">
      <w:start w:val="1"/>
      <w:numFmt w:val="decimal"/>
      <w:lvlText w:val="%1."/>
      <w:lvlJc w:val="left"/>
      <w:pPr>
        <w:ind w:left="288" w:hanging="288"/>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92206F1"/>
    <w:multiLevelType w:val="hybridMultilevel"/>
    <w:tmpl w:val="7FE87008"/>
    <w:lvl w:ilvl="0" w:tplc="FF10AB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320084"/>
    <w:multiLevelType w:val="multilevel"/>
    <w:tmpl w:val="CE24C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027A75"/>
    <w:multiLevelType w:val="multilevel"/>
    <w:tmpl w:val="4CB8B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0B200A4"/>
    <w:multiLevelType w:val="multilevel"/>
    <w:tmpl w:val="A0EE5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17F4407"/>
    <w:multiLevelType w:val="multilevel"/>
    <w:tmpl w:val="15FCC4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48424AE"/>
    <w:multiLevelType w:val="hybridMultilevel"/>
    <w:tmpl w:val="8F3EBBD4"/>
    <w:lvl w:ilvl="0" w:tplc="92E4CBCA">
      <w:start w:val="4"/>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7665798">
    <w:abstractNumId w:val="6"/>
  </w:num>
  <w:num w:numId="2" w16cid:durableId="1877691753">
    <w:abstractNumId w:val="5"/>
  </w:num>
  <w:num w:numId="3" w16cid:durableId="468978102">
    <w:abstractNumId w:val="7"/>
  </w:num>
  <w:num w:numId="4" w16cid:durableId="1848014536">
    <w:abstractNumId w:val="2"/>
  </w:num>
  <w:num w:numId="5" w16cid:durableId="139275735">
    <w:abstractNumId w:val="3"/>
  </w:num>
  <w:num w:numId="6" w16cid:durableId="663359129">
    <w:abstractNumId w:val="8"/>
  </w:num>
  <w:num w:numId="7" w16cid:durableId="1903054073">
    <w:abstractNumId w:val="1"/>
  </w:num>
  <w:num w:numId="8" w16cid:durableId="916748627">
    <w:abstractNumId w:val="4"/>
  </w:num>
  <w:num w:numId="9" w16cid:durableId="1440098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64328"/>
    <w:rsid w:val="00011E62"/>
    <w:rsid w:val="00017187"/>
    <w:rsid w:val="00025A68"/>
    <w:rsid w:val="0003157B"/>
    <w:rsid w:val="000506D3"/>
    <w:rsid w:val="000673E7"/>
    <w:rsid w:val="00074D41"/>
    <w:rsid w:val="00083E4C"/>
    <w:rsid w:val="00093815"/>
    <w:rsid w:val="0009503E"/>
    <w:rsid w:val="000A2B77"/>
    <w:rsid w:val="000A3A4A"/>
    <w:rsid w:val="000A756B"/>
    <w:rsid w:val="000A7D77"/>
    <w:rsid w:val="000B0C1F"/>
    <w:rsid w:val="000B6E29"/>
    <w:rsid w:val="00111CDB"/>
    <w:rsid w:val="001145DB"/>
    <w:rsid w:val="00125A9A"/>
    <w:rsid w:val="001533A0"/>
    <w:rsid w:val="001541DD"/>
    <w:rsid w:val="001573CE"/>
    <w:rsid w:val="0017661E"/>
    <w:rsid w:val="00190369"/>
    <w:rsid w:val="001A0EB9"/>
    <w:rsid w:val="001A2393"/>
    <w:rsid w:val="001B795F"/>
    <w:rsid w:val="001B7A6C"/>
    <w:rsid w:val="001D6CEF"/>
    <w:rsid w:val="001D70BA"/>
    <w:rsid w:val="001E598C"/>
    <w:rsid w:val="001E5DD7"/>
    <w:rsid w:val="001F6132"/>
    <w:rsid w:val="00222C80"/>
    <w:rsid w:val="002444BA"/>
    <w:rsid w:val="00256157"/>
    <w:rsid w:val="00270FCB"/>
    <w:rsid w:val="0028235B"/>
    <w:rsid w:val="002A56E6"/>
    <w:rsid w:val="002C000B"/>
    <w:rsid w:val="002C4950"/>
    <w:rsid w:val="002C4D93"/>
    <w:rsid w:val="002C79C6"/>
    <w:rsid w:val="002D492A"/>
    <w:rsid w:val="002E55E5"/>
    <w:rsid w:val="002F52D6"/>
    <w:rsid w:val="00300E62"/>
    <w:rsid w:val="0030147B"/>
    <w:rsid w:val="0030160A"/>
    <w:rsid w:val="00320853"/>
    <w:rsid w:val="00324D10"/>
    <w:rsid w:val="00332F2F"/>
    <w:rsid w:val="00337BA8"/>
    <w:rsid w:val="00357D72"/>
    <w:rsid w:val="00361BE3"/>
    <w:rsid w:val="00366E49"/>
    <w:rsid w:val="00374268"/>
    <w:rsid w:val="00383A36"/>
    <w:rsid w:val="00384D7A"/>
    <w:rsid w:val="00390142"/>
    <w:rsid w:val="003A4D81"/>
    <w:rsid w:val="003A6CE7"/>
    <w:rsid w:val="003B1935"/>
    <w:rsid w:val="003B493F"/>
    <w:rsid w:val="003D5824"/>
    <w:rsid w:val="003F6C22"/>
    <w:rsid w:val="00424EEE"/>
    <w:rsid w:val="00450961"/>
    <w:rsid w:val="00466E48"/>
    <w:rsid w:val="00471845"/>
    <w:rsid w:val="00475F86"/>
    <w:rsid w:val="004B3C1E"/>
    <w:rsid w:val="004C0129"/>
    <w:rsid w:val="004C1C47"/>
    <w:rsid w:val="004C4E39"/>
    <w:rsid w:val="004C7CED"/>
    <w:rsid w:val="004D12C8"/>
    <w:rsid w:val="004D5854"/>
    <w:rsid w:val="004F16C9"/>
    <w:rsid w:val="004F6A1A"/>
    <w:rsid w:val="004F74F9"/>
    <w:rsid w:val="0053430E"/>
    <w:rsid w:val="0054427C"/>
    <w:rsid w:val="00547C72"/>
    <w:rsid w:val="005518DA"/>
    <w:rsid w:val="00553689"/>
    <w:rsid w:val="00557230"/>
    <w:rsid w:val="005602E0"/>
    <w:rsid w:val="00565C28"/>
    <w:rsid w:val="00565CAB"/>
    <w:rsid w:val="00566265"/>
    <w:rsid w:val="0056634C"/>
    <w:rsid w:val="00573EBB"/>
    <w:rsid w:val="005825A4"/>
    <w:rsid w:val="00596B10"/>
    <w:rsid w:val="005A04B6"/>
    <w:rsid w:val="005B2E7B"/>
    <w:rsid w:val="005C19D8"/>
    <w:rsid w:val="005C1BEA"/>
    <w:rsid w:val="005D2C49"/>
    <w:rsid w:val="005E68F1"/>
    <w:rsid w:val="005E7809"/>
    <w:rsid w:val="005F693C"/>
    <w:rsid w:val="005F6DD0"/>
    <w:rsid w:val="005F77A4"/>
    <w:rsid w:val="00600FC3"/>
    <w:rsid w:val="006042F0"/>
    <w:rsid w:val="00607344"/>
    <w:rsid w:val="00607718"/>
    <w:rsid w:val="0063234E"/>
    <w:rsid w:val="0064041B"/>
    <w:rsid w:val="00640484"/>
    <w:rsid w:val="00643169"/>
    <w:rsid w:val="00654D85"/>
    <w:rsid w:val="00672807"/>
    <w:rsid w:val="006942E1"/>
    <w:rsid w:val="00695ABB"/>
    <w:rsid w:val="006A4514"/>
    <w:rsid w:val="006A71F5"/>
    <w:rsid w:val="006B4DE7"/>
    <w:rsid w:val="006B6DF6"/>
    <w:rsid w:val="006B7273"/>
    <w:rsid w:val="006D5202"/>
    <w:rsid w:val="006D5F39"/>
    <w:rsid w:val="006E2E44"/>
    <w:rsid w:val="006F182F"/>
    <w:rsid w:val="00700868"/>
    <w:rsid w:val="00700D69"/>
    <w:rsid w:val="00715595"/>
    <w:rsid w:val="00731207"/>
    <w:rsid w:val="007326DF"/>
    <w:rsid w:val="007337C4"/>
    <w:rsid w:val="00734F75"/>
    <w:rsid w:val="00743012"/>
    <w:rsid w:val="00754D30"/>
    <w:rsid w:val="00754FCA"/>
    <w:rsid w:val="007577D8"/>
    <w:rsid w:val="0078251A"/>
    <w:rsid w:val="007B0D82"/>
    <w:rsid w:val="007B16C8"/>
    <w:rsid w:val="007C0A99"/>
    <w:rsid w:val="007C0D36"/>
    <w:rsid w:val="007C368D"/>
    <w:rsid w:val="007E0F8D"/>
    <w:rsid w:val="00814566"/>
    <w:rsid w:val="0082325B"/>
    <w:rsid w:val="00843C6B"/>
    <w:rsid w:val="008441AD"/>
    <w:rsid w:val="00844622"/>
    <w:rsid w:val="00844FCE"/>
    <w:rsid w:val="00845732"/>
    <w:rsid w:val="00866DF7"/>
    <w:rsid w:val="00872D94"/>
    <w:rsid w:val="008741DC"/>
    <w:rsid w:val="008749EA"/>
    <w:rsid w:val="00881AD1"/>
    <w:rsid w:val="0088716A"/>
    <w:rsid w:val="00887305"/>
    <w:rsid w:val="00892B81"/>
    <w:rsid w:val="008A1B3F"/>
    <w:rsid w:val="008C6120"/>
    <w:rsid w:val="008C7BB1"/>
    <w:rsid w:val="008D3DA8"/>
    <w:rsid w:val="008D569F"/>
    <w:rsid w:val="008D6B69"/>
    <w:rsid w:val="008F4734"/>
    <w:rsid w:val="00916DA2"/>
    <w:rsid w:val="00917586"/>
    <w:rsid w:val="009208B9"/>
    <w:rsid w:val="00927EC5"/>
    <w:rsid w:val="009347D6"/>
    <w:rsid w:val="0095210F"/>
    <w:rsid w:val="00964328"/>
    <w:rsid w:val="0096438B"/>
    <w:rsid w:val="009968E1"/>
    <w:rsid w:val="009A1776"/>
    <w:rsid w:val="009A2D49"/>
    <w:rsid w:val="009B207D"/>
    <w:rsid w:val="009B2D78"/>
    <w:rsid w:val="009B3E2A"/>
    <w:rsid w:val="009C5626"/>
    <w:rsid w:val="009D4E82"/>
    <w:rsid w:val="009E1A34"/>
    <w:rsid w:val="009F04CC"/>
    <w:rsid w:val="00A06174"/>
    <w:rsid w:val="00A07794"/>
    <w:rsid w:val="00A1276D"/>
    <w:rsid w:val="00A1453F"/>
    <w:rsid w:val="00A15776"/>
    <w:rsid w:val="00A454BD"/>
    <w:rsid w:val="00A67349"/>
    <w:rsid w:val="00A70E37"/>
    <w:rsid w:val="00A84615"/>
    <w:rsid w:val="00A90B1F"/>
    <w:rsid w:val="00A90F6D"/>
    <w:rsid w:val="00A947A3"/>
    <w:rsid w:val="00A978AA"/>
    <w:rsid w:val="00A97AD7"/>
    <w:rsid w:val="00AA5712"/>
    <w:rsid w:val="00AB16A7"/>
    <w:rsid w:val="00AB6E21"/>
    <w:rsid w:val="00AC2801"/>
    <w:rsid w:val="00AD3177"/>
    <w:rsid w:val="00AD7563"/>
    <w:rsid w:val="00AE6917"/>
    <w:rsid w:val="00B04D6E"/>
    <w:rsid w:val="00B056B0"/>
    <w:rsid w:val="00B07390"/>
    <w:rsid w:val="00B13AD3"/>
    <w:rsid w:val="00B22151"/>
    <w:rsid w:val="00B31D85"/>
    <w:rsid w:val="00B334AB"/>
    <w:rsid w:val="00B33D62"/>
    <w:rsid w:val="00B34F8D"/>
    <w:rsid w:val="00B427E2"/>
    <w:rsid w:val="00B60B50"/>
    <w:rsid w:val="00B6197F"/>
    <w:rsid w:val="00B65365"/>
    <w:rsid w:val="00B75957"/>
    <w:rsid w:val="00B82B01"/>
    <w:rsid w:val="00B84787"/>
    <w:rsid w:val="00BA1094"/>
    <w:rsid w:val="00BA2D40"/>
    <w:rsid w:val="00BE6CA0"/>
    <w:rsid w:val="00BF103D"/>
    <w:rsid w:val="00C03C76"/>
    <w:rsid w:val="00C051B3"/>
    <w:rsid w:val="00C068C5"/>
    <w:rsid w:val="00C27FFC"/>
    <w:rsid w:val="00C3196A"/>
    <w:rsid w:val="00C34AD5"/>
    <w:rsid w:val="00C36C61"/>
    <w:rsid w:val="00C668D5"/>
    <w:rsid w:val="00C719FD"/>
    <w:rsid w:val="00C749C4"/>
    <w:rsid w:val="00C8166E"/>
    <w:rsid w:val="00C92FE3"/>
    <w:rsid w:val="00CB0ECA"/>
    <w:rsid w:val="00CE3F05"/>
    <w:rsid w:val="00CF1A11"/>
    <w:rsid w:val="00D0058C"/>
    <w:rsid w:val="00D072C1"/>
    <w:rsid w:val="00D259B7"/>
    <w:rsid w:val="00D2707E"/>
    <w:rsid w:val="00D36E57"/>
    <w:rsid w:val="00D417BF"/>
    <w:rsid w:val="00D428EC"/>
    <w:rsid w:val="00D44A72"/>
    <w:rsid w:val="00D52A2B"/>
    <w:rsid w:val="00D549C5"/>
    <w:rsid w:val="00D653CE"/>
    <w:rsid w:val="00D73156"/>
    <w:rsid w:val="00D7615B"/>
    <w:rsid w:val="00D922A5"/>
    <w:rsid w:val="00DA103D"/>
    <w:rsid w:val="00DB2C1C"/>
    <w:rsid w:val="00DB547C"/>
    <w:rsid w:val="00DB5885"/>
    <w:rsid w:val="00DC7AE4"/>
    <w:rsid w:val="00DD21BB"/>
    <w:rsid w:val="00DE23B2"/>
    <w:rsid w:val="00E146F3"/>
    <w:rsid w:val="00E16063"/>
    <w:rsid w:val="00E2108E"/>
    <w:rsid w:val="00E24314"/>
    <w:rsid w:val="00E258BC"/>
    <w:rsid w:val="00E26EBD"/>
    <w:rsid w:val="00E411A6"/>
    <w:rsid w:val="00E42200"/>
    <w:rsid w:val="00E93DC5"/>
    <w:rsid w:val="00E94F84"/>
    <w:rsid w:val="00EA0C7C"/>
    <w:rsid w:val="00EA2048"/>
    <w:rsid w:val="00EA3276"/>
    <w:rsid w:val="00EB4FA9"/>
    <w:rsid w:val="00EC1B69"/>
    <w:rsid w:val="00EC1C6E"/>
    <w:rsid w:val="00EC6D07"/>
    <w:rsid w:val="00ED4B5B"/>
    <w:rsid w:val="00ED5BDA"/>
    <w:rsid w:val="00EE5DF8"/>
    <w:rsid w:val="00EF54ED"/>
    <w:rsid w:val="00F12A41"/>
    <w:rsid w:val="00F14980"/>
    <w:rsid w:val="00F3490B"/>
    <w:rsid w:val="00F47706"/>
    <w:rsid w:val="00F53619"/>
    <w:rsid w:val="00F54D8C"/>
    <w:rsid w:val="00F57010"/>
    <w:rsid w:val="00F603E4"/>
    <w:rsid w:val="00F60A1B"/>
    <w:rsid w:val="00F71C6D"/>
    <w:rsid w:val="00F83507"/>
    <w:rsid w:val="00F83F16"/>
    <w:rsid w:val="00F9180E"/>
    <w:rsid w:val="00FA5D60"/>
    <w:rsid w:val="00FC6730"/>
    <w:rsid w:val="00FD3381"/>
    <w:rsid w:val="00FF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15BA"/>
  <w15:docId w15:val="{EE00F405-7427-45B9-AA4B-054AE115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A1094"/>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09503E"/>
    <w:rPr>
      <w:color w:val="0000FF"/>
      <w:u w:val="single"/>
    </w:rPr>
  </w:style>
  <w:style w:type="paragraph" w:styleId="ListParagraph">
    <w:name w:val="List Paragraph"/>
    <w:basedOn w:val="Normal"/>
    <w:uiPriority w:val="34"/>
    <w:qFormat/>
    <w:rsid w:val="00332F2F"/>
    <w:pPr>
      <w:ind w:left="720"/>
      <w:contextualSpacing/>
    </w:pPr>
  </w:style>
  <w:style w:type="paragraph" w:styleId="Quote">
    <w:name w:val="Quote"/>
    <w:basedOn w:val="Normal"/>
    <w:next w:val="Normal"/>
    <w:link w:val="QuoteChar"/>
    <w:uiPriority w:val="29"/>
    <w:qFormat/>
    <w:rsid w:val="001B7A6C"/>
    <w:rPr>
      <w:i/>
      <w:iCs/>
      <w:color w:val="000000" w:themeColor="text1"/>
    </w:rPr>
  </w:style>
  <w:style w:type="character" w:customStyle="1" w:styleId="QuoteChar">
    <w:name w:val="Quote Char"/>
    <w:basedOn w:val="DefaultParagraphFont"/>
    <w:link w:val="Quote"/>
    <w:uiPriority w:val="29"/>
    <w:rsid w:val="001B7A6C"/>
    <w:rPr>
      <w:i/>
      <w:iCs/>
      <w:color w:val="000000" w:themeColor="text1"/>
    </w:rPr>
  </w:style>
  <w:style w:type="character" w:styleId="FollowedHyperlink">
    <w:name w:val="FollowedHyperlink"/>
    <w:basedOn w:val="DefaultParagraphFont"/>
    <w:uiPriority w:val="99"/>
    <w:semiHidden/>
    <w:unhideWhenUsed/>
    <w:rsid w:val="003F6C22"/>
    <w:rPr>
      <w:color w:val="800080" w:themeColor="followedHyperlink"/>
      <w:u w:val="single"/>
    </w:rPr>
  </w:style>
  <w:style w:type="table" w:styleId="TableGrid">
    <w:name w:val="Table Grid"/>
    <w:basedOn w:val="TableNormal"/>
    <w:uiPriority w:val="39"/>
    <w:rsid w:val="001533A0"/>
    <w:pPr>
      <w:spacing w:line="240" w:lineRule="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200"/>
    <w:pPr>
      <w:tabs>
        <w:tab w:val="center" w:pos="4680"/>
        <w:tab w:val="right" w:pos="9360"/>
      </w:tabs>
      <w:spacing w:line="240" w:lineRule="auto"/>
    </w:pPr>
  </w:style>
  <w:style w:type="character" w:customStyle="1" w:styleId="HeaderChar">
    <w:name w:val="Header Char"/>
    <w:basedOn w:val="DefaultParagraphFont"/>
    <w:link w:val="Header"/>
    <w:uiPriority w:val="99"/>
    <w:rsid w:val="00E42200"/>
  </w:style>
  <w:style w:type="paragraph" w:styleId="Footer">
    <w:name w:val="footer"/>
    <w:basedOn w:val="Normal"/>
    <w:link w:val="FooterChar"/>
    <w:uiPriority w:val="99"/>
    <w:unhideWhenUsed/>
    <w:rsid w:val="00E42200"/>
    <w:pPr>
      <w:tabs>
        <w:tab w:val="center" w:pos="4680"/>
        <w:tab w:val="right" w:pos="9360"/>
      </w:tabs>
      <w:spacing w:line="240" w:lineRule="auto"/>
    </w:pPr>
  </w:style>
  <w:style w:type="character" w:customStyle="1" w:styleId="FooterChar">
    <w:name w:val="Footer Char"/>
    <w:basedOn w:val="DefaultParagraphFont"/>
    <w:link w:val="Footer"/>
    <w:uiPriority w:val="99"/>
    <w:rsid w:val="00E42200"/>
  </w:style>
  <w:style w:type="paragraph" w:styleId="NoSpacing">
    <w:name w:val="No Spacing"/>
    <w:uiPriority w:val="1"/>
    <w:qFormat/>
    <w:rsid w:val="00F53619"/>
    <w:pPr>
      <w:spacing w:line="240" w:lineRule="auto"/>
    </w:pPr>
    <w:rPr>
      <w:rFonts w:asciiTheme="minorHAnsi" w:eastAsiaTheme="minorHAnsi" w:hAnsiTheme="minorHAnsi" w:cstheme="minorBidi"/>
      <w:lang w:val="en-GB"/>
    </w:rPr>
  </w:style>
  <w:style w:type="paragraph" w:styleId="NormalWeb">
    <w:name w:val="Normal (Web)"/>
    <w:basedOn w:val="Normal"/>
    <w:uiPriority w:val="99"/>
    <w:semiHidden/>
    <w:unhideWhenUsed/>
    <w:rsid w:val="00011E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normal">
    <w:name w:val="whitespace-normal"/>
    <w:basedOn w:val="DefaultParagraphFont"/>
    <w:rsid w:val="00643169"/>
  </w:style>
  <w:style w:type="character" w:styleId="UnresolvedMention">
    <w:name w:val="Unresolved Mention"/>
    <w:basedOn w:val="DefaultParagraphFont"/>
    <w:uiPriority w:val="99"/>
    <w:semiHidden/>
    <w:unhideWhenUsed/>
    <w:rsid w:val="00643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09/TBME.2015.2404809" TargetMode="External"/><Relationship Id="rId21" Type="http://schemas.openxmlformats.org/officeDocument/2006/relationships/hyperlink" Target="https://doi.org/10.1016/S0140-6736(06)69113-7" TargetMode="External"/><Relationship Id="rId42" Type="http://schemas.openxmlformats.org/officeDocument/2006/relationships/hyperlink" Target="https://www.food.gov.uk/about-us/key-regulations" TargetMode="External"/><Relationship Id="rId47" Type="http://schemas.openxmlformats.org/officeDocument/2006/relationships/hyperlink" Target="https://www.hee.nhs.uk/our-work/dementia-awareness/dementia-education-learning-through-simulation-2" TargetMode="External"/><Relationship Id="rId63" Type="http://schemas.openxmlformats.org/officeDocument/2006/relationships/hyperlink" Target="https://www.nhs.uk/live-well/eat-well/" TargetMode="External"/><Relationship Id="rId68" Type="http://schemas.openxmlformats.org/officeDocument/2006/relationships/hyperlink" Target="https://www.england.nhs.uk/long-read/dementia-programme-and-preparation-for-new-alzheimers-disease-modifying-treatments/" TargetMode="External"/><Relationship Id="rId84" Type="http://schemas.openxmlformats.org/officeDocument/2006/relationships/hyperlink" Target="https://doi.org/10.1097/WAD.0b013e318211c83c" TargetMode="External"/><Relationship Id="rId89" Type="http://schemas.openxmlformats.org/officeDocument/2006/relationships/hyperlink" Target="https://doi.org/10.1001/archinte.163.9.1053" TargetMode="External"/><Relationship Id="rId16" Type="http://schemas.openxmlformats.org/officeDocument/2006/relationships/hyperlink" Target="https://www.alzheimersresearchuk.org/wp-content/uploads/2023/08/Tipping-Point-Report.pdf" TargetMode="External"/><Relationship Id="rId107" Type="http://schemas.openxmlformats.org/officeDocument/2006/relationships/fontTable" Target="fontTable.xml"/><Relationship Id="rId11" Type="http://schemas.openxmlformats.org/officeDocument/2006/relationships/hyperlink" Target="https://www.legislation.gov.uk/uksi/2016/614/contents" TargetMode="External"/><Relationship Id="rId32" Type="http://schemas.openxmlformats.org/officeDocument/2006/relationships/hyperlink" Target="https://www.gov.uk/government/news/government-launches-world-leading-plan-to-tackle-air-pollution" TargetMode="External"/><Relationship Id="rId37" Type="http://schemas.openxmlformats.org/officeDocument/2006/relationships/hyperlink" Target="https://www.gov.uk/government/news/prime-minister-launches-dame-barbara-windsor-dementia-mission--2" TargetMode="External"/><Relationship Id="rId53" Type="http://schemas.openxmlformats.org/officeDocument/2006/relationships/hyperlink" Target="https://doi.org/10.1016/S0140-6736(17)31363-6" TargetMode="External"/><Relationship Id="rId58" Type="http://schemas.openxmlformats.org/officeDocument/2006/relationships/hyperlink" Target="https://doi.org/10.1016/j.lansea.2023.100257" TargetMode="External"/><Relationship Id="rId74" Type="http://schemas.openxmlformats.org/officeDocument/2006/relationships/hyperlink" Target="https://www.ons.gov.uk/peoplepopulationandcommunity/birthsdeathsandmarriages/deaths/bulletins/deathregistrationsummarystatisticsenglandandwales/2024" TargetMode="External"/><Relationship Id="rId79" Type="http://schemas.openxmlformats.org/officeDocument/2006/relationships/hyperlink" Target="https://doi.org/10.1001/archneur.65.8.1066"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doi.org/10.1086/431779" TargetMode="External"/><Relationship Id="rId95" Type="http://schemas.openxmlformats.org/officeDocument/2006/relationships/hyperlink" Target="https://globalcoalitiononaging.com/wp-content/uploads/2020/07/USC-IATOP-EU5-July-2020.pdf" TargetMode="External"/><Relationship Id="rId22" Type="http://schemas.openxmlformats.org/officeDocument/2006/relationships/hyperlink" Target="https://www.blf.org.uk/take-action/campaign/nhs-toxic-air-report" TargetMode="External"/><Relationship Id="rId27" Type="http://schemas.openxmlformats.org/officeDocument/2006/relationships/hyperlink" Target="https://doi.org/10.1109/HSI.2013.6577883" TargetMode="External"/><Relationship Id="rId43" Type="http://schemas.openxmlformats.org/officeDocument/2006/relationships/hyperlink" Target="https://doi.org/10.1001/jama.287.3.329" TargetMode="External"/><Relationship Id="rId48" Type="http://schemas.openxmlformats.org/officeDocument/2006/relationships/hyperlink" Target="https://researchbriefings.files.parliament.uk/documents/SN07007/SN07007.pdf" TargetMode="External"/><Relationship Id="rId64" Type="http://schemas.openxmlformats.org/officeDocument/2006/relationships/hyperlink" Target="https://www.nhs.uk/better-health/" TargetMode="External"/><Relationship Id="rId69" Type="http://schemas.openxmlformats.org/officeDocument/2006/relationships/hyperlink" Target="https://www.gov.uk/government/publications/dementia-applying-all-our-health/dementia-applying-all-our-health" TargetMode="External"/><Relationship Id="rId80" Type="http://schemas.openxmlformats.org/officeDocument/2006/relationships/hyperlink" Target="https://doi.org/10.1016/S1474-4422(05)70198-8" TargetMode="External"/><Relationship Id="rId85" Type="http://schemas.openxmlformats.org/officeDocument/2006/relationships/hyperlink" Target="https://doi.org/10.1093/geronb/gbt133" TargetMode="External"/><Relationship Id="rId12" Type="http://schemas.openxmlformats.org/officeDocument/2006/relationships/hyperlink" Target="https://www.legislation.gov.uk/uksi/2016/614/contents" TargetMode="External"/><Relationship Id="rId17" Type="http://schemas.openxmlformats.org/officeDocument/2006/relationships/hyperlink" Target="https://www.alzheimersresearchuk.org/wp-content/uploads/2023/10/Health-inequalties-full-report.pdf" TargetMode="External"/><Relationship Id="rId33" Type="http://schemas.openxmlformats.org/officeDocument/2006/relationships/hyperlink" Target="https://www.gov.uk/guidance/driving-in-a-clean-air-zone" TargetMode="External"/><Relationship Id="rId38" Type="http://schemas.openxmlformats.org/officeDocument/2006/relationships/hyperlink" Target="https://www.gov.uk/government/organisations/department-of-health-and-social-care" TargetMode="External"/><Relationship Id="rId59" Type="http://schemas.openxmlformats.org/officeDocument/2006/relationships/hyperlink" Target="https://www.longtermplan.nhs.uk/online-version/chapter-2-more-nhs-action-on-prevention-and-health-inequalities/air-pollution/"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doi.org/10.1212/01.wnl.0000147473.04043.b3" TargetMode="External"/><Relationship Id="rId41" Type="http://schemas.openxmlformats.org/officeDocument/2006/relationships/hyperlink" Target="https://doi.org/10.1136/bmj-2024-079474" TargetMode="External"/><Relationship Id="rId54" Type="http://schemas.openxmlformats.org/officeDocument/2006/relationships/hyperlink" Target="https://doi.org/10.1016/S0140-6736(20)30367-6" TargetMode="External"/><Relationship Id="rId62" Type="http://schemas.openxmlformats.org/officeDocument/2006/relationships/hyperlink" Target="https://www.england.nhs.uk/digital-weight-management/" TargetMode="External"/><Relationship Id="rId70" Type="http://schemas.openxmlformats.org/officeDocument/2006/relationships/hyperlink" Target="https://www.gov.uk/government/publications/healthy-ageing-consensus-statement/a-consensus-on-healthy-ageing" TargetMode="External"/><Relationship Id="rId75" Type="http://schemas.openxmlformats.org/officeDocument/2006/relationships/hyperlink" Target="https://doi.org/10.1016/j.jalz.2007.04.377" TargetMode="External"/><Relationship Id="rId83" Type="http://schemas.openxmlformats.org/officeDocument/2006/relationships/hyperlink" Target="https://doi.org/10.1093/ije/dyx094" TargetMode="External"/><Relationship Id="rId88" Type="http://schemas.openxmlformats.org/officeDocument/2006/relationships/hyperlink" Target="https://www.gov.uk/government/news/government-backed-technologies-support-those-living-with-dementia" TargetMode="External"/><Relationship Id="rId91" Type="http://schemas.openxmlformats.org/officeDocument/2006/relationships/hyperlink" Target="https://www.ukdri.ac.uk/research-topic/biomarkers-diagnostics" TargetMode="External"/><Relationship Id="rId96" Type="http://schemas.openxmlformats.org/officeDocument/2006/relationships/hyperlink" Target="https://doi.org/10.1016/j.scitotenv.2022.15701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59/000091654" TargetMode="External"/><Relationship Id="rId23" Type="http://schemas.openxmlformats.org/officeDocument/2006/relationships/hyperlink" Target="https://doi.org/10.1212/01.wnl.0000176061.33817.90" TargetMode="External"/><Relationship Id="rId28" Type="http://schemas.openxmlformats.org/officeDocument/2006/relationships/hyperlink" Target="https://doi.org/10.1093/geronb/58.5.p249" TargetMode="External"/><Relationship Id="rId36" Type="http://schemas.openxmlformats.org/officeDocument/2006/relationships/hyperlink" Target="https://www.gov.uk/government/news/new-era-of-public-health-to-tackle-inequalities-and-level-up-the-uk" TargetMode="External"/><Relationship Id="rId49" Type="http://schemas.openxmlformats.org/officeDocument/2006/relationships/hyperlink" Target="https://doi.org/10.2174/157340009788167347" TargetMode="External"/><Relationship Id="rId57" Type="http://schemas.openxmlformats.org/officeDocument/2006/relationships/hyperlink" Target="https://doi.org/10.1093/advances/nmz122" TargetMode="External"/><Relationship Id="rId106" Type="http://schemas.openxmlformats.org/officeDocument/2006/relationships/footer" Target="footer3.xml"/><Relationship Id="rId10" Type="http://schemas.openxmlformats.org/officeDocument/2006/relationships/hyperlink" Target="http://www.legislation.gov.uk/uksi/2016/588/pdfs/uksi_20160588_en.pdf" TargetMode="External"/><Relationship Id="rId31" Type="http://schemas.openxmlformats.org/officeDocument/2006/relationships/hyperlink" Target="https://www.gov.uk/government/organisations/department-of-health-and-social-care" TargetMode="External"/><Relationship Id="rId44" Type="http://schemas.openxmlformats.org/officeDocument/2006/relationships/hyperlink" Target="https://doi.org/10.1016/S1474-4422(06)70526-9" TargetMode="External"/><Relationship Id="rId52" Type="http://schemas.openxmlformats.org/officeDocument/2006/relationships/hyperlink" Target="https://www.independent.co.uk/news/uk/england-government-cancer-research-uk-jeremy-hunt-prime-minister-b2419914.html" TargetMode="External"/><Relationship Id="rId60" Type="http://schemas.openxmlformats.org/officeDocument/2006/relationships/hyperlink" Target="https://www.england.nhs.uk/wp-content/uploads/2022/07/the-nhs-long-term-plan-summary.pdf" TargetMode="External"/><Relationship Id="rId65" Type="http://schemas.openxmlformats.org/officeDocument/2006/relationships/hyperlink" Target="https://www.nhs.uk/live-well/quit-smoking/nhs-stop-smoking-services-help-you-quit/" TargetMode="External"/><Relationship Id="rId73" Type="http://schemas.openxmlformats.org/officeDocument/2006/relationships/hyperlink" Target="https://www.ons.gov.uk/visualisations/dvc1370/" TargetMode="External"/><Relationship Id="rId78" Type="http://schemas.openxmlformats.org/officeDocument/2006/relationships/hyperlink" Target="https://doi.org/10.1016/j.chb.2008.08.014" TargetMode="External"/><Relationship Id="rId81" Type="http://schemas.openxmlformats.org/officeDocument/2006/relationships/hyperlink" Target="https://www.rsph.org.uk/our-work/policy/top-20-public-health-achievements-of-the-21st-century.html" TargetMode="External"/><Relationship Id="rId86" Type="http://schemas.openxmlformats.org/officeDocument/2006/relationships/hyperlink" Target="https://www.gov.uk/government/organisations/department-of-health-and-social-care" TargetMode="External"/><Relationship Id="rId94" Type="http://schemas.openxmlformats.org/officeDocument/2006/relationships/hyperlink" Target="https://www.cise.ufl.edu/~helal/pre-icadi/pdf/Orpwood.pdf" TargetMode="External"/><Relationship Id="rId99" Type="http://schemas.openxmlformats.org/officeDocument/2006/relationships/hyperlink" Target="https://doi.org/10.1136/bmj-2022-071620"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gislation.gov.uk/uksi/2016/588/pdfs/uksi_20160588_en.pdf" TargetMode="External"/><Relationship Id="rId13" Type="http://schemas.openxmlformats.org/officeDocument/2006/relationships/hyperlink" Target="https://www.england.nhs.uk/publication/the-five-year-forward-view-for-mental-health/" TargetMode="External"/><Relationship Id="rId18" Type="http://schemas.openxmlformats.org/officeDocument/2006/relationships/hyperlink" Target="https://en.wikipedia.org/wiki/Diagnostic_and_Statistical_Manual_of_Mental_Disorders" TargetMode="External"/><Relationship Id="rId39" Type="http://schemas.openxmlformats.org/officeDocument/2006/relationships/hyperlink" Target="https://www.gov.uk/government/organisations/department-of-health-and-social-care" TargetMode="External"/><Relationship Id="rId34" Type="http://schemas.openxmlformats.org/officeDocument/2006/relationships/hyperlink" Target="https://www.gov.uk/government/publications/life-sciences-healthcare-goals/dame-barbara-windsor-dementia-goals" TargetMode="External"/><Relationship Id="rId50" Type="http://schemas.openxmlformats.org/officeDocument/2006/relationships/hyperlink" Target="https://www.sciencedirect.com/journal/ageing-research-reviews" TargetMode="External"/><Relationship Id="rId55" Type="http://schemas.openxmlformats.org/officeDocument/2006/relationships/hyperlink" Target="https://doi.org/10.1016/j.jalz.2018.06.3063" TargetMode="External"/><Relationship Id="rId76" Type="http://schemas.openxmlformats.org/officeDocument/2006/relationships/hyperlink" Target="https://www.gov.uk/government/news/pm-launches-next-phase-of-britains-fight-against-dementia" TargetMode="External"/><Relationship Id="rId97" Type="http://schemas.openxmlformats.org/officeDocument/2006/relationships/hyperlink" Target="https://www.who.int/news-room/fact-sheets/detail/dementia" TargetMode="External"/><Relationship Id="rId104" Type="http://schemas.openxmlformats.org/officeDocument/2006/relationships/footer" Target="footer2.xml"/><Relationship Id="rId7" Type="http://schemas.openxmlformats.org/officeDocument/2006/relationships/hyperlink" Target="https://www.gov.uk/government/organisations/department-of-health-and-social-care" TargetMode="External"/><Relationship Id="rId71" Type="http://schemas.openxmlformats.org/officeDocument/2006/relationships/hyperlink" Target="https://www.gov.uk/government/publications/prevention-concordat-for-better-mental-health-consensus-statement/prevention-concordat-for-better-mental-health" TargetMode="External"/><Relationship Id="rId92" Type="http://schemas.openxmlformats.org/officeDocument/2006/relationships/hyperlink" Target="https://www.ukdri.ac.uk/public-information/information/treatments-interventions" TargetMode="External"/><Relationship Id="rId2" Type="http://schemas.openxmlformats.org/officeDocument/2006/relationships/styles" Target="styles.xml"/><Relationship Id="rId29" Type="http://schemas.openxmlformats.org/officeDocument/2006/relationships/hyperlink" Target="https://doi.org/10.5582/bst.2025.01309" TargetMode="External"/><Relationship Id="rId24" Type="http://schemas.openxmlformats.org/officeDocument/2006/relationships/hyperlink" Target="https://doi.org/10.1002/14651858.CD010919.pub2" TargetMode="External"/><Relationship Id="rId40" Type="http://schemas.openxmlformats.org/officeDocument/2006/relationships/hyperlink" Target="https://www.rcpsych.ac.uk/docs/default-source/improving-care/nccmh/dementia-100/ml-nhs-dhsc-dementia-100-summary-guidance-2025.pdf?sfvrsn=c40f5695_5" TargetMode="External"/><Relationship Id="rId45" Type="http://schemas.openxmlformats.org/officeDocument/2006/relationships/hyperlink" Target="https://www.hse.gov.uk/radiation/nonionising/emf.htm" TargetMode="External"/><Relationship Id="rId66" Type="http://schemas.openxmlformats.org/officeDocument/2006/relationships/hyperlink" Target="https://www.england.nhs.uk/about/equality/equality-hub/case-studies/city-centre-clinic-supports-inclusion-health-groups/" TargetMode="External"/><Relationship Id="rId87" Type="http://schemas.openxmlformats.org/officeDocument/2006/relationships/hyperlink" Target="https://www.gov.uk/government/organisations/department-of-health-and-social-care" TargetMode="External"/><Relationship Id="rId61" Type="http://schemas.openxmlformats.org/officeDocument/2006/relationships/hyperlink" Target="https://www.longtermplan.nhs.uk/online-version/chapter-2-more-nhs-action-on-prevention-and-health-inequalities/stronger-nhs-action-on-health-inequalities/" TargetMode="External"/><Relationship Id="rId82" Type="http://schemas.openxmlformats.org/officeDocument/2006/relationships/hyperlink" Target="https://www.rcpsych.ac.uk/improving-care/ccqi/national-clinical-audits/national-audit-of-dementia/fifth-round-of-audit/memory-services-spotlight-audit-national-report" TargetMode="External"/><Relationship Id="rId19" Type="http://schemas.openxmlformats.org/officeDocument/2006/relationships/hyperlink" Target="https://doi.org/10.1002/ana.21509" TargetMode="External"/><Relationship Id="rId14" Type="http://schemas.openxmlformats.org/officeDocument/2006/relationships/hyperlink" Target="https://www.gov.uk/government/consultations/advancing-our-health-prevention-in-the-2020s/advancing-our-health-prevention-in-the-2020s-consultation-document" TargetMode="External"/><Relationship Id="rId30" Type="http://schemas.openxmlformats.org/officeDocument/2006/relationships/hyperlink" Target="https://www.gov.uk/government/organisations/department-of-health-and-social-care" TargetMode="External"/><Relationship Id="rId35" Type="http://schemas.openxmlformats.org/officeDocument/2006/relationships/hyperlink" Target="https://assets.publishing.service.gov.uk/media/5a7c8d5240f0b62aff6c2789/dh_133176.pdf" TargetMode="External"/><Relationship Id="rId56" Type="http://schemas.openxmlformats.org/officeDocument/2006/relationships/hyperlink" Target="https://doi.org/10.1001/archneur.58.10.1640" TargetMode="External"/><Relationship Id="rId77" Type="http://schemas.openxmlformats.org/officeDocument/2006/relationships/hyperlink" Target="https://doi.org/10.31887/DCNS.2009.11.2/cqiu" TargetMode="External"/><Relationship Id="rId100" Type="http://schemas.openxmlformats.org/officeDocument/2006/relationships/hyperlink" Target="https://doi.org/10.1002/gps.5113" TargetMode="External"/><Relationship Id="rId105" Type="http://schemas.openxmlformats.org/officeDocument/2006/relationships/header" Target="header3.xml"/><Relationship Id="rId8" Type="http://schemas.openxmlformats.org/officeDocument/2006/relationships/hyperlink" Target="https://www.hse.gov.uk/coshh/index.htm" TargetMode="External"/><Relationship Id="rId51" Type="http://schemas.openxmlformats.org/officeDocument/2006/relationships/hyperlink" Target="https://doi.org/10.1016/j.arr.2024.102481" TargetMode="External"/><Relationship Id="rId72" Type="http://schemas.openxmlformats.org/officeDocument/2006/relationships/hyperlink" Target="https://www.gov.uk/government/publications/addressing-health-inequalities-across-allied-health-professional-ahp-services-a-guide-for-ahp-system-leaders/addressing-health-inequalities-across-allied-health-professional-ahp-services-a-guide-for-ahp-system-leaders" TargetMode="External"/><Relationship Id="rId93" Type="http://schemas.openxmlformats.org/officeDocument/2006/relationships/hyperlink" Target="https://unece.org/sites/default/files/2021-11/S8_4_UNDP_Tackling%20air%20pollution%20for%20improved%20health%20and%20a%20greener%20future.pdf" TargetMode="External"/><Relationship Id="rId98" Type="http://schemas.openxmlformats.org/officeDocument/2006/relationships/hyperlink" Target="https://www.who.int/health-topics/health-promotion" TargetMode="External"/><Relationship Id="rId3" Type="http://schemas.openxmlformats.org/officeDocument/2006/relationships/settings" Target="settings.xml"/><Relationship Id="rId25" Type="http://schemas.openxmlformats.org/officeDocument/2006/relationships/hyperlink" Target="https://doi.org/10.1001/jamapsychiatry.2018.1012" TargetMode="External"/><Relationship Id="rId46" Type="http://schemas.openxmlformats.org/officeDocument/2006/relationships/hyperlink" Target="https://www.hse.gov.uk/coshh/basics/exposurelimits.htm" TargetMode="External"/><Relationship Id="rId67" Type="http://schemas.openxmlformats.org/officeDocument/2006/relationships/hyperlink" Target="https://www.nhs.uk/conditions/dementia/symptoms-and-diagnosis/tes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39420</TotalTime>
  <Pages>30</Pages>
  <Words>10702</Words>
  <Characters>61006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Dilisha</cp:lastModifiedBy>
  <cp:revision>87</cp:revision>
  <dcterms:created xsi:type="dcterms:W3CDTF">2026-03-20T05:00:00Z</dcterms:created>
  <dcterms:modified xsi:type="dcterms:W3CDTF">2026-05-15T07:06:00Z</dcterms:modified>
</cp:coreProperties>
</file>