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F363E" w14:textId="77777777" w:rsidR="000D5DBD" w:rsidRPr="000D5DBD" w:rsidRDefault="000D5DBD" w:rsidP="000D5DBD">
      <w:pPr>
        <w:pStyle w:val="Title"/>
        <w:jc w:val="both"/>
        <w:rPr>
          <w:rFonts w:ascii="Arial" w:hAnsi="Arial" w:cs="Arial"/>
          <w:bCs/>
          <w:i/>
          <w:iCs/>
          <w:u w:val="single"/>
        </w:rPr>
      </w:pPr>
      <w:r w:rsidRPr="000D5DBD">
        <w:rPr>
          <w:rFonts w:ascii="Arial" w:hAnsi="Arial" w:cs="Arial"/>
          <w:bCs/>
          <w:i/>
          <w:iCs/>
          <w:u w:val="single"/>
        </w:rPr>
        <w:t>Original Research Article</w:t>
      </w:r>
    </w:p>
    <w:p w14:paraId="17DE8031" w14:textId="77777777" w:rsidR="00754C9A" w:rsidRDefault="00754C9A" w:rsidP="00441B6F">
      <w:pPr>
        <w:pStyle w:val="Title"/>
        <w:spacing w:after="0"/>
        <w:jc w:val="both"/>
        <w:rPr>
          <w:rFonts w:ascii="Arial" w:hAnsi="Arial" w:cs="Arial"/>
        </w:rPr>
      </w:pPr>
    </w:p>
    <w:p w14:paraId="4DE89012" w14:textId="459A00D8" w:rsidR="00163BC4" w:rsidRPr="00163BC4" w:rsidRDefault="00FC00E9" w:rsidP="00441B6F">
      <w:pPr>
        <w:pStyle w:val="Author"/>
        <w:spacing w:line="240" w:lineRule="auto"/>
        <w:rPr>
          <w:rFonts w:ascii="Arial" w:hAnsi="Arial" w:cs="Arial"/>
          <w:bCs/>
          <w:iCs/>
          <w:kern w:val="28"/>
          <w:sz w:val="36"/>
        </w:rPr>
      </w:pPr>
      <w:r>
        <w:rPr>
          <w:rFonts w:ascii="Arial" w:hAnsi="Arial" w:cs="Arial"/>
          <w:bCs/>
          <w:iCs/>
          <w:kern w:val="28"/>
          <w:sz w:val="36"/>
        </w:rPr>
        <w:t xml:space="preserve">DESIGN AND PERFORMANCE EVALUATION OF A </w:t>
      </w:r>
      <w:r w:rsidR="003A4777">
        <w:rPr>
          <w:rFonts w:ascii="Arial" w:hAnsi="Arial" w:cs="Arial"/>
          <w:bCs/>
          <w:iCs/>
          <w:kern w:val="28"/>
          <w:sz w:val="36"/>
        </w:rPr>
        <w:t>FIXED-BED TORREFACTION REACTOR AND MACHINE LEARNING PREDICTION OF HIGHER HEATING VALUE OF COCONUT SHELL BIOMASS</w:t>
      </w:r>
    </w:p>
    <w:p w14:paraId="6DEBEC2F" w14:textId="77777777" w:rsidR="00A258C3" w:rsidRPr="00790ADA" w:rsidRDefault="00A258C3" w:rsidP="00441B6F">
      <w:pPr>
        <w:pStyle w:val="Author"/>
        <w:spacing w:line="240" w:lineRule="auto"/>
        <w:jc w:val="both"/>
        <w:rPr>
          <w:rFonts w:ascii="Arial" w:hAnsi="Arial" w:cs="Arial"/>
          <w:sz w:val="36"/>
        </w:rPr>
      </w:pPr>
    </w:p>
    <w:p w14:paraId="106FDB10" w14:textId="3EA235F6" w:rsidR="000D5DBD" w:rsidRDefault="000D5DBD" w:rsidP="00441B6F">
      <w:pPr>
        <w:pStyle w:val="Affiliation"/>
        <w:spacing w:after="0" w:line="240" w:lineRule="auto"/>
        <w:jc w:val="both"/>
        <w:rPr>
          <w:rFonts w:ascii="Arial" w:hAnsi="Arial" w:cs="Arial"/>
        </w:rPr>
      </w:pPr>
    </w:p>
    <w:p w14:paraId="6FFCEBB1" w14:textId="77777777" w:rsidR="000331DD" w:rsidRPr="00FB3A86" w:rsidRDefault="000331DD" w:rsidP="00441B6F">
      <w:pPr>
        <w:pStyle w:val="Affiliation"/>
        <w:spacing w:after="0" w:line="240" w:lineRule="auto"/>
        <w:jc w:val="both"/>
        <w:rPr>
          <w:rFonts w:ascii="Arial" w:hAnsi="Arial" w:cs="Arial"/>
        </w:rPr>
      </w:pPr>
    </w:p>
    <w:p w14:paraId="5A411093" w14:textId="77777777" w:rsidR="00B01FCD" w:rsidRPr="00FB3A86" w:rsidRDefault="00000000" w:rsidP="00441B6F">
      <w:pPr>
        <w:pStyle w:val="Copyright"/>
        <w:spacing w:after="0" w:line="240" w:lineRule="auto"/>
        <w:jc w:val="both"/>
        <w:rPr>
          <w:rFonts w:ascii="Arial" w:hAnsi="Arial" w:cs="Arial"/>
        </w:rPr>
        <w:sectPr w:rsidR="00B01FCD" w:rsidRPr="00FB3A86" w:rsidSect="000331D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D56D458">
          <v:shapetype id="_x0000_t32" coordsize="21600,21600" o:spt="32" o:oned="t" path="m,l21600,21600e" filled="f">
            <v:path arrowok="t" fillok="f" o:connecttype="none"/>
            <o:lock v:ext="edit" shapetype="t"/>
          </v:shapetype>
          <v:shape id="_x0000_s219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25C793" w14:textId="6333D01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D6602A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4B05BA0" w14:textId="77777777" w:rsidTr="001E44FE">
        <w:tc>
          <w:tcPr>
            <w:tcW w:w="9576" w:type="dxa"/>
            <w:shd w:val="clear" w:color="auto" w:fill="F2F2F2"/>
          </w:tcPr>
          <w:p w14:paraId="591CAEB7" w14:textId="77777777" w:rsidR="00C2427F" w:rsidRDefault="00C2427F" w:rsidP="003A4777">
            <w:pPr>
              <w:rPr>
                <w:rFonts w:ascii="Arial" w:hAnsi="Arial" w:cs="Arial"/>
                <w:color w:val="000000" w:themeColor="text1"/>
              </w:rPr>
            </w:pPr>
            <w:bookmarkStart w:id="0" w:name="_Hlk134589874"/>
          </w:p>
          <w:p w14:paraId="7737D9ED" w14:textId="7C89B6BE" w:rsidR="00505F06" w:rsidRPr="00C2427F" w:rsidRDefault="00C2427F" w:rsidP="003A4777">
            <w:pPr>
              <w:rPr>
                <w:rFonts w:ascii="Arial" w:hAnsi="Arial" w:cs="Arial"/>
                <w:color w:val="000000" w:themeColor="text1"/>
              </w:rPr>
            </w:pPr>
            <w:r w:rsidRPr="00C2427F">
              <w:rPr>
                <w:rFonts w:ascii="Arial" w:hAnsi="Arial" w:cs="Arial"/>
                <w:color w:val="000000" w:themeColor="text1"/>
              </w:rPr>
              <w:t>Rising global energy demand alongside environmental constraints has intensified interest in biomass as a sustainable alternative energy source, although its direct utilisation is limited by challenges in thermochemical conversion and fuel quality variability. Torrefaction has therefore emerged as a promising pre-treatment technique for enhancing the energy density and combustion characteristics of biomass, necessitating reliable and cost-effective methods for accurately estimating its heating value for industrial applications.</w:t>
            </w:r>
            <w:r>
              <w:rPr>
                <w:rFonts w:ascii="Arial" w:hAnsi="Arial" w:cs="Arial"/>
                <w:color w:val="000000" w:themeColor="text1"/>
              </w:rPr>
              <w:t xml:space="preserve"> </w:t>
            </w:r>
            <w:r w:rsidR="00013A9F" w:rsidRPr="00013A9F">
              <w:rPr>
                <w:rFonts w:ascii="Arial" w:hAnsi="Arial" w:cs="Arial"/>
                <w:color w:val="000000" w:themeColor="text1"/>
              </w:rPr>
              <w:t xml:space="preserve">The project aims to design a torrefaction reactor and evaluate the energy content of torrefied coconut shells using artificial neural network (ANNs), random forest and linear regression. The best method for predicting the HHV of coconut shell was determined. </w:t>
            </w:r>
            <w:bookmarkEnd w:id="0"/>
            <w:r w:rsidR="00013A9F" w:rsidRPr="00013A9F">
              <w:rPr>
                <w:rFonts w:ascii="Arial" w:hAnsi="Arial" w:cs="Arial"/>
                <w:color w:val="000000" w:themeColor="text1"/>
              </w:rPr>
              <w:t xml:space="preserve">The designed reactor enables optimal torrefaction, facilitating the production of high-quality torrefied coconut shell. Machine learning algorithms, including Artificial Neural Networks (ANN), Random Forest, and Linear Regression, are employed to predict the Higher Heating Value (HHV) of the torrefied coconut shell. The evaluation reveals strong correlations between the predicted HHV values and the actual HHV values extracted from literature sources. The ANN model had the highest level of accuracy followed by the linear regression model and then the random forest model. The ANN achieved a Mean Absolute Error (MAE) of 1.399 and Mean Squared Error (MSE) of 4.083 for proximate datasets and a Mean Absolute Error (MAE) of 1.046 and Mean Squared Error (MSE) of 2.565 for ultimate datasets. Torrefied biomass feature importance analysis highlights the significant influence of fixed carbon, ash, and volatile matter on HHV prediction. The findings contribute to understanding the torrefaction process, optimising reactor design, and advancing machine learning techniques for predicting torrefied coconut shell's energy content. </w:t>
            </w:r>
            <w:r w:rsidR="003A4777" w:rsidRPr="003A4777">
              <w:rPr>
                <w:rFonts w:ascii="Arial" w:hAnsi="Arial" w:cs="Arial"/>
                <w:color w:val="000000" w:themeColor="text1"/>
              </w:rPr>
              <w:t>The ANN model demonstrated the best predictive performance among the evaluated models, achieving the lowest MAE and MSE values for both proximate and ultimate datasets. The empirical correlations also showed strong agreement with literature HHV values, with ultimate analysis producing slightly better predictive accuracy than proximate analysis. The findings demonstrate the suitability of integrating torrefaction reactor design with machine learning techniques for biomass energy characterization and sustainable waste-to-energy applications.</w:t>
            </w:r>
          </w:p>
        </w:tc>
      </w:tr>
    </w:tbl>
    <w:p w14:paraId="6CB7CCC8" w14:textId="77777777" w:rsidR="00636EB2" w:rsidRDefault="00636EB2" w:rsidP="00441B6F">
      <w:pPr>
        <w:pStyle w:val="Body"/>
        <w:spacing w:after="0"/>
        <w:rPr>
          <w:rFonts w:ascii="Arial" w:hAnsi="Arial" w:cs="Arial"/>
          <w:i/>
        </w:rPr>
      </w:pPr>
    </w:p>
    <w:p w14:paraId="623815AE" w14:textId="3003CEDA" w:rsidR="00A24E7E" w:rsidRDefault="00A24E7E" w:rsidP="00441B6F">
      <w:pPr>
        <w:pStyle w:val="Body"/>
        <w:spacing w:after="0"/>
        <w:rPr>
          <w:rFonts w:ascii="Arial" w:hAnsi="Arial" w:cs="Arial"/>
          <w:i/>
        </w:rPr>
      </w:pPr>
      <w:r>
        <w:rPr>
          <w:rFonts w:ascii="Arial" w:hAnsi="Arial" w:cs="Arial"/>
          <w:i/>
        </w:rPr>
        <w:t>Keywords: [</w:t>
      </w:r>
      <w:r w:rsidR="00013A9F">
        <w:rPr>
          <w:rFonts w:ascii="Arial" w:hAnsi="Arial" w:cs="Arial"/>
          <w:i/>
        </w:rPr>
        <w:t>Torrefaction, Coconut Shell, Artificial Neural Networks, Higher Heating Value, Machine Learning</w:t>
      </w:r>
      <w:r w:rsidR="000C7A65">
        <w:rPr>
          <w:rFonts w:ascii="Arial" w:hAnsi="Arial" w:cs="Arial"/>
          <w:i/>
        </w:rPr>
        <w:t>]</w:t>
      </w:r>
      <w:r w:rsidR="0066510A">
        <w:rPr>
          <w:rFonts w:ascii="Arial" w:hAnsi="Arial" w:cs="Arial"/>
          <w:i/>
        </w:rPr>
        <w:t xml:space="preserve"> </w:t>
      </w:r>
    </w:p>
    <w:p w14:paraId="1CA4AC53" w14:textId="77777777" w:rsidR="00790ADA" w:rsidRDefault="00790ADA" w:rsidP="00441B6F">
      <w:pPr>
        <w:pStyle w:val="Body"/>
        <w:spacing w:after="0"/>
        <w:rPr>
          <w:rFonts w:ascii="Arial" w:hAnsi="Arial" w:cs="Arial"/>
          <w:i/>
        </w:rPr>
      </w:pPr>
    </w:p>
    <w:p w14:paraId="141C061F" w14:textId="0E8579B1"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22393C7" w14:textId="77777777" w:rsidR="00790ADA" w:rsidRPr="00FB3A86" w:rsidRDefault="00790ADA" w:rsidP="00441B6F">
      <w:pPr>
        <w:pStyle w:val="AbstHead"/>
        <w:spacing w:after="0"/>
        <w:jc w:val="both"/>
        <w:rPr>
          <w:rFonts w:ascii="Arial" w:hAnsi="Arial" w:cs="Arial"/>
        </w:rPr>
      </w:pPr>
    </w:p>
    <w:p w14:paraId="7715A1CB" w14:textId="7F55DB42" w:rsidR="00E0341C" w:rsidRPr="00252CA7" w:rsidRDefault="00E0341C" w:rsidP="00013A9F">
      <w:pPr>
        <w:jc w:val="both"/>
        <w:rPr>
          <w:rFonts w:ascii="Arial" w:hAnsi="Arial" w:cs="Arial"/>
          <w:color w:val="000000" w:themeColor="text1"/>
        </w:rPr>
      </w:pPr>
      <w:r w:rsidRPr="00E0341C">
        <w:rPr>
          <w:rFonts w:ascii="Arial" w:hAnsi="Arial" w:cs="Arial"/>
          <w:color w:val="000000" w:themeColor="text1"/>
        </w:rPr>
        <w:t>Global energy consumption continues to increase in parallel with population growth and industrial expansion. In response to escalating energy demands and environmental concerns, biomass has attracted considerable attention as a renewable energy resource. Owing to its carbon-neutral characteristics and sustainable production potential, biomass is increasingly recognised as an important component of the global energy portfolio. Nevertheless, the direct utilisation of raw biomass fuels presents significant challenges during thermochemical conversion processes (Bajwa et al., 2015).</w:t>
      </w:r>
    </w:p>
    <w:p w14:paraId="23CBA8FB" w14:textId="77777777" w:rsidR="00013A9F" w:rsidRDefault="00013A9F" w:rsidP="00013A9F">
      <w:pPr>
        <w:jc w:val="both"/>
        <w:rPr>
          <w:rFonts w:ascii="Arial" w:hAnsi="Arial" w:cs="Arial"/>
          <w:color w:val="000000" w:themeColor="text1"/>
        </w:rPr>
      </w:pPr>
      <w:r w:rsidRPr="00252CA7">
        <w:rPr>
          <w:rFonts w:ascii="Arial" w:hAnsi="Arial" w:cs="Arial"/>
          <w:color w:val="000000" w:themeColor="text1"/>
        </w:rPr>
        <w:t xml:space="preserve">Biomass is one of the most widely used renewable energy sources in the world. Torrefaction is a thermal treatment process that has gained attention in recent years, as it improves the properties of biomass by reducing its moisture content and increasing its energy density (Basu, 2013). However, accurate measurement of the heating value of torrefied biomass is essential for proper utilization in industrial applications (Tan </w:t>
      </w:r>
      <w:r w:rsidRPr="00252CA7">
        <w:rPr>
          <w:rFonts w:ascii="Arial" w:hAnsi="Arial" w:cs="Arial"/>
          <w:i/>
          <w:iCs/>
          <w:color w:val="000000" w:themeColor="text1"/>
        </w:rPr>
        <w:t>et al.,</w:t>
      </w:r>
      <w:r w:rsidRPr="00252CA7">
        <w:rPr>
          <w:rFonts w:ascii="Arial" w:hAnsi="Arial" w:cs="Arial"/>
          <w:color w:val="000000" w:themeColor="text1"/>
        </w:rPr>
        <w:t xml:space="preserve"> 2015).</w:t>
      </w:r>
    </w:p>
    <w:p w14:paraId="7F4668B6" w14:textId="77777777" w:rsidR="000C7A65" w:rsidRPr="00252CA7" w:rsidRDefault="000C7A65" w:rsidP="00013A9F">
      <w:pPr>
        <w:jc w:val="both"/>
        <w:rPr>
          <w:rFonts w:ascii="Arial" w:hAnsi="Arial" w:cs="Arial"/>
          <w:color w:val="000000" w:themeColor="text1"/>
        </w:rPr>
      </w:pPr>
    </w:p>
    <w:p w14:paraId="05A9F76E" w14:textId="77777777" w:rsidR="00E0341C" w:rsidRDefault="00E0341C" w:rsidP="00013A9F">
      <w:pPr>
        <w:jc w:val="both"/>
        <w:rPr>
          <w:rFonts w:ascii="Arial" w:hAnsi="Arial" w:cs="Arial"/>
          <w:color w:val="000000" w:themeColor="text1"/>
        </w:rPr>
      </w:pPr>
    </w:p>
    <w:p w14:paraId="0DE24336" w14:textId="0892607B" w:rsidR="00E0341C" w:rsidRDefault="00E0341C" w:rsidP="00013A9F">
      <w:pPr>
        <w:jc w:val="both"/>
        <w:rPr>
          <w:rFonts w:ascii="Arial" w:hAnsi="Arial" w:cs="Arial"/>
          <w:color w:val="000000" w:themeColor="text1"/>
        </w:rPr>
      </w:pPr>
      <w:r w:rsidRPr="00E0341C">
        <w:rPr>
          <w:rFonts w:ascii="Arial" w:hAnsi="Arial" w:cs="Arial"/>
          <w:color w:val="000000" w:themeColor="text1"/>
        </w:rPr>
        <w:t>At present, the bomb calorimeter is the most commonly employed instrument for determining the heating value of torrefied biomass. However, this technique is both labour-intensive and costly. As an alternative, the heating value may be estimated from the proximate and ultimate analyses of torrefied biomass through the application of statistical methods and artificial intelligence (AI)-based approaches (Tumuluru et al., 2011).</w:t>
      </w:r>
    </w:p>
    <w:p w14:paraId="71DB2C3B" w14:textId="77777777" w:rsidR="000C7A65" w:rsidRPr="00252CA7" w:rsidRDefault="000C7A65" w:rsidP="00013A9F">
      <w:pPr>
        <w:jc w:val="both"/>
        <w:rPr>
          <w:rFonts w:ascii="Arial" w:hAnsi="Arial" w:cs="Arial"/>
          <w:color w:val="000000" w:themeColor="text1"/>
        </w:rPr>
      </w:pPr>
    </w:p>
    <w:p w14:paraId="4358B043" w14:textId="77777777" w:rsidR="00013A9F" w:rsidRPr="00252CA7" w:rsidRDefault="00013A9F" w:rsidP="00013A9F">
      <w:pPr>
        <w:jc w:val="both"/>
        <w:rPr>
          <w:rFonts w:ascii="Arial" w:hAnsi="Arial" w:cs="Arial"/>
          <w:color w:val="000000" w:themeColor="text1"/>
        </w:rPr>
      </w:pPr>
      <w:r w:rsidRPr="00252CA7">
        <w:rPr>
          <w:rFonts w:ascii="Arial" w:hAnsi="Arial" w:cs="Arial"/>
          <w:color w:val="000000" w:themeColor="text1"/>
        </w:rPr>
        <w:t>Rationale: The prediction of the heating value of torrefied biomass from its proximate and ultimate analysis is an important research area as it can provide a quick and cost-effective means for determining the quality of torrefied biomass. This information can be used by industries that use torrefied biomass as a fuel source to optimize their processes and ensure a consistent and reliable fuel supply.</w:t>
      </w:r>
    </w:p>
    <w:p w14:paraId="341AB961" w14:textId="77777777" w:rsidR="000C7A65" w:rsidRPr="00252CA7" w:rsidRDefault="000C7A65" w:rsidP="00013A9F">
      <w:pPr>
        <w:jc w:val="both"/>
        <w:rPr>
          <w:rFonts w:ascii="Arial" w:hAnsi="Arial" w:cs="Arial"/>
          <w:color w:val="000000" w:themeColor="text1"/>
        </w:rPr>
      </w:pPr>
    </w:p>
    <w:p w14:paraId="04D702FB" w14:textId="77777777" w:rsidR="00013A9F" w:rsidRDefault="00013A9F" w:rsidP="00013A9F">
      <w:pPr>
        <w:jc w:val="both"/>
        <w:rPr>
          <w:rFonts w:ascii="Arial" w:hAnsi="Arial" w:cs="Arial"/>
          <w:color w:val="000000" w:themeColor="text1"/>
        </w:rPr>
      </w:pPr>
      <w:r w:rsidRPr="00252CA7">
        <w:rPr>
          <w:rFonts w:ascii="Arial" w:hAnsi="Arial" w:cs="Arial"/>
          <w:color w:val="000000" w:themeColor="text1"/>
        </w:rPr>
        <w:t>Therefore, the aim of this study is to develop and compare ANNs, random forest, and linear regression models for predicting the heating value of torrefied biomass from its proximate and ultimate analysis. The results of this study will provide valuable insights into the accuracy and efficiency of these techniques for predicting the heating value of torrefied biomass, and their potential for industrial applications.</w:t>
      </w:r>
      <w:bookmarkStart w:id="1" w:name="_Toc134553708"/>
      <w:bookmarkStart w:id="2" w:name="_Toc135433796"/>
    </w:p>
    <w:p w14:paraId="3BB99026" w14:textId="77777777" w:rsidR="00013A9F" w:rsidRDefault="00013A9F" w:rsidP="00013A9F">
      <w:pPr>
        <w:jc w:val="both"/>
        <w:rPr>
          <w:rFonts w:ascii="Arial" w:hAnsi="Arial" w:cs="Arial"/>
          <w:color w:val="000000" w:themeColor="text1"/>
        </w:rPr>
      </w:pPr>
    </w:p>
    <w:bookmarkEnd w:id="1"/>
    <w:bookmarkEnd w:id="2"/>
    <w:p w14:paraId="78FA0532" w14:textId="722CDBED" w:rsidR="00013A9F" w:rsidRDefault="00013A9F" w:rsidP="00013A9F">
      <w:pPr>
        <w:jc w:val="both"/>
        <w:rPr>
          <w:rFonts w:ascii="Arial" w:hAnsi="Arial" w:cs="Arial"/>
          <w:color w:val="000000" w:themeColor="text1"/>
        </w:rPr>
      </w:pPr>
      <w:r w:rsidRPr="00252CA7">
        <w:rPr>
          <w:rFonts w:ascii="Arial" w:hAnsi="Arial" w:cs="Arial"/>
          <w:color w:val="000000" w:themeColor="text1"/>
        </w:rPr>
        <w:t xml:space="preserve">Torrefaction is the slow heating of biomass at temperatures between 200°C and 300°C in an inert or oxygen-deficient atmosphere. Heating rate, reaction temperature, reactor environment, residence time, air pressure, feedstock flexibility, particle size, and moisture content are all factors that influence the torrefaction process. Before torrefaction, biomass is typically pre-dried to a moisture content of less than 10%. Furthermore, the particle size of the feedstock has an impact on the torrefaction process kinetics, reaction mechanisms, and residence duration for a given heating rate (Tumuluru </w:t>
      </w:r>
      <w:r w:rsidRPr="00252CA7">
        <w:rPr>
          <w:rFonts w:ascii="Arial" w:hAnsi="Arial" w:cs="Arial"/>
          <w:i/>
          <w:iCs/>
          <w:color w:val="000000" w:themeColor="text1"/>
        </w:rPr>
        <w:t>et al</w:t>
      </w:r>
      <w:r w:rsidRPr="00252CA7">
        <w:rPr>
          <w:rFonts w:ascii="Arial" w:hAnsi="Arial" w:cs="Arial"/>
          <w:color w:val="000000" w:themeColor="text1"/>
        </w:rPr>
        <w:t xml:space="preserve">., 2011). Moisture is evaporated during the torrefaction process, and some of the organic components of organic compounds that include hydrogen and oxygen are thermally destroyed, producing volatile organic chemicals (Beckman </w:t>
      </w:r>
      <w:r w:rsidRPr="00252CA7">
        <w:rPr>
          <w:rFonts w:ascii="Arial" w:hAnsi="Arial" w:cs="Arial"/>
          <w:i/>
          <w:iCs/>
          <w:color w:val="000000" w:themeColor="text1"/>
        </w:rPr>
        <w:t>et al</w:t>
      </w:r>
      <w:r w:rsidRPr="00252CA7">
        <w:rPr>
          <w:rFonts w:ascii="Arial" w:hAnsi="Arial" w:cs="Arial"/>
          <w:color w:val="000000" w:themeColor="text1"/>
        </w:rPr>
        <w:t xml:space="preserve">., 2012). At the end of the torrefaction process, a solid homogenous product with reduced moisture and higher energy content is created. </w:t>
      </w:r>
    </w:p>
    <w:p w14:paraId="3BE7296E" w14:textId="760F12D5" w:rsidR="00013A9F" w:rsidRDefault="00013A9F" w:rsidP="007F7952">
      <w:pPr>
        <w:jc w:val="both"/>
        <w:rPr>
          <w:rFonts w:ascii="Arial" w:hAnsi="Arial" w:cs="Arial"/>
          <w:color w:val="000000" w:themeColor="text1"/>
        </w:rPr>
      </w:pPr>
    </w:p>
    <w:p w14:paraId="2E2D25F9" w14:textId="0D50BDF6" w:rsidR="00013A9F" w:rsidRPr="00252CA7" w:rsidRDefault="00013A9F" w:rsidP="007F7952">
      <w:pPr>
        <w:pStyle w:val="Heading3"/>
        <w:numPr>
          <w:ilvl w:val="1"/>
          <w:numId w:val="15"/>
        </w:numPr>
        <w:jc w:val="both"/>
        <w:rPr>
          <w:rFonts w:ascii="Arial" w:hAnsi="Arial" w:cs="Arial"/>
          <w:b/>
          <w:bCs/>
          <w:color w:val="000000" w:themeColor="text1"/>
          <w:sz w:val="22"/>
          <w:szCs w:val="22"/>
        </w:rPr>
      </w:pPr>
      <w:bookmarkStart w:id="3" w:name="_Toc140521269"/>
      <w:r w:rsidRPr="00252CA7">
        <w:rPr>
          <w:rFonts w:ascii="Arial" w:hAnsi="Arial" w:cs="Arial"/>
          <w:b/>
          <w:bCs/>
          <w:color w:val="000000" w:themeColor="text1"/>
          <w:sz w:val="22"/>
          <w:szCs w:val="22"/>
        </w:rPr>
        <w:t>Aim Objective of the Study</w:t>
      </w:r>
      <w:bookmarkEnd w:id="3"/>
    </w:p>
    <w:p w14:paraId="1516801A" w14:textId="77777777" w:rsidR="00013A9F" w:rsidRPr="00252CA7" w:rsidRDefault="00013A9F" w:rsidP="00013A9F">
      <w:pPr>
        <w:jc w:val="both"/>
        <w:rPr>
          <w:rFonts w:ascii="Arial" w:hAnsi="Arial" w:cs="Arial"/>
          <w:color w:val="000000" w:themeColor="text1"/>
        </w:rPr>
      </w:pPr>
      <w:r w:rsidRPr="00252CA7">
        <w:rPr>
          <w:rFonts w:ascii="Arial" w:hAnsi="Arial" w:cs="Arial"/>
          <w:color w:val="000000" w:themeColor="text1"/>
        </w:rPr>
        <w:t xml:space="preserve">       Objectives of the study are to:</w:t>
      </w:r>
    </w:p>
    <w:p w14:paraId="1B3D133B"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design a reactor for torrefaction process</w:t>
      </w:r>
    </w:p>
    <w:p w14:paraId="1117713D"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simulate the designed torrefaction reactor using ANSYS tool</w:t>
      </w:r>
    </w:p>
    <w:p w14:paraId="4B5FEA7B"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employ Machine Learning Techniques: Artificial Neural Network (ANNs), random forest and linear regression to determine the higher heating value of torrefied biomass from proximate and ultimate analysis data.</w:t>
      </w:r>
    </w:p>
    <w:p w14:paraId="39B348CD" w14:textId="77777777" w:rsidR="00013A9F" w:rsidRDefault="00013A9F">
      <w:pPr>
        <w:numPr>
          <w:ilvl w:val="0"/>
          <w:numId w:val="4"/>
        </w:numPr>
        <w:jc w:val="both"/>
        <w:rPr>
          <w:rFonts w:ascii="Arial" w:hAnsi="Arial" w:cs="Arial"/>
          <w:color w:val="000000" w:themeColor="text1"/>
        </w:rPr>
      </w:pPr>
      <w:r w:rsidRPr="00252CA7">
        <w:rPr>
          <w:rFonts w:ascii="Arial" w:hAnsi="Arial" w:cs="Arial"/>
          <w:color w:val="000000" w:themeColor="text1"/>
        </w:rPr>
        <w:t>determine the most suitable model for predicting the heating value of torrefied biomass from its proximate and ultimate analysis.</w:t>
      </w:r>
    </w:p>
    <w:p w14:paraId="66BF0F03" w14:textId="14EAD589" w:rsidR="007413E7" w:rsidRPr="00252CA7" w:rsidRDefault="007413E7" w:rsidP="007413E7">
      <w:pPr>
        <w:ind w:left="705"/>
        <w:jc w:val="both"/>
        <w:rPr>
          <w:rFonts w:ascii="Arial" w:hAnsi="Arial" w:cs="Arial"/>
          <w:color w:val="000000" w:themeColor="text1"/>
        </w:rPr>
      </w:pPr>
    </w:p>
    <w:p w14:paraId="046EC90C" w14:textId="1182AE20" w:rsidR="00013A9F" w:rsidRPr="00252CA7" w:rsidRDefault="00013A9F" w:rsidP="00013A9F">
      <w:pPr>
        <w:ind w:left="-5"/>
        <w:jc w:val="both"/>
        <w:rPr>
          <w:rFonts w:ascii="Arial" w:hAnsi="Arial" w:cs="Arial"/>
          <w:b/>
          <w:bCs/>
          <w:color w:val="000000" w:themeColor="text1"/>
          <w:sz w:val="22"/>
          <w:szCs w:val="22"/>
        </w:rPr>
      </w:pPr>
      <w:bookmarkStart w:id="4" w:name="_Toc135433804"/>
      <w:r w:rsidRPr="00CB51B1">
        <w:rPr>
          <w:rFonts w:ascii="Arial" w:hAnsi="Arial" w:cs="Arial"/>
          <w:b/>
          <w:bCs/>
          <w:color w:val="000000" w:themeColor="text1"/>
          <w:sz w:val="22"/>
          <w:szCs w:val="22"/>
        </w:rPr>
        <w:t>1.</w:t>
      </w:r>
      <w:r w:rsidR="00D02E91">
        <w:rPr>
          <w:rFonts w:ascii="Arial" w:hAnsi="Arial" w:cs="Arial"/>
          <w:b/>
          <w:bCs/>
          <w:color w:val="000000" w:themeColor="text1"/>
          <w:sz w:val="22"/>
          <w:szCs w:val="22"/>
        </w:rPr>
        <w:t>2</w:t>
      </w:r>
      <w:r w:rsidRPr="00CB51B1">
        <w:rPr>
          <w:rFonts w:ascii="Arial" w:hAnsi="Arial" w:cs="Arial"/>
          <w:b/>
          <w:bCs/>
          <w:color w:val="000000" w:themeColor="text1"/>
          <w:sz w:val="22"/>
          <w:szCs w:val="22"/>
        </w:rPr>
        <w:t>.</w:t>
      </w:r>
      <w:r w:rsidRPr="00252CA7">
        <w:rPr>
          <w:rFonts w:ascii="Arial" w:hAnsi="Arial" w:cs="Arial"/>
          <w:color w:val="000000" w:themeColor="text1"/>
          <w:sz w:val="22"/>
          <w:szCs w:val="22"/>
        </w:rPr>
        <w:t xml:space="preserve">   </w:t>
      </w:r>
      <w:r w:rsidRPr="00252CA7">
        <w:rPr>
          <w:rFonts w:ascii="Arial" w:hAnsi="Arial" w:cs="Arial"/>
          <w:color w:val="000000" w:themeColor="text1"/>
          <w:sz w:val="22"/>
          <w:szCs w:val="22"/>
        </w:rPr>
        <w:tab/>
      </w:r>
      <w:r w:rsidRPr="00252CA7">
        <w:rPr>
          <w:rFonts w:ascii="Arial" w:hAnsi="Arial" w:cs="Arial"/>
          <w:b/>
          <w:bCs/>
          <w:color w:val="000000" w:themeColor="text1"/>
          <w:sz w:val="22"/>
          <w:szCs w:val="22"/>
        </w:rPr>
        <w:t>Limitations</w:t>
      </w:r>
      <w:bookmarkEnd w:id="4"/>
      <w:r w:rsidRPr="00252CA7">
        <w:rPr>
          <w:rFonts w:ascii="Arial" w:hAnsi="Arial" w:cs="Arial"/>
          <w:b/>
          <w:bCs/>
          <w:color w:val="000000" w:themeColor="text1"/>
          <w:sz w:val="22"/>
          <w:szCs w:val="22"/>
        </w:rPr>
        <w:t xml:space="preserve"> of the study</w:t>
      </w:r>
    </w:p>
    <w:p w14:paraId="2923788C"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The process requires the use of specialised equipment, which can be expensive,</w:t>
      </w:r>
    </w:p>
    <w:p w14:paraId="50D46C9F"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lastRenderedPageBreak/>
        <w:t>The process is energy-intensive, and the energy input required to perform the torrefaction may offset some of the energy gains achieved by the use of torrefied biomass as a fuel.</w:t>
      </w:r>
    </w:p>
    <w:p w14:paraId="005800D5"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The need for specialised equipment, and the high energy input required to perform the torrefaction</w:t>
      </w:r>
    </w:p>
    <w:p w14:paraId="4B24A287"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Regression models can be limited by the assumptions they make about the relationships between the inputs and outputs, which may not always hold in real-world scenarios.</w:t>
      </w:r>
    </w:p>
    <w:p w14:paraId="577BE2E5" w14:textId="77777777" w:rsidR="00013A9F" w:rsidRDefault="00013A9F">
      <w:pPr>
        <w:numPr>
          <w:ilvl w:val="0"/>
          <w:numId w:val="5"/>
        </w:numPr>
        <w:jc w:val="both"/>
        <w:rPr>
          <w:rFonts w:ascii="Arial" w:hAnsi="Arial" w:cs="Arial"/>
          <w:color w:val="000000" w:themeColor="text1"/>
        </w:rPr>
      </w:pPr>
      <w:r w:rsidRPr="00252CA7">
        <w:rPr>
          <w:rFonts w:ascii="Arial" w:hAnsi="Arial" w:cs="Arial"/>
          <w:color w:val="000000" w:themeColor="text1"/>
        </w:rPr>
        <w:t>ANNs, on the other hand, can be difficult to interpret and can be sensitive to the choice of inputs, the training data, and the model parameters, which can affect the accuracy of the predictions.</w:t>
      </w:r>
    </w:p>
    <w:p w14:paraId="45647513" w14:textId="77777777" w:rsidR="007413E7" w:rsidRDefault="007413E7" w:rsidP="007413E7">
      <w:pPr>
        <w:jc w:val="both"/>
        <w:rPr>
          <w:rFonts w:ascii="Arial" w:hAnsi="Arial" w:cs="Arial"/>
          <w:color w:val="000000" w:themeColor="text1"/>
        </w:rPr>
      </w:pPr>
    </w:p>
    <w:p w14:paraId="150ABF02" w14:textId="77777777" w:rsidR="007413E7" w:rsidRDefault="007413E7" w:rsidP="007413E7">
      <w:pPr>
        <w:jc w:val="both"/>
        <w:rPr>
          <w:rFonts w:ascii="Arial" w:hAnsi="Arial" w:cs="Arial"/>
          <w:color w:val="000000" w:themeColor="text1"/>
        </w:rPr>
      </w:pPr>
    </w:p>
    <w:p w14:paraId="43AE4F1E" w14:textId="1EC1749F" w:rsidR="007413E7" w:rsidRDefault="007413E7" w:rsidP="007413E7">
      <w:pPr>
        <w:pStyle w:val="AbstHead"/>
        <w:spacing w:after="0"/>
        <w:jc w:val="both"/>
        <w:rPr>
          <w:rFonts w:ascii="Arial" w:hAnsi="Arial" w:cs="Arial"/>
        </w:rPr>
      </w:pPr>
      <w:r>
        <w:rPr>
          <w:rFonts w:ascii="Arial" w:hAnsi="Arial" w:cs="Arial"/>
        </w:rPr>
        <w:t xml:space="preserve">2. literature review </w:t>
      </w:r>
    </w:p>
    <w:p w14:paraId="111E1AE0" w14:textId="77777777" w:rsidR="007413E7" w:rsidRPr="00FB3A86" w:rsidRDefault="007413E7" w:rsidP="007413E7">
      <w:pPr>
        <w:pStyle w:val="AbstHead"/>
        <w:spacing w:after="0"/>
        <w:jc w:val="both"/>
        <w:rPr>
          <w:rFonts w:ascii="Arial" w:hAnsi="Arial" w:cs="Arial"/>
        </w:rPr>
      </w:pPr>
    </w:p>
    <w:p w14:paraId="09D0231A" w14:textId="77777777" w:rsidR="00E0341C" w:rsidRDefault="00E0341C" w:rsidP="00446A70">
      <w:pPr>
        <w:ind w:left="-15"/>
        <w:jc w:val="both"/>
        <w:rPr>
          <w:rFonts w:ascii="Arial" w:hAnsi="Arial" w:cs="Arial"/>
          <w:color w:val="000000" w:themeColor="text1"/>
        </w:rPr>
      </w:pPr>
    </w:p>
    <w:p w14:paraId="0D57B73C" w14:textId="77777777" w:rsidR="00E0341C" w:rsidRPr="00E0341C" w:rsidRDefault="00E0341C" w:rsidP="00E0341C">
      <w:pPr>
        <w:ind w:left="-15"/>
        <w:jc w:val="both"/>
        <w:rPr>
          <w:rFonts w:ascii="Arial" w:hAnsi="Arial" w:cs="Arial"/>
          <w:color w:val="000000" w:themeColor="text1"/>
        </w:rPr>
      </w:pPr>
      <w:r w:rsidRPr="00E0341C">
        <w:rPr>
          <w:rFonts w:ascii="Arial" w:hAnsi="Arial" w:cs="Arial"/>
          <w:color w:val="000000" w:themeColor="text1"/>
        </w:rPr>
        <w:t>Biomass torrefaction at temperatures above 250 °C is generally regarded as an exothermic process, in which the surplus energy generated may be recovered and reutilised within the system. The thermal energy required for both drying and torrefaction operations can potentially be supplied through the combustion of torrefaction gases (torgas) (Nuries et al., 2012), although this approach has not yet been fully validated for integrated biomass torrefaction systems. Furthermore, scale-up investigations are expected to influence the overall energy integration of the system, with consequential effects on equipment dimensions and operational parameters.</w:t>
      </w:r>
    </w:p>
    <w:p w14:paraId="791D23F4" w14:textId="77777777" w:rsidR="00E0341C" w:rsidRPr="00E0341C" w:rsidRDefault="00E0341C" w:rsidP="00E0341C">
      <w:pPr>
        <w:ind w:left="-15"/>
        <w:jc w:val="both"/>
        <w:rPr>
          <w:rFonts w:ascii="Arial" w:hAnsi="Arial" w:cs="Arial"/>
          <w:color w:val="000000" w:themeColor="text1"/>
        </w:rPr>
      </w:pPr>
    </w:p>
    <w:p w14:paraId="6DF93974" w14:textId="77777777" w:rsidR="00E0341C" w:rsidRPr="00E0341C" w:rsidRDefault="00E0341C" w:rsidP="00E0341C">
      <w:pPr>
        <w:ind w:left="-15"/>
        <w:jc w:val="both"/>
        <w:rPr>
          <w:rFonts w:ascii="Arial" w:hAnsi="Arial" w:cs="Arial"/>
          <w:color w:val="000000" w:themeColor="text1"/>
        </w:rPr>
      </w:pPr>
      <w:r w:rsidRPr="00E0341C">
        <w:rPr>
          <w:rFonts w:ascii="Arial" w:hAnsi="Arial" w:cs="Arial"/>
          <w:color w:val="000000" w:themeColor="text1"/>
        </w:rPr>
        <w:t>Among renewable energy resources, biomass residues exhibit considerable potential due to their inherent capacity to store solar energy and their versatility in conversion into solid, liquid, and gaseous fuels. Coconut (Cocos nucifera L.) is an agricultural crop cultivated throughout the year, unlike many seasonal fruit crops (Yerima and Grema, 2018). Major coconut-producing regions include the Philippines, Indonesia, India, Malaysia, Hawaii, Africa, South America, the Pacific Islands, and other tropical regions worldwide. Globally, coconut cultivation extends across approximately ten million hectares in 92 countries, with Asian countries accounting for nearly 75% of total production (Yerima and Grema, 2018).</w:t>
      </w:r>
    </w:p>
    <w:p w14:paraId="0D1E140D" w14:textId="77777777" w:rsidR="00E0341C" w:rsidRPr="00E0341C" w:rsidRDefault="00E0341C" w:rsidP="00E0341C">
      <w:pPr>
        <w:ind w:left="-15"/>
        <w:jc w:val="both"/>
        <w:rPr>
          <w:rFonts w:ascii="Arial" w:hAnsi="Arial" w:cs="Arial"/>
          <w:color w:val="000000" w:themeColor="text1"/>
        </w:rPr>
      </w:pPr>
    </w:p>
    <w:p w14:paraId="34857BDA" w14:textId="55F3E268" w:rsidR="00E0341C" w:rsidRDefault="00E0341C" w:rsidP="00E0341C">
      <w:pPr>
        <w:ind w:left="-15"/>
        <w:jc w:val="both"/>
        <w:rPr>
          <w:rFonts w:ascii="Arial" w:hAnsi="Arial" w:cs="Arial"/>
          <w:color w:val="000000" w:themeColor="text1"/>
        </w:rPr>
      </w:pPr>
      <w:r w:rsidRPr="00E0341C">
        <w:rPr>
          <w:rFonts w:ascii="Arial" w:hAnsi="Arial" w:cs="Arial"/>
          <w:color w:val="000000" w:themeColor="text1"/>
        </w:rPr>
        <w:t>Large quantities of coconuts are processed annually for a wide range of industrial and commercial applications. Coconut is recognised as a rich source of potassium and is utilised in numerous value-added products. The increasing economic significance and commercial potential of coconut have contributed to a steady rise in global demand. Consequently, the expansion of coconut water, oil, and milk processing industries has resulted in the generation of substantial quantities of coconut shell residues (see Figure 1), which are widely discarded as biomass waste across tropical countries (Ahmed et al., 2020).</w:t>
      </w:r>
    </w:p>
    <w:p w14:paraId="790BF61C" w14:textId="77777777" w:rsidR="00CB51B1" w:rsidRPr="00252CA7" w:rsidRDefault="00CB51B1" w:rsidP="00CB51B1">
      <w:pPr>
        <w:spacing w:after="6"/>
        <w:ind w:left="-15"/>
        <w:jc w:val="both"/>
        <w:rPr>
          <w:rFonts w:ascii="Arial" w:hAnsi="Arial" w:cs="Arial"/>
          <w:color w:val="000000" w:themeColor="text1"/>
        </w:rPr>
      </w:pPr>
    </w:p>
    <w:p w14:paraId="53DE8799" w14:textId="77777777" w:rsidR="00E0341C" w:rsidRDefault="00E0341C" w:rsidP="007413E7">
      <w:pPr>
        <w:spacing w:after="210"/>
        <w:ind w:left="-15"/>
        <w:jc w:val="both"/>
        <w:rPr>
          <w:rFonts w:ascii="Arial" w:hAnsi="Arial" w:cs="Arial"/>
          <w:color w:val="000000" w:themeColor="text1"/>
        </w:rPr>
      </w:pPr>
    </w:p>
    <w:p w14:paraId="659CD92B" w14:textId="77777777" w:rsidR="00E0341C" w:rsidRPr="00E0341C" w:rsidRDefault="00E0341C" w:rsidP="00E0341C">
      <w:pPr>
        <w:spacing w:after="210"/>
        <w:ind w:left="-15"/>
        <w:jc w:val="both"/>
        <w:rPr>
          <w:rFonts w:ascii="Arial" w:hAnsi="Arial" w:cs="Arial"/>
          <w:color w:val="000000" w:themeColor="text1"/>
        </w:rPr>
      </w:pPr>
      <w:r w:rsidRPr="00E0341C">
        <w:rPr>
          <w:rFonts w:ascii="Arial" w:hAnsi="Arial" w:cs="Arial"/>
          <w:color w:val="000000" w:themeColor="text1"/>
        </w:rPr>
        <w:t>Malaysia possesses considerable potential for biomass production and maintains a favourable energy trade balance, positioning the country to effectively utilise renewable energy resources as a supplement to its limited petroleum and coal reserves. The nation’s extensive forestry and agro-industrial sectors generate substantial quantities of biomass residues due to the increasing production of agricultural commodities, particularly crops belonging to the palm family, which are widely cultivated for industrial and commercial purposes (Goh, 2019).</w:t>
      </w:r>
    </w:p>
    <w:p w14:paraId="4D444686" w14:textId="77777777" w:rsidR="00E0341C" w:rsidRPr="00E0341C" w:rsidRDefault="00E0341C" w:rsidP="00E0341C">
      <w:pPr>
        <w:spacing w:after="210"/>
        <w:ind w:left="-15"/>
        <w:jc w:val="both"/>
        <w:rPr>
          <w:rFonts w:ascii="Arial" w:hAnsi="Arial" w:cs="Arial"/>
          <w:color w:val="000000" w:themeColor="text1"/>
        </w:rPr>
      </w:pPr>
    </w:p>
    <w:p w14:paraId="4F525ED7" w14:textId="77777777" w:rsidR="00E0341C" w:rsidRPr="00E0341C" w:rsidRDefault="00E0341C" w:rsidP="00E0341C">
      <w:pPr>
        <w:spacing w:after="210"/>
        <w:ind w:left="-15"/>
        <w:jc w:val="both"/>
        <w:rPr>
          <w:rFonts w:ascii="Arial" w:hAnsi="Arial" w:cs="Arial"/>
          <w:color w:val="000000" w:themeColor="text1"/>
        </w:rPr>
      </w:pPr>
      <w:r w:rsidRPr="00E0341C">
        <w:rPr>
          <w:rFonts w:ascii="Arial" w:hAnsi="Arial" w:cs="Arial"/>
          <w:color w:val="000000" w:themeColor="text1"/>
        </w:rPr>
        <w:t>Malaysia was ranked as the twelfth-largest coconut-producing country globally (FAO, 2019), with an annual production volume of approximately 517.6 k tonnes, making coconut the country’s fourth most significant industrial crop. The decline in palm oil prices has imposed economic challenges on smallholders, thereby increasing market interest in coconuts and contributing to a rise in coconut prices (Yun, 2019). Consequently, the coconut industry in Malaysia has experienced substantial growth, accompanied by rapidly increasing market demand.</w:t>
      </w:r>
    </w:p>
    <w:p w14:paraId="260D47FB" w14:textId="77777777" w:rsidR="00E0341C" w:rsidRPr="00E0341C" w:rsidRDefault="00E0341C" w:rsidP="00E0341C">
      <w:pPr>
        <w:spacing w:after="210"/>
        <w:ind w:left="-15"/>
        <w:jc w:val="both"/>
        <w:rPr>
          <w:rFonts w:ascii="Arial" w:hAnsi="Arial" w:cs="Arial"/>
          <w:color w:val="000000" w:themeColor="text1"/>
        </w:rPr>
      </w:pPr>
    </w:p>
    <w:p w14:paraId="71436598" w14:textId="668F34E8" w:rsidR="00E0341C" w:rsidRPr="00252CA7" w:rsidRDefault="00E0341C" w:rsidP="00E0341C">
      <w:pPr>
        <w:spacing w:after="210"/>
        <w:ind w:left="-15"/>
        <w:jc w:val="both"/>
        <w:rPr>
          <w:rFonts w:ascii="Arial" w:hAnsi="Arial" w:cs="Arial"/>
          <w:color w:val="000000" w:themeColor="text1"/>
        </w:rPr>
      </w:pPr>
      <w:r w:rsidRPr="00E0341C">
        <w:rPr>
          <w:rFonts w:ascii="Arial" w:hAnsi="Arial" w:cs="Arial"/>
          <w:color w:val="000000" w:themeColor="text1"/>
        </w:rPr>
        <w:t>Over the past two decades, coconut fruit was primarily utilised for oil extraction. However, its applications have diversified significantly in recent years, extending beyond oil production to include products associated with health, cosmetics, energy, and food industries, such as beverages, cooking oil, powdered milk, fresh milk, and coconut water. As a result of this industrial expansion, considerable quantities of biomass residues are continuously generated by coconut-processing industries.</w:t>
      </w:r>
    </w:p>
    <w:p w14:paraId="3A03F9CE" w14:textId="77777777" w:rsidR="007413E7" w:rsidRPr="00252CA7" w:rsidRDefault="007413E7" w:rsidP="007413E7">
      <w:pPr>
        <w:spacing w:after="210"/>
        <w:ind w:left="-15"/>
        <w:jc w:val="both"/>
        <w:rPr>
          <w:rFonts w:ascii="Arial" w:hAnsi="Arial" w:cs="Arial"/>
          <w:color w:val="000000" w:themeColor="text1"/>
        </w:rPr>
      </w:pPr>
      <w:r w:rsidRPr="00252CA7">
        <w:rPr>
          <w:rFonts w:ascii="Arial" w:hAnsi="Arial" w:cs="Arial"/>
          <w:noProof/>
          <w:color w:val="000000" w:themeColor="text1"/>
          <w:lang w:eastAsia="en-GB"/>
        </w:rPr>
        <w:drawing>
          <wp:inline distT="0" distB="0" distL="0" distR="0" wp14:anchorId="43FC8F92" wp14:editId="4B1CA004">
            <wp:extent cx="5759513" cy="2072640"/>
            <wp:effectExtent l="0" t="0" r="0" b="3810"/>
            <wp:docPr id="84988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5047" name="Picture 8498850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3398" cy="2077637"/>
                    </a:xfrm>
                    <a:prstGeom prst="rect">
                      <a:avLst/>
                    </a:prstGeom>
                  </pic:spPr>
                </pic:pic>
              </a:graphicData>
            </a:graphic>
          </wp:inline>
        </w:drawing>
      </w:r>
    </w:p>
    <w:p w14:paraId="459329B4" w14:textId="55A933DA" w:rsidR="007413E7" w:rsidRPr="00252CA7" w:rsidRDefault="007413E7" w:rsidP="007413E7">
      <w:pPr>
        <w:jc w:val="both"/>
        <w:rPr>
          <w:rFonts w:ascii="Arial" w:hAnsi="Arial" w:cs="Arial"/>
          <w:iCs/>
          <w:color w:val="000000" w:themeColor="text1"/>
        </w:rPr>
      </w:pPr>
      <w:r w:rsidRPr="00252CA7">
        <w:rPr>
          <w:rFonts w:ascii="Arial" w:hAnsi="Arial" w:cs="Arial"/>
          <w:iCs/>
          <w:color w:val="000000" w:themeColor="text1"/>
        </w:rPr>
        <w:t>Figure.1. (a) As received coconut fibrous unclean, (b) cleaned, and (c) powdered coconut shell. (Rabi, et al. 2020)</w:t>
      </w:r>
    </w:p>
    <w:p w14:paraId="39B3BE60" w14:textId="77777777" w:rsidR="007413E7" w:rsidRPr="00252CA7" w:rsidRDefault="007413E7" w:rsidP="007413E7">
      <w:pPr>
        <w:jc w:val="both"/>
        <w:rPr>
          <w:rFonts w:ascii="Arial" w:hAnsi="Arial" w:cs="Arial"/>
          <w:i/>
          <w:color w:val="000000" w:themeColor="text1"/>
        </w:rPr>
      </w:pPr>
    </w:p>
    <w:p w14:paraId="3F9B3680" w14:textId="77777777" w:rsidR="007413E7" w:rsidRPr="00252CA7" w:rsidRDefault="007413E7" w:rsidP="007413E7">
      <w:pPr>
        <w:jc w:val="both"/>
        <w:rPr>
          <w:rFonts w:ascii="Arial" w:hAnsi="Arial" w:cs="Arial"/>
          <w:i/>
          <w:color w:val="000000" w:themeColor="text1"/>
        </w:rPr>
      </w:pPr>
      <w:r w:rsidRPr="00252CA7">
        <w:rPr>
          <w:rFonts w:ascii="Arial" w:hAnsi="Arial" w:cs="Arial"/>
          <w:noProof/>
          <w:color w:val="000000" w:themeColor="text1"/>
          <w:lang w:eastAsia="en-GB"/>
        </w:rPr>
        <w:drawing>
          <wp:inline distT="0" distB="0" distL="0" distR="0" wp14:anchorId="24339A56" wp14:editId="6AB4A9C2">
            <wp:extent cx="2459355" cy="1624203"/>
            <wp:effectExtent l="0" t="0" r="0" b="0"/>
            <wp:docPr id="720" name="Picture 1"/>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5"/>
                    <a:stretch>
                      <a:fillRect/>
                    </a:stretch>
                  </pic:blipFill>
                  <pic:spPr>
                    <a:xfrm>
                      <a:off x="0" y="0"/>
                      <a:ext cx="2461757" cy="1625789"/>
                    </a:xfrm>
                    <a:prstGeom prst="rect">
                      <a:avLst/>
                    </a:prstGeom>
                  </pic:spPr>
                </pic:pic>
              </a:graphicData>
            </a:graphic>
          </wp:inline>
        </w:drawing>
      </w:r>
    </w:p>
    <w:p w14:paraId="4086AD3C" w14:textId="57370A9C" w:rsidR="007413E7" w:rsidRPr="00252CA7" w:rsidRDefault="007413E7" w:rsidP="007413E7">
      <w:pPr>
        <w:jc w:val="both"/>
        <w:rPr>
          <w:rFonts w:ascii="Arial" w:hAnsi="Arial" w:cs="Arial"/>
          <w:iCs/>
          <w:color w:val="000000" w:themeColor="text1"/>
        </w:rPr>
      </w:pPr>
      <w:r w:rsidRPr="00252CA7">
        <w:rPr>
          <w:rFonts w:ascii="Arial" w:hAnsi="Arial" w:cs="Arial"/>
          <w:iCs/>
          <w:color w:val="000000" w:themeColor="text1"/>
        </w:rPr>
        <w:t>Figure 2. Torrefied Coconut shell (Rabi, et al. 2020)</w:t>
      </w:r>
    </w:p>
    <w:p w14:paraId="09B09D62" w14:textId="77777777" w:rsidR="007413E7" w:rsidRPr="00252CA7" w:rsidRDefault="007413E7">
      <w:pPr>
        <w:pStyle w:val="Heading1"/>
        <w:numPr>
          <w:ilvl w:val="2"/>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480" w:lineRule="auto"/>
        <w:ind w:left="360" w:hanging="360"/>
        <w:jc w:val="both"/>
        <w:rPr>
          <w:rFonts w:cs="Arial"/>
          <w:bCs/>
          <w:color w:val="000000" w:themeColor="text1"/>
          <w:sz w:val="22"/>
          <w:szCs w:val="22"/>
        </w:rPr>
      </w:pPr>
      <w:bookmarkStart w:id="5" w:name="_Toc140521275"/>
      <w:r w:rsidRPr="00252CA7">
        <w:rPr>
          <w:rFonts w:cs="Arial"/>
          <w:bCs/>
          <w:color w:val="000000" w:themeColor="text1"/>
          <w:sz w:val="22"/>
          <w:szCs w:val="22"/>
        </w:rPr>
        <w:t>Understanding Coconut Fuel Production</w:t>
      </w:r>
      <w:bookmarkEnd w:id="5"/>
    </w:p>
    <w:p w14:paraId="5C912F4A" w14:textId="77777777" w:rsidR="00E0341C" w:rsidRDefault="00E0341C" w:rsidP="007413E7">
      <w:pPr>
        <w:jc w:val="both"/>
        <w:rPr>
          <w:rFonts w:ascii="Arial" w:hAnsi="Arial" w:cs="Arial"/>
          <w:color w:val="000000" w:themeColor="text1"/>
        </w:rPr>
      </w:pPr>
    </w:p>
    <w:p w14:paraId="586DDE07" w14:textId="77777777" w:rsidR="00E0341C" w:rsidRPr="00E0341C" w:rsidRDefault="00E0341C" w:rsidP="00E0341C">
      <w:pPr>
        <w:jc w:val="both"/>
        <w:rPr>
          <w:rFonts w:ascii="Arial" w:hAnsi="Arial" w:cs="Arial"/>
          <w:color w:val="000000" w:themeColor="text1"/>
        </w:rPr>
      </w:pPr>
      <w:r w:rsidRPr="00E0341C">
        <w:rPr>
          <w:rFonts w:ascii="Arial" w:hAnsi="Arial" w:cs="Arial"/>
          <w:color w:val="000000" w:themeColor="text1"/>
        </w:rPr>
        <w:t>Charcoal is an energy-dense fuel that offers significant advantages over the direct utilisation of raw biomass, particularly in reducing greenhouse gas emissions into the atmosphere. The transition towards a low-carbon economy is considered essential for addressing climate change while simultaneously promoting economic development. Coconut shells are known to possess a high lignin content (Basu, 2010), making them a promising and viable biomass resource for the production of charcoal as well as various raw materials utilised in chemical industries.</w:t>
      </w:r>
    </w:p>
    <w:p w14:paraId="09EB9A53" w14:textId="77777777" w:rsidR="00E0341C" w:rsidRPr="00E0341C" w:rsidRDefault="00E0341C" w:rsidP="00E0341C">
      <w:pPr>
        <w:jc w:val="both"/>
        <w:rPr>
          <w:rFonts w:ascii="Arial" w:hAnsi="Arial" w:cs="Arial"/>
          <w:color w:val="000000" w:themeColor="text1"/>
        </w:rPr>
      </w:pPr>
    </w:p>
    <w:p w14:paraId="2E8C0538" w14:textId="77777777" w:rsidR="00E0341C" w:rsidRPr="00E0341C" w:rsidRDefault="00E0341C" w:rsidP="00E0341C">
      <w:pPr>
        <w:jc w:val="both"/>
        <w:rPr>
          <w:rFonts w:ascii="Arial" w:hAnsi="Arial" w:cs="Arial"/>
          <w:color w:val="000000" w:themeColor="text1"/>
        </w:rPr>
      </w:pPr>
      <w:r w:rsidRPr="00E0341C">
        <w:rPr>
          <w:rFonts w:ascii="Arial" w:hAnsi="Arial" w:cs="Arial"/>
          <w:color w:val="000000" w:themeColor="text1"/>
        </w:rPr>
        <w:t>A comprehensive understanding of the elemental composition, functional groups, chemical and crystalline structures, and morphological characteristics of biomass is crucial for efficient charcoal production. Such knowledge is important because the physicochemical properties of biomass significantly influence the quality and performance of the resulting charcoal products. Coconut shells can therefore be effectively converted into charcoal and other value-added products through existing conversion technologies for a wide range of industrial applications.</w:t>
      </w:r>
    </w:p>
    <w:p w14:paraId="4CB10F7B" w14:textId="77777777" w:rsidR="00E0341C" w:rsidRPr="00E0341C" w:rsidRDefault="00E0341C" w:rsidP="00E0341C">
      <w:pPr>
        <w:jc w:val="both"/>
        <w:rPr>
          <w:rFonts w:ascii="Arial" w:hAnsi="Arial" w:cs="Arial"/>
          <w:color w:val="000000" w:themeColor="text1"/>
        </w:rPr>
      </w:pPr>
    </w:p>
    <w:p w14:paraId="575220CB" w14:textId="3FABCF3B" w:rsidR="00E0341C" w:rsidRDefault="00E0341C" w:rsidP="00E0341C">
      <w:pPr>
        <w:jc w:val="both"/>
        <w:rPr>
          <w:rFonts w:ascii="Arial" w:hAnsi="Arial" w:cs="Arial"/>
          <w:color w:val="000000" w:themeColor="text1"/>
        </w:rPr>
      </w:pPr>
      <w:r w:rsidRPr="00E0341C">
        <w:rPr>
          <w:rFonts w:ascii="Arial" w:hAnsi="Arial" w:cs="Arial"/>
          <w:color w:val="000000" w:themeColor="text1"/>
        </w:rPr>
        <w:t>Coconut shells offer several advantages that make them a suitable feedstock for charcoal production. They are available throughout the year and, when properly carbonised, contribute minimally to net atmospheric carbon emissions. Moreover, their utilisation reduces dependence on non-renewable energy resources, mitigates waste disposal challenges, and contributes to enhanced energy supply. The development of efficient biomass utilisation and conversion technologies can therefore minimise waste generation while simultaneously creating economic value (Amin, 2019). For these reasons, the pyrolysis of coconut shells into charcoal represents a promising pathway for producing solid fuel products that can be directly utilised as sustainable energy sources.</w:t>
      </w:r>
    </w:p>
    <w:p w14:paraId="12EC86B8" w14:textId="77777777" w:rsidR="00D02E91" w:rsidRDefault="00D02E91" w:rsidP="007413E7">
      <w:pPr>
        <w:spacing w:after="6"/>
        <w:ind w:left="-15" w:firstLine="229"/>
        <w:jc w:val="both"/>
        <w:rPr>
          <w:rFonts w:ascii="Arial" w:hAnsi="Arial" w:cs="Arial"/>
          <w:color w:val="000000" w:themeColor="text1"/>
        </w:rPr>
      </w:pPr>
    </w:p>
    <w:p w14:paraId="29ACD173" w14:textId="77777777" w:rsidR="007413E7" w:rsidRPr="00252CA7" w:rsidRDefault="007413E7" w:rsidP="007F7952">
      <w:pPr>
        <w:pStyle w:val="Heading1"/>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ind w:left="1440" w:hanging="360"/>
        <w:jc w:val="both"/>
        <w:rPr>
          <w:rFonts w:cs="Arial"/>
          <w:bCs/>
          <w:color w:val="000000" w:themeColor="text1"/>
          <w:sz w:val="22"/>
          <w:szCs w:val="22"/>
        </w:rPr>
      </w:pPr>
      <w:bookmarkStart w:id="6" w:name="_heading=h.49x2ik5" w:colFirst="0" w:colLast="0"/>
      <w:bookmarkStart w:id="7" w:name="_heading=h.2p2csry" w:colFirst="0" w:colLast="0"/>
      <w:bookmarkStart w:id="8" w:name="_heading=h.147n2zr" w:colFirst="0" w:colLast="0"/>
      <w:bookmarkStart w:id="9" w:name="_heading=h.3o7alnk" w:colFirst="0" w:colLast="0"/>
      <w:bookmarkStart w:id="10" w:name="_Toc134553730"/>
      <w:bookmarkStart w:id="11" w:name="_Toc135433816"/>
      <w:bookmarkStart w:id="12" w:name="_Toc140521283"/>
      <w:bookmarkEnd w:id="6"/>
      <w:bookmarkEnd w:id="7"/>
      <w:bookmarkEnd w:id="8"/>
      <w:bookmarkEnd w:id="9"/>
      <w:r w:rsidRPr="00252CA7">
        <w:rPr>
          <w:rFonts w:cs="Arial"/>
          <w:bCs/>
          <w:color w:val="000000" w:themeColor="text1"/>
          <w:sz w:val="22"/>
          <w:szCs w:val="22"/>
        </w:rPr>
        <w:t>Torrefaction Reactors</w:t>
      </w:r>
      <w:bookmarkEnd w:id="10"/>
      <w:bookmarkEnd w:id="11"/>
      <w:bookmarkEnd w:id="12"/>
    </w:p>
    <w:p w14:paraId="65EBDF53" w14:textId="02CD8D26" w:rsidR="007413E7" w:rsidRPr="00252CA7" w:rsidRDefault="007413E7" w:rsidP="007413E7">
      <w:pPr>
        <w:jc w:val="both"/>
        <w:rPr>
          <w:rFonts w:ascii="Arial" w:hAnsi="Arial" w:cs="Arial"/>
          <w:color w:val="000000" w:themeColor="text1"/>
        </w:rPr>
      </w:pPr>
      <w:r w:rsidRPr="00252CA7">
        <w:rPr>
          <w:rFonts w:ascii="Arial" w:hAnsi="Arial" w:cs="Arial"/>
          <w:color w:val="000000" w:themeColor="text1"/>
        </w:rPr>
        <w:t xml:space="preserve">In as much as the torrefaction process is carried out to improve the energy density of biomass, such improvement is almost impossible to be done without an efficient torrefaction reactor. However, the importance of a reactor can be stretched to providing an enclosed environment with adequate pressure-temperature interaction. Also, it allows collection of torrefaction by-products which are in the form of solid residue, gaseous matter, liquid materials and the torrefied biomass itself. Furthermore, it moderate the oxygen exposure of the biomass which can pre-ignite the biomass throughput when superheated during the process. Torrefaction reactors vary in structure, production capacity, heating medium, size, feedstock e.t.c. The one we choose must be able to satisfy the job requirement (I.e. capacity of produce). Examples of torrefaction reactors are: Rotary drum (see fig. </w:t>
      </w:r>
      <w:r w:rsidR="00FD1FA5">
        <w:rPr>
          <w:rFonts w:ascii="Arial" w:hAnsi="Arial" w:cs="Arial"/>
          <w:color w:val="000000" w:themeColor="text1"/>
        </w:rPr>
        <w:t>3</w:t>
      </w:r>
      <w:r w:rsidRPr="00252CA7">
        <w:rPr>
          <w:rFonts w:ascii="Arial" w:hAnsi="Arial" w:cs="Arial"/>
          <w:color w:val="000000" w:themeColor="text1"/>
        </w:rPr>
        <w:t xml:space="preserve">), Microwave (see fig. </w:t>
      </w:r>
      <w:r w:rsidR="00FD1FA5">
        <w:rPr>
          <w:rFonts w:ascii="Arial" w:hAnsi="Arial" w:cs="Arial"/>
          <w:color w:val="000000" w:themeColor="text1"/>
        </w:rPr>
        <w:t>4</w:t>
      </w:r>
      <w:r w:rsidRPr="00252CA7">
        <w:rPr>
          <w:rFonts w:ascii="Arial" w:hAnsi="Arial" w:cs="Arial"/>
          <w:color w:val="000000" w:themeColor="text1"/>
        </w:rPr>
        <w:t xml:space="preserve">), Fixed bed (see fig. </w:t>
      </w:r>
      <w:r w:rsidR="00FD1FA5">
        <w:rPr>
          <w:rFonts w:ascii="Arial" w:hAnsi="Arial" w:cs="Arial"/>
          <w:color w:val="000000" w:themeColor="text1"/>
        </w:rPr>
        <w:t>5</w:t>
      </w:r>
      <w:r w:rsidRPr="00252CA7">
        <w:rPr>
          <w:rFonts w:ascii="Arial" w:hAnsi="Arial" w:cs="Arial"/>
          <w:color w:val="000000" w:themeColor="text1"/>
        </w:rPr>
        <w:t>), Fluidized bed, Screw reactor and Multiple hearth furnace (Megan, 2016)</w:t>
      </w:r>
    </w:p>
    <w:p w14:paraId="24E355FC" w14:textId="77777777" w:rsidR="007413E7" w:rsidRPr="00252CA7" w:rsidRDefault="007413E7" w:rsidP="007413E7">
      <w:pPr>
        <w:jc w:val="both"/>
        <w:rPr>
          <w:rFonts w:ascii="Arial" w:hAnsi="Arial" w:cs="Arial"/>
          <w:color w:val="000000" w:themeColor="text1"/>
        </w:rPr>
      </w:pPr>
      <w:r w:rsidRPr="00252CA7">
        <w:rPr>
          <w:rFonts w:ascii="Arial" w:hAnsi="Arial" w:cs="Arial"/>
          <w:noProof/>
          <w:color w:val="000000" w:themeColor="text1"/>
          <w:lang w:eastAsia="en-GB"/>
        </w:rPr>
        <w:drawing>
          <wp:inline distT="114300" distB="114300" distL="114300" distR="114300" wp14:anchorId="6486A98D" wp14:editId="1D236E73">
            <wp:extent cx="4584065" cy="3048000"/>
            <wp:effectExtent l="0" t="0" r="6985"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599229" cy="3058083"/>
                    </a:xfrm>
                    <a:prstGeom prst="rect">
                      <a:avLst/>
                    </a:prstGeom>
                    <a:ln/>
                  </pic:spPr>
                </pic:pic>
              </a:graphicData>
            </a:graphic>
          </wp:inline>
        </w:drawing>
      </w:r>
    </w:p>
    <w:p w14:paraId="40666E6D" w14:textId="2EB41063" w:rsidR="007413E7" w:rsidRPr="00252CA7" w:rsidRDefault="007413E7" w:rsidP="007413E7">
      <w:pPr>
        <w:jc w:val="both"/>
        <w:rPr>
          <w:rFonts w:ascii="Arial" w:hAnsi="Arial" w:cs="Arial"/>
          <w:b/>
          <w:bCs/>
          <w:iCs/>
          <w:color w:val="000000" w:themeColor="text1"/>
        </w:rPr>
      </w:pPr>
      <w:r w:rsidRPr="00252CA7">
        <w:rPr>
          <w:rFonts w:ascii="Arial" w:hAnsi="Arial" w:cs="Arial"/>
          <w:b/>
          <w:bCs/>
          <w:iCs/>
          <w:color w:val="000000" w:themeColor="text1"/>
        </w:rPr>
        <w:t xml:space="preserve">Figure </w:t>
      </w:r>
      <w:r w:rsidR="00FD1FA5">
        <w:rPr>
          <w:rFonts w:ascii="Arial" w:hAnsi="Arial" w:cs="Arial"/>
          <w:b/>
          <w:bCs/>
          <w:iCs/>
          <w:color w:val="000000" w:themeColor="text1"/>
        </w:rPr>
        <w:t>3</w:t>
      </w:r>
      <w:r w:rsidRPr="00252CA7">
        <w:rPr>
          <w:rFonts w:ascii="Arial" w:hAnsi="Arial" w:cs="Arial"/>
          <w:b/>
          <w:bCs/>
          <w:iCs/>
          <w:color w:val="000000" w:themeColor="text1"/>
        </w:rPr>
        <w:t>. Rotary Drum Reactor (Nitipong, et al. 2020)</w:t>
      </w:r>
    </w:p>
    <w:p w14:paraId="34A7292F" w14:textId="77777777" w:rsidR="007413E7" w:rsidRPr="00252CA7" w:rsidRDefault="007413E7" w:rsidP="007413E7">
      <w:pPr>
        <w:jc w:val="both"/>
        <w:rPr>
          <w:rFonts w:ascii="Arial" w:hAnsi="Arial" w:cs="Arial"/>
          <w:color w:val="000000" w:themeColor="text1"/>
        </w:rPr>
      </w:pPr>
    </w:p>
    <w:p w14:paraId="114395C0" w14:textId="548B0AE4" w:rsidR="007413E7" w:rsidRDefault="007413E7" w:rsidP="007413E7">
      <w:pPr>
        <w:jc w:val="both"/>
        <w:rPr>
          <w:rFonts w:ascii="Arial" w:hAnsi="Arial" w:cs="Arial"/>
          <w:color w:val="000000" w:themeColor="text1"/>
        </w:rPr>
      </w:pPr>
      <w:bookmarkStart w:id="13" w:name="_heading=h.ihv636" w:colFirst="0" w:colLast="0"/>
      <w:bookmarkEnd w:id="13"/>
      <w:r w:rsidRPr="00252CA7">
        <w:rPr>
          <w:rFonts w:ascii="Arial" w:hAnsi="Arial" w:cs="Arial"/>
          <w:noProof/>
          <w:color w:val="000000" w:themeColor="text1"/>
          <w:lang w:eastAsia="en-GB"/>
        </w:rPr>
        <w:lastRenderedPageBreak/>
        <w:drawing>
          <wp:inline distT="114300" distB="114300" distL="114300" distR="114300" wp14:anchorId="7350FEA7" wp14:editId="05463473">
            <wp:extent cx="5522976" cy="2572385"/>
            <wp:effectExtent l="0" t="0" r="1905"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532045" cy="2576609"/>
                    </a:xfrm>
                    <a:prstGeom prst="rect">
                      <a:avLst/>
                    </a:prstGeom>
                    <a:ln/>
                  </pic:spPr>
                </pic:pic>
              </a:graphicData>
            </a:graphic>
          </wp:inline>
        </w:drawing>
      </w:r>
    </w:p>
    <w:p w14:paraId="3947EE00" w14:textId="01FF0133" w:rsidR="00647F93" w:rsidRPr="004D436E" w:rsidRDefault="00647F93" w:rsidP="007413E7">
      <w:pPr>
        <w:jc w:val="both"/>
        <w:rPr>
          <w:rFonts w:ascii="Arial" w:hAnsi="Arial" w:cs="Arial"/>
          <w:color w:val="000000" w:themeColor="text1"/>
        </w:rPr>
      </w:pPr>
      <w:r>
        <w:rPr>
          <w:rFonts w:ascii="Arial" w:hAnsi="Arial" w:cs="Arial"/>
          <w:color w:val="000000" w:themeColor="text1"/>
        </w:rPr>
        <w:t xml:space="preserve">Fig 4 : </w:t>
      </w:r>
      <w:r w:rsidR="00AA2391">
        <w:rPr>
          <w:rFonts w:ascii="Arial" w:hAnsi="Arial" w:cs="Arial"/>
          <w:color w:val="000000" w:themeColor="text1"/>
        </w:rPr>
        <w:t>T</w:t>
      </w:r>
      <w:r w:rsidR="00AA2391" w:rsidRPr="00AA2391">
        <w:rPr>
          <w:rFonts w:ascii="Arial" w:hAnsi="Arial" w:cs="Arial"/>
          <w:color w:val="000000" w:themeColor="text1"/>
        </w:rPr>
        <w:t xml:space="preserve">orrefaction process </w:t>
      </w:r>
    </w:p>
    <w:p w14:paraId="68D4B1C0" w14:textId="77777777" w:rsidR="007413E7" w:rsidRPr="00252CA7" w:rsidRDefault="007413E7">
      <w:pPr>
        <w:pStyle w:val="Heading1"/>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480" w:lineRule="auto"/>
        <w:ind w:left="1440" w:hanging="360"/>
        <w:jc w:val="both"/>
        <w:rPr>
          <w:rFonts w:cs="Arial"/>
          <w:bCs/>
          <w:color w:val="000000" w:themeColor="text1"/>
          <w:sz w:val="22"/>
          <w:szCs w:val="22"/>
        </w:rPr>
      </w:pPr>
      <w:bookmarkStart w:id="14" w:name="_heading=h.vx1227" w:colFirst="0" w:colLast="0"/>
      <w:bookmarkStart w:id="15" w:name="_Toc134553737"/>
      <w:bookmarkStart w:id="16" w:name="_Toc135433817"/>
      <w:bookmarkStart w:id="17" w:name="_Toc140521284"/>
      <w:bookmarkEnd w:id="14"/>
      <w:r w:rsidRPr="00252CA7">
        <w:rPr>
          <w:rFonts w:cs="Arial"/>
          <w:bCs/>
          <w:color w:val="000000" w:themeColor="text1"/>
          <w:sz w:val="22"/>
          <w:szCs w:val="22"/>
        </w:rPr>
        <w:t>Artificial Neural Network (ANN)</w:t>
      </w:r>
      <w:bookmarkEnd w:id="15"/>
      <w:bookmarkEnd w:id="16"/>
      <w:bookmarkEnd w:id="17"/>
    </w:p>
    <w:p w14:paraId="42B40C22" w14:textId="77777777" w:rsidR="007413E7" w:rsidRPr="00252CA7" w:rsidRDefault="007413E7" w:rsidP="007413E7">
      <w:pPr>
        <w:jc w:val="both"/>
        <w:rPr>
          <w:rFonts w:ascii="Arial" w:hAnsi="Arial" w:cs="Arial"/>
          <w:color w:val="000000" w:themeColor="text1"/>
        </w:rPr>
      </w:pPr>
      <w:r w:rsidRPr="00252CA7">
        <w:rPr>
          <w:rFonts w:ascii="Arial" w:hAnsi="Arial" w:cs="Arial"/>
          <w:color w:val="000000" w:themeColor="text1"/>
        </w:rPr>
        <w:t>ANNs are complex models that can be used to model non-linear relationships between the inputs and outputs. ANNs can provide accurate predictions even when the relationships between the inputs and the heating value are complex and difficult to model using traditional regression models. The strength of ANNs lies in their ability to capture complex relationships and provide accurate predictions, even when the relationships between the inputs and outputs are not well understood.</w:t>
      </w:r>
    </w:p>
    <w:p w14:paraId="10425816" w14:textId="1231B42D" w:rsidR="007413E7" w:rsidRDefault="007413E7" w:rsidP="007413E7">
      <w:pPr>
        <w:jc w:val="both"/>
        <w:rPr>
          <w:rFonts w:ascii="Arial" w:hAnsi="Arial" w:cs="Arial"/>
          <w:color w:val="000000" w:themeColor="text1"/>
        </w:rPr>
      </w:pPr>
    </w:p>
    <w:p w14:paraId="004F4AA3" w14:textId="77777777" w:rsidR="00E0341C" w:rsidRDefault="00E0341C" w:rsidP="007413E7">
      <w:pPr>
        <w:jc w:val="both"/>
        <w:rPr>
          <w:rFonts w:ascii="Arial" w:hAnsi="Arial" w:cs="Arial"/>
          <w:color w:val="000000" w:themeColor="text1"/>
        </w:rPr>
      </w:pPr>
    </w:p>
    <w:p w14:paraId="2FBE4218" w14:textId="79660FA8" w:rsidR="00E0341C" w:rsidRPr="00252CA7" w:rsidRDefault="00E0341C" w:rsidP="007413E7">
      <w:pPr>
        <w:jc w:val="both"/>
        <w:rPr>
          <w:rFonts w:ascii="Arial" w:hAnsi="Arial" w:cs="Arial"/>
          <w:color w:val="000000" w:themeColor="text1"/>
        </w:rPr>
      </w:pPr>
      <w:r w:rsidRPr="00E0341C">
        <w:rPr>
          <w:rFonts w:ascii="Arial" w:hAnsi="Arial" w:cs="Arial"/>
          <w:color w:val="000000" w:themeColor="text1"/>
        </w:rPr>
        <w:t>Higher heating value (HHV) is an important parameter for evaluating the design and large-scale performance of biomass-based energy systems. It serves as a key indicator of biomass quality by representing the maximum potential energy that can be recovered from the material. In contrast to the lower heating value (LHV), HHV accounts for the latent heat associated with the vaporisation of water present in both the fuel and the combustion products (Cai et al., 2017).</w:t>
      </w:r>
    </w:p>
    <w:p w14:paraId="5C39EE66" w14:textId="77777777" w:rsidR="007413E7" w:rsidRPr="00252CA7" w:rsidRDefault="007413E7" w:rsidP="007413E7">
      <w:pPr>
        <w:jc w:val="both"/>
        <w:rPr>
          <w:rFonts w:ascii="Arial" w:hAnsi="Arial" w:cs="Arial"/>
          <w:color w:val="000000" w:themeColor="text1"/>
        </w:rPr>
      </w:pPr>
      <w:r w:rsidRPr="00252CA7">
        <w:rPr>
          <w:rFonts w:ascii="Arial" w:hAnsi="Arial" w:cs="Arial"/>
          <w:noProof/>
          <w:color w:val="000000" w:themeColor="text1"/>
          <w:lang w:eastAsia="en-GB"/>
        </w:rPr>
        <w:drawing>
          <wp:inline distT="114300" distB="114300" distL="114300" distR="114300" wp14:anchorId="67803BBE" wp14:editId="306149E4">
            <wp:extent cx="3763926" cy="2732568"/>
            <wp:effectExtent l="0" t="0" r="0" 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781216" cy="2745121"/>
                    </a:xfrm>
                    <a:prstGeom prst="rect">
                      <a:avLst/>
                    </a:prstGeom>
                    <a:ln/>
                  </pic:spPr>
                </pic:pic>
              </a:graphicData>
            </a:graphic>
          </wp:inline>
        </w:drawing>
      </w:r>
    </w:p>
    <w:p w14:paraId="357BB7EA" w14:textId="7AC5196B" w:rsidR="007413E7" w:rsidRDefault="007413E7" w:rsidP="007413E7">
      <w:pPr>
        <w:jc w:val="both"/>
        <w:rPr>
          <w:rFonts w:ascii="Arial" w:hAnsi="Arial" w:cs="Arial"/>
          <w:b/>
          <w:bCs/>
          <w:iCs/>
          <w:color w:val="000000" w:themeColor="text1"/>
        </w:rPr>
      </w:pPr>
      <w:r w:rsidRPr="00252CA7">
        <w:rPr>
          <w:rFonts w:ascii="Arial" w:hAnsi="Arial" w:cs="Arial"/>
          <w:b/>
          <w:bCs/>
          <w:i/>
          <w:color w:val="000000" w:themeColor="text1"/>
        </w:rPr>
        <w:t xml:space="preserve">Figure </w:t>
      </w:r>
      <w:r w:rsidR="00647F93">
        <w:rPr>
          <w:rFonts w:ascii="Arial" w:hAnsi="Arial" w:cs="Arial"/>
          <w:b/>
          <w:bCs/>
          <w:i/>
          <w:color w:val="000000" w:themeColor="text1"/>
        </w:rPr>
        <w:t>5</w:t>
      </w:r>
      <w:r w:rsidRPr="00252CA7">
        <w:rPr>
          <w:rFonts w:ascii="Arial" w:hAnsi="Arial" w:cs="Arial"/>
          <w:b/>
          <w:bCs/>
          <w:i/>
          <w:color w:val="000000" w:themeColor="text1"/>
        </w:rPr>
        <w:t>. Differences between experimental and model HHV values. Reprinted/adapted with permission (</w:t>
      </w:r>
      <w:r w:rsidRPr="00252CA7">
        <w:rPr>
          <w:rFonts w:ascii="Arial" w:hAnsi="Arial" w:cs="Arial"/>
          <w:b/>
          <w:bCs/>
          <w:iCs/>
          <w:color w:val="000000" w:themeColor="text1"/>
        </w:rPr>
        <w:t xml:space="preserve">Vaezi </w:t>
      </w:r>
      <w:r w:rsidRPr="00252CA7">
        <w:rPr>
          <w:rFonts w:ascii="Arial" w:hAnsi="Arial" w:cs="Arial"/>
          <w:b/>
          <w:bCs/>
          <w:i/>
          <w:color w:val="000000" w:themeColor="text1"/>
        </w:rPr>
        <w:t xml:space="preserve">et al., </w:t>
      </w:r>
      <w:r w:rsidRPr="00252CA7">
        <w:rPr>
          <w:rFonts w:ascii="Arial" w:hAnsi="Arial" w:cs="Arial"/>
          <w:b/>
          <w:bCs/>
          <w:iCs/>
          <w:color w:val="000000" w:themeColor="text1"/>
        </w:rPr>
        <w:t>2012)</w:t>
      </w:r>
    </w:p>
    <w:p w14:paraId="7B9E81BD" w14:textId="77777777" w:rsidR="00E93B3A" w:rsidRPr="00252CA7" w:rsidRDefault="00E93B3A" w:rsidP="007413E7">
      <w:pPr>
        <w:jc w:val="both"/>
        <w:rPr>
          <w:rFonts w:ascii="Arial" w:hAnsi="Arial" w:cs="Arial"/>
          <w:b/>
          <w:bCs/>
          <w:i/>
          <w:color w:val="000000" w:themeColor="text1"/>
        </w:rPr>
      </w:pPr>
    </w:p>
    <w:p w14:paraId="40E874B4" w14:textId="77777777" w:rsidR="00E0341C" w:rsidRDefault="00E0341C" w:rsidP="007413E7">
      <w:pPr>
        <w:jc w:val="both"/>
        <w:rPr>
          <w:rFonts w:ascii="Arial" w:hAnsi="Arial" w:cs="Arial"/>
          <w:color w:val="000000" w:themeColor="text1"/>
        </w:rPr>
      </w:pPr>
    </w:p>
    <w:p w14:paraId="48711EF1" w14:textId="77777777" w:rsidR="00E0341C" w:rsidRPr="00E0341C" w:rsidRDefault="00E0341C" w:rsidP="00E0341C">
      <w:pPr>
        <w:jc w:val="both"/>
        <w:rPr>
          <w:rFonts w:ascii="Arial" w:hAnsi="Arial" w:cs="Arial"/>
          <w:color w:val="000000" w:themeColor="text1"/>
        </w:rPr>
      </w:pPr>
      <w:r w:rsidRPr="00E0341C">
        <w:rPr>
          <w:rFonts w:ascii="Arial" w:hAnsi="Arial" w:cs="Arial"/>
          <w:color w:val="000000" w:themeColor="text1"/>
        </w:rPr>
        <w:t>Data-driven machine learning (ML) techniques have been demonstrated to enhance the accuracy of higher heating value (HHV) prediction across a wide range of biomass materials (Ighalo et al., 2020). In comparison with conventional empirical models, ML approaches not only offer improved predictive performance but also enable the quantification of the relative influence of individual input variables on HHV estimation. Accordingly, ML methodologies have been widely applied for HHV prediction in diverse biomass types (Taki et al., 2022). Nevertheless, the development of robust ML frameworks encompassing multiple biomass classifications remains limited in the literature. Artificial neural networks (ANNs), in particular, are well suited for modelling complex input–output relationships, as they are capable of learning from training data and generalising to unseen cases (Taki et al., 2022).</w:t>
      </w:r>
    </w:p>
    <w:p w14:paraId="36BCD4EC" w14:textId="77777777" w:rsidR="00E0341C" w:rsidRPr="00E0341C" w:rsidRDefault="00E0341C" w:rsidP="00E0341C">
      <w:pPr>
        <w:jc w:val="both"/>
        <w:rPr>
          <w:rFonts w:ascii="Arial" w:hAnsi="Arial" w:cs="Arial"/>
          <w:color w:val="000000" w:themeColor="text1"/>
        </w:rPr>
      </w:pPr>
    </w:p>
    <w:p w14:paraId="0541459E" w14:textId="77777777" w:rsidR="00E0341C" w:rsidRPr="00E0341C" w:rsidRDefault="00E0341C" w:rsidP="00E0341C">
      <w:pPr>
        <w:jc w:val="both"/>
        <w:rPr>
          <w:rFonts w:ascii="Arial" w:hAnsi="Arial" w:cs="Arial"/>
          <w:color w:val="000000" w:themeColor="text1"/>
        </w:rPr>
      </w:pPr>
      <w:r w:rsidRPr="00E0341C">
        <w:rPr>
          <w:rFonts w:ascii="Arial" w:hAnsi="Arial" w:cs="Arial"/>
          <w:color w:val="000000" w:themeColor="text1"/>
        </w:rPr>
        <w:t>Nhuchhen et al. employed Microsoft Excel to derive both linear and nonlinear correlations based on the proximate analysis of 250 biomass samples, including fruit by-products, agricultural residues, wood chips and tree species, grasses, leaves, fibrous materials, briquettes, charcoals, pellets, and other waste-derived materials. Their findings indicated that nonlinear correlations exhibited superior predictive performance compared with linear formulations. Similarly, Garcia et al. developed linear (Estiati et al., 2016) and nonlinear (Garcia et al., 2014) correlations using MATLAB, based on the ultimate and proximate analysis of 100 Spanish biomass samples, including commercial fuels, industrial residues, and forest-based wastes. Although these correlations were shown to provide reasonable HHV estimations, they are not universally applicable across different biomass types and may exhibit substantial deviations due to the inherent chemical and physical heterogeneity of biomass (Nhuchhen et al., 2012).</w:t>
      </w:r>
    </w:p>
    <w:p w14:paraId="341876BF" w14:textId="77777777" w:rsidR="00E0341C" w:rsidRPr="00E0341C" w:rsidRDefault="00E0341C" w:rsidP="00E0341C">
      <w:pPr>
        <w:jc w:val="both"/>
        <w:rPr>
          <w:rFonts w:ascii="Arial" w:hAnsi="Arial" w:cs="Arial"/>
          <w:color w:val="000000" w:themeColor="text1"/>
        </w:rPr>
      </w:pPr>
    </w:p>
    <w:p w14:paraId="75998FC2" w14:textId="299047A4" w:rsidR="00E0341C" w:rsidRDefault="00E0341C" w:rsidP="00E0341C">
      <w:pPr>
        <w:jc w:val="both"/>
        <w:rPr>
          <w:rFonts w:ascii="Arial" w:hAnsi="Arial" w:cs="Arial"/>
          <w:color w:val="000000" w:themeColor="text1"/>
        </w:rPr>
      </w:pPr>
      <w:r w:rsidRPr="00E0341C">
        <w:rPr>
          <w:rFonts w:ascii="Arial" w:hAnsi="Arial" w:cs="Arial"/>
          <w:color w:val="000000" w:themeColor="text1"/>
        </w:rPr>
        <w:t>These findings highlight the strongly nonlinear relationship between HHV and the results of ultimate and proximate analyses, which cannot be adequately captured using conventional empirical linear or nonlinear correlations. Consequently, more advanced modelling approaches are required to effectively represent these complex nonlinear interactions and to develop a more generalised and accurate predictive model for HHV estimation across diverse biomass resources.</w:t>
      </w:r>
    </w:p>
    <w:p w14:paraId="6FFB82ED" w14:textId="77777777" w:rsidR="007413E7" w:rsidRDefault="007413E7" w:rsidP="007413E7">
      <w:pPr>
        <w:jc w:val="both"/>
        <w:rPr>
          <w:rFonts w:ascii="Arial" w:hAnsi="Arial" w:cs="Arial"/>
          <w:color w:val="000000" w:themeColor="text1"/>
        </w:rPr>
      </w:pPr>
    </w:p>
    <w:p w14:paraId="09D78176" w14:textId="7E17C589" w:rsidR="00DE7D2F" w:rsidRDefault="00DE7D2F" w:rsidP="00DE7D2F">
      <w:pPr>
        <w:pStyle w:val="AbstHead"/>
        <w:spacing w:after="0"/>
        <w:jc w:val="both"/>
        <w:rPr>
          <w:rFonts w:ascii="Arial" w:hAnsi="Arial" w:cs="Arial"/>
        </w:rPr>
      </w:pPr>
      <w:r>
        <w:rPr>
          <w:rFonts w:ascii="Arial" w:hAnsi="Arial" w:cs="Arial"/>
        </w:rPr>
        <w:t xml:space="preserve">3. materials and methodology </w:t>
      </w:r>
    </w:p>
    <w:p w14:paraId="2B8E505A" w14:textId="77777777" w:rsidR="00DE7D2F" w:rsidRPr="00FB3A86" w:rsidRDefault="00DE7D2F" w:rsidP="00DE7D2F">
      <w:pPr>
        <w:pStyle w:val="AbstHead"/>
        <w:spacing w:after="0"/>
        <w:jc w:val="both"/>
        <w:rPr>
          <w:rFonts w:ascii="Arial" w:hAnsi="Arial" w:cs="Arial"/>
        </w:rPr>
      </w:pPr>
    </w:p>
    <w:p w14:paraId="1C54A627" w14:textId="0B42BB23"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 materials and method adopted for the design and thermal assessment of the designed fixed-bed torrefaction reactor from biomass were considered in this section. The method adopted and materials required for fabrication of the reactor are commercially available and affordable. </w:t>
      </w:r>
    </w:p>
    <w:p w14:paraId="7676ECE6" w14:textId="77777777" w:rsidR="00DE7D2F" w:rsidRPr="00964D85" w:rsidRDefault="00DE7D2F">
      <w:pPr>
        <w:pStyle w:val="Heading1"/>
        <w:numPr>
          <w:ilvl w:val="1"/>
          <w:numId w:val="11"/>
        </w:numPr>
        <w:spacing w:after="160" w:line="480" w:lineRule="auto"/>
        <w:ind w:left="360"/>
        <w:rPr>
          <w:rFonts w:cs="Arial"/>
          <w:color w:val="000000" w:themeColor="text1"/>
          <w:sz w:val="22"/>
          <w:szCs w:val="22"/>
        </w:rPr>
      </w:pPr>
      <w:bookmarkStart w:id="18" w:name="_heading=h.g3vjhoh5bprp" w:colFirst="0" w:colLast="0"/>
      <w:bookmarkStart w:id="19" w:name="_Toc140521286"/>
      <w:bookmarkEnd w:id="18"/>
      <w:r w:rsidRPr="00964D85">
        <w:rPr>
          <w:rFonts w:cs="Arial"/>
          <w:color w:val="000000" w:themeColor="text1"/>
          <w:sz w:val="22"/>
          <w:szCs w:val="22"/>
        </w:rPr>
        <w:t>Design of a Reactor for Torrefaction of Biomass</w:t>
      </w:r>
      <w:bookmarkEnd w:id="19"/>
    </w:p>
    <w:p w14:paraId="4B6B1F60"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 xml:space="preserve">In this study a fixed bed reactor type is designed for. A fixed bed reactor uses a stationary feedstock bed inside a cylindrical tank. Fixed bed reactors are an efficient and reliable type of chemical reactor that offer several advantages in terms of available capacity and desired product quality. Fixed bed reactors also provide good control over reaction conditions, such as temperature, pressure, and reactant flow rate. This level of control helps to ensure consistent product quality and allows for the optimization of the reaction process. Moreover, fixed-bed reactors are relatively easy to operate and maintain, making them suitable for continuous or semi-continuous production processes. </w:t>
      </w:r>
    </w:p>
    <w:p w14:paraId="399EF360" w14:textId="77777777" w:rsidR="004D436E" w:rsidRPr="00252CA7" w:rsidRDefault="004D436E" w:rsidP="00DE7D2F">
      <w:pPr>
        <w:rPr>
          <w:rFonts w:ascii="Arial" w:hAnsi="Arial" w:cs="Arial"/>
          <w:color w:val="000000" w:themeColor="text1"/>
        </w:rPr>
      </w:pPr>
    </w:p>
    <w:p w14:paraId="6F26C7CD" w14:textId="77777777" w:rsidR="00DE7D2F" w:rsidRPr="00964D85" w:rsidRDefault="00DE7D2F">
      <w:pPr>
        <w:pStyle w:val="Heading3"/>
        <w:numPr>
          <w:ilvl w:val="2"/>
          <w:numId w:val="11"/>
        </w:numPr>
        <w:spacing w:after="160"/>
        <w:ind w:left="360" w:hanging="360"/>
        <w:rPr>
          <w:rFonts w:ascii="Arial" w:hAnsi="Arial" w:cs="Arial"/>
          <w:b/>
          <w:color w:val="000000" w:themeColor="text1"/>
          <w:sz w:val="22"/>
          <w:szCs w:val="22"/>
        </w:rPr>
      </w:pPr>
      <w:bookmarkStart w:id="20" w:name="_heading=h.2u6wntf" w:colFirst="0" w:colLast="0"/>
      <w:bookmarkStart w:id="21" w:name="_Toc140521287"/>
      <w:bookmarkEnd w:id="20"/>
      <w:r w:rsidRPr="00964D85">
        <w:rPr>
          <w:rFonts w:ascii="Arial" w:hAnsi="Arial" w:cs="Arial"/>
          <w:b/>
          <w:color w:val="000000" w:themeColor="text1"/>
          <w:sz w:val="22"/>
          <w:szCs w:val="22"/>
        </w:rPr>
        <w:t>Geometric Specification of the Reactor</w:t>
      </w:r>
      <w:bookmarkEnd w:id="21"/>
    </w:p>
    <w:p w14:paraId="3DCC0121" w14:textId="5EF71B0A" w:rsidR="00DE7D2F" w:rsidRDefault="00DE7D2F" w:rsidP="00E93B3A">
      <w:pPr>
        <w:jc w:val="both"/>
        <w:rPr>
          <w:rFonts w:ascii="Arial" w:hAnsi="Arial" w:cs="Arial"/>
          <w:color w:val="000000" w:themeColor="text1"/>
        </w:rPr>
      </w:pPr>
      <w:r w:rsidRPr="00252CA7">
        <w:rPr>
          <w:rFonts w:ascii="Arial" w:hAnsi="Arial" w:cs="Arial"/>
          <w:color w:val="000000" w:themeColor="text1"/>
        </w:rPr>
        <w:t xml:space="preserve">The mass of torrefied biomass to be produced in a batch was estimated to be 5 kg. This assumption was made from a literature review. According to Tumuluru et al. (2008) the loss in mass of biomass material during the torrefaction process is around 5 - 30%. Therefore, the initial mass of biomass material assumed to be loaded into the reactor was estimated to be 5.26 kg. </w:t>
      </w:r>
      <w:r w:rsidR="00A55F9F" w:rsidRPr="00A55F9F">
        <w:rPr>
          <w:rFonts w:ascii="Arial" w:hAnsi="Arial" w:cs="Arial"/>
          <w:color w:val="000000" w:themeColor="text1"/>
        </w:rPr>
        <w:t>For the sake of this design, coconut shell biomass was considered because it represents the primary feedstock investigated in this study.</w:t>
      </w:r>
      <w:r w:rsidR="00A55F9F">
        <w:rPr>
          <w:rFonts w:ascii="Arial" w:hAnsi="Arial" w:cs="Arial"/>
          <w:color w:val="000000" w:themeColor="text1"/>
        </w:rPr>
        <w:t xml:space="preserve"> </w:t>
      </w:r>
      <w:r w:rsidRPr="00252CA7">
        <w:rPr>
          <w:rFonts w:ascii="Arial" w:hAnsi="Arial" w:cs="Arial"/>
          <w:color w:val="000000" w:themeColor="text1"/>
        </w:rPr>
        <w:t>By taking the bulk density of the wood chip as 150 kg m</w:t>
      </w:r>
      <w:r w:rsidRPr="00252CA7">
        <w:rPr>
          <w:rFonts w:ascii="Arial" w:eastAsia="Gungsuh" w:hAnsi="Arial" w:cs="Arial"/>
          <w:color w:val="000000" w:themeColor="text1"/>
          <w:vertAlign w:val="superscript"/>
        </w:rPr>
        <w:t>−3</w:t>
      </w:r>
      <w:r w:rsidRPr="00252CA7">
        <w:rPr>
          <w:rFonts w:ascii="Arial" w:hAnsi="Arial" w:cs="Arial"/>
          <w:color w:val="000000" w:themeColor="text1"/>
        </w:rPr>
        <w:t xml:space="preserve"> (Oladeji, 2018), the volume of the reactor was estimated to be 0.0245 m</w:t>
      </w:r>
      <w:r w:rsidRPr="00252CA7">
        <w:rPr>
          <w:rFonts w:ascii="Arial" w:hAnsi="Arial" w:cs="Arial"/>
          <w:color w:val="000000" w:themeColor="text1"/>
          <w:vertAlign w:val="superscript"/>
        </w:rPr>
        <w:t>3</w:t>
      </w:r>
      <w:r w:rsidRPr="00252CA7">
        <w:rPr>
          <w:rFonts w:ascii="Arial" w:hAnsi="Arial" w:cs="Arial"/>
          <w:color w:val="000000" w:themeColor="text1"/>
        </w:rPr>
        <w:t xml:space="preserve"> (24.5L). Taking the ratio of the height to the diameter as 2, an inner diameter of 25cm and a height of 50cm were chosen for the torrefaction reactor.</w:t>
      </w:r>
    </w:p>
    <w:p w14:paraId="67DCD74C" w14:textId="77777777" w:rsidR="00B33E8E" w:rsidRPr="00252CA7" w:rsidRDefault="00B33E8E" w:rsidP="00E93B3A">
      <w:pPr>
        <w:jc w:val="both"/>
        <w:rPr>
          <w:rFonts w:ascii="Arial" w:hAnsi="Arial" w:cs="Arial"/>
          <w:color w:val="000000" w:themeColor="text1"/>
        </w:rPr>
      </w:pPr>
    </w:p>
    <w:p w14:paraId="565419FE"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2" w:name="_heading=h.9xf3nkgqb1iw" w:colFirst="0" w:colLast="0"/>
      <w:bookmarkStart w:id="23" w:name="_Toc140521288"/>
      <w:bookmarkEnd w:id="22"/>
      <w:r w:rsidRPr="00964D85">
        <w:rPr>
          <w:rFonts w:ascii="Arial" w:hAnsi="Arial" w:cs="Arial"/>
          <w:b/>
          <w:i/>
          <w:iCs/>
          <w:color w:val="000000" w:themeColor="text1"/>
          <w:sz w:val="20"/>
          <w:szCs w:val="20"/>
        </w:rPr>
        <w:lastRenderedPageBreak/>
        <w:t>Determination of Reactor Size</w:t>
      </w:r>
      <w:bookmarkEnd w:id="23"/>
    </w:p>
    <w:p w14:paraId="7375F84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In the study, the reactor to be designed is cylindrical in shape. Equation 3.1 was used to determine the size(volume) of the reactor. The volume of the reactor is given as:</w:t>
      </w:r>
    </w:p>
    <w:p w14:paraId="0FC338F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diameter of the bed, d is 0.25m; height of the bed, h is 0.5m</w:t>
      </w:r>
      <w:r w:rsidRPr="00252CA7">
        <w:rPr>
          <w:rFonts w:ascii="Arial" w:hAnsi="Arial" w:cs="Arial"/>
          <w:color w:val="000000" w:themeColor="text1"/>
        </w:rPr>
        <w:tab/>
      </w:r>
    </w:p>
    <w:p w14:paraId="4F6D9FA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The volume of the cylinder, V = </w:t>
      </w:r>
      <m:oMath>
        <m:r>
          <w:rPr>
            <w:rFonts w:ascii="Cambria Math" w:hAnsi="Cambria Math" w:cs="Arial"/>
            <w:color w:val="000000" w:themeColor="text1"/>
          </w:rPr>
          <m:t>π</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w:rPr>
                    <w:rFonts w:ascii="Cambria Math" w:hAnsi="Cambria Math" w:cs="Arial"/>
                    <w:color w:val="000000" w:themeColor="text1"/>
                  </w:rPr>
                  <m:t>d</m:t>
                </m:r>
              </m:e>
              <m:sup>
                <m:r>
                  <w:rPr>
                    <w:rFonts w:ascii="Cambria Math" w:hAnsi="Cambria Math" w:cs="Arial"/>
                    <w:color w:val="000000" w:themeColor="text1"/>
                  </w:rPr>
                  <m:t>2</m:t>
                </m:r>
              </m:sup>
            </m:sSup>
          </m:num>
          <m:den>
            <m:r>
              <w:rPr>
                <w:rFonts w:ascii="Cambria Math" w:hAnsi="Cambria Math" w:cs="Arial"/>
                <w:color w:val="000000" w:themeColor="text1"/>
              </w:rPr>
              <m:t>4</m:t>
            </m:r>
          </m:den>
        </m:f>
        <m:r>
          <w:rPr>
            <w:rFonts w:ascii="Cambria Math" w:hAnsi="Cambria Math" w:cs="Arial"/>
            <w:color w:val="000000" w:themeColor="text1"/>
          </w:rPr>
          <m:t>h</m:t>
        </m:r>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w:t>
      </w:r>
    </w:p>
    <w:p w14:paraId="3B933C96" w14:textId="77777777" w:rsidR="00DE7D2F"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Thus the volume of the reactor is estimated as, V = </w:t>
      </w:r>
      <m:oMath>
        <m:r>
          <w:rPr>
            <w:rFonts w:ascii="Cambria Math" w:hAnsi="Cambria Math" w:cs="Arial"/>
            <w:color w:val="000000" w:themeColor="text1"/>
          </w:rPr>
          <m:t>π×</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w:rPr>
                    <w:rFonts w:ascii="Cambria Math" w:hAnsi="Cambria Math" w:cs="Arial"/>
                    <w:color w:val="000000" w:themeColor="text1"/>
                  </w:rPr>
                  <m:t>0.25</m:t>
                </m:r>
              </m:e>
              <m:sup>
                <m:r>
                  <w:rPr>
                    <w:rFonts w:ascii="Cambria Math" w:hAnsi="Cambria Math" w:cs="Arial"/>
                    <w:color w:val="000000" w:themeColor="text1"/>
                  </w:rPr>
                  <m:t>2</m:t>
                </m:r>
              </m:sup>
            </m:sSup>
          </m:num>
          <m:den>
            <m:r>
              <w:rPr>
                <w:rFonts w:ascii="Cambria Math" w:hAnsi="Cambria Math" w:cs="Arial"/>
                <w:color w:val="000000" w:themeColor="text1"/>
              </w:rPr>
              <m:t>4</m:t>
            </m:r>
          </m:den>
        </m:f>
        <m:r>
          <w:rPr>
            <w:rFonts w:ascii="Cambria Math" w:hAnsi="Cambria Math" w:cs="Arial"/>
            <w:color w:val="000000" w:themeColor="text1"/>
          </w:rPr>
          <m:t>×0.5</m:t>
        </m:r>
      </m:oMath>
      <w:r w:rsidRPr="00252CA7">
        <w:rPr>
          <w:rFonts w:ascii="Arial" w:hAnsi="Arial" w:cs="Arial"/>
          <w:color w:val="000000" w:themeColor="text1"/>
        </w:rPr>
        <w:t xml:space="preserve">    =  0.0245</w:t>
      </w:r>
      <m:oMath>
        <m:sSup>
          <m:sSupPr>
            <m:ctrlPr>
              <w:rPr>
                <w:rFonts w:ascii="Cambria Math" w:hAnsi="Cambria Math" w:cs="Arial"/>
                <w:color w:val="000000" w:themeColor="text1"/>
              </w:rPr>
            </m:ctrlPr>
          </m:sSupPr>
          <m:e>
            <m:r>
              <w:rPr>
                <w:rFonts w:ascii="Cambria Math" w:hAnsi="Cambria Math" w:cs="Arial"/>
                <w:color w:val="000000" w:themeColor="text1"/>
              </w:rPr>
              <m:t>m</m:t>
            </m:r>
          </m:e>
          <m:sup>
            <m:r>
              <w:rPr>
                <w:rFonts w:ascii="Cambria Math" w:hAnsi="Cambria Math" w:cs="Arial"/>
                <w:color w:val="000000" w:themeColor="text1"/>
              </w:rPr>
              <m:t>3</m:t>
            </m:r>
          </m:sup>
        </m:sSup>
      </m:oMath>
      <w:r w:rsidRPr="00252CA7">
        <w:rPr>
          <w:rFonts w:ascii="Arial" w:hAnsi="Arial" w:cs="Arial"/>
          <w:color w:val="000000" w:themeColor="text1"/>
        </w:rPr>
        <w:t xml:space="preserve"> </w:t>
      </w:r>
    </w:p>
    <w:p w14:paraId="0DC3477F" w14:textId="77777777" w:rsidR="00B33E8E" w:rsidRPr="00252CA7" w:rsidRDefault="00B33E8E" w:rsidP="00E93B3A">
      <w:pPr>
        <w:shd w:val="clear" w:color="auto" w:fill="FFFFFF"/>
        <w:jc w:val="both"/>
        <w:rPr>
          <w:rFonts w:ascii="Arial" w:hAnsi="Arial" w:cs="Arial"/>
          <w:color w:val="000000" w:themeColor="text1"/>
        </w:rPr>
      </w:pPr>
    </w:p>
    <w:p w14:paraId="1A881BB0"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4" w:name="_heading=h.drr7ob6y2fl4" w:colFirst="0" w:colLast="0"/>
      <w:bookmarkStart w:id="25" w:name="_Toc140521289"/>
      <w:bookmarkEnd w:id="24"/>
      <w:r w:rsidRPr="00964D85">
        <w:rPr>
          <w:rFonts w:ascii="Arial" w:hAnsi="Arial" w:cs="Arial"/>
          <w:b/>
          <w:i/>
          <w:iCs/>
          <w:color w:val="000000" w:themeColor="text1"/>
          <w:sz w:val="20"/>
          <w:szCs w:val="20"/>
        </w:rPr>
        <w:t>Determination of Heat Content of Biomass</w:t>
      </w:r>
      <w:bookmarkEnd w:id="25"/>
    </w:p>
    <w:p w14:paraId="729AF691"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Heat content of biomass refers to the amount of energy it can release when burned or converted, determining its fuel value. Equation (3.2) was used to determine the heat content of the biomass.</w:t>
      </w:r>
    </w:p>
    <w:p w14:paraId="3DF20B64"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Q = </w:t>
      </w:r>
      <m:oMath>
        <m:r>
          <w:rPr>
            <w:rFonts w:ascii="Cambria Math" w:hAnsi="Cambria Math" w:cs="Arial"/>
            <w:color w:val="000000" w:themeColor="text1"/>
          </w:rPr>
          <m:t>m</m:t>
        </m:r>
        <m:sSub>
          <m:sSubPr>
            <m:ctrlPr>
              <w:rPr>
                <w:rFonts w:ascii="Cambria Math" w:hAnsi="Cambria Math" w:cs="Arial"/>
                <w:color w:val="000000" w:themeColor="text1"/>
              </w:rPr>
            </m:ctrlPr>
          </m:sSubPr>
          <m:e>
            <m:sSub>
              <m:sSubPr>
                <m:ctrlPr>
                  <w:rPr>
                    <w:rFonts w:ascii="Cambria Math" w:hAnsi="Cambria Math" w:cs="Arial"/>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p</m:t>
                </m:r>
              </m:sub>
            </m:sSub>
            <m:r>
              <w:rPr>
                <w:rFonts w:ascii="Cambria Math" w:hAnsi="Cambria Math" w:cs="Arial"/>
                <w:color w:val="000000" w:themeColor="text1"/>
              </w:rPr>
              <m:t>ΔT</m:t>
            </m:r>
          </m:e>
          <m:sub/>
        </m:sSub>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(3.2)</w:t>
      </w:r>
    </w:p>
    <w:p w14:paraId="09ABD8C4"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Where; m which is the mass of reactants (kg) is 5kg; Cp which is the specific heat capacity of reactants (J/kg-K) is 2.0 J/(kg K); ΔT which is the temperature change during the reaction (K) is 275°C/ 548K; Thus Q is obtained as 5480 J.</w:t>
      </w:r>
    </w:p>
    <w:p w14:paraId="3915FC33" w14:textId="77777777" w:rsidR="00B33E8E" w:rsidRPr="00252CA7" w:rsidRDefault="00B33E8E" w:rsidP="00E93B3A">
      <w:pPr>
        <w:jc w:val="both"/>
        <w:rPr>
          <w:rFonts w:ascii="Arial" w:hAnsi="Arial" w:cs="Arial"/>
          <w:color w:val="000000" w:themeColor="text1"/>
        </w:rPr>
      </w:pPr>
    </w:p>
    <w:p w14:paraId="20A79E16"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6" w:name="_heading=h.7mw01n3mr1ky" w:colFirst="0" w:colLast="0"/>
      <w:bookmarkStart w:id="27" w:name="_Toc140521290"/>
      <w:bookmarkEnd w:id="26"/>
      <w:r w:rsidRPr="00964D85">
        <w:rPr>
          <w:rFonts w:ascii="Arial" w:hAnsi="Arial" w:cs="Arial"/>
          <w:b/>
          <w:i/>
          <w:iCs/>
          <w:color w:val="000000" w:themeColor="text1"/>
          <w:sz w:val="20"/>
          <w:szCs w:val="20"/>
        </w:rPr>
        <w:t>Determination of Heat Required for the Torrefaction Process</w:t>
      </w:r>
      <w:bookmarkEnd w:id="27"/>
    </w:p>
    <w:p w14:paraId="5968856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Determining the heat required for torrefaction involves calculating the thermal energy needed for biomass conversion. The formula in equation (3.3) is used to determine the heat required for torrefaction process</w:t>
      </w:r>
    </w:p>
    <w:p w14:paraId="19D2072D"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heat required=</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feedstock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 xml:space="preserve">feedstock </m:t>
                </m:r>
              </m:sub>
            </m:sSub>
          </m:e>
        </m:d>
        <m:r>
          <w:rPr>
            <w:rFonts w:ascii="Cambria Math" w:hAnsi="Cambria Math" w:cs="Arial"/>
            <w:color w:val="000000" w:themeColor="text1"/>
          </w:rPr>
          <m:t xml:space="preserve">+ </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water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water</m:t>
                </m:r>
              </m:sub>
            </m:sSub>
          </m:e>
        </m:d>
        <m:r>
          <w:rPr>
            <w:rFonts w:ascii="Cambria Math" w:hAnsi="Cambria Math" w:cs="Arial"/>
            <w:color w:val="000000" w:themeColor="text1"/>
          </w:rPr>
          <m:t xml:space="preserve">+ </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air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air</m:t>
                </m:r>
              </m:sub>
            </m:sSub>
          </m:e>
        </m:d>
      </m:oMath>
      <w:r w:rsidRPr="00252CA7">
        <w:rPr>
          <w:rFonts w:ascii="Arial" w:hAnsi="Arial" w:cs="Arial"/>
          <w:color w:val="000000" w:themeColor="text1"/>
        </w:rPr>
        <w:t xml:space="preserve">     (3.3)</w:t>
      </w:r>
    </w:p>
    <w:p w14:paraId="296A0584"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w:t>
      </w:r>
    </w:p>
    <w:p w14:paraId="63626D52"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m</w:t>
      </w:r>
      <w:r w:rsidRPr="00252CA7">
        <w:rPr>
          <w:rFonts w:ascii="Arial" w:hAnsi="Arial" w:cs="Arial"/>
          <w:color w:val="000000" w:themeColor="text1"/>
          <w:vertAlign w:val="subscript"/>
        </w:rPr>
        <w:t>feedstock</w:t>
      </w:r>
      <w:r w:rsidRPr="00252CA7">
        <w:rPr>
          <w:rFonts w:ascii="Arial" w:hAnsi="Arial" w:cs="Arial"/>
          <w:color w:val="000000" w:themeColor="text1"/>
        </w:rPr>
        <w:t xml:space="preserve"> is mass flow rate of feedstock (kg/hr); H</w:t>
      </w:r>
      <w:r w:rsidRPr="00252CA7">
        <w:rPr>
          <w:rFonts w:ascii="Arial" w:hAnsi="Arial" w:cs="Arial"/>
          <w:color w:val="000000" w:themeColor="text1"/>
          <w:vertAlign w:val="subscript"/>
        </w:rPr>
        <w:t>feedstock</w:t>
      </w:r>
      <w:r w:rsidRPr="00252CA7">
        <w:rPr>
          <w:rFonts w:ascii="Arial" w:hAnsi="Arial" w:cs="Arial"/>
          <w:color w:val="000000" w:themeColor="text1"/>
        </w:rPr>
        <w:t xml:space="preserve"> is heat content of feedstock (kJ/kg); m</w:t>
      </w:r>
      <w:r w:rsidRPr="00252CA7">
        <w:rPr>
          <w:rFonts w:ascii="Arial" w:hAnsi="Arial" w:cs="Arial"/>
          <w:color w:val="000000" w:themeColor="text1"/>
          <w:vertAlign w:val="subscript"/>
        </w:rPr>
        <w:t>water</w:t>
      </w:r>
      <w:r w:rsidRPr="00252CA7">
        <w:rPr>
          <w:rFonts w:ascii="Arial" w:hAnsi="Arial" w:cs="Arial"/>
          <w:color w:val="000000" w:themeColor="text1"/>
        </w:rPr>
        <w:t xml:space="preserve"> is mass flow rate of water in feedstock (kg/hr); H</w:t>
      </w:r>
      <w:r w:rsidRPr="00252CA7">
        <w:rPr>
          <w:rFonts w:ascii="Arial" w:hAnsi="Arial" w:cs="Arial"/>
          <w:color w:val="000000" w:themeColor="text1"/>
          <w:vertAlign w:val="subscript"/>
        </w:rPr>
        <w:t xml:space="preserve">water </w:t>
      </w:r>
      <w:r w:rsidRPr="00252CA7">
        <w:rPr>
          <w:rFonts w:ascii="Arial" w:hAnsi="Arial" w:cs="Arial"/>
          <w:color w:val="000000" w:themeColor="text1"/>
        </w:rPr>
        <w:t>is heat content of water (kJ/kg); m</w:t>
      </w:r>
      <w:r w:rsidRPr="00252CA7">
        <w:rPr>
          <w:rFonts w:ascii="Arial" w:hAnsi="Arial" w:cs="Arial"/>
          <w:color w:val="000000" w:themeColor="text1"/>
          <w:vertAlign w:val="subscript"/>
        </w:rPr>
        <w:t>air</w:t>
      </w:r>
      <w:r w:rsidRPr="00252CA7">
        <w:rPr>
          <w:rFonts w:ascii="Arial" w:hAnsi="Arial" w:cs="Arial"/>
          <w:color w:val="000000" w:themeColor="text1"/>
        </w:rPr>
        <w:t xml:space="preserve"> is mass flow rate of air (kg/hr); H</w:t>
      </w:r>
      <w:r w:rsidRPr="00252CA7">
        <w:rPr>
          <w:rFonts w:ascii="Arial" w:hAnsi="Arial" w:cs="Arial"/>
          <w:color w:val="000000" w:themeColor="text1"/>
          <w:vertAlign w:val="subscript"/>
        </w:rPr>
        <w:t>air</w:t>
      </w:r>
      <w:r w:rsidRPr="00252CA7">
        <w:rPr>
          <w:rFonts w:ascii="Arial" w:hAnsi="Arial" w:cs="Arial"/>
          <w:color w:val="000000" w:themeColor="text1"/>
        </w:rPr>
        <w:t xml:space="preserve"> is heat content of air (kJ/kg)</w:t>
      </w:r>
    </w:p>
    <w:p w14:paraId="5208D0DC"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Taking the heat content of the wood chips as 1840.5 kJ/kg, the heat content of water is 2500 kJ/kg, the heat content of air is 1.005 kJ/kg-K, we can calculate the heat required as follows:</w:t>
      </w:r>
    </w:p>
    <w:p w14:paraId="37415B3E" w14:textId="77777777" w:rsidR="00DE7D2F"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Heat required </w:t>
      </w:r>
      <w:r w:rsidRPr="00252CA7">
        <w:rPr>
          <w:rFonts w:ascii="Arial" w:hAnsi="Arial" w:cs="Arial"/>
          <w:b/>
          <w:color w:val="000000" w:themeColor="text1"/>
        </w:rPr>
        <w:t xml:space="preserve">= </w:t>
      </w:r>
      <m:oMath>
        <m:r>
          <m:rPr>
            <m:sty m:val="bi"/>
          </m:rPr>
          <w:rPr>
            <w:rFonts w:ascii="Cambria Math" w:hAnsi="Cambria Math" w:cs="Arial"/>
            <w:color w:val="000000" w:themeColor="text1"/>
          </w:rPr>
          <m:t xml:space="preserve"> </m:t>
        </m:r>
        <m:d>
          <m:dPr>
            <m:ctrlPr>
              <w:rPr>
                <w:rFonts w:ascii="Cambria Math" w:hAnsi="Cambria Math" w:cs="Arial"/>
                <w:color w:val="000000" w:themeColor="text1"/>
              </w:rPr>
            </m:ctrlPr>
          </m:dPr>
          <m:e>
            <m:r>
              <w:rPr>
                <w:rFonts w:ascii="Cambria Math" w:hAnsi="Cambria Math" w:cs="Arial"/>
                <w:color w:val="000000" w:themeColor="text1"/>
              </w:rPr>
              <m:t>7.36×5480</m:t>
            </m:r>
          </m:e>
        </m:d>
        <m:r>
          <w:rPr>
            <w:rFonts w:ascii="Cambria Math" w:hAnsi="Cambria Math" w:cs="Arial"/>
            <w:color w:val="000000" w:themeColor="text1"/>
          </w:rPr>
          <m:t>+</m:t>
        </m:r>
        <m:d>
          <m:dPr>
            <m:ctrlPr>
              <w:rPr>
                <w:rFonts w:ascii="Cambria Math" w:hAnsi="Cambria Math" w:cs="Arial"/>
                <w:color w:val="000000" w:themeColor="text1"/>
              </w:rPr>
            </m:ctrlPr>
          </m:dPr>
          <m:e>
            <m:r>
              <w:rPr>
                <w:rFonts w:ascii="Cambria Math" w:hAnsi="Cambria Math" w:cs="Arial"/>
                <w:color w:val="000000" w:themeColor="text1"/>
              </w:rPr>
              <m:t>7.36×0.2×2500</m:t>
            </m:r>
          </m:e>
        </m:d>
        <m:r>
          <w:rPr>
            <w:rFonts w:ascii="Cambria Math" w:hAnsi="Cambria Math" w:cs="Arial"/>
            <w:color w:val="000000" w:themeColor="text1"/>
          </w:rPr>
          <m:t>+</m:t>
        </m:r>
        <m:d>
          <m:dPr>
            <m:ctrlPr>
              <w:rPr>
                <w:rFonts w:ascii="Cambria Math" w:hAnsi="Cambria Math" w:cs="Arial"/>
                <w:color w:val="000000" w:themeColor="text1"/>
              </w:rPr>
            </m:ctrlPr>
          </m:dPr>
          <m:e>
            <m:r>
              <w:rPr>
                <w:rFonts w:ascii="Cambria Math" w:hAnsi="Cambria Math" w:cs="Arial"/>
                <w:color w:val="000000" w:themeColor="text1"/>
              </w:rPr>
              <m:t>7.36×0.8×1.005×(275-25)</m:t>
            </m:r>
          </m:e>
        </m:d>
      </m:oMath>
      <w:r w:rsidRPr="00252CA7">
        <w:rPr>
          <w:rFonts w:ascii="Arial" w:hAnsi="Arial" w:cs="Arial"/>
          <w:color w:val="000000" w:themeColor="text1"/>
        </w:rPr>
        <w:t xml:space="preserve">  </w:t>
      </w:r>
      <w:r w:rsidRPr="00252CA7">
        <w:rPr>
          <w:rFonts w:ascii="Arial" w:hAnsi="Arial" w:cs="Arial"/>
          <w:b/>
          <w:color w:val="000000" w:themeColor="text1"/>
        </w:rPr>
        <w:t xml:space="preserve">= </w:t>
      </w:r>
      <w:r w:rsidRPr="00252CA7">
        <w:rPr>
          <w:rFonts w:ascii="Arial" w:hAnsi="Arial" w:cs="Arial"/>
          <w:color w:val="000000" w:themeColor="text1"/>
        </w:rPr>
        <w:t>45492.16kJ</w:t>
      </w:r>
    </w:p>
    <w:p w14:paraId="5A201D90" w14:textId="77777777" w:rsidR="00B33E8E" w:rsidRPr="00252CA7" w:rsidRDefault="00B33E8E" w:rsidP="00E93B3A">
      <w:pPr>
        <w:shd w:val="clear" w:color="auto" w:fill="FFFFFF"/>
        <w:jc w:val="both"/>
        <w:rPr>
          <w:rFonts w:ascii="Arial" w:hAnsi="Arial" w:cs="Arial"/>
          <w:color w:val="000000" w:themeColor="text1"/>
        </w:rPr>
      </w:pPr>
    </w:p>
    <w:p w14:paraId="615632C3"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8" w:name="_heading=h.lhbuuo3tb32e" w:colFirst="0" w:colLast="0"/>
      <w:bookmarkStart w:id="29" w:name="_Toc140521291"/>
      <w:bookmarkEnd w:id="28"/>
      <w:r w:rsidRPr="00964D85">
        <w:rPr>
          <w:rFonts w:ascii="Arial" w:hAnsi="Arial" w:cs="Arial"/>
          <w:b/>
          <w:i/>
          <w:iCs/>
          <w:color w:val="000000" w:themeColor="text1"/>
          <w:sz w:val="20"/>
          <w:szCs w:val="20"/>
        </w:rPr>
        <w:t>Determination of the Thickness of Ceramic Fibre Insulation</w:t>
      </w:r>
      <w:bookmarkEnd w:id="29"/>
    </w:p>
    <w:p w14:paraId="42E6497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Equation (3.3) shows the relationship between thermal resistance, thickness and thermal conductivity of a material. By derivation, the thickness of the insulator was derived from equation (3.3) which is as shown in equation (3.4)</w:t>
      </w:r>
    </w:p>
    <w:p w14:paraId="179E3AC5"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R = </w:t>
      </w:r>
      <m:oMath>
        <m:f>
          <m:fPr>
            <m:ctrlPr>
              <w:rPr>
                <w:rFonts w:ascii="Cambria Math" w:hAnsi="Cambria Math" w:cs="Arial"/>
                <w:color w:val="000000" w:themeColor="text1"/>
              </w:rPr>
            </m:ctrlPr>
          </m:fPr>
          <m:num>
            <m:r>
              <w:rPr>
                <w:rFonts w:ascii="Cambria Math" w:hAnsi="Cambria Math" w:cs="Arial"/>
                <w:color w:val="000000" w:themeColor="text1"/>
              </w:rPr>
              <m:t>thickness</m:t>
            </m:r>
          </m:num>
          <m:den>
            <m:r>
              <w:rPr>
                <w:rFonts w:ascii="Cambria Math" w:hAnsi="Cambria Math" w:cs="Arial"/>
                <w:color w:val="000000" w:themeColor="text1"/>
              </w:rPr>
              <m:t xml:space="preserve"> thermal conductivity</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(3.3)</w:t>
      </w:r>
    </w:p>
    <w:p w14:paraId="2C4162CC"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R is thermal resistance</w:t>
      </w:r>
    </w:p>
    <w:p w14:paraId="6377EDAB"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thickness=R × thermal conductivity</m:t>
        </m:r>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(3.4)</w:t>
      </w:r>
    </w:p>
    <w:p w14:paraId="0AE5B6DB"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For our reactor design, a ceramic fibre with a thickness of 10 cm was considered.</w:t>
      </w:r>
    </w:p>
    <w:p w14:paraId="0FA2CB62" w14:textId="77777777" w:rsidR="00B33E8E" w:rsidRPr="00252CA7" w:rsidRDefault="00B33E8E" w:rsidP="00E93B3A">
      <w:pPr>
        <w:jc w:val="both"/>
        <w:rPr>
          <w:rFonts w:ascii="Arial" w:hAnsi="Arial" w:cs="Arial"/>
          <w:color w:val="000000" w:themeColor="text1"/>
        </w:rPr>
      </w:pPr>
    </w:p>
    <w:p w14:paraId="29A49B18"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30" w:name="_heading=h.wqr1gaonchae" w:colFirst="0" w:colLast="0"/>
      <w:bookmarkStart w:id="31" w:name="_Toc140521292"/>
      <w:bookmarkEnd w:id="30"/>
      <w:r w:rsidRPr="00964D85">
        <w:rPr>
          <w:rFonts w:ascii="Arial" w:hAnsi="Arial" w:cs="Arial"/>
          <w:b/>
          <w:i/>
          <w:iCs/>
          <w:color w:val="000000" w:themeColor="text1"/>
          <w:sz w:val="20"/>
          <w:szCs w:val="20"/>
        </w:rPr>
        <w:t>Determination of the Diameter of the Gas Inlet Pipe of the Reactor</w:t>
      </w:r>
      <w:bookmarkEnd w:id="31"/>
    </w:p>
    <w:p w14:paraId="2ADEAFA7"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The diameter is calculated based on factors such as gas flow rate, pressure drop, and desired performance Equation (3.10) shows the relationships between all these factors.</w:t>
      </w:r>
    </w:p>
    <w:p w14:paraId="3C055B88"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V = </w:t>
      </w:r>
      <m:oMath>
        <m:f>
          <m:fPr>
            <m:ctrlPr>
              <w:rPr>
                <w:rFonts w:ascii="Cambria Math" w:hAnsi="Cambria Math" w:cs="Arial"/>
                <w:color w:val="000000" w:themeColor="text1"/>
              </w:rPr>
            </m:ctrlPr>
          </m:fPr>
          <m:num>
            <m:r>
              <w:rPr>
                <w:rFonts w:ascii="Cambria Math" w:hAnsi="Cambria Math" w:cs="Arial"/>
                <w:color w:val="000000" w:themeColor="text1"/>
              </w:rPr>
              <m:t>Q</m:t>
            </m:r>
          </m:num>
          <m:den>
            <m:r>
              <w:rPr>
                <w:rFonts w:ascii="Cambria Math" w:hAnsi="Cambria Math" w:cs="Arial"/>
                <w:color w:val="000000" w:themeColor="text1"/>
              </w:rPr>
              <m:t>A</m:t>
            </m:r>
          </m:den>
        </m:f>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(3.5)</w:t>
      </w:r>
    </w:p>
    <w:p w14:paraId="34953D49"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where </w:t>
      </w:r>
    </w:p>
    <w:p w14:paraId="5C5CDAE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V is gas velocity; Q is gas flow rate; A is cross sectional area of the reactor </w:t>
      </w:r>
    </w:p>
    <w:p w14:paraId="7147CC40" w14:textId="77777777" w:rsidR="00DE7D2F" w:rsidRPr="00252CA7" w:rsidRDefault="00DE7D2F" w:rsidP="00E93B3A">
      <w:pPr>
        <w:jc w:val="both"/>
        <w:rPr>
          <w:rFonts w:ascii="Arial" w:hAnsi="Arial" w:cs="Arial"/>
          <w:b/>
          <w:color w:val="000000" w:themeColor="text1"/>
        </w:rPr>
      </w:pPr>
      <w:r w:rsidRPr="00252CA7">
        <w:rPr>
          <w:rFonts w:ascii="Arial" w:hAnsi="Arial" w:cs="Arial"/>
          <w:color w:val="000000" w:themeColor="text1"/>
        </w:rPr>
        <w:t>The gas inlet diameter can be calculated using the equation below:</w:t>
      </w:r>
    </w:p>
    <w:p w14:paraId="6A73B3C0"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d = </w:t>
      </w:r>
      <m:oMath>
        <m:rad>
          <m:radPr>
            <m:degHide m:val="1"/>
            <m:ctrlPr>
              <w:rPr>
                <w:rFonts w:ascii="Cambria Math" w:hAnsi="Cambria Math" w:cs="Arial"/>
                <w:color w:val="000000" w:themeColor="text1"/>
              </w:rPr>
            </m:ctrlPr>
          </m:radPr>
          <m:deg/>
          <m:e>
            <m:f>
              <m:fPr>
                <m:ctrlPr>
                  <w:rPr>
                    <w:rFonts w:ascii="Cambria Math" w:hAnsi="Cambria Math" w:cs="Arial"/>
                    <w:color w:val="000000" w:themeColor="text1"/>
                  </w:rPr>
                </m:ctrlPr>
              </m:fPr>
              <m:num>
                <m:r>
                  <w:rPr>
                    <w:rFonts w:ascii="Cambria Math" w:hAnsi="Cambria Math" w:cs="Arial"/>
                    <w:color w:val="000000" w:themeColor="text1"/>
                  </w:rPr>
                  <m:t>4Q</m:t>
                </m:r>
              </m:num>
              <m:den>
                <m:r>
                  <w:rPr>
                    <w:rFonts w:ascii="Cambria Math" w:hAnsi="Cambria Math" w:cs="Arial"/>
                    <w:color w:val="000000" w:themeColor="text1"/>
                  </w:rPr>
                  <m:t>πV</m:t>
                </m:r>
              </m:den>
            </m:f>
          </m:e>
        </m:rad>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(3.6)</w:t>
      </w:r>
    </w:p>
    <w:p w14:paraId="73C3BA5E" w14:textId="77777777" w:rsidR="00DE7D2F" w:rsidRPr="00964D85" w:rsidRDefault="00DE7D2F" w:rsidP="00E93B3A">
      <w:pPr>
        <w:pStyle w:val="Heading1"/>
        <w:numPr>
          <w:ilvl w:val="2"/>
          <w:numId w:val="11"/>
        </w:numPr>
        <w:spacing w:after="160"/>
        <w:ind w:left="360" w:hanging="360"/>
        <w:jc w:val="both"/>
        <w:rPr>
          <w:rFonts w:cs="Arial"/>
          <w:i/>
          <w:iCs/>
          <w:color w:val="000000" w:themeColor="text1"/>
          <w:sz w:val="20"/>
        </w:rPr>
      </w:pPr>
      <w:bookmarkStart w:id="32" w:name="_heading=h.19c6y18" w:colFirst="0" w:colLast="0"/>
      <w:bookmarkStart w:id="33" w:name="_Toc140521293"/>
      <w:bookmarkEnd w:id="32"/>
      <w:r w:rsidRPr="00964D85">
        <w:rPr>
          <w:rFonts w:cs="Arial"/>
          <w:i/>
          <w:iCs/>
          <w:color w:val="000000" w:themeColor="text1"/>
          <w:sz w:val="20"/>
        </w:rPr>
        <w:t>Determination of Heating-Energy Requirement</w:t>
      </w:r>
      <w:bookmarkEnd w:id="33"/>
    </w:p>
    <w:p w14:paraId="36D19E6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 following assumptions were taken into consideration for the design calculation of the biochar production unit; One dimensional heat transfer from the sides of the square prism reactor, there is no heat flow in the axial direction, there is axial symmetry which means heating from all sides is equal, thermo-physical properties changes as a function of temperature, the flow is steady, and the means of heat </w:t>
      </w:r>
      <w:r w:rsidRPr="00252CA7">
        <w:rPr>
          <w:rFonts w:ascii="Arial" w:hAnsi="Arial" w:cs="Arial"/>
          <w:color w:val="000000" w:themeColor="text1"/>
        </w:rPr>
        <w:lastRenderedPageBreak/>
        <w:t>transfer are by conduction and convection only. From the Fourier’s Law of conduction heat transfer; the rate of heat conduction is given in Eq. (3.7) as:</w:t>
      </w:r>
    </w:p>
    <w:p w14:paraId="22B607B8"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(3.7)</w:t>
      </w:r>
    </w:p>
    <w:p w14:paraId="6222FD4F" w14:textId="77777777" w:rsidR="00B33E8E" w:rsidRDefault="00B33E8E" w:rsidP="00E93B3A">
      <w:pPr>
        <w:jc w:val="both"/>
        <w:rPr>
          <w:rFonts w:ascii="Arial" w:hAnsi="Arial" w:cs="Arial"/>
          <w:color w:val="000000" w:themeColor="text1"/>
        </w:rPr>
      </w:pPr>
    </w:p>
    <w:p w14:paraId="3C52E9D2" w14:textId="568FB516"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the rate of heat transfer which is the power of the heater, A is the constant surface area through which heat is transferred, dT is the change in temperature. In the case of a cylindrical object, we can assume that heat conduction occurs radially from the inner surface to the outer surface. Let's derive the equation for heat conduction through a cylindrical object.</w:t>
      </w:r>
    </w:p>
    <w:p w14:paraId="44162250" w14:textId="77777777" w:rsidR="00B33E8E" w:rsidRDefault="00B33E8E" w:rsidP="00E93B3A">
      <w:pPr>
        <w:jc w:val="both"/>
        <w:rPr>
          <w:rFonts w:ascii="Arial" w:hAnsi="Arial" w:cs="Arial"/>
          <w:color w:val="000000" w:themeColor="text1"/>
        </w:rPr>
      </w:pPr>
    </w:p>
    <w:p w14:paraId="050F2197" w14:textId="77777777" w:rsidR="00B33E8E" w:rsidRDefault="00B33E8E" w:rsidP="00E93B3A">
      <w:pPr>
        <w:jc w:val="both"/>
        <w:rPr>
          <w:rFonts w:ascii="Arial" w:hAnsi="Arial" w:cs="Arial"/>
          <w:color w:val="000000" w:themeColor="text1"/>
        </w:rPr>
      </w:pPr>
    </w:p>
    <w:p w14:paraId="2BA76CA2" w14:textId="1912E606"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This is the equation for the rate of heat conduction in a cylindrical object derived from Fourier's Law of conduction heat transfer. It takes into account the thermal conductivity (k), length (L), temperature difference (ΔT), and radii (r1 and r2) of the cylindrical object.</w:t>
      </w:r>
    </w:p>
    <w:p w14:paraId="4B51B829" w14:textId="77777777" w:rsidR="00B33E8E" w:rsidRDefault="00B33E8E" w:rsidP="00DE7D2F">
      <w:pPr>
        <w:rPr>
          <w:rFonts w:ascii="Arial" w:hAnsi="Arial" w:cs="Arial"/>
          <w:color w:val="000000" w:themeColor="text1"/>
        </w:rPr>
      </w:pPr>
    </w:p>
    <w:p w14:paraId="50FF55DF" w14:textId="129A9281"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 temperature developed across the wall of the biomass torrefaction unit in this study is estimated using Eq. (3.9) as represented in Fig. </w:t>
      </w:r>
      <w:r w:rsidR="00D65F02">
        <w:rPr>
          <w:rFonts w:ascii="Arial" w:hAnsi="Arial" w:cs="Arial"/>
          <w:color w:val="000000" w:themeColor="text1"/>
        </w:rPr>
        <w:t>6</w:t>
      </w:r>
      <w:r w:rsidRPr="00252CA7">
        <w:rPr>
          <w:rFonts w:ascii="Arial" w:hAnsi="Arial" w:cs="Arial"/>
          <w:color w:val="000000" w:themeColor="text1"/>
        </w:rPr>
        <w:t>. The equation is independent of thermal conductivity. Thus the rate of heat transfer is calculated using the Fourier’s equation given as follows:</w:t>
      </w:r>
    </w:p>
    <w:p w14:paraId="6E8E2FBD" w14:textId="396376B1"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8</w:t>
      </w:r>
      <w:r w:rsidRPr="00252CA7">
        <w:rPr>
          <w:rFonts w:ascii="Arial" w:hAnsi="Arial" w:cs="Arial"/>
          <w:color w:val="000000" w:themeColor="text1"/>
        </w:rPr>
        <w:t>)</w:t>
      </w:r>
    </w:p>
    <w:p w14:paraId="5FCA5CCB"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where, </w:t>
      </w:r>
      <m:oMath>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 xml:space="preserve"> is Temperature gradient</w:t>
      </w:r>
    </w:p>
    <w:p w14:paraId="7156D0C1" w14:textId="613E02FB" w:rsidR="00DE7D2F" w:rsidRPr="00252CA7" w:rsidRDefault="00000000" w:rsidP="00E93B3A">
      <w:pPr>
        <w:jc w:val="both"/>
        <w:rPr>
          <w:rFonts w:ascii="Arial" w:hAnsi="Arial" w:cs="Arial"/>
          <w:color w:val="000000" w:themeColor="text1"/>
        </w:rPr>
      </w:pPr>
      <m:oMath>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00DE7D2F" w:rsidRPr="00252CA7">
        <w:rPr>
          <w:rFonts w:ascii="Arial" w:hAnsi="Arial" w:cs="Arial"/>
          <w:color w:val="000000" w:themeColor="text1"/>
        </w:rPr>
        <w:t xml:space="preserve"> = </w:t>
      </w:r>
      <m:oMath>
        <m:f>
          <m:fPr>
            <m:ctrlPr>
              <w:rPr>
                <w:rFonts w:ascii="Cambria Math" w:hAnsi="Cambria Math" w:cs="Arial"/>
                <w:color w:val="000000" w:themeColor="text1"/>
              </w:rPr>
            </m:ctrlPr>
          </m:fPr>
          <m:num>
            <m:r>
              <w:rPr>
                <w:rFonts w:ascii="Cambria Math" w:hAnsi="Cambria Math" w:cs="Arial"/>
                <w:color w:val="000000" w:themeColor="text1"/>
              </w:rPr>
              <m:t>d</m:t>
            </m:r>
          </m:num>
          <m:den>
            <m:r>
              <w:rPr>
                <w:rFonts w:ascii="Cambria Math" w:hAnsi="Cambria Math" w:cs="Arial"/>
                <w:color w:val="000000" w:themeColor="text1"/>
              </w:rPr>
              <m:t>dx</m:t>
            </m:r>
          </m:den>
        </m:f>
        <m:r>
          <w:rPr>
            <w:rFonts w:ascii="Cambria Math" w:hAnsi="Cambria Math" w:cs="Arial"/>
            <w:color w:val="000000" w:themeColor="text1"/>
          </w:rPr>
          <m:t xml:space="preserve"> </m:t>
        </m:r>
        <m:d>
          <m:dPr>
            <m:begChr m:val="["/>
            <m:endChr m:val="]"/>
            <m:ctrlPr>
              <w:rPr>
                <w:rFonts w:ascii="Cambria Math" w:hAnsi="Cambria Math" w:cs="Arial"/>
                <w:color w:val="000000" w:themeColor="text1"/>
              </w:rPr>
            </m:ctrlPr>
          </m:dPr>
          <m:e>
            <m:r>
              <w:rPr>
                <w:rFonts w:ascii="Cambria Math" w:hAnsi="Cambria Math" w:cs="Arial"/>
                <w:color w:val="000000" w:themeColor="text1"/>
              </w:rPr>
              <m:t xml:space="preserve">(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r>
              <w:rPr>
                <w:rFonts w:ascii="Cambria Math" w:hAnsi="Cambria Math" w:cs="Arial"/>
                <w:color w:val="000000" w:themeColor="text1"/>
              </w:rPr>
              <m:t>x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m:t>
            </m:r>
          </m:e>
        </m:d>
      </m:oMath>
      <w:r w:rsidR="00DE7D2F" w:rsidRPr="00252CA7">
        <w:rPr>
          <w:rFonts w:ascii="Arial" w:hAnsi="Arial" w:cs="Arial"/>
          <w:color w:val="000000" w:themeColor="text1"/>
        </w:rPr>
        <w:t xml:space="preserve"> = </w:t>
      </w:r>
      <m:oMath>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oMath>
      <w:r w:rsidR="00DE7D2F" w:rsidRPr="00252CA7">
        <w:rPr>
          <w:rFonts w:ascii="Arial" w:hAnsi="Arial" w:cs="Arial"/>
          <w:color w:val="000000" w:themeColor="text1"/>
        </w:rPr>
        <w:tab/>
      </w:r>
      <w:r w:rsidR="00DE7D2F" w:rsidRPr="00252CA7">
        <w:rPr>
          <w:rFonts w:ascii="Arial" w:hAnsi="Arial" w:cs="Arial"/>
          <w:color w:val="000000" w:themeColor="text1"/>
        </w:rPr>
        <w:tab/>
      </w:r>
      <w:r w:rsidR="00DE7D2F" w:rsidRPr="00252CA7">
        <w:rPr>
          <w:rFonts w:ascii="Arial" w:hAnsi="Arial" w:cs="Arial"/>
          <w:color w:val="000000" w:themeColor="text1"/>
        </w:rPr>
        <w:tab/>
      </w:r>
      <w:r w:rsidR="00DE7D2F" w:rsidRPr="00252CA7">
        <w:rPr>
          <w:rFonts w:ascii="Arial" w:hAnsi="Arial" w:cs="Arial"/>
          <w:color w:val="000000" w:themeColor="text1"/>
        </w:rPr>
        <w:tab/>
        <w:t>(3.</w:t>
      </w:r>
      <w:r w:rsidR="00446A70">
        <w:rPr>
          <w:rFonts w:ascii="Arial" w:hAnsi="Arial" w:cs="Arial"/>
          <w:color w:val="000000" w:themeColor="text1"/>
        </w:rPr>
        <w:t>9</w:t>
      </w:r>
      <w:r w:rsidR="00DE7D2F" w:rsidRPr="00252CA7">
        <w:rPr>
          <w:rFonts w:ascii="Arial" w:hAnsi="Arial" w:cs="Arial"/>
          <w:color w:val="000000" w:themeColor="text1"/>
        </w:rPr>
        <w:t>)</w:t>
      </w:r>
    </w:p>
    <w:p w14:paraId="2A93635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Therefore; </w:t>
      </w:r>
    </w:p>
    <w:p w14:paraId="7357CC4F" w14:textId="1DD9AF71"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 xml:space="preserve"> = </w:t>
      </w:r>
      <m:oMath>
        <m:r>
          <w:rPr>
            <w:rFonts w:ascii="Cambria Math" w:hAnsi="Cambria Math" w:cs="Arial"/>
            <w:color w:val="000000" w:themeColor="text1"/>
          </w:rPr>
          <m:t>-kA(</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r>
          <w:rPr>
            <w:rFonts w:ascii="Cambria Math" w:hAnsi="Cambria Math" w:cs="Arial"/>
            <w:color w:val="000000" w:themeColor="text1"/>
          </w:rPr>
          <m:t>)</m:t>
        </m:r>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w:t>
      </w:r>
      <w:r w:rsidR="00446A70">
        <w:rPr>
          <w:rFonts w:ascii="Arial" w:hAnsi="Arial" w:cs="Arial"/>
          <w:color w:val="000000" w:themeColor="text1"/>
        </w:rPr>
        <w:t>0</w:t>
      </w:r>
      <w:r w:rsidRPr="00252CA7">
        <w:rPr>
          <w:rFonts w:ascii="Arial" w:hAnsi="Arial" w:cs="Arial"/>
          <w:color w:val="000000" w:themeColor="text1"/>
        </w:rPr>
        <w:t>)</w:t>
      </w:r>
    </w:p>
    <w:p w14:paraId="0A45F7A0"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the rate of heat transfer and is also the rating Power required of the heating element.</w:t>
      </w:r>
    </w:p>
    <w:p w14:paraId="39397198" w14:textId="64C80623" w:rsidR="00DE7D2F" w:rsidRPr="00252CA7" w:rsidRDefault="00000000" w:rsidP="00DE7D2F">
      <w:pPr>
        <w:rPr>
          <w:rFonts w:ascii="Arial" w:hAnsi="Arial" w:cs="Arial"/>
          <w:color w:val="000000" w:themeColor="text1"/>
        </w:rPr>
      </w:pPr>
      <w:r>
        <w:pict w14:anchorId="557AA8C9">
          <v:group id="Group 135" o:spid="_x0000_s2149" style="width:442.05pt;height:313.1pt;mso-position-horizontal-relative:char;mso-position-vertical-relative:line" coordorigin="23742,16740" coordsize="59436,42119">
            <v:group id="Group 997344259" o:spid="_x0000_s2150" style="position:absolute;left:23742;top:16740;width:59436;height:42119" coordorigin="23742,16740" coordsize="60850,4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">
              <v:rect id="Rectangle 952731109" o:spid="_x0000_s2151" style="position:absolute;left:23742;top:16740;width:60850;height:42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" filled="f" stroked="f">
                <v:textbox inset="2.53958mm,2.53958mm,2.53958mm,2.53958mm">
                  <w:txbxContent>
                    <w:p w14:paraId="30E21131" w14:textId="77777777" w:rsidR="00DE7D2F" w:rsidRDefault="00DE7D2F" w:rsidP="00DE7D2F">
                      <w:pPr>
                        <w:textDirection w:val="btLr"/>
                      </w:pPr>
                    </w:p>
                  </w:txbxContent>
                </v:textbox>
              </v:rect>
              <v:group id="Group 1337879352" o:spid="_x0000_s2152" style="position:absolute;left:23742;top:16740;width:60850;height:42119" coordorigin="3639,1442" coordsize="66486,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">
                <v:rect id="Rectangle 1824154585" o:spid="_x0000_s2153" style="position:absolute;left:3639;top:1442;width:64941;height:459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" filled="f" stroked="f">
                  <v:textbox inset="2.53958mm,2.53958mm,2.53958mm,2.53958mm">
                    <w:txbxContent>
                      <w:p w14:paraId="6BBA5472" w14:textId="77777777" w:rsidR="00DE7D2F" w:rsidRDefault="00DE7D2F" w:rsidP="00DE7D2F">
                        <w:pPr>
                          <w:textDirection w:val="btLr"/>
                        </w:pPr>
                      </w:p>
                    </w:txbxContent>
                  </v:textbox>
                </v:rect>
                <v:rect id="Rectangle 1705535168" o:spid="_x0000_s2154" style="position:absolute;left:22177;top:11278;width:33168;height:19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" filled="f">
                  <v:stroke startarrowwidth="narrow" startarrowlength="short" endarrowwidth="narrow" endarrowlength="short" joinstyle="round"/>
                  <v:textbox inset="2.53958mm,2.53958mm,2.53958mm,2.53958mm">
                    <w:txbxContent>
                      <w:p w14:paraId="66469CD6" w14:textId="77777777" w:rsidR="00DE7D2F" w:rsidRDefault="00DE7D2F" w:rsidP="00DE7D2F">
                        <w:pPr>
                          <w:textDirection w:val="btLr"/>
                        </w:pPr>
                      </w:p>
                    </w:txbxContent>
                  </v:textbox>
                </v:rect>
                <v:shape id="Straight Arrow Connector 936312855" o:spid="_x0000_s2155" type="#_x0000_t32" style="position:absolute;left:28824;top:11227;width:0;height:19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">
                  <v:stroke startarrowwidth="narrow" startarrowlength="short" endarrowwidth="narrow" endarrowlength="short"/>
                </v:shape>
                <v:shape id="Straight Arrow Connector 1289722570" o:spid="_x0000_s2156" type="#_x0000_t32" style="position:absolute;left:43947;top:11227;width:0;height:19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">
                  <v:stroke startarrowwidth="narrow" startarrowlength="short" endarrowwidth="narrow" endarrowlength="short"/>
                </v:shape>
                <v:shape id="Straight Arrow Connector 1184132944" o:spid="_x0000_s2157" type="#_x0000_t32" style="position:absolute;left:28926;top:25246;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">
                  <v:stroke startarrowwidth="narrow" startarrowlength="short" endarrowwidth="narrow" endarrowlength="short"/>
                </v:shape>
                <v:shape id="Straight Arrow Connector 353359321" o:spid="_x0000_s2158" type="#_x0000_t32" style="position:absolute;left:28926;top:24623;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">
                  <v:stroke startarrowwidth="narrow" startarrowlength="short" endarrowwidth="narrow" endarrowlength="short"/>
                </v:shape>
                <v:shape id="Straight Arrow Connector 1592272208" o:spid="_x0000_s2159" type="#_x0000_t32" style="position:absolute;left:29023;top:20594;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">
                  <v:stroke startarrowwidth="narrow" startarrowlength="short" endarrowwidth="narrow" endarrowlength="short"/>
                </v:shape>
                <v:shape id="Straight Arrow Connector 1896722181" o:spid="_x0000_s2160" type="#_x0000_t32" style="position:absolute;left:29023;top:19971;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">
                  <v:stroke startarrowwidth="narrow" startarrowlength="short" endarrowwidth="narrow" endarrowlength="short"/>
                </v:shape>
                <v:shape id="Straight Arrow Connector 1141228074" o:spid="_x0000_s2161" type="#_x0000_t32" style="position:absolute;left:28926;top:15942;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">
                  <v:stroke startarrowwidth="narrow" startarrowlength="short" endarrowwidth="narrow" endarrowlength="short"/>
                </v:shape>
                <v:shape id="Straight Arrow Connector 870498471" o:spid="_x0000_s2162" type="#_x0000_t32" style="position:absolute;left:28926;top:15318;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">
                  <v:stroke startarrowwidth="narrow" startarrowlength="short" endarrowwidth="narrow" endarrowlength="short"/>
                </v:shape>
                <v:shape id="Straight Arrow Connector 1277103306" o:spid="_x0000_s2163" type="#_x0000_t32" style="position:absolute;left:28926;top:11850;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">
                  <v:stroke startarrowwidth="narrow" startarrowlength="short" endarrowwidth="narrow" endarrowlength="short"/>
                </v:shape>
                <v:shape id="Straight Arrow Connector 1762700702" o:spid="_x0000_s2164" type="#_x0000_t32" style="position:absolute;left:28926;top:11227;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">
                  <v:stroke startarrowwidth="narrow" startarrowlength="short" endarrowwidth="narrow" endarrowlength="short"/>
                </v:shape>
                <v:shape id="Straight Arrow Connector 1834458751" o:spid="_x0000_s2165" type="#_x0000_t32" style="position:absolute;left:17166;top:13016;width:4908;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">
                  <v:stroke startarrowwidth="narrow" startarrowlength="short" endarrow="block"/>
                </v:shape>
                <v:shape id="Straight Arrow Connector 711231570" o:spid="_x0000_s2166" type="#_x0000_t32" style="position:absolute;left:14712;top:17597;width:1401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">
                  <v:stroke startarrowwidth="narrow" startarrowlength="short" endarrow="block"/>
                </v:shape>
                <v:shape id="Straight Arrow Connector 569715958" o:spid="_x0000_s2167" type="#_x0000_t32" style="position:absolute;left:15326;top:27230;width:28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">
                  <v:stroke startarrowwidth="narrow" startarrowlength="short" endarrow="block"/>
                </v:shape>
                <v:shape id="Straight Arrow Connector 263740462" o:spid="_x0000_s2168" type="#_x0000_t32" style="position:absolute;left:27564;top:7595;width:6786;height:1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">
                  <v:stroke startarrowwidth="narrow" startarrowlength="short" endarrow="block"/>
                </v:shape>
                <v:rect id="Rectangle 201605107" o:spid="_x0000_s2169" style="position:absolute;left:23608;top:4734;width:1707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" filled="f" stroked="f">
                  <v:textbox inset="2.53958mm,2.53958mm,2.53958mm,2.53958mm">
                    <w:txbxContent>
                      <w:p w14:paraId="3DFBAEA9" w14:textId="77777777" w:rsidR="00DE7D2F" w:rsidRDefault="00DE7D2F" w:rsidP="00DE7D2F">
                        <w:pPr>
                          <w:textDirection w:val="btLr"/>
                        </w:pPr>
                        <w:r>
                          <w:rPr>
                            <w:color w:val="000000"/>
                          </w:rPr>
                          <w:t>Ceramic Fibre Insulator</w:t>
                        </w:r>
                      </w:p>
                    </w:txbxContent>
                  </v:textbox>
                </v:rect>
                <v:rect id="Rectangle 2003187961" o:spid="_x0000_s2170" style="position:absolute;left:14043;top:10633;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" filled="f" stroked="f">
                  <v:textbox inset="2.53958mm,2.53958mm,2.53958mm,2.53958mm">
                    <w:txbxContent>
                      <w:p w14:paraId="7B6858F7" w14:textId="77777777" w:rsidR="00DE7D2F" w:rsidRDefault="00DE7D2F" w:rsidP="00DE7D2F">
                        <w:pPr>
                          <w:textDirection w:val="btLr"/>
                        </w:pPr>
                        <w:r>
                          <w:rPr>
                            <w:color w:val="000000"/>
                          </w:rPr>
                          <w:t>T</w:t>
                        </w:r>
                        <w:r>
                          <w:rPr>
                            <w:color w:val="000000"/>
                            <w:vertAlign w:val="subscript"/>
                          </w:rPr>
                          <w:t>o</w:t>
                        </w:r>
                      </w:p>
                    </w:txbxContent>
                  </v:textbox>
                </v:rect>
                <v:rect id="Rectangle 928053064" o:spid="_x0000_s2171" style="position:absolute;left:10827;top:15486;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" filled="f" stroked="f">
                  <v:textbox inset="2.53958mm,2.53958mm,2.53958mm,2.53958mm">
                    <w:txbxContent>
                      <w:p w14:paraId="6D29F82F" w14:textId="77777777" w:rsidR="00DE7D2F" w:rsidRDefault="00DE7D2F" w:rsidP="00DE7D2F">
                        <w:pPr>
                          <w:textDirection w:val="btLr"/>
                        </w:pPr>
                        <w:r>
                          <w:rPr>
                            <w:color w:val="000000"/>
                          </w:rPr>
                          <w:t>T</w:t>
                        </w:r>
                        <w:r>
                          <w:rPr>
                            <w:color w:val="000000"/>
                            <w:vertAlign w:val="subscript"/>
                          </w:rPr>
                          <w:t>C1</w:t>
                        </w:r>
                      </w:p>
                    </w:txbxContent>
                  </v:textbox>
                </v:rect>
                <v:rect id="Rectangle 1381392428" o:spid="_x0000_s2172" style="position:absolute;left:11589;top:25384;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" filled="f" stroked="f">
                  <v:textbox inset="2.53958mm,2.53958mm,2.53958mm,2.53958mm">
                    <w:txbxContent>
                      <w:p w14:paraId="7E231809" w14:textId="77777777" w:rsidR="00DE7D2F" w:rsidRDefault="00DE7D2F" w:rsidP="00DE7D2F">
                        <w:pPr>
                          <w:textDirection w:val="btLr"/>
                        </w:pPr>
                        <w:r>
                          <w:rPr>
                            <w:color w:val="000000"/>
                          </w:rPr>
                          <w:t>T</w:t>
                        </w:r>
                        <w:r>
                          <w:rPr>
                            <w:color w:val="000000"/>
                            <w:vertAlign w:val="subscript"/>
                          </w:rPr>
                          <w:t>C2</w:t>
                        </w:r>
                      </w:p>
                    </w:txbxContent>
                  </v:textbox>
                </v:rect>
                <v:rect id="Rectangle 2085516626" o:spid="_x0000_s2173" style="position:absolute;left:65217;top:21534;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" filled="f" stroked="f">
                  <v:textbox inset="2.53958mm,2.53958mm,2.53958mm,2.53958mm">
                    <w:txbxContent>
                      <w:p w14:paraId="235DFFF1" w14:textId="77777777" w:rsidR="00DE7D2F" w:rsidRDefault="00DE7D2F" w:rsidP="00DE7D2F">
                        <w:pPr>
                          <w:jc w:val="center"/>
                          <w:textDirection w:val="btLr"/>
                        </w:pPr>
                        <w:r>
                          <w:rPr>
                            <w:color w:val="000000"/>
                            <w:sz w:val="26"/>
                          </w:rPr>
                          <w:t>T</w:t>
                        </w:r>
                        <w:r>
                          <w:rPr>
                            <w:color w:val="000000"/>
                            <w:sz w:val="26"/>
                            <w:vertAlign w:val="subscript"/>
                          </w:rPr>
                          <w:t>∞1</w:t>
                        </w:r>
                      </w:p>
                    </w:txbxContent>
                  </v:textbox>
                </v:rect>
                <v:rect id="Rectangle 1063516759" o:spid="_x0000_s2174" style="position:absolute;left:3639;top:20684;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" filled="f" stroked="f">
                  <v:textbox inset="2.53958mm,2.53958mm,2.53958mm,2.53958mm">
                    <w:txbxContent>
                      <w:p w14:paraId="68307EF7" w14:textId="77777777" w:rsidR="00DE7D2F" w:rsidRDefault="00DE7D2F" w:rsidP="00DE7D2F">
                        <w:pPr>
                          <w:jc w:val="center"/>
                          <w:textDirection w:val="btLr"/>
                        </w:pPr>
                        <w:r>
                          <w:rPr>
                            <w:color w:val="000000"/>
                            <w:sz w:val="26"/>
                          </w:rPr>
                          <w:t>T</w:t>
                        </w:r>
                        <w:r>
                          <w:rPr>
                            <w:color w:val="000000"/>
                            <w:sz w:val="26"/>
                            <w:vertAlign w:val="subscript"/>
                          </w:rPr>
                          <w:t>∞2</w:t>
                        </w:r>
                      </w:p>
                    </w:txbxContent>
                  </v:textbox>
                </v:rect>
                <v:shape id="Straight Arrow Connector 1184230619" o:spid="_x0000_s2175" type="#_x0000_t32" style="position:absolute;left:46056;top:5135;width:1602;height:5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">
                  <v:stroke startarrowwidth="narrow" startarrowlength="short" endarrow="block"/>
                </v:shape>
                <v:rect id="Rectangle 1227086775" o:spid="_x0000_s2176" style="position:absolute;left:40684;top:1442;width:1074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" filled="f" stroked="f">
                  <v:textbox inset="2.53958mm,2.53958mm,2.53958mm,2.53958mm">
                    <w:txbxContent>
                      <w:p w14:paraId="2783AF56" w14:textId="77777777" w:rsidR="00DE7D2F" w:rsidRDefault="00DE7D2F" w:rsidP="00DE7D2F">
                        <w:pPr>
                          <w:textDirection w:val="btLr"/>
                        </w:pPr>
                        <w:r>
                          <w:rPr>
                            <w:color w:val="000000"/>
                          </w:rPr>
                          <w:t>Stainless Steel</w:t>
                        </w:r>
                      </w:p>
                    </w:txbxContent>
                  </v:textbox>
                </v:rect>
                <v:shape id="Straight Arrow Connector 902472649" o:spid="_x0000_s2177" type="#_x0000_t32" style="position:absolute;left:50592;top:16603;width:9615;height:5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">
                  <v:stroke startarrowwidth="narrow" startarrowlength="short" endarrow="block"/>
                </v:shape>
                <v:rect id="Rectangle 332323747" o:spid="_x0000_s2178" style="position:absolute;left:60207;top:14756;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" filled="f" stroked="f">
                  <v:textbox inset="2.53958mm,2.53958mm,2.53958mm,2.53958mm">
                    <w:txbxContent>
                      <w:p w14:paraId="01EA3569" w14:textId="77777777" w:rsidR="00DE7D2F" w:rsidRDefault="00DE7D2F" w:rsidP="00DE7D2F">
                        <w:pPr>
                          <w:textDirection w:val="btLr"/>
                        </w:pPr>
                        <w:r>
                          <w:rPr>
                            <w:color w:val="000000"/>
                          </w:rPr>
                          <w:t>T</w:t>
                        </w:r>
                        <w:r>
                          <w:rPr>
                            <w:color w:val="000000"/>
                            <w:vertAlign w:val="subscript"/>
                          </w:rPr>
                          <w:t>S</w:t>
                        </w:r>
                      </w:p>
                    </w:txbxContent>
                  </v:textbox>
                </v:rect>
                <v:shape id="Straight Arrow Connector 1516683612" o:spid="_x0000_s2179" type="#_x0000_t32" style="position:absolute;left:50477;top:11380;width:0;height:19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">
                  <v:stroke startarrowwidth="narrow" startarrowlength="short" endarrowwidth="narrow" endarrowlength="short"/>
                </v:shape>
                <v:shape id="Freeform: Shape 777569601" o:spid="_x0000_s2180" style="position:absolute;left:50539;top:11381;width:4907;height:19736;visibility:visible;mso-wrap-style:square;v-text-anchor:middle" coordsize="17997,79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" adj="-11796480,,5400" path="m,c2522,2644,15066,10684,15134,15866,15202,21048,68,25301,409,31090v341,5789,16770,13472,16770,19511c17179,56640,273,62465,409,67325v136,4860,14657,10363,17588,12436e" filled="f">
                  <v:stroke startarrowwidth="narrow" startarrowlength="short" endarrowwidth="narrow" endarrowlength="short" joinstyle="round"/>
                  <v:formulas/>
                  <v:path arrowok="t" o:extrusionok="f" o:connecttype="segments" textboxrect="0,0,17997,79761"/>
                  <v:textbox inset="2.53958mm,2.53958mm,2.53958mm,2.53958mm">
                    <w:txbxContent>
                      <w:p w14:paraId="110FB558" w14:textId="77777777" w:rsidR="00DE7D2F" w:rsidRDefault="00DE7D2F" w:rsidP="00DE7D2F">
                        <w:pPr>
                          <w:textDirection w:val="btLr"/>
                        </w:pPr>
                      </w:p>
                    </w:txbxContent>
                  </v:textbox>
                </v:shape>
                <v:shape id="Straight Arrow Connector 361691708" o:spid="_x0000_s2181" type="#_x0000_t32" style="position:absolute;left:55917;top:13697;width:5415;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">
                  <v:stroke startarrowwidth="narrow" startarrowlength="short" endarrow="block"/>
                </v:shape>
                <v:rect id="Rectangle 1270465561" o:spid="_x0000_s2182" style="position:absolute;left:61332;top:11850;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" filled="f" stroked="f">
                  <v:textbox inset="2.53958mm,2.53958mm,2.53958mm,2.53958mm">
                    <w:txbxContent>
                      <w:p w14:paraId="22ACAD4A" w14:textId="77777777" w:rsidR="00DE7D2F" w:rsidRDefault="00DE7D2F" w:rsidP="00DE7D2F">
                        <w:pPr>
                          <w:textDirection w:val="btLr"/>
                        </w:pPr>
                        <w:r>
                          <w:rPr>
                            <w:color w:val="000000"/>
                          </w:rPr>
                          <w:t>T</w:t>
                        </w:r>
                        <w:r>
                          <w:rPr>
                            <w:color w:val="000000"/>
                            <w:vertAlign w:val="subscript"/>
                          </w:rPr>
                          <w:t>i</w:t>
                        </w:r>
                      </w:p>
                    </w:txbxContent>
                  </v:textbox>
                </v:rect>
                <v:shape id="Straight Arrow Connector 1166690685" o:spid="_x0000_s2183" type="#_x0000_t32" style="position:absolute;left:22115;top:34695;width:6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">
                  <v:stroke startarrow="classic" endarrow="block"/>
                </v:shape>
                <v:shape id="Straight Arrow Connector 1711562668" o:spid="_x0000_s2184" type="#_x0000_t32" style="position:absolute;left:28822;top:34695;width:15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">
                  <v:stroke startarrow="classic" endarrow="block"/>
                </v:shape>
                <v:shape id="Straight Arrow Connector 1619016992" o:spid="_x0000_s2185" type="#_x0000_t32" style="position:absolute;left:43834;top:34695;width:6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">
                  <v:stroke startarrow="classic" endarrow="block"/>
                </v:shape>
                <v:shape id="Straight Arrow Connector 2034028166" o:spid="_x0000_s2186" type="#_x0000_t32" style="position:absolute;left:50489;top:34695;width:4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">
                  <v:stroke startarrow="classic" endarrow="block"/>
                </v:shape>
                <v:rect id="Rectangle 1096754910" o:spid="_x0000_s2187" style="position:absolute;left:61582;top:35056;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" filled="f" stroked="f">
                  <v:textbox inset="2.53958mm,2.53958mm,2.53958mm,2.53958mm">
                    <w:txbxContent>
                      <w:p w14:paraId="5580C2D4" w14:textId="77777777" w:rsidR="00DE7D2F" w:rsidRDefault="00DE7D2F" w:rsidP="00DE7D2F">
                        <w:pPr>
                          <w:jc w:val="center"/>
                          <w:textDirection w:val="btLr"/>
                        </w:pPr>
                        <w:r>
                          <w:rPr>
                            <w:color w:val="000000"/>
                            <w:sz w:val="26"/>
                          </w:rPr>
                          <w:t>T</w:t>
                        </w:r>
                        <w:r>
                          <w:rPr>
                            <w:color w:val="000000"/>
                            <w:sz w:val="26"/>
                            <w:vertAlign w:val="subscript"/>
                          </w:rPr>
                          <w:t>∞1</w:t>
                        </w:r>
                      </w:p>
                    </w:txbxContent>
                  </v:textbox>
                </v:rect>
                <v:rect id="Rectangle 2066227636" o:spid="_x0000_s2188" style="position:absolute;left:53142;top:35518;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" filled="f" stroked="f">
                  <v:textbox inset="2.53958mm,2.53958mm,2.53958mm,2.53958mm">
                    <w:txbxContent>
                      <w:p w14:paraId="47BF1BC7" w14:textId="77777777" w:rsidR="00DE7D2F" w:rsidRDefault="00DE7D2F" w:rsidP="00DE7D2F">
                        <w:pPr>
                          <w:textDirection w:val="btLr"/>
                        </w:pPr>
                        <w:r>
                          <w:rPr>
                            <w:color w:val="000000"/>
                          </w:rPr>
                          <w:t>T</w:t>
                        </w:r>
                        <w:r>
                          <w:rPr>
                            <w:color w:val="000000"/>
                            <w:vertAlign w:val="subscript"/>
                          </w:rPr>
                          <w:t>i</w:t>
                        </w:r>
                      </w:p>
                    </w:txbxContent>
                  </v:textbox>
                </v:rect>
                <v:rect id="Rectangle 1338766861" o:spid="_x0000_s2189" style="position:absolute;left:48739;top:35518;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" filled="f" stroked="f">
                  <v:textbox inset="2.53958mm,2.53958mm,2.53958mm,2.53958mm">
                    <w:txbxContent>
                      <w:p w14:paraId="09997631" w14:textId="77777777" w:rsidR="00DE7D2F" w:rsidRDefault="00DE7D2F" w:rsidP="00DE7D2F">
                        <w:pPr>
                          <w:textDirection w:val="btLr"/>
                        </w:pPr>
                        <w:r>
                          <w:rPr>
                            <w:color w:val="000000"/>
                          </w:rPr>
                          <w:t>T</w:t>
                        </w:r>
                        <w:r>
                          <w:rPr>
                            <w:color w:val="000000"/>
                            <w:vertAlign w:val="subscript"/>
                          </w:rPr>
                          <w:t>S</w:t>
                        </w:r>
                      </w:p>
                    </w:txbxContent>
                  </v:textbox>
                </v:rect>
                <v:rect id="Rectangle 1804730654" o:spid="_x0000_s2190" style="position:absolute;left:42154;top:35599;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" filled="f" stroked="f">
                  <v:textbox inset="2.53958mm,2.53958mm,2.53958mm,2.53958mm">
                    <w:txbxContent>
                      <w:p w14:paraId="5F57E18F" w14:textId="77777777" w:rsidR="00DE7D2F" w:rsidRDefault="00DE7D2F" w:rsidP="00DE7D2F">
                        <w:pPr>
                          <w:textDirection w:val="btLr"/>
                        </w:pPr>
                        <w:r>
                          <w:rPr>
                            <w:color w:val="000000"/>
                          </w:rPr>
                          <w:t>T</w:t>
                        </w:r>
                        <w:r>
                          <w:rPr>
                            <w:color w:val="000000"/>
                            <w:vertAlign w:val="subscript"/>
                          </w:rPr>
                          <w:t>C2</w:t>
                        </w:r>
                      </w:p>
                    </w:txbxContent>
                  </v:textbox>
                </v:rect>
                <v:rect id="Rectangle 1532780520" o:spid="_x0000_s2191" style="position:absolute;left:26881;top:35134;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" filled="f" stroked="f">
                  <v:textbox inset="2.53958mm,2.53958mm,2.53958mm,2.53958mm">
                    <w:txbxContent>
                      <w:p w14:paraId="497507C9" w14:textId="77777777" w:rsidR="00DE7D2F" w:rsidRDefault="00DE7D2F" w:rsidP="00DE7D2F">
                        <w:pPr>
                          <w:textDirection w:val="btLr"/>
                        </w:pPr>
                        <w:r>
                          <w:rPr>
                            <w:color w:val="000000"/>
                          </w:rPr>
                          <w:t>T</w:t>
                        </w:r>
                        <w:r>
                          <w:rPr>
                            <w:color w:val="000000"/>
                            <w:vertAlign w:val="subscript"/>
                          </w:rPr>
                          <w:t>C1</w:t>
                        </w:r>
                      </w:p>
                    </w:txbxContent>
                  </v:textbox>
                </v:rect>
                <v:rect id="Rectangle 682875683" o:spid="_x0000_s2192" style="position:absolute;left:21257;top:34960;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" filled="f" stroked="f">
                  <v:textbox inset="2.53958mm,2.53958mm,2.53958mm,2.53958mm">
                    <w:txbxContent>
                      <w:p w14:paraId="29B885E2" w14:textId="77777777" w:rsidR="00DE7D2F" w:rsidRDefault="00DE7D2F" w:rsidP="00DE7D2F">
                        <w:pPr>
                          <w:textDirection w:val="btLr"/>
                        </w:pPr>
                        <w:r>
                          <w:rPr>
                            <w:color w:val="000000"/>
                          </w:rPr>
                          <w:t>T</w:t>
                        </w:r>
                        <w:r>
                          <w:rPr>
                            <w:color w:val="000000"/>
                            <w:vertAlign w:val="subscript"/>
                          </w:rPr>
                          <w:t>o</w:t>
                        </w:r>
                      </w:p>
                    </w:txbxContent>
                  </v:textbox>
                </v:rect>
                <v:rect id="Rectangle 1374171640" o:spid="_x0000_s2193" style="position:absolute;left:12769;top:34882;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" filled="f" stroked="f">
                  <v:textbox inset="2.53958mm,2.53958mm,2.53958mm,2.53958mm">
                    <w:txbxContent>
                      <w:p w14:paraId="26F4FD1B" w14:textId="77777777" w:rsidR="00DE7D2F" w:rsidRDefault="00DE7D2F" w:rsidP="00DE7D2F">
                        <w:pPr>
                          <w:jc w:val="center"/>
                          <w:textDirection w:val="btLr"/>
                        </w:pPr>
                        <w:r>
                          <w:rPr>
                            <w:color w:val="000000"/>
                            <w:sz w:val="26"/>
                          </w:rPr>
                          <w:t>T</w:t>
                        </w:r>
                        <w:r>
                          <w:rPr>
                            <w:color w:val="000000"/>
                            <w:sz w:val="26"/>
                            <w:vertAlign w:val="subscript"/>
                          </w:rPr>
                          <w:t>∞2</w:t>
                        </w:r>
                      </w:p>
                    </w:txbxContent>
                  </v:textbox>
                </v:rect>
                <v:rect id="Rectangle 499252407" o:spid="_x0000_s2194" style="position:absolute;left:22419;top:39397;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" filled="f" stroked="f">
                  <v:textbox inset="2.53958mm,2.53958mm,2.53958mm,2.53958mm">
                    <w:txbxContent>
                      <w:p w14:paraId="1F9EABA9" w14:textId="77777777" w:rsidR="00DE7D2F" w:rsidRDefault="00DE7D2F" w:rsidP="00DE7D2F">
                        <w:pPr>
                          <w:textDirection w:val="btLr"/>
                        </w:pPr>
                        <w:r>
                          <w:rPr>
                            <w:color w:val="000000"/>
                          </w:rPr>
                          <w:t>2mm</w:t>
                        </w:r>
                      </w:p>
                    </w:txbxContent>
                  </v:textbox>
                </v:rect>
                <v:rect id="Rectangle 1923557631" o:spid="_x0000_s2195" style="position:absolute;left:33394;top:39399;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" filled="f" stroked="f">
                  <v:textbox inset="2.53958mm,2.53958mm,2.53958mm,2.53958mm">
                    <w:txbxContent>
                      <w:p w14:paraId="252C2460" w14:textId="77777777" w:rsidR="00DE7D2F" w:rsidRDefault="00DE7D2F" w:rsidP="00DE7D2F">
                        <w:pPr>
                          <w:textDirection w:val="btLr"/>
                        </w:pPr>
                        <w:r>
                          <w:rPr>
                            <w:color w:val="000000"/>
                          </w:rPr>
                          <w:t>80mm</w:t>
                        </w:r>
                      </w:p>
                    </w:txbxContent>
                  </v:textbox>
                </v:rect>
                <v:rect id="Rectangle 199102403" o:spid="_x0000_s2196" style="position:absolute;left:44372;top:39379;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" filled="f" stroked="f">
                  <v:textbox inset="2.53958mm,2.53958mm,2.53958mm,2.53958mm">
                    <w:txbxContent>
                      <w:p w14:paraId="297C3046" w14:textId="77777777" w:rsidR="00DE7D2F" w:rsidRDefault="00DE7D2F" w:rsidP="00DE7D2F">
                        <w:pPr>
                          <w:textDirection w:val="btLr"/>
                        </w:pPr>
                        <w:r>
                          <w:rPr>
                            <w:color w:val="000000"/>
                          </w:rPr>
                          <w:t>2mm</w:t>
                        </w:r>
                      </w:p>
                    </w:txbxContent>
                  </v:textbox>
                </v:rect>
                <v:shape id="Freeform: Shape 1039956154" o:spid="_x0000_s2197" style="position:absolute;left:11992;top:44198;width:53684;height:3177;visibility:visible;mso-wrap-style:square;v-text-anchor:middle" coordsize="214738,1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" path="m,5199r13907,l15448,10951,18256,470r2686,10025l23754,r1844,6881l42947,6881r1530,5710l47389,1722r1392,5194l79351,6916r3058,5297l85084,2228r2645,9872l91212,1663r3682,11044l97249,2090r1534,5726l132933,7816,136962,838r2691,10041l141096,5494r40511,l185486,12212,188727,116r3135,11700l194858,634r3286,5691l214738,6325e" filled="f">
                  <v:stroke startarrowwidth="narrow" startarrowlength="short" endarrowwidth="narrow" endarrowlength="short"/>
                  <v:path arrowok="t" o:extrusionok="f"/>
                </v:shape>
              </v:group>
            </v:group>
            <w10:anchorlock/>
          </v:group>
        </w:pict>
      </w:r>
    </w:p>
    <w:p w14:paraId="6BC79E18" w14:textId="5D1670A8" w:rsidR="00DE7D2F" w:rsidRPr="00B33E8E" w:rsidRDefault="00DE7D2F" w:rsidP="00DE7D2F">
      <w:pPr>
        <w:rPr>
          <w:rFonts w:ascii="Arial" w:hAnsi="Arial" w:cs="Arial"/>
          <w:b/>
          <w:bCs/>
          <w:color w:val="000000" w:themeColor="text1"/>
          <w:sz w:val="22"/>
          <w:szCs w:val="22"/>
        </w:rPr>
      </w:pPr>
      <w:r w:rsidRPr="00B33E8E">
        <w:rPr>
          <w:rFonts w:ascii="Arial" w:hAnsi="Arial" w:cs="Arial"/>
          <w:b/>
          <w:bCs/>
          <w:color w:val="000000" w:themeColor="text1"/>
          <w:sz w:val="22"/>
          <w:szCs w:val="22"/>
        </w:rPr>
        <w:t xml:space="preserve">Figure </w:t>
      </w:r>
      <w:r w:rsidR="00D65F02">
        <w:rPr>
          <w:rFonts w:ascii="Arial" w:hAnsi="Arial" w:cs="Arial"/>
          <w:b/>
          <w:bCs/>
          <w:color w:val="000000" w:themeColor="text1"/>
          <w:sz w:val="22"/>
          <w:szCs w:val="22"/>
        </w:rPr>
        <w:t>6</w:t>
      </w:r>
      <w:r w:rsidRPr="00B33E8E">
        <w:rPr>
          <w:rFonts w:ascii="Arial" w:hAnsi="Arial" w:cs="Arial"/>
          <w:b/>
          <w:bCs/>
          <w:color w:val="000000" w:themeColor="text1"/>
          <w:sz w:val="22"/>
          <w:szCs w:val="22"/>
        </w:rPr>
        <w:t>: Temperature profile across the wall</w:t>
      </w:r>
    </w:p>
    <w:p w14:paraId="640902AA"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4" w:name="_heading=h.3tbugp1" w:colFirst="0" w:colLast="0"/>
      <w:bookmarkStart w:id="35" w:name="_Toc140521294"/>
      <w:bookmarkEnd w:id="34"/>
      <w:r w:rsidRPr="00964D85">
        <w:rPr>
          <w:rFonts w:cs="Arial"/>
          <w:color w:val="000000" w:themeColor="text1"/>
          <w:sz w:val="22"/>
          <w:szCs w:val="22"/>
        </w:rPr>
        <w:lastRenderedPageBreak/>
        <w:t>Determination of Power Rating of the Heating Element</w:t>
      </w:r>
      <w:bookmarkEnd w:id="35"/>
    </w:p>
    <w:p w14:paraId="48B82F04" w14:textId="56B9FD74"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Since heat generated from the heater is travelling in two opposite directions, therefore from figure </w:t>
      </w:r>
      <w:r w:rsidR="00D65F02">
        <w:rPr>
          <w:rFonts w:ascii="Arial" w:hAnsi="Arial" w:cs="Arial"/>
          <w:color w:val="000000" w:themeColor="text1"/>
        </w:rPr>
        <w:t>6</w:t>
      </w:r>
      <w:r w:rsidRPr="00252CA7">
        <w:rPr>
          <w:rFonts w:ascii="Arial" w:hAnsi="Arial" w:cs="Arial"/>
          <w:color w:val="000000" w:themeColor="text1"/>
        </w:rPr>
        <w:t>, and considering equation (3.11),</w:t>
      </w:r>
    </w:p>
    <w:p w14:paraId="5CF07E9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Q = Heat flow through insulating asbestos material to the outermost cover + Heat flow through the reactor chamber wall.</w:t>
      </w:r>
    </w:p>
    <w:p w14:paraId="791236A2" w14:textId="77777777" w:rsidR="00B33E8E" w:rsidRDefault="00B33E8E" w:rsidP="00E93B3A">
      <w:pPr>
        <w:jc w:val="both"/>
        <w:rPr>
          <w:rFonts w:ascii="Arial" w:hAnsi="Arial" w:cs="Arial"/>
          <w:color w:val="000000" w:themeColor="text1"/>
        </w:rPr>
      </w:pPr>
    </w:p>
    <w:p w14:paraId="1134AA3E" w14:textId="3088542E"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By using equation (3.12), the rate of heat transfer or power through the composite wall of the reactor is obtained as follows:</w:t>
      </w:r>
    </w:p>
    <w:p w14:paraId="2C73C206"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 xml:space="preserve">Q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α1</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α2</m:t>
                </m:r>
              </m:sub>
            </m:sSub>
            <m:r>
              <w:rPr>
                <w:rFonts w:ascii="Cambria Math" w:hAnsi="Cambria Math" w:cs="Arial"/>
                <w:color w:val="000000" w:themeColor="text1"/>
              </w:rPr>
              <m:t>)</m:t>
            </m:r>
          </m:num>
          <m:den>
            <m:f>
              <m:fPr>
                <m:ctrlPr>
                  <w:rPr>
                    <w:rFonts w:ascii="Cambria Math" w:hAnsi="Cambria Math" w:cs="Arial"/>
                    <w:color w:val="000000" w:themeColor="text1"/>
                  </w:rPr>
                </m:ctrlPr>
              </m:fPr>
              <m:num>
                <m:r>
                  <w:rPr>
                    <w:rFonts w:ascii="Cambria Math" w:hAnsi="Cambria Math" w:cs="Arial"/>
                    <w:color w:val="000000" w:themeColor="text1"/>
                  </w:rPr>
                  <m:t>1</m:t>
                </m:r>
              </m:num>
              <m:den>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2</m:t>
                    </m:r>
                  </m:sub>
                </m:sSub>
                <m:r>
                  <w:rPr>
                    <w:rFonts w:ascii="Cambria Math" w:hAnsi="Cambria Math" w:cs="Arial"/>
                    <w:color w:val="000000" w:themeColor="text1"/>
                  </w:rPr>
                  <m:t>A</m:t>
                </m:r>
              </m:den>
            </m:f>
            <m:r>
              <w:rPr>
                <w:rFonts w:ascii="Cambria Math" w:hAnsi="Cambria Math" w:cs="Arial"/>
                <w:color w:val="000000" w:themeColor="text1"/>
              </w:rPr>
              <m:t xml:space="preserve">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m</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m</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C</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C</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S</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S</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1</m:t>
                </m:r>
              </m:num>
              <m:den>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1</m:t>
                    </m:r>
                  </m:sub>
                </m:sSub>
                <m:r>
                  <w:rPr>
                    <w:rFonts w:ascii="Cambria Math" w:hAnsi="Cambria Math" w:cs="Arial"/>
                    <w:color w:val="000000" w:themeColor="text1"/>
                  </w:rPr>
                  <m:t>A</m:t>
                </m:r>
              </m:den>
            </m:f>
          </m:den>
        </m:f>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(3.12)</w:t>
      </w:r>
    </w:p>
    <w:p w14:paraId="4AC4220A" w14:textId="77777777" w:rsidR="00B33E8E" w:rsidRDefault="00B33E8E" w:rsidP="00E93B3A">
      <w:pPr>
        <w:jc w:val="both"/>
        <w:rPr>
          <w:rFonts w:ascii="Arial" w:hAnsi="Arial" w:cs="Arial"/>
          <w:color w:val="000000" w:themeColor="text1"/>
        </w:rPr>
      </w:pPr>
    </w:p>
    <w:p w14:paraId="6FE72E2D" w14:textId="4AC6E175"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rate of heat transfer through a composite wall of the reactor, L</w:t>
      </w:r>
      <w:r w:rsidRPr="00252CA7">
        <w:rPr>
          <w:rFonts w:ascii="Arial" w:hAnsi="Arial" w:cs="Arial"/>
          <w:color w:val="000000" w:themeColor="text1"/>
          <w:vertAlign w:val="subscript"/>
        </w:rPr>
        <w:t>C</w:t>
      </w:r>
      <w:r w:rsidRPr="00252CA7">
        <w:rPr>
          <w:rFonts w:ascii="Arial" w:hAnsi="Arial" w:cs="Arial"/>
          <w:color w:val="000000" w:themeColor="text1"/>
        </w:rPr>
        <w:t xml:space="preserve"> is thickness of the insulating clay, L</w:t>
      </w:r>
      <w:r w:rsidRPr="00252CA7">
        <w:rPr>
          <w:rFonts w:ascii="Arial" w:hAnsi="Arial" w:cs="Arial"/>
          <w:color w:val="000000" w:themeColor="text1"/>
          <w:vertAlign w:val="subscript"/>
        </w:rPr>
        <w:t>m</w:t>
      </w:r>
      <w:r w:rsidRPr="00252CA7">
        <w:rPr>
          <w:rFonts w:ascii="Arial" w:hAnsi="Arial" w:cs="Arial"/>
          <w:color w:val="000000" w:themeColor="text1"/>
        </w:rPr>
        <w:t xml:space="preserve"> is thickness of the outer covering which is stainless steel, L</w:t>
      </w:r>
      <w:r w:rsidRPr="00252CA7">
        <w:rPr>
          <w:rFonts w:ascii="Arial" w:hAnsi="Arial" w:cs="Arial"/>
          <w:color w:val="000000" w:themeColor="text1"/>
          <w:vertAlign w:val="subscript"/>
        </w:rPr>
        <w:t>S</w:t>
      </w:r>
      <w:r w:rsidRPr="00252CA7">
        <w:rPr>
          <w:rFonts w:ascii="Arial" w:hAnsi="Arial" w:cs="Arial"/>
          <w:color w:val="000000" w:themeColor="text1"/>
        </w:rPr>
        <w:t xml:space="preserve"> is thickness of the inner chamber which stainless steel, K</w:t>
      </w:r>
      <w:r w:rsidRPr="00252CA7">
        <w:rPr>
          <w:rFonts w:ascii="Arial" w:hAnsi="Arial" w:cs="Arial"/>
          <w:color w:val="000000" w:themeColor="text1"/>
          <w:vertAlign w:val="subscript"/>
        </w:rPr>
        <w:t>C</w:t>
      </w:r>
      <w:r w:rsidRPr="00252CA7">
        <w:rPr>
          <w:rFonts w:ascii="Arial" w:hAnsi="Arial" w:cs="Arial"/>
          <w:color w:val="000000" w:themeColor="text1"/>
        </w:rPr>
        <w:t xml:space="preserve"> is Thermal conductivity of the insulating ceramic fibre, K</w:t>
      </w:r>
      <w:r w:rsidRPr="00252CA7">
        <w:rPr>
          <w:rFonts w:ascii="Arial" w:hAnsi="Arial" w:cs="Arial"/>
          <w:color w:val="000000" w:themeColor="text1"/>
          <w:vertAlign w:val="subscript"/>
        </w:rPr>
        <w:t>S</w:t>
      </w:r>
      <w:r w:rsidRPr="00252CA7">
        <w:rPr>
          <w:rFonts w:ascii="Arial" w:hAnsi="Arial" w:cs="Arial"/>
          <w:color w:val="000000" w:themeColor="text1"/>
        </w:rPr>
        <w:t xml:space="preserve"> is thermal conductivity of the stainless steel, 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rPr>
        <w:t xml:space="preserve"> is temperature at the core of the reactor,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 xml:space="preserve"> is the ambient temperature of the surrounding, h</w:t>
      </w:r>
      <m:oMath>
        <m:r>
          <w:rPr>
            <w:rFonts w:ascii="Cambria Math" w:hAnsi="Cambria Math" w:cs="Arial"/>
            <w:color w:val="000000" w:themeColor="text1"/>
            <w:vertAlign w:val="subscript"/>
          </w:rPr>
          <m:t>1</m:t>
        </m:r>
      </m:oMath>
      <w:r w:rsidRPr="00252CA7">
        <w:rPr>
          <w:rFonts w:ascii="Arial" w:hAnsi="Arial" w:cs="Arial"/>
          <w:color w:val="000000" w:themeColor="text1"/>
        </w:rPr>
        <w:t xml:space="preserve"> is convective heat transfer coefficient of air at 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vertAlign w:val="subscript"/>
        </w:rPr>
        <w:t xml:space="preserve"> </w:t>
      </w:r>
      <w:r w:rsidRPr="00252CA7">
        <w:rPr>
          <w:rFonts w:ascii="Arial" w:hAnsi="Arial" w:cs="Arial"/>
          <w:color w:val="000000" w:themeColor="text1"/>
        </w:rPr>
        <w:t>and h</w:t>
      </w:r>
      <w:r w:rsidRPr="00252CA7">
        <w:rPr>
          <w:rFonts w:ascii="Arial" w:hAnsi="Arial" w:cs="Arial"/>
          <w:color w:val="000000" w:themeColor="text1"/>
          <w:vertAlign w:val="subscript"/>
        </w:rPr>
        <w:t>2</w:t>
      </w:r>
      <w:r w:rsidRPr="00252CA7">
        <w:rPr>
          <w:rFonts w:ascii="Arial" w:hAnsi="Arial" w:cs="Arial"/>
          <w:color w:val="000000" w:themeColor="text1"/>
        </w:rPr>
        <w:t xml:space="preserve"> is convective heat transfer coefficient of air at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w:t>
      </w:r>
    </w:p>
    <w:p w14:paraId="71840507" w14:textId="77777777" w:rsidR="00B33E8E" w:rsidRDefault="00B33E8E" w:rsidP="00DE7D2F">
      <w:pPr>
        <w:rPr>
          <w:rFonts w:ascii="Arial" w:hAnsi="Arial" w:cs="Arial"/>
          <w:color w:val="000000" w:themeColor="text1"/>
        </w:rPr>
      </w:pPr>
    </w:p>
    <w:p w14:paraId="12E377ED" w14:textId="615ABFFC" w:rsidR="00DE7D2F" w:rsidRPr="00252CA7" w:rsidRDefault="00DE7D2F" w:rsidP="00DE7D2F">
      <w:pPr>
        <w:rPr>
          <w:rFonts w:ascii="Arial" w:hAnsi="Arial" w:cs="Arial"/>
          <w:color w:val="000000" w:themeColor="text1"/>
        </w:rPr>
      </w:pPr>
      <w:r w:rsidRPr="00252CA7">
        <w:rPr>
          <w:rFonts w:ascii="Arial" w:hAnsi="Arial" w:cs="Arial"/>
          <w:color w:val="000000" w:themeColor="text1"/>
        </w:rPr>
        <w:t>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vertAlign w:val="subscript"/>
        </w:rPr>
        <w:t xml:space="preserve"> </w:t>
      </w:r>
      <w:r w:rsidRPr="00252CA7">
        <w:rPr>
          <w:rFonts w:ascii="Arial" w:hAnsi="Arial" w:cs="Arial"/>
          <w:color w:val="000000" w:themeColor="text1"/>
        </w:rPr>
        <w:t>and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 xml:space="preserve"> are assumed as 300</w:t>
      </w:r>
      <w:r w:rsidRPr="00252CA7">
        <w:rPr>
          <w:rFonts w:ascii="Arial" w:hAnsi="Arial" w:cs="Arial"/>
          <w:color w:val="000000" w:themeColor="text1"/>
          <w:vertAlign w:val="superscript"/>
        </w:rPr>
        <w:t>o</w:t>
      </w:r>
      <w:r w:rsidRPr="00252CA7">
        <w:rPr>
          <w:rFonts w:ascii="Arial" w:hAnsi="Arial" w:cs="Arial"/>
          <w:color w:val="000000" w:themeColor="text1"/>
        </w:rPr>
        <w:t>C and 25</w:t>
      </w:r>
      <w:r w:rsidRPr="00252CA7">
        <w:rPr>
          <w:rFonts w:ascii="Arial" w:hAnsi="Arial" w:cs="Arial"/>
          <w:color w:val="000000" w:themeColor="text1"/>
          <w:vertAlign w:val="superscript"/>
        </w:rPr>
        <w:t>o</w:t>
      </w:r>
      <w:r w:rsidRPr="00252CA7">
        <w:rPr>
          <w:rFonts w:ascii="Arial" w:hAnsi="Arial" w:cs="Arial"/>
          <w:color w:val="000000" w:themeColor="text1"/>
        </w:rPr>
        <w:t>C respectively;</w:t>
      </w:r>
    </w:p>
    <w:p w14:paraId="3B7C7113"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 L</w:t>
      </w:r>
      <w:r w:rsidRPr="00252CA7">
        <w:rPr>
          <w:rFonts w:ascii="Arial" w:hAnsi="Arial" w:cs="Arial"/>
          <w:color w:val="000000" w:themeColor="text1"/>
          <w:vertAlign w:val="subscript"/>
        </w:rPr>
        <w:t>m</w:t>
      </w:r>
      <w:r w:rsidRPr="00252CA7">
        <w:rPr>
          <w:rFonts w:ascii="Arial" w:hAnsi="Arial" w:cs="Arial"/>
          <w:color w:val="000000" w:themeColor="text1"/>
        </w:rPr>
        <w:t xml:space="preserve"> - 2 mm = 0.002m; </w:t>
      </w:r>
    </w:p>
    <w:p w14:paraId="300AC5A9"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L</w:t>
      </w:r>
      <w:r w:rsidRPr="00252CA7">
        <w:rPr>
          <w:rFonts w:ascii="Arial" w:hAnsi="Arial" w:cs="Arial"/>
          <w:color w:val="000000" w:themeColor="text1"/>
          <w:vertAlign w:val="subscript"/>
        </w:rPr>
        <w:t>S</w:t>
      </w:r>
      <w:r w:rsidRPr="00252CA7">
        <w:rPr>
          <w:rFonts w:ascii="Arial" w:hAnsi="Arial" w:cs="Arial"/>
          <w:color w:val="000000" w:themeColor="text1"/>
        </w:rPr>
        <w:t xml:space="preserve"> = 2 mm = 0.002m; </w:t>
      </w:r>
    </w:p>
    <w:p w14:paraId="284DC37B"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L</w:t>
      </w:r>
      <w:r w:rsidRPr="00252CA7">
        <w:rPr>
          <w:rFonts w:ascii="Arial" w:hAnsi="Arial" w:cs="Arial"/>
          <w:color w:val="000000" w:themeColor="text1"/>
          <w:vertAlign w:val="subscript"/>
        </w:rPr>
        <w:t>C</w:t>
      </w:r>
      <w:r w:rsidRPr="00252CA7">
        <w:rPr>
          <w:rFonts w:ascii="Arial" w:hAnsi="Arial" w:cs="Arial"/>
          <w:color w:val="000000" w:themeColor="text1"/>
        </w:rPr>
        <w:t xml:space="preserve"> = 75mm = 0.075m;</w:t>
      </w:r>
    </w:p>
    <w:p w14:paraId="4A510C6A"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K</w:t>
      </w:r>
      <w:r w:rsidRPr="00252CA7">
        <w:rPr>
          <w:rFonts w:ascii="Arial" w:hAnsi="Arial" w:cs="Arial"/>
          <w:color w:val="000000" w:themeColor="text1"/>
          <w:vertAlign w:val="subscript"/>
        </w:rPr>
        <w:t>C</w:t>
      </w:r>
      <w:r w:rsidRPr="00252CA7">
        <w:rPr>
          <w:rFonts w:ascii="Arial" w:hAnsi="Arial" w:cs="Arial"/>
          <w:color w:val="000000" w:themeColor="text1"/>
        </w:rPr>
        <w:t xml:space="preserve"> = 0.15W/mK </w:t>
      </w:r>
    </w:p>
    <w:p w14:paraId="22562A55"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K</w:t>
      </w:r>
      <w:r w:rsidRPr="00252CA7">
        <w:rPr>
          <w:rFonts w:ascii="Arial" w:hAnsi="Arial" w:cs="Arial"/>
          <w:color w:val="000000" w:themeColor="text1"/>
          <w:vertAlign w:val="subscript"/>
        </w:rPr>
        <w:t>S</w:t>
      </w:r>
      <w:r w:rsidRPr="00252CA7">
        <w:rPr>
          <w:rFonts w:ascii="Arial" w:hAnsi="Arial" w:cs="Arial"/>
          <w:color w:val="000000" w:themeColor="text1"/>
        </w:rPr>
        <w:t xml:space="preserve"> = 16W/mk; </w:t>
      </w:r>
    </w:p>
    <w:p w14:paraId="5EA2C0F7"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h</w:t>
      </w:r>
      <w:r w:rsidRPr="00252CA7">
        <w:rPr>
          <w:rFonts w:ascii="Arial" w:hAnsi="Arial" w:cs="Arial"/>
          <w:color w:val="000000" w:themeColor="text1"/>
          <w:vertAlign w:val="subscript"/>
        </w:rPr>
        <w:t>2</w:t>
      </w:r>
      <w:r w:rsidRPr="00252CA7">
        <w:rPr>
          <w:rFonts w:ascii="Arial" w:hAnsi="Arial" w:cs="Arial"/>
          <w:color w:val="000000" w:themeColor="text1"/>
        </w:rPr>
        <w:t xml:space="preserve"> = 14.4W/m</w:t>
      </w:r>
      <w:r w:rsidRPr="00252CA7">
        <w:rPr>
          <w:rFonts w:ascii="Arial" w:hAnsi="Arial" w:cs="Arial"/>
          <w:color w:val="000000" w:themeColor="text1"/>
          <w:vertAlign w:val="superscript"/>
        </w:rPr>
        <w:t>2</w:t>
      </w:r>
      <w:r w:rsidRPr="00252CA7">
        <w:rPr>
          <w:rFonts w:ascii="Arial" w:hAnsi="Arial" w:cs="Arial"/>
          <w:color w:val="000000" w:themeColor="text1"/>
        </w:rPr>
        <w:t>k</w:t>
      </w:r>
    </w:p>
    <w:p w14:paraId="24D1A584"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h</w:t>
      </w:r>
      <w:r w:rsidRPr="00252CA7">
        <w:rPr>
          <w:rFonts w:ascii="Arial" w:hAnsi="Arial" w:cs="Arial"/>
          <w:color w:val="000000" w:themeColor="text1"/>
          <w:vertAlign w:val="subscript"/>
        </w:rPr>
        <w:t>1</w:t>
      </w:r>
      <w:r w:rsidRPr="00252CA7">
        <w:rPr>
          <w:rFonts w:ascii="Arial" w:hAnsi="Arial" w:cs="Arial"/>
          <w:color w:val="000000" w:themeColor="text1"/>
        </w:rPr>
        <w:t xml:space="preserve"> = 50W/m</w:t>
      </w:r>
      <w:r w:rsidRPr="00252CA7">
        <w:rPr>
          <w:rFonts w:ascii="Arial" w:hAnsi="Arial" w:cs="Arial"/>
          <w:color w:val="000000" w:themeColor="text1"/>
          <w:vertAlign w:val="superscript"/>
        </w:rPr>
        <w:t>2</w:t>
      </w:r>
      <w:r w:rsidRPr="00252CA7">
        <w:rPr>
          <w:rFonts w:ascii="Arial" w:hAnsi="Arial" w:cs="Arial"/>
          <w:color w:val="000000" w:themeColor="text1"/>
        </w:rPr>
        <w:t>k</w:t>
      </w:r>
    </w:p>
    <w:p w14:paraId="19C76E01"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Q = </w:t>
      </w:r>
      <m:oMath>
        <m:f>
          <m:fPr>
            <m:ctrlPr>
              <w:rPr>
                <w:rFonts w:ascii="Cambria Math" w:hAnsi="Cambria Math" w:cs="Arial"/>
                <w:color w:val="000000" w:themeColor="text1"/>
              </w:rPr>
            </m:ctrlPr>
          </m:fPr>
          <m:num>
            <m:r>
              <w:rPr>
                <w:rFonts w:ascii="Cambria Math" w:hAnsi="Cambria Math" w:cs="Arial"/>
                <w:color w:val="000000" w:themeColor="text1"/>
              </w:rPr>
              <m:t>(300-25)</m:t>
            </m:r>
          </m:num>
          <m:den>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14.4</m:t>
                </m:r>
              </m:den>
            </m:f>
            <m:r>
              <w:rPr>
                <w:rFonts w:ascii="Cambria Math" w:hAnsi="Cambria Math" w:cs="Arial"/>
                <w:color w:val="000000" w:themeColor="text1"/>
              </w:rPr>
              <m:t xml:space="preserve"> +</m:t>
            </m:r>
            <m:f>
              <m:fPr>
                <m:ctrlPr>
                  <w:rPr>
                    <w:rFonts w:ascii="Cambria Math" w:hAnsi="Cambria Math" w:cs="Arial"/>
                    <w:color w:val="000000" w:themeColor="text1"/>
                  </w:rPr>
                </m:ctrlPr>
              </m:fPr>
              <m:num>
                <m:r>
                  <w:rPr>
                    <w:rFonts w:ascii="Cambria Math" w:hAnsi="Cambria Math" w:cs="Arial"/>
                    <w:color w:val="000000" w:themeColor="text1"/>
                  </w:rPr>
                  <m:t>0.002</m:t>
                </m:r>
              </m:num>
              <m:den>
                <m:r>
                  <w:rPr>
                    <w:rFonts w:ascii="Cambria Math" w:hAnsi="Cambria Math" w:cs="Arial"/>
                    <w:color w:val="000000" w:themeColor="text1"/>
                  </w:rPr>
                  <m:t>16</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0.05</m:t>
                </m:r>
              </m:num>
              <m:den>
                <m:r>
                  <w:rPr>
                    <w:rFonts w:ascii="Cambria Math" w:hAnsi="Cambria Math" w:cs="Arial"/>
                    <w:color w:val="000000" w:themeColor="text1"/>
                  </w:rPr>
                  <m:t>0.15</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0.002</m:t>
                </m:r>
              </m:num>
              <m:den>
                <m:r>
                  <w:rPr>
                    <w:rFonts w:ascii="Cambria Math" w:hAnsi="Cambria Math" w:cs="Arial"/>
                    <w:color w:val="000000" w:themeColor="text1"/>
                  </w:rPr>
                  <m:t>16</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50</m:t>
                </m:r>
              </m:den>
            </m:f>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0.49</m:t>
                </m:r>
              </m:den>
            </m:f>
          </m:den>
        </m:f>
      </m:oMath>
    </w:p>
    <w:p w14:paraId="12D3E6EC"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Q = 318.5 Watts</w:t>
      </w:r>
    </w:p>
    <w:p w14:paraId="664E94F1"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6" w:name="_heading=h.37m2jsg" w:colFirst="0" w:colLast="0"/>
      <w:bookmarkStart w:id="37" w:name="_Toc140521295"/>
      <w:bookmarkEnd w:id="36"/>
      <w:r w:rsidRPr="00964D85">
        <w:rPr>
          <w:rFonts w:cs="Arial"/>
          <w:color w:val="000000" w:themeColor="text1"/>
          <w:sz w:val="22"/>
          <w:szCs w:val="22"/>
        </w:rPr>
        <w:t>Mass Loss during Torrefaction</w:t>
      </w:r>
      <w:bookmarkEnd w:id="37"/>
    </w:p>
    <w:p w14:paraId="6FB4DE01" w14:textId="77777777"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Mass loss is due to moisture loss and the thermal decomposition of biomass (Cardona, et al, 2019). The mass loss during torrefaction can be determined for each batch from every experimental run. The losses would be calculated on the basis of the mass of the batch before the torrefaction treatment using (Dirgantara, et al, 2020):</w:t>
      </w:r>
    </w:p>
    <w:p w14:paraId="08B5C141"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Mass loss =  </w:t>
      </w:r>
      <m:oMath>
        <m:f>
          <m:fPr>
            <m:ctrlPr>
              <w:rPr>
                <w:rFonts w:ascii="Cambria Math" w:hAnsi="Cambria Math" w:cs="Arial"/>
                <w:color w:val="000000" w:themeColor="text1"/>
              </w:rPr>
            </m:ctrlPr>
          </m:fPr>
          <m:num>
            <m:r>
              <w:rPr>
                <w:rFonts w:ascii="Cambria Math" w:hAnsi="Cambria Math" w:cs="Arial"/>
                <w:color w:val="000000" w:themeColor="text1"/>
              </w:rPr>
              <m:t>Mass of raw biomass - Mass of torrefied biomass</m:t>
            </m:r>
          </m:num>
          <m:den>
            <m:r>
              <w:rPr>
                <w:rFonts w:ascii="Cambria Math" w:hAnsi="Cambria Math" w:cs="Arial"/>
                <w:color w:val="000000" w:themeColor="text1"/>
              </w:rPr>
              <m:t>Mass of raw biomass</m:t>
            </m:r>
          </m:den>
        </m:f>
      </m:oMath>
      <w:r w:rsidRPr="00252CA7">
        <w:rPr>
          <w:rFonts w:ascii="Arial" w:hAnsi="Arial" w:cs="Arial"/>
          <w:color w:val="000000" w:themeColor="text1"/>
        </w:rPr>
        <w:t xml:space="preserve"> x 100%</w:t>
      </w:r>
      <w:r w:rsidRPr="00252CA7">
        <w:rPr>
          <w:rFonts w:ascii="Arial" w:hAnsi="Arial" w:cs="Arial"/>
          <w:color w:val="000000" w:themeColor="text1"/>
        </w:rPr>
        <w:tab/>
        <w:t>(3.13)</w:t>
      </w:r>
    </w:p>
    <w:p w14:paraId="3FC39BE0"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8" w:name="_heading=h.1mrcu09" w:colFirst="0" w:colLast="0"/>
      <w:bookmarkStart w:id="39" w:name="_Toc140521296"/>
      <w:bookmarkEnd w:id="38"/>
      <w:r w:rsidRPr="00964D85">
        <w:rPr>
          <w:rFonts w:cs="Arial"/>
          <w:color w:val="000000" w:themeColor="text1"/>
          <w:sz w:val="22"/>
          <w:szCs w:val="22"/>
        </w:rPr>
        <w:t>Effect of Torrefaction on the Proximate Analyses of Biomass</w:t>
      </w:r>
      <w:bookmarkEnd w:id="39"/>
    </w:p>
    <w:p w14:paraId="1BF780B9" w14:textId="5909322C" w:rsidR="00DE7D2F" w:rsidRDefault="00DE7D2F" w:rsidP="007F7952">
      <w:pPr>
        <w:jc w:val="both"/>
        <w:rPr>
          <w:rFonts w:ascii="Arial" w:hAnsi="Arial" w:cs="Arial"/>
          <w:color w:val="000000" w:themeColor="text1"/>
        </w:rPr>
      </w:pPr>
    </w:p>
    <w:p w14:paraId="7979BB94" w14:textId="77777777" w:rsidR="00E0341C" w:rsidRDefault="00E0341C" w:rsidP="007F7952">
      <w:pPr>
        <w:jc w:val="both"/>
        <w:rPr>
          <w:rFonts w:ascii="Arial" w:hAnsi="Arial" w:cs="Arial"/>
          <w:color w:val="000000" w:themeColor="text1"/>
        </w:rPr>
      </w:pPr>
    </w:p>
    <w:p w14:paraId="1D7CCA0E" w14:textId="6CD4C90D" w:rsidR="00E0341C" w:rsidRPr="00252CA7" w:rsidRDefault="00E0341C" w:rsidP="007F7952">
      <w:pPr>
        <w:jc w:val="both"/>
        <w:rPr>
          <w:rFonts w:ascii="Arial" w:eastAsia="Gungsuh" w:hAnsi="Arial" w:cs="Arial"/>
          <w:color w:val="000000" w:themeColor="text1"/>
        </w:rPr>
      </w:pPr>
      <w:r>
        <w:t>Proximate analysis of the biomass will be conducted both prior to torrefaction and following torrefaction under varying temperatures and residence times. This analysis characterises the biomass in terms of volatile matter, fixed carbon, and ash content, thereby providing an indication of its principal bulk constituents. The procedures employed for proximate</w:t>
      </w:r>
    </w:p>
    <w:p w14:paraId="0111EAF7" w14:textId="77777777" w:rsidR="00DE7D2F" w:rsidRPr="00252CA7" w:rsidRDefault="00DE7D2F" w:rsidP="00DE7D2F">
      <w:pPr>
        <w:rPr>
          <w:rFonts w:ascii="Arial" w:hAnsi="Arial" w:cs="Arial"/>
          <w:b/>
          <w:color w:val="000000" w:themeColor="text1"/>
        </w:rPr>
      </w:pPr>
    </w:p>
    <w:p w14:paraId="276FAA39" w14:textId="77777777" w:rsidR="00DE7D2F" w:rsidRPr="00964D85" w:rsidRDefault="00DE7D2F">
      <w:pPr>
        <w:pStyle w:val="Heading1"/>
        <w:numPr>
          <w:ilvl w:val="1"/>
          <w:numId w:val="11"/>
        </w:numPr>
        <w:spacing w:before="0" w:after="0"/>
        <w:ind w:left="360"/>
        <w:rPr>
          <w:rFonts w:cs="Arial"/>
          <w:color w:val="000000" w:themeColor="text1"/>
          <w:sz w:val="22"/>
          <w:szCs w:val="22"/>
        </w:rPr>
      </w:pPr>
      <w:bookmarkStart w:id="40" w:name="_heading=h.206ipza" w:colFirst="0" w:colLast="0"/>
      <w:bookmarkStart w:id="41" w:name="_Toc140521301"/>
      <w:bookmarkEnd w:id="40"/>
      <w:r w:rsidRPr="00964D85">
        <w:rPr>
          <w:rFonts w:cs="Arial"/>
          <w:color w:val="000000" w:themeColor="text1"/>
          <w:sz w:val="22"/>
          <w:szCs w:val="22"/>
        </w:rPr>
        <w:t>Material Selection and System Components</w:t>
      </w:r>
      <w:bookmarkEnd w:id="41"/>
    </w:p>
    <w:p w14:paraId="01E211CC" w14:textId="77777777" w:rsidR="00DE7D2F" w:rsidRPr="00964D85" w:rsidRDefault="00DE7D2F">
      <w:pPr>
        <w:pStyle w:val="Heading1"/>
        <w:numPr>
          <w:ilvl w:val="2"/>
          <w:numId w:val="11"/>
        </w:numPr>
        <w:spacing w:before="0" w:after="0"/>
        <w:ind w:left="360" w:hanging="360"/>
        <w:rPr>
          <w:rFonts w:cs="Arial"/>
          <w:color w:val="000000" w:themeColor="text1"/>
          <w:sz w:val="22"/>
          <w:szCs w:val="22"/>
        </w:rPr>
      </w:pPr>
      <w:bookmarkStart w:id="42" w:name="_heading=h.lsire0feg6pe" w:colFirst="0" w:colLast="0"/>
      <w:bookmarkStart w:id="43" w:name="_Toc140521302"/>
      <w:bookmarkEnd w:id="42"/>
      <w:r w:rsidRPr="00964D85">
        <w:rPr>
          <w:rFonts w:cs="Arial"/>
          <w:color w:val="000000" w:themeColor="text1"/>
          <w:sz w:val="22"/>
          <w:szCs w:val="22"/>
        </w:rPr>
        <w:t>Criteria for Materials Selection</w:t>
      </w:r>
      <w:bookmarkEnd w:id="43"/>
    </w:p>
    <w:p w14:paraId="58D169DB" w14:textId="77777777" w:rsidR="00DE7D2F" w:rsidRPr="00252CA7" w:rsidRDefault="00DE7D2F" w:rsidP="00B33E8E">
      <w:pPr>
        <w:rPr>
          <w:rFonts w:ascii="Arial" w:hAnsi="Arial" w:cs="Arial"/>
          <w:color w:val="000000" w:themeColor="text1"/>
        </w:rPr>
      </w:pPr>
      <w:r w:rsidRPr="00252CA7">
        <w:rPr>
          <w:rFonts w:ascii="Arial" w:hAnsi="Arial" w:cs="Arial"/>
          <w:color w:val="000000" w:themeColor="text1"/>
        </w:rPr>
        <w:t>The criteria considered for material selection for the fixed-bed reactor design are as follows;</w:t>
      </w:r>
    </w:p>
    <w:p w14:paraId="74D6D53B"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Temperature Resistance</w:t>
      </w:r>
      <w:r w:rsidRPr="00252CA7">
        <w:rPr>
          <w:rFonts w:ascii="Arial" w:hAnsi="Arial" w:cs="Arial"/>
          <w:color w:val="000000" w:themeColor="text1"/>
        </w:rPr>
        <w:t xml:space="preserve">: The material should have a high melting point and good thermal conductivity to ensure efficient heat transfer and prevent deformation or melting of the reactor's components. According to Ledin and Strezov (2014), the torrefaction temperature can range from </w:t>
      </w:r>
      <w:r w:rsidRPr="00252CA7">
        <w:rPr>
          <w:rFonts w:ascii="Arial" w:hAnsi="Arial" w:cs="Arial"/>
          <w:color w:val="000000" w:themeColor="text1"/>
        </w:rPr>
        <w:lastRenderedPageBreak/>
        <w:t>200°C to 320°C, and the reactor's materials should be able to withstand these temperatures without degradation.</w:t>
      </w:r>
    </w:p>
    <w:p w14:paraId="70A23157"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Thermal Stability:</w:t>
      </w:r>
      <w:r w:rsidRPr="00252CA7">
        <w:rPr>
          <w:rFonts w:ascii="Arial" w:hAnsi="Arial" w:cs="Arial"/>
          <w:color w:val="000000" w:themeColor="text1"/>
        </w:rPr>
        <w:t xml:space="preserve"> The material should have good thermal stability to prevent thermal expansion, contraction, or deformation, which can cause damage to the reactor's components or reduce its efficiency.</w:t>
      </w:r>
    </w:p>
    <w:p w14:paraId="194BDA1B"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Mechanical Strength:</w:t>
      </w:r>
      <w:r w:rsidRPr="00252CA7">
        <w:rPr>
          <w:rFonts w:ascii="Arial" w:hAnsi="Arial" w:cs="Arial"/>
          <w:color w:val="000000" w:themeColor="text1"/>
        </w:rPr>
        <w:t xml:space="preserve"> The material should have adequate mechanical strength to withstand the stresses and strains imposed by the torrefaction process. The material should be able to support its weight and that of the biomass while maintaining its shape and structural integrity. The reactor's materials should have high mechanical strength to withstand the weight of the biomass and the torrefaction temperature. Ledin and Strezov (2014)</w:t>
      </w:r>
    </w:p>
    <w:p w14:paraId="0DFB0F42"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Durability:</w:t>
      </w:r>
      <w:r w:rsidRPr="00252CA7">
        <w:rPr>
          <w:rFonts w:ascii="Arial" w:hAnsi="Arial" w:cs="Arial"/>
          <w:color w:val="000000" w:themeColor="text1"/>
        </w:rPr>
        <w:t xml:space="preserve"> The material should have good wear and tear resistance to ensure a longer lifespan and reduce maintenance costs. The material should be able to withstand frequent use without experiencing significant wear or damage.</w:t>
      </w:r>
    </w:p>
    <w:p w14:paraId="73851B75"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Availability:</w:t>
      </w:r>
      <w:r w:rsidRPr="00252CA7">
        <w:rPr>
          <w:rFonts w:ascii="Arial" w:hAnsi="Arial" w:cs="Arial"/>
          <w:color w:val="000000" w:themeColor="text1"/>
        </w:rPr>
        <w:t xml:space="preserve"> The material should be readily available and accessible, preferably locally sourced, to reduce the cost and lead time of the reactor's construction. According to de Miguel Mercader et al. (2018), the availability of materials is a critical factor in designing torrefaction reactors in developing countries, where access to specialised materials may be limited.</w:t>
      </w:r>
    </w:p>
    <w:p w14:paraId="547B5874"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Cost-Effectiveness:</w:t>
      </w:r>
      <w:r w:rsidRPr="00252CA7">
        <w:rPr>
          <w:rFonts w:ascii="Arial" w:hAnsi="Arial" w:cs="Arial"/>
          <w:color w:val="000000" w:themeColor="text1"/>
        </w:rPr>
        <w:t xml:space="preserve"> The material should be cost-effective and within budget while still meeting the necessary requirements and specifications for the torrefaction reactor.</w:t>
      </w:r>
    </w:p>
    <w:p w14:paraId="023B0DC5" w14:textId="77777777" w:rsidR="00DE7D2F" w:rsidRPr="00252CA7" w:rsidRDefault="00DE7D2F">
      <w:pPr>
        <w:numPr>
          <w:ilvl w:val="0"/>
          <w:numId w:val="10"/>
        </w:numPr>
        <w:spacing w:after="240"/>
        <w:jc w:val="both"/>
        <w:rPr>
          <w:rFonts w:ascii="Arial" w:hAnsi="Arial" w:cs="Arial"/>
          <w:color w:val="000000" w:themeColor="text1"/>
        </w:rPr>
      </w:pPr>
      <w:r w:rsidRPr="00252CA7">
        <w:rPr>
          <w:rFonts w:ascii="Arial" w:hAnsi="Arial" w:cs="Arial"/>
          <w:b/>
          <w:color w:val="000000" w:themeColor="text1"/>
        </w:rPr>
        <w:t>Safety:</w:t>
      </w:r>
      <w:r w:rsidRPr="00252CA7">
        <w:rPr>
          <w:rFonts w:ascii="Arial" w:hAnsi="Arial" w:cs="Arial"/>
          <w:color w:val="000000" w:themeColor="text1"/>
        </w:rPr>
        <w:t xml:space="preserve"> The material should not pose any safety hazards to personnel or the environment during the torrefaction process. The material should be non-toxic, non-flammable, and not release any harmful gases or by-products during operation.</w:t>
      </w:r>
    </w:p>
    <w:p w14:paraId="2E8BE60E" w14:textId="77777777" w:rsidR="00DE7D2F" w:rsidRPr="00964D85" w:rsidRDefault="00DE7D2F">
      <w:pPr>
        <w:pStyle w:val="Heading1"/>
        <w:numPr>
          <w:ilvl w:val="2"/>
          <w:numId w:val="11"/>
        </w:numPr>
        <w:ind w:left="360" w:hanging="360"/>
        <w:rPr>
          <w:rFonts w:cs="Arial"/>
          <w:color w:val="000000" w:themeColor="text1"/>
          <w:sz w:val="22"/>
          <w:szCs w:val="22"/>
        </w:rPr>
      </w:pPr>
      <w:bookmarkStart w:id="44" w:name="_heading=h.4k668n3" w:colFirst="0" w:colLast="0"/>
      <w:bookmarkStart w:id="45" w:name="_Toc140521303"/>
      <w:bookmarkEnd w:id="44"/>
      <w:r w:rsidRPr="00964D85">
        <w:rPr>
          <w:rFonts w:cs="Arial"/>
          <w:color w:val="000000" w:themeColor="text1"/>
          <w:sz w:val="22"/>
          <w:szCs w:val="22"/>
        </w:rPr>
        <w:t>System Components</w:t>
      </w:r>
      <w:bookmarkEnd w:id="45"/>
    </w:p>
    <w:p w14:paraId="443467EB" w14:textId="735A9793" w:rsidR="00B27853" w:rsidRPr="00B27853" w:rsidRDefault="00DE7D2F" w:rsidP="00B27853">
      <w:pPr>
        <w:jc w:val="both"/>
        <w:rPr>
          <w:rFonts w:ascii="Arial" w:hAnsi="Arial" w:cs="Arial"/>
          <w:color w:val="000000" w:themeColor="text1"/>
        </w:rPr>
      </w:pPr>
      <w:r w:rsidRPr="00252CA7">
        <w:rPr>
          <w:rFonts w:ascii="Arial" w:hAnsi="Arial" w:cs="Arial"/>
          <w:b/>
          <w:color w:val="000000" w:themeColor="text1"/>
        </w:rPr>
        <w:t>Ceramic Heating Band:</w:t>
      </w:r>
      <w:r w:rsidRPr="00252CA7">
        <w:rPr>
          <w:rFonts w:ascii="Arial" w:hAnsi="Arial" w:cs="Arial"/>
          <w:color w:val="000000" w:themeColor="text1"/>
        </w:rPr>
        <w:t xml:space="preserve"> </w:t>
      </w:r>
      <w:r w:rsidR="00B27853" w:rsidRPr="00B27853">
        <w:t xml:space="preserve"> </w:t>
      </w:r>
      <w:r w:rsidR="00B27853" w:rsidRPr="00B27853">
        <w:rPr>
          <w:rFonts w:ascii="Arial" w:hAnsi="Arial" w:cs="Arial"/>
          <w:color w:val="000000" w:themeColor="text1"/>
        </w:rPr>
        <w:t>Ceramic band heaters are constructed with spirally wound internal resistance coils that are uniformly embedded within interlocking, insulated ceramic tiles. The ceramic core, consisting of a matrix of these tiles, is enclosed beneath a stainless steel outer casing with serrated edges. These notched edges are folded over to secure the assembly, while a removable protective inner liner is used during installation to ensure correct positioning of the ceramic tiles.</w:t>
      </w:r>
    </w:p>
    <w:p w14:paraId="29837398" w14:textId="77777777" w:rsidR="00B27853" w:rsidRPr="00B27853" w:rsidRDefault="00B27853" w:rsidP="00B27853">
      <w:pPr>
        <w:jc w:val="both"/>
        <w:rPr>
          <w:rFonts w:ascii="Arial" w:hAnsi="Arial" w:cs="Arial"/>
          <w:color w:val="000000" w:themeColor="text1"/>
        </w:rPr>
      </w:pPr>
    </w:p>
    <w:p w14:paraId="4805765D" w14:textId="7575CF58" w:rsidR="00DE7D2F" w:rsidRPr="00252CA7" w:rsidRDefault="00B27853" w:rsidP="00B27853">
      <w:pPr>
        <w:jc w:val="both"/>
        <w:rPr>
          <w:rFonts w:ascii="Arial" w:hAnsi="Arial" w:cs="Arial"/>
          <w:color w:val="000000" w:themeColor="text1"/>
        </w:rPr>
      </w:pPr>
      <w:r w:rsidRPr="00B27853">
        <w:rPr>
          <w:rFonts w:ascii="Arial" w:hAnsi="Arial" w:cs="Arial"/>
          <w:color w:val="000000" w:themeColor="text1"/>
        </w:rPr>
        <w:t>This integrated configuration provides a flexible heating system that enables efficient heat transfer through both conduction and thermal radiation. Heat is generated by the internal resistance coils, which operate at elevated temperatures, and is subsequently distributed uniformly through the ceramic tiles before being radiated towards the barrel surface. Ceramic band heaters are available in a range of standard and customised designs to suit different operational requirements. When selecting an appropriate ceramic heater, it is essential to match the unit’s wattage to the required thermal load in order to minimise frequent cycling and temperature overshoot, thereby improving thermal stability and extending the operational lifespan of the heater</w:t>
      </w:r>
      <w:r>
        <w:rPr>
          <w:rFonts w:ascii="Arial" w:hAnsi="Arial" w:cs="Arial"/>
          <w:color w:val="000000" w:themeColor="text1"/>
        </w:rPr>
        <w:t xml:space="preserve">. </w:t>
      </w:r>
      <w:r w:rsidR="00DE7D2F" w:rsidRPr="00252CA7">
        <w:rPr>
          <w:rFonts w:ascii="Arial" w:hAnsi="Arial" w:cs="Arial"/>
          <w:color w:val="000000" w:themeColor="text1"/>
        </w:rPr>
        <w:t xml:space="preserve">A typical example of ceramic band is shown in figure </w:t>
      </w:r>
      <w:r w:rsidR="00D65F02">
        <w:rPr>
          <w:rFonts w:ascii="Arial" w:hAnsi="Arial" w:cs="Arial"/>
          <w:color w:val="000000" w:themeColor="text1"/>
        </w:rPr>
        <w:t>7</w:t>
      </w:r>
    </w:p>
    <w:p w14:paraId="149A9F03" w14:textId="77777777" w:rsidR="00DE7D2F" w:rsidRPr="00252CA7" w:rsidRDefault="00DE7D2F" w:rsidP="00DE7D2F">
      <w:pPr>
        <w:rPr>
          <w:rFonts w:ascii="Arial" w:hAnsi="Arial" w:cs="Arial"/>
          <w:color w:val="000000" w:themeColor="text1"/>
        </w:rPr>
      </w:pPr>
    </w:p>
    <w:p w14:paraId="0AD2E5AC"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741602EA" wp14:editId="0B7ACECF">
            <wp:extent cx="3271838" cy="3271838"/>
            <wp:effectExtent l="0" t="0" r="0" b="0"/>
            <wp:docPr id="17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3271838" cy="3271838"/>
                    </a:xfrm>
                    <a:prstGeom prst="rect">
                      <a:avLst/>
                    </a:prstGeom>
                    <a:ln/>
                  </pic:spPr>
                </pic:pic>
              </a:graphicData>
            </a:graphic>
          </wp:inline>
        </w:drawing>
      </w:r>
    </w:p>
    <w:p w14:paraId="57C1B812" w14:textId="23A61650"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Figure </w:t>
      </w:r>
      <w:r w:rsidR="00D65F02">
        <w:rPr>
          <w:rFonts w:ascii="Arial" w:hAnsi="Arial" w:cs="Arial"/>
          <w:b/>
          <w:bCs/>
          <w:color w:val="000000" w:themeColor="text1"/>
        </w:rPr>
        <w:t>7</w:t>
      </w:r>
      <w:r w:rsidRPr="00B33E8E">
        <w:rPr>
          <w:rFonts w:ascii="Arial" w:hAnsi="Arial" w:cs="Arial"/>
          <w:b/>
          <w:bCs/>
          <w:color w:val="000000" w:themeColor="text1"/>
        </w:rPr>
        <w:t>. Diagram of Ceramic Heating Band (https://heatandsensortech.com/products/ceramic-heaters/)</w:t>
      </w:r>
    </w:p>
    <w:p w14:paraId="0C2464B9" w14:textId="77777777" w:rsidR="00B33E8E" w:rsidRDefault="00B33E8E" w:rsidP="00DE7D2F">
      <w:pPr>
        <w:rPr>
          <w:rFonts w:ascii="Arial" w:hAnsi="Arial" w:cs="Arial"/>
          <w:b/>
          <w:color w:val="000000" w:themeColor="text1"/>
        </w:rPr>
      </w:pPr>
    </w:p>
    <w:p w14:paraId="3DBF7A68" w14:textId="1F60F440" w:rsidR="00DE7D2F" w:rsidRPr="00252CA7" w:rsidRDefault="00DE7D2F" w:rsidP="007F7952">
      <w:pPr>
        <w:jc w:val="both"/>
        <w:rPr>
          <w:rFonts w:ascii="Arial" w:hAnsi="Arial" w:cs="Arial"/>
          <w:color w:val="000000" w:themeColor="text1"/>
        </w:rPr>
      </w:pPr>
      <w:r w:rsidRPr="00252CA7">
        <w:rPr>
          <w:rFonts w:ascii="Arial" w:hAnsi="Arial" w:cs="Arial"/>
          <w:b/>
          <w:color w:val="000000" w:themeColor="text1"/>
        </w:rPr>
        <w:t>Thermocouple:</w:t>
      </w:r>
      <w:r w:rsidRPr="00252CA7">
        <w:rPr>
          <w:rFonts w:ascii="Arial" w:hAnsi="Arial" w:cs="Arial"/>
          <w:color w:val="000000" w:themeColor="text1"/>
        </w:rPr>
        <w:t xml:space="preserve"> A Type K Thermocouple (Nickel-Chromium / Nickel-Alumel) is considered to be used in this design. The type K is the most common type of thermocouple. It’s inexpensive, accurate, reliable, and has a wide temperature range. Type K consists of the two metal alloys Chromel (90% Nickel, 10% Chromium) and also Alumel (95% Nickel, 2% Manganese, 2% Aluminium and 1% Silicon). Due to the thermocouple having a Nickel base; this means that it has good corrosive resistance-meaning that it can be widely used in many applications and situations. Maximum continuous temperature is around 1,100C. A typical example of the thermocouple is shown in figure </w:t>
      </w:r>
      <w:r w:rsidR="00D65F02">
        <w:rPr>
          <w:rFonts w:ascii="Arial" w:hAnsi="Arial" w:cs="Arial"/>
          <w:color w:val="000000" w:themeColor="text1"/>
        </w:rPr>
        <w:t>8</w:t>
      </w:r>
    </w:p>
    <w:p w14:paraId="75C7C8E3" w14:textId="77777777" w:rsidR="00DE7D2F" w:rsidRPr="00252CA7" w:rsidRDefault="00DE7D2F" w:rsidP="00DE7D2F">
      <w:pPr>
        <w:ind w:left="1440"/>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015CA229" wp14:editId="59C5B2E5">
            <wp:extent cx="2709466" cy="2709466"/>
            <wp:effectExtent l="0" t="0" r="0" b="0"/>
            <wp:docPr id="17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2709466" cy="2709466"/>
                    </a:xfrm>
                    <a:prstGeom prst="rect">
                      <a:avLst/>
                    </a:prstGeom>
                    <a:ln/>
                  </pic:spPr>
                </pic:pic>
              </a:graphicData>
            </a:graphic>
          </wp:inline>
        </w:drawing>
      </w:r>
    </w:p>
    <w:p w14:paraId="0C7295E4" w14:textId="149832D2"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D65F02">
        <w:rPr>
          <w:rFonts w:ascii="Arial" w:hAnsi="Arial" w:cs="Arial"/>
          <w:b/>
          <w:bCs/>
          <w:color w:val="000000" w:themeColor="text1"/>
        </w:rPr>
        <w:t xml:space="preserve">8: </w:t>
      </w:r>
      <w:r w:rsidRPr="00964D85">
        <w:rPr>
          <w:rFonts w:ascii="Arial" w:hAnsi="Arial" w:cs="Arial"/>
          <w:b/>
          <w:bCs/>
          <w:color w:val="000000" w:themeColor="text1"/>
        </w:rPr>
        <w:t xml:space="preserve"> A Type-K Thermocouple </w:t>
      </w:r>
    </w:p>
    <w:p w14:paraId="79A3FDFF" w14:textId="77777777" w:rsidR="00B33E8E" w:rsidRDefault="00B33E8E" w:rsidP="00DE7D2F">
      <w:pPr>
        <w:rPr>
          <w:rFonts w:ascii="Arial" w:hAnsi="Arial" w:cs="Arial"/>
          <w:b/>
          <w:color w:val="000000" w:themeColor="text1"/>
        </w:rPr>
      </w:pPr>
    </w:p>
    <w:p w14:paraId="702C1C5A" w14:textId="77777777" w:rsidR="007F7952" w:rsidRDefault="007F7952" w:rsidP="007F7952">
      <w:pPr>
        <w:jc w:val="both"/>
        <w:rPr>
          <w:rFonts w:ascii="Arial" w:hAnsi="Arial" w:cs="Arial"/>
          <w:b/>
          <w:bCs/>
          <w:color w:val="000000" w:themeColor="text1"/>
        </w:rPr>
      </w:pPr>
    </w:p>
    <w:p w14:paraId="1141EE3F" w14:textId="0B11D5C1" w:rsidR="00DE7D2F" w:rsidRPr="00964D85" w:rsidRDefault="00DE7D2F" w:rsidP="00DE7D2F">
      <w:pPr>
        <w:rPr>
          <w:rFonts w:ascii="Arial" w:hAnsi="Arial" w:cs="Arial"/>
          <w:b/>
          <w:bCs/>
          <w:color w:val="000000" w:themeColor="text1"/>
        </w:rPr>
      </w:pPr>
      <w:r w:rsidRPr="00964D85">
        <w:rPr>
          <w:rFonts w:ascii="Arial" w:hAnsi="Arial" w:cs="Arial"/>
          <w:b/>
          <w:bCs/>
          <w:color w:val="000000" w:themeColor="text1"/>
        </w:rPr>
        <w:t>Table 1: Table for Parts, Components and Materials</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0"/>
        <w:gridCol w:w="2835"/>
        <w:gridCol w:w="1515"/>
        <w:gridCol w:w="2115"/>
        <w:gridCol w:w="1950"/>
      </w:tblGrid>
      <w:tr w:rsidR="00DE7D2F" w:rsidRPr="00252CA7" w14:paraId="6F296864" w14:textId="77777777" w:rsidTr="00E83EB1">
        <w:trPr>
          <w:trHeight w:val="1535"/>
        </w:trPr>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D98F1"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lastRenderedPageBreak/>
              <w:t>S/N</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C115EB"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Parts/ Components/Materials</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28CF9"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Quantity</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96F391"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Dimension</w:t>
            </w:r>
          </w:p>
          <w:p w14:paraId="430AC39D"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(mm)</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F31E2"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Cost Estimation (Naira)</w:t>
            </w:r>
          </w:p>
        </w:tc>
      </w:tr>
      <w:tr w:rsidR="00DE7D2F" w:rsidRPr="00252CA7" w14:paraId="38D8B04D"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96B47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A9742D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Stainless Steel (Diameter)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7EB9EE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 xml:space="preserve"> sheet</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53CB0C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10×1000×3000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455C0F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50,000</w:t>
            </w:r>
          </w:p>
        </w:tc>
      </w:tr>
      <w:tr w:rsidR="00DE7D2F" w:rsidRPr="00252CA7" w14:paraId="11B16C37"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F05B6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EEE772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Ceramic Heating Band</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D5EB23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4E7E316"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25×254×127</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EFFAD8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5200</w:t>
            </w:r>
          </w:p>
        </w:tc>
      </w:tr>
      <w:tr w:rsidR="00DE7D2F" w:rsidRPr="00252CA7" w14:paraId="73E7E006"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12EB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3</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2BA90F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Caster Wheels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4A58A6E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3</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606DA56"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125</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0FF2E27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9500</w:t>
            </w:r>
          </w:p>
        </w:tc>
      </w:tr>
      <w:tr w:rsidR="00DE7D2F" w:rsidRPr="00252CA7" w14:paraId="4C7F8149"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8A47B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0EEAD0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Valves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F707BB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947390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C64A7A0"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10000</w:t>
            </w:r>
          </w:p>
        </w:tc>
      </w:tr>
      <w:tr w:rsidR="00DE7D2F" w:rsidRPr="00252CA7" w14:paraId="5B8BCD0B"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8FB764"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E7B6A6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Gas Pipes (Carbon steel)</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FAE64B7"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305A6BD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Ø17×2×500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7E8DDA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10000</w:t>
            </w:r>
          </w:p>
        </w:tc>
      </w:tr>
      <w:tr w:rsidR="00DE7D2F" w:rsidRPr="00252CA7" w14:paraId="5CC07757"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46117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6</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419B0D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Studs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8A300E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6</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0675A7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15×55(M14)</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80757C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5000</w:t>
            </w:r>
          </w:p>
        </w:tc>
      </w:tr>
      <w:tr w:rsidR="00DE7D2F" w:rsidRPr="00252CA7" w14:paraId="2FC749D0"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AF27F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7</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09CDCA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Insulator (Ceramic Fibre)</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CCA2680"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233AD9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50×610×3600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6396EB2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4B6DF845"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7734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8</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ABD2B0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Thermocouple</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6297287"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F1B98F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0C7C8C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0A3EA235" w14:textId="77777777" w:rsidTr="00E83EB1">
        <w:trPr>
          <w:trHeight w:val="15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A4C93"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lastRenderedPageBreak/>
              <w:t>9</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5B8979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Thermocouple Thermometer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59D57A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0394212"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FA8652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399AE56E" w14:textId="77777777" w:rsidTr="00E83EB1">
        <w:trPr>
          <w:trHeight w:val="15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E16E79"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657D9A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Digital Thermal Controller (PID)</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3465A6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D07D14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FF3734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20000</w:t>
            </w:r>
          </w:p>
        </w:tc>
      </w:tr>
      <w:tr w:rsidR="00DE7D2F" w:rsidRPr="00252CA7" w14:paraId="702A6A6F"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607712"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3DC4934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Nitrogen Gas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3953DFC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 (3kg)</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1BD3B0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338E2B93"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9000</w:t>
            </w:r>
          </w:p>
        </w:tc>
      </w:tr>
      <w:tr w:rsidR="00DE7D2F" w:rsidRPr="00252CA7" w14:paraId="4E6C58B9"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4221D5"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218A572"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68FE1AE"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8D18CD4"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Total</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0A1478D6"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130,700</w:t>
            </w:r>
          </w:p>
        </w:tc>
      </w:tr>
    </w:tbl>
    <w:p w14:paraId="2D9486C7" w14:textId="77777777" w:rsidR="00DE7D2F" w:rsidRPr="00252CA7" w:rsidRDefault="00DE7D2F" w:rsidP="00DE7D2F">
      <w:pPr>
        <w:rPr>
          <w:rFonts w:ascii="Arial" w:hAnsi="Arial" w:cs="Arial"/>
          <w:b/>
          <w:color w:val="000000" w:themeColor="text1"/>
        </w:rPr>
      </w:pPr>
    </w:p>
    <w:p w14:paraId="585672EE" w14:textId="77777777" w:rsidR="00DE7D2F" w:rsidRPr="00964D85" w:rsidRDefault="00DE7D2F">
      <w:pPr>
        <w:pStyle w:val="Heading1"/>
        <w:numPr>
          <w:ilvl w:val="1"/>
          <w:numId w:val="11"/>
        </w:numPr>
        <w:ind w:left="360"/>
        <w:rPr>
          <w:rFonts w:cs="Arial"/>
          <w:color w:val="000000" w:themeColor="text1"/>
          <w:sz w:val="22"/>
          <w:szCs w:val="22"/>
        </w:rPr>
      </w:pPr>
      <w:bookmarkStart w:id="46" w:name="_heading=h.h7n9bbq07pfr" w:colFirst="0" w:colLast="0"/>
      <w:bookmarkStart w:id="47" w:name="_heading=h.6hvznp64qqmk" w:colFirst="0" w:colLast="0"/>
      <w:bookmarkStart w:id="48" w:name="_Toc140521305"/>
      <w:bookmarkEnd w:id="46"/>
      <w:bookmarkEnd w:id="47"/>
      <w:r w:rsidRPr="00964D85">
        <w:rPr>
          <w:rFonts w:cs="Arial"/>
          <w:color w:val="000000" w:themeColor="text1"/>
          <w:sz w:val="22"/>
          <w:szCs w:val="22"/>
        </w:rPr>
        <w:t>Operating Principle of the Torrefaction Reactor</w:t>
      </w:r>
      <w:bookmarkEnd w:id="48"/>
    </w:p>
    <w:p w14:paraId="0783FFFD"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49" w:name="_heading=h.nmf14n" w:colFirst="0" w:colLast="0"/>
      <w:bookmarkStart w:id="50" w:name="_Toc140521306"/>
      <w:bookmarkEnd w:id="49"/>
      <w:r w:rsidRPr="00964D85">
        <w:rPr>
          <w:rFonts w:cs="Arial"/>
          <w:color w:val="000000" w:themeColor="text1"/>
          <w:sz w:val="22"/>
          <w:szCs w:val="22"/>
        </w:rPr>
        <w:t>Operation of the Torrefaction Reactor</w:t>
      </w:r>
      <w:bookmarkEnd w:id="50"/>
    </w:p>
    <w:p w14:paraId="6E00331F" w14:textId="77777777"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To carry out torrefaction with any biomass, the biomass would be placed in the torrefaction reactor until it was filled to about 90% of its volume. The cover of the torrefaction reactor vessel would then be fastened, and the reactor made airtight with the aid of studs. The container of the reactor is then closed. The electrical heating band would be turned on, and the required temperature for torrefaction would then be set on the temperature controller. The temperature change will be monitored with a digital thermometer and a thermocouple that would be placed directly in contact with the biomass. The output from the thermocouple is converted to temperature by a thermocouple thermometer. The setup would be heated to the required torrefaction temperature and maintained at that temperature for the desired residence time, after which the heater would be turned off. The setup would then be allowed to cool to room temperature. Thereafter, the torrefied biomass can be removed from the reactor and the necessary analysis can then be further carried out. The reactor design is shown in the subsequent Figures.</w:t>
      </w:r>
    </w:p>
    <w:p w14:paraId="18B61E88"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1" w:name="_heading=h.is7kw1kjo19f" w:colFirst="0" w:colLast="0"/>
      <w:bookmarkStart w:id="52" w:name="_Toc140521307"/>
      <w:bookmarkEnd w:id="51"/>
      <w:r w:rsidRPr="00964D85">
        <w:rPr>
          <w:rFonts w:cs="Arial"/>
          <w:color w:val="000000" w:themeColor="text1"/>
          <w:sz w:val="22"/>
          <w:szCs w:val="22"/>
        </w:rPr>
        <w:lastRenderedPageBreak/>
        <w:t>CAD Design of the Torrefaction Reactor</w:t>
      </w:r>
      <w:bookmarkEnd w:id="52"/>
    </w:p>
    <w:p w14:paraId="1DBDFB09"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509685E7" wp14:editId="005A78CF">
            <wp:extent cx="3978234" cy="2384293"/>
            <wp:effectExtent l="0" t="0" r="0" b="0"/>
            <wp:docPr id="15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rotWithShape="1">
                    <a:blip r:embed="rId21"/>
                    <a:srcRect t="2901" r="16650"/>
                    <a:stretch>
                      <a:fillRect/>
                    </a:stretch>
                  </pic:blipFill>
                  <pic:spPr bwMode="auto">
                    <a:xfrm>
                      <a:off x="0" y="0"/>
                      <a:ext cx="3984467" cy="2388028"/>
                    </a:xfrm>
                    <a:prstGeom prst="rect">
                      <a:avLst/>
                    </a:prstGeom>
                    <a:ln>
                      <a:noFill/>
                    </a:ln>
                    <a:extLst>
                      <a:ext uri="{53640926-AAD7-44D8-BBD7-CCE9431645EC}">
                        <a14:shadowObscured xmlns:a14="http://schemas.microsoft.com/office/drawing/2010/main"/>
                      </a:ext>
                    </a:extLst>
                  </pic:spPr>
                </pic:pic>
              </a:graphicData>
            </a:graphic>
          </wp:inline>
        </w:drawing>
      </w:r>
    </w:p>
    <w:p w14:paraId="1C544184" w14:textId="32CD4219"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9</w:t>
      </w:r>
      <w:r w:rsidRPr="00964D85">
        <w:rPr>
          <w:rFonts w:ascii="Arial" w:hAnsi="Arial" w:cs="Arial"/>
          <w:b/>
          <w:bCs/>
          <w:color w:val="000000" w:themeColor="text1"/>
        </w:rPr>
        <w:t>. 3D Design of a Fixed-Bed Torrefaction Reactor</w:t>
      </w:r>
    </w:p>
    <w:p w14:paraId="67623619" w14:textId="77777777" w:rsidR="00DE7D2F" w:rsidRPr="00252CA7" w:rsidRDefault="00DE7D2F" w:rsidP="00DE7D2F">
      <w:pPr>
        <w:rPr>
          <w:rFonts w:ascii="Arial" w:hAnsi="Arial" w:cs="Arial"/>
          <w:color w:val="000000" w:themeColor="text1"/>
        </w:rPr>
      </w:pPr>
    </w:p>
    <w:p w14:paraId="3DC2526C" w14:textId="77777777" w:rsidR="00DE7D2F" w:rsidRPr="00252CA7" w:rsidRDefault="00DE7D2F" w:rsidP="00DE7D2F">
      <w:pPr>
        <w:spacing w:line="276" w:lineRule="auto"/>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2BB8E663" wp14:editId="33AD9EC8">
            <wp:extent cx="4292930" cy="3571875"/>
            <wp:effectExtent l="0" t="0" r="0" b="0"/>
            <wp:docPr id="15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22"/>
                    <a:srcRect r="15510"/>
                    <a:stretch>
                      <a:fillRect/>
                    </a:stretch>
                  </pic:blipFill>
                  <pic:spPr bwMode="auto">
                    <a:xfrm>
                      <a:off x="0" y="0"/>
                      <a:ext cx="4293432" cy="3572293"/>
                    </a:xfrm>
                    <a:prstGeom prst="rect">
                      <a:avLst/>
                    </a:prstGeom>
                    <a:ln>
                      <a:noFill/>
                    </a:ln>
                    <a:extLst>
                      <a:ext uri="{53640926-AAD7-44D8-BBD7-CCE9431645EC}">
                        <a14:shadowObscured xmlns:a14="http://schemas.microsoft.com/office/drawing/2010/main"/>
                      </a:ext>
                    </a:extLst>
                  </pic:spPr>
                </pic:pic>
              </a:graphicData>
            </a:graphic>
          </wp:inline>
        </w:drawing>
      </w:r>
    </w:p>
    <w:p w14:paraId="62E0BDF1" w14:textId="75E013E6" w:rsidR="00DE7D2F" w:rsidRPr="00964D85" w:rsidRDefault="00DE7D2F" w:rsidP="00DE7D2F">
      <w:pPr>
        <w:spacing w:line="276" w:lineRule="auto"/>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10</w:t>
      </w:r>
      <w:r w:rsidRPr="00964D85">
        <w:rPr>
          <w:rFonts w:ascii="Arial" w:hAnsi="Arial" w:cs="Arial"/>
          <w:b/>
          <w:bCs/>
          <w:color w:val="000000" w:themeColor="text1"/>
        </w:rPr>
        <w:t>. Sectional view of the Fixed-bed Torrefaction Reactor</w:t>
      </w:r>
    </w:p>
    <w:p w14:paraId="62E3B60B" w14:textId="77777777" w:rsidR="00DE7D2F" w:rsidRPr="00252CA7" w:rsidRDefault="00DE7D2F" w:rsidP="00DE7D2F">
      <w:pPr>
        <w:spacing w:line="276" w:lineRule="auto"/>
        <w:rPr>
          <w:rFonts w:ascii="Arial" w:hAnsi="Arial" w:cs="Arial"/>
          <w:color w:val="000000" w:themeColor="text1"/>
        </w:rPr>
      </w:pPr>
    </w:p>
    <w:p w14:paraId="54CBA8A0"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7E013298" wp14:editId="59571E84">
            <wp:extent cx="3912919" cy="3242933"/>
            <wp:effectExtent l="0" t="0" r="0" b="0"/>
            <wp:docPr id="1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23"/>
                    <a:srcRect r="15634"/>
                    <a:stretch>
                      <a:fillRect/>
                    </a:stretch>
                  </pic:blipFill>
                  <pic:spPr bwMode="auto">
                    <a:xfrm>
                      <a:off x="0" y="0"/>
                      <a:ext cx="3913437" cy="3243362"/>
                    </a:xfrm>
                    <a:prstGeom prst="rect">
                      <a:avLst/>
                    </a:prstGeom>
                    <a:ln>
                      <a:noFill/>
                    </a:ln>
                    <a:extLst>
                      <a:ext uri="{53640926-AAD7-44D8-BBD7-CCE9431645EC}">
                        <a14:shadowObscured xmlns:a14="http://schemas.microsoft.com/office/drawing/2010/main"/>
                      </a:ext>
                    </a:extLst>
                  </pic:spPr>
                </pic:pic>
              </a:graphicData>
            </a:graphic>
          </wp:inline>
        </w:drawing>
      </w:r>
    </w:p>
    <w:p w14:paraId="2410D9CB" w14:textId="31F7DE9D"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11</w:t>
      </w:r>
      <w:r w:rsidRPr="00964D85">
        <w:rPr>
          <w:rFonts w:ascii="Arial" w:hAnsi="Arial" w:cs="Arial"/>
          <w:b/>
          <w:bCs/>
          <w:color w:val="000000" w:themeColor="text1"/>
        </w:rPr>
        <w:t>. Exploded view of the Fixed-bed Torrefaction Reactor</w:t>
      </w:r>
    </w:p>
    <w:p w14:paraId="35800827"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3" w:name="_heading=h.785rxrpzuks9" w:colFirst="0" w:colLast="0"/>
      <w:bookmarkStart w:id="54" w:name="_Toc140521308"/>
      <w:bookmarkEnd w:id="53"/>
      <w:r w:rsidRPr="00964D85">
        <w:rPr>
          <w:rFonts w:cs="Arial"/>
          <w:color w:val="000000" w:themeColor="text1"/>
          <w:sz w:val="22"/>
          <w:szCs w:val="22"/>
        </w:rPr>
        <w:t>Thermal Analysis and Simulation of the reactor</w:t>
      </w:r>
      <w:bookmarkEnd w:id="54"/>
    </w:p>
    <w:p w14:paraId="0BC59DFB" w14:textId="3834C1A3"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 xml:space="preserve">Thermal analysis and the simulation of the reactor is carried out to evaluate the designed reactor in order to ensure that the system combustion temperature is conserved. The structural analysis on the other hand helps in validating the mechanical integrity and stability of the reactor design. The reactor unit is modelled using Ansys steady-state thermal analysis tool. Each of the layers that make up the reactor are then assigned materials. The assigning of materials to each of the reactor parts gives properties such as thermal conductivity at a specific temperature which is required alongside the geometry of the model to carry out the simulation. The modelled reactor is then meshed as shown in Figure </w:t>
      </w:r>
      <w:r w:rsidR="00A97ACF">
        <w:rPr>
          <w:rFonts w:ascii="Arial" w:hAnsi="Arial" w:cs="Arial"/>
          <w:color w:val="000000" w:themeColor="text1"/>
        </w:rPr>
        <w:t>12</w:t>
      </w:r>
      <w:r w:rsidRPr="00252CA7">
        <w:rPr>
          <w:rFonts w:ascii="Arial" w:hAnsi="Arial" w:cs="Arial"/>
          <w:color w:val="000000" w:themeColor="text1"/>
        </w:rPr>
        <w:t>. The results of the simulation and thermal analysis are further discussed in chapter 4.</w:t>
      </w:r>
    </w:p>
    <w:p w14:paraId="374A698C" w14:textId="77777777" w:rsidR="00DE7D2F" w:rsidRPr="00252CA7" w:rsidRDefault="00DE7D2F" w:rsidP="00DE7D2F">
      <w:pPr>
        <w:widowControl w:val="0"/>
        <w:spacing w:before="14" w:line="206" w:lineRule="auto"/>
        <w:ind w:left="1454" w:right="1615" w:firstLine="165"/>
        <w:rPr>
          <w:rFonts w:ascii="Arial" w:eastAsia="Arial" w:hAnsi="Arial" w:cs="Arial"/>
          <w:b/>
          <w:color w:val="000000" w:themeColor="text1"/>
        </w:rPr>
      </w:pPr>
      <w:r w:rsidRPr="00252CA7">
        <w:rPr>
          <w:rFonts w:ascii="Arial" w:eastAsia="Arial" w:hAnsi="Arial" w:cs="Arial"/>
          <w:b/>
          <w:noProof/>
          <w:color w:val="000000" w:themeColor="text1"/>
        </w:rPr>
        <w:lastRenderedPageBreak/>
        <w:drawing>
          <wp:inline distT="19050" distB="19050" distL="19050" distR="19050" wp14:anchorId="6483995C" wp14:editId="279F502A">
            <wp:extent cx="4383405" cy="3652838"/>
            <wp:effectExtent l="0" t="0" r="0" b="0"/>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383405" cy="3652838"/>
                    </a:xfrm>
                    <a:prstGeom prst="rect">
                      <a:avLst/>
                    </a:prstGeom>
                    <a:ln/>
                  </pic:spPr>
                </pic:pic>
              </a:graphicData>
            </a:graphic>
          </wp:inline>
        </w:drawing>
      </w:r>
    </w:p>
    <w:p w14:paraId="3CBFDEA6" w14:textId="40BF86E3" w:rsidR="00DE7D2F" w:rsidRPr="00964D85" w:rsidRDefault="00DE7D2F" w:rsidP="00DE7D2F">
      <w:pPr>
        <w:widowControl w:val="0"/>
        <w:spacing w:before="14" w:line="206" w:lineRule="auto"/>
        <w:ind w:left="1454" w:right="1615" w:firstLine="165"/>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12</w:t>
      </w:r>
      <w:r w:rsidRPr="00964D85">
        <w:rPr>
          <w:rFonts w:ascii="Arial" w:hAnsi="Arial" w:cs="Arial"/>
          <w:b/>
          <w:bCs/>
          <w:color w:val="000000" w:themeColor="text1"/>
        </w:rPr>
        <w:t>: Meshed design of the reactor</w:t>
      </w:r>
    </w:p>
    <w:p w14:paraId="27CD6863" w14:textId="77777777" w:rsidR="00DE7D2F" w:rsidRPr="00252CA7" w:rsidRDefault="00DE7D2F" w:rsidP="00DE7D2F">
      <w:pPr>
        <w:widowControl w:val="0"/>
        <w:rPr>
          <w:rFonts w:ascii="Arial" w:eastAsia="Arial" w:hAnsi="Arial" w:cs="Arial"/>
          <w:color w:val="000000" w:themeColor="text1"/>
        </w:rPr>
      </w:pPr>
    </w:p>
    <w:p w14:paraId="0E2A6EE4" w14:textId="77777777" w:rsidR="00DE7D2F" w:rsidRPr="00252CA7" w:rsidRDefault="00DE7D2F" w:rsidP="00DE7D2F">
      <w:pPr>
        <w:widowControl w:val="0"/>
        <w:spacing w:line="247" w:lineRule="auto"/>
        <w:ind w:left="1620" w:right="1615"/>
        <w:jc w:val="center"/>
        <w:rPr>
          <w:rFonts w:ascii="Arial" w:eastAsia="Arial" w:hAnsi="Arial" w:cs="Arial"/>
          <w:b/>
          <w:color w:val="000000" w:themeColor="text1"/>
        </w:rPr>
      </w:pPr>
    </w:p>
    <w:p w14:paraId="0CECDAE7" w14:textId="77777777" w:rsidR="00DE7D2F" w:rsidRPr="00252CA7" w:rsidRDefault="00DE7D2F" w:rsidP="00DE7D2F">
      <w:pPr>
        <w:widowControl w:val="0"/>
        <w:spacing w:line="247" w:lineRule="auto"/>
        <w:ind w:left="1620" w:right="1615"/>
        <w:jc w:val="center"/>
        <w:rPr>
          <w:rFonts w:ascii="Arial" w:eastAsia="Arial" w:hAnsi="Arial" w:cs="Arial"/>
          <w:b/>
          <w:color w:val="000000" w:themeColor="text1"/>
        </w:rPr>
      </w:pPr>
    </w:p>
    <w:p w14:paraId="75967AA0" w14:textId="77777777" w:rsidR="00DE7D2F" w:rsidRPr="00964D85" w:rsidRDefault="00DE7D2F">
      <w:pPr>
        <w:pStyle w:val="Heading1"/>
        <w:numPr>
          <w:ilvl w:val="1"/>
          <w:numId w:val="11"/>
        </w:numPr>
        <w:spacing w:before="0" w:after="0" w:line="276" w:lineRule="auto"/>
        <w:ind w:left="360"/>
        <w:rPr>
          <w:rFonts w:cs="Arial"/>
          <w:color w:val="000000" w:themeColor="text1"/>
          <w:sz w:val="22"/>
          <w:szCs w:val="22"/>
        </w:rPr>
      </w:pPr>
      <w:bookmarkStart w:id="55" w:name="_heading=h.1egqt2p" w:colFirst="0" w:colLast="0"/>
      <w:bookmarkStart w:id="56" w:name="_Toc140521309"/>
      <w:bookmarkEnd w:id="55"/>
      <w:r w:rsidRPr="00964D85">
        <w:rPr>
          <w:rFonts w:cs="Arial"/>
          <w:color w:val="000000" w:themeColor="text1"/>
          <w:sz w:val="22"/>
          <w:szCs w:val="22"/>
        </w:rPr>
        <w:t>Dataset Collection and Pre-Processing</w:t>
      </w:r>
      <w:bookmarkEnd w:id="56"/>
    </w:p>
    <w:p w14:paraId="28EB3A7F" w14:textId="6EE4F038" w:rsidR="00DE7D2F" w:rsidRPr="00252CA7" w:rsidRDefault="00DE7D2F" w:rsidP="00B33E8E">
      <w:pPr>
        <w:spacing w:line="276" w:lineRule="auto"/>
        <w:jc w:val="both"/>
        <w:rPr>
          <w:rFonts w:ascii="Arial" w:hAnsi="Arial" w:cs="Arial"/>
          <w:color w:val="000000" w:themeColor="text1"/>
        </w:rPr>
      </w:pPr>
      <w:r w:rsidRPr="00252CA7">
        <w:rPr>
          <w:rFonts w:ascii="Arial" w:hAnsi="Arial" w:cs="Arial"/>
          <w:color w:val="000000" w:themeColor="text1"/>
        </w:rPr>
        <w:t xml:space="preserve">A brief introduction of the present study modelling procedures is provided in Fig. </w:t>
      </w:r>
      <w:r w:rsidR="00A97ACF">
        <w:rPr>
          <w:rFonts w:ascii="Arial" w:hAnsi="Arial" w:cs="Arial"/>
          <w:color w:val="000000" w:themeColor="text1"/>
        </w:rPr>
        <w:t>13</w:t>
      </w:r>
      <w:r w:rsidRPr="00252CA7">
        <w:rPr>
          <w:rFonts w:ascii="Arial" w:hAnsi="Arial" w:cs="Arial"/>
          <w:color w:val="000000" w:themeColor="text1"/>
        </w:rPr>
        <w:t xml:space="preserve">. The start point of the present study is the samples collected from published literature. The proximate and ultimate analysis of those samples are normalised and divided into the training and application samples, respectively. </w:t>
      </w:r>
    </w:p>
    <w:p w14:paraId="632FE30A"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In this project, three machine learning algorithms were compared to predict the higher heating value of different biomass. The ML algorithms include tree-based ML models; random forests, and neural networks (artificial neural networks) and Linear regression. The datasets containing 527 instances of different biomass types studied were sourced from publications and compiled in an excel spreadsheet (see Appendix). Although some of the curated data had missing values, these were replaced with the average of the observation for the sake of model training. Furthermore, the dataset was split into features (fixed carbon (FC), volatile matter (VM), ash (AC), carbon (C), hydrogen (H), nitrogen (N), sulphur (S), and oxygen(O)) and target higher heating value (HHV).</w:t>
      </w:r>
    </w:p>
    <w:p w14:paraId="4310F19E" w14:textId="77777777" w:rsidR="00313F8D" w:rsidRDefault="00313F8D" w:rsidP="00B33E8E">
      <w:pPr>
        <w:jc w:val="both"/>
        <w:rPr>
          <w:rFonts w:ascii="Arial" w:hAnsi="Arial" w:cs="Arial"/>
          <w:color w:val="000000" w:themeColor="text1"/>
        </w:rPr>
      </w:pPr>
    </w:p>
    <w:p w14:paraId="0B764D8F" w14:textId="0EA183C8" w:rsidR="00313F8D" w:rsidRDefault="00313F8D" w:rsidP="00B33E8E">
      <w:pPr>
        <w:jc w:val="both"/>
        <w:rPr>
          <w:rFonts w:ascii="Arial" w:hAnsi="Arial" w:cs="Arial"/>
          <w:color w:val="000000" w:themeColor="text1"/>
        </w:rPr>
      </w:pPr>
      <w:r w:rsidRPr="00313F8D">
        <w:rPr>
          <w:rFonts w:ascii="Arial" w:hAnsi="Arial" w:cs="Arial"/>
          <w:color w:val="000000" w:themeColor="text1"/>
        </w:rPr>
        <w:t>The datasets used in this study were compiled from multiple peer-reviewed journal articles reporting proximate analysis, ultimate analysis, and higher heating value (HHV) data for different biomass materials. Duplicate entries were removed, while missing values were replaced using mean imputation to maintain dataset completeness. The input variables were normalized using Min-Max scaling prior to model training to improve convergence and prediction stability.</w:t>
      </w:r>
    </w:p>
    <w:p w14:paraId="12F10688" w14:textId="77777777" w:rsidR="00A92BBA" w:rsidRDefault="00A92BBA" w:rsidP="00B33E8E">
      <w:pPr>
        <w:jc w:val="both"/>
        <w:rPr>
          <w:rFonts w:ascii="Arial" w:hAnsi="Arial" w:cs="Arial"/>
          <w:color w:val="000000" w:themeColor="text1"/>
        </w:rPr>
      </w:pPr>
    </w:p>
    <w:p w14:paraId="29720E4D" w14:textId="77777777" w:rsidR="00A92BBA" w:rsidRDefault="00A92BBA" w:rsidP="00B33E8E">
      <w:pPr>
        <w:jc w:val="both"/>
        <w:rPr>
          <w:rFonts w:ascii="Arial" w:hAnsi="Arial" w:cs="Arial"/>
          <w:color w:val="000000" w:themeColor="text1"/>
        </w:rPr>
      </w:pPr>
    </w:p>
    <w:p w14:paraId="29623864" w14:textId="77777777" w:rsidR="00A92BBA" w:rsidRDefault="00A92BBA" w:rsidP="00B33E8E">
      <w:pPr>
        <w:jc w:val="both"/>
        <w:rPr>
          <w:rFonts w:ascii="Arial" w:hAnsi="Arial" w:cs="Arial"/>
          <w:color w:val="000000" w:themeColor="text1"/>
        </w:rPr>
      </w:pPr>
    </w:p>
    <w:p w14:paraId="6239E2C9" w14:textId="74D93A21" w:rsidR="00A92BBA" w:rsidRDefault="00A92BBA" w:rsidP="00B33E8E">
      <w:pPr>
        <w:jc w:val="both"/>
        <w:rPr>
          <w:rFonts w:ascii="Arial" w:hAnsi="Arial" w:cs="Arial"/>
          <w:color w:val="000000" w:themeColor="text1"/>
        </w:rPr>
      </w:pPr>
      <w:r>
        <w:rPr>
          <w:noProof/>
        </w:rPr>
        <w:lastRenderedPageBreak/>
        <w:drawing>
          <wp:anchor distT="0" distB="0" distL="114300" distR="114300" simplePos="0" relativeHeight="251662336" behindDoc="0" locked="0" layoutInCell="1" allowOverlap="1" wp14:anchorId="4854069D" wp14:editId="26E05AC4">
            <wp:simplePos x="0" y="0"/>
            <wp:positionH relativeFrom="column">
              <wp:posOffset>0</wp:posOffset>
            </wp:positionH>
            <wp:positionV relativeFrom="paragraph">
              <wp:posOffset>0</wp:posOffset>
            </wp:positionV>
            <wp:extent cx="5943600" cy="3502025"/>
            <wp:effectExtent l="0" t="0" r="0" b="0"/>
            <wp:wrapSquare wrapText="bothSides"/>
            <wp:docPr id="168533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10868"/>
                    <a:stretch>
                      <a:fillRect/>
                    </a:stretch>
                  </pic:blipFill>
                  <pic:spPr bwMode="auto">
                    <a:xfrm>
                      <a:off x="0" y="0"/>
                      <a:ext cx="5943600" cy="350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AB008" w14:textId="1DEA02E9" w:rsidR="00A92BBA" w:rsidRPr="00A92BBA" w:rsidRDefault="00A92BBA" w:rsidP="00B33E8E">
      <w:pPr>
        <w:jc w:val="both"/>
        <w:rPr>
          <w:rFonts w:ascii="Arial" w:hAnsi="Arial" w:cs="Arial"/>
          <w:b/>
          <w:bCs/>
          <w:color w:val="000000" w:themeColor="text1"/>
        </w:rPr>
      </w:pPr>
      <w:r w:rsidRPr="00A92BBA">
        <w:rPr>
          <w:rFonts w:ascii="Arial" w:hAnsi="Arial" w:cs="Arial"/>
          <w:b/>
          <w:bCs/>
          <w:color w:val="000000" w:themeColor="text1"/>
        </w:rPr>
        <w:t>Figure 13. Workflow diagram showing literature data collection, preprocessing, machine learning modelling, and HHV prediction procedure used in this study.</w:t>
      </w:r>
    </w:p>
    <w:p w14:paraId="075B77B8" w14:textId="77777777" w:rsidR="00A92BBA" w:rsidRDefault="00A92BBA" w:rsidP="00B33E8E">
      <w:pPr>
        <w:jc w:val="both"/>
        <w:rPr>
          <w:rFonts w:ascii="Arial" w:hAnsi="Arial" w:cs="Arial"/>
          <w:color w:val="000000" w:themeColor="text1"/>
        </w:rPr>
      </w:pPr>
    </w:p>
    <w:p w14:paraId="226781A9"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7" w:name="_heading=h.3ygebqi" w:colFirst="0" w:colLast="0"/>
      <w:bookmarkStart w:id="58" w:name="_Toc140521310"/>
      <w:bookmarkEnd w:id="57"/>
      <w:r w:rsidRPr="00964D85">
        <w:rPr>
          <w:rFonts w:cs="Arial"/>
          <w:color w:val="000000" w:themeColor="text1"/>
          <w:sz w:val="22"/>
          <w:szCs w:val="22"/>
        </w:rPr>
        <w:t>Samples</w:t>
      </w:r>
      <w:bookmarkEnd w:id="58"/>
    </w:p>
    <w:p w14:paraId="77E5F267"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In this study, the number of biomass types whose proximate and ultimate analysis were available from literature is limited, two training databases consisting of proximate and ultimate analysis are constructed from the available literature. The dataset obtained for proximate analysis includes 527 data points, while the dataset obtained for ultimate analysis includes 291 data points.</w:t>
      </w:r>
    </w:p>
    <w:p w14:paraId="4B915A98"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The difference in the number of data points between the two analyses was due to two major factors, which are differences in the availability of data sources and variations in the types of biomass samples analysed.  Although the former is the major reason for the disparity in the figures obtained for the data points which is the variations in the availability of data sources for each type of analysis. For instance, some sources provided data for proximate analysis, but not for ultimate analysis, which resulted in more data points for proximate analysis. In the course of this study, It is worth mentioning that the quality and relevance of the data obtained is ultimately more important than the quantity of data obtained.</w:t>
      </w:r>
    </w:p>
    <w:p w14:paraId="6CA2E231" w14:textId="77777777" w:rsidR="00E93B3A" w:rsidRPr="00252CA7" w:rsidRDefault="00E93B3A" w:rsidP="00B33E8E">
      <w:pPr>
        <w:jc w:val="both"/>
        <w:rPr>
          <w:rFonts w:ascii="Arial" w:hAnsi="Arial" w:cs="Arial"/>
          <w:color w:val="000000" w:themeColor="text1"/>
        </w:rPr>
      </w:pPr>
    </w:p>
    <w:p w14:paraId="0C52AE4C" w14:textId="113C30E0" w:rsidR="00DE7D2F" w:rsidRDefault="00DE7D2F" w:rsidP="00B33E8E">
      <w:pPr>
        <w:jc w:val="both"/>
        <w:rPr>
          <w:rFonts w:ascii="Arial" w:hAnsi="Arial" w:cs="Arial"/>
          <w:color w:val="000000" w:themeColor="text1"/>
        </w:rPr>
      </w:pPr>
      <w:r w:rsidRPr="00252CA7">
        <w:rPr>
          <w:rFonts w:ascii="Arial" w:hAnsi="Arial" w:cs="Arial"/>
          <w:color w:val="000000" w:themeColor="text1"/>
        </w:rPr>
        <w:t xml:space="preserve">Second, the variation in the types of biomass samples analysed may also introduce bias or inconsistency in our results. For example, if certain types of biomass samples were overrepresented in one analysis compared to the other, this could skew the overall results and limit the generalizability of the conclusions drawn. Overall, it is </w:t>
      </w:r>
      <w:r w:rsidR="00E93B3A" w:rsidRPr="00252CA7">
        <w:rPr>
          <w:rFonts w:ascii="Arial" w:hAnsi="Arial" w:cs="Arial"/>
          <w:color w:val="000000" w:themeColor="text1"/>
        </w:rPr>
        <w:t>important to</w:t>
      </w:r>
      <w:r w:rsidRPr="00252CA7">
        <w:rPr>
          <w:rFonts w:ascii="Arial" w:hAnsi="Arial" w:cs="Arial"/>
          <w:color w:val="000000" w:themeColor="text1"/>
        </w:rPr>
        <w:t xml:space="preserve"> interpret the results with caution, taking into consideration any potential biases or inconsistencies that may arise.</w:t>
      </w:r>
    </w:p>
    <w:p w14:paraId="134161C9" w14:textId="77777777" w:rsidR="00E93B3A" w:rsidRPr="00252CA7" w:rsidRDefault="00E93B3A" w:rsidP="00B33E8E">
      <w:pPr>
        <w:jc w:val="both"/>
        <w:rPr>
          <w:rFonts w:ascii="Arial" w:hAnsi="Arial" w:cs="Arial"/>
          <w:color w:val="000000" w:themeColor="text1"/>
        </w:rPr>
      </w:pPr>
    </w:p>
    <w:p w14:paraId="5AF54657" w14:textId="26D8C88C"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This assumption has been proved to be valid not in the present study but also in many previous studies (Hosseinpur, et al 2017, Akayya, 2016). The details about the training and application databases are introduced as follows.</w:t>
      </w:r>
    </w:p>
    <w:p w14:paraId="0E98624F" w14:textId="77777777" w:rsidR="00DE7D2F" w:rsidRPr="00252CA7" w:rsidRDefault="00DE7D2F" w:rsidP="00DE7D2F">
      <w:pPr>
        <w:rPr>
          <w:rFonts w:ascii="Arial" w:hAnsi="Arial" w:cs="Arial"/>
          <w:color w:val="000000" w:themeColor="text1"/>
        </w:rPr>
      </w:pPr>
    </w:p>
    <w:p w14:paraId="070016FE" w14:textId="77777777" w:rsidR="00DE7D2F" w:rsidRPr="00252CA7" w:rsidRDefault="00DE7D2F" w:rsidP="00DE7D2F">
      <w:pPr>
        <w:rPr>
          <w:rFonts w:ascii="Arial" w:hAnsi="Arial" w:cs="Arial"/>
          <w:color w:val="000000" w:themeColor="text1"/>
        </w:rPr>
      </w:pPr>
      <w:r w:rsidRPr="00252CA7">
        <w:rPr>
          <w:rFonts w:ascii="Arial" w:hAnsi="Arial" w:cs="Arial"/>
          <w:noProof/>
          <w:color w:val="000000" w:themeColor="text1"/>
        </w:rPr>
        <w:lastRenderedPageBreak/>
        <w:drawing>
          <wp:anchor distT="0" distB="0" distL="0" distR="0" simplePos="0" relativeHeight="251659264" behindDoc="0" locked="0" layoutInCell="1" hidden="0" allowOverlap="1" wp14:anchorId="25D32AC2" wp14:editId="311C239A">
            <wp:simplePos x="0" y="0"/>
            <wp:positionH relativeFrom="column">
              <wp:posOffset>-517249</wp:posOffset>
            </wp:positionH>
            <wp:positionV relativeFrom="paragraph">
              <wp:posOffset>0</wp:posOffset>
            </wp:positionV>
            <wp:extent cx="6460854" cy="3219259"/>
            <wp:effectExtent l="0" t="0" r="0" b="0"/>
            <wp:wrapTopAndBottom distT="0" distB="0"/>
            <wp:docPr id="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6460854" cy="3219259"/>
                    </a:xfrm>
                    <a:prstGeom prst="rect">
                      <a:avLst/>
                    </a:prstGeom>
                    <a:ln/>
                  </pic:spPr>
                </pic:pic>
              </a:graphicData>
            </a:graphic>
          </wp:anchor>
        </w:drawing>
      </w:r>
    </w:p>
    <w:p w14:paraId="297EBAC8" w14:textId="56E29204" w:rsidR="00DE7D2F" w:rsidRPr="00B33E8E" w:rsidRDefault="00DE7D2F" w:rsidP="00DE7D2F">
      <w:pP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14</w:t>
      </w:r>
      <w:r w:rsidRPr="00B33E8E">
        <w:rPr>
          <w:rFonts w:ascii="Arial" w:hAnsi="Arial" w:cs="Arial"/>
          <w:b/>
          <w:bCs/>
          <w:color w:val="000000" w:themeColor="text1"/>
        </w:rPr>
        <w:t>. An Overview of the methodology used in the study (Afolabi et al., 2022)</w:t>
      </w:r>
    </w:p>
    <w:p w14:paraId="7DD06072" w14:textId="77777777" w:rsidR="00DE7D2F" w:rsidRPr="00964D85" w:rsidRDefault="00DE7D2F">
      <w:pPr>
        <w:pStyle w:val="Heading1"/>
        <w:numPr>
          <w:ilvl w:val="2"/>
          <w:numId w:val="11"/>
        </w:numPr>
        <w:ind w:left="360" w:hanging="360"/>
        <w:rPr>
          <w:rFonts w:cs="Arial"/>
          <w:color w:val="000000" w:themeColor="text1"/>
          <w:sz w:val="22"/>
          <w:szCs w:val="22"/>
        </w:rPr>
      </w:pPr>
      <w:bookmarkStart w:id="59" w:name="_heading=h.5touf4auzgxc" w:colFirst="0" w:colLast="0"/>
      <w:bookmarkStart w:id="60" w:name="_Toc140521311"/>
      <w:bookmarkEnd w:id="59"/>
      <w:r w:rsidRPr="00964D85">
        <w:rPr>
          <w:rFonts w:cs="Arial"/>
          <w:color w:val="000000" w:themeColor="text1"/>
          <w:sz w:val="22"/>
          <w:szCs w:val="22"/>
        </w:rPr>
        <w:t>Training and Test samples</w:t>
      </w:r>
      <w:bookmarkEnd w:id="60"/>
    </w:p>
    <w:p w14:paraId="3E10F4CB"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ratio of the training set to the test set was chosen to be 75/25, which means that 70% of the data was used for training the ML model and the remaining 25% was used for testing the model's performance. The “train_test_split” function from the “model_selection” module of the scikit-learn (sklearn) library was used to split the proximate and ultimate dataframe into training and testing sets for use in a machine learning model.</w:t>
      </w:r>
    </w:p>
    <w:p w14:paraId="03F64628" w14:textId="77777777" w:rsidR="00B33E8E" w:rsidRDefault="00B33E8E" w:rsidP="00B33E8E">
      <w:pPr>
        <w:jc w:val="both"/>
        <w:rPr>
          <w:rFonts w:ascii="Arial" w:hAnsi="Arial" w:cs="Arial"/>
          <w:color w:val="000000" w:themeColor="text1"/>
        </w:rPr>
      </w:pPr>
    </w:p>
    <w:p w14:paraId="2B8BE17F" w14:textId="512E9AD2"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reason for dividing the data into a training set and a test set is to evaluate the model's performance on data that it has not seen before. This is important because if the model performs well on the test set, it is likely to perform well on new, unseen data as well.</w:t>
      </w:r>
    </w:p>
    <w:p w14:paraId="30567F22" w14:textId="77777777" w:rsidR="00DE7D2F" w:rsidRPr="00252CA7" w:rsidRDefault="00DE7D2F" w:rsidP="00B33E8E">
      <w:pPr>
        <w:jc w:val="both"/>
        <w:rPr>
          <w:rFonts w:ascii="Arial" w:hAnsi="Arial" w:cs="Arial"/>
          <w:color w:val="000000" w:themeColor="text1"/>
        </w:rPr>
      </w:pPr>
    </w:p>
    <w:p w14:paraId="01580576"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Randomly dividing the data into a training set and a test set is important to ensure that the samples used for training and testing are representative of the entire dataset. This helps to avoid bias in the model's performance evaluation.</w:t>
      </w:r>
    </w:p>
    <w:p w14:paraId="09CEC2CC" w14:textId="77777777" w:rsidR="00B33E8E" w:rsidRPr="00252CA7" w:rsidRDefault="00B33E8E" w:rsidP="00B33E8E">
      <w:pPr>
        <w:jc w:val="both"/>
        <w:rPr>
          <w:rFonts w:ascii="Arial" w:hAnsi="Arial" w:cs="Arial"/>
          <w:color w:val="000000" w:themeColor="text1"/>
        </w:rPr>
      </w:pPr>
    </w:p>
    <w:p w14:paraId="3A6E804F" w14:textId="77777777" w:rsidR="00DE7D2F" w:rsidRPr="00964D85" w:rsidRDefault="00DE7D2F">
      <w:pPr>
        <w:pStyle w:val="Heading1"/>
        <w:numPr>
          <w:ilvl w:val="1"/>
          <w:numId w:val="11"/>
        </w:numPr>
        <w:spacing w:before="0" w:after="0"/>
        <w:ind w:left="360"/>
        <w:rPr>
          <w:rFonts w:cs="Arial"/>
          <w:color w:val="000000" w:themeColor="text1"/>
          <w:sz w:val="22"/>
          <w:szCs w:val="22"/>
        </w:rPr>
      </w:pPr>
      <w:bookmarkStart w:id="61" w:name="_heading=h.m3sjbmowyymj" w:colFirst="0" w:colLast="0"/>
      <w:bookmarkStart w:id="62" w:name="_Toc140521312"/>
      <w:bookmarkEnd w:id="61"/>
      <w:r w:rsidRPr="00964D85">
        <w:rPr>
          <w:rFonts w:cs="Arial"/>
          <w:color w:val="000000" w:themeColor="text1"/>
          <w:sz w:val="22"/>
          <w:szCs w:val="22"/>
        </w:rPr>
        <w:t>Overview of Machine Learning Algorithms</w:t>
      </w:r>
      <w:bookmarkEnd w:id="62"/>
    </w:p>
    <w:p w14:paraId="3C3D2E7A" w14:textId="7C11FFDB" w:rsidR="00DE7D2F" w:rsidRDefault="00DE7D2F" w:rsidP="00B33E8E">
      <w:pPr>
        <w:jc w:val="both"/>
        <w:rPr>
          <w:rFonts w:ascii="Arial" w:hAnsi="Arial" w:cs="Arial"/>
          <w:color w:val="000000" w:themeColor="text1"/>
        </w:rPr>
      </w:pPr>
      <w:r w:rsidRPr="00252CA7">
        <w:rPr>
          <w:rFonts w:ascii="Arial" w:hAnsi="Arial" w:cs="Arial"/>
          <w:color w:val="000000" w:themeColor="text1"/>
        </w:rPr>
        <w:t>In the present study, various machine learning approaches will be used to develop models for accurately predicting HHV from proximate and ultimate analysis using some open-source packages, Python Scikit learn and Tensorflow. The Scikit open-source package can be downloaded at https://scikit-learn.org/stable/. It is worth noting here that the hyper-parameter optimization of those approaches are carried out through trial-and-error tests with the help of Python Scikit  learn GridSearchCV tool.</w:t>
      </w:r>
      <w:r w:rsidR="00313F8D">
        <w:rPr>
          <w:rFonts w:ascii="Arial" w:hAnsi="Arial" w:cs="Arial"/>
          <w:color w:val="000000" w:themeColor="text1"/>
        </w:rPr>
        <w:t xml:space="preserve"> </w:t>
      </w:r>
    </w:p>
    <w:p w14:paraId="62F73B81" w14:textId="77777777" w:rsidR="00313F8D" w:rsidRDefault="00313F8D" w:rsidP="00B33E8E">
      <w:pPr>
        <w:jc w:val="both"/>
        <w:rPr>
          <w:rFonts w:ascii="Arial" w:hAnsi="Arial" w:cs="Arial"/>
          <w:color w:val="000000" w:themeColor="text1"/>
        </w:rPr>
      </w:pPr>
    </w:p>
    <w:p w14:paraId="22937150" w14:textId="5E7C55DF" w:rsidR="00313F8D" w:rsidRDefault="00313F8D" w:rsidP="00B33E8E">
      <w:pPr>
        <w:jc w:val="both"/>
        <w:rPr>
          <w:rFonts w:ascii="Arial" w:hAnsi="Arial" w:cs="Arial"/>
          <w:color w:val="000000" w:themeColor="text1"/>
        </w:rPr>
      </w:pPr>
      <w:r w:rsidRPr="00313F8D">
        <w:rPr>
          <w:rFonts w:ascii="Arial" w:hAnsi="Arial" w:cs="Arial"/>
          <w:color w:val="000000" w:themeColor="text1"/>
        </w:rPr>
        <w:t>Hyperparameter tuning for the ANN and Random Forest models was performed using GridSearchCV and trial-and-error optimization methods. Parameters such as the number of hidden neurons, learning rate, batch size, number of estimators, and maximum tree depth were optimized to achieve the best prediction performance.</w:t>
      </w:r>
    </w:p>
    <w:p w14:paraId="3C006220" w14:textId="77777777" w:rsidR="00B33E8E" w:rsidRPr="00252CA7" w:rsidRDefault="00B33E8E" w:rsidP="00B33E8E">
      <w:pPr>
        <w:jc w:val="both"/>
        <w:rPr>
          <w:rFonts w:ascii="Arial" w:hAnsi="Arial" w:cs="Arial"/>
          <w:color w:val="000000" w:themeColor="text1"/>
        </w:rPr>
      </w:pPr>
    </w:p>
    <w:p w14:paraId="122CE354" w14:textId="77777777" w:rsidR="00DE7D2F" w:rsidRPr="00964D85" w:rsidRDefault="00DE7D2F">
      <w:pPr>
        <w:pStyle w:val="Heading1"/>
        <w:numPr>
          <w:ilvl w:val="2"/>
          <w:numId w:val="11"/>
        </w:numPr>
        <w:spacing w:before="0" w:after="0"/>
        <w:ind w:left="360" w:hanging="360"/>
        <w:jc w:val="both"/>
        <w:rPr>
          <w:rFonts w:cs="Arial"/>
          <w:color w:val="000000" w:themeColor="text1"/>
          <w:sz w:val="22"/>
          <w:szCs w:val="22"/>
        </w:rPr>
      </w:pPr>
      <w:bookmarkStart w:id="63" w:name="_heading=h.erxa3j2psekf" w:colFirst="0" w:colLast="0"/>
      <w:bookmarkStart w:id="64" w:name="_Toc140521313"/>
      <w:bookmarkEnd w:id="63"/>
      <w:r w:rsidRPr="00964D85">
        <w:rPr>
          <w:rFonts w:cs="Arial"/>
          <w:color w:val="000000" w:themeColor="text1"/>
          <w:sz w:val="22"/>
          <w:szCs w:val="22"/>
        </w:rPr>
        <w:t>Artificial Neural Networks</w:t>
      </w:r>
      <w:bookmarkEnd w:id="64"/>
    </w:p>
    <w:p w14:paraId="2F33EBE6" w14:textId="77777777" w:rsidR="00B27853" w:rsidRDefault="00B27853" w:rsidP="00B33E8E">
      <w:pPr>
        <w:jc w:val="both"/>
        <w:rPr>
          <w:rFonts w:ascii="Arial" w:hAnsi="Arial" w:cs="Arial"/>
          <w:color w:val="000000" w:themeColor="text1"/>
        </w:rPr>
      </w:pPr>
    </w:p>
    <w:p w14:paraId="62A2DCE8" w14:textId="77777777" w:rsidR="00B27853" w:rsidRDefault="00B27853" w:rsidP="00B33E8E">
      <w:pPr>
        <w:jc w:val="both"/>
        <w:rPr>
          <w:rFonts w:ascii="Arial" w:hAnsi="Arial" w:cs="Arial"/>
          <w:color w:val="000000" w:themeColor="text1"/>
        </w:rPr>
      </w:pPr>
    </w:p>
    <w:p w14:paraId="71987A79" w14:textId="77777777" w:rsidR="00B27853" w:rsidRPr="00B27853" w:rsidRDefault="00B27853" w:rsidP="00B27853">
      <w:pPr>
        <w:jc w:val="both"/>
        <w:rPr>
          <w:rFonts w:ascii="Arial" w:hAnsi="Arial" w:cs="Arial"/>
          <w:color w:val="000000" w:themeColor="text1"/>
        </w:rPr>
      </w:pPr>
      <w:r w:rsidRPr="00B27853">
        <w:rPr>
          <w:rFonts w:ascii="Arial" w:hAnsi="Arial" w:cs="Arial"/>
          <w:color w:val="000000" w:themeColor="text1"/>
        </w:rPr>
        <w:lastRenderedPageBreak/>
        <w:t>Artificial neural networks (ANNs) represent one of the most advanced machine learning algorithms for modelling the relationship between input features and target outputs. Their principal advantages lie in their self-adaptive learning capability and strong generalisation performance when applied to previously unseen datasets (Shenbagaraj, 2021). In addition, ANNs function as universal function approximators, making them particularly effective for representing complex nonlinear relationships (Afolabi, 2020).</w:t>
      </w:r>
    </w:p>
    <w:p w14:paraId="019F573E" w14:textId="77777777" w:rsidR="00B27853" w:rsidRPr="00B27853" w:rsidRDefault="00B27853" w:rsidP="00B27853">
      <w:pPr>
        <w:jc w:val="both"/>
        <w:rPr>
          <w:rFonts w:ascii="Arial" w:hAnsi="Arial" w:cs="Arial"/>
          <w:color w:val="000000" w:themeColor="text1"/>
        </w:rPr>
      </w:pPr>
    </w:p>
    <w:p w14:paraId="266E1D08" w14:textId="58E28C8F" w:rsidR="00B27853" w:rsidRDefault="00B27853" w:rsidP="00B27853">
      <w:pPr>
        <w:jc w:val="both"/>
        <w:rPr>
          <w:rFonts w:ascii="Arial" w:hAnsi="Arial" w:cs="Arial"/>
          <w:color w:val="000000" w:themeColor="text1"/>
        </w:rPr>
      </w:pPr>
      <w:r w:rsidRPr="00B27853">
        <w:rPr>
          <w:rFonts w:ascii="Arial" w:hAnsi="Arial" w:cs="Arial"/>
          <w:color w:val="000000" w:themeColor="text1"/>
        </w:rPr>
        <w:t>In this study, the ANN architecture comprises a four-layer structure, consisting of one input layer, two hidden layers, and one output layer, as illustrated in Figure 15. The input layer incorporates nine neurons corresponding to the selected input features, namely fixed carbon, volatile matter, ash content, carbon, hydrogen, nitrogen, sulphur, and oxygen. The first and second hidden layers contain 128 and 32 neurons, respectively. It is important to note that the number of hidden neurons was determined empirically through a trial-and-error approach. The output layer consists of a single neuron representing the target variable, specifically the higher heating value (HHV).</w:t>
      </w:r>
    </w:p>
    <w:p w14:paraId="18B9CA4C" w14:textId="77777777" w:rsidR="00B27853" w:rsidRPr="00252CA7" w:rsidRDefault="00B27853" w:rsidP="00B27853">
      <w:pPr>
        <w:jc w:val="both"/>
        <w:rPr>
          <w:rFonts w:ascii="Arial" w:hAnsi="Arial" w:cs="Arial"/>
          <w:color w:val="000000" w:themeColor="text1"/>
        </w:rPr>
      </w:pPr>
    </w:p>
    <w:p w14:paraId="3B232A9D"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0" distB="0" distL="114300" distR="114300" wp14:anchorId="1F8E9D98" wp14:editId="3D40911B">
            <wp:extent cx="3444278" cy="2429243"/>
            <wp:effectExtent l="0" t="0" r="0" b="0"/>
            <wp:docPr id="1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444278" cy="2429243"/>
                    </a:xfrm>
                    <a:prstGeom prst="rect">
                      <a:avLst/>
                    </a:prstGeom>
                    <a:ln/>
                  </pic:spPr>
                </pic:pic>
              </a:graphicData>
            </a:graphic>
          </wp:inline>
        </w:drawing>
      </w:r>
    </w:p>
    <w:p w14:paraId="4F26A13A" w14:textId="5E5DB438"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 </w:t>
      </w:r>
      <w:r w:rsidR="00A97ACF">
        <w:rPr>
          <w:rFonts w:ascii="Arial" w:hAnsi="Arial" w:cs="Arial"/>
          <w:b/>
          <w:bCs/>
          <w:color w:val="000000" w:themeColor="text1"/>
        </w:rPr>
        <w:t>15</w:t>
      </w:r>
      <w:r w:rsidRPr="00B33E8E">
        <w:rPr>
          <w:rFonts w:ascii="Arial" w:hAnsi="Arial" w:cs="Arial"/>
          <w:b/>
          <w:bCs/>
          <w:color w:val="000000" w:themeColor="text1"/>
        </w:rPr>
        <w:t>. The schematic topological architecture of the three-layers ANN model ((Afolabi et al., 2022))</w:t>
      </w:r>
    </w:p>
    <w:p w14:paraId="2718B3A5" w14:textId="77777777" w:rsidR="00B33E8E" w:rsidRDefault="00B33E8E" w:rsidP="00DE7D2F">
      <w:pPr>
        <w:rPr>
          <w:rFonts w:ascii="Arial" w:hAnsi="Arial" w:cs="Arial"/>
          <w:color w:val="000000" w:themeColor="text1"/>
        </w:rPr>
      </w:pPr>
    </w:p>
    <w:p w14:paraId="1803FFE5" w14:textId="686FE10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ANN model is detailed as follows;</w:t>
      </w:r>
    </w:p>
    <w:p w14:paraId="6C7CB52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a representative sample of biomass samples with their corresponding HHV values. The dataset should cover a wide range of biomass types and characteristics to ensure the ANN's accuracy across different inputs.</w:t>
      </w:r>
    </w:p>
    <w:p w14:paraId="073E8585"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Clean and preprocess the dataset to ensure its quality and compatibility with the ANN. This step may involve removing duplicates, handling missing values, and normalising or standardising the input features and target variable.</w:t>
      </w:r>
    </w:p>
    <w:p w14:paraId="0494E59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Dataset Split:</w:t>
      </w:r>
      <w:r w:rsidRPr="00252CA7">
        <w:rPr>
          <w:rFonts w:ascii="Arial" w:hAnsi="Arial" w:cs="Arial"/>
          <w:color w:val="000000" w:themeColor="text1"/>
        </w:rPr>
        <w:t xml:space="preserve"> Divide the dataset into training, validation, and testing sets. The training set will be used to train the ANN, the validation set to fine-tune its parameters, and the testing set to evaluate its performance on unseen data.</w:t>
      </w:r>
    </w:p>
    <w:p w14:paraId="5F393E2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Architecture Design:</w:t>
      </w:r>
      <w:r w:rsidRPr="00252CA7">
        <w:rPr>
          <w:rFonts w:ascii="Arial" w:hAnsi="Arial" w:cs="Arial"/>
          <w:color w:val="000000" w:themeColor="text1"/>
        </w:rPr>
        <w:t xml:space="preserve"> Determine the architecture of the ANN, including the number of layers, the number of neurons in each layer, and the activation functions to be used. This design should consider the complexity of the problem and the size of the dataset.</w:t>
      </w:r>
    </w:p>
    <w:p w14:paraId="3213408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Train the ANN using the training set. This involves feeding the input features of the biomass samples into the network, propagating the signals forward, calculating the prediction, comparing it with the actual HHV values, and adjusting the network's weights and biases through a process called backpropagation. This step is repeated iteratively until the network's performance converges to an optimal level.</w:t>
      </w:r>
    </w:p>
    <w:p w14:paraId="279E6DE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Evaluation:</w:t>
      </w:r>
      <w:r w:rsidRPr="00252CA7">
        <w:rPr>
          <w:rFonts w:ascii="Arial" w:hAnsi="Arial" w:cs="Arial"/>
          <w:color w:val="000000" w:themeColor="text1"/>
        </w:rPr>
        <w:t xml:space="preserve"> Evaluate the trained ANN using the testing set. Calculate performance metrics, such as Mean Absolute Error (MAE), Root Mean Squared Error (RMSE), and coefficient of determination (R-squared), to assess how well the model predicts the HHV values of unseen biomass samples.</w:t>
      </w:r>
    </w:p>
    <w:p w14:paraId="03EA227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lastRenderedPageBreak/>
        <w:t>Model Deployment:</w:t>
      </w:r>
      <w:r w:rsidRPr="00252CA7">
        <w:rPr>
          <w:rFonts w:ascii="Arial" w:hAnsi="Arial" w:cs="Arial"/>
          <w:color w:val="000000" w:themeColor="text1"/>
        </w:rPr>
        <w:t xml:space="preserve"> Once satisfied with the ANN's performance, it can be deployed for predicting the HHV of biomass. New biomass samples can be fed into the trained network, and it will provide an estimate of their HHV based on the learned patterns from the training data.</w:t>
      </w:r>
    </w:p>
    <w:p w14:paraId="4839CF68"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Monitoring and Updating:</w:t>
      </w:r>
      <w:r w:rsidRPr="00252CA7">
        <w:rPr>
          <w:rFonts w:ascii="Arial" w:hAnsi="Arial" w:cs="Arial"/>
          <w:color w:val="000000" w:themeColor="text1"/>
        </w:rPr>
        <w:t xml:space="preserve"> Continuously monitor the performance of the deployed ANN and update it periodically with new data to maintain its accuracy and adapt to any changes in the biomass characteristics.</w:t>
      </w:r>
    </w:p>
    <w:p w14:paraId="6CD692E2" w14:textId="77777777" w:rsidR="00DE7D2F" w:rsidRPr="00964D85" w:rsidRDefault="00DE7D2F">
      <w:pPr>
        <w:pStyle w:val="Heading1"/>
        <w:numPr>
          <w:ilvl w:val="2"/>
          <w:numId w:val="11"/>
        </w:numPr>
        <w:spacing w:after="160"/>
        <w:ind w:left="360" w:hanging="360"/>
        <w:jc w:val="both"/>
        <w:rPr>
          <w:rFonts w:cs="Arial"/>
          <w:color w:val="000000" w:themeColor="text1"/>
          <w:sz w:val="22"/>
          <w:szCs w:val="22"/>
        </w:rPr>
      </w:pPr>
      <w:bookmarkStart w:id="65" w:name="_heading=h.c4iulujbkxve" w:colFirst="0" w:colLast="0"/>
      <w:bookmarkStart w:id="66" w:name="_Toc140521314"/>
      <w:bookmarkEnd w:id="65"/>
      <w:r w:rsidRPr="00964D85">
        <w:rPr>
          <w:rFonts w:cs="Arial"/>
          <w:color w:val="000000" w:themeColor="text1"/>
          <w:sz w:val="22"/>
          <w:szCs w:val="22"/>
        </w:rPr>
        <w:t>Random Forest</w:t>
      </w:r>
      <w:bookmarkEnd w:id="66"/>
    </w:p>
    <w:p w14:paraId="7ECDDA97" w14:textId="5891C001"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A random forest (RF) is a form of tree-based ensemble ML algorithm used for predicting continuous values. Random forest is an ensemble learning approach for classification and regression that operates by constructing a multitude of decision trees for training samples and obtaining the output signals that is the dominant mode of the classes and the average prediction of each tree for classification and regression, respectively. The figure </w:t>
      </w:r>
      <w:r w:rsidR="00A97ACF">
        <w:rPr>
          <w:rFonts w:ascii="Arial" w:hAnsi="Arial" w:cs="Arial"/>
          <w:color w:val="000000" w:themeColor="text1"/>
        </w:rPr>
        <w:t>16</w:t>
      </w:r>
      <w:r w:rsidRPr="00252CA7">
        <w:rPr>
          <w:rFonts w:ascii="Arial" w:hAnsi="Arial" w:cs="Arial"/>
          <w:color w:val="000000" w:themeColor="text1"/>
        </w:rPr>
        <w:t xml:space="preserve"> shows the schematic topological architecture of the random forest approach. It operates by constructing multiple decision trees for training features and obtaining the target values as an average prediction of each tree (Biau, 2015). The training datasets, which consist of ‘n’ total samples and ‘m’ features, are subjected to bootstrap sampling. In the sampling, a number of sample sets (n) are randomly generated from the original training datasets. </w:t>
      </w:r>
    </w:p>
    <w:p w14:paraId="3A47C1AD" w14:textId="77777777" w:rsidR="00DE7D2F" w:rsidRPr="00252CA7" w:rsidRDefault="00DE7D2F" w:rsidP="00DE7D2F">
      <w:pPr>
        <w:rPr>
          <w:rFonts w:ascii="Arial" w:hAnsi="Arial" w:cs="Arial"/>
          <w:color w:val="000000" w:themeColor="text1"/>
        </w:rPr>
      </w:pPr>
    </w:p>
    <w:p w14:paraId="6DDDD632"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10B9E2F" wp14:editId="74086C24">
            <wp:extent cx="4784651" cy="1733107"/>
            <wp:effectExtent l="0" t="0" r="0" b="0"/>
            <wp:docPr id="15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8"/>
                    <a:srcRect/>
                    <a:stretch>
                      <a:fillRect/>
                    </a:stretch>
                  </pic:blipFill>
                  <pic:spPr>
                    <a:xfrm>
                      <a:off x="0" y="0"/>
                      <a:ext cx="4801271" cy="1739127"/>
                    </a:xfrm>
                    <a:prstGeom prst="rect">
                      <a:avLst/>
                    </a:prstGeom>
                    <a:ln/>
                  </pic:spPr>
                </pic:pic>
              </a:graphicData>
            </a:graphic>
          </wp:inline>
        </w:drawing>
      </w:r>
    </w:p>
    <w:p w14:paraId="726F3FE3" w14:textId="74199F6E"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16</w:t>
      </w:r>
      <w:r w:rsidRPr="00B33E8E">
        <w:rPr>
          <w:rFonts w:ascii="Arial" w:hAnsi="Arial" w:cs="Arial"/>
          <w:b/>
          <w:bCs/>
          <w:color w:val="000000" w:themeColor="text1"/>
        </w:rPr>
        <w:t>: The schematic topological architecture of the random forest approach ((Afolabi et al., 2022))</w:t>
      </w:r>
    </w:p>
    <w:p w14:paraId="0FA16C1E" w14:textId="77777777" w:rsidR="00B33E8E" w:rsidRDefault="00B33E8E" w:rsidP="00DE7D2F">
      <w:pPr>
        <w:rPr>
          <w:rFonts w:ascii="Arial" w:hAnsi="Arial" w:cs="Arial"/>
          <w:color w:val="000000" w:themeColor="text1"/>
        </w:rPr>
      </w:pPr>
    </w:p>
    <w:p w14:paraId="30F2CDE5" w14:textId="6E640F0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Random Forest model is as follows;</w:t>
      </w:r>
    </w:p>
    <w:p w14:paraId="6DD1895A"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samples of biomass along with their corresponding Higher Heating Value measurements. The dataset should also contain relevant features or variables that can potentially influence the HHV, such as moisture content, elemental composition, and physical characteristics of the biomass.</w:t>
      </w:r>
    </w:p>
    <w:p w14:paraId="1A8F469F"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Perform necessary preprocessing steps on the dataset. This may involve handling missing values, handling categorical variables (if any), and scaling or normalising numeric features.</w:t>
      </w:r>
    </w:p>
    <w:p w14:paraId="0594FE3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Feature Selection:</w:t>
      </w:r>
      <w:r w:rsidRPr="00252CA7">
        <w:rPr>
          <w:rFonts w:ascii="Arial" w:hAnsi="Arial" w:cs="Arial"/>
          <w:color w:val="000000" w:themeColor="text1"/>
        </w:rPr>
        <w:t xml:space="preserve"> Analyse the dataset and select the most relevant features that are likely to have a significant impact on predicting HHV. This can be done using techniques such as correlation analysis or feature importance ranking.</w:t>
      </w:r>
    </w:p>
    <w:p w14:paraId="3FE9E750"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Dataset Split:</w:t>
      </w:r>
      <w:r w:rsidRPr="00252CA7">
        <w:rPr>
          <w:rFonts w:ascii="Arial" w:hAnsi="Arial" w:cs="Arial"/>
          <w:color w:val="000000" w:themeColor="text1"/>
        </w:rPr>
        <w:t xml:space="preserve"> Divide the dataset into training and testing subsets. The training set will be used to train the Random Forest model, while the testing set will be used to evaluate its performance.</w:t>
      </w:r>
    </w:p>
    <w:p w14:paraId="0B5BC5A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Train a Random Forest model using the training dataset. The Random Forest algorithm constructs an ensemble of decision trees by randomly selecting subsets of features and samples. Each decision tree in the ensemble is trained independently on different subsets of the training data.</w:t>
      </w:r>
    </w:p>
    <w:p w14:paraId="5ABA461F"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 xml:space="preserve">Model Evaluation: </w:t>
      </w:r>
      <w:r w:rsidRPr="00252CA7">
        <w:rPr>
          <w:rFonts w:ascii="Arial" w:hAnsi="Arial" w:cs="Arial"/>
          <w:color w:val="000000" w:themeColor="text1"/>
        </w:rPr>
        <w:t>Evaluate the trained Random Forest model using the testing dataset. Calculate relevant evaluation metrics such as mean squared error (MSE) or R-squared to assess the model's predictive performance.</w:t>
      </w:r>
    </w:p>
    <w:p w14:paraId="372104C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Optimization:</w:t>
      </w:r>
      <w:r w:rsidRPr="00252CA7">
        <w:rPr>
          <w:rFonts w:ascii="Arial" w:hAnsi="Arial" w:cs="Arial"/>
          <w:color w:val="000000" w:themeColor="text1"/>
        </w:rPr>
        <w:t xml:space="preserve"> If the model performance is not satisfactory, consider optimising the model further by adjusting hyperparameters or exploring different feature engineering techniques.</w:t>
      </w:r>
    </w:p>
    <w:p w14:paraId="08C1274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lastRenderedPageBreak/>
        <w:t>Prediction:</w:t>
      </w:r>
      <w:r w:rsidRPr="00252CA7">
        <w:rPr>
          <w:rFonts w:ascii="Arial" w:hAnsi="Arial" w:cs="Arial"/>
          <w:color w:val="000000" w:themeColor="text1"/>
        </w:rPr>
        <w:t xml:space="preserve"> Once the Random Forest model is deemed satisfactory, it can be used to make predictions on new, unseen biomass samples. Provide the relevant input features for the biomass sample, and the model will predict the corresponding Higher Heating Value.</w:t>
      </w:r>
    </w:p>
    <w:p w14:paraId="750B9DB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Deployment:</w:t>
      </w:r>
      <w:r w:rsidRPr="00252CA7">
        <w:rPr>
          <w:rFonts w:ascii="Arial" w:hAnsi="Arial" w:cs="Arial"/>
          <w:color w:val="000000" w:themeColor="text1"/>
        </w:rPr>
        <w:t xml:space="preserve"> Finally, deploy the trained Random Forest model into a production environment, where it can be used to predict the Higher Heating Value of biomass samples in real-time applications.</w:t>
      </w:r>
    </w:p>
    <w:p w14:paraId="59AF2D2E"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67" w:name="_heading=h.i1lksg9973hp" w:colFirst="0" w:colLast="0"/>
      <w:bookmarkStart w:id="68" w:name="_Toc140521315"/>
      <w:bookmarkEnd w:id="67"/>
      <w:r w:rsidRPr="00964D85">
        <w:rPr>
          <w:rFonts w:cs="Arial"/>
          <w:color w:val="000000" w:themeColor="text1"/>
          <w:sz w:val="22"/>
          <w:szCs w:val="22"/>
        </w:rPr>
        <w:t>Linear Regression</w:t>
      </w:r>
      <w:bookmarkEnd w:id="68"/>
    </w:p>
    <w:p w14:paraId="25B30E9C" w14:textId="55B3E3E3" w:rsidR="00E93B3A" w:rsidRPr="00252CA7" w:rsidRDefault="00DE7D2F" w:rsidP="00B33E8E">
      <w:pPr>
        <w:jc w:val="both"/>
        <w:rPr>
          <w:rFonts w:ascii="Arial" w:hAnsi="Arial" w:cs="Arial"/>
          <w:color w:val="000000" w:themeColor="text1"/>
        </w:rPr>
      </w:pPr>
      <w:r w:rsidRPr="00252CA7">
        <w:rPr>
          <w:rFonts w:ascii="Arial" w:hAnsi="Arial" w:cs="Arial"/>
          <w:color w:val="000000" w:themeColor="text1"/>
        </w:rPr>
        <w:t>Linear regression is a supervised learning algorithm used for predicting a continuous output variable based on one or more input variables. It establishes a linear relationship between the dependent variable and one or more independent variables by fitting a best-fit line through the data points. The goal of linear regression is to find the line that best represents the relationship between the dependent variable and independent variables, in a way that minimises the distance between the predicted and actual values of the dependent variable.</w:t>
      </w:r>
    </w:p>
    <w:p w14:paraId="34DD2483"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In linear regression, the dependent variable is also known as the response variable or output variable, while the independent variables are known as the predictor variables or input variables. The best-fit line is represented by an equation of the form:</w:t>
      </w:r>
    </w:p>
    <w:p w14:paraId="31B5769C" w14:textId="77777777" w:rsidR="00E93B3A" w:rsidRDefault="00E93B3A" w:rsidP="00B33E8E">
      <w:pPr>
        <w:jc w:val="both"/>
        <w:rPr>
          <w:rFonts w:ascii="Arial" w:hAnsi="Arial" w:cs="Arial"/>
          <w:color w:val="000000" w:themeColor="text1"/>
        </w:rPr>
      </w:pPr>
    </w:p>
    <w:p w14:paraId="22CE8098" w14:textId="2133AEA1"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Y = a + bX</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14</w:t>
      </w:r>
      <w:r w:rsidRPr="00252CA7">
        <w:rPr>
          <w:rFonts w:ascii="Arial" w:hAnsi="Arial" w:cs="Arial"/>
          <w:color w:val="000000" w:themeColor="text1"/>
        </w:rPr>
        <w:t>)</w:t>
      </w:r>
    </w:p>
    <w:p w14:paraId="55A74496" w14:textId="77777777" w:rsidR="00E93B3A" w:rsidRDefault="00E93B3A" w:rsidP="00B33E8E">
      <w:pPr>
        <w:jc w:val="both"/>
        <w:rPr>
          <w:rFonts w:ascii="Arial" w:hAnsi="Arial" w:cs="Arial"/>
          <w:color w:val="000000" w:themeColor="text1"/>
        </w:rPr>
      </w:pPr>
    </w:p>
    <w:p w14:paraId="2FEE88DF" w14:textId="42B58B05" w:rsidR="004D436E" w:rsidRDefault="00DE7D2F" w:rsidP="00B33E8E">
      <w:pPr>
        <w:jc w:val="both"/>
        <w:rPr>
          <w:rFonts w:ascii="Arial" w:hAnsi="Arial" w:cs="Arial"/>
          <w:color w:val="000000" w:themeColor="text1"/>
        </w:rPr>
      </w:pPr>
      <w:r w:rsidRPr="00252CA7">
        <w:rPr>
          <w:rFonts w:ascii="Arial" w:hAnsi="Arial" w:cs="Arial"/>
          <w:color w:val="000000" w:themeColor="text1"/>
        </w:rPr>
        <w:t>where Y is the dependent variable, X is the independent variable, a is the intercept, and b is the slope of the line. The slope of the line represents the change in the dependent variable for a unit change in the independent variable, while the intercept represents the value of the dependent variable when the independent variable is equal to zero.</w:t>
      </w:r>
    </w:p>
    <w:p w14:paraId="107A1C44" w14:textId="77777777" w:rsidR="004D436E" w:rsidRDefault="004D436E" w:rsidP="00B33E8E">
      <w:pPr>
        <w:jc w:val="both"/>
        <w:rPr>
          <w:rFonts w:ascii="Arial" w:hAnsi="Arial" w:cs="Arial"/>
          <w:color w:val="000000" w:themeColor="text1"/>
        </w:rPr>
      </w:pPr>
    </w:p>
    <w:p w14:paraId="3397C65E" w14:textId="0E4CB5FE"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Linear Regression model is as follows;</w:t>
      </w:r>
    </w:p>
    <w:p w14:paraId="60A1CB6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samples of biomass with their corresponding HHV values. The dataset should ideally contain a sufficient number of observations to represent a diverse range of biomass samples.</w:t>
      </w:r>
    </w:p>
    <w:p w14:paraId="3A0524A8"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Clean the dataset by removing any missing values, outliers, or irrelevant variables. Perform data transformations if needed, such as scaling or normalisation, to ensure that the data is suitable for linear regression analysis.</w:t>
      </w:r>
    </w:p>
    <w:p w14:paraId="725C0CA2"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Feature Selection:</w:t>
      </w:r>
      <w:r w:rsidRPr="00252CA7">
        <w:rPr>
          <w:rFonts w:ascii="Arial" w:hAnsi="Arial" w:cs="Arial"/>
          <w:color w:val="000000" w:themeColor="text1"/>
        </w:rPr>
        <w:t xml:space="preserve"> Identify the relevant features (independent variables) that may contribute to predicting the HHV. These features can include physical and chemical properties of the biomass, such as moisture content, ash content, volatile matter, and elemental composition.</w:t>
      </w:r>
    </w:p>
    <w:p w14:paraId="505D874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Split the Data:</w:t>
      </w:r>
      <w:r w:rsidRPr="00252CA7">
        <w:rPr>
          <w:rFonts w:ascii="Arial" w:hAnsi="Arial" w:cs="Arial"/>
          <w:color w:val="000000" w:themeColor="text1"/>
        </w:rPr>
        <w:t xml:space="preserve"> Split the dataset into two subsets: a training set and a testing set. The training set will be used to train the linear regression model, while the testing set will be used to evaluate its performance.</w:t>
      </w:r>
    </w:p>
    <w:p w14:paraId="2F1AB1B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Apply linear regression to the training data, using the selected features as input variables and the HHV as the target variable. The linear regression model will learn the relationship between the input variables and the target variable through an optimization process.</w:t>
      </w:r>
    </w:p>
    <w:p w14:paraId="2E21736E"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Evaluation:</w:t>
      </w:r>
      <w:r w:rsidRPr="00252CA7">
        <w:rPr>
          <w:rFonts w:ascii="Arial" w:hAnsi="Arial" w:cs="Arial"/>
          <w:color w:val="000000" w:themeColor="text1"/>
        </w:rPr>
        <w:t xml:space="preserve"> Assess the performance of the trained model using the testing set. Calculate evaluation metrics such as mean squared error (MSE), root mean squared error (RMSE), or R-squared to measure how well the model predicts the HHV values.</w:t>
      </w:r>
    </w:p>
    <w:p w14:paraId="54561FA5"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Improvement:</w:t>
      </w:r>
      <w:r w:rsidRPr="00252CA7">
        <w:rPr>
          <w:rFonts w:ascii="Arial" w:hAnsi="Arial" w:cs="Arial"/>
          <w:color w:val="000000" w:themeColor="text1"/>
        </w:rPr>
        <w:t xml:space="preserve"> If the model's performance is not satisfactory, consider refining the model. This can involve adjusting the feature selection, incorporating additional relevant variables, or exploring more advanced regression techniques.</w:t>
      </w:r>
    </w:p>
    <w:p w14:paraId="0708F13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Deployment:</w:t>
      </w:r>
      <w:r w:rsidRPr="00252CA7">
        <w:rPr>
          <w:rFonts w:ascii="Arial" w:hAnsi="Arial" w:cs="Arial"/>
          <w:color w:val="000000" w:themeColor="text1"/>
        </w:rPr>
        <w:t xml:space="preserve"> Once you are satisfied with the model's performance, deploy it to make predictions on new, unseen biomass samples. Use the trained model to predict the HHV values of biomass based on their input features.</w:t>
      </w:r>
    </w:p>
    <w:p w14:paraId="7D1B3AAC" w14:textId="77777777" w:rsidR="00DE7D2F" w:rsidRDefault="00DE7D2F" w:rsidP="00B33E8E">
      <w:pPr>
        <w:jc w:val="both"/>
        <w:rPr>
          <w:rFonts w:ascii="Arial" w:hAnsi="Arial" w:cs="Arial"/>
          <w:color w:val="000000" w:themeColor="text1"/>
        </w:rPr>
      </w:pPr>
      <w:r w:rsidRPr="00252CA7">
        <w:rPr>
          <w:rFonts w:ascii="Arial" w:hAnsi="Arial" w:cs="Arial"/>
          <w:b/>
          <w:color w:val="000000" w:themeColor="text1"/>
        </w:rPr>
        <w:t>Model Maintenance and Monitoring:</w:t>
      </w:r>
      <w:r w:rsidRPr="00252CA7">
        <w:rPr>
          <w:rFonts w:ascii="Arial" w:hAnsi="Arial" w:cs="Arial"/>
          <w:color w:val="000000" w:themeColor="text1"/>
        </w:rPr>
        <w:t xml:space="preserve"> Regularly monitor the model's performance over time and update it as needed. As new data becomes available, retrain the model to incorporate the latest information and improve its prediction capabilities.</w:t>
      </w:r>
    </w:p>
    <w:p w14:paraId="4B967FBB" w14:textId="33274A17" w:rsidR="00313F8D" w:rsidRPr="00964D85" w:rsidRDefault="00313F8D" w:rsidP="00313F8D">
      <w:pPr>
        <w:pStyle w:val="Heading1"/>
        <w:numPr>
          <w:ilvl w:val="2"/>
          <w:numId w:val="11"/>
        </w:numPr>
        <w:spacing w:after="160"/>
        <w:ind w:left="360" w:hanging="360"/>
        <w:rPr>
          <w:rFonts w:cs="Arial"/>
          <w:color w:val="000000" w:themeColor="text1"/>
          <w:sz w:val="22"/>
          <w:szCs w:val="22"/>
        </w:rPr>
      </w:pPr>
      <w:r>
        <w:rPr>
          <w:rFonts w:cs="Arial"/>
          <w:color w:val="000000" w:themeColor="text1"/>
          <w:sz w:val="22"/>
          <w:szCs w:val="22"/>
        </w:rPr>
        <w:lastRenderedPageBreak/>
        <w:t>Cross-Validation Procedure</w:t>
      </w:r>
    </w:p>
    <w:p w14:paraId="27484A93" w14:textId="77777777" w:rsidR="00313F8D" w:rsidRPr="00313F8D" w:rsidRDefault="00313F8D" w:rsidP="00313F8D">
      <w:pPr>
        <w:pStyle w:val="NormalWeb"/>
        <w:jc w:val="both"/>
        <w:rPr>
          <w:rFonts w:ascii="Arial" w:hAnsi="Arial" w:cs="Arial"/>
          <w:sz w:val="20"/>
          <w:szCs w:val="20"/>
        </w:rPr>
      </w:pPr>
      <w:r w:rsidRPr="00313F8D">
        <w:rPr>
          <w:rFonts w:ascii="Arial" w:hAnsi="Arial" w:cs="Arial"/>
          <w:sz w:val="20"/>
          <w:szCs w:val="20"/>
        </w:rPr>
        <w:t>To improve the robustness, reliability, and generalizability of the developed machine learning models, a k-fold cross-validation technique was implemented during model evaluation. In this study, a 5-fold cross-validation approach was adopted, where the complete dataset was randomly divided into five equal subsets (folds). During each iteration, four subsets were used for training the model, while the remaining subset was used for validation. This process was repeated five times such that each subset served as the validation set exactly once.</w:t>
      </w:r>
    </w:p>
    <w:p w14:paraId="1B61B2FC" w14:textId="77777777" w:rsidR="00313F8D" w:rsidRPr="00313F8D" w:rsidRDefault="00313F8D" w:rsidP="00313F8D">
      <w:pPr>
        <w:pStyle w:val="NormalWeb"/>
        <w:jc w:val="both"/>
        <w:rPr>
          <w:rFonts w:ascii="Arial" w:hAnsi="Arial" w:cs="Arial"/>
          <w:sz w:val="20"/>
          <w:szCs w:val="20"/>
        </w:rPr>
      </w:pPr>
      <w:r w:rsidRPr="00313F8D">
        <w:rPr>
          <w:rFonts w:ascii="Arial" w:hAnsi="Arial" w:cs="Arial"/>
          <w:sz w:val="20"/>
          <w:szCs w:val="20"/>
        </w:rPr>
        <w:t>The use of cross-validation helps to minimize model bias and reduce the possibility of overfitting by ensuring that the developed models are tested on different portions of the dataset. It also provides a more reliable assessment of the predictive performance of the models compared to a single train-test split approach. The final performance metrics, including Mean Absolute Error (MAE), Mean Squared Error (MSE), Root Mean Squared Error (RMSE), and coefficient of determination (R²), were obtained by averaging the results across all folds.</w:t>
      </w:r>
    </w:p>
    <w:p w14:paraId="70280D63" w14:textId="63A10F93" w:rsidR="00313F8D" w:rsidRPr="00313F8D" w:rsidRDefault="00313F8D" w:rsidP="00313F8D">
      <w:pPr>
        <w:pStyle w:val="NormalWeb"/>
        <w:jc w:val="both"/>
        <w:rPr>
          <w:rFonts w:ascii="Arial" w:hAnsi="Arial" w:cs="Arial"/>
          <w:sz w:val="20"/>
          <w:szCs w:val="20"/>
        </w:rPr>
      </w:pPr>
      <w:r w:rsidRPr="00313F8D">
        <w:rPr>
          <w:rFonts w:ascii="Arial" w:hAnsi="Arial" w:cs="Arial"/>
          <w:sz w:val="20"/>
          <w:szCs w:val="20"/>
        </w:rPr>
        <w:t>The cross-validation procedure further enhanced the stability and consistency of the Artificial Neural Network (ANN), Random Forest, and Linear Regression models developed in this study. This approach ensured that the predictive capability of the models was not dependent on a particular random selection of training and testing data, thereby improving the credibility and reproducibility of the results obtained for higher heating value (HHV) prediction of torrefied coconut shell biomass.</w:t>
      </w:r>
    </w:p>
    <w:p w14:paraId="18A6DB50" w14:textId="77777777" w:rsidR="00DE7D2F" w:rsidRPr="00964D85" w:rsidRDefault="00DE7D2F">
      <w:pPr>
        <w:pStyle w:val="Heading1"/>
        <w:numPr>
          <w:ilvl w:val="1"/>
          <w:numId w:val="11"/>
        </w:numPr>
        <w:spacing w:before="0" w:after="0" w:line="276" w:lineRule="auto"/>
        <w:ind w:left="360"/>
        <w:rPr>
          <w:rFonts w:cs="Arial"/>
          <w:color w:val="000000" w:themeColor="text1"/>
          <w:sz w:val="22"/>
          <w:szCs w:val="22"/>
        </w:rPr>
      </w:pPr>
      <w:bookmarkStart w:id="69" w:name="_heading=h.81ke8z7btdmp" w:colFirst="0" w:colLast="0"/>
      <w:bookmarkStart w:id="70" w:name="_Toc140521316"/>
      <w:bookmarkEnd w:id="69"/>
      <w:r w:rsidRPr="00964D85">
        <w:rPr>
          <w:rFonts w:cs="Arial"/>
          <w:color w:val="000000" w:themeColor="text1"/>
          <w:sz w:val="22"/>
          <w:szCs w:val="22"/>
        </w:rPr>
        <w:t>Empirical correlations</w:t>
      </w:r>
      <w:bookmarkEnd w:id="70"/>
    </w:p>
    <w:p w14:paraId="5438453B" w14:textId="77777777" w:rsidR="00DE7D2F" w:rsidRPr="00252CA7" w:rsidRDefault="00DE7D2F" w:rsidP="00B33E8E">
      <w:pPr>
        <w:spacing w:line="276" w:lineRule="auto"/>
        <w:jc w:val="both"/>
        <w:rPr>
          <w:rFonts w:ascii="Arial" w:hAnsi="Arial" w:cs="Arial"/>
          <w:color w:val="000000" w:themeColor="text1"/>
        </w:rPr>
      </w:pPr>
      <w:r w:rsidRPr="00252CA7">
        <w:rPr>
          <w:rFonts w:ascii="Arial" w:hAnsi="Arial" w:cs="Arial"/>
          <w:color w:val="000000" w:themeColor="text1"/>
        </w:rPr>
        <w:t>In the present study, the empirical linear and non-linear correlations are also carried out for comparisons with the modelling results of machine learning approaches. For the proximate and ultimate analysis, the correlations are expressed as the following respectively,</w:t>
      </w:r>
    </w:p>
    <w:p w14:paraId="0DC4D8FB" w14:textId="08E7A574" w:rsidR="00DE7D2F" w:rsidRPr="00252CA7" w:rsidRDefault="00DE7D2F" w:rsidP="00B33E8E">
      <w:pPr>
        <w:widowControl w:val="0"/>
        <w:tabs>
          <w:tab w:val="left" w:pos="4908"/>
        </w:tabs>
        <w:jc w:val="both"/>
        <w:rPr>
          <w:rFonts w:ascii="Arial" w:hAnsi="Arial" w:cs="Arial"/>
          <w:color w:val="000000" w:themeColor="text1"/>
        </w:rPr>
      </w:pPr>
      <w:r w:rsidRPr="00252CA7">
        <w:rPr>
          <w:rFonts w:ascii="Arial" w:hAnsi="Arial" w:cs="Arial"/>
          <w:color w:val="000000" w:themeColor="text1"/>
        </w:rPr>
        <w:t>HHV = a</w:t>
      </w:r>
      <w:r w:rsidRPr="00252CA7">
        <w:rPr>
          <w:rFonts w:ascii="Arial" w:hAnsi="Arial" w:cs="Arial"/>
          <w:color w:val="000000" w:themeColor="text1"/>
          <w:vertAlign w:val="subscript"/>
        </w:rPr>
        <w:t>0</w:t>
      </w:r>
      <w:r w:rsidRPr="00252CA7">
        <w:rPr>
          <w:rFonts w:ascii="Arial" w:hAnsi="Arial" w:cs="Arial"/>
          <w:color w:val="000000" w:themeColor="text1"/>
        </w:rPr>
        <w:t xml:space="preserve"> + a</w:t>
      </w:r>
      <w:r w:rsidRPr="00252CA7">
        <w:rPr>
          <w:rFonts w:ascii="Arial" w:hAnsi="Arial" w:cs="Arial"/>
          <w:color w:val="000000" w:themeColor="text1"/>
          <w:vertAlign w:val="subscript"/>
        </w:rPr>
        <w:t>1</w:t>
      </w:r>
      <w:r w:rsidRPr="00252CA7">
        <w:rPr>
          <w:rFonts w:ascii="Arial" w:hAnsi="Arial" w:cs="Arial"/>
          <w:color w:val="000000" w:themeColor="text1"/>
        </w:rPr>
        <w:t xml:space="preserve"> x X</w:t>
      </w:r>
      <w:r w:rsidRPr="00252CA7">
        <w:rPr>
          <w:rFonts w:ascii="Arial" w:hAnsi="Arial" w:cs="Arial"/>
          <w:color w:val="000000" w:themeColor="text1"/>
          <w:vertAlign w:val="subscript"/>
        </w:rPr>
        <w:t>FC</w:t>
      </w:r>
      <w:r w:rsidRPr="00252CA7">
        <w:rPr>
          <w:rFonts w:ascii="Arial" w:hAnsi="Arial" w:cs="Arial"/>
          <w:color w:val="000000" w:themeColor="text1"/>
        </w:rPr>
        <w:t xml:space="preserve"> + a</w:t>
      </w:r>
      <w:r w:rsidRPr="00252CA7">
        <w:rPr>
          <w:rFonts w:ascii="Arial" w:hAnsi="Arial" w:cs="Arial"/>
          <w:color w:val="000000" w:themeColor="text1"/>
          <w:vertAlign w:val="subscript"/>
        </w:rPr>
        <w:t>2</w:t>
      </w:r>
      <w:r w:rsidRPr="00252CA7">
        <w:rPr>
          <w:rFonts w:ascii="Arial" w:hAnsi="Arial" w:cs="Arial"/>
          <w:color w:val="000000" w:themeColor="text1"/>
        </w:rPr>
        <w:t xml:space="preserve"> x X</w:t>
      </w:r>
      <w:r w:rsidRPr="00252CA7">
        <w:rPr>
          <w:rFonts w:ascii="Arial" w:hAnsi="Arial" w:cs="Arial"/>
          <w:color w:val="000000" w:themeColor="text1"/>
          <w:vertAlign w:val="subscript"/>
        </w:rPr>
        <w:t>VM</w:t>
      </w:r>
      <w:r w:rsidRPr="00252CA7">
        <w:rPr>
          <w:rFonts w:ascii="Arial" w:hAnsi="Arial" w:cs="Arial"/>
          <w:color w:val="000000" w:themeColor="text1"/>
        </w:rPr>
        <w:t xml:space="preserve"> + a</w:t>
      </w:r>
      <w:r w:rsidRPr="00252CA7">
        <w:rPr>
          <w:rFonts w:ascii="Arial" w:hAnsi="Arial" w:cs="Arial"/>
          <w:color w:val="000000" w:themeColor="text1"/>
          <w:vertAlign w:val="subscript"/>
        </w:rPr>
        <w:t>3</w:t>
      </w:r>
      <w:r w:rsidRPr="00252CA7">
        <w:rPr>
          <w:rFonts w:ascii="Arial" w:hAnsi="Arial" w:cs="Arial"/>
          <w:color w:val="000000" w:themeColor="text1"/>
        </w:rPr>
        <w:t xml:space="preserve"> x X</w:t>
      </w:r>
      <w:r w:rsidRPr="00252CA7">
        <w:rPr>
          <w:rFonts w:ascii="Arial" w:hAnsi="Arial" w:cs="Arial"/>
          <w:color w:val="000000" w:themeColor="text1"/>
          <w:vertAlign w:val="subscript"/>
        </w:rPr>
        <w:t>ASH</w:t>
      </w:r>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15</w:t>
      </w:r>
      <w:r w:rsidRPr="00252CA7">
        <w:rPr>
          <w:rFonts w:ascii="Arial" w:hAnsi="Arial" w:cs="Arial"/>
          <w:color w:val="000000" w:themeColor="text1"/>
        </w:rPr>
        <w:t>)</w:t>
      </w:r>
    </w:p>
    <w:p w14:paraId="53C4C1EA"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where HHV is the higher heat value of biomass. X</w:t>
      </w:r>
      <w:r w:rsidRPr="00252CA7">
        <w:rPr>
          <w:rFonts w:ascii="Arial" w:hAnsi="Arial" w:cs="Arial"/>
          <w:color w:val="000000" w:themeColor="text1"/>
          <w:vertAlign w:val="subscript"/>
        </w:rPr>
        <w:t>FC</w:t>
      </w:r>
      <w:r w:rsidRPr="00252CA7">
        <w:rPr>
          <w:rFonts w:ascii="Arial" w:hAnsi="Arial" w:cs="Arial"/>
          <w:color w:val="000000" w:themeColor="text1"/>
        </w:rPr>
        <w:t>, X</w:t>
      </w:r>
      <w:r w:rsidRPr="00252CA7">
        <w:rPr>
          <w:rFonts w:ascii="Arial" w:hAnsi="Arial" w:cs="Arial"/>
          <w:color w:val="000000" w:themeColor="text1"/>
          <w:vertAlign w:val="subscript"/>
        </w:rPr>
        <w:t>VM</w:t>
      </w:r>
      <w:r w:rsidRPr="00252CA7">
        <w:rPr>
          <w:rFonts w:ascii="Arial" w:hAnsi="Arial" w:cs="Arial"/>
          <w:color w:val="000000" w:themeColor="text1"/>
        </w:rPr>
        <w:t xml:space="preserve"> and X</w:t>
      </w:r>
      <w:r w:rsidRPr="00252CA7">
        <w:rPr>
          <w:rFonts w:ascii="Arial" w:hAnsi="Arial" w:cs="Arial"/>
          <w:color w:val="000000" w:themeColor="text1"/>
          <w:vertAlign w:val="subscript"/>
        </w:rPr>
        <w:t xml:space="preserve">ASH </w:t>
      </w:r>
      <w:r w:rsidRPr="00252CA7">
        <w:rPr>
          <w:rFonts w:ascii="Arial" w:hAnsi="Arial" w:cs="Arial"/>
          <w:color w:val="000000" w:themeColor="text1"/>
        </w:rPr>
        <w:t>denote the mass fractions of fixed carbon, volatile matter and ash respectively.</w:t>
      </w:r>
    </w:p>
    <w:p w14:paraId="3E5018B5" w14:textId="6C8AE0E8" w:rsidR="00DE7D2F" w:rsidRPr="00252CA7" w:rsidRDefault="00DE7D2F" w:rsidP="00B33E8E">
      <w:pPr>
        <w:widowControl w:val="0"/>
        <w:tabs>
          <w:tab w:val="left" w:pos="4908"/>
        </w:tabs>
        <w:jc w:val="both"/>
        <w:rPr>
          <w:rFonts w:ascii="Arial" w:hAnsi="Arial" w:cs="Arial"/>
          <w:color w:val="000000" w:themeColor="text1"/>
        </w:rPr>
      </w:pPr>
      <w:r w:rsidRPr="00252CA7">
        <w:rPr>
          <w:rFonts w:ascii="Arial" w:hAnsi="Arial" w:cs="Arial"/>
          <w:color w:val="000000" w:themeColor="text1"/>
        </w:rPr>
        <w:t>HHV = a</w:t>
      </w:r>
      <w:r w:rsidRPr="00252CA7">
        <w:rPr>
          <w:rFonts w:ascii="Arial" w:hAnsi="Arial" w:cs="Arial"/>
          <w:color w:val="000000" w:themeColor="text1"/>
          <w:vertAlign w:val="subscript"/>
        </w:rPr>
        <w:t>0</w:t>
      </w:r>
      <w:r w:rsidRPr="00252CA7">
        <w:rPr>
          <w:rFonts w:ascii="Arial" w:hAnsi="Arial" w:cs="Arial"/>
          <w:color w:val="000000" w:themeColor="text1"/>
        </w:rPr>
        <w:t xml:space="preserve"> + a</w:t>
      </w:r>
      <w:r w:rsidRPr="00252CA7">
        <w:rPr>
          <w:rFonts w:ascii="Arial" w:hAnsi="Arial" w:cs="Arial"/>
          <w:color w:val="000000" w:themeColor="text1"/>
          <w:vertAlign w:val="subscript"/>
        </w:rPr>
        <w:t>1</w:t>
      </w:r>
      <w:r w:rsidRPr="00252CA7">
        <w:rPr>
          <w:rFonts w:ascii="Arial" w:hAnsi="Arial" w:cs="Arial"/>
          <w:color w:val="000000" w:themeColor="text1"/>
        </w:rPr>
        <w:t xml:space="preserve"> x X</w:t>
      </w:r>
      <w:r w:rsidRPr="00252CA7">
        <w:rPr>
          <w:rFonts w:ascii="Arial" w:hAnsi="Arial" w:cs="Arial"/>
          <w:color w:val="000000" w:themeColor="text1"/>
          <w:vertAlign w:val="subscript"/>
        </w:rPr>
        <w:t>C</w:t>
      </w:r>
      <w:r w:rsidRPr="00252CA7">
        <w:rPr>
          <w:rFonts w:ascii="Arial" w:hAnsi="Arial" w:cs="Arial"/>
          <w:color w:val="000000" w:themeColor="text1"/>
        </w:rPr>
        <w:t xml:space="preserve"> + a</w:t>
      </w:r>
      <w:r w:rsidRPr="00252CA7">
        <w:rPr>
          <w:rFonts w:ascii="Arial" w:hAnsi="Arial" w:cs="Arial"/>
          <w:color w:val="000000" w:themeColor="text1"/>
          <w:vertAlign w:val="subscript"/>
        </w:rPr>
        <w:t>2</w:t>
      </w:r>
      <w:r w:rsidRPr="00252CA7">
        <w:rPr>
          <w:rFonts w:ascii="Arial" w:hAnsi="Arial" w:cs="Arial"/>
          <w:color w:val="000000" w:themeColor="text1"/>
        </w:rPr>
        <w:t xml:space="preserve"> x X</w:t>
      </w:r>
      <w:r w:rsidRPr="00252CA7">
        <w:rPr>
          <w:rFonts w:ascii="Arial" w:hAnsi="Arial" w:cs="Arial"/>
          <w:color w:val="000000" w:themeColor="text1"/>
          <w:vertAlign w:val="subscript"/>
        </w:rPr>
        <w:t>H</w:t>
      </w:r>
      <w:r w:rsidRPr="00252CA7">
        <w:rPr>
          <w:rFonts w:ascii="Arial" w:hAnsi="Arial" w:cs="Arial"/>
          <w:color w:val="000000" w:themeColor="text1"/>
        </w:rPr>
        <w:t xml:space="preserve"> + a</w:t>
      </w:r>
      <w:r w:rsidRPr="00252CA7">
        <w:rPr>
          <w:rFonts w:ascii="Arial" w:hAnsi="Arial" w:cs="Arial"/>
          <w:color w:val="000000" w:themeColor="text1"/>
          <w:vertAlign w:val="subscript"/>
        </w:rPr>
        <w:t>3</w:t>
      </w:r>
      <w:r w:rsidRPr="00252CA7">
        <w:rPr>
          <w:rFonts w:ascii="Arial" w:hAnsi="Arial" w:cs="Arial"/>
          <w:color w:val="000000" w:themeColor="text1"/>
        </w:rPr>
        <w:t xml:space="preserve"> x X</w:t>
      </w:r>
      <w:r w:rsidRPr="00252CA7">
        <w:rPr>
          <w:rFonts w:ascii="Arial" w:hAnsi="Arial" w:cs="Arial"/>
          <w:color w:val="000000" w:themeColor="text1"/>
          <w:vertAlign w:val="subscript"/>
        </w:rPr>
        <w:t>N</w:t>
      </w:r>
      <w:r w:rsidRPr="00252CA7">
        <w:rPr>
          <w:rFonts w:ascii="Arial" w:hAnsi="Arial" w:cs="Arial"/>
          <w:color w:val="000000" w:themeColor="text1"/>
        </w:rPr>
        <w:t xml:space="preserve"> + a</w:t>
      </w:r>
      <w:r w:rsidRPr="00252CA7">
        <w:rPr>
          <w:rFonts w:ascii="Arial" w:hAnsi="Arial" w:cs="Arial"/>
          <w:color w:val="000000" w:themeColor="text1"/>
          <w:vertAlign w:val="subscript"/>
        </w:rPr>
        <w:t>4</w:t>
      </w:r>
      <w:r w:rsidRPr="00252CA7">
        <w:rPr>
          <w:rFonts w:ascii="Arial" w:hAnsi="Arial" w:cs="Arial"/>
          <w:color w:val="000000" w:themeColor="text1"/>
        </w:rPr>
        <w:t xml:space="preserve"> x X</w:t>
      </w:r>
      <w:r w:rsidRPr="00252CA7">
        <w:rPr>
          <w:rFonts w:ascii="Arial" w:hAnsi="Arial" w:cs="Arial"/>
          <w:color w:val="000000" w:themeColor="text1"/>
          <w:vertAlign w:val="subscript"/>
        </w:rPr>
        <w:t>O</w:t>
      </w:r>
      <w:r w:rsidRPr="00252CA7">
        <w:rPr>
          <w:rFonts w:ascii="Arial" w:hAnsi="Arial" w:cs="Arial"/>
          <w:color w:val="000000" w:themeColor="text1"/>
        </w:rPr>
        <w:t xml:space="preserve"> + a</w:t>
      </w:r>
      <w:r w:rsidRPr="00252CA7">
        <w:rPr>
          <w:rFonts w:ascii="Arial" w:hAnsi="Arial" w:cs="Arial"/>
          <w:color w:val="000000" w:themeColor="text1"/>
          <w:vertAlign w:val="subscript"/>
        </w:rPr>
        <w:t>5</w:t>
      </w:r>
      <w:r w:rsidRPr="00252CA7">
        <w:rPr>
          <w:rFonts w:ascii="Arial" w:hAnsi="Arial" w:cs="Arial"/>
          <w:color w:val="000000" w:themeColor="text1"/>
        </w:rPr>
        <w:t xml:space="preserve"> x X</w:t>
      </w:r>
      <w:r w:rsidRPr="00252CA7">
        <w:rPr>
          <w:rFonts w:ascii="Arial" w:hAnsi="Arial" w:cs="Arial"/>
          <w:color w:val="000000" w:themeColor="text1"/>
          <w:vertAlign w:val="subscript"/>
        </w:rPr>
        <w:t>S</w:t>
      </w:r>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16</w:t>
      </w:r>
      <w:r w:rsidRPr="00252CA7">
        <w:rPr>
          <w:rFonts w:ascii="Arial" w:hAnsi="Arial" w:cs="Arial"/>
          <w:color w:val="000000" w:themeColor="text1"/>
        </w:rPr>
        <w:t>)</w:t>
      </w:r>
    </w:p>
    <w:p w14:paraId="21D0A468"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where HHV is the higher heat value of biomass. X</w:t>
      </w:r>
      <w:r w:rsidRPr="00252CA7">
        <w:rPr>
          <w:rFonts w:ascii="Arial" w:hAnsi="Arial" w:cs="Arial"/>
          <w:color w:val="000000" w:themeColor="text1"/>
          <w:vertAlign w:val="subscript"/>
        </w:rPr>
        <w:t>C</w:t>
      </w:r>
      <w:r w:rsidRPr="00252CA7">
        <w:rPr>
          <w:rFonts w:ascii="Arial" w:hAnsi="Arial" w:cs="Arial"/>
          <w:color w:val="000000" w:themeColor="text1"/>
        </w:rPr>
        <w:t>, X</w:t>
      </w:r>
      <w:r w:rsidRPr="00252CA7">
        <w:rPr>
          <w:rFonts w:ascii="Arial" w:hAnsi="Arial" w:cs="Arial"/>
          <w:color w:val="000000" w:themeColor="text1"/>
          <w:vertAlign w:val="subscript"/>
        </w:rPr>
        <w:t>H</w:t>
      </w:r>
      <w:r w:rsidRPr="00252CA7">
        <w:rPr>
          <w:rFonts w:ascii="Arial" w:hAnsi="Arial" w:cs="Arial"/>
          <w:color w:val="000000" w:themeColor="text1"/>
        </w:rPr>
        <w:t>, X</w:t>
      </w:r>
      <w:r w:rsidRPr="00252CA7">
        <w:rPr>
          <w:rFonts w:ascii="Arial" w:hAnsi="Arial" w:cs="Arial"/>
          <w:color w:val="000000" w:themeColor="text1"/>
          <w:vertAlign w:val="subscript"/>
        </w:rPr>
        <w:t>N</w:t>
      </w:r>
      <w:r w:rsidRPr="00252CA7">
        <w:rPr>
          <w:rFonts w:ascii="Arial" w:hAnsi="Arial" w:cs="Arial"/>
          <w:color w:val="000000" w:themeColor="text1"/>
        </w:rPr>
        <w:t>, X</w:t>
      </w:r>
      <w:r w:rsidRPr="00252CA7">
        <w:rPr>
          <w:rFonts w:ascii="Arial" w:hAnsi="Arial" w:cs="Arial"/>
          <w:color w:val="000000" w:themeColor="text1"/>
          <w:vertAlign w:val="subscript"/>
        </w:rPr>
        <w:t>O</w:t>
      </w:r>
      <w:r w:rsidRPr="00252CA7">
        <w:rPr>
          <w:rFonts w:ascii="Arial" w:hAnsi="Arial" w:cs="Arial"/>
          <w:color w:val="000000" w:themeColor="text1"/>
        </w:rPr>
        <w:t>, and X</w:t>
      </w:r>
      <w:r w:rsidRPr="00252CA7">
        <w:rPr>
          <w:rFonts w:ascii="Arial" w:hAnsi="Arial" w:cs="Arial"/>
          <w:color w:val="000000" w:themeColor="text1"/>
          <w:vertAlign w:val="subscript"/>
        </w:rPr>
        <w:t xml:space="preserve">S </w:t>
      </w:r>
      <w:r w:rsidRPr="00252CA7">
        <w:rPr>
          <w:rFonts w:ascii="Arial" w:hAnsi="Arial" w:cs="Arial"/>
          <w:color w:val="000000" w:themeColor="text1"/>
        </w:rPr>
        <w:t>denote the mass fractions of carbon, hydrogen, nitrogen, oxygen and sulphur respectively.</w:t>
      </w:r>
    </w:p>
    <w:p w14:paraId="1A8A9B95" w14:textId="77777777" w:rsidR="00B33E8E" w:rsidRPr="00252CA7" w:rsidRDefault="00B33E8E" w:rsidP="00B33E8E">
      <w:pPr>
        <w:jc w:val="both"/>
        <w:rPr>
          <w:rFonts w:ascii="Arial" w:hAnsi="Arial" w:cs="Arial"/>
          <w:color w:val="000000" w:themeColor="text1"/>
        </w:rPr>
      </w:pPr>
    </w:p>
    <w:p w14:paraId="5C3FFCA7" w14:textId="77777777" w:rsidR="00DE7D2F" w:rsidRPr="00252CA7" w:rsidRDefault="00DE7D2F" w:rsidP="00DE7D2F">
      <w:pPr>
        <w:widowControl w:val="0"/>
        <w:tabs>
          <w:tab w:val="left" w:pos="4908"/>
        </w:tabs>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2164F260" wp14:editId="38B30812">
            <wp:extent cx="6500341" cy="2696220"/>
            <wp:effectExtent l="0" t="0" r="0" b="0"/>
            <wp:docPr id="15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6500341" cy="2696220"/>
                    </a:xfrm>
                    <a:prstGeom prst="rect">
                      <a:avLst/>
                    </a:prstGeom>
                    <a:ln/>
                  </pic:spPr>
                </pic:pic>
              </a:graphicData>
            </a:graphic>
          </wp:inline>
        </w:drawing>
      </w:r>
    </w:p>
    <w:p w14:paraId="0EB635DA" w14:textId="26DF3795" w:rsidR="00DE7D2F" w:rsidRPr="00252CA7" w:rsidRDefault="00DE7D2F" w:rsidP="00446A70">
      <w:pPr>
        <w:widowControl w:val="0"/>
        <w:tabs>
          <w:tab w:val="left" w:pos="4908"/>
        </w:tabs>
        <w:jc w:val="center"/>
        <w:rPr>
          <w:rFonts w:ascii="Arial" w:hAnsi="Arial" w:cs="Arial"/>
          <w:color w:val="000000" w:themeColor="text1"/>
        </w:rPr>
        <w:sectPr w:rsidR="00DE7D2F" w:rsidRPr="00252CA7" w:rsidSect="000331DD">
          <w:headerReference w:type="even" r:id="rId30"/>
          <w:headerReference w:type="default" r:id="rId31"/>
          <w:footerReference w:type="default" r:id="rId32"/>
          <w:headerReference w:type="first" r:id="rId33"/>
          <w:footerReference w:type="first" r:id="rId34"/>
          <w:type w:val="continuous"/>
          <w:pgSz w:w="12240" w:h="15840"/>
          <w:pgMar w:top="1440" w:right="1440" w:bottom="1440" w:left="1440" w:header="720" w:footer="720" w:gutter="0"/>
          <w:pgNumType w:start="1"/>
          <w:cols w:space="720"/>
        </w:sectPr>
      </w:pPr>
      <w:r w:rsidRPr="00B33E8E">
        <w:rPr>
          <w:rFonts w:ascii="Arial" w:hAnsi="Arial" w:cs="Arial"/>
          <w:b/>
          <w:bCs/>
          <w:color w:val="000000" w:themeColor="text1"/>
        </w:rPr>
        <w:t xml:space="preserve">Figure </w:t>
      </w:r>
      <w:r w:rsidR="00A97ACF">
        <w:rPr>
          <w:rFonts w:ascii="Arial" w:hAnsi="Arial" w:cs="Arial"/>
          <w:b/>
          <w:bCs/>
          <w:color w:val="000000" w:themeColor="text1"/>
        </w:rPr>
        <w:t>17</w:t>
      </w:r>
      <w:r w:rsidRPr="00B33E8E">
        <w:rPr>
          <w:rFonts w:ascii="Arial" w:hAnsi="Arial" w:cs="Arial"/>
          <w:b/>
          <w:bCs/>
          <w:color w:val="000000" w:themeColor="text1"/>
        </w:rPr>
        <w:t xml:space="preserve">.: Summary of Recent and Established Correlations Used for Predicting the HHV of </w:t>
      </w:r>
    </w:p>
    <w:p w14:paraId="2072B65F" w14:textId="7F3CAECE" w:rsidR="007413E7" w:rsidRDefault="007413E7" w:rsidP="00DE7D2F">
      <w:pPr>
        <w:jc w:val="both"/>
        <w:rPr>
          <w:rFonts w:ascii="Arial" w:hAnsi="Arial" w:cs="Arial"/>
          <w:color w:val="000000" w:themeColor="text1"/>
        </w:rPr>
      </w:pPr>
    </w:p>
    <w:p w14:paraId="64F42B7C" w14:textId="18C6E14A" w:rsidR="00B33E8E" w:rsidRDefault="00B33E8E" w:rsidP="00B33E8E">
      <w:pPr>
        <w:pStyle w:val="AbstHead"/>
        <w:spacing w:after="0"/>
        <w:jc w:val="both"/>
        <w:rPr>
          <w:rFonts w:ascii="Arial" w:hAnsi="Arial" w:cs="Arial"/>
        </w:rPr>
      </w:pPr>
      <w:r>
        <w:rPr>
          <w:rFonts w:ascii="Arial" w:hAnsi="Arial" w:cs="Arial"/>
        </w:rPr>
        <w:lastRenderedPageBreak/>
        <w:t xml:space="preserve">4. results and discussion </w:t>
      </w:r>
    </w:p>
    <w:p w14:paraId="7E919149" w14:textId="328DEDD8" w:rsidR="00B33E8E" w:rsidRPr="00252CA7" w:rsidRDefault="00B33E8E" w:rsidP="00530F93">
      <w:pPr>
        <w:pStyle w:val="Heading1"/>
        <w:numPr>
          <w:ilvl w:val="1"/>
          <w:numId w:val="12"/>
        </w:numPr>
        <w:spacing w:after="160"/>
        <w:ind w:left="0" w:firstLine="0"/>
        <w:rPr>
          <w:rFonts w:cs="Arial"/>
          <w:color w:val="000000" w:themeColor="text1"/>
          <w:sz w:val="20"/>
        </w:rPr>
      </w:pPr>
      <w:bookmarkStart w:id="71" w:name="_Toc140521319"/>
      <w:r w:rsidRPr="00252CA7">
        <w:rPr>
          <w:rFonts w:cs="Arial"/>
          <w:color w:val="000000" w:themeColor="text1"/>
          <w:sz w:val="20"/>
        </w:rPr>
        <w:t>Simulation and Thermal Analysis</w:t>
      </w:r>
      <w:bookmarkEnd w:id="71"/>
    </w:p>
    <w:p w14:paraId="317F9A93" w14:textId="3368132C" w:rsidR="00B33E8E" w:rsidRDefault="00B33E8E" w:rsidP="00B33E8E">
      <w:pPr>
        <w:jc w:val="both"/>
        <w:rPr>
          <w:rFonts w:ascii="Arial" w:hAnsi="Arial" w:cs="Arial"/>
          <w:color w:val="000000" w:themeColor="text1"/>
        </w:rPr>
      </w:pPr>
      <w:r w:rsidRPr="00252CA7">
        <w:rPr>
          <w:rFonts w:ascii="Arial" w:hAnsi="Arial" w:cs="Arial"/>
          <w:color w:val="000000" w:themeColor="text1"/>
        </w:rPr>
        <w:t>From the calculations, the estimated area of the reactor is 0.49 m</w:t>
      </w:r>
      <w:r w:rsidRPr="00252CA7">
        <w:rPr>
          <w:rFonts w:ascii="Arial" w:hAnsi="Arial" w:cs="Arial"/>
          <w:color w:val="000000" w:themeColor="text1"/>
          <w:vertAlign w:val="superscript"/>
        </w:rPr>
        <w:t>2</w:t>
      </w:r>
      <w:r w:rsidRPr="00252CA7">
        <w:rPr>
          <w:rFonts w:ascii="Arial" w:hAnsi="Arial" w:cs="Arial"/>
          <w:color w:val="000000" w:themeColor="text1"/>
        </w:rPr>
        <w:t>. Since the heat flow across the wall is of paramount importance, the required power rating was calculated and was given as 318.5 Watts. Therefore, considering the ambient temperature of 25</w:t>
      </w:r>
      <w:r w:rsidRPr="00252CA7">
        <w:rPr>
          <w:rFonts w:ascii="Arial" w:hAnsi="Arial" w:cs="Arial"/>
          <w:color w:val="000000" w:themeColor="text1"/>
          <w:vertAlign w:val="superscript"/>
        </w:rPr>
        <w:t>o</w:t>
      </w:r>
      <w:r w:rsidRPr="00252CA7">
        <w:rPr>
          <w:rFonts w:ascii="Arial" w:hAnsi="Arial" w:cs="Arial"/>
          <w:color w:val="000000" w:themeColor="text1"/>
        </w:rPr>
        <w:t>C and heat transfer coefficient of 14.4W/m</w:t>
      </w:r>
      <w:r w:rsidRPr="00252CA7">
        <w:rPr>
          <w:rFonts w:ascii="Arial" w:hAnsi="Arial" w:cs="Arial"/>
          <w:color w:val="000000" w:themeColor="text1"/>
          <w:vertAlign w:val="superscript"/>
        </w:rPr>
        <w:t>2 o</w:t>
      </w:r>
      <w:r w:rsidRPr="00252CA7">
        <w:rPr>
          <w:rFonts w:ascii="Arial" w:hAnsi="Arial" w:cs="Arial"/>
          <w:color w:val="000000" w:themeColor="text1"/>
        </w:rPr>
        <w:t>C from the outer surface of the wall, and the estimated heat flow of 318.5 Watts from the inside of the reactor. The results of the simulation of the reactor</w:t>
      </w:r>
      <w:r w:rsidR="00313F8D">
        <w:rPr>
          <w:rFonts w:ascii="Arial" w:hAnsi="Arial" w:cs="Arial"/>
          <w:color w:val="000000" w:themeColor="text1"/>
        </w:rPr>
        <w:t xml:space="preserve"> </w:t>
      </w:r>
      <w:r w:rsidRPr="00252CA7">
        <w:rPr>
          <w:rFonts w:ascii="Arial" w:hAnsi="Arial" w:cs="Arial"/>
          <w:color w:val="000000" w:themeColor="text1"/>
        </w:rPr>
        <w:t xml:space="preserve">is given in Figures </w:t>
      </w:r>
      <w:r w:rsidR="00A97ACF">
        <w:rPr>
          <w:rFonts w:ascii="Arial" w:hAnsi="Arial" w:cs="Arial"/>
          <w:color w:val="000000" w:themeColor="text1"/>
        </w:rPr>
        <w:t>18</w:t>
      </w:r>
      <w:r w:rsidRPr="00252CA7">
        <w:rPr>
          <w:rFonts w:ascii="Arial" w:hAnsi="Arial" w:cs="Arial"/>
          <w:color w:val="000000" w:themeColor="text1"/>
        </w:rPr>
        <w:t xml:space="preserve"> to </w:t>
      </w:r>
      <w:r w:rsidR="00A97ACF">
        <w:rPr>
          <w:rFonts w:ascii="Arial" w:hAnsi="Arial" w:cs="Arial"/>
          <w:color w:val="000000" w:themeColor="text1"/>
        </w:rPr>
        <w:t>22</w:t>
      </w:r>
      <w:r w:rsidRPr="00252CA7">
        <w:rPr>
          <w:rFonts w:ascii="Arial" w:hAnsi="Arial" w:cs="Arial"/>
          <w:color w:val="000000" w:themeColor="text1"/>
        </w:rPr>
        <w:t xml:space="preserve"> respectively. </w:t>
      </w:r>
    </w:p>
    <w:p w14:paraId="13D9130B" w14:textId="77777777" w:rsidR="00B33E8E" w:rsidRPr="00252CA7" w:rsidRDefault="00B33E8E" w:rsidP="00B33E8E">
      <w:pPr>
        <w:jc w:val="both"/>
        <w:rPr>
          <w:rFonts w:ascii="Arial" w:hAnsi="Arial" w:cs="Arial"/>
          <w:color w:val="000000" w:themeColor="text1"/>
        </w:rPr>
      </w:pPr>
    </w:p>
    <w:p w14:paraId="0759D964" w14:textId="74340325" w:rsidR="00B33E8E" w:rsidRDefault="00B33E8E" w:rsidP="00B33E8E">
      <w:pPr>
        <w:jc w:val="both"/>
        <w:rPr>
          <w:rFonts w:ascii="Arial" w:hAnsi="Arial" w:cs="Arial"/>
          <w:color w:val="000000" w:themeColor="text1"/>
        </w:rPr>
      </w:pPr>
      <w:r w:rsidRPr="00252CA7">
        <w:rPr>
          <w:rFonts w:ascii="Arial" w:hAnsi="Arial" w:cs="Arial"/>
          <w:color w:val="000000" w:themeColor="text1"/>
        </w:rPr>
        <w:t xml:space="preserve">Finite element analysis (FEA) was run on the torrefaction reactor with Stainless steel AISI 316 selected. Load distribution resulting from the volume/capacity of the torrefaction reactor behaviour under various loading conditions is reported as observed from the simulation software used for this study. Solidworks von mises analysis carried out showed stress distribution on the base materials. </w:t>
      </w:r>
      <w:r w:rsidR="00313F8D" w:rsidRPr="00313F8D">
        <w:rPr>
          <w:rFonts w:ascii="Arial" w:hAnsi="Arial" w:cs="Arial"/>
          <w:color w:val="000000" w:themeColor="text1"/>
        </w:rPr>
        <w:t>The stress distribution obtained from the finite element analysis revealed localized stress concentrations within specific regions of the reactor structure, as shown in Figure 20. The unusually high stress values observed may be associated with mesh singularities or localized numerical effects commonly encountered in finite element simulations. Therefore, the stress results should be interpreted cautiously. Nevertheless, the deformation and factor of safety analyses indicate that the reactor structure remains mechanically stable under the specified loading conditions</w:t>
      </w:r>
      <w:r w:rsidRPr="00252CA7">
        <w:rPr>
          <w:rFonts w:ascii="Arial" w:hAnsi="Arial" w:cs="Arial"/>
          <w:color w:val="000000" w:themeColor="text1"/>
        </w:rPr>
        <w:t xml:space="preserve">. Furthermore, displacement analysis was also checked to know the extent of elongation of the material under loading. The maximum elongation that can be obtained under loading condition is 2.4704 mm which is very minimal for any failure to occur or reduce life cycle of the base material this is shown in figure </w:t>
      </w:r>
      <w:r w:rsidR="00A97ACF">
        <w:rPr>
          <w:rFonts w:ascii="Arial" w:hAnsi="Arial" w:cs="Arial"/>
          <w:color w:val="000000" w:themeColor="text1"/>
        </w:rPr>
        <w:t>19</w:t>
      </w:r>
      <w:r w:rsidRPr="00252CA7">
        <w:rPr>
          <w:rFonts w:ascii="Arial" w:hAnsi="Arial" w:cs="Arial"/>
          <w:color w:val="000000" w:themeColor="text1"/>
        </w:rPr>
        <w:t xml:space="preserve">. </w:t>
      </w:r>
    </w:p>
    <w:p w14:paraId="19CDC7EB" w14:textId="77777777" w:rsidR="00B33E8E" w:rsidRPr="00252CA7" w:rsidRDefault="00B33E8E" w:rsidP="00B33E8E">
      <w:pPr>
        <w:jc w:val="both"/>
        <w:rPr>
          <w:rFonts w:ascii="Arial" w:hAnsi="Arial" w:cs="Arial"/>
          <w:color w:val="000000" w:themeColor="text1"/>
        </w:rPr>
      </w:pPr>
    </w:p>
    <w:p w14:paraId="1CF57898" w14:textId="711526C6" w:rsidR="00B33E8E" w:rsidRPr="00252CA7" w:rsidRDefault="00313F8D" w:rsidP="00B33E8E">
      <w:pPr>
        <w:jc w:val="both"/>
        <w:rPr>
          <w:rFonts w:ascii="Arial" w:hAnsi="Arial" w:cs="Arial"/>
          <w:color w:val="000000" w:themeColor="text1"/>
        </w:rPr>
      </w:pPr>
      <w:r w:rsidRPr="00313F8D">
        <w:rPr>
          <w:rFonts w:ascii="Arial" w:hAnsi="Arial" w:cs="Arial"/>
          <w:color w:val="000000" w:themeColor="text1"/>
        </w:rPr>
        <w:t>The simulated factor of safety indicates that the reactor structure possesses adequate strength under the specified loading conditions. However, further experimental validation is recommended to confirm the structural performance under actual operating conditions</w:t>
      </w:r>
      <w:r w:rsidR="00B33E8E" w:rsidRPr="00252CA7">
        <w:rPr>
          <w:rFonts w:ascii="Arial" w:hAnsi="Arial" w:cs="Arial"/>
          <w:color w:val="000000" w:themeColor="text1"/>
        </w:rPr>
        <w:t>. Technically, a factor of safety is the ability of a system's structural capacity to be viable beyond its expected or actual</w:t>
      </w:r>
      <w:r>
        <w:rPr>
          <w:rFonts w:ascii="Arial" w:hAnsi="Arial" w:cs="Arial"/>
          <w:color w:val="000000" w:themeColor="text1"/>
        </w:rPr>
        <w:t xml:space="preserve"> </w:t>
      </w:r>
      <w:r w:rsidR="00B33E8E" w:rsidRPr="00252CA7">
        <w:rPr>
          <w:rFonts w:ascii="Arial" w:hAnsi="Arial" w:cs="Arial"/>
          <w:color w:val="000000" w:themeColor="text1"/>
        </w:rPr>
        <w:t>loads (Rutheravan, 2016); and with the result obtained in this work, this base part will perform as expected under the designed condition without failure. A maximum factor of safety of 15 indicates that the design or structure being analysed has a significant margin of safety. The factor of safety is a measure of how much stronger a structure or component is compared to the maximum load or stress it is expected to experience. In this case, a factor of safety of 15 means that the structure can withstand a load or stress up to 15 times greater than the maximum anticipated load without failure. This suggests a high level of structural integrity and indicates that the design has a substantial safety margin.</w:t>
      </w:r>
    </w:p>
    <w:p w14:paraId="10201997" w14:textId="77777777" w:rsidR="00B33E8E" w:rsidRPr="00252CA7" w:rsidRDefault="00B33E8E" w:rsidP="00B33E8E">
      <w:pPr>
        <w:rPr>
          <w:rFonts w:ascii="Arial" w:hAnsi="Arial" w:cs="Arial"/>
          <w:color w:val="000000" w:themeColor="text1"/>
        </w:rPr>
      </w:pPr>
    </w:p>
    <w:p w14:paraId="3A827C70" w14:textId="77777777" w:rsidR="00B33E8E" w:rsidRPr="00252CA7" w:rsidRDefault="00B33E8E" w:rsidP="00B33E8E">
      <w:pPr>
        <w:jc w:val="cente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64C5E7B6" wp14:editId="3CAB1048">
            <wp:extent cx="3467100" cy="2324100"/>
            <wp:effectExtent l="0" t="0" r="0" b="0"/>
            <wp:docPr id="15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a:stretch>
                      <a:fillRect/>
                    </a:stretch>
                  </pic:blipFill>
                  <pic:spPr>
                    <a:xfrm>
                      <a:off x="0" y="0"/>
                      <a:ext cx="3467471" cy="2324349"/>
                    </a:xfrm>
                    <a:prstGeom prst="rect">
                      <a:avLst/>
                    </a:prstGeom>
                    <a:ln/>
                  </pic:spPr>
                </pic:pic>
              </a:graphicData>
            </a:graphic>
          </wp:inline>
        </w:drawing>
      </w:r>
    </w:p>
    <w:p w14:paraId="3AECB293" w14:textId="13B058BC" w:rsidR="00B33E8E" w:rsidRPr="00B33E8E" w:rsidRDefault="00B33E8E" w:rsidP="00B33E8E">
      <w:pPr>
        <w:widowControl w:val="0"/>
        <w:spacing w:line="247" w:lineRule="auto"/>
        <w:ind w:left="1620" w:right="1615"/>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18</w:t>
      </w:r>
      <w:r w:rsidRPr="00B33E8E">
        <w:rPr>
          <w:rFonts w:ascii="Arial" w:hAnsi="Arial" w:cs="Arial"/>
          <w:b/>
          <w:bCs/>
          <w:color w:val="000000" w:themeColor="text1"/>
        </w:rPr>
        <w:t>: Steady state thermal showing temperature</w:t>
      </w:r>
    </w:p>
    <w:p w14:paraId="258B7BBC" w14:textId="77777777" w:rsidR="00B33E8E" w:rsidRPr="00252CA7" w:rsidRDefault="00B33E8E" w:rsidP="00B33E8E">
      <w:pPr>
        <w:rPr>
          <w:rFonts w:ascii="Arial" w:hAnsi="Arial" w:cs="Arial"/>
          <w:color w:val="000000" w:themeColor="text1"/>
        </w:rPr>
      </w:pPr>
    </w:p>
    <w:p w14:paraId="731695F7" w14:textId="77777777" w:rsidR="00B33E8E" w:rsidRPr="00252CA7" w:rsidRDefault="00B33E8E" w:rsidP="00B33E8E">
      <w:pPr>
        <w:widowControl w:val="0"/>
        <w:spacing w:line="247" w:lineRule="auto"/>
        <w:ind w:left="1620" w:right="1615" w:hanging="630"/>
        <w:jc w:val="center"/>
        <w:rPr>
          <w:rFonts w:ascii="Arial" w:eastAsia="Arial" w:hAnsi="Arial" w:cs="Arial"/>
          <w:b/>
          <w:color w:val="000000" w:themeColor="text1"/>
        </w:rPr>
      </w:pPr>
      <w:r w:rsidRPr="00252CA7">
        <w:rPr>
          <w:rFonts w:ascii="Arial" w:eastAsia="Arial" w:hAnsi="Arial" w:cs="Arial"/>
          <w:b/>
          <w:noProof/>
          <w:color w:val="000000" w:themeColor="text1"/>
        </w:rPr>
        <w:drawing>
          <wp:inline distT="19050" distB="19050" distL="19050" distR="19050" wp14:anchorId="01D90FCF" wp14:editId="5BFDB3A3">
            <wp:extent cx="3891516" cy="2966484"/>
            <wp:effectExtent l="0" t="0" r="0" b="0"/>
            <wp:docPr id="1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3893774" cy="2968205"/>
                    </a:xfrm>
                    <a:prstGeom prst="rect">
                      <a:avLst/>
                    </a:prstGeom>
                    <a:ln/>
                  </pic:spPr>
                </pic:pic>
              </a:graphicData>
            </a:graphic>
          </wp:inline>
        </w:drawing>
      </w:r>
    </w:p>
    <w:p w14:paraId="44840730" w14:textId="49232612" w:rsidR="00B33E8E" w:rsidRPr="00B33E8E" w:rsidRDefault="00B33E8E" w:rsidP="00B33E8E">
      <w:pPr>
        <w:widowControl w:val="0"/>
        <w:spacing w:line="247" w:lineRule="auto"/>
        <w:ind w:left="1620" w:right="1615"/>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19</w:t>
      </w:r>
      <w:r w:rsidRPr="00B33E8E">
        <w:rPr>
          <w:rFonts w:ascii="Arial" w:hAnsi="Arial" w:cs="Arial"/>
          <w:b/>
          <w:bCs/>
          <w:color w:val="000000" w:themeColor="text1"/>
        </w:rPr>
        <w:t>: Static Structural showing total deformation</w:t>
      </w:r>
    </w:p>
    <w:p w14:paraId="181489FE" w14:textId="77777777" w:rsidR="00B33E8E" w:rsidRPr="00252CA7" w:rsidRDefault="00B33E8E" w:rsidP="00B33E8E">
      <w:pPr>
        <w:widowControl w:val="0"/>
        <w:spacing w:line="247" w:lineRule="auto"/>
        <w:ind w:left="1620" w:right="1615"/>
        <w:jc w:val="center"/>
        <w:rPr>
          <w:rFonts w:ascii="Arial" w:hAnsi="Arial" w:cs="Arial"/>
          <w:color w:val="000000" w:themeColor="text1"/>
        </w:rPr>
      </w:pPr>
    </w:p>
    <w:p w14:paraId="66FE88AC" w14:textId="77777777" w:rsidR="00B33E8E" w:rsidRPr="00252CA7" w:rsidRDefault="00B33E8E" w:rsidP="00B33E8E">
      <w:pPr>
        <w:widowControl w:val="0"/>
        <w:ind w:left="1890" w:hanging="810"/>
        <w:rPr>
          <w:rFonts w:ascii="Arial" w:eastAsia="Arial" w:hAnsi="Arial" w:cs="Arial"/>
          <w:color w:val="000000" w:themeColor="text1"/>
        </w:rPr>
      </w:pPr>
      <w:r w:rsidRPr="00252CA7">
        <w:rPr>
          <w:rFonts w:ascii="Arial" w:eastAsia="Arial" w:hAnsi="Arial" w:cs="Arial"/>
          <w:noProof/>
          <w:color w:val="000000" w:themeColor="text1"/>
        </w:rPr>
        <w:lastRenderedPageBreak/>
        <w:drawing>
          <wp:inline distT="0" distB="0" distL="0" distR="0" wp14:anchorId="590F7D98" wp14:editId="50B344EF">
            <wp:extent cx="3870251" cy="3253563"/>
            <wp:effectExtent l="0" t="0" r="0" b="0"/>
            <wp:docPr id="143" name="image7.jpg" descr="Mechanical_Report_Files/Figure0015.png"/>
            <wp:cNvGraphicFramePr/>
            <a:graphic xmlns:a="http://schemas.openxmlformats.org/drawingml/2006/main">
              <a:graphicData uri="http://schemas.openxmlformats.org/drawingml/2006/picture">
                <pic:pic xmlns:pic="http://schemas.openxmlformats.org/drawingml/2006/picture">
                  <pic:nvPicPr>
                    <pic:cNvPr id="0" name="image7.jpg" descr="Mechanical_Report_Files/Figure0015.png"/>
                    <pic:cNvPicPr preferRelativeResize="0"/>
                  </pic:nvPicPr>
                  <pic:blipFill>
                    <a:blip r:embed="rId37"/>
                    <a:srcRect/>
                    <a:stretch>
                      <a:fillRect/>
                    </a:stretch>
                  </pic:blipFill>
                  <pic:spPr>
                    <a:xfrm>
                      <a:off x="0" y="0"/>
                      <a:ext cx="3877556" cy="3259704"/>
                    </a:xfrm>
                    <a:prstGeom prst="rect">
                      <a:avLst/>
                    </a:prstGeom>
                    <a:ln/>
                  </pic:spPr>
                </pic:pic>
              </a:graphicData>
            </a:graphic>
          </wp:inline>
        </w:drawing>
      </w:r>
    </w:p>
    <w:p w14:paraId="4DCE1F8D" w14:textId="77777777" w:rsidR="00B33E8E" w:rsidRPr="00252CA7" w:rsidRDefault="00B33E8E" w:rsidP="00B33E8E">
      <w:pPr>
        <w:widowControl w:val="0"/>
        <w:ind w:left="1620"/>
        <w:rPr>
          <w:rFonts w:ascii="Arial" w:eastAsia="Arial" w:hAnsi="Arial" w:cs="Arial"/>
          <w:color w:val="000000" w:themeColor="text1"/>
        </w:rPr>
      </w:pPr>
    </w:p>
    <w:p w14:paraId="779D41BB" w14:textId="7B2337FF" w:rsidR="00B33E8E" w:rsidRPr="00B33E8E" w:rsidRDefault="00B33E8E" w:rsidP="00B33E8E">
      <w:pPr>
        <w:widowControl w:val="0"/>
        <w:ind w:left="16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20</w:t>
      </w:r>
      <w:r w:rsidRPr="00B33E8E">
        <w:rPr>
          <w:rFonts w:ascii="Arial" w:hAnsi="Arial" w:cs="Arial"/>
          <w:b/>
          <w:bCs/>
          <w:color w:val="000000" w:themeColor="text1"/>
        </w:rPr>
        <w:t>: Static Structural showing equivalent stress</w:t>
      </w:r>
    </w:p>
    <w:p w14:paraId="66EF9725" w14:textId="77777777" w:rsidR="00B33E8E" w:rsidRPr="00252CA7" w:rsidRDefault="00B33E8E" w:rsidP="00B33E8E">
      <w:pPr>
        <w:widowControl w:val="0"/>
        <w:ind w:left="1620"/>
        <w:rPr>
          <w:rFonts w:ascii="Arial" w:eastAsia="Arial" w:hAnsi="Arial" w:cs="Arial"/>
          <w:color w:val="000000" w:themeColor="text1"/>
        </w:rPr>
      </w:pPr>
    </w:p>
    <w:p w14:paraId="10865C28" w14:textId="77777777" w:rsidR="00B33E8E" w:rsidRPr="00252CA7" w:rsidRDefault="00B33E8E" w:rsidP="00B33E8E">
      <w:pPr>
        <w:widowControl w:val="0"/>
        <w:rPr>
          <w:rFonts w:ascii="Arial" w:eastAsia="Arial" w:hAnsi="Arial" w:cs="Arial"/>
          <w:color w:val="000000" w:themeColor="text1"/>
        </w:rPr>
      </w:pPr>
    </w:p>
    <w:p w14:paraId="0D8A2BB9" w14:textId="77777777" w:rsidR="00B33E8E" w:rsidRPr="00252CA7" w:rsidRDefault="00B33E8E" w:rsidP="00B33E8E">
      <w:pPr>
        <w:widowControl w:val="0"/>
        <w:ind w:left="540" w:firstLine="450"/>
        <w:rPr>
          <w:rFonts w:ascii="Arial" w:eastAsia="Arial" w:hAnsi="Arial" w:cs="Arial"/>
          <w:color w:val="000000" w:themeColor="text1"/>
        </w:rPr>
      </w:pPr>
      <w:r w:rsidRPr="00252CA7">
        <w:rPr>
          <w:rFonts w:ascii="Arial" w:eastAsia="Arial" w:hAnsi="Arial" w:cs="Arial"/>
          <w:noProof/>
          <w:color w:val="000000" w:themeColor="text1"/>
        </w:rPr>
        <w:drawing>
          <wp:inline distT="0" distB="0" distL="0" distR="0" wp14:anchorId="61ABE3DC" wp14:editId="268A5545">
            <wp:extent cx="4082902" cy="3710763"/>
            <wp:effectExtent l="0" t="0" r="0" b="0"/>
            <wp:docPr id="144" name="image38.jpg" descr="Mechanical_Report_Files/Figure0019.png"/>
            <wp:cNvGraphicFramePr/>
            <a:graphic xmlns:a="http://schemas.openxmlformats.org/drawingml/2006/main">
              <a:graphicData uri="http://schemas.openxmlformats.org/drawingml/2006/picture">
                <pic:pic xmlns:pic="http://schemas.openxmlformats.org/drawingml/2006/picture">
                  <pic:nvPicPr>
                    <pic:cNvPr id="0" name="image38.jpg" descr="Mechanical_Report_Files/Figure0019.png"/>
                    <pic:cNvPicPr preferRelativeResize="0"/>
                  </pic:nvPicPr>
                  <pic:blipFill>
                    <a:blip r:embed="rId38"/>
                    <a:srcRect/>
                    <a:stretch>
                      <a:fillRect/>
                    </a:stretch>
                  </pic:blipFill>
                  <pic:spPr>
                    <a:xfrm>
                      <a:off x="0" y="0"/>
                      <a:ext cx="4088347" cy="3715712"/>
                    </a:xfrm>
                    <a:prstGeom prst="rect">
                      <a:avLst/>
                    </a:prstGeom>
                    <a:ln/>
                  </pic:spPr>
                </pic:pic>
              </a:graphicData>
            </a:graphic>
          </wp:inline>
        </w:drawing>
      </w:r>
    </w:p>
    <w:p w14:paraId="08BC0CBC" w14:textId="77777777" w:rsidR="00B33E8E" w:rsidRPr="00252CA7" w:rsidRDefault="00B33E8E" w:rsidP="00B33E8E">
      <w:pPr>
        <w:widowControl w:val="0"/>
        <w:ind w:left="1620"/>
        <w:rPr>
          <w:rFonts w:ascii="Arial" w:eastAsia="Arial" w:hAnsi="Arial" w:cs="Arial"/>
          <w:color w:val="000000" w:themeColor="text1"/>
        </w:rPr>
      </w:pPr>
    </w:p>
    <w:p w14:paraId="31414870" w14:textId="2BA78992" w:rsidR="00B33E8E" w:rsidRPr="00B33E8E" w:rsidRDefault="00B33E8E" w:rsidP="00B33E8E">
      <w:pPr>
        <w:widowControl w:val="0"/>
        <w:ind w:left="16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21</w:t>
      </w:r>
      <w:r w:rsidRPr="00B33E8E">
        <w:rPr>
          <w:rFonts w:ascii="Arial" w:hAnsi="Arial" w:cs="Arial"/>
          <w:b/>
          <w:bCs/>
          <w:color w:val="000000" w:themeColor="text1"/>
        </w:rPr>
        <w:t>: Static Structural showing factor of safety</w:t>
      </w:r>
    </w:p>
    <w:p w14:paraId="3084B6BF" w14:textId="77777777" w:rsidR="00B33E8E" w:rsidRPr="00252CA7" w:rsidRDefault="00B33E8E" w:rsidP="00B33E8E">
      <w:pPr>
        <w:widowControl w:val="0"/>
        <w:ind w:left="1620"/>
        <w:rPr>
          <w:rFonts w:ascii="Arial" w:hAnsi="Arial" w:cs="Arial"/>
          <w:color w:val="000000" w:themeColor="text1"/>
        </w:rPr>
      </w:pPr>
    </w:p>
    <w:p w14:paraId="6E6390DB" w14:textId="77777777" w:rsidR="00B33E8E" w:rsidRPr="00252CA7" w:rsidRDefault="00B33E8E" w:rsidP="00B33E8E">
      <w:pPr>
        <w:widowControl w:val="0"/>
        <w:jc w:val="center"/>
        <w:rPr>
          <w:rFonts w:ascii="Arial" w:hAnsi="Arial" w:cs="Arial"/>
          <w:color w:val="000000" w:themeColor="text1"/>
        </w:rPr>
      </w:pPr>
    </w:p>
    <w:p w14:paraId="7CB908BB" w14:textId="77777777" w:rsidR="00B33E8E" w:rsidRPr="00252CA7" w:rsidRDefault="00B33E8E" w:rsidP="00B33E8E">
      <w:pPr>
        <w:ind w:left="720"/>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3D2D1DD2" wp14:editId="06DDD37D">
            <wp:extent cx="4529138" cy="3771200"/>
            <wp:effectExtent l="0" t="0" r="0" b="0"/>
            <wp:docPr id="1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4529138" cy="3771200"/>
                    </a:xfrm>
                    <a:prstGeom prst="rect">
                      <a:avLst/>
                    </a:prstGeom>
                    <a:ln/>
                  </pic:spPr>
                </pic:pic>
              </a:graphicData>
            </a:graphic>
          </wp:inline>
        </w:drawing>
      </w:r>
    </w:p>
    <w:p w14:paraId="6190F2C8" w14:textId="77777777" w:rsidR="00B33E8E" w:rsidRPr="00252CA7" w:rsidRDefault="00B33E8E" w:rsidP="00B33E8E">
      <w:pPr>
        <w:ind w:left="720"/>
        <w:rPr>
          <w:rFonts w:ascii="Arial" w:hAnsi="Arial" w:cs="Arial"/>
          <w:color w:val="000000" w:themeColor="text1"/>
        </w:rPr>
      </w:pPr>
    </w:p>
    <w:p w14:paraId="10BEBE72" w14:textId="1D982DDF" w:rsidR="00B33E8E" w:rsidRPr="00B33E8E" w:rsidRDefault="00B33E8E" w:rsidP="00B33E8E">
      <w:pPr>
        <w:ind w:left="7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22</w:t>
      </w:r>
      <w:r w:rsidRPr="00B33E8E">
        <w:rPr>
          <w:rFonts w:ascii="Arial" w:hAnsi="Arial" w:cs="Arial"/>
          <w:b/>
          <w:bCs/>
          <w:color w:val="000000" w:themeColor="text1"/>
        </w:rPr>
        <w:t>: Static Structural showing factor of safety</w:t>
      </w:r>
    </w:p>
    <w:p w14:paraId="009CE273" w14:textId="77777777" w:rsidR="00B33E8E" w:rsidRPr="00B33E8E" w:rsidRDefault="00B33E8E">
      <w:pPr>
        <w:pStyle w:val="Heading1"/>
        <w:numPr>
          <w:ilvl w:val="1"/>
          <w:numId w:val="12"/>
        </w:numPr>
        <w:ind w:left="360"/>
        <w:rPr>
          <w:rFonts w:cs="Arial"/>
          <w:color w:val="000000" w:themeColor="text1"/>
          <w:sz w:val="22"/>
          <w:szCs w:val="22"/>
        </w:rPr>
      </w:pPr>
      <w:bookmarkStart w:id="72" w:name="_heading=h.9p5u9hp576uz" w:colFirst="0" w:colLast="0"/>
      <w:bookmarkStart w:id="73" w:name="_Toc140521320"/>
      <w:bookmarkEnd w:id="72"/>
      <w:r w:rsidRPr="00B33E8E">
        <w:rPr>
          <w:rFonts w:cs="Arial"/>
          <w:color w:val="000000" w:themeColor="text1"/>
          <w:sz w:val="22"/>
          <w:szCs w:val="22"/>
        </w:rPr>
        <w:t>Results of the Machine Learning Approaches</w:t>
      </w:r>
      <w:bookmarkEnd w:id="73"/>
    </w:p>
    <w:p w14:paraId="1DA810C0"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The performance of three different models, namely the linear regression model, random forest model, and artificial neural network (ANN), was evaluated for the given dataset. The accuracy and precision of each model were analysed to assess their predictive capabilities.</w:t>
      </w:r>
    </w:p>
    <w:p w14:paraId="0B04012D" w14:textId="77777777" w:rsidR="003945EB" w:rsidRPr="00252CA7" w:rsidRDefault="003945EB" w:rsidP="00B33E8E">
      <w:pPr>
        <w:jc w:val="both"/>
        <w:rPr>
          <w:rFonts w:ascii="Arial" w:hAnsi="Arial" w:cs="Arial"/>
          <w:color w:val="000000" w:themeColor="text1"/>
        </w:rPr>
      </w:pPr>
    </w:p>
    <w:p w14:paraId="5397475A"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t>Linear Regression Model:</w:t>
      </w:r>
      <w:r w:rsidRPr="00252CA7">
        <w:rPr>
          <w:rFonts w:ascii="Arial" w:hAnsi="Arial" w:cs="Arial"/>
          <w:color w:val="000000" w:themeColor="text1"/>
        </w:rPr>
        <w:t xml:space="preserve"> The linear regression model achieved a Mean Absolute Error(MAE) of 1.402 and Mean Squared Error(MSE) of 4.148 for proximate datasets  and a  Mean Absolute Error(MAE) of 1.094 and Mean Squared Error(MSE) of 2.590 for ultimate datasets. This is shown in figure A-1 and A-2.</w:t>
      </w:r>
    </w:p>
    <w:p w14:paraId="6D993679"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Although it provided a reasonable prediction accuracy, it exhibited limitations in capturing complex nonlinear relationships within the dataset. The model's simplicity and interpretability were its strengths, making it suitable for situations where the relationship between the input variables and the target variable is expected to be predominantly linear.</w:t>
      </w:r>
    </w:p>
    <w:p w14:paraId="24BB723F" w14:textId="77777777" w:rsidR="003945EB" w:rsidRPr="00252CA7" w:rsidRDefault="003945EB" w:rsidP="00B33E8E">
      <w:pPr>
        <w:jc w:val="both"/>
        <w:rPr>
          <w:rFonts w:ascii="Arial" w:hAnsi="Arial" w:cs="Arial"/>
          <w:color w:val="000000" w:themeColor="text1"/>
        </w:rPr>
      </w:pPr>
    </w:p>
    <w:p w14:paraId="29CBC255"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t>Random Forest Model:</w:t>
      </w:r>
      <w:r w:rsidRPr="00252CA7">
        <w:rPr>
          <w:rFonts w:ascii="Arial" w:hAnsi="Arial" w:cs="Arial"/>
          <w:color w:val="000000" w:themeColor="text1"/>
        </w:rPr>
        <w:t xml:space="preserve"> The random forest model demonstrated superior performance compared to the linear regression model, achieving a Mean Absolute Error(MAE) of 1.451 and Mean Squared Error(MSE) of 4.276 for proximate datasets  and a  Mean Absolute Error(MAE) of 1.067 and Mean Squared Error(MSE) of 2.557 for ultimate datasets. This is shown in figure A-3 and A-4.</w:t>
      </w:r>
    </w:p>
    <w:p w14:paraId="08EB12D2"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 xml:space="preserve">Its ability to handle nonlinear relationships and capture interactions among variables contributed to its enhanced predictive power. The model's ensemble nature and robustness </w:t>
      </w:r>
      <w:r w:rsidRPr="00252CA7">
        <w:rPr>
          <w:rFonts w:ascii="Arial" w:hAnsi="Arial" w:cs="Arial"/>
          <w:color w:val="000000" w:themeColor="text1"/>
        </w:rPr>
        <w:lastRenderedPageBreak/>
        <w:t>to outliers and noise were its notable strengths. However, the interpretability of the random forest model may be limited due to its complex structure.</w:t>
      </w:r>
    </w:p>
    <w:p w14:paraId="733D360F" w14:textId="77777777" w:rsidR="003945EB" w:rsidRPr="00252CA7" w:rsidRDefault="003945EB" w:rsidP="00B33E8E">
      <w:pPr>
        <w:jc w:val="both"/>
        <w:rPr>
          <w:rFonts w:ascii="Arial" w:hAnsi="Arial" w:cs="Arial"/>
          <w:color w:val="000000" w:themeColor="text1"/>
        </w:rPr>
      </w:pPr>
    </w:p>
    <w:p w14:paraId="3D3DB0E5"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t>Artificial Neural Network (ANN):</w:t>
      </w:r>
      <w:r w:rsidRPr="00252CA7">
        <w:rPr>
          <w:rFonts w:ascii="Arial" w:hAnsi="Arial" w:cs="Arial"/>
          <w:color w:val="000000" w:themeColor="text1"/>
        </w:rPr>
        <w:t xml:space="preserve"> The ANN model outperformed both the linear regression and random forest models, achieving a Mean Absolute Error(MAE) of 1.399 and Mean Squared Error(MSE) of 4.083 for proximate datasets  and a  Mean Absolute Error(MAE) of 1.046 and Mean Squared Error(MSE) of 2.565 for ultimate datasets. This is shown in figure A-5 and A-6.</w:t>
      </w:r>
    </w:p>
    <w:p w14:paraId="02B81A49" w14:textId="39D95F0B" w:rsidR="00B33E8E" w:rsidRDefault="00B33E8E" w:rsidP="00B33E8E">
      <w:pPr>
        <w:jc w:val="both"/>
        <w:rPr>
          <w:rFonts w:ascii="Arial" w:hAnsi="Arial" w:cs="Arial"/>
          <w:color w:val="000000" w:themeColor="text1"/>
        </w:rPr>
      </w:pPr>
      <w:r w:rsidRPr="00252CA7">
        <w:rPr>
          <w:rFonts w:ascii="Arial" w:hAnsi="Arial" w:cs="Arial"/>
          <w:color w:val="000000" w:themeColor="text1"/>
        </w:rPr>
        <w:t>With its ability to learn complex patterns and nonlinear relationships, the ANN model proved to be highly effective in capturing the underlying dynamics of the dataset. Its flexibility and adaptability allowed it to handle a wide range of data types and produce accurate predictions. However, the ANN model's black-box nature and high computational requirements were identified as potential limitations.</w:t>
      </w:r>
      <w:r w:rsidR="006C7968">
        <w:rPr>
          <w:rFonts w:ascii="Arial" w:hAnsi="Arial" w:cs="Arial"/>
          <w:color w:val="000000" w:themeColor="text1"/>
        </w:rPr>
        <w:t xml:space="preserve"> </w:t>
      </w:r>
      <w:r w:rsidR="006C7968" w:rsidRPr="006C7968">
        <w:rPr>
          <w:rFonts w:ascii="Arial" w:hAnsi="Arial" w:cs="Arial"/>
          <w:color w:val="000000" w:themeColor="text1"/>
        </w:rPr>
        <w:t>The superior performance of the ANN model observed in this study agrees with previous findings reported by Taki and Rohani (2022), who demonstrated that ANN models outperform conventional regression techniques in HHV prediction due to their ability to capture nonlinear relationships among biomass properties. Similarly, Ighalo et al. (2020) reported improved HHV prediction accuracy using machine learning approaches compared to empirical models.</w:t>
      </w:r>
    </w:p>
    <w:p w14:paraId="3AFB8B27" w14:textId="77777777" w:rsidR="003945EB" w:rsidRPr="00252CA7" w:rsidRDefault="003945EB" w:rsidP="00B33E8E">
      <w:pPr>
        <w:jc w:val="both"/>
        <w:rPr>
          <w:rFonts w:ascii="Arial" w:hAnsi="Arial" w:cs="Arial"/>
          <w:color w:val="000000" w:themeColor="text1"/>
        </w:rPr>
      </w:pPr>
    </w:p>
    <w:p w14:paraId="6BD514DE" w14:textId="77777777" w:rsidR="00B33E8E" w:rsidRDefault="00B33E8E" w:rsidP="00B33E8E">
      <w:pPr>
        <w:jc w:val="both"/>
        <w:rPr>
          <w:rFonts w:ascii="Arial" w:hAnsi="Arial" w:cs="Arial"/>
          <w:color w:val="000000" w:themeColor="text1"/>
        </w:rPr>
      </w:pPr>
      <w:r w:rsidRPr="00252CA7">
        <w:rPr>
          <w:rFonts w:ascii="Arial" w:hAnsi="Arial" w:cs="Arial"/>
          <w:b/>
          <w:color w:val="000000" w:themeColor="text1"/>
        </w:rPr>
        <w:t>Comparison of Model Performance:</w:t>
      </w:r>
      <w:r w:rsidRPr="00252CA7">
        <w:rPr>
          <w:rFonts w:ascii="Arial" w:hAnsi="Arial" w:cs="Arial"/>
          <w:color w:val="000000" w:themeColor="text1"/>
        </w:rPr>
        <w:t xml:space="preserve"> A comparison of the models' performance revealed that the ANN model yielded the highest accuracy and precision by predicting 92% of data from Literature, followed by the linear regression model by predicting 82% of data from Literature, while the random forest model exhibited relatively lower accuracy and precision by predicting 70% of data from Literature. The ANN model's ability to handle complex relationships and capture intricate patterns in the data contributed to its superior performance.</w:t>
      </w:r>
    </w:p>
    <w:p w14:paraId="586A9DE0" w14:textId="77777777" w:rsidR="00313F8D" w:rsidRDefault="00313F8D" w:rsidP="00B33E8E">
      <w:pPr>
        <w:jc w:val="both"/>
        <w:rPr>
          <w:rFonts w:ascii="Arial" w:hAnsi="Arial" w:cs="Arial"/>
          <w:color w:val="000000" w:themeColor="text1"/>
        </w:rPr>
      </w:pPr>
    </w:p>
    <w:p w14:paraId="490F8291" w14:textId="77777777" w:rsidR="00313F8D" w:rsidRPr="00176629" w:rsidRDefault="00313F8D" w:rsidP="00313F8D">
      <w:pPr>
        <w:jc w:val="both"/>
        <w:rPr>
          <w:color w:val="000000" w:themeColor="text1"/>
        </w:rPr>
      </w:pPr>
      <w:r w:rsidRPr="00176629">
        <w:rPr>
          <w:b/>
          <w:color w:val="000000" w:themeColor="text1"/>
        </w:rPr>
        <w:t xml:space="preserve">Feature Analysis for Proximate and Ultimate Data: </w:t>
      </w:r>
      <w:r w:rsidRPr="00176629">
        <w:rPr>
          <w:color w:val="000000" w:themeColor="text1"/>
        </w:rPr>
        <w:t>This is determined by analysing how much each of the constituents that make up the proximate and ultimate analysis contribute to optimising the objective function of the model for predicting the Higher Heating Value. By visualising this importance, we can easily identify the top-ranked features and prioritise them for further analysis or decision-making. The feature importance of proximate analysis refers to the assessment of the relevance and impact of different proximate analysis parameters or variables. This is shown in figures A-7 and A-8.</w:t>
      </w:r>
    </w:p>
    <w:p w14:paraId="7310C00D" w14:textId="77777777" w:rsidR="00313F8D" w:rsidRPr="00176629" w:rsidRDefault="00313F8D" w:rsidP="00313F8D">
      <w:pPr>
        <w:jc w:val="both"/>
        <w:rPr>
          <w:color w:val="000000" w:themeColor="text1"/>
        </w:rPr>
      </w:pPr>
      <w:r w:rsidRPr="00176629">
        <w:rPr>
          <w:color w:val="000000" w:themeColor="text1"/>
        </w:rPr>
        <w:t>From Figure A-7, The feature with the highest feature importance for the proximate analysis is the Fixed Carbon, that is it has the strongest impact on the model's predictions.</w:t>
      </w:r>
    </w:p>
    <w:p w14:paraId="64A4A895" w14:textId="77777777" w:rsidR="00313F8D" w:rsidRPr="00176629" w:rsidRDefault="00313F8D" w:rsidP="00313F8D">
      <w:pPr>
        <w:jc w:val="both"/>
        <w:rPr>
          <w:b/>
          <w:color w:val="000000" w:themeColor="text1"/>
        </w:rPr>
      </w:pPr>
      <w:r w:rsidRPr="00176629">
        <w:rPr>
          <w:color w:val="000000" w:themeColor="text1"/>
        </w:rPr>
        <w:t>From Figure A-8, The feature with the highest feature importance for the ultimate analysis is the Carbon, that is it has the strongest impact on the model's predictions. This means that carbon has the highest influence on the prediction of the HHV, followed by oxygen, nitrogen, hydrogen and sulphur.</w:t>
      </w:r>
    </w:p>
    <w:p w14:paraId="33A7621D" w14:textId="77777777" w:rsidR="00B33E8E" w:rsidRPr="00B33E8E" w:rsidRDefault="00B33E8E">
      <w:pPr>
        <w:pStyle w:val="Heading1"/>
        <w:numPr>
          <w:ilvl w:val="1"/>
          <w:numId w:val="12"/>
        </w:numPr>
        <w:ind w:left="360"/>
        <w:rPr>
          <w:rFonts w:cs="Arial"/>
          <w:color w:val="000000" w:themeColor="text1"/>
          <w:sz w:val="22"/>
          <w:szCs w:val="22"/>
        </w:rPr>
      </w:pPr>
      <w:bookmarkStart w:id="74" w:name="_heading=h.13uquixapqcy" w:colFirst="0" w:colLast="0"/>
      <w:bookmarkStart w:id="75" w:name="_Toc140521321"/>
      <w:bookmarkEnd w:id="74"/>
      <w:r w:rsidRPr="00B33E8E">
        <w:rPr>
          <w:rFonts w:cs="Arial"/>
          <w:color w:val="000000" w:themeColor="text1"/>
          <w:sz w:val="22"/>
          <w:szCs w:val="22"/>
        </w:rPr>
        <w:t>Empirical Formula Evaluation/Correlation</w:t>
      </w:r>
      <w:bookmarkEnd w:id="75"/>
      <w:r w:rsidRPr="00B33E8E">
        <w:rPr>
          <w:rFonts w:cs="Arial"/>
          <w:color w:val="000000" w:themeColor="text1"/>
          <w:sz w:val="22"/>
          <w:szCs w:val="22"/>
        </w:rPr>
        <w:tab/>
      </w:r>
    </w:p>
    <w:p w14:paraId="376BC6C1"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Higher Heating Value (HHV) of a fuel is a crucial parameter for estimating its energy content and combustion efficiency. In this study, an empirical formula correlation was developed to predict the HHV of a fuel based on proximate analysis data and ultimate analysis data obtained from the literature. The objective was to establish a relationship between the HHV derived from literature sources and the HHV predicted using readily available fuel composition data.</w:t>
      </w:r>
    </w:p>
    <w:p w14:paraId="3CB4BA3F"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The collected literature values of HHV as shown in Appendix were compared with the HHV values predicted using the derived HHV predictive model attained in this work. Through the linear regression model, two empirical formula correlations were derived and given as follows:</w:t>
      </w:r>
    </w:p>
    <w:p w14:paraId="2885D403" w14:textId="77777777" w:rsidR="003945EB" w:rsidRPr="00252CA7" w:rsidRDefault="003945EB" w:rsidP="00B33E8E">
      <w:pPr>
        <w:jc w:val="both"/>
        <w:rPr>
          <w:rFonts w:ascii="Arial" w:hAnsi="Arial" w:cs="Arial"/>
          <w:color w:val="000000" w:themeColor="text1"/>
        </w:rPr>
      </w:pPr>
    </w:p>
    <w:p w14:paraId="7C59DE72" w14:textId="77777777" w:rsidR="00B33E8E" w:rsidRPr="00252CA7" w:rsidRDefault="00B33E8E" w:rsidP="00B33E8E">
      <w:pPr>
        <w:jc w:val="both"/>
        <w:rPr>
          <w:rFonts w:ascii="Arial" w:hAnsi="Arial" w:cs="Arial"/>
          <w:b/>
          <w:color w:val="000000" w:themeColor="text1"/>
        </w:rPr>
      </w:pPr>
      <w:r w:rsidRPr="00252CA7">
        <w:rPr>
          <w:rFonts w:ascii="Arial" w:hAnsi="Arial" w:cs="Arial"/>
          <w:b/>
          <w:color w:val="000000" w:themeColor="text1"/>
        </w:rPr>
        <w:lastRenderedPageBreak/>
        <w:t>HHV Predicted Ultimate:</w:t>
      </w:r>
    </w:p>
    <w:p w14:paraId="1EB7BA45"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HHV predicted Ultimate = a * (Carbon) + b * (Hydrogen) + c * (Nitrogen) + d * (Sulphur) + e * (Oxygen)</w:t>
      </w:r>
    </w:p>
    <w:p w14:paraId="0971B07A" w14:textId="77777777" w:rsidR="00B33E8E" w:rsidRPr="00252CA7" w:rsidRDefault="00B33E8E" w:rsidP="00B33E8E">
      <w:pPr>
        <w:jc w:val="both"/>
        <w:rPr>
          <w:rFonts w:ascii="Arial" w:hAnsi="Arial" w:cs="Arial"/>
          <w:color w:val="000000" w:themeColor="text1"/>
        </w:rPr>
      </w:pPr>
    </w:p>
    <w:p w14:paraId="698BEFC4"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coefficients (a, b, c, d, e) in the equation were determined through the linear regression model, and their values were found to be:</w:t>
      </w:r>
    </w:p>
    <w:p w14:paraId="387A1BED"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a = 0.321, b = 0.671, c = -0.178, d = -0.074, e = 1.196 and intercept = 3.345</w:t>
      </w:r>
    </w:p>
    <w:p w14:paraId="3F8E3840"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Hence, HHV Predicted Ultimate = 0.321C + 0.671H - 0.178N - 0.0740 + 1.196S + 3.345</w:t>
      </w:r>
    </w:p>
    <w:p w14:paraId="1E2B6AE5" w14:textId="77777777" w:rsidR="003945EB" w:rsidRPr="00252CA7" w:rsidRDefault="003945EB" w:rsidP="00B33E8E">
      <w:pPr>
        <w:jc w:val="both"/>
        <w:rPr>
          <w:rFonts w:ascii="Arial" w:hAnsi="Arial" w:cs="Arial"/>
          <w:color w:val="000000" w:themeColor="text1"/>
        </w:rPr>
      </w:pPr>
    </w:p>
    <w:p w14:paraId="4E10D155" w14:textId="77777777" w:rsidR="00B33E8E" w:rsidRPr="00252CA7" w:rsidRDefault="00B33E8E" w:rsidP="00B33E8E">
      <w:pPr>
        <w:jc w:val="both"/>
        <w:rPr>
          <w:rFonts w:ascii="Arial" w:hAnsi="Arial" w:cs="Arial"/>
          <w:b/>
          <w:color w:val="000000" w:themeColor="text1"/>
        </w:rPr>
      </w:pPr>
      <w:r w:rsidRPr="00252CA7">
        <w:rPr>
          <w:rFonts w:ascii="Arial" w:hAnsi="Arial" w:cs="Arial"/>
          <w:b/>
          <w:color w:val="000000" w:themeColor="text1"/>
        </w:rPr>
        <w:t>HHV Predicted Proximate:</w:t>
      </w:r>
    </w:p>
    <w:p w14:paraId="763B7ACC"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HHV predicted Proximate = f * (Volatile Matter) + g * (Fixed Carbon) + h * (Ash)</w:t>
      </w:r>
    </w:p>
    <w:p w14:paraId="62E2EAE7"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values of coefficients (f, g, h) in the equation were found to be:</w:t>
      </w:r>
    </w:p>
    <w:p w14:paraId="365A976E"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f = 0.208, g = 0.405, h = 0.025, Intercept = -3.979</w:t>
      </w:r>
    </w:p>
    <w:p w14:paraId="4C7025EF"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Hence, HHV Predicted Proximate = 0.208VM + 0.405FC + 0.025ASH - 3.979</w:t>
      </w:r>
    </w:p>
    <w:p w14:paraId="38105278" w14:textId="77777777" w:rsidR="004D436E" w:rsidRPr="00252CA7" w:rsidRDefault="004D436E" w:rsidP="00B33E8E">
      <w:pPr>
        <w:jc w:val="both"/>
        <w:rPr>
          <w:rFonts w:ascii="Arial" w:hAnsi="Arial" w:cs="Arial"/>
          <w:color w:val="000000" w:themeColor="text1"/>
        </w:rPr>
      </w:pPr>
    </w:p>
    <w:p w14:paraId="056C2CE7"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From figure A-10, we can infer that the correlation equation showed a strong correlation between the HHV predicted using proximate analysis data and ultimate analysis data and the HHV derived from literature sources. The coefficient of determination (R-squared value) for both the proximate predicted HHV and the Ultimate predicted HHV is very close although the R</w:t>
      </w:r>
      <w:r w:rsidRPr="00252CA7">
        <w:rPr>
          <w:rFonts w:ascii="Arial" w:hAnsi="Arial" w:cs="Arial"/>
          <w:color w:val="000000" w:themeColor="text1"/>
          <w:vertAlign w:val="superscript"/>
        </w:rPr>
        <w:t xml:space="preserve">2 </w:t>
      </w:r>
      <w:r w:rsidRPr="00252CA7">
        <w:rPr>
          <w:rFonts w:ascii="Arial" w:hAnsi="Arial" w:cs="Arial"/>
          <w:color w:val="000000" w:themeColor="text1"/>
        </w:rPr>
        <w:t xml:space="preserve"> value for ultimate predicted HHV is higher.</w:t>
      </w:r>
    </w:p>
    <w:p w14:paraId="66ADC115" w14:textId="77777777" w:rsidR="004D436E" w:rsidRPr="00252CA7" w:rsidRDefault="004D436E" w:rsidP="00B33E8E">
      <w:pPr>
        <w:jc w:val="both"/>
        <w:rPr>
          <w:rFonts w:ascii="Arial" w:hAnsi="Arial" w:cs="Arial"/>
          <w:color w:val="000000" w:themeColor="text1"/>
        </w:rPr>
      </w:pPr>
    </w:p>
    <w:p w14:paraId="22033CB0" w14:textId="02AB97C2"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coefficient of determination (R-squared value) for the proximate predicted HHV</w:t>
      </w:r>
      <w:r w:rsidR="00A55F9F">
        <w:rPr>
          <w:rFonts w:ascii="Arial" w:hAnsi="Arial" w:cs="Arial"/>
          <w:color w:val="000000" w:themeColor="text1"/>
        </w:rPr>
        <w:t xml:space="preserve"> </w:t>
      </w:r>
      <w:r w:rsidRPr="00252CA7">
        <w:rPr>
          <w:rFonts w:ascii="Arial" w:hAnsi="Arial" w:cs="Arial"/>
          <w:color w:val="000000" w:themeColor="text1"/>
        </w:rPr>
        <w:t>was found to be 0.7115 as shown in figure A-12, indicating that 71% of the variance in the HHV values could be explained by the correlation equation.</w:t>
      </w:r>
    </w:p>
    <w:p w14:paraId="2A8D38D1" w14:textId="0BE9AF31" w:rsidR="004D436E" w:rsidRDefault="00B33E8E" w:rsidP="00B33E8E">
      <w:pPr>
        <w:jc w:val="both"/>
        <w:rPr>
          <w:rFonts w:ascii="Arial" w:hAnsi="Arial" w:cs="Arial"/>
          <w:color w:val="000000" w:themeColor="text1"/>
        </w:rPr>
      </w:pPr>
      <w:r w:rsidRPr="00252CA7">
        <w:rPr>
          <w:rFonts w:ascii="Arial" w:hAnsi="Arial" w:cs="Arial"/>
          <w:color w:val="000000" w:themeColor="text1"/>
        </w:rPr>
        <w:t>The coefficient of determination (R-squared value) for the ultimate predicted HHV</w:t>
      </w:r>
      <w:r w:rsidR="00A55F9F">
        <w:rPr>
          <w:rFonts w:ascii="Arial" w:hAnsi="Arial" w:cs="Arial"/>
          <w:color w:val="000000" w:themeColor="text1"/>
        </w:rPr>
        <w:t xml:space="preserve"> </w:t>
      </w:r>
      <w:r w:rsidRPr="00252CA7">
        <w:rPr>
          <w:rFonts w:ascii="Arial" w:hAnsi="Arial" w:cs="Arial"/>
          <w:color w:val="000000" w:themeColor="text1"/>
        </w:rPr>
        <w:t>was found to be 0.734 as shown in figure A-14, indicating that 73.4% of the variance in the HHV values could be explained by the correlation equation.</w:t>
      </w:r>
      <w:r w:rsidR="004D436E">
        <w:rPr>
          <w:rFonts w:ascii="Arial" w:hAnsi="Arial" w:cs="Arial"/>
          <w:color w:val="000000" w:themeColor="text1"/>
        </w:rPr>
        <w:t xml:space="preserve"> </w:t>
      </w:r>
      <w:r w:rsidRPr="00252CA7">
        <w:rPr>
          <w:rFonts w:ascii="Arial" w:hAnsi="Arial" w:cs="Arial"/>
          <w:color w:val="000000" w:themeColor="text1"/>
        </w:rPr>
        <w:t xml:space="preserve">Hence, both the proximate analysis data and ultimate analysis data exhibit strong correlations with the HHV derived from literature sources, as indicated by the high R-squared values. The ultimate analysis data, in particular, demonstrates a slightly stronger association with HHV values. </w:t>
      </w:r>
    </w:p>
    <w:p w14:paraId="5D591431" w14:textId="77777777" w:rsidR="004D436E" w:rsidRPr="00252CA7" w:rsidRDefault="004D436E" w:rsidP="00B33E8E">
      <w:pPr>
        <w:jc w:val="both"/>
        <w:rPr>
          <w:rFonts w:ascii="Arial" w:hAnsi="Arial" w:cs="Arial"/>
          <w:color w:val="000000" w:themeColor="text1"/>
        </w:rPr>
      </w:pPr>
    </w:p>
    <w:p w14:paraId="1159C8BD" w14:textId="77777777" w:rsidR="000A29A2" w:rsidRDefault="00B33E8E" w:rsidP="00B33E8E">
      <w:pPr>
        <w:jc w:val="both"/>
        <w:rPr>
          <w:rFonts w:ascii="Arial" w:hAnsi="Arial" w:cs="Arial"/>
          <w:color w:val="000000" w:themeColor="text1"/>
        </w:rPr>
      </w:pPr>
      <w:r w:rsidRPr="00252CA7">
        <w:rPr>
          <w:rFonts w:ascii="Arial" w:hAnsi="Arial" w:cs="Arial"/>
          <w:color w:val="000000" w:themeColor="text1"/>
        </w:rPr>
        <w:t>The empirical formula correlations developed in this study provides a reliable and convenient method for estimating the HHV of a biomass based on readily available proximate analysis data and ultimate analysis data. The correlation equation demonstrated a strong correlation with the HHV values derived from literature sources, and its high coefficient of determination indicates its predictive accuracy. This correlation can be utilised in various applications, such as energy calculations, fuel quality assessment, and combustion efficiency evaluations.</w:t>
      </w:r>
      <w:r w:rsidR="000A29A2">
        <w:rPr>
          <w:rFonts w:ascii="Arial" w:hAnsi="Arial" w:cs="Arial"/>
          <w:color w:val="000000" w:themeColor="text1"/>
        </w:rPr>
        <w:t xml:space="preserve"> </w:t>
      </w:r>
    </w:p>
    <w:p w14:paraId="2E73B85D" w14:textId="77777777" w:rsidR="000A29A2" w:rsidRDefault="000A29A2" w:rsidP="00B33E8E">
      <w:pPr>
        <w:jc w:val="both"/>
        <w:rPr>
          <w:rFonts w:ascii="Arial" w:hAnsi="Arial" w:cs="Arial"/>
          <w:color w:val="000000" w:themeColor="text1"/>
        </w:rPr>
      </w:pPr>
    </w:p>
    <w:p w14:paraId="3B79C982" w14:textId="3C76A3B9" w:rsidR="00B33E8E" w:rsidRDefault="000A29A2" w:rsidP="00B33E8E">
      <w:pPr>
        <w:jc w:val="both"/>
        <w:rPr>
          <w:rFonts w:ascii="Arial" w:hAnsi="Arial" w:cs="Arial"/>
          <w:color w:val="000000" w:themeColor="text1"/>
        </w:rPr>
      </w:pPr>
      <w:r w:rsidRPr="000A29A2">
        <w:rPr>
          <w:rFonts w:ascii="Arial" w:hAnsi="Arial" w:cs="Arial"/>
          <w:color w:val="000000" w:themeColor="text1"/>
        </w:rPr>
        <w:t>Although the ANN model achieved the best overall machine learning prediction performance, the empirical correlation based on ultimate analysis also demonstrated strong predictive capability among the developed regression equations. This indicates that ultimate analysis parameters provide a reliable basis for estimating the higher heating value (HHV) of torrefied coconut shell biomass using simplified empirical approaches.</w:t>
      </w:r>
    </w:p>
    <w:p w14:paraId="245BCA48" w14:textId="77777777" w:rsidR="000A29A2" w:rsidRPr="00B33E8E" w:rsidRDefault="000A29A2" w:rsidP="000A29A2">
      <w:pPr>
        <w:pStyle w:val="Heading1"/>
        <w:numPr>
          <w:ilvl w:val="1"/>
          <w:numId w:val="12"/>
        </w:numPr>
        <w:ind w:left="360"/>
        <w:rPr>
          <w:rFonts w:cs="Arial"/>
          <w:color w:val="000000" w:themeColor="text1"/>
          <w:sz w:val="22"/>
          <w:szCs w:val="22"/>
        </w:rPr>
      </w:pPr>
      <w:r w:rsidRPr="00B33E8E">
        <w:rPr>
          <w:rFonts w:cs="Arial"/>
          <w:color w:val="000000" w:themeColor="text1"/>
          <w:sz w:val="22"/>
          <w:szCs w:val="22"/>
        </w:rPr>
        <w:t>Empirical Formula Evaluation/Correlation</w:t>
      </w:r>
      <w:r w:rsidRPr="00B33E8E">
        <w:rPr>
          <w:rFonts w:cs="Arial"/>
          <w:color w:val="000000" w:themeColor="text1"/>
          <w:sz w:val="22"/>
          <w:szCs w:val="22"/>
        </w:rPr>
        <w:tab/>
      </w:r>
    </w:p>
    <w:p w14:paraId="37C8EDE8" w14:textId="77777777" w:rsidR="000A29A2" w:rsidRPr="000A29A2" w:rsidRDefault="000A29A2" w:rsidP="000A29A2">
      <w:pPr>
        <w:pStyle w:val="NormalWeb"/>
        <w:jc w:val="both"/>
        <w:rPr>
          <w:rFonts w:ascii="Arial" w:hAnsi="Arial" w:cs="Arial"/>
          <w:sz w:val="20"/>
          <w:szCs w:val="20"/>
        </w:rPr>
      </w:pPr>
      <w:r w:rsidRPr="000A29A2">
        <w:rPr>
          <w:rFonts w:ascii="Arial" w:hAnsi="Arial" w:cs="Arial"/>
          <w:sz w:val="20"/>
          <w:szCs w:val="20"/>
        </w:rPr>
        <w:t>Despite the promising findings obtained in this study, certain limitations should be acknowledged. One of the major limitations of this work is the dependence on literature-derived datasets for the development and evaluation of the machine learning models. Although the datasets were compiled from credible published sources, variations in experimental conditions, biomass preparation methods, and analytical procedures across different studies may introduce inconsistencies into the data used for model training and validation.</w:t>
      </w:r>
    </w:p>
    <w:p w14:paraId="325BB7DF" w14:textId="77777777" w:rsidR="000A29A2" w:rsidRPr="000A29A2" w:rsidRDefault="000A29A2" w:rsidP="000A29A2">
      <w:pPr>
        <w:pStyle w:val="NormalWeb"/>
        <w:jc w:val="both"/>
        <w:rPr>
          <w:rFonts w:ascii="Arial" w:hAnsi="Arial" w:cs="Arial"/>
          <w:sz w:val="20"/>
          <w:szCs w:val="20"/>
        </w:rPr>
      </w:pPr>
      <w:r w:rsidRPr="000A29A2">
        <w:rPr>
          <w:rFonts w:ascii="Arial" w:hAnsi="Arial" w:cs="Arial"/>
          <w:sz w:val="20"/>
          <w:szCs w:val="20"/>
        </w:rPr>
        <w:lastRenderedPageBreak/>
        <w:t>Another limitation is the limited experimental validation of the developed reactor and predictive models. The reactor performance assessment was primarily based on simulation and theoretical calculations, while the higher heating value (HHV) prediction models relied mainly on secondary datasets obtained from literature sources. Consequently, further experimental investigations using real-time torrefaction experiments and direct HHV measurements are necessary to validate the predictive capability and practical applicability of the developed models.</w:t>
      </w:r>
    </w:p>
    <w:p w14:paraId="03A9B0A5" w14:textId="77777777" w:rsidR="000A29A2" w:rsidRPr="000A29A2" w:rsidRDefault="000A29A2" w:rsidP="000A29A2">
      <w:pPr>
        <w:pStyle w:val="NormalWeb"/>
        <w:jc w:val="both"/>
        <w:rPr>
          <w:rFonts w:ascii="Arial" w:hAnsi="Arial" w:cs="Arial"/>
          <w:sz w:val="20"/>
          <w:szCs w:val="20"/>
        </w:rPr>
      </w:pPr>
      <w:r w:rsidRPr="000A29A2">
        <w:rPr>
          <w:rFonts w:ascii="Arial" w:hAnsi="Arial" w:cs="Arial"/>
          <w:sz w:val="20"/>
          <w:szCs w:val="20"/>
        </w:rPr>
        <w:t>Possible dataset bias may also exist due to the unequal representation of biomass samples within the compiled database. Certain biomass categories may have been overrepresented compared to others, which could influence the learning behavior and prediction accuracy of the machine learning algorithms. Additionally, missing values within some datasets were handled using average value imputation, which may slightly affect model precision.</w:t>
      </w:r>
    </w:p>
    <w:p w14:paraId="1FEA5A1F" w14:textId="77777777" w:rsidR="000A29A2" w:rsidRPr="000A29A2" w:rsidRDefault="000A29A2" w:rsidP="000A29A2">
      <w:pPr>
        <w:pStyle w:val="NormalWeb"/>
        <w:jc w:val="both"/>
        <w:rPr>
          <w:rFonts w:ascii="Arial" w:hAnsi="Arial" w:cs="Arial"/>
          <w:sz w:val="20"/>
          <w:szCs w:val="20"/>
        </w:rPr>
      </w:pPr>
      <w:r w:rsidRPr="000A29A2">
        <w:rPr>
          <w:rFonts w:ascii="Arial" w:hAnsi="Arial" w:cs="Arial"/>
          <w:sz w:val="20"/>
          <w:szCs w:val="20"/>
        </w:rPr>
        <w:t>Furthermore, the study considered a limited diversity of biomass feedstocks, with major emphasis placed on coconut shell biomass and related lignocellulosic materials. Since biomass characteristics vary significantly depending on source, composition, and geographical conditions, the developed models may not fully generalize to all biomass types without further retraining and validation using broader datasets.</w:t>
      </w:r>
    </w:p>
    <w:p w14:paraId="7C90293B" w14:textId="77777777" w:rsidR="000A29A2" w:rsidRPr="000A29A2" w:rsidRDefault="000A29A2" w:rsidP="000A29A2">
      <w:pPr>
        <w:pStyle w:val="NormalWeb"/>
        <w:jc w:val="both"/>
        <w:rPr>
          <w:rFonts w:ascii="Arial" w:hAnsi="Arial" w:cs="Arial"/>
          <w:sz w:val="20"/>
          <w:szCs w:val="20"/>
        </w:rPr>
      </w:pPr>
      <w:r w:rsidRPr="000A29A2">
        <w:rPr>
          <w:rFonts w:ascii="Arial" w:hAnsi="Arial" w:cs="Arial"/>
          <w:sz w:val="20"/>
          <w:szCs w:val="20"/>
        </w:rPr>
        <w:t>Finally, although the Artificial Neural Network (ANN) model demonstrated superior predictive performance, ANN models are often associated with high computational requirements and limited interpretability due to their black-box nature. Therefore, future studies should focus on improving model interpretability, incorporating larger and more diverse datasets, and conducting extensive experimental validation under practical operating conditions.</w:t>
      </w:r>
    </w:p>
    <w:p w14:paraId="5A665F1D" w14:textId="77777777" w:rsidR="000A29A2" w:rsidRDefault="000A29A2" w:rsidP="00B33E8E">
      <w:pPr>
        <w:jc w:val="both"/>
        <w:rPr>
          <w:rFonts w:ascii="Arial" w:hAnsi="Arial" w:cs="Arial"/>
          <w:color w:val="000000" w:themeColor="text1"/>
        </w:rPr>
      </w:pPr>
    </w:p>
    <w:p w14:paraId="2ABA8AC6" w14:textId="5ECAA765" w:rsidR="003945EB" w:rsidRDefault="003945EB" w:rsidP="003945EB">
      <w:pPr>
        <w:pStyle w:val="AbstHead"/>
        <w:spacing w:after="0"/>
        <w:jc w:val="both"/>
        <w:rPr>
          <w:rFonts w:ascii="Arial" w:hAnsi="Arial" w:cs="Arial"/>
        </w:rPr>
      </w:pPr>
      <w:r>
        <w:rPr>
          <w:rFonts w:ascii="Arial" w:hAnsi="Arial" w:cs="Arial"/>
        </w:rPr>
        <w:t>5. conclusion</w:t>
      </w:r>
    </w:p>
    <w:p w14:paraId="4F24A3BF" w14:textId="77777777" w:rsidR="007413E7" w:rsidRDefault="007413E7" w:rsidP="007413E7">
      <w:pPr>
        <w:jc w:val="both"/>
        <w:rPr>
          <w:rFonts w:ascii="Arial" w:hAnsi="Arial" w:cs="Arial"/>
          <w:color w:val="000000" w:themeColor="text1"/>
        </w:rPr>
      </w:pPr>
    </w:p>
    <w:p w14:paraId="54E6EE44" w14:textId="49C0A48D" w:rsidR="001C167F" w:rsidRDefault="001C167F" w:rsidP="001C167F">
      <w:pPr>
        <w:jc w:val="both"/>
        <w:rPr>
          <w:rFonts w:ascii="Arial" w:hAnsi="Arial" w:cs="Arial"/>
          <w:color w:val="000000" w:themeColor="text1"/>
        </w:rPr>
      </w:pPr>
      <w:r w:rsidRPr="00252CA7">
        <w:rPr>
          <w:rFonts w:ascii="Arial" w:hAnsi="Arial" w:cs="Arial"/>
          <w:color w:val="000000" w:themeColor="text1"/>
        </w:rPr>
        <w:t xml:space="preserve">In this study, the focus was on the design of a torrefaction reactor and the evaluation of torrefied coconut shell energy content using machine learning algorithms, including Artificial Neural Networks (ANN), Random Forest, and Linear Regression.  </w:t>
      </w:r>
    </w:p>
    <w:p w14:paraId="3A4F8198" w14:textId="77777777" w:rsidR="001C167F" w:rsidRPr="00252CA7" w:rsidRDefault="001C167F" w:rsidP="001C167F">
      <w:pPr>
        <w:jc w:val="both"/>
        <w:rPr>
          <w:rFonts w:ascii="Arial" w:hAnsi="Arial" w:cs="Arial"/>
          <w:color w:val="000000" w:themeColor="text1"/>
        </w:rPr>
      </w:pPr>
    </w:p>
    <w:p w14:paraId="172B645C" w14:textId="0F852A11" w:rsidR="001C167F" w:rsidRDefault="001C167F" w:rsidP="001C167F">
      <w:pPr>
        <w:jc w:val="both"/>
        <w:rPr>
          <w:rFonts w:ascii="Arial" w:hAnsi="Arial" w:cs="Arial"/>
          <w:color w:val="000000" w:themeColor="text1"/>
        </w:rPr>
      </w:pPr>
      <w:r w:rsidRPr="00252CA7">
        <w:rPr>
          <w:rFonts w:ascii="Arial" w:hAnsi="Arial" w:cs="Arial"/>
          <w:color w:val="000000" w:themeColor="text1"/>
        </w:rPr>
        <w:t xml:space="preserve">The torrefaction reactor that facilitates the torrefaction of coconut shell biomass was successfully designed. </w:t>
      </w:r>
      <w:r w:rsidR="00A55F9F" w:rsidRPr="00A55F9F">
        <w:rPr>
          <w:rFonts w:ascii="Arial" w:hAnsi="Arial" w:cs="Arial"/>
          <w:color w:val="000000" w:themeColor="text1"/>
        </w:rPr>
        <w:t>The reactor design is crucial for achieving optimal torrefaction results and ensuring the production of high-quality torrefied coconut shell biomass</w:t>
      </w:r>
      <w:r w:rsidRPr="00252CA7">
        <w:rPr>
          <w:rFonts w:ascii="Arial" w:hAnsi="Arial" w:cs="Arial"/>
          <w:color w:val="000000" w:themeColor="text1"/>
        </w:rPr>
        <w:t xml:space="preserve">. The performance evaluation results using ANSYS tool revealed that the designed reactor is suitable enough to produce biomass at a temperature range of 250 - 3000C. </w:t>
      </w:r>
    </w:p>
    <w:p w14:paraId="76B5E37A" w14:textId="77777777" w:rsidR="001C167F" w:rsidRPr="00252CA7" w:rsidRDefault="001C167F" w:rsidP="001C167F">
      <w:pPr>
        <w:jc w:val="both"/>
        <w:rPr>
          <w:rFonts w:ascii="Arial" w:hAnsi="Arial" w:cs="Arial"/>
          <w:color w:val="000000" w:themeColor="text1"/>
        </w:rPr>
      </w:pPr>
    </w:p>
    <w:p w14:paraId="3AE4B928" w14:textId="0E6DAD75" w:rsidR="001C167F" w:rsidRDefault="001C167F" w:rsidP="001C167F">
      <w:pPr>
        <w:spacing w:after="252" w:line="259" w:lineRule="auto"/>
        <w:ind w:left="10"/>
        <w:jc w:val="both"/>
        <w:rPr>
          <w:rFonts w:ascii="Arial" w:hAnsi="Arial" w:cs="Arial"/>
          <w:color w:val="000000" w:themeColor="text1"/>
        </w:rPr>
      </w:pPr>
      <w:r w:rsidRPr="00252CA7">
        <w:rPr>
          <w:rFonts w:ascii="Arial" w:hAnsi="Arial" w:cs="Arial"/>
          <w:color w:val="000000" w:themeColor="text1"/>
        </w:rPr>
        <w:t xml:space="preserve">This project successfully designed a reactor for torrefaction that efficiently transfers heat using a heating band. The evaluation of literature compared to the predicted higher heating value (HHV) using proximate and ultimate analysis of coconut shell revealed a high level of accuracy, with a determinant of 0.9162 for proximate and 0.9254 for ultimate analysis. The ultimate analysis method was chosen as the preferred approach due to its reliability and precision. </w:t>
      </w:r>
    </w:p>
    <w:p w14:paraId="739FF47E" w14:textId="77777777" w:rsidR="001C167F" w:rsidRDefault="001C167F" w:rsidP="001C167F">
      <w:pPr>
        <w:spacing w:after="252" w:line="259" w:lineRule="auto"/>
        <w:ind w:left="10"/>
        <w:jc w:val="both"/>
        <w:rPr>
          <w:rFonts w:ascii="Arial" w:hAnsi="Arial" w:cs="Arial"/>
          <w:color w:val="000000" w:themeColor="text1"/>
        </w:rPr>
      </w:pPr>
      <w:r w:rsidRPr="00252CA7">
        <w:rPr>
          <w:rFonts w:ascii="Arial" w:hAnsi="Arial" w:cs="Arial"/>
          <w:color w:val="000000" w:themeColor="text1"/>
        </w:rPr>
        <w:t xml:space="preserve">Furthermore, three prediction methods were considered, linear regression, random forest, and artificial neural network (ANN). Among these, the ANN model demonstrated superior performance and accuracy in predicting the HHV. Its ability to capture complex relationships and patterns within the data made it the most suitable choice for this project. </w:t>
      </w:r>
    </w:p>
    <w:p w14:paraId="7F13BF76" w14:textId="274357AB" w:rsidR="00315186" w:rsidRDefault="000A29A2" w:rsidP="000A29A2">
      <w:pPr>
        <w:spacing w:after="252" w:line="259" w:lineRule="auto"/>
        <w:ind w:left="10"/>
        <w:jc w:val="both"/>
      </w:pPr>
      <w:r w:rsidRPr="000A29A2">
        <w:rPr>
          <w:rFonts w:ascii="Arial" w:hAnsi="Arial" w:cs="Arial"/>
          <w:color w:val="000000" w:themeColor="text1"/>
        </w:rPr>
        <w:lastRenderedPageBreak/>
        <w:t>Future studies should focus on experimental validation of the developed reactor under real operating conditions, incorporation of larger and more diverse biomass datasets, and implementation of advanced deep learning techniques for improved HHV prediction accuracy.</w:t>
      </w:r>
    </w:p>
    <w:p w14:paraId="3387F512" w14:textId="77777777" w:rsidR="000331DD" w:rsidRPr="00315186" w:rsidRDefault="000331DD" w:rsidP="00441B6F"/>
    <w:p w14:paraId="422FF44E"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4BC1FB7" w14:textId="77777777" w:rsidR="00860000" w:rsidRPr="00786D36" w:rsidRDefault="00860000" w:rsidP="00441B6F">
      <w:pPr>
        <w:pStyle w:val="ReferHead"/>
        <w:spacing w:after="0"/>
        <w:jc w:val="both"/>
        <w:rPr>
          <w:rFonts w:ascii="Arial" w:hAnsi="Arial" w:cs="Arial"/>
        </w:rPr>
      </w:pPr>
    </w:p>
    <w:p w14:paraId="6D29324E" w14:textId="33BE8295" w:rsidR="00371FB6" w:rsidRDefault="00E253B3" w:rsidP="00441B6F">
      <w:pPr>
        <w:pStyle w:val="ReferHead"/>
        <w:spacing w:after="0"/>
        <w:jc w:val="both"/>
        <w:rPr>
          <w:rFonts w:ascii="Arial" w:hAnsi="Arial" w:cs="Arial"/>
          <w:b w:val="0"/>
          <w:caps w:val="0"/>
          <w:sz w:val="20"/>
        </w:rPr>
      </w:pPr>
      <w:r w:rsidRPr="00E253B3">
        <w:rPr>
          <w:rFonts w:ascii="Arial" w:hAnsi="Arial" w:cs="Arial"/>
          <w:b w:val="0"/>
          <w:caps w:val="0"/>
          <w:sz w:val="20"/>
        </w:rPr>
        <w:t>The authors declare that no competing interests exist. The authors have no financial, personal, or professional relationships that could have appeared to influence the work reported in this study.</w:t>
      </w:r>
    </w:p>
    <w:p w14:paraId="4CC3A43B" w14:textId="77777777" w:rsidR="00E253B3" w:rsidRDefault="00E253B3" w:rsidP="00441B6F">
      <w:pPr>
        <w:pStyle w:val="ReferHead"/>
        <w:spacing w:after="0"/>
        <w:jc w:val="both"/>
        <w:rPr>
          <w:rFonts w:ascii="Arial" w:hAnsi="Arial" w:cs="Arial"/>
          <w:b w:val="0"/>
          <w:caps w:val="0"/>
          <w:sz w:val="20"/>
        </w:rPr>
      </w:pPr>
    </w:p>
    <w:p w14:paraId="78DB77A5" w14:textId="77777777" w:rsidR="0025351E" w:rsidRDefault="0025351E" w:rsidP="0025351E">
      <w:pPr>
        <w:rPr>
          <w:rFonts w:ascii="Calibri" w:eastAsia="Calibri" w:hAnsi="Calibri"/>
          <w:kern w:val="2"/>
          <w:highlight w:val="yellow"/>
        </w:rPr>
      </w:pPr>
      <w:bookmarkStart w:id="76" w:name="_Hlk218868534"/>
      <w:bookmarkStart w:id="77" w:name="_Hlk229240739"/>
      <w:bookmarkStart w:id="78" w:name="_Hlk226454370"/>
    </w:p>
    <w:p w14:paraId="1689DAEC" w14:textId="77777777" w:rsidR="0025351E" w:rsidRPr="008554DE" w:rsidRDefault="0025351E" w:rsidP="0025351E">
      <w:pPr>
        <w:pStyle w:val="NoSpacing"/>
        <w:rPr>
          <w:b/>
          <w:bCs/>
        </w:rPr>
      </w:pPr>
      <w:bookmarkStart w:id="79" w:name="_Hlk221624953"/>
      <w:r w:rsidRPr="008554DE">
        <w:rPr>
          <w:b/>
          <w:bCs/>
        </w:rPr>
        <w:t>Disclaimer (Artificial intelligence)</w:t>
      </w:r>
    </w:p>
    <w:p w14:paraId="41A04B74" w14:textId="77777777" w:rsidR="0025351E" w:rsidRPr="008554DE" w:rsidRDefault="0025351E" w:rsidP="0025351E">
      <w:pPr>
        <w:pStyle w:val="NoSpacing"/>
      </w:pPr>
    </w:p>
    <w:p w14:paraId="3D7B7210" w14:textId="77777777" w:rsidR="0025351E" w:rsidRPr="008554DE" w:rsidRDefault="0025351E" w:rsidP="008554DE">
      <w:pPr>
        <w:pStyle w:val="NoSpacing"/>
        <w:jc w:val="both"/>
        <w:rPr>
          <w:sz w:val="20"/>
          <w:szCs w:val="20"/>
        </w:rPr>
      </w:pPr>
      <w:r w:rsidRPr="008554DE">
        <w:rPr>
          <w:sz w:val="20"/>
          <w:szCs w:val="20"/>
        </w:rPr>
        <w:t xml:space="preserve">Author(s) hereby declare that NO generative AI technologies such as Large Language Models (ChatGPT, COPILOT, etc.) and text-to-image generators have been used during the writing or editing of this manuscript. </w:t>
      </w:r>
      <w:bookmarkEnd w:id="76"/>
    </w:p>
    <w:bookmarkEnd w:id="77"/>
    <w:bookmarkEnd w:id="79"/>
    <w:p w14:paraId="43D3B03F" w14:textId="77777777" w:rsidR="0025351E" w:rsidRDefault="0025351E" w:rsidP="0025351E">
      <w:pPr>
        <w:pStyle w:val="NoSpacing"/>
        <w:rPr>
          <w:highlight w:val="yellow"/>
        </w:rPr>
      </w:pPr>
    </w:p>
    <w:bookmarkEnd w:id="78"/>
    <w:p w14:paraId="2B0FE346" w14:textId="032EAF45" w:rsidR="00E253B3" w:rsidRDefault="00E253B3" w:rsidP="00441B6F">
      <w:pPr>
        <w:pStyle w:val="ReferHead"/>
        <w:spacing w:after="0"/>
        <w:jc w:val="both"/>
        <w:rPr>
          <w:rFonts w:ascii="Arial" w:hAnsi="Arial" w:cs="Arial"/>
          <w:bCs/>
        </w:rPr>
      </w:pPr>
    </w:p>
    <w:p w14:paraId="7F57C7C3" w14:textId="77777777" w:rsidR="004D4277" w:rsidRPr="00FB3A86" w:rsidRDefault="00B01FCD" w:rsidP="00441B6F">
      <w:pPr>
        <w:pStyle w:val="Appendix"/>
        <w:spacing w:after="0"/>
        <w:jc w:val="both"/>
        <w:rPr>
          <w:rFonts w:ascii="Arial" w:hAnsi="Arial" w:cs="Arial"/>
          <w:b w:val="0"/>
        </w:rPr>
        <w:sectPr w:rsidR="004D4277" w:rsidRPr="00FB3A86" w:rsidSect="000331DD">
          <w:headerReference w:type="even" r:id="rId40"/>
          <w:headerReference w:type="default" r:id="rId41"/>
          <w:footerReference w:type="default" r:id="rId42"/>
          <w:headerReference w:type="first" r:id="rId43"/>
          <w:type w:val="continuous"/>
          <w:pgSz w:w="12240" w:h="15840"/>
          <w:pgMar w:top="1440" w:right="2016" w:bottom="2016" w:left="2016" w:header="720" w:footer="1123" w:gutter="0"/>
          <w:cols w:space="720"/>
          <w:docGrid w:linePitch="272"/>
        </w:sectPr>
      </w:pPr>
      <w:r w:rsidRPr="00FB3A86">
        <w:rPr>
          <w:rFonts w:ascii="Arial" w:hAnsi="Arial" w:cs="Arial"/>
        </w:rPr>
        <w:t>APPENDIX</w:t>
      </w:r>
    </w:p>
    <w:p w14:paraId="2B957A73"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59830BFE" wp14:editId="136FF1E2">
            <wp:extent cx="3610928" cy="3186113"/>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t="992" b="992"/>
                    <a:stretch>
                      <a:fillRect/>
                    </a:stretch>
                  </pic:blipFill>
                  <pic:spPr>
                    <a:xfrm>
                      <a:off x="0" y="0"/>
                      <a:ext cx="3610928" cy="3186113"/>
                    </a:xfrm>
                    <a:prstGeom prst="rect">
                      <a:avLst/>
                    </a:prstGeom>
                    <a:ln/>
                  </pic:spPr>
                </pic:pic>
              </a:graphicData>
            </a:graphic>
          </wp:inline>
        </w:drawing>
      </w:r>
    </w:p>
    <w:p w14:paraId="20874B25"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 xml:space="preserve">Figure </w:t>
      </w:r>
      <w:r w:rsidRPr="003F5953">
        <w:rPr>
          <w:rFonts w:ascii="Arial" w:hAnsi="Arial" w:cs="Arial"/>
          <w:b/>
          <w:bCs/>
          <w:color w:val="000000" w:themeColor="text1"/>
        </w:rPr>
        <w:tab/>
        <w:t>A-1: Evaluation of MAE and MSE of proximate from Linear regression</w:t>
      </w:r>
    </w:p>
    <w:p w14:paraId="015A9B38"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anchor distT="114300" distB="114300" distL="114300" distR="114300" simplePos="0" relativeHeight="251661312" behindDoc="0" locked="0" layoutInCell="1" hidden="0" allowOverlap="1" wp14:anchorId="489F2013" wp14:editId="1B9E62DA">
            <wp:simplePos x="0" y="0"/>
            <wp:positionH relativeFrom="column">
              <wp:posOffset>19053</wp:posOffset>
            </wp:positionH>
            <wp:positionV relativeFrom="paragraph">
              <wp:posOffset>471140</wp:posOffset>
            </wp:positionV>
            <wp:extent cx="3109913" cy="3313975"/>
            <wp:effectExtent l="0" t="0" r="0" b="0"/>
            <wp:wrapTopAndBottom distT="114300" distB="114300"/>
            <wp:docPr id="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t="1982" b="1984"/>
                    <a:stretch>
                      <a:fillRect/>
                    </a:stretch>
                  </pic:blipFill>
                  <pic:spPr>
                    <a:xfrm>
                      <a:off x="0" y="0"/>
                      <a:ext cx="3109913" cy="3313975"/>
                    </a:xfrm>
                    <a:prstGeom prst="rect">
                      <a:avLst/>
                    </a:prstGeom>
                    <a:ln/>
                  </pic:spPr>
                </pic:pic>
              </a:graphicData>
            </a:graphic>
          </wp:anchor>
        </w:drawing>
      </w:r>
    </w:p>
    <w:p w14:paraId="0C015F7B"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A-2: Evaluation for MAE and MSE of Ultimate from Linear regression</w:t>
      </w:r>
    </w:p>
    <w:p w14:paraId="2BB8A4A3" w14:textId="77777777" w:rsidR="003F5953" w:rsidRPr="00252CA7" w:rsidRDefault="003F5953" w:rsidP="003F5953">
      <w:pPr>
        <w:rPr>
          <w:rFonts w:ascii="Arial" w:hAnsi="Arial" w:cs="Arial"/>
          <w:color w:val="000000" w:themeColor="text1"/>
        </w:rPr>
      </w:pPr>
    </w:p>
    <w:p w14:paraId="6590D3F9"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264318E4" wp14:editId="771EB88B">
            <wp:extent cx="3521583" cy="2786063"/>
            <wp:effectExtent l="0" t="0" r="0" b="0"/>
            <wp:docPr id="1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t="10246" b="10246"/>
                    <a:stretch>
                      <a:fillRect/>
                    </a:stretch>
                  </pic:blipFill>
                  <pic:spPr>
                    <a:xfrm>
                      <a:off x="0" y="0"/>
                      <a:ext cx="3521583" cy="2786063"/>
                    </a:xfrm>
                    <a:prstGeom prst="rect">
                      <a:avLst/>
                    </a:prstGeom>
                    <a:ln/>
                  </pic:spPr>
                </pic:pic>
              </a:graphicData>
            </a:graphic>
          </wp:inline>
        </w:drawing>
      </w:r>
      <w:r w:rsidRPr="00252CA7">
        <w:rPr>
          <w:rFonts w:ascii="Arial" w:hAnsi="Arial" w:cs="Arial"/>
          <w:color w:val="000000" w:themeColor="text1"/>
        </w:rPr>
        <w:t xml:space="preserve"> </w:t>
      </w:r>
    </w:p>
    <w:p w14:paraId="0020D5FC"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A-3: Code for MAE and MSE of proximate from random forest</w:t>
      </w:r>
    </w:p>
    <w:p w14:paraId="06BDCA2A"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709AA4E7" wp14:editId="77B52E39">
            <wp:extent cx="2888116" cy="3177927"/>
            <wp:effectExtent l="0" t="0" r="0" b="0"/>
            <wp:docPr id="1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7"/>
                    <a:srcRect t="766" b="766"/>
                    <a:stretch>
                      <a:fillRect/>
                    </a:stretch>
                  </pic:blipFill>
                  <pic:spPr>
                    <a:xfrm>
                      <a:off x="0" y="0"/>
                      <a:ext cx="2888116" cy="3177927"/>
                    </a:xfrm>
                    <a:prstGeom prst="rect">
                      <a:avLst/>
                    </a:prstGeom>
                    <a:ln/>
                  </pic:spPr>
                </pic:pic>
              </a:graphicData>
            </a:graphic>
          </wp:inline>
        </w:drawing>
      </w:r>
    </w:p>
    <w:p w14:paraId="3A0167C7"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A-4: Code for MAE and MSE of ultimate from random forest</w:t>
      </w:r>
    </w:p>
    <w:p w14:paraId="1E2E8BA3" w14:textId="77777777" w:rsidR="003F5953" w:rsidRPr="003F5953" w:rsidRDefault="003F5953" w:rsidP="003F5953">
      <w:pPr>
        <w:rPr>
          <w:rFonts w:ascii="Arial" w:hAnsi="Arial" w:cs="Arial"/>
          <w:b/>
          <w:bCs/>
          <w:color w:val="000000" w:themeColor="text1"/>
        </w:rPr>
      </w:pPr>
    </w:p>
    <w:p w14:paraId="62F72030" w14:textId="77777777"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 </w:t>
      </w:r>
      <w:r w:rsidRPr="00252CA7">
        <w:rPr>
          <w:rFonts w:ascii="Arial" w:hAnsi="Arial" w:cs="Arial"/>
          <w:noProof/>
          <w:color w:val="000000" w:themeColor="text1"/>
        </w:rPr>
        <w:drawing>
          <wp:inline distT="114300" distB="114300" distL="114300" distR="114300" wp14:anchorId="7CBB27BB" wp14:editId="32F027D9">
            <wp:extent cx="3489533" cy="2919413"/>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t="7741" b="7739"/>
                    <a:stretch>
                      <a:fillRect/>
                    </a:stretch>
                  </pic:blipFill>
                  <pic:spPr>
                    <a:xfrm>
                      <a:off x="0" y="0"/>
                      <a:ext cx="3489533" cy="2919413"/>
                    </a:xfrm>
                    <a:prstGeom prst="rect">
                      <a:avLst/>
                    </a:prstGeom>
                    <a:ln/>
                  </pic:spPr>
                </pic:pic>
              </a:graphicData>
            </a:graphic>
          </wp:inline>
        </w:drawing>
      </w:r>
    </w:p>
    <w:p w14:paraId="3D9AB95D"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A-5: Code for MAE and MSE of proximate from ANN</w:t>
      </w:r>
    </w:p>
    <w:p w14:paraId="73C5FC26" w14:textId="77777777" w:rsidR="003F5953" w:rsidRPr="00252CA7" w:rsidRDefault="003F5953" w:rsidP="003F5953">
      <w:pPr>
        <w:rPr>
          <w:rFonts w:ascii="Arial" w:hAnsi="Arial" w:cs="Arial"/>
          <w:color w:val="000000" w:themeColor="text1"/>
        </w:rPr>
      </w:pPr>
    </w:p>
    <w:p w14:paraId="0D673611"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42356D80" wp14:editId="16B68DC9">
            <wp:extent cx="3000611" cy="3637806"/>
            <wp:effectExtent l="0" t="0" r="0" b="0"/>
            <wp:docPr id="1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t="2499" b="2499"/>
                    <a:stretch>
                      <a:fillRect/>
                    </a:stretch>
                  </pic:blipFill>
                  <pic:spPr>
                    <a:xfrm>
                      <a:off x="0" y="0"/>
                      <a:ext cx="3000611" cy="3637806"/>
                    </a:xfrm>
                    <a:prstGeom prst="rect">
                      <a:avLst/>
                    </a:prstGeom>
                    <a:ln/>
                  </pic:spPr>
                </pic:pic>
              </a:graphicData>
            </a:graphic>
          </wp:inline>
        </w:drawing>
      </w:r>
    </w:p>
    <w:p w14:paraId="4B91F22E"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A-6: Code for MAE and MSE of ultimate from ANN</w:t>
      </w:r>
    </w:p>
    <w:p w14:paraId="3DF8A1B3" w14:textId="77777777" w:rsidR="003F5953" w:rsidRPr="003F5953" w:rsidRDefault="003F5953" w:rsidP="003F5953">
      <w:pPr>
        <w:rPr>
          <w:rFonts w:ascii="Arial" w:hAnsi="Arial" w:cs="Arial"/>
          <w:b/>
          <w:bCs/>
          <w:color w:val="000000" w:themeColor="text1"/>
        </w:rPr>
      </w:pPr>
    </w:p>
    <w:p w14:paraId="3904BDE8"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46A1A07" wp14:editId="25757FB9">
            <wp:extent cx="4281021" cy="3057872"/>
            <wp:effectExtent l="0" t="0" r="0" b="0"/>
            <wp:docPr id="1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l="2631" t="5369"/>
                    <a:stretch>
                      <a:fillRect/>
                    </a:stretch>
                  </pic:blipFill>
                  <pic:spPr>
                    <a:xfrm>
                      <a:off x="0" y="0"/>
                      <a:ext cx="4281021" cy="3057872"/>
                    </a:xfrm>
                    <a:prstGeom prst="rect">
                      <a:avLst/>
                    </a:prstGeom>
                    <a:ln/>
                  </pic:spPr>
                </pic:pic>
              </a:graphicData>
            </a:graphic>
          </wp:inline>
        </w:drawing>
      </w:r>
    </w:p>
    <w:p w14:paraId="05F6360A"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A-7: Feature Importance of Proximate Analysis</w:t>
      </w:r>
    </w:p>
    <w:p w14:paraId="5183DF6B"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27B19561" wp14:editId="62BC746A">
            <wp:extent cx="4567238" cy="3224867"/>
            <wp:effectExtent l="0" t="0" r="0" b="0"/>
            <wp:docPr id="16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l="5582" t="4694"/>
                    <a:stretch>
                      <a:fillRect/>
                    </a:stretch>
                  </pic:blipFill>
                  <pic:spPr>
                    <a:xfrm>
                      <a:off x="0" y="0"/>
                      <a:ext cx="4567238" cy="3224867"/>
                    </a:xfrm>
                    <a:prstGeom prst="rect">
                      <a:avLst/>
                    </a:prstGeom>
                    <a:ln/>
                  </pic:spPr>
                </pic:pic>
              </a:graphicData>
            </a:graphic>
          </wp:inline>
        </w:drawing>
      </w:r>
    </w:p>
    <w:p w14:paraId="4B1EF824"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A-8: Feature Importance of  Ultimate Analysis</w:t>
      </w:r>
    </w:p>
    <w:p w14:paraId="2FC61742" w14:textId="77777777" w:rsidR="003F5953" w:rsidRPr="003F5953" w:rsidRDefault="003F5953" w:rsidP="003F5953">
      <w:pPr>
        <w:rPr>
          <w:rFonts w:ascii="Arial" w:hAnsi="Arial" w:cs="Arial"/>
          <w:b/>
          <w:bCs/>
          <w:color w:val="000000" w:themeColor="text1"/>
        </w:rPr>
      </w:pPr>
    </w:p>
    <w:p w14:paraId="7E2268F9"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2CAFFF7" wp14:editId="70CA916D">
            <wp:extent cx="4176713" cy="2569657"/>
            <wp:effectExtent l="0" t="0" r="0" b="0"/>
            <wp:docPr id="1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2"/>
                    <a:srcRect/>
                    <a:stretch>
                      <a:fillRect/>
                    </a:stretch>
                  </pic:blipFill>
                  <pic:spPr>
                    <a:xfrm>
                      <a:off x="0" y="0"/>
                      <a:ext cx="4176713" cy="2569657"/>
                    </a:xfrm>
                    <a:prstGeom prst="rect">
                      <a:avLst/>
                    </a:prstGeom>
                    <a:ln/>
                  </pic:spPr>
                </pic:pic>
              </a:graphicData>
            </a:graphic>
          </wp:inline>
        </w:drawing>
      </w:r>
    </w:p>
    <w:p w14:paraId="092207E1"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A-9: Comparison between HHV Literature and HHV Predicted Proximate and Ultimate</w:t>
      </w:r>
    </w:p>
    <w:p w14:paraId="7994FA1B"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2639F59D" wp14:editId="18905AFC">
            <wp:extent cx="4319588" cy="2713587"/>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4319588" cy="2713587"/>
                    </a:xfrm>
                    <a:prstGeom prst="rect">
                      <a:avLst/>
                    </a:prstGeom>
                    <a:ln/>
                  </pic:spPr>
                </pic:pic>
              </a:graphicData>
            </a:graphic>
          </wp:inline>
        </w:drawing>
      </w:r>
    </w:p>
    <w:p w14:paraId="634BE6ED"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A-10: Correlation between HHV Literature and HHV Predicted Proximate and Ultimate</w:t>
      </w:r>
    </w:p>
    <w:p w14:paraId="3859D124" w14:textId="77777777" w:rsidR="003F5953" w:rsidRPr="003F5953" w:rsidRDefault="003F5953" w:rsidP="003F5953">
      <w:pPr>
        <w:rPr>
          <w:rFonts w:ascii="Arial" w:hAnsi="Arial" w:cs="Arial"/>
          <w:b/>
          <w:bCs/>
          <w:color w:val="000000" w:themeColor="text1"/>
        </w:rPr>
      </w:pPr>
    </w:p>
    <w:p w14:paraId="71E6FB85"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4FF2BF1" wp14:editId="7C45B7CE">
            <wp:extent cx="4258733" cy="2395538"/>
            <wp:effectExtent l="0" t="0" r="0" b="0"/>
            <wp:docPr id="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4258733" cy="2395538"/>
                    </a:xfrm>
                    <a:prstGeom prst="rect">
                      <a:avLst/>
                    </a:prstGeom>
                    <a:ln/>
                  </pic:spPr>
                </pic:pic>
              </a:graphicData>
            </a:graphic>
          </wp:inline>
        </w:drawing>
      </w:r>
    </w:p>
    <w:p w14:paraId="454C0CF6"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A-11: Comparison between HHV Literature and HHV Predicted Proximate</w:t>
      </w:r>
    </w:p>
    <w:p w14:paraId="119A05B9"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19A95266" wp14:editId="0FCAD093">
            <wp:extent cx="4814888" cy="2932143"/>
            <wp:effectExtent l="0" t="0" r="0" b="0"/>
            <wp:docPr id="1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5"/>
                    <a:srcRect/>
                    <a:stretch>
                      <a:fillRect/>
                    </a:stretch>
                  </pic:blipFill>
                  <pic:spPr>
                    <a:xfrm>
                      <a:off x="0" y="0"/>
                      <a:ext cx="4814888" cy="2932143"/>
                    </a:xfrm>
                    <a:prstGeom prst="rect">
                      <a:avLst/>
                    </a:prstGeom>
                    <a:ln/>
                  </pic:spPr>
                </pic:pic>
              </a:graphicData>
            </a:graphic>
          </wp:inline>
        </w:drawing>
      </w:r>
    </w:p>
    <w:p w14:paraId="5CDA4134"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A-12: Correlation between HHV Literature and HHV Predicted Proximate</w:t>
      </w:r>
    </w:p>
    <w:p w14:paraId="1FBD4BBD" w14:textId="77777777" w:rsidR="003F5953" w:rsidRPr="003F5953" w:rsidRDefault="003F5953" w:rsidP="003F5953">
      <w:pPr>
        <w:rPr>
          <w:rFonts w:ascii="Arial" w:hAnsi="Arial" w:cs="Arial"/>
          <w:b/>
          <w:bCs/>
          <w:color w:val="000000" w:themeColor="text1"/>
        </w:rPr>
      </w:pPr>
    </w:p>
    <w:p w14:paraId="3C044E2B"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2B04FBF" wp14:editId="70F04300">
            <wp:extent cx="4176098" cy="2538413"/>
            <wp:effectExtent l="0" t="0" r="0" b="0"/>
            <wp:docPr id="1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4176098" cy="2538413"/>
                    </a:xfrm>
                    <a:prstGeom prst="rect">
                      <a:avLst/>
                    </a:prstGeom>
                    <a:ln/>
                  </pic:spPr>
                </pic:pic>
              </a:graphicData>
            </a:graphic>
          </wp:inline>
        </w:drawing>
      </w:r>
    </w:p>
    <w:p w14:paraId="0C379F24"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A-13: Comparison between HHV Literature and HHV Predicted Ultimate</w:t>
      </w:r>
    </w:p>
    <w:p w14:paraId="4CE0E18C"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4C475780" wp14:editId="67F4B71E">
            <wp:extent cx="5138249" cy="3129062"/>
            <wp:effectExtent l="0" t="0" r="0" b="0"/>
            <wp:docPr id="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5138249" cy="3129062"/>
                    </a:xfrm>
                    <a:prstGeom prst="rect">
                      <a:avLst/>
                    </a:prstGeom>
                    <a:ln/>
                  </pic:spPr>
                </pic:pic>
              </a:graphicData>
            </a:graphic>
          </wp:inline>
        </w:drawing>
      </w:r>
    </w:p>
    <w:p w14:paraId="3F6BDC9F" w14:textId="25028B70" w:rsidR="003F5953" w:rsidRPr="003F5953" w:rsidRDefault="003F5953" w:rsidP="003F5953">
      <w:pPr>
        <w:rPr>
          <w:rFonts w:ascii="Arial" w:hAnsi="Arial" w:cs="Arial"/>
          <w:b/>
          <w:bCs/>
          <w:color w:val="000000" w:themeColor="text1"/>
        </w:rPr>
        <w:sectPr w:rsidR="003F5953" w:rsidRPr="003F5953" w:rsidSect="000331DD">
          <w:type w:val="continuous"/>
          <w:pgSz w:w="12240" w:h="15840"/>
          <w:pgMar w:top="1440" w:right="1440" w:bottom="1440" w:left="1440" w:header="720" w:footer="720" w:gutter="0"/>
          <w:cols w:space="720"/>
        </w:sectPr>
      </w:pPr>
      <w:r w:rsidRPr="003F5953">
        <w:rPr>
          <w:rFonts w:ascii="Arial" w:hAnsi="Arial" w:cs="Arial"/>
          <w:b/>
          <w:bCs/>
          <w:color w:val="000000" w:themeColor="text1"/>
        </w:rPr>
        <w:t>Figure A-14: Correlation between HHV Literature and HHV Predicted Ultimat</w:t>
      </w:r>
      <w:r w:rsidR="00E93B3A">
        <w:rPr>
          <w:rFonts w:ascii="Arial" w:hAnsi="Arial" w:cs="Arial"/>
          <w:b/>
          <w:bCs/>
          <w:color w:val="000000" w:themeColor="text1"/>
        </w:rPr>
        <w:t>e</w:t>
      </w:r>
    </w:p>
    <w:p w14:paraId="6597791A" w14:textId="77777777" w:rsidR="00B01FCD" w:rsidRDefault="00B01FCD" w:rsidP="00441B6F">
      <w:pPr>
        <w:pStyle w:val="Appendix"/>
        <w:spacing w:after="0"/>
        <w:jc w:val="both"/>
        <w:rPr>
          <w:rFonts w:ascii="Arial" w:hAnsi="Arial" w:cs="Arial"/>
          <w:b w:val="0"/>
        </w:rPr>
      </w:pPr>
      <w:bookmarkStart w:id="80" w:name="_heading=h.f69ooo99yymz" w:colFirst="0" w:colLast="0"/>
      <w:bookmarkEnd w:id="80"/>
    </w:p>
    <w:p w14:paraId="7282B771" w14:textId="77777777" w:rsidR="008554DE" w:rsidRDefault="008554DE" w:rsidP="008554DE">
      <w:pPr>
        <w:pStyle w:val="ReferHead"/>
        <w:spacing w:after="0"/>
        <w:jc w:val="both"/>
        <w:rPr>
          <w:rFonts w:ascii="Arial" w:hAnsi="Arial" w:cs="Arial"/>
        </w:rPr>
      </w:pPr>
      <w:r w:rsidRPr="00FB3A86">
        <w:rPr>
          <w:rFonts w:ascii="Arial" w:hAnsi="Arial" w:cs="Arial"/>
        </w:rPr>
        <w:t>References</w:t>
      </w:r>
    </w:p>
    <w:p w14:paraId="1BC45C8B" w14:textId="77777777" w:rsidR="008554DE" w:rsidRPr="00FB3A86" w:rsidRDefault="008554DE" w:rsidP="008554DE">
      <w:pPr>
        <w:pStyle w:val="ReferHead"/>
        <w:spacing w:after="0"/>
        <w:jc w:val="both"/>
        <w:rPr>
          <w:rFonts w:ascii="Arial" w:hAnsi="Arial" w:cs="Arial"/>
        </w:rPr>
      </w:pPr>
    </w:p>
    <w:p w14:paraId="571F08F3" w14:textId="77777777" w:rsidR="008554DE" w:rsidRDefault="008554DE" w:rsidP="008554DE">
      <w:pPr>
        <w:rPr>
          <w:rFonts w:ascii="Arial" w:hAnsi="Arial" w:cs="Arial"/>
          <w:color w:val="000000" w:themeColor="text1"/>
        </w:rPr>
      </w:pPr>
      <w:r w:rsidRPr="00252CA7">
        <w:rPr>
          <w:rFonts w:ascii="Arial" w:hAnsi="Arial" w:cs="Arial"/>
          <w:color w:val="000000" w:themeColor="text1"/>
        </w:rPr>
        <w:t>Afolabi, I.C.; Popoola, S.I.; Bello, O.S. Machine learning approach for prediction of paracetamol adsorption efficiency on chemically modified orange peel. Spectrochim. Acta Part A Mol. Biomol. Spectrosc. 2020, 243, 118769. [CrossRef]</w:t>
      </w:r>
    </w:p>
    <w:p w14:paraId="5CA744EB" w14:textId="77777777" w:rsidR="008554DE" w:rsidRDefault="008554DE" w:rsidP="008554DE">
      <w:pPr>
        <w:rPr>
          <w:rFonts w:ascii="Arial" w:hAnsi="Arial" w:cs="Arial"/>
          <w:color w:val="000000" w:themeColor="text1"/>
        </w:rPr>
      </w:pPr>
    </w:p>
    <w:p w14:paraId="180BC1C4" w14:textId="77777777" w:rsidR="008554DE" w:rsidRDefault="008554DE" w:rsidP="008554DE">
      <w:pPr>
        <w:rPr>
          <w:rFonts w:ascii="Arial" w:hAnsi="Arial" w:cs="Arial"/>
          <w:color w:val="000000" w:themeColor="text1"/>
        </w:rPr>
      </w:pPr>
      <w:r w:rsidRPr="00252CA7">
        <w:rPr>
          <w:rFonts w:ascii="Arial" w:hAnsi="Arial" w:cs="Arial"/>
          <w:color w:val="000000" w:themeColor="text1"/>
        </w:rPr>
        <w:t>Afolabi, I.C.; Popoola, S.I.; Bello, O.S. Modelling pseudo-second-order kinetics of orange peel-paracetamol adsorption process using artificial neural network. Chemom. Intell. Lab. Syst. 2020, 203, 104053. [CrossRef]</w:t>
      </w:r>
    </w:p>
    <w:p w14:paraId="1615403E" w14:textId="77777777" w:rsidR="008554DE" w:rsidRDefault="008554DE" w:rsidP="008554DE">
      <w:pPr>
        <w:rPr>
          <w:rFonts w:ascii="Arial" w:hAnsi="Arial" w:cs="Arial"/>
          <w:color w:val="000000" w:themeColor="text1"/>
        </w:rPr>
      </w:pPr>
    </w:p>
    <w:p w14:paraId="484E3B4D"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Basu, P. (2018) Biomass Gasification, Pyrolysis and Torrefaction: Practical Design and Theory. 3rd Edition, Academic Press, Elsevier.</w:t>
      </w:r>
    </w:p>
    <w:p w14:paraId="7C45DC53" w14:textId="77777777" w:rsidR="008554DE" w:rsidRDefault="008554DE" w:rsidP="008554DE">
      <w:pPr>
        <w:rPr>
          <w:rFonts w:ascii="Arial" w:hAnsi="Arial" w:cs="Arial"/>
          <w:color w:val="000000" w:themeColor="text1"/>
        </w:rPr>
      </w:pPr>
    </w:p>
    <w:p w14:paraId="1F2256D0"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Biau, G.; Devroye, L.; Lugosi, G. Consistency of random forests and other averaging classifiers. J. Mach. Learn. Res. 2008, 9, 2015–2033.</w:t>
      </w:r>
    </w:p>
    <w:p w14:paraId="03692A61" w14:textId="77777777" w:rsidR="008554DE" w:rsidRDefault="008554DE" w:rsidP="008554DE">
      <w:pPr>
        <w:rPr>
          <w:rFonts w:ascii="Arial" w:hAnsi="Arial" w:cs="Arial"/>
          <w:color w:val="000000" w:themeColor="text1"/>
        </w:rPr>
      </w:pPr>
    </w:p>
    <w:p w14:paraId="748B8348"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Cai, J.; He, Y.; Yu, X.; Banks, S.W.; Yang, Y.; Zhang, X.; Yu, Y.; Liu, R.; Bridgwater, A.V. Review of physicochemical properties and analytical characterization of lignocellulosic biomass. Renew. Sustain. Energy Rev. 2017, 76, 309–322. [CrossRef]</w:t>
      </w:r>
    </w:p>
    <w:p w14:paraId="27385C44" w14:textId="77777777" w:rsidR="008554DE" w:rsidRDefault="008554DE" w:rsidP="008554DE">
      <w:pPr>
        <w:rPr>
          <w:rFonts w:ascii="Arial" w:hAnsi="Arial" w:cs="Arial"/>
          <w:color w:val="000000" w:themeColor="text1"/>
        </w:rPr>
      </w:pPr>
    </w:p>
    <w:p w14:paraId="383860F7" w14:textId="77777777" w:rsidR="008554DE" w:rsidRDefault="008554DE" w:rsidP="008554DE">
      <w:pPr>
        <w:rPr>
          <w:rFonts w:ascii="Arial" w:hAnsi="Arial" w:cs="Arial"/>
          <w:color w:val="000000" w:themeColor="text1"/>
        </w:rPr>
      </w:pPr>
      <w:r w:rsidRPr="008554DE">
        <w:rPr>
          <w:rFonts w:ascii="Arial" w:hAnsi="Arial" w:cs="Arial"/>
          <w:color w:val="000000" w:themeColor="text1"/>
        </w:rPr>
        <w:t xml:space="preserve">Chen, H., Zhang, M., Chen, Z., Xu, G., Han, W., Liu, W., &amp; Liu, T. (2020). </w:t>
      </w:r>
      <w:r w:rsidRPr="000A29A2">
        <w:rPr>
          <w:rFonts w:ascii="Arial" w:hAnsi="Arial" w:cs="Arial"/>
          <w:color w:val="000000" w:themeColor="text1"/>
        </w:rPr>
        <w:t>Performance analysis and operation strategy of an improved waste-to-energy system incorporated with a coal-fired power unit based on feedwater heating. Applied Thermal Engineering, 178, 115637.</w:t>
      </w:r>
    </w:p>
    <w:p w14:paraId="65ECA969" w14:textId="77777777" w:rsidR="008554DE" w:rsidRDefault="008554DE" w:rsidP="008554DE">
      <w:pPr>
        <w:rPr>
          <w:rFonts w:ascii="Arial" w:hAnsi="Arial" w:cs="Arial"/>
          <w:color w:val="000000" w:themeColor="text1"/>
        </w:rPr>
      </w:pPr>
    </w:p>
    <w:p w14:paraId="432C1E80" w14:textId="77777777" w:rsidR="008554DE" w:rsidRDefault="008554DE" w:rsidP="008554DE">
      <w:pPr>
        <w:rPr>
          <w:rFonts w:ascii="Arial" w:hAnsi="Arial" w:cs="Arial"/>
          <w:color w:val="000000" w:themeColor="text1"/>
        </w:rPr>
      </w:pPr>
      <w:r w:rsidRPr="008554DE">
        <w:rPr>
          <w:rFonts w:ascii="Arial" w:hAnsi="Arial" w:cs="Arial"/>
          <w:color w:val="000000" w:themeColor="text1"/>
        </w:rPr>
        <w:t xml:space="preserve">Ighalo, J. O., Adeniyi, A. G., &amp; Marques, G. (2020). </w:t>
      </w:r>
      <w:r w:rsidRPr="006C7968">
        <w:rPr>
          <w:rFonts w:ascii="Arial" w:hAnsi="Arial" w:cs="Arial"/>
          <w:i/>
          <w:iCs/>
          <w:color w:val="000000" w:themeColor="text1"/>
        </w:rPr>
        <w:t>Application of linear regression algorithm and stochastic gradient descent in a machine-learning environment for predicting biomass higher heating value</w:t>
      </w:r>
      <w:r w:rsidRPr="006C7968">
        <w:rPr>
          <w:rFonts w:ascii="Arial" w:hAnsi="Arial" w:cs="Arial"/>
          <w:color w:val="000000" w:themeColor="text1"/>
        </w:rPr>
        <w:t xml:space="preserve">. Biofuels, Bioproducts and Biorefining, 14(6), 1286–1295. </w:t>
      </w:r>
      <w:hyperlink r:id="rId58" w:history="1">
        <w:r w:rsidRPr="0088243D">
          <w:rPr>
            <w:rStyle w:val="Hyperlink"/>
            <w:rFonts w:ascii="Arial" w:hAnsi="Arial" w:cs="Arial"/>
          </w:rPr>
          <w:t>https://doi.org/10.1002/bbb.2140</w:t>
        </w:r>
      </w:hyperlink>
    </w:p>
    <w:p w14:paraId="0E9AE9EC" w14:textId="77777777" w:rsidR="008554DE" w:rsidRDefault="008554DE" w:rsidP="008554DE">
      <w:pPr>
        <w:rPr>
          <w:rFonts w:ascii="Arial" w:hAnsi="Arial" w:cs="Arial"/>
          <w:color w:val="000000" w:themeColor="text1"/>
        </w:rPr>
      </w:pPr>
    </w:p>
    <w:p w14:paraId="680CB8E8"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Nhuchhen, D. R., &amp; Abdul Salam, P. (2012). Estimation of higher heating value of biomass from proximate analysis: A new approach. Fuel (London, England), 99, 55–63. https://doi.org/10.1016/j.fuel.2012.04.015</w:t>
      </w:r>
    </w:p>
    <w:p w14:paraId="4B1E82A2" w14:textId="77777777" w:rsidR="008554DE" w:rsidRDefault="008554DE" w:rsidP="008554DE">
      <w:pPr>
        <w:rPr>
          <w:rFonts w:ascii="Arial" w:hAnsi="Arial" w:cs="Arial"/>
          <w:color w:val="000000" w:themeColor="text1"/>
        </w:rPr>
      </w:pPr>
    </w:p>
    <w:p w14:paraId="6C865F55"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Nieto, P.J.G.; García-Gonzalo, E.; Lasheras, F.S.; Paredes-Sánchez, J.P.; Fernández, P.R. Forecast of the higher heating value in biomass torrefaction by means of machine learning techniques. J. Comput. Appl. Math. 2019, 357, 284–301. [CrossRef]</w:t>
      </w:r>
    </w:p>
    <w:p w14:paraId="7A0441F4" w14:textId="77777777" w:rsidR="008554DE" w:rsidRDefault="008554DE" w:rsidP="008554DE">
      <w:pPr>
        <w:rPr>
          <w:rFonts w:ascii="Arial" w:hAnsi="Arial" w:cs="Arial"/>
          <w:color w:val="000000" w:themeColor="text1"/>
        </w:rPr>
      </w:pPr>
    </w:p>
    <w:p w14:paraId="10631412"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O’Brien, M. L. (2016). Design of a mobile torrefaction reactor for in-situ conversion of agricultural waste to solid biofuel. Massachusetts Institute of Technology.</w:t>
      </w:r>
    </w:p>
    <w:p w14:paraId="4405B5B4" w14:textId="77777777" w:rsidR="008554DE" w:rsidRDefault="008554DE" w:rsidP="008554DE">
      <w:pPr>
        <w:rPr>
          <w:rFonts w:ascii="Arial" w:hAnsi="Arial" w:cs="Arial"/>
          <w:color w:val="000000" w:themeColor="text1"/>
        </w:rPr>
      </w:pPr>
    </w:p>
    <w:p w14:paraId="2A1898F4"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Shenbagaraj, S.; Sharma, P.K.; Sharma, A.K.; Raghav, G.; Kota, K.B.; Ashokkumar, V. Gasification of food waste in supercritical water: An innovative synthesis gas composition prediction model based on Artificial Neural Networks. Int. J. Hydrogen Energy 2021, 46, 12739–12757. [CrossRef]</w:t>
      </w:r>
    </w:p>
    <w:p w14:paraId="0CB084F6" w14:textId="77777777" w:rsidR="008554DE" w:rsidRDefault="008554DE" w:rsidP="008554DE">
      <w:pPr>
        <w:rPr>
          <w:rFonts w:ascii="Arial" w:hAnsi="Arial" w:cs="Arial"/>
          <w:color w:val="000000" w:themeColor="text1"/>
        </w:rPr>
      </w:pPr>
    </w:p>
    <w:p w14:paraId="6AE98D4F"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Sheng, C.; Azevedo, J.L.T. Estimating the higher heating value of biomass fuels from basic analysis data. Biomass Bioenergy 2005, 28, 499–507. [CrossRef]</w:t>
      </w:r>
    </w:p>
    <w:p w14:paraId="1CDEF587" w14:textId="77777777" w:rsidR="008554DE" w:rsidRDefault="008554DE" w:rsidP="008554DE">
      <w:pPr>
        <w:rPr>
          <w:rFonts w:ascii="Arial" w:hAnsi="Arial" w:cs="Arial"/>
          <w:color w:val="000000" w:themeColor="text1"/>
        </w:rPr>
      </w:pPr>
    </w:p>
    <w:p w14:paraId="307E1030"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Shoulaifar, T. K. (2016). Chemical Changes in Biomass during Torrefaction. Unpublished. https://doi.org/10.13140/RG.2.1.2720.2644</w:t>
      </w:r>
    </w:p>
    <w:p w14:paraId="6F3FDA9A" w14:textId="77777777" w:rsidR="008554DE" w:rsidRDefault="008554DE" w:rsidP="008554DE">
      <w:pPr>
        <w:rPr>
          <w:rFonts w:ascii="Arial" w:hAnsi="Arial" w:cs="Arial"/>
          <w:color w:val="000000" w:themeColor="text1"/>
        </w:rPr>
      </w:pPr>
    </w:p>
    <w:p w14:paraId="7FB225A0" w14:textId="77777777" w:rsidR="008554DE" w:rsidRDefault="008554DE" w:rsidP="008554DE">
      <w:pPr>
        <w:rPr>
          <w:rFonts w:ascii="Arial" w:hAnsi="Arial" w:cs="Arial"/>
          <w:color w:val="000000" w:themeColor="text1"/>
        </w:rPr>
      </w:pPr>
      <w:r w:rsidRPr="006C7968">
        <w:rPr>
          <w:rFonts w:ascii="Arial" w:hAnsi="Arial" w:cs="Arial"/>
          <w:color w:val="000000" w:themeColor="text1"/>
        </w:rPr>
        <w:t xml:space="preserve">Taki, M., &amp; Rohani, A. (2022). </w:t>
      </w:r>
      <w:r w:rsidRPr="006C7968">
        <w:rPr>
          <w:rFonts w:ascii="Arial" w:hAnsi="Arial" w:cs="Arial"/>
          <w:i/>
          <w:iCs/>
          <w:color w:val="000000" w:themeColor="text1"/>
        </w:rPr>
        <w:t>Machine learning models for prediction the Higher Heating Value (HHV) of Municipal Solid Waste (MSW) for waste-to-energy evaluation</w:t>
      </w:r>
      <w:r w:rsidRPr="006C7968">
        <w:rPr>
          <w:rFonts w:ascii="Arial" w:hAnsi="Arial" w:cs="Arial"/>
          <w:color w:val="000000" w:themeColor="text1"/>
        </w:rPr>
        <w:t xml:space="preserve">. Case Studies in Thermal Engineering, 31, 101823. </w:t>
      </w:r>
      <w:hyperlink r:id="rId59" w:tgtFrame="_new" w:history="1">
        <w:r w:rsidRPr="006C7968">
          <w:rPr>
            <w:rStyle w:val="Hyperlink"/>
            <w:rFonts w:ascii="Arial" w:hAnsi="Arial" w:cs="Arial"/>
          </w:rPr>
          <w:t>https://doi.org/10.1016/j.csite.2022.101823</w:t>
        </w:r>
      </w:hyperlink>
    </w:p>
    <w:p w14:paraId="705A69AD" w14:textId="77777777" w:rsidR="008554DE" w:rsidRDefault="008554DE" w:rsidP="008554DE">
      <w:pPr>
        <w:rPr>
          <w:rFonts w:ascii="Arial" w:hAnsi="Arial" w:cs="Arial"/>
          <w:color w:val="000000" w:themeColor="text1"/>
        </w:rPr>
      </w:pPr>
    </w:p>
    <w:p w14:paraId="57950A1B"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Tan, P.; Zhang, C.; Xia, J.; Fang, Q.Y.; Chen, G. Estimation of higher heating value of coal based on proximate analysis using support vector regression. Fuel Process. Technol. 2015, 138, 298–304. [CrossRef]</w:t>
      </w:r>
    </w:p>
    <w:p w14:paraId="0BB19C2E" w14:textId="77777777" w:rsidR="008554DE" w:rsidRDefault="008554DE" w:rsidP="008554DE">
      <w:pPr>
        <w:rPr>
          <w:rFonts w:ascii="Arial" w:hAnsi="Arial" w:cs="Arial"/>
          <w:color w:val="000000" w:themeColor="text1"/>
        </w:rPr>
      </w:pPr>
    </w:p>
    <w:p w14:paraId="37C1598B" w14:textId="77777777" w:rsidR="008554DE" w:rsidRPr="00252CA7" w:rsidRDefault="008554DE" w:rsidP="008554DE">
      <w:pPr>
        <w:rPr>
          <w:rFonts w:ascii="Arial" w:hAnsi="Arial" w:cs="Arial"/>
          <w:color w:val="000000" w:themeColor="text1"/>
        </w:rPr>
      </w:pPr>
      <w:r w:rsidRPr="00252CA7">
        <w:rPr>
          <w:rFonts w:ascii="Arial" w:hAnsi="Arial" w:cs="Arial"/>
          <w:color w:val="000000" w:themeColor="text1"/>
        </w:rPr>
        <w:t>Tumuluru JS, K Xingya, S Sokhansanj, LC Jim, T Bi, and S Melin (2008) “Effect of Storage Temperature On Off-gassing and Physical Properties of Wood Pellets,” ASABE, Providence, Rhode Island, June 29 – July 2, 2008, ASABE Paper No. 084248</w:t>
      </w:r>
    </w:p>
    <w:p w14:paraId="0F94F241" w14:textId="77777777" w:rsidR="008554DE" w:rsidRDefault="008554DE" w:rsidP="008554DE">
      <w:pPr>
        <w:rPr>
          <w:rFonts w:ascii="Arial" w:hAnsi="Arial" w:cs="Arial"/>
          <w:color w:val="000000" w:themeColor="text1"/>
        </w:rPr>
      </w:pPr>
    </w:p>
    <w:p w14:paraId="739D6403" w14:textId="487233C7" w:rsidR="008554DE" w:rsidRDefault="008554DE" w:rsidP="008554DE">
      <w:pPr>
        <w:rPr>
          <w:rFonts w:ascii="Arial" w:hAnsi="Arial" w:cs="Arial"/>
          <w:b/>
        </w:rPr>
      </w:pPr>
      <w:r w:rsidRPr="00252CA7">
        <w:rPr>
          <w:rFonts w:ascii="Arial" w:hAnsi="Arial" w:cs="Arial"/>
          <w:color w:val="000000" w:themeColor="text1"/>
        </w:rPr>
        <w:t>Vaezi, M.; Passandideh-Fard, M.; Moghiman, M.; Charmchi, M. On a methodology for selecting biomass materials for gasification purposes. Fuel Process. Technol. 2012, 98, 74–81. [CrossRef]</w:t>
      </w:r>
    </w:p>
    <w:p w14:paraId="020D0A3D" w14:textId="77777777" w:rsidR="008554DE" w:rsidRDefault="008554DE" w:rsidP="00441B6F">
      <w:pPr>
        <w:pStyle w:val="Appendix"/>
        <w:spacing w:after="0"/>
        <w:jc w:val="both"/>
        <w:rPr>
          <w:rFonts w:ascii="Arial" w:hAnsi="Arial" w:cs="Arial"/>
          <w:b w:val="0"/>
        </w:rPr>
      </w:pPr>
    </w:p>
    <w:p w14:paraId="615B425F" w14:textId="77777777" w:rsidR="008554DE" w:rsidRDefault="008554DE" w:rsidP="00441B6F">
      <w:pPr>
        <w:pStyle w:val="Appendix"/>
        <w:spacing w:after="0"/>
        <w:jc w:val="both"/>
        <w:rPr>
          <w:rFonts w:ascii="Arial" w:hAnsi="Arial" w:cs="Arial"/>
          <w:b w:val="0"/>
        </w:rPr>
      </w:pPr>
    </w:p>
    <w:p w14:paraId="0B255560" w14:textId="77777777" w:rsidR="008554DE" w:rsidRDefault="008554DE" w:rsidP="00441B6F">
      <w:pPr>
        <w:pStyle w:val="Appendix"/>
        <w:spacing w:after="0"/>
        <w:jc w:val="both"/>
        <w:rPr>
          <w:rFonts w:ascii="Arial" w:hAnsi="Arial" w:cs="Arial"/>
          <w:b w:val="0"/>
        </w:rPr>
      </w:pPr>
    </w:p>
    <w:p w14:paraId="33E72DA3" w14:textId="77777777" w:rsidR="008554DE" w:rsidRDefault="008554DE" w:rsidP="00441B6F">
      <w:pPr>
        <w:pStyle w:val="Appendix"/>
        <w:spacing w:after="0"/>
        <w:jc w:val="both"/>
        <w:rPr>
          <w:rFonts w:ascii="Arial" w:hAnsi="Arial" w:cs="Arial"/>
          <w:b w:val="0"/>
        </w:rPr>
      </w:pPr>
    </w:p>
    <w:p w14:paraId="7D3009AA" w14:textId="77777777" w:rsidR="008554DE" w:rsidRDefault="008554DE" w:rsidP="00441B6F">
      <w:pPr>
        <w:pStyle w:val="Appendix"/>
        <w:spacing w:after="0"/>
        <w:jc w:val="both"/>
        <w:rPr>
          <w:rFonts w:ascii="Arial" w:hAnsi="Arial" w:cs="Arial"/>
          <w:b w:val="0"/>
        </w:rPr>
      </w:pPr>
    </w:p>
    <w:p w14:paraId="248C6B90" w14:textId="77777777" w:rsidR="008554DE" w:rsidRDefault="008554DE" w:rsidP="00441B6F">
      <w:pPr>
        <w:pStyle w:val="Appendix"/>
        <w:spacing w:after="0"/>
        <w:jc w:val="both"/>
        <w:rPr>
          <w:rFonts w:ascii="Arial" w:hAnsi="Arial" w:cs="Arial"/>
          <w:b w:val="0"/>
        </w:rPr>
      </w:pPr>
    </w:p>
    <w:p w14:paraId="44C8C71C" w14:textId="77777777" w:rsidR="008554DE" w:rsidRDefault="008554DE" w:rsidP="00441B6F">
      <w:pPr>
        <w:pStyle w:val="Appendix"/>
        <w:spacing w:after="0"/>
        <w:jc w:val="both"/>
        <w:rPr>
          <w:rFonts w:ascii="Arial" w:hAnsi="Arial" w:cs="Arial"/>
          <w:b w:val="0"/>
        </w:rPr>
      </w:pPr>
    </w:p>
    <w:p w14:paraId="2AE6DEAC" w14:textId="77777777" w:rsidR="008554DE" w:rsidRDefault="008554DE" w:rsidP="00441B6F">
      <w:pPr>
        <w:pStyle w:val="Appendix"/>
        <w:spacing w:after="0"/>
        <w:jc w:val="both"/>
        <w:rPr>
          <w:rFonts w:ascii="Arial" w:hAnsi="Arial" w:cs="Arial"/>
          <w:b w:val="0"/>
        </w:rPr>
      </w:pPr>
    </w:p>
    <w:p w14:paraId="751A6632" w14:textId="77777777" w:rsidR="008554DE" w:rsidRDefault="008554DE" w:rsidP="00441B6F">
      <w:pPr>
        <w:pStyle w:val="Appendix"/>
        <w:spacing w:after="0"/>
        <w:jc w:val="both"/>
        <w:rPr>
          <w:rFonts w:ascii="Arial" w:hAnsi="Arial" w:cs="Arial"/>
          <w:b w:val="0"/>
        </w:rPr>
      </w:pPr>
    </w:p>
    <w:p w14:paraId="02D62018" w14:textId="77777777" w:rsidR="008554DE" w:rsidRDefault="008554DE" w:rsidP="00441B6F">
      <w:pPr>
        <w:pStyle w:val="Appendix"/>
        <w:spacing w:after="0"/>
        <w:jc w:val="both"/>
        <w:rPr>
          <w:rFonts w:ascii="Arial" w:hAnsi="Arial" w:cs="Arial"/>
          <w:b w:val="0"/>
        </w:rPr>
      </w:pPr>
    </w:p>
    <w:p w14:paraId="08A88721" w14:textId="77777777" w:rsidR="008554DE" w:rsidRDefault="008554DE" w:rsidP="00441B6F">
      <w:pPr>
        <w:pStyle w:val="Appendix"/>
        <w:spacing w:after="0"/>
        <w:jc w:val="both"/>
        <w:rPr>
          <w:rFonts w:ascii="Arial" w:hAnsi="Arial" w:cs="Arial"/>
          <w:b w:val="0"/>
        </w:rPr>
      </w:pPr>
    </w:p>
    <w:p w14:paraId="01784618" w14:textId="77777777" w:rsidR="008554DE" w:rsidRDefault="008554DE" w:rsidP="00441B6F">
      <w:pPr>
        <w:pStyle w:val="Appendix"/>
        <w:spacing w:after="0"/>
        <w:jc w:val="both"/>
        <w:rPr>
          <w:rFonts w:ascii="Arial" w:hAnsi="Arial" w:cs="Arial"/>
          <w:b w:val="0"/>
        </w:rPr>
      </w:pPr>
    </w:p>
    <w:p w14:paraId="0887604A" w14:textId="77777777" w:rsidR="008554DE" w:rsidRDefault="008554DE" w:rsidP="00441B6F">
      <w:pPr>
        <w:pStyle w:val="Appendix"/>
        <w:spacing w:after="0"/>
        <w:jc w:val="both"/>
        <w:rPr>
          <w:rFonts w:ascii="Arial" w:hAnsi="Arial" w:cs="Arial"/>
          <w:b w:val="0"/>
        </w:rPr>
      </w:pPr>
    </w:p>
    <w:p w14:paraId="3EE55D18" w14:textId="77777777" w:rsidR="008554DE" w:rsidRDefault="008554DE" w:rsidP="00441B6F">
      <w:pPr>
        <w:pStyle w:val="Appendix"/>
        <w:spacing w:after="0"/>
        <w:jc w:val="both"/>
        <w:rPr>
          <w:rFonts w:ascii="Arial" w:hAnsi="Arial" w:cs="Arial"/>
          <w:b w:val="0"/>
        </w:rPr>
      </w:pPr>
    </w:p>
    <w:p w14:paraId="7BB56F65" w14:textId="77777777" w:rsidR="008554DE" w:rsidRDefault="008554DE" w:rsidP="00441B6F">
      <w:pPr>
        <w:pStyle w:val="Appendix"/>
        <w:spacing w:after="0"/>
        <w:jc w:val="both"/>
        <w:rPr>
          <w:rFonts w:ascii="Arial" w:hAnsi="Arial" w:cs="Arial"/>
          <w:b w:val="0"/>
        </w:rPr>
      </w:pPr>
    </w:p>
    <w:p w14:paraId="04BE4AA4" w14:textId="77777777" w:rsidR="008554DE" w:rsidRDefault="008554DE" w:rsidP="00441B6F">
      <w:pPr>
        <w:pStyle w:val="Appendix"/>
        <w:spacing w:after="0"/>
        <w:jc w:val="both"/>
        <w:rPr>
          <w:rFonts w:ascii="Arial" w:hAnsi="Arial" w:cs="Arial"/>
          <w:b w:val="0"/>
        </w:rPr>
      </w:pPr>
    </w:p>
    <w:p w14:paraId="6D923FB8" w14:textId="77777777" w:rsidR="008554DE" w:rsidRDefault="008554DE" w:rsidP="00441B6F">
      <w:pPr>
        <w:pStyle w:val="Appendix"/>
        <w:spacing w:after="0"/>
        <w:jc w:val="both"/>
        <w:rPr>
          <w:rFonts w:ascii="Arial" w:hAnsi="Arial" w:cs="Arial"/>
          <w:b w:val="0"/>
        </w:rPr>
      </w:pPr>
    </w:p>
    <w:p w14:paraId="7E0BD217" w14:textId="77777777" w:rsidR="008554DE" w:rsidRDefault="008554DE" w:rsidP="00441B6F">
      <w:pPr>
        <w:pStyle w:val="Appendix"/>
        <w:spacing w:after="0"/>
        <w:jc w:val="both"/>
        <w:rPr>
          <w:rFonts w:ascii="Arial" w:hAnsi="Arial" w:cs="Arial"/>
          <w:b w:val="0"/>
        </w:rPr>
      </w:pPr>
    </w:p>
    <w:p w14:paraId="3D151141" w14:textId="77777777" w:rsidR="008554DE" w:rsidRDefault="008554DE" w:rsidP="00441B6F">
      <w:pPr>
        <w:pStyle w:val="Appendix"/>
        <w:spacing w:after="0"/>
        <w:jc w:val="both"/>
        <w:rPr>
          <w:rFonts w:ascii="Arial" w:hAnsi="Arial" w:cs="Arial"/>
          <w:b w:val="0"/>
        </w:rPr>
      </w:pPr>
    </w:p>
    <w:p w14:paraId="00417764" w14:textId="77777777" w:rsidR="008554DE" w:rsidRDefault="008554DE" w:rsidP="00441B6F">
      <w:pPr>
        <w:pStyle w:val="Appendix"/>
        <w:spacing w:after="0"/>
        <w:jc w:val="both"/>
        <w:rPr>
          <w:rFonts w:ascii="Arial" w:hAnsi="Arial" w:cs="Arial"/>
          <w:b w:val="0"/>
        </w:rPr>
      </w:pPr>
    </w:p>
    <w:p w14:paraId="63755B7D" w14:textId="77777777" w:rsidR="008554DE" w:rsidRDefault="008554DE" w:rsidP="00441B6F">
      <w:pPr>
        <w:pStyle w:val="Appendix"/>
        <w:spacing w:after="0"/>
        <w:jc w:val="both"/>
        <w:rPr>
          <w:rFonts w:ascii="Arial" w:hAnsi="Arial" w:cs="Arial"/>
          <w:b w:val="0"/>
        </w:rPr>
      </w:pPr>
    </w:p>
    <w:p w14:paraId="47656CE3" w14:textId="77777777" w:rsidR="008554DE" w:rsidRDefault="008554DE" w:rsidP="00441B6F">
      <w:pPr>
        <w:pStyle w:val="Appendix"/>
        <w:spacing w:after="0"/>
        <w:jc w:val="both"/>
        <w:rPr>
          <w:rFonts w:ascii="Arial" w:hAnsi="Arial" w:cs="Arial"/>
          <w:b w:val="0"/>
        </w:rPr>
      </w:pPr>
    </w:p>
    <w:p w14:paraId="718849FE" w14:textId="77777777" w:rsidR="008554DE" w:rsidRDefault="008554DE" w:rsidP="00441B6F">
      <w:pPr>
        <w:pStyle w:val="Appendix"/>
        <w:spacing w:after="0"/>
        <w:jc w:val="both"/>
        <w:rPr>
          <w:rFonts w:ascii="Arial" w:hAnsi="Arial" w:cs="Arial"/>
          <w:b w:val="0"/>
        </w:rPr>
      </w:pPr>
    </w:p>
    <w:p w14:paraId="45A26CBA" w14:textId="77777777" w:rsidR="008554DE" w:rsidRDefault="008554DE" w:rsidP="00441B6F">
      <w:pPr>
        <w:pStyle w:val="Appendix"/>
        <w:spacing w:after="0"/>
        <w:jc w:val="both"/>
        <w:rPr>
          <w:rFonts w:ascii="Arial" w:hAnsi="Arial" w:cs="Arial"/>
          <w:b w:val="0"/>
        </w:rPr>
      </w:pPr>
    </w:p>
    <w:p w14:paraId="310A9303" w14:textId="77777777" w:rsidR="008554DE" w:rsidRDefault="008554DE" w:rsidP="00441B6F">
      <w:pPr>
        <w:pStyle w:val="Appendix"/>
        <w:spacing w:after="0"/>
        <w:jc w:val="both"/>
        <w:rPr>
          <w:rFonts w:ascii="Arial" w:hAnsi="Arial" w:cs="Arial"/>
          <w:b w:val="0"/>
        </w:rPr>
      </w:pPr>
    </w:p>
    <w:p w14:paraId="6483813F" w14:textId="77777777" w:rsidR="008554DE" w:rsidRDefault="008554DE" w:rsidP="00441B6F">
      <w:pPr>
        <w:pStyle w:val="Appendix"/>
        <w:spacing w:after="0"/>
        <w:jc w:val="both"/>
        <w:rPr>
          <w:rFonts w:ascii="Arial" w:hAnsi="Arial" w:cs="Arial"/>
          <w:b w:val="0"/>
        </w:rPr>
      </w:pPr>
    </w:p>
    <w:p w14:paraId="058C3046" w14:textId="77777777" w:rsidR="008554DE" w:rsidRDefault="008554DE" w:rsidP="00441B6F">
      <w:pPr>
        <w:pStyle w:val="Appendix"/>
        <w:spacing w:after="0"/>
        <w:jc w:val="both"/>
        <w:rPr>
          <w:rFonts w:ascii="Arial" w:hAnsi="Arial" w:cs="Arial"/>
          <w:b w:val="0"/>
        </w:rPr>
      </w:pPr>
    </w:p>
    <w:p w14:paraId="10E9D72D" w14:textId="77777777" w:rsidR="008554DE" w:rsidRDefault="008554DE" w:rsidP="00441B6F">
      <w:pPr>
        <w:pStyle w:val="Appendix"/>
        <w:spacing w:after="0"/>
        <w:jc w:val="both"/>
        <w:rPr>
          <w:rFonts w:ascii="Arial" w:hAnsi="Arial" w:cs="Arial"/>
          <w:b w:val="0"/>
        </w:rPr>
      </w:pPr>
    </w:p>
    <w:p w14:paraId="2AC43064" w14:textId="77777777" w:rsidR="008554DE" w:rsidRDefault="008554DE" w:rsidP="00441B6F">
      <w:pPr>
        <w:pStyle w:val="Appendix"/>
        <w:spacing w:after="0"/>
        <w:jc w:val="both"/>
        <w:rPr>
          <w:rFonts w:ascii="Arial" w:hAnsi="Arial" w:cs="Arial"/>
          <w:b w:val="0"/>
        </w:rPr>
      </w:pPr>
    </w:p>
    <w:p w14:paraId="50373F42" w14:textId="77777777" w:rsidR="008554DE" w:rsidRPr="00FB3A86" w:rsidRDefault="008554DE" w:rsidP="00441B6F">
      <w:pPr>
        <w:pStyle w:val="Appendix"/>
        <w:spacing w:after="0"/>
        <w:jc w:val="both"/>
        <w:rPr>
          <w:rFonts w:ascii="Arial" w:hAnsi="Arial" w:cs="Arial"/>
          <w:b w:val="0"/>
        </w:rPr>
      </w:pPr>
    </w:p>
    <w:sectPr w:rsidR="008554DE" w:rsidRPr="00FB3A86" w:rsidSect="000331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56A68" w14:textId="77777777" w:rsidR="003D1F86" w:rsidRDefault="003D1F86" w:rsidP="00C37E61">
      <w:r>
        <w:separator/>
      </w:r>
    </w:p>
  </w:endnote>
  <w:endnote w:type="continuationSeparator" w:id="0">
    <w:p w14:paraId="29642920" w14:textId="77777777" w:rsidR="003D1F86" w:rsidRDefault="003D1F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5AAE" w14:textId="77777777" w:rsidR="00DD6F5A" w:rsidRDefault="00DD6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B3E2" w14:textId="77777777" w:rsidR="00DD6F5A" w:rsidRDefault="00DD6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C6F8" w14:textId="77777777" w:rsidR="009E048A" w:rsidRDefault="009E048A">
    <w:pPr>
      <w:pStyle w:val="Footer"/>
      <w:rPr>
        <w:rFonts w:ascii="Arial" w:hAnsi="Arial" w:cs="Arial"/>
        <w:sz w:val="16"/>
      </w:rPr>
    </w:pPr>
  </w:p>
  <w:p w14:paraId="0D1BCE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D34C68" w14:textId="77777777" w:rsidR="009E048A" w:rsidRDefault="009E048A">
    <w:pPr>
      <w:pStyle w:val="Footer"/>
      <w:rPr>
        <w:rFonts w:ascii="Arial" w:hAnsi="Arial" w:cs="Arial"/>
        <w:sz w:val="16"/>
      </w:rPr>
    </w:pPr>
  </w:p>
  <w:p w14:paraId="0B2722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4D23F" w14:textId="77777777" w:rsidR="00DE7D2F" w:rsidRDefault="00DE7D2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292752E" w14:textId="77777777" w:rsidR="00DE7D2F" w:rsidRDefault="00DE7D2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6233" w14:textId="77777777" w:rsidR="00DE7D2F" w:rsidRDefault="00DE7D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7CC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72C1F" w14:textId="77777777" w:rsidR="003D1F86" w:rsidRDefault="003D1F86" w:rsidP="00C37E61">
      <w:r>
        <w:separator/>
      </w:r>
    </w:p>
  </w:footnote>
  <w:footnote w:type="continuationSeparator" w:id="0">
    <w:p w14:paraId="0CC16A34" w14:textId="77777777" w:rsidR="003D1F86" w:rsidRDefault="003D1F8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2E55" w14:textId="420B880F" w:rsidR="00DD6F5A" w:rsidRDefault="00000000">
    <w:pPr>
      <w:pStyle w:val="Header"/>
    </w:pPr>
    <w:r>
      <w:rPr>
        <w:noProof/>
      </w:rPr>
      <w:pict w14:anchorId="3EE3B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4"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BE13" w14:textId="4B69BDDE" w:rsidR="00DD6F5A" w:rsidRDefault="00000000">
    <w:pPr>
      <w:pStyle w:val="Header"/>
    </w:pPr>
    <w:r>
      <w:rPr>
        <w:noProof/>
      </w:rPr>
      <w:pict w14:anchorId="43A92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5"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800A" w14:textId="6CF8F27B" w:rsidR="00296529" w:rsidRPr="00296529" w:rsidRDefault="00000000" w:rsidP="00296529">
    <w:pPr>
      <w:ind w:left="2160"/>
      <w:jc w:val="center"/>
      <w:rPr>
        <w:rFonts w:ascii="Times New Roman" w:eastAsia="Calibri" w:hAnsi="Times New Roman"/>
        <w:i/>
        <w:sz w:val="18"/>
        <w:szCs w:val="22"/>
      </w:rPr>
    </w:pPr>
    <w:r>
      <w:rPr>
        <w:noProof/>
      </w:rPr>
      <w:pict w14:anchorId="298EF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3" o:spid="_x0000_s1025"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090CD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197DF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0261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73518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0AB9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7F06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0FC6" w14:textId="55B05AE4" w:rsidR="00DD6F5A" w:rsidRDefault="00000000">
    <w:pPr>
      <w:pStyle w:val="Header"/>
    </w:pPr>
    <w:r>
      <w:rPr>
        <w:noProof/>
      </w:rPr>
      <w:pict w14:anchorId="502C7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7" o:spid="_x0000_s1029"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610C" w14:textId="4CAF4983" w:rsidR="00DE7D2F" w:rsidRDefault="00000000">
    <w:r>
      <w:rPr>
        <w:noProof/>
      </w:rPr>
      <w:pict w14:anchorId="70B0E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8" o:spid="_x0000_s1030"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80F2" w14:textId="15F9BF73" w:rsidR="00DE7D2F" w:rsidRDefault="00000000">
    <w:r>
      <w:rPr>
        <w:noProof/>
      </w:rPr>
      <w:pict w14:anchorId="459C3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6" o:spid="_x0000_s1028"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976E" w14:textId="1CF81C79" w:rsidR="00DD6F5A" w:rsidRDefault="00000000">
    <w:pPr>
      <w:pStyle w:val="Header"/>
    </w:pPr>
    <w:r>
      <w:rPr>
        <w:noProof/>
      </w:rPr>
      <w:pict w14:anchorId="62597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50" o:spid="_x0000_s1032" type="#_x0000_t136" style="position:absolute;margin-left:0;margin-top:0;width:592.85pt;height:66.9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77D9" w14:textId="13D1479B" w:rsidR="00DD6F5A" w:rsidRDefault="00000000">
    <w:pPr>
      <w:pStyle w:val="Header"/>
    </w:pPr>
    <w:r>
      <w:rPr>
        <w:noProof/>
      </w:rPr>
      <w:pict w14:anchorId="3EBA8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51" o:spid="_x0000_s1033" type="#_x0000_t136" style="position:absolute;margin-left:0;margin-top:0;width:592.85pt;height:66.9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DB551" w14:textId="3F03E36C" w:rsidR="00DD6F5A" w:rsidRDefault="00000000">
    <w:pPr>
      <w:pStyle w:val="Header"/>
    </w:pPr>
    <w:r>
      <w:rPr>
        <w:noProof/>
      </w:rPr>
      <w:pict w14:anchorId="706DC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9" o:spid="_x0000_s1031" type="#_x0000_t136" style="position:absolute;margin-left:0;margin-top:0;width:592.85pt;height:66.9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713"/>
    <w:multiLevelType w:val="multilevel"/>
    <w:tmpl w:val="1AB86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BF4B27"/>
    <w:multiLevelType w:val="multilevel"/>
    <w:tmpl w:val="ABB01962"/>
    <w:lvl w:ilvl="0">
      <w:start w:val="1"/>
      <w:numFmt w:val="decimal"/>
      <w:lvlText w:val="%1."/>
      <w:lvlJc w:val="left"/>
      <w:pPr>
        <w:ind w:left="720" w:hanging="360"/>
      </w:pPr>
    </w:lvl>
    <w:lvl w:ilv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EA0887"/>
    <w:multiLevelType w:val="multilevel"/>
    <w:tmpl w:val="BFA0E72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962D55"/>
    <w:multiLevelType w:val="multilevel"/>
    <w:tmpl w:val="9E92C08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FD36276"/>
    <w:multiLevelType w:val="multilevel"/>
    <w:tmpl w:val="64C65902"/>
    <w:lvl w:ilvl="0">
      <w:start w:val="1"/>
      <w:numFmt w:val="lowerLetter"/>
      <w:lvlText w:val="%1)"/>
      <w:lvlJc w:val="left"/>
      <w:pPr>
        <w:ind w:left="705" w:hanging="360"/>
      </w:pPr>
    </w:lvl>
    <w:lvl w:ilvl="1">
      <w:numFmt w:val="decimal"/>
      <w:isLgl/>
      <w:lvlText w:val="%1.%2"/>
      <w:lvlJc w:val="left"/>
      <w:pPr>
        <w:ind w:left="945" w:hanging="60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5" w15:restartNumberingAfterBreak="0">
    <w:nsid w:val="3727040F"/>
    <w:multiLevelType w:val="multilevel"/>
    <w:tmpl w:val="B05420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75055D"/>
    <w:multiLevelType w:val="multilevel"/>
    <w:tmpl w:val="C5F82F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B84A40"/>
    <w:multiLevelType w:val="multilevel"/>
    <w:tmpl w:val="7EF26ECC"/>
    <w:styleLink w:val="CurrentList1"/>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580E5A68"/>
    <w:multiLevelType w:val="multilevel"/>
    <w:tmpl w:val="E51608D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170" w:hanging="720"/>
      </w:pPr>
      <w:rPr>
        <w:rFonts w:hint="default"/>
        <w:b/>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5ECC0077"/>
    <w:multiLevelType w:val="multilevel"/>
    <w:tmpl w:val="44389CAE"/>
    <w:lvl w:ilvl="0">
      <w:start w:val="2"/>
      <w:numFmt w:val="decimal"/>
      <w:lvlText w:val="%1"/>
      <w:lvlJc w:val="left"/>
      <w:pPr>
        <w:ind w:left="360" w:hanging="360"/>
      </w:pPr>
      <w:rPr>
        <w:rFonts w:hint="default"/>
        <w:b w:val="0"/>
      </w:rPr>
    </w:lvl>
    <w:lvl w:ilvl="1">
      <w:start w:val="3"/>
      <w:numFmt w:val="decimal"/>
      <w:lvlText w:val="%1.%2"/>
      <w:lvlJc w:val="left"/>
      <w:pPr>
        <w:ind w:left="810" w:hanging="360"/>
      </w:pPr>
      <w:rPr>
        <w:rFonts w:hint="default"/>
        <w:b/>
        <w:bCs w:val="0"/>
      </w:rPr>
    </w:lvl>
    <w:lvl w:ilvl="2">
      <w:start w:val="1"/>
      <w:numFmt w:val="decimal"/>
      <w:lvlText w:val="%1.%2.%3"/>
      <w:lvlJc w:val="left"/>
      <w:pPr>
        <w:ind w:left="1620" w:hanging="720"/>
      </w:pPr>
      <w:rPr>
        <w:rFonts w:hint="default"/>
        <w:b w:val="0"/>
      </w:rPr>
    </w:lvl>
    <w:lvl w:ilvl="3">
      <w:start w:val="1"/>
      <w:numFmt w:val="decimal"/>
      <w:lvlText w:val="%1.%2.%3.%4"/>
      <w:lvlJc w:val="left"/>
      <w:pPr>
        <w:ind w:left="2070" w:hanging="72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330" w:hanging="108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590" w:hanging="1440"/>
      </w:pPr>
      <w:rPr>
        <w:rFonts w:hint="default"/>
        <w:b w:val="0"/>
      </w:rPr>
    </w:lvl>
    <w:lvl w:ilvl="8">
      <w:start w:val="1"/>
      <w:numFmt w:val="decimal"/>
      <w:lvlText w:val="%1.%2.%3.%4.%5.%6.%7.%8.%9"/>
      <w:lvlJc w:val="left"/>
      <w:pPr>
        <w:ind w:left="5400" w:hanging="1800"/>
      </w:pPr>
      <w:rPr>
        <w:rFonts w:hint="default"/>
        <w:b w:val="0"/>
      </w:rPr>
    </w:lvl>
  </w:abstractNum>
  <w:abstractNum w:abstractNumId="1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1" w15:restartNumberingAfterBreak="0">
    <w:nsid w:val="74A12151"/>
    <w:multiLevelType w:val="multilevel"/>
    <w:tmpl w:val="FC8E92C0"/>
    <w:styleLink w:val="CurrentList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B1F3A0D"/>
    <w:multiLevelType w:val="multilevel"/>
    <w:tmpl w:val="A71E9E82"/>
    <w:lvl w:ilvl="0">
      <w:start w:val="2"/>
      <w:numFmt w:val="decimal"/>
      <w:lvlText w:val="%1"/>
      <w:lvlJc w:val="left"/>
      <w:pPr>
        <w:ind w:left="612" w:hanging="612"/>
      </w:pPr>
      <w:rPr>
        <w:rFonts w:hint="default"/>
      </w:rPr>
    </w:lvl>
    <w:lvl w:ilvl="1">
      <w:start w:val="3"/>
      <w:numFmt w:val="decimal"/>
      <w:lvlText w:val="%1.%2"/>
      <w:lvlJc w:val="left"/>
      <w:pPr>
        <w:ind w:left="1452" w:hanging="612"/>
      </w:pPr>
      <w:rPr>
        <w:rFonts w:hint="default"/>
      </w:rPr>
    </w:lvl>
    <w:lvl w:ilvl="2">
      <w:start w:val="1"/>
      <w:numFmt w:val="decimal"/>
      <w:lvlText w:val="%1.%2.%3"/>
      <w:lvlJc w:val="left"/>
      <w:pPr>
        <w:ind w:left="2400" w:hanging="720"/>
      </w:pPr>
      <w:rPr>
        <w:rFonts w:hint="default"/>
      </w:rPr>
    </w:lvl>
    <w:lvl w:ilvl="3">
      <w:start w:val="2"/>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3" w15:restartNumberingAfterBreak="0">
    <w:nsid w:val="7B287AD9"/>
    <w:multiLevelType w:val="hybridMultilevel"/>
    <w:tmpl w:val="7270C410"/>
    <w:lvl w:ilvl="0" w:tplc="0409001B">
      <w:start w:val="1"/>
      <w:numFmt w:val="lowerRoman"/>
      <w:lvlText w:val="%1."/>
      <w:lvlJc w:val="right"/>
      <w:pPr>
        <w:ind w:left="72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D337171"/>
    <w:multiLevelType w:val="multilevel"/>
    <w:tmpl w:val="887C6088"/>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num w:numId="1" w16cid:durableId="874394089">
    <w:abstractNumId w:val="10"/>
  </w:num>
  <w:num w:numId="2" w16cid:durableId="866210888">
    <w:abstractNumId w:val="1"/>
  </w:num>
  <w:num w:numId="3" w16cid:durableId="2123761585">
    <w:abstractNumId w:val="2"/>
  </w:num>
  <w:num w:numId="4" w16cid:durableId="483398737">
    <w:abstractNumId w:val="4"/>
  </w:num>
  <w:num w:numId="5" w16cid:durableId="1522354271">
    <w:abstractNumId w:val="13"/>
  </w:num>
  <w:num w:numId="6" w16cid:durableId="148138458">
    <w:abstractNumId w:val="8"/>
  </w:num>
  <w:num w:numId="7" w16cid:durableId="1050417670">
    <w:abstractNumId w:val="5"/>
  </w:num>
  <w:num w:numId="8" w16cid:durableId="1491482182">
    <w:abstractNumId w:val="12"/>
  </w:num>
  <w:num w:numId="9" w16cid:durableId="918254841">
    <w:abstractNumId w:val="9"/>
  </w:num>
  <w:num w:numId="10" w16cid:durableId="120149700">
    <w:abstractNumId w:val="6"/>
  </w:num>
  <w:num w:numId="11" w16cid:durableId="1396470858">
    <w:abstractNumId w:val="14"/>
  </w:num>
  <w:num w:numId="12" w16cid:durableId="1480682954">
    <w:abstractNumId w:val="3"/>
  </w:num>
  <w:num w:numId="13" w16cid:durableId="144857355">
    <w:abstractNumId w:val="7"/>
  </w:num>
  <w:num w:numId="14" w16cid:durableId="1983775944">
    <w:abstractNumId w:val="11"/>
  </w:num>
  <w:num w:numId="15" w16cid:durableId="178927865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19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1MLQ0MzQ0tjQysTBW0lEKTi0uzszPAykwrAUAl1OsqywAAAA="/>
  </w:docVars>
  <w:rsids>
    <w:rsidRoot w:val="00AA6219"/>
    <w:rsid w:val="00000F8F"/>
    <w:rsid w:val="00013A9F"/>
    <w:rsid w:val="00015DC9"/>
    <w:rsid w:val="0001781C"/>
    <w:rsid w:val="00030174"/>
    <w:rsid w:val="000331DD"/>
    <w:rsid w:val="0004579C"/>
    <w:rsid w:val="0009003C"/>
    <w:rsid w:val="000A29A2"/>
    <w:rsid w:val="000A30EE"/>
    <w:rsid w:val="000A47FA"/>
    <w:rsid w:val="000A65D3"/>
    <w:rsid w:val="000B1E33"/>
    <w:rsid w:val="000C7A65"/>
    <w:rsid w:val="000D5DBD"/>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167F"/>
    <w:rsid w:val="001D3A51"/>
    <w:rsid w:val="001E10D2"/>
    <w:rsid w:val="001E22DE"/>
    <w:rsid w:val="001E25B4"/>
    <w:rsid w:val="001E44FE"/>
    <w:rsid w:val="00200595"/>
    <w:rsid w:val="00204835"/>
    <w:rsid w:val="00231920"/>
    <w:rsid w:val="0023195C"/>
    <w:rsid w:val="0024282C"/>
    <w:rsid w:val="002460DC"/>
    <w:rsid w:val="00250985"/>
    <w:rsid w:val="0025351E"/>
    <w:rsid w:val="002556F6"/>
    <w:rsid w:val="00283105"/>
    <w:rsid w:val="00284C4C"/>
    <w:rsid w:val="00287E68"/>
    <w:rsid w:val="00296529"/>
    <w:rsid w:val="002B27FB"/>
    <w:rsid w:val="002B685A"/>
    <w:rsid w:val="002C57D2"/>
    <w:rsid w:val="002C5FC5"/>
    <w:rsid w:val="002C63F0"/>
    <w:rsid w:val="002E0D56"/>
    <w:rsid w:val="00313F8D"/>
    <w:rsid w:val="00315186"/>
    <w:rsid w:val="0033343E"/>
    <w:rsid w:val="003512C2"/>
    <w:rsid w:val="00371FB6"/>
    <w:rsid w:val="003763C1"/>
    <w:rsid w:val="00376BBE"/>
    <w:rsid w:val="0039224F"/>
    <w:rsid w:val="003945EB"/>
    <w:rsid w:val="003A43A4"/>
    <w:rsid w:val="003A4777"/>
    <w:rsid w:val="003A7E18"/>
    <w:rsid w:val="003C4C86"/>
    <w:rsid w:val="003C6258"/>
    <w:rsid w:val="003D1F86"/>
    <w:rsid w:val="003E2904"/>
    <w:rsid w:val="003F5953"/>
    <w:rsid w:val="00401927"/>
    <w:rsid w:val="0041027F"/>
    <w:rsid w:val="00412475"/>
    <w:rsid w:val="00423789"/>
    <w:rsid w:val="00440F43"/>
    <w:rsid w:val="00441B6F"/>
    <w:rsid w:val="00446221"/>
    <w:rsid w:val="00446A70"/>
    <w:rsid w:val="00450E62"/>
    <w:rsid w:val="004539DB"/>
    <w:rsid w:val="00471A80"/>
    <w:rsid w:val="00487FB3"/>
    <w:rsid w:val="004D305E"/>
    <w:rsid w:val="004D4277"/>
    <w:rsid w:val="004D436E"/>
    <w:rsid w:val="00502516"/>
    <w:rsid w:val="00505F06"/>
    <w:rsid w:val="00506828"/>
    <w:rsid w:val="005118A5"/>
    <w:rsid w:val="005235B2"/>
    <w:rsid w:val="0053056E"/>
    <w:rsid w:val="00530F93"/>
    <w:rsid w:val="00554FDA"/>
    <w:rsid w:val="005A46FB"/>
    <w:rsid w:val="005C784C"/>
    <w:rsid w:val="005D17F6"/>
    <w:rsid w:val="005E5539"/>
    <w:rsid w:val="00602BF5"/>
    <w:rsid w:val="00617FDD"/>
    <w:rsid w:val="00633614"/>
    <w:rsid w:val="00633F68"/>
    <w:rsid w:val="00636EB2"/>
    <w:rsid w:val="006375B8"/>
    <w:rsid w:val="00647F93"/>
    <w:rsid w:val="0066510A"/>
    <w:rsid w:val="00673F9F"/>
    <w:rsid w:val="00686953"/>
    <w:rsid w:val="00687DEA"/>
    <w:rsid w:val="00687E67"/>
    <w:rsid w:val="006967F7"/>
    <w:rsid w:val="006A250C"/>
    <w:rsid w:val="006B21D3"/>
    <w:rsid w:val="006B57D0"/>
    <w:rsid w:val="006B7FBF"/>
    <w:rsid w:val="006C7968"/>
    <w:rsid w:val="006D30FF"/>
    <w:rsid w:val="006D6940"/>
    <w:rsid w:val="006F11EC"/>
    <w:rsid w:val="0070082C"/>
    <w:rsid w:val="007369E6"/>
    <w:rsid w:val="007413E7"/>
    <w:rsid w:val="00746E59"/>
    <w:rsid w:val="00754C9A"/>
    <w:rsid w:val="0075599A"/>
    <w:rsid w:val="00761D52"/>
    <w:rsid w:val="0077749E"/>
    <w:rsid w:val="0078311D"/>
    <w:rsid w:val="00790ADA"/>
    <w:rsid w:val="007D2288"/>
    <w:rsid w:val="007E088F"/>
    <w:rsid w:val="007F3DC7"/>
    <w:rsid w:val="007F7952"/>
    <w:rsid w:val="007F7B32"/>
    <w:rsid w:val="00804BC2"/>
    <w:rsid w:val="00810999"/>
    <w:rsid w:val="0081431A"/>
    <w:rsid w:val="0083216F"/>
    <w:rsid w:val="008554DE"/>
    <w:rsid w:val="00860000"/>
    <w:rsid w:val="00863BD3"/>
    <w:rsid w:val="008641ED"/>
    <w:rsid w:val="00866D66"/>
    <w:rsid w:val="008671C6"/>
    <w:rsid w:val="00875803"/>
    <w:rsid w:val="008B459E"/>
    <w:rsid w:val="008E13AE"/>
    <w:rsid w:val="008E1506"/>
    <w:rsid w:val="008E710C"/>
    <w:rsid w:val="008F69D6"/>
    <w:rsid w:val="00902823"/>
    <w:rsid w:val="00914792"/>
    <w:rsid w:val="00915CA6"/>
    <w:rsid w:val="00927834"/>
    <w:rsid w:val="00941DCE"/>
    <w:rsid w:val="009500A6"/>
    <w:rsid w:val="009555FA"/>
    <w:rsid w:val="00957C18"/>
    <w:rsid w:val="009659BA"/>
    <w:rsid w:val="00983040"/>
    <w:rsid w:val="009A5290"/>
    <w:rsid w:val="009B3FB9"/>
    <w:rsid w:val="009C0632"/>
    <w:rsid w:val="009C2465"/>
    <w:rsid w:val="009D35A0"/>
    <w:rsid w:val="009D7EB7"/>
    <w:rsid w:val="009E048A"/>
    <w:rsid w:val="009E08E9"/>
    <w:rsid w:val="009E3DB9"/>
    <w:rsid w:val="009E5020"/>
    <w:rsid w:val="009E6E35"/>
    <w:rsid w:val="009F0EDA"/>
    <w:rsid w:val="00A03B96"/>
    <w:rsid w:val="00A05B19"/>
    <w:rsid w:val="00A1134E"/>
    <w:rsid w:val="00A24E7E"/>
    <w:rsid w:val="00A258C3"/>
    <w:rsid w:val="00A347C0"/>
    <w:rsid w:val="00A51431"/>
    <w:rsid w:val="00A539AD"/>
    <w:rsid w:val="00A55F9F"/>
    <w:rsid w:val="00A92BBA"/>
    <w:rsid w:val="00A94063"/>
    <w:rsid w:val="00A97ACF"/>
    <w:rsid w:val="00AA2391"/>
    <w:rsid w:val="00AA6219"/>
    <w:rsid w:val="00AA74E0"/>
    <w:rsid w:val="00AB703F"/>
    <w:rsid w:val="00AC6BB8"/>
    <w:rsid w:val="00AE008F"/>
    <w:rsid w:val="00B01FCD"/>
    <w:rsid w:val="00B1362E"/>
    <w:rsid w:val="00B1776C"/>
    <w:rsid w:val="00B27853"/>
    <w:rsid w:val="00B33E8E"/>
    <w:rsid w:val="00B52583"/>
    <w:rsid w:val="00B52896"/>
    <w:rsid w:val="00B95236"/>
    <w:rsid w:val="00B96BD9"/>
    <w:rsid w:val="00BA1B01"/>
    <w:rsid w:val="00BA2641"/>
    <w:rsid w:val="00BA78F4"/>
    <w:rsid w:val="00BB37AA"/>
    <w:rsid w:val="00BC53A0"/>
    <w:rsid w:val="00BE62AD"/>
    <w:rsid w:val="00BF121F"/>
    <w:rsid w:val="00BF1F80"/>
    <w:rsid w:val="00C166EF"/>
    <w:rsid w:val="00C17EB0"/>
    <w:rsid w:val="00C2427F"/>
    <w:rsid w:val="00C27F5F"/>
    <w:rsid w:val="00C30A0F"/>
    <w:rsid w:val="00C30E08"/>
    <w:rsid w:val="00C330D7"/>
    <w:rsid w:val="00C37E61"/>
    <w:rsid w:val="00C70F1B"/>
    <w:rsid w:val="00C71A47"/>
    <w:rsid w:val="00C72A5D"/>
    <w:rsid w:val="00C7464C"/>
    <w:rsid w:val="00C85588"/>
    <w:rsid w:val="00CB51B1"/>
    <w:rsid w:val="00CD6755"/>
    <w:rsid w:val="00CD6856"/>
    <w:rsid w:val="00CE0089"/>
    <w:rsid w:val="00CE793C"/>
    <w:rsid w:val="00CF193C"/>
    <w:rsid w:val="00D02E91"/>
    <w:rsid w:val="00D173F1"/>
    <w:rsid w:val="00D65F02"/>
    <w:rsid w:val="00D74CB0"/>
    <w:rsid w:val="00D8295D"/>
    <w:rsid w:val="00DC2A65"/>
    <w:rsid w:val="00DD6F5A"/>
    <w:rsid w:val="00DE15F0"/>
    <w:rsid w:val="00DE5663"/>
    <w:rsid w:val="00DE78AA"/>
    <w:rsid w:val="00DE7D2F"/>
    <w:rsid w:val="00E0341C"/>
    <w:rsid w:val="00E053D0"/>
    <w:rsid w:val="00E15994"/>
    <w:rsid w:val="00E253B3"/>
    <w:rsid w:val="00E30490"/>
    <w:rsid w:val="00E3114E"/>
    <w:rsid w:val="00E31A70"/>
    <w:rsid w:val="00E35B02"/>
    <w:rsid w:val="00E41E06"/>
    <w:rsid w:val="00E52390"/>
    <w:rsid w:val="00E66496"/>
    <w:rsid w:val="00E66B35"/>
    <w:rsid w:val="00E66E10"/>
    <w:rsid w:val="00E769F6"/>
    <w:rsid w:val="00E8407C"/>
    <w:rsid w:val="00E84F3C"/>
    <w:rsid w:val="00E93B3A"/>
    <w:rsid w:val="00EA012C"/>
    <w:rsid w:val="00EB0A0A"/>
    <w:rsid w:val="00EC6A55"/>
    <w:rsid w:val="00ED0288"/>
    <w:rsid w:val="00EE52CB"/>
    <w:rsid w:val="00EF581D"/>
    <w:rsid w:val="00EF5F8E"/>
    <w:rsid w:val="00EF7FD8"/>
    <w:rsid w:val="00F06F59"/>
    <w:rsid w:val="00F17103"/>
    <w:rsid w:val="00F17988"/>
    <w:rsid w:val="00F469F0"/>
    <w:rsid w:val="00F53273"/>
    <w:rsid w:val="00F755E4"/>
    <w:rsid w:val="00F77D02"/>
    <w:rsid w:val="00F922FB"/>
    <w:rsid w:val="00FB3A86"/>
    <w:rsid w:val="00FC00E9"/>
    <w:rsid w:val="00FD1FA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9"/>
    <o:shapelayout v:ext="edit">
      <o:idmap v:ext="edit" data="2"/>
      <o:rules v:ext="edit">
        <o:r id="V:Rule1" type="connector" idref="#_x0000_s2198"/>
        <o:r id="V:Rule2" type="connector" idref="#Straight Arrow Connector 936312855"/>
        <o:r id="V:Rule3" type="connector" idref="#Straight Arrow Connector 1289722570"/>
        <o:r id="V:Rule4" type="connector" idref="#Straight Arrow Connector 1184132944"/>
        <o:r id="V:Rule5" type="connector" idref="#Straight Arrow Connector 2034028166"/>
        <o:r id="V:Rule6" type="connector" idref="#Straight Arrow Connector 1592272208"/>
        <o:r id="V:Rule7" type="connector" idref="#Straight Arrow Connector 1896722181"/>
        <o:r id="V:Rule8" type="connector" idref="#Straight Arrow Connector 1141228074"/>
        <o:r id="V:Rule9" type="connector" idref="#Straight Arrow Connector 902472649"/>
        <o:r id="V:Rule10" type="connector" idref="#Straight Arrow Connector 1277103306"/>
        <o:r id="V:Rule11" type="connector" idref="#Straight Arrow Connector 353359321"/>
        <o:r id="V:Rule12" type="connector" idref="#Straight Arrow Connector 1834458751"/>
        <o:r id="V:Rule13" type="connector" idref="#Straight Arrow Connector 870498471"/>
        <o:r id="V:Rule14" type="connector" idref="#Straight Arrow Connector 569715958"/>
        <o:r id="V:Rule15" type="connector" idref="#Straight Arrow Connector 1711562668"/>
        <o:r id="V:Rule16" type="connector" idref="#Straight Arrow Connector 1184230619"/>
        <o:r id="V:Rule17" type="connector" idref="#Straight Arrow Connector 711231570"/>
        <o:r id="V:Rule18" type="connector" idref="#Straight Arrow Connector 263740462"/>
        <o:r id="V:Rule19" type="connector" idref="#Straight Arrow Connector 361691708"/>
        <o:r id="V:Rule20" type="connector" idref="#Straight Arrow Connector 1166690685"/>
        <o:r id="V:Rule21" type="connector" idref="#Straight Arrow Connector 1516683612"/>
        <o:r id="V:Rule22" type="connector" idref="#Straight Arrow Connector 1619016992"/>
        <o:r id="V:Rule23" type="connector" idref="#Straight Arrow Connector 1762700702"/>
      </o:rules>
    </o:shapelayout>
  </w:shapeDefaults>
  <w:decimalSymbol w:val="."/>
  <w:listSeparator w:val=","/>
  <w14:docId w14:val="0097591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1"/>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013A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13A9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F5953"/>
    <w:pPr>
      <w:keepNext/>
      <w:keepLines/>
      <w:spacing w:before="280" w:after="80" w:line="480" w:lineRule="auto"/>
      <w:jc w:val="both"/>
      <w:outlineLvl w:val="3"/>
    </w:pPr>
    <w:rPr>
      <w:rFonts w:ascii="Times New Roman" w:hAnsi="Times New Roman"/>
      <w:color w:val="666666"/>
      <w:sz w:val="24"/>
      <w:szCs w:val="24"/>
      <w:lang w:val="en-GB"/>
    </w:rPr>
  </w:style>
  <w:style w:type="paragraph" w:styleId="Heading5">
    <w:name w:val="heading 5"/>
    <w:basedOn w:val="Normal"/>
    <w:next w:val="Normal"/>
    <w:link w:val="Heading5Char"/>
    <w:uiPriority w:val="9"/>
    <w:semiHidden/>
    <w:unhideWhenUsed/>
    <w:qFormat/>
    <w:rsid w:val="003F5953"/>
    <w:pPr>
      <w:keepNext/>
      <w:keepLines/>
      <w:spacing w:before="240" w:after="80" w:line="480" w:lineRule="auto"/>
      <w:jc w:val="both"/>
      <w:outlineLvl w:val="4"/>
    </w:pPr>
    <w:rPr>
      <w:rFonts w:ascii="Times New Roman" w:hAnsi="Times New Roman"/>
      <w:color w:val="666666"/>
      <w:sz w:val="22"/>
      <w:szCs w:val="22"/>
      <w:lang w:val="en-GB"/>
    </w:rPr>
  </w:style>
  <w:style w:type="paragraph" w:styleId="Heading6">
    <w:name w:val="heading 6"/>
    <w:basedOn w:val="Normal"/>
    <w:next w:val="Normal"/>
    <w:link w:val="Heading6Char"/>
    <w:uiPriority w:val="9"/>
    <w:semiHidden/>
    <w:unhideWhenUsed/>
    <w:qFormat/>
    <w:rsid w:val="003F5953"/>
    <w:pPr>
      <w:keepNext/>
      <w:keepLines/>
      <w:spacing w:before="240" w:after="80" w:line="480" w:lineRule="auto"/>
      <w:jc w:val="both"/>
      <w:outlineLvl w:val="5"/>
    </w:pPr>
    <w:rPr>
      <w:rFonts w:ascii="Times New Roman" w:hAnsi="Times New Roman"/>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qFormat/>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qForma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013A9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13A9F"/>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1"/>
    <w:rsid w:val="00013A9F"/>
    <w:rPr>
      <w:rFonts w:ascii="Arial" w:hAnsi="Arial"/>
      <w:b/>
      <w:kern w:val="28"/>
      <w:sz w:val="28"/>
    </w:rPr>
  </w:style>
  <w:style w:type="paragraph" w:styleId="ListParagraph">
    <w:name w:val="List Paragraph"/>
    <w:basedOn w:val="Normal"/>
    <w:uiPriority w:val="34"/>
    <w:qFormat/>
    <w:rsid w:val="00013A9F"/>
    <w:pPr>
      <w:spacing w:after="200" w:line="276" w:lineRule="auto"/>
      <w:ind w:left="720"/>
      <w:contextualSpacing/>
    </w:pPr>
    <w:rPr>
      <w:rFonts w:ascii="Calibri" w:eastAsia="SimSun" w:hAnsi="Calibri"/>
      <w:sz w:val="22"/>
      <w:szCs w:val="22"/>
      <w:lang w:eastAsia="zh-CN"/>
    </w:rPr>
  </w:style>
  <w:style w:type="character" w:customStyle="1" w:styleId="FooterChar">
    <w:name w:val="Footer Char"/>
    <w:basedOn w:val="DefaultParagraphFont"/>
    <w:link w:val="Footer"/>
    <w:uiPriority w:val="99"/>
    <w:qFormat/>
    <w:rsid w:val="00DE7D2F"/>
    <w:rPr>
      <w:rFonts w:ascii="Helvetica" w:hAnsi="Helvetica"/>
    </w:rPr>
  </w:style>
  <w:style w:type="table" w:customStyle="1" w:styleId="TableGrid0">
    <w:name w:val="TableGrid"/>
    <w:rsid w:val="00B33E8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3F5953"/>
    <w:rPr>
      <w:color w:val="666666"/>
      <w:sz w:val="24"/>
      <w:szCs w:val="24"/>
      <w:lang w:val="en-GB"/>
    </w:rPr>
  </w:style>
  <w:style w:type="character" w:customStyle="1" w:styleId="Heading5Char">
    <w:name w:val="Heading 5 Char"/>
    <w:basedOn w:val="DefaultParagraphFont"/>
    <w:link w:val="Heading5"/>
    <w:uiPriority w:val="9"/>
    <w:semiHidden/>
    <w:rsid w:val="003F5953"/>
    <w:rPr>
      <w:color w:val="666666"/>
      <w:sz w:val="22"/>
      <w:szCs w:val="22"/>
      <w:lang w:val="en-GB"/>
    </w:rPr>
  </w:style>
  <w:style w:type="character" w:customStyle="1" w:styleId="Heading6Char">
    <w:name w:val="Heading 6 Char"/>
    <w:basedOn w:val="DefaultParagraphFont"/>
    <w:link w:val="Heading6"/>
    <w:uiPriority w:val="9"/>
    <w:semiHidden/>
    <w:rsid w:val="003F5953"/>
    <w:rPr>
      <w:i/>
      <w:color w:val="666666"/>
      <w:sz w:val="22"/>
      <w:szCs w:val="22"/>
      <w:lang w:val="en-GB"/>
    </w:rPr>
  </w:style>
  <w:style w:type="paragraph" w:styleId="Subtitle">
    <w:name w:val="Subtitle"/>
    <w:basedOn w:val="Normal"/>
    <w:next w:val="Normal"/>
    <w:link w:val="SubtitleChar"/>
    <w:uiPriority w:val="11"/>
    <w:qFormat/>
    <w:rsid w:val="003F5953"/>
    <w:pPr>
      <w:keepNext/>
      <w:keepLines/>
      <w:spacing w:after="320" w:line="480" w:lineRule="auto"/>
      <w:jc w:val="both"/>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3F5953"/>
    <w:rPr>
      <w:rFonts w:ascii="Arial" w:eastAsia="Arial" w:hAnsi="Arial" w:cs="Arial"/>
      <w:color w:val="666666"/>
      <w:sz w:val="30"/>
      <w:szCs w:val="30"/>
      <w:lang w:val="en-GB"/>
    </w:rPr>
  </w:style>
  <w:style w:type="paragraph" w:styleId="NoSpacing">
    <w:name w:val="No Spacing"/>
    <w:uiPriority w:val="1"/>
    <w:qFormat/>
    <w:rsid w:val="003F5953"/>
    <w:rPr>
      <w:rFonts w:ascii="Arial" w:eastAsia="Arial" w:hAnsi="Arial" w:cs="Arial"/>
      <w:sz w:val="22"/>
      <w:szCs w:val="22"/>
      <w:lang w:val="en-GB"/>
    </w:rPr>
  </w:style>
  <w:style w:type="paragraph" w:styleId="Caption">
    <w:name w:val="caption"/>
    <w:basedOn w:val="Normal"/>
    <w:next w:val="Normal"/>
    <w:uiPriority w:val="35"/>
    <w:unhideWhenUsed/>
    <w:qFormat/>
    <w:rsid w:val="003F5953"/>
    <w:pPr>
      <w:spacing w:after="200" w:line="276" w:lineRule="auto"/>
    </w:pPr>
    <w:rPr>
      <w:rFonts w:ascii="Calibri" w:eastAsia="SimSun" w:hAnsi="Calibri"/>
      <w:b/>
      <w:bCs/>
      <w:lang w:eastAsia="zh-CN"/>
    </w:rPr>
  </w:style>
  <w:style w:type="character" w:customStyle="1" w:styleId="HeaderChar">
    <w:name w:val="Header Char"/>
    <w:basedOn w:val="DefaultParagraphFont"/>
    <w:link w:val="Header"/>
    <w:uiPriority w:val="99"/>
    <w:qFormat/>
    <w:rsid w:val="003F5953"/>
    <w:rPr>
      <w:rFonts w:ascii="Helvetica" w:hAnsi="Helvetica"/>
    </w:rPr>
  </w:style>
  <w:style w:type="character" w:customStyle="1" w:styleId="PlaceholderText1">
    <w:name w:val="Placeholder Text1"/>
    <w:basedOn w:val="DefaultParagraphFont"/>
    <w:uiPriority w:val="99"/>
    <w:semiHidden/>
    <w:qFormat/>
    <w:rsid w:val="003F5953"/>
    <w:rPr>
      <w:color w:val="808080"/>
    </w:rPr>
  </w:style>
  <w:style w:type="table" w:customStyle="1" w:styleId="LightShading1">
    <w:name w:val="Light Shading1"/>
    <w:basedOn w:val="TableNormal"/>
    <w:uiPriority w:val="60"/>
    <w:qFormat/>
    <w:rsid w:val="003F5953"/>
    <w:pPr>
      <w:spacing w:after="160" w:line="259" w:lineRule="auto"/>
    </w:pPr>
    <w:rPr>
      <w:rFonts w:eastAsia="SimSu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3F5953"/>
    <w:pPr>
      <w:spacing w:after="200" w:line="276" w:lineRule="auto"/>
      <w:ind w:left="720"/>
      <w:contextualSpacing/>
    </w:pPr>
    <w:rPr>
      <w:rFonts w:ascii="Calibri" w:eastAsia="SimSun" w:hAnsi="Calibri"/>
      <w:sz w:val="22"/>
      <w:szCs w:val="22"/>
      <w:lang w:eastAsia="zh-CN"/>
    </w:rPr>
  </w:style>
  <w:style w:type="paragraph" w:styleId="CommentSubject">
    <w:name w:val="annotation subject"/>
    <w:basedOn w:val="CommentText"/>
    <w:next w:val="CommentText"/>
    <w:link w:val="CommentSubjectChar"/>
    <w:uiPriority w:val="99"/>
    <w:semiHidden/>
    <w:unhideWhenUsed/>
    <w:rsid w:val="003F5953"/>
    <w:pPr>
      <w:spacing w:after="200"/>
    </w:pPr>
    <w:rPr>
      <w:rFonts w:ascii="Calibri" w:eastAsia="SimSun" w:hAnsi="Calibri"/>
      <w:b/>
      <w:bCs/>
      <w:lang w:val="en-US" w:eastAsia="zh-CN"/>
    </w:rPr>
  </w:style>
  <w:style w:type="character" w:customStyle="1" w:styleId="CommentSubjectChar">
    <w:name w:val="Comment Subject Char"/>
    <w:basedOn w:val="CommentTextChar"/>
    <w:link w:val="CommentSubject"/>
    <w:uiPriority w:val="99"/>
    <w:semiHidden/>
    <w:rsid w:val="003F5953"/>
    <w:rPr>
      <w:rFonts w:ascii="Calibri" w:eastAsia="SimSun" w:hAnsi="Calibri"/>
      <w:b/>
      <w:bCs/>
      <w:lang w:val="nb-NO" w:eastAsia="zh-CN"/>
    </w:rPr>
  </w:style>
  <w:style w:type="character" w:styleId="SubtleEmphasis">
    <w:name w:val="Subtle Emphasis"/>
    <w:basedOn w:val="DefaultParagraphFont"/>
    <w:uiPriority w:val="19"/>
    <w:qFormat/>
    <w:rsid w:val="003F5953"/>
    <w:rPr>
      <w:i/>
      <w:iCs/>
      <w:color w:val="404040" w:themeColor="text1" w:themeTint="BF"/>
    </w:rPr>
  </w:style>
  <w:style w:type="paragraph" w:styleId="Bibliography">
    <w:name w:val="Bibliography"/>
    <w:basedOn w:val="Normal"/>
    <w:next w:val="Normal"/>
    <w:uiPriority w:val="37"/>
    <w:unhideWhenUsed/>
    <w:rsid w:val="003F5953"/>
    <w:pPr>
      <w:spacing w:after="4" w:line="258" w:lineRule="auto"/>
      <w:ind w:right="5" w:firstLine="230"/>
      <w:jc w:val="both"/>
    </w:pPr>
    <w:rPr>
      <w:rFonts w:ascii="Times New Roman" w:hAnsi="Times New Roman"/>
      <w:color w:val="000000"/>
      <w:szCs w:val="22"/>
    </w:rPr>
  </w:style>
  <w:style w:type="character" w:customStyle="1" w:styleId="UnresolvedMention1">
    <w:name w:val="Unresolved Mention1"/>
    <w:basedOn w:val="DefaultParagraphFont"/>
    <w:uiPriority w:val="99"/>
    <w:semiHidden/>
    <w:unhideWhenUsed/>
    <w:rsid w:val="003F5953"/>
    <w:rPr>
      <w:color w:val="605E5C"/>
      <w:shd w:val="clear" w:color="auto" w:fill="E1DFDD"/>
    </w:rPr>
  </w:style>
  <w:style w:type="paragraph" w:styleId="TOCHeading">
    <w:name w:val="TOC Heading"/>
    <w:basedOn w:val="Heading1"/>
    <w:next w:val="Normal"/>
    <w:uiPriority w:val="39"/>
    <w:unhideWhenUsed/>
    <w:qFormat/>
    <w:rsid w:val="003F5953"/>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Normal"/>
    <w:next w:val="Normal"/>
    <w:autoRedefine/>
    <w:uiPriority w:val="39"/>
    <w:unhideWhenUsed/>
    <w:qFormat/>
    <w:rsid w:val="003F5953"/>
    <w:pPr>
      <w:spacing w:after="100" w:line="276" w:lineRule="auto"/>
    </w:pPr>
    <w:rPr>
      <w:rFonts w:ascii="Calibri" w:eastAsia="SimSun" w:hAnsi="Calibri"/>
      <w:sz w:val="22"/>
      <w:szCs w:val="22"/>
      <w:lang w:eastAsia="zh-CN"/>
    </w:rPr>
  </w:style>
  <w:style w:type="paragraph" w:styleId="TOC2">
    <w:name w:val="toc 2"/>
    <w:basedOn w:val="Normal"/>
    <w:next w:val="Normal"/>
    <w:autoRedefine/>
    <w:uiPriority w:val="39"/>
    <w:unhideWhenUsed/>
    <w:qFormat/>
    <w:rsid w:val="003F5953"/>
    <w:pPr>
      <w:spacing w:after="100" w:line="276" w:lineRule="auto"/>
      <w:ind w:left="220"/>
    </w:pPr>
    <w:rPr>
      <w:rFonts w:ascii="Calibri" w:eastAsia="SimSun" w:hAnsi="Calibri"/>
      <w:sz w:val="22"/>
      <w:szCs w:val="22"/>
      <w:lang w:eastAsia="zh-CN"/>
    </w:rPr>
  </w:style>
  <w:style w:type="paragraph" w:styleId="NormalWeb">
    <w:name w:val="Normal (Web)"/>
    <w:basedOn w:val="Normal"/>
    <w:uiPriority w:val="99"/>
    <w:unhideWhenUsed/>
    <w:rsid w:val="003F5953"/>
    <w:pPr>
      <w:spacing w:before="100" w:beforeAutospacing="1" w:after="100" w:afterAutospacing="1"/>
    </w:pPr>
    <w:rPr>
      <w:rFonts w:ascii="Times New Roman" w:hAnsi="Times New Roman"/>
      <w:sz w:val="24"/>
      <w:szCs w:val="24"/>
    </w:rPr>
  </w:style>
  <w:style w:type="paragraph" w:styleId="TOC3">
    <w:name w:val="toc 3"/>
    <w:basedOn w:val="Normal"/>
    <w:next w:val="Normal"/>
    <w:autoRedefine/>
    <w:uiPriority w:val="39"/>
    <w:unhideWhenUsed/>
    <w:qFormat/>
    <w:rsid w:val="003F5953"/>
    <w:pPr>
      <w:spacing w:after="100" w:line="276" w:lineRule="auto"/>
      <w:ind w:left="440"/>
    </w:pPr>
    <w:rPr>
      <w:rFonts w:ascii="Calibri" w:eastAsia="SimSun" w:hAnsi="Calibri"/>
      <w:sz w:val="22"/>
      <w:szCs w:val="22"/>
      <w:lang w:eastAsia="zh-CN"/>
    </w:rPr>
  </w:style>
  <w:style w:type="character" w:customStyle="1" w:styleId="TitleChar">
    <w:name w:val="Title Char"/>
    <w:basedOn w:val="DefaultParagraphFont"/>
    <w:link w:val="Title"/>
    <w:uiPriority w:val="10"/>
    <w:rsid w:val="003F5953"/>
    <w:rPr>
      <w:rFonts w:ascii="Helvetica" w:hAnsi="Helvetica"/>
      <w:b/>
      <w:kern w:val="28"/>
      <w:sz w:val="36"/>
    </w:rPr>
  </w:style>
  <w:style w:type="paragraph" w:styleId="TOC4">
    <w:name w:val="toc 4"/>
    <w:basedOn w:val="Normal"/>
    <w:next w:val="Normal"/>
    <w:uiPriority w:val="1"/>
    <w:qFormat/>
    <w:rsid w:val="003F5953"/>
    <w:pPr>
      <w:widowControl w:val="0"/>
      <w:autoSpaceDE w:val="0"/>
      <w:autoSpaceDN w:val="0"/>
      <w:spacing w:before="238"/>
      <w:ind w:left="1701" w:hanging="822"/>
    </w:pPr>
    <w:rPr>
      <w:rFonts w:ascii="Times New Roman" w:hAnsi="Times New Roman"/>
      <w:sz w:val="24"/>
      <w:szCs w:val="24"/>
    </w:rPr>
  </w:style>
  <w:style w:type="paragraph" w:customStyle="1" w:styleId="ListParagraph2">
    <w:name w:val="List Paragraph2"/>
    <w:basedOn w:val="Normal"/>
    <w:uiPriority w:val="99"/>
    <w:qFormat/>
    <w:rsid w:val="003F5953"/>
    <w:pPr>
      <w:widowControl w:val="0"/>
      <w:autoSpaceDE w:val="0"/>
      <w:autoSpaceDN w:val="0"/>
      <w:ind w:left="720"/>
      <w:contextualSpacing/>
    </w:pPr>
    <w:rPr>
      <w:rFonts w:ascii="Times New Roman" w:hAnsi="Times New Roman"/>
      <w:sz w:val="22"/>
      <w:szCs w:val="22"/>
    </w:rPr>
  </w:style>
  <w:style w:type="paragraph" w:customStyle="1" w:styleId="msonormal0">
    <w:name w:val="msonormal"/>
    <w:basedOn w:val="Normal"/>
    <w:rsid w:val="003F5953"/>
    <w:pPr>
      <w:spacing w:before="100" w:beforeAutospacing="1" w:after="100" w:afterAutospacing="1"/>
    </w:pPr>
    <w:rPr>
      <w:rFonts w:ascii="Times New Roman" w:hAnsi="Times New Roman"/>
      <w:sz w:val="24"/>
      <w:szCs w:val="24"/>
    </w:rPr>
  </w:style>
  <w:style w:type="paragraph" w:customStyle="1" w:styleId="xl65">
    <w:name w:val="xl65"/>
    <w:basedOn w:val="Normal"/>
    <w:rsid w:val="003F5953"/>
    <w:pPr>
      <w:spacing w:before="100" w:beforeAutospacing="1" w:after="100" w:afterAutospacing="1"/>
    </w:pPr>
    <w:rPr>
      <w:rFonts w:ascii="Times New Roman" w:hAnsi="Times New Roman"/>
      <w:b/>
      <w:bCs/>
      <w:sz w:val="24"/>
      <w:szCs w:val="24"/>
    </w:rPr>
  </w:style>
  <w:style w:type="paragraph" w:customStyle="1" w:styleId="xl66">
    <w:name w:val="xl66"/>
    <w:basedOn w:val="Normal"/>
    <w:rsid w:val="003F5953"/>
    <w:pPr>
      <w:spacing w:before="100" w:beforeAutospacing="1" w:after="100" w:afterAutospacing="1"/>
      <w:jc w:val="center"/>
    </w:pPr>
    <w:rPr>
      <w:rFonts w:ascii="Times New Roman" w:hAnsi="Times New Roman"/>
      <w:b/>
      <w:bCs/>
      <w:sz w:val="18"/>
      <w:szCs w:val="18"/>
    </w:rPr>
  </w:style>
  <w:style w:type="paragraph" w:customStyle="1" w:styleId="xl67">
    <w:name w:val="xl67"/>
    <w:basedOn w:val="Normal"/>
    <w:rsid w:val="003F5953"/>
    <w:pPr>
      <w:spacing w:before="100" w:beforeAutospacing="1" w:after="100" w:afterAutospacing="1"/>
    </w:pPr>
    <w:rPr>
      <w:rFonts w:ascii="Times New Roman" w:hAnsi="Times New Roman"/>
      <w:b/>
      <w:bCs/>
      <w:sz w:val="18"/>
      <w:szCs w:val="18"/>
    </w:rPr>
  </w:style>
  <w:style w:type="paragraph" w:customStyle="1" w:styleId="xl68">
    <w:name w:val="xl68"/>
    <w:basedOn w:val="Normal"/>
    <w:rsid w:val="003F5953"/>
    <w:pPr>
      <w:spacing w:before="100" w:beforeAutospacing="1" w:after="100" w:afterAutospacing="1"/>
    </w:pPr>
    <w:rPr>
      <w:rFonts w:ascii="Times New Roman" w:hAnsi="Times New Roman"/>
      <w:sz w:val="18"/>
      <w:szCs w:val="18"/>
    </w:rPr>
  </w:style>
  <w:style w:type="paragraph" w:customStyle="1" w:styleId="xl69">
    <w:name w:val="xl69"/>
    <w:basedOn w:val="Normal"/>
    <w:rsid w:val="003F5953"/>
    <w:pPr>
      <w:spacing w:before="100" w:beforeAutospacing="1" w:after="100" w:afterAutospacing="1"/>
    </w:pPr>
    <w:rPr>
      <w:rFonts w:ascii="Times New Roman" w:hAnsi="Times New Roman"/>
      <w:sz w:val="18"/>
      <w:szCs w:val="18"/>
    </w:rPr>
  </w:style>
  <w:style w:type="paragraph" w:customStyle="1" w:styleId="xl70">
    <w:name w:val="xl70"/>
    <w:basedOn w:val="Normal"/>
    <w:rsid w:val="003F5953"/>
    <w:pPr>
      <w:spacing w:before="100" w:beforeAutospacing="1" w:after="100" w:afterAutospacing="1"/>
    </w:pPr>
    <w:rPr>
      <w:rFonts w:ascii="Times New Roman" w:hAnsi="Times New Roman"/>
      <w:color w:val="000000"/>
      <w:sz w:val="18"/>
      <w:szCs w:val="18"/>
    </w:rPr>
  </w:style>
  <w:style w:type="paragraph" w:customStyle="1" w:styleId="xl71">
    <w:name w:val="xl71"/>
    <w:basedOn w:val="Normal"/>
    <w:rsid w:val="003F5953"/>
    <w:pPr>
      <w:spacing w:before="100" w:beforeAutospacing="1" w:after="100" w:afterAutospacing="1"/>
      <w:jc w:val="center"/>
    </w:pPr>
    <w:rPr>
      <w:rFonts w:ascii="Times New Roman" w:hAnsi="Times New Roman"/>
      <w:b/>
      <w:bCs/>
      <w:sz w:val="14"/>
      <w:szCs w:val="14"/>
    </w:rPr>
  </w:style>
  <w:style w:type="paragraph" w:customStyle="1" w:styleId="xl72">
    <w:name w:val="xl72"/>
    <w:basedOn w:val="Normal"/>
    <w:rsid w:val="003F5953"/>
    <w:pPr>
      <w:spacing w:before="100" w:beforeAutospacing="1" w:after="100" w:afterAutospacing="1"/>
    </w:pPr>
    <w:rPr>
      <w:rFonts w:ascii="Times New Roman" w:hAnsi="Times New Roman"/>
      <w:sz w:val="14"/>
      <w:szCs w:val="14"/>
    </w:rPr>
  </w:style>
  <w:style w:type="table" w:styleId="GridTable1Light-Accent4">
    <w:name w:val="Grid Table 1 Light Accent 4"/>
    <w:basedOn w:val="TableNormal"/>
    <w:uiPriority w:val="46"/>
    <w:rsid w:val="003F5953"/>
    <w:rPr>
      <w:rFonts w:ascii="Arial" w:eastAsia="Arial" w:hAnsi="Arial" w:cs="Arial"/>
      <w:sz w:val="22"/>
      <w:szCs w:val="22"/>
      <w:lang w:val="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F5953"/>
    <w:rPr>
      <w:rFonts w:ascii="Arial" w:eastAsia="Arial" w:hAnsi="Arial" w:cs="Arial"/>
      <w:sz w:val="22"/>
      <w:szCs w:val="22"/>
      <w:lang w:val="en-GB"/>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F5953"/>
    <w:rPr>
      <w:rFonts w:ascii="Arial" w:eastAsia="Arial" w:hAnsi="Arial" w:cs="Arial"/>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3F5953"/>
    <w:rPr>
      <w:color w:val="605E5C"/>
      <w:shd w:val="clear" w:color="auto" w:fill="E1DFDD"/>
    </w:rPr>
  </w:style>
  <w:style w:type="numbering" w:customStyle="1" w:styleId="CurrentList1">
    <w:name w:val="Current List1"/>
    <w:uiPriority w:val="99"/>
    <w:rsid w:val="003F5953"/>
    <w:pPr>
      <w:numPr>
        <w:numId w:val="13"/>
      </w:numPr>
    </w:pPr>
  </w:style>
  <w:style w:type="character" w:customStyle="1" w:styleId="apple-tab-span">
    <w:name w:val="apple-tab-span"/>
    <w:basedOn w:val="DefaultParagraphFont"/>
    <w:rsid w:val="003F5953"/>
  </w:style>
  <w:style w:type="numbering" w:customStyle="1" w:styleId="CurrentList2">
    <w:name w:val="Current List2"/>
    <w:uiPriority w:val="99"/>
    <w:rsid w:val="003F5953"/>
    <w:pPr>
      <w:numPr>
        <w:numId w:val="14"/>
      </w:numPr>
    </w:pPr>
  </w:style>
  <w:style w:type="paragraph" w:styleId="Revision">
    <w:name w:val="Revision"/>
    <w:hidden/>
    <w:uiPriority w:val="99"/>
    <w:semiHidden/>
    <w:rsid w:val="00E0341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1.jpg"/><Relationship Id="rId21" Type="http://schemas.openxmlformats.org/officeDocument/2006/relationships/image" Target="media/image8.jpg"/><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image" Target="media/image25.png"/><Relationship Id="rId50" Type="http://schemas.openxmlformats.org/officeDocument/2006/relationships/image" Target="media/image28.jp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19.jpg"/><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doi.org/10.1002/bbb.214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7.jpg"/><Relationship Id="rId43" Type="http://schemas.openxmlformats.org/officeDocument/2006/relationships/header" Target="header9.xml"/><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image" Target="media/image20.jpg"/><Relationship Id="rId46" Type="http://schemas.openxmlformats.org/officeDocument/2006/relationships/image" Target="media/image24.png"/><Relationship Id="rId59" Type="http://schemas.openxmlformats.org/officeDocument/2006/relationships/hyperlink" Target="https://doi.org/10.1016/j.csite.2022.101823" TargetMode="External"/><Relationship Id="rId20" Type="http://schemas.openxmlformats.org/officeDocument/2006/relationships/image" Target="media/image7.png"/><Relationship Id="rId41" Type="http://schemas.openxmlformats.org/officeDocument/2006/relationships/header" Target="header8.xm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752D4-806A-433F-9BF6-4D18303E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123</TotalTime>
  <Pages>39</Pages>
  <Words>10924</Words>
  <Characters>62267</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73045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23</cp:revision>
  <cp:lastPrinted>1999-07-06T11:00:00Z</cp:lastPrinted>
  <dcterms:created xsi:type="dcterms:W3CDTF">2026-05-16T14:02:00Z</dcterms:created>
  <dcterms:modified xsi:type="dcterms:W3CDTF">2026-05-27T08:05:00Z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163ccca7-4474-43c5-8635-827e636dc2dc</vt:lpwstr>
  </property>
</Properties>
</file>