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CCCD" w14:textId="614D7832" w:rsidR="00882F22" w:rsidRDefault="00D73808">
      <w:pPr>
        <w:pBdr>
          <w:top w:val="nil"/>
          <w:left w:val="nil"/>
          <w:bottom w:val="nil"/>
          <w:right w:val="nil"/>
          <w:between w:val="nil"/>
        </w:pBdr>
        <w:jc w:val="right"/>
        <w:rPr>
          <w:rFonts w:ascii="Arial" w:eastAsia="Arial" w:hAnsi="Arial" w:cs="Arial"/>
          <w:b/>
          <w:bCs/>
          <w:color w:val="000000"/>
          <w:sz w:val="36"/>
          <w:szCs w:val="36"/>
        </w:rPr>
      </w:pPr>
      <w:proofErr w:type="spellStart"/>
      <w:r w:rsidRPr="00D73808">
        <w:rPr>
          <w:rFonts w:ascii="Arial" w:eastAsia="Arial" w:hAnsi="Arial" w:cs="Arial"/>
          <w:b/>
          <w:bCs/>
          <w:color w:val="000000"/>
          <w:sz w:val="36"/>
          <w:szCs w:val="36"/>
        </w:rPr>
        <w:t>Analysing</w:t>
      </w:r>
      <w:proofErr w:type="spellEnd"/>
      <w:r w:rsidRPr="00D73808">
        <w:rPr>
          <w:rFonts w:ascii="Arial" w:eastAsia="Arial" w:hAnsi="Arial" w:cs="Arial"/>
          <w:b/>
          <w:bCs/>
          <w:color w:val="000000"/>
          <w:sz w:val="36"/>
          <w:szCs w:val="36"/>
        </w:rPr>
        <w:t xml:space="preserve"> Students’ Performance in Linear Programming: A Modelling-Based Error Analysis of the Simplex Method</w:t>
      </w:r>
    </w:p>
    <w:p w14:paraId="2E89B5F5" w14:textId="77777777" w:rsidR="00882F22" w:rsidRDefault="00882F22">
      <w:pPr>
        <w:pBdr>
          <w:top w:val="nil"/>
          <w:left w:val="nil"/>
          <w:bottom w:val="nil"/>
          <w:right w:val="nil"/>
          <w:between w:val="nil"/>
        </w:pBdr>
        <w:jc w:val="both"/>
        <w:rPr>
          <w:rFonts w:ascii="Arial" w:eastAsia="Arial" w:hAnsi="Arial" w:cs="Arial"/>
          <w:b/>
          <w:bCs/>
          <w:color w:val="000000"/>
          <w:sz w:val="36"/>
          <w:szCs w:val="36"/>
        </w:rPr>
      </w:pPr>
    </w:p>
    <w:p w14:paraId="19F67D85" w14:textId="0A0663EE" w:rsidR="00882F22" w:rsidRDefault="00882F22">
      <w:pPr>
        <w:pBdr>
          <w:top w:val="nil"/>
          <w:left w:val="nil"/>
          <w:bottom w:val="nil"/>
          <w:right w:val="nil"/>
          <w:between w:val="nil"/>
        </w:pBdr>
        <w:jc w:val="both"/>
        <w:rPr>
          <w:rFonts w:ascii="Arial" w:eastAsia="Arial" w:hAnsi="Arial" w:cs="Arial"/>
          <w:color w:val="000000"/>
          <w:sz w:val="16"/>
          <w:szCs w:val="16"/>
        </w:rPr>
      </w:pPr>
    </w:p>
    <w:p w14:paraId="32345E87" w14:textId="77777777" w:rsidR="00B92E2F" w:rsidRDefault="00B92E2F">
      <w:pPr>
        <w:pBdr>
          <w:top w:val="nil"/>
          <w:left w:val="nil"/>
          <w:bottom w:val="nil"/>
          <w:right w:val="nil"/>
          <w:between w:val="nil"/>
        </w:pBdr>
        <w:jc w:val="both"/>
        <w:rPr>
          <w:rFonts w:ascii="Arial" w:eastAsia="Arial" w:hAnsi="Arial" w:cs="Arial"/>
          <w:color w:val="000000"/>
          <w:sz w:val="16"/>
          <w:szCs w:val="16"/>
        </w:rPr>
      </w:pPr>
    </w:p>
    <w:p w14:paraId="203A276B" w14:textId="77777777" w:rsidR="00882F22" w:rsidRDefault="003A1DB3">
      <w:pPr>
        <w:pBdr>
          <w:top w:val="nil"/>
          <w:left w:val="nil"/>
          <w:bottom w:val="nil"/>
          <w:right w:val="nil"/>
          <w:between w:val="nil"/>
        </w:pBdr>
        <w:jc w:val="both"/>
        <w:rPr>
          <w:rFonts w:ascii="Arial" w:eastAsia="Arial" w:hAnsi="Arial" w:cs="Arial"/>
          <w:color w:val="000000"/>
          <w:sz w:val="16"/>
          <w:szCs w:val="16"/>
        </w:rPr>
        <w:sectPr w:rsidR="00882F22" w:rsidSect="005D53F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rPr>
        <mc:AlternateContent>
          <mc:Choice Requires="wpg">
            <w:drawing>
              <wp:inline distT="0" distB="0" distL="0" distR="0" wp14:anchorId="39027738" wp14:editId="2EA4798F">
                <wp:extent cx="5322570" cy="3810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322570" cy="3810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7206EE03"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0EE5E77F" w14:textId="77777777" w:rsidR="00882F22" w:rsidRDefault="00882F2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82F22" w14:paraId="2C86C398" w14:textId="77777777">
        <w:tc>
          <w:tcPr>
            <w:tcW w:w="8198" w:type="dxa"/>
            <w:shd w:val="clear" w:color="auto" w:fill="F2F2F2"/>
          </w:tcPr>
          <w:p w14:paraId="24EEB719" w14:textId="77777777" w:rsidR="00882F22" w:rsidRDefault="003A1DB3">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Aims:</w:t>
            </w:r>
          </w:p>
          <w:p w14:paraId="64419167" w14:textId="77777777" w:rsidR="00D73808" w:rsidRDefault="00D73808">
            <w:pPr>
              <w:pBdr>
                <w:top w:val="nil"/>
                <w:left w:val="nil"/>
                <w:bottom w:val="nil"/>
                <w:right w:val="nil"/>
                <w:between w:val="nil"/>
              </w:pBdr>
              <w:rPr>
                <w:rFonts w:ascii="Arial" w:eastAsia="Arial" w:hAnsi="Arial" w:cs="Arial"/>
                <w:color w:val="000000"/>
              </w:rPr>
            </w:pPr>
            <w:r w:rsidRPr="00D73808">
              <w:rPr>
                <w:rFonts w:ascii="Arial" w:eastAsia="Arial" w:hAnsi="Arial" w:cs="Arial"/>
                <w:color w:val="000000"/>
              </w:rPr>
              <w:t xml:space="preserve">This study aims to </w:t>
            </w:r>
            <w:proofErr w:type="spellStart"/>
            <w:r w:rsidRPr="00D73808">
              <w:rPr>
                <w:rFonts w:ascii="Arial" w:eastAsia="Arial" w:hAnsi="Arial" w:cs="Arial"/>
                <w:color w:val="000000"/>
              </w:rPr>
              <w:t>analyse</w:t>
            </w:r>
            <w:proofErr w:type="spellEnd"/>
            <w:r w:rsidRPr="00D73808">
              <w:rPr>
                <w:rFonts w:ascii="Arial" w:eastAsia="Arial" w:hAnsi="Arial" w:cs="Arial"/>
                <w:color w:val="000000"/>
              </w:rPr>
              <w:t xml:space="preserve"> students’ performance in mathematical modelling and identify error patterns when solving a linear programming problem using the simplex method.</w:t>
            </w:r>
          </w:p>
          <w:p w14:paraId="2ADD4717" w14:textId="5635AD2E" w:rsidR="00882F22" w:rsidRDefault="003A1DB3">
            <w:pPr>
              <w:pBdr>
                <w:top w:val="nil"/>
                <w:left w:val="nil"/>
                <w:bottom w:val="nil"/>
                <w:right w:val="nil"/>
                <w:between w:val="nil"/>
              </w:pBdr>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br/>
              <w:t>A descriptive–exploratory study was conducted.</w:t>
            </w:r>
          </w:p>
          <w:p w14:paraId="05FD115B" w14:textId="77777777" w:rsidR="00882F22" w:rsidRDefault="003A1DB3">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Place and Duration of Study:</w:t>
            </w:r>
          </w:p>
          <w:p w14:paraId="06B7427D" w14:textId="77777777" w:rsidR="00D73808" w:rsidRDefault="00D73808">
            <w:pPr>
              <w:pBdr>
                <w:top w:val="nil"/>
                <w:left w:val="nil"/>
                <w:bottom w:val="nil"/>
                <w:right w:val="nil"/>
                <w:between w:val="nil"/>
              </w:pBdr>
              <w:jc w:val="both"/>
              <w:rPr>
                <w:rFonts w:ascii="Arial" w:eastAsia="Arial" w:hAnsi="Arial" w:cs="Arial"/>
                <w:color w:val="000000"/>
              </w:rPr>
            </w:pPr>
            <w:r w:rsidRPr="00D73808">
              <w:rPr>
                <w:rFonts w:ascii="Arial" w:eastAsia="Arial" w:hAnsi="Arial" w:cs="Arial"/>
                <w:color w:val="000000"/>
              </w:rPr>
              <w:t>The study was conducted in a mathematics education program at a public university in Indonesia during a semester in which students studied linear programming.</w:t>
            </w:r>
          </w:p>
          <w:p w14:paraId="128569AA" w14:textId="358FF344"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br/>
            </w:r>
            <w:r w:rsidR="00D73808" w:rsidRPr="00D73808">
              <w:rPr>
                <w:rFonts w:ascii="Arial" w:eastAsia="Arial" w:hAnsi="Arial" w:cs="Arial"/>
                <w:color w:val="000000"/>
              </w:rPr>
              <w:t xml:space="preserve">Twenty-four undergraduate students completed a contextual </w:t>
            </w:r>
            <w:proofErr w:type="spellStart"/>
            <w:r w:rsidR="00D73808" w:rsidRPr="00D73808">
              <w:rPr>
                <w:rFonts w:ascii="Arial" w:eastAsia="Arial" w:hAnsi="Arial" w:cs="Arial"/>
                <w:color w:val="000000"/>
              </w:rPr>
              <w:t>optimisation</w:t>
            </w:r>
            <w:proofErr w:type="spellEnd"/>
            <w:r w:rsidR="00D73808" w:rsidRPr="00D73808">
              <w:rPr>
                <w:rFonts w:ascii="Arial" w:eastAsia="Arial" w:hAnsi="Arial" w:cs="Arial"/>
                <w:color w:val="000000"/>
              </w:rPr>
              <w:t xml:space="preserve"> task requiring model construction and solution using the simplex method. Students’ responses were </w:t>
            </w:r>
            <w:proofErr w:type="spellStart"/>
            <w:r w:rsidR="00D73808" w:rsidRPr="00D73808">
              <w:rPr>
                <w:rFonts w:ascii="Arial" w:eastAsia="Arial" w:hAnsi="Arial" w:cs="Arial"/>
                <w:color w:val="000000"/>
              </w:rPr>
              <w:t>analysed</w:t>
            </w:r>
            <w:proofErr w:type="spellEnd"/>
            <w:r w:rsidR="00D73808" w:rsidRPr="00D73808">
              <w:rPr>
                <w:rFonts w:ascii="Arial" w:eastAsia="Arial" w:hAnsi="Arial" w:cs="Arial"/>
                <w:color w:val="000000"/>
              </w:rPr>
              <w:t xml:space="preserve"> using a mathematical modelling framework and Newman’s error analysis. Descriptive and cross-case analyses were conducted to identify performance trends and dominant error types.</w:t>
            </w:r>
          </w:p>
          <w:p w14:paraId="23334FC3" w14:textId="29D927BE"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Results:</w:t>
            </w:r>
            <w:r>
              <w:rPr>
                <w:rFonts w:ascii="Arial" w:eastAsia="Arial" w:hAnsi="Arial" w:cs="Arial"/>
                <w:color w:val="000000"/>
              </w:rPr>
              <w:br/>
            </w:r>
            <w:r w:rsidR="00D73808" w:rsidRPr="00D73808">
              <w:rPr>
                <w:rFonts w:ascii="Arial" w:eastAsia="Arial" w:hAnsi="Arial" w:cs="Arial"/>
                <w:color w:val="000000"/>
              </w:rPr>
              <w:t xml:space="preserve">Students demonstrated strong performance in early modelling stages, including understanding the problem (M = 2.88), simplifying/structuring (M = 2.88), and mathematising (M = 2.75). However, performance declined substantially in the working mathematically stage (M = 1.29) and remained low in interpreting (M = 0.38) and validating (M = 0.33). The most frequent errors were process skill errors, particularly those related to elementary row operations during simplex iterations (P4), which appeared in the majority of student responses. Cross-pattern analysis revealed that low performance in algorithmic stages was consistently associated with procedural errors, while difficulties in interpreting and validating were linked to failure in </w:t>
            </w:r>
            <w:proofErr w:type="spellStart"/>
            <w:r w:rsidR="00D73808" w:rsidRPr="00D73808">
              <w:rPr>
                <w:rFonts w:ascii="Arial" w:eastAsia="Arial" w:hAnsi="Arial" w:cs="Arial"/>
                <w:color w:val="000000"/>
              </w:rPr>
              <w:t>recognising</w:t>
            </w:r>
            <w:proofErr w:type="spellEnd"/>
            <w:r w:rsidR="00D73808" w:rsidRPr="00D73808">
              <w:rPr>
                <w:rFonts w:ascii="Arial" w:eastAsia="Arial" w:hAnsi="Arial" w:cs="Arial"/>
                <w:color w:val="000000"/>
              </w:rPr>
              <w:t xml:space="preserve"> optimality conditions.</w:t>
            </w:r>
          </w:p>
          <w:p w14:paraId="0287BDBE" w14:textId="27B66951"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br/>
            </w:r>
            <w:r w:rsidR="00D73808" w:rsidRPr="00D73808">
              <w:rPr>
                <w:rFonts w:ascii="Arial" w:eastAsia="Arial" w:hAnsi="Arial" w:cs="Arial"/>
                <w:color w:val="000000"/>
              </w:rPr>
              <w:t xml:space="preserve">The findings indicate a gap between students’ modelling competence and procedural fluency in executing the simplex method. Strengthening algorithmic reasoning alongside modelling instruction is essential to support students’ complete engagement in </w:t>
            </w:r>
            <w:proofErr w:type="spellStart"/>
            <w:r w:rsidR="00D73808" w:rsidRPr="00D73808">
              <w:rPr>
                <w:rFonts w:ascii="Arial" w:eastAsia="Arial" w:hAnsi="Arial" w:cs="Arial"/>
                <w:color w:val="000000"/>
              </w:rPr>
              <w:t>optimisation</w:t>
            </w:r>
            <w:proofErr w:type="spellEnd"/>
            <w:r w:rsidR="00D73808" w:rsidRPr="00D73808">
              <w:rPr>
                <w:rFonts w:ascii="Arial" w:eastAsia="Arial" w:hAnsi="Arial" w:cs="Arial"/>
                <w:color w:val="000000"/>
              </w:rPr>
              <w:t xml:space="preserve"> tasks.</w:t>
            </w:r>
          </w:p>
        </w:tc>
      </w:tr>
    </w:tbl>
    <w:p w14:paraId="490A6015" w14:textId="77777777" w:rsidR="00882F22" w:rsidRDefault="00882F22">
      <w:pPr>
        <w:pBdr>
          <w:top w:val="nil"/>
          <w:left w:val="nil"/>
          <w:bottom w:val="nil"/>
          <w:right w:val="nil"/>
          <w:between w:val="nil"/>
        </w:pBdr>
        <w:jc w:val="both"/>
        <w:rPr>
          <w:rFonts w:ascii="Arial" w:eastAsia="Arial" w:hAnsi="Arial" w:cs="Arial"/>
          <w:i/>
          <w:iCs/>
          <w:color w:val="000000"/>
        </w:rPr>
      </w:pPr>
    </w:p>
    <w:p w14:paraId="2E14E982" w14:textId="3C39F27E" w:rsidR="00882F22" w:rsidRDefault="003A1DB3">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sidR="00D73808" w:rsidRPr="00D73808">
        <w:rPr>
          <w:rFonts w:ascii="Arial" w:eastAsia="Arial" w:hAnsi="Arial" w:cs="Arial"/>
          <w:i/>
          <w:iCs/>
          <w:color w:val="000000"/>
        </w:rPr>
        <w:t xml:space="preserve">error analysis; linear programming; mathematical modelling; simplex method; </w:t>
      </w:r>
      <w:proofErr w:type="spellStart"/>
      <w:r w:rsidR="00D73808" w:rsidRPr="00D73808">
        <w:rPr>
          <w:rFonts w:ascii="Arial" w:eastAsia="Arial" w:hAnsi="Arial" w:cs="Arial"/>
          <w:i/>
          <w:iCs/>
          <w:color w:val="000000"/>
        </w:rPr>
        <w:t>optimisation</w:t>
      </w:r>
      <w:proofErr w:type="spellEnd"/>
      <w:r w:rsidR="00D73808" w:rsidRPr="00D73808">
        <w:rPr>
          <w:rFonts w:ascii="Arial" w:eastAsia="Arial" w:hAnsi="Arial" w:cs="Arial"/>
          <w:i/>
          <w:iCs/>
          <w:color w:val="000000"/>
        </w:rPr>
        <w:t xml:space="preserve"> education</w:t>
      </w:r>
    </w:p>
    <w:p w14:paraId="734EFEEF" w14:textId="77777777" w:rsidR="00882F22" w:rsidRDefault="00882F22">
      <w:pPr>
        <w:pBdr>
          <w:top w:val="nil"/>
          <w:left w:val="nil"/>
          <w:bottom w:val="nil"/>
          <w:right w:val="nil"/>
          <w:between w:val="nil"/>
        </w:pBdr>
        <w:jc w:val="both"/>
        <w:rPr>
          <w:rFonts w:ascii="Arial" w:eastAsia="Arial" w:hAnsi="Arial" w:cs="Arial"/>
          <w:i/>
          <w:iCs/>
          <w:color w:val="000000"/>
        </w:rPr>
      </w:pPr>
    </w:p>
    <w:p w14:paraId="38970771"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15055431" w14:textId="77777777" w:rsidR="00882F22" w:rsidRDefault="003A1DB3" w:rsidP="00747EF3">
      <w:pPr>
        <w:spacing w:before="240" w:after="240"/>
        <w:jc w:val="both"/>
        <w:rPr>
          <w:rFonts w:ascii="Arial" w:eastAsia="Arial" w:hAnsi="Arial" w:cs="Arial"/>
        </w:rPr>
      </w:pPr>
      <w:r>
        <w:rPr>
          <w:rFonts w:ascii="Arial" w:eastAsia="Arial" w:hAnsi="Arial" w:cs="Arial"/>
        </w:rPr>
        <w:t xml:space="preserve">Mathematics plays a crucial role in understanding and addressing problems encountered in everyday life as well as in professional and scientific contexts </w:t>
      </w:r>
      <w:r w:rsidR="00747EF3">
        <w:rPr>
          <w:rFonts w:ascii="Arial" w:eastAsia="Arial" w:hAnsi="Arial" w:cs="Arial"/>
        </w:rPr>
        <w:fldChar w:fldCharType="begin" w:fldLock="1"/>
      </w:r>
      <w:r w:rsidR="00747EF3">
        <w:rPr>
          <w:rFonts w:ascii="Arial" w:eastAsia="Arial" w:hAnsi="Arial" w:cs="Arial"/>
        </w:rPr>
        <w:instrText>ADDIN CSL_CITATION {"citationItems":[{"id":"ITEM-1","itemData":{"DOI":"10.4314/swj.v19i3.29","ISSN":"2756-391X","abstract":"This paper presents a comprehensive investigation into the role of mathematics in everyday life and the pivotal function of mathematics  teachers in fostering mathematical understanding and competence. Mathematics plays a crucial role in everyday life, enhancing decision- making, financial management, problemsolving, and critical thinking. The ubiquitous presence of mathematics in activities such as  budgeting, cooking, shopping, and planning underscores its importance. Mathematics is essential for good governance, as it underpins  data-driven decision-making, policy formulation, economic planning, and resource allocation. Recommendations for promoting  mathematical proficiency include integrating real-world applications into the curriculum, offering professional development for teachers,  and encouraging collaborative learning. Such measures can enhance mathematical literacy, contributing to personal development,  societal progress, and effective governance. Mathematics, with its rich historical roots stretching back to ancient civilizations, has evolved  into a broad discipline encompassing various branches such as arithmetic, algebra, geometry, and calculus. Each branch plays a crucial  role in practical applications ranging from personal finance and cooking to navigation and health monitoring. Effective mathematics education, however, hinges on the proficiency and dedication of mathematics teachers who not only impart theoretical knowledge but  also cultivate critical thinking and problem-solving skills in their students. To optimize performance in high-stakes assessments like the  West African Examination Council (WAEC) Mathematics examination, it is essential to employ diverse instructional strategies, integrate  technology, and provide continuous practice and assessment. It is recommended that governments should support teachers through  robust remuneration, timely salary payments, and ongoing professional development to sustain motivation and high-quality instruction.  Furthermore, the establishment of mathematics laboratories in schools is recommended to enhance practical learning experiences and deepen students' understanding of mathematical concepts. In the realm of governance, mathematics is indispensable for data analysis,  policy formulation, and strategic planning. By addressing these areas comprehensively, we can create an educational environment that  not only demystifies mathematics and reduces associated phobias but also prepares stud…","author":[{"dropping-particle":"","family":"Agbata","given":"B.C.","non-dropping-particle":"","parse-names":false,"suffix":""},{"dropping-particle":"","family":"Obeng-Denteh","given":"W.","non-dropping-particle":"","parse-names":false,"suffix":""},{"dropping-particle":"","family":"Kwabi","given":"P.A.","non-dropping-particle":"","parse-names":false,"suffix":""},{"dropping-particle":"","family":"Abraham","given":"S.","non-dropping-particle":"","parse-names":false,"suffix":""},{"dropping-particle":"","family":"Okpako","given":"S.O.","non-dropping-particle":"","parse-names":false,"suffix":""},{"dropping-particle":"","family":"Arivi","given":"S.S.","non-dropping-particle":"","parse-names":false,"suffix":""},{"dropping-particle":"","family":"Asante-Mensa","given":"F.","non-dropping-particle":"","parse-names":false,"suffix":""},{"dropping-particle":"","family":"Adu","given":"Gyamfi W.K","non-dropping-particle":"","parse-names":false,"suffix":""}],"container-title":"Science World Journal","id":"ITEM-1","issue":"3","issued":{"date-parts":[["2024"]]},"page":"819-827","title":"Everyday uses of mathematics and the roles of a mathematics teacher","type":"article-journal","volume":"19"},"uris":["http://www.mendeley.com/documents/?uuid=fb284970-cea6-4e62-ba58-549d6b17a5e7"]},{"id":"ITEM-2","itemData":{"ISBN":"0000000296892","author":[{"dropping-particle":"","family":"Banerjee","given":"Priyant","non-dropping-particle":"","parse-names":false,"suffix":""}],"container-title":"Himalayan Research Paper Archive","id":"ITEM-2","issued":{"date-parts":[["2025"]]},"title":"UNM digital repository mathematics in everyday life : exploring practical applications and real-world impact mathematics in everyday life : exploring practical applications and real- world impact","type":"article-journal"},"uris":["http://www.mendeley.com/documents/?uuid=17c49c38-de1e-413a-9366-4d10f34e935a"]},{"id":"ITEM-3","itemData":{"author":[{"dropping-particle":"","family":"Cotič","given":"Mara","non-dropping-particle":"","parse-names":false,"suffix":""},{"dropping-particle":"","family":"Doz","given":"Daniel","non-dropping-particle":"","parse-names":false,"suffix":""},{"dropping-particle":"","family":"Jenko","given":"Matija","non-dropping-particle":"","parse-names":false,"suffix":""},{"dropping-particle":"","family":"Zakelj","given":"Amalija","non-dropping-particle":"","parse-names":false,"suffix":""}],"container-title":"International Electronic Journal of Mathematics Education","id":"ITEM-3","issue":"3","issued":{"date-parts":[["2024"]]},"page":"1-14","title":"Mathematics education: What was it, what is it, and what will it be?","type":"article-journal","volume":"19"},"uris":["http://www.mendeley.com/documents/?uuid=a31ffd20-8a27-4dec-ab21-3c81a8d10bc9"]}],"mendeley":{"formattedCitation":"(Agbata et al., 2024; Banerjee, 2025; Cotič et al., 2024)","plainTextFormattedCitation":"(Agbata et al., 2024; Banerjee, 2025; Cotič et al., 2024)","previouslyFormattedCitation":"(Agbata et al., 2024; Banerjee, 2025; Cotič et al., 2024)"},"properties":{"noteIndex":0},"schema":"https://github.com/citation-style-language/schema/raw/master/csl-citation.json"}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(Agbata et al., 2024; Banerjee, 2025; Cotič et al., 2024)</w:t>
      </w:r>
      <w:r w:rsidR="00747EF3">
        <w:rPr>
          <w:rFonts w:ascii="Arial" w:eastAsia="Arial" w:hAnsi="Arial" w:cs="Arial"/>
        </w:rPr>
        <w:fldChar w:fldCharType="end"/>
      </w:r>
      <w:r w:rsidR="00747EF3">
        <w:rPr>
          <w:rFonts w:ascii="Arial" w:eastAsia="Arial" w:hAnsi="Arial" w:cs="Arial"/>
          <w:color w:val="0000FF"/>
        </w:rPr>
        <w:t>.</w:t>
      </w:r>
      <w:r>
        <w:rPr>
          <w:rFonts w:ascii="Arial" w:eastAsia="Arial" w:hAnsi="Arial" w:cs="Arial"/>
        </w:rPr>
        <w:t xml:space="preserve"> The discipline provides structured ways of thinking that support logical reasoning, decision making, and problem solving </w:t>
      </w:r>
      <w:r w:rsidR="00747EF3">
        <w:rPr>
          <w:rFonts w:ascii="Arial" w:eastAsia="Arial" w:hAnsi="Arial" w:cs="Arial"/>
        </w:rPr>
        <w:fldChar w:fldCharType="begin" w:fldLock="1"/>
      </w:r>
      <w:r w:rsidR="00747EF3">
        <w:rPr>
          <w:rFonts w:ascii="Arial" w:eastAsia="Arial" w:hAnsi="Arial" w:cs="Arial"/>
        </w:rPr>
        <w:instrText>ADDIN CSL_CITATION {"citationItems":[{"id":"ITEM-1","itemData":{"DOI":"10.1016/j.tsc.2025.102001","ISSN":"18711871","abstract":"Collaborative Problem Solving (CPS) work in mathematics education are widely recognized for engaging students in cognitively demanding activities that foster Higher-Order Thinking Skills (HOTS), like critical thinking and reasoning. However, connections between design features, CPS processes, and learning outcomes remain complex and not fully understood. To address this, we applied a conjecture-based framework to systematically review 45 empirical studies published between 2010 and 2022, focusing on how specific task designs and CPS processes contribute to HOTS. We used a machine learning tool to prioritize relevant studies and streamline the selection process, ending after a threshold number of consecutive irrelevant articles. Guided by the conjecture-based framework, our analysis highlighted how cognitive processes in CPS function as essential mechanisms of learning and measurable outcomes. Specifically, design features, such as technology-supported exploratory tasks and open-ended problems, encourage reflective discourse and deeper cognitive engagement. We also found that structured group procedures, including clear roles and guided interaction protocols, improve collaboration. Nonetheless, challenges like miscommunication and uneven participation can limit CPS from fully realizing its potential to cultivate HOTS. Overall, these findings underscore the importance of aligning task design with CPS processes and using strategies to address collaboration barriers, particularly those related to communication. Without clear protocols and consistent dialogue, even well-designed CPS tasks can fail to cultivate HOTS. In conclusion, this review offers practical insights for educators and researchers implementing CPS effectively in mathematics education, highlighting that fostering open, structured communication is vital for optimizing both collaborative processes and the development of advanced cognitive skills.","author":[{"dropping-particle":"","family":"Ceballos","given":"Haydeé","non-dropping-particle":"","parse-names":false,"suffix":""},{"dropping-particle":"van den","family":"Bogaart","given":"Theo","non-dropping-particle":"","parse-names":false,"suffix":""},{"dropping-particle":"","family":"Ginkel","given":"Stan","non-dropping-particle":"van","parse-names":false,"suffix":""},{"dropping-particle":"","family":"Spandaw","given":"Jeroen","non-dropping-particle":"","parse-names":false,"suffix":""},{"dropping-particle":"","family":"Drijvers","given":"Paul","non-dropping-particle":"","parse-names":false,"suffix":""}],"container-title":"Thinking Skills and Creativity","id":"ITEM-1","issue":"September 2025","issued":{"date-parts":[["2026"]]},"title":"How collaborative problem solving promotes higher-order thinking skills: A systematic review of design features and processes","type":"article-journal","volume":"59"},"uris":["http://www.mendeley.com/documents/?uuid=5b296fb7-ea4c-4ecf-97be-0bff8e9fe63e"]},{"id":"ITEM-2","itemData":{"DOI":"10.3389/feduc.2023.1284305","ISSN":"2504284X","abstract":"Introduction: This study aims to investigate the impact of a Problem-Based Learning (PBL) course on cognitive skills (i.e., Critical Thinking, Problem-Solving, Logical Reasoning, Creativity, and Decision-Making) in the context of solving geometric construction problems. Methods: The research utilized a quasi-experimental design involving a control group and an experimental group to assess the effects of the PBL intervention. Cognitive skills were measured using a custom-designed questionnaire. Additionally, Structural Equation Modeling (SEM) was employed in a subsequent phase to scrutinize the causal interrelationships among these cognitive skills. Results: In the initial phase, the findings revealed that the PBL intervention had a statistically significant positive impact on problem-solving and creativity skills. However, the effects on critical thinking, logical reasoning, and decision-making skills did not reach statistical significance. In the subsequent phase employing SEM, the analysis demonstrated significant positive relationships, particularly between critical thinking and problem-solving, critical thinking and logical reasoning, logical reasoning and problem-solving, and logical reasoning and creativity. Notably, creativity also exhibited a significant positive effect on problem-solving. Discussion: This study underscores the nuanced impact of PBL on different cognitive skills, with clear enhancements observed in problem-solving and creativity. However, the study suggests that the effects may not be uniform across all cognitive skills. These findings offer valuable insights for educators and curriculum designers, emphasizing the need for tailored approaches when integrating PBL to foster cognitive skill development.","author":[{"dropping-particle":"","family":"Tursynkulova","given":"Elmira","non-dropping-particle":"","parse-names":false,"suffix":""},{"dropping-particle":"","family":"Madiyarov","given":"Nurlybay","non-dropping-particle":"","parse-names":false,"suffix":""},{"dropping-particle":"","family":"Sultanbek","given":"Turlybek","non-dropping-particle":"","parse-names":false,"suffix":""},{"dropping-particle":"","family":"Duysebayeva","given":"Peruza","non-dropping-particle":"","parse-names":false,"suffix":""}],"container-title":"Frontiers in Education","id":"ITEM-2","issue":"December","issued":{"date-parts":[["2023"]]},"title":"The effect of problem-based learning on cognitive skills in solving geometric construction problems: a case study in Kazakhstan","type":"article-journal","volume":"8"},"uris":["http://www.mendeley.com/documents/?uuid=244886a1-0600-488c-a9d2-3a0c3c1cec58"]}],"mendeley":{"formattedCitation":"(Ceballos et al., 2026; Tursynkulova et al., 2023)","plainTextFormattedCitation":"(Ceballos et al., 2026; Tursynkulova et al., 2023)","previouslyFormattedCitation":"(Ceballos et al., 2026; Tursynkulova et al., 2023)"},"properties":{"noteIndex":0},"schema":"https://github.com/citation-style-language/schema/raw/master/csl-citation.json"}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(Ceballos et al., 2026; Tursynkulova et al., 2023)</w:t>
      </w:r>
      <w:r w:rsidR="00747EF3">
        <w:rPr>
          <w:rFonts w:ascii="Arial" w:eastAsia="Arial" w:hAnsi="Arial" w:cs="Arial"/>
        </w:rPr>
        <w:fldChar w:fldCharType="end"/>
      </w:r>
      <w:r>
        <w:rPr>
          <w:rFonts w:ascii="Arial" w:eastAsia="Arial" w:hAnsi="Arial" w:cs="Arial"/>
        </w:rPr>
        <w:t xml:space="preserve">. Learning mathematics is not limited to acquiring computational skills but involves developing the ability to interpret situations and represent them using appropriate mathematical forms </w:t>
      </w:r>
      <w:r w:rsidR="00747EF3">
        <w:rPr>
          <w:rFonts w:ascii="Arial" w:eastAsia="Arial" w:hAnsi="Arial" w:cs="Arial"/>
        </w:rPr>
        <w:fldChar w:fldCharType="begin" w:fldLock="1"/>
      </w:r>
      <w:r w:rsidR="00747EF3">
        <w:rPr>
          <w:rFonts w:ascii="Arial" w:eastAsia="Arial" w:hAnsi="Arial" w:cs="Arial"/>
        </w:rPr>
        <w:instrText>ADDIN CSL_CITATION {"citationItems":[{"id":"ITEM-1","itemData":{"DOI":"10.30862/jhm.v8i2.879","ISSN":"2615-2185","abstract":"Students often face difficulties in both understanding mathematical concepts and performing computations, largely because current teaching methods have not fully supported the development of these skills. This study aims to determine the effect of discovery learning model on conceptual understanding and computational skills based on students' learning styles. This study used a quantitative study with a quasi-experimental design that employed a control group design with a posttest only. This study involved 62 students from a State Junior High School in Sukoharjo Regency, selected through cluster random sampling, with 31 in the experimental group experiencing discovery learning and 31 in the control group receiving direct instruction. Data collection used a test method to measure the ability to understand concepts and computational skills and a questionnaire to categorize students’ learning styles. The data analysis technique used multivariate analysis of variance (MANOVA). The results showed that (1) conceptual understanding and computational skills who were given discovery learning was significantly better than students who were given direct learning; (2) there is no difference in conceptual understanding and computational skills of visual, auditory, and kinesthetic learning style students; (3) in visual, auditory, and kinesthetic learning styles, discovery learning produces better conceptual understanding and computational skills than direct learning; and (4) in discovery learning and direct learing, there is no difference in concept understanding and computational skills of visual, auditory, and kinesthetic learning style students. The results contribute by providing empirical evidence that discovery learning improves students' conceptual understanding and computational skills across different learning styles, providing valuable insights for teachers and curriculum developers in implementing more effective teaching strategies.","author":[{"dropping-particle":"","family":"Hapsari","given":"Rania Febri","non-dropping-particle":"","parse-names":false,"suffix":""},{"dropping-particle":"","family":"Kuswardi","given":"Yemi","non-dropping-particle":"","parse-names":false,"suffix":""},{"dropping-particle":"","family":"Andriatna","given":"Riki","non-dropping-particle":"","parse-names":false,"suffix":""}],"container-title":"Journal of Honai Math","id":"ITEM-1","issue":"2","issued":{"date-parts":[["2025"]]},"page":"271-286","title":"Students’ ability of understanding concepts and computational skill based on learning styles in the discovery learning model","type":"article-journal","volume":"8"},"uris":["http://www.mendeley.com/documents/?uuid=d14c36d1-c600-4cdd-b404-cc1947762feb"]}],"mendeley":{"formattedCitation":"(Hapsari et al., 2025)","plainTextFormattedCitation":"(Hapsari et al., 2025)","previouslyFormattedCitation":"(Hapsari et al., 2025)"},"properties":{"noteIndex":0},"schema":"https://github.com/citation-style-language/schema/raw/master/csl-citation.json"}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(Hapsari et al., 2025)</w:t>
      </w:r>
      <w:r w:rsidR="00747EF3">
        <w:rPr>
          <w:rFonts w:ascii="Arial" w:eastAsia="Arial" w:hAnsi="Arial" w:cs="Arial"/>
        </w:rPr>
        <w:fldChar w:fldCharType="end"/>
      </w:r>
      <w:r>
        <w:rPr>
          <w:rFonts w:ascii="Arial" w:eastAsia="Arial" w:hAnsi="Arial" w:cs="Arial"/>
        </w:rPr>
        <w:t>. Such abilities are essential in preparing students to face complex and dynamic real-world challenges</w:t>
      </w:r>
      <w:r w:rsidR="00747EF3">
        <w:rPr>
          <w:rFonts w:ascii="Arial" w:eastAsia="Arial" w:hAnsi="Arial" w:cs="Arial"/>
        </w:rPr>
        <w:t xml:space="preserve"> </w:t>
      </w:r>
      <w:r w:rsidR="00747EF3">
        <w:rPr>
          <w:rFonts w:ascii="Arial" w:eastAsia="Arial" w:hAnsi="Arial" w:cs="Arial"/>
        </w:rPr>
        <w:fldChar w:fldCharType="begin" w:fldLock="1"/>
      </w:r>
      <w:r w:rsidR="00747EF3">
        <w:rPr>
          <w:rFonts w:ascii="Arial" w:eastAsia="Arial" w:hAnsi="Arial" w:cs="Arial"/>
        </w:rPr>
        <w:instrText>ADDIN CSL_CITATION {"citationItems":[{"id":"ITEM-1","itemData":{"DOI":"10.3389/feduc.2025.1518602","ISSN":"2504284X","abstract":"As the landscape of higher education continues to evolve, institutions must adapt to meet the changing needs of prospective graduate students. This article explores the implications of student-centered strategies on the academic and personal growth of graduate science students. The traditional teacher-centered approach, while effective in conveying foundational knowledge, has been criticized for hindering the development of critical thinking, creativity, and problem-solving skills. In contrast, the student-centered approach shifts the focus to learners, encouraging active participation and fostering essential skills needed to address modern scientific challenges. The teaching concepts, “for the student,” “of the student,” and “by the student” emphasize inclusivity, peer collaboration, and encouraging students to take ownership of their education. A prime example of the success of this approach is the ‘’Molecular Basis of Cancer’’ course, which transitioned from a traditional teacher-centered model to a student-centered one. This shift has allowed students to engage more deeply with complex scientific concepts, fostering independent learning, peer-led discussions, and collaborative research. The results of this transition are evident not only in improved academic performance but also in significant scientific outputs, such as published research articles co-authored by students. By encouraging critical inquiry, creativity, and a professional attitude, the course enables graduate students to navigate real-world scientific challenges more effectively. This case study highlights the accomplishments of student-centered model while identifying areas for further improvement in teaching practices and curriculum design. It underscores the importance of student-centered teaching in shaping future scientific leaders by providing a more balanced, dynamic, and inclusive learning environment for graduate students in science-education. As education continues to evolve, blending traditional methods with student-centered approaches will be key to creating engaging and empowering educational experiences that meet the demands of both students and the ever-advancing fields of science and technology.","author":[{"dropping-particle":"","family":"Bhardwaj","given":"Vipul","non-dropping-particle":"","parse-names":false,"suffix":""},{"dropping-particle":"","family":"Zhang","given":"Shuwei","non-dropping-particle":"","parse-names":false,"suffix":""},{"dropping-particle":"","family":"Tan","given":"Yan Qin","non-dropping-particle":"","parse-names":false,"suffix":""},{"dropping-particle":"","family":"Pandey","given":"Vijay","non-dropping-particle":"","parse-names":false,"suffix":""}],"container-title":"Frontiers in Education","id":"ITEM-1","issue":"February","issued":{"date-parts":[["2025"]]},"page":"1-15","title":"Redefining learning: student-centered strategies for academic and personal growth","type":"article-journal","volume":"10"},"uris":["http://www.mendeley.com/documents/?uuid=5e1b4077-1012-4041-bdf4-3b71d1237306"]}],"mendeley":{"formattedCitation":"(Bhardwaj et al., 2025)","plainTextFormattedCitation":"(Bhardwaj et al., 2025)","previouslyFormattedCitation":"(Bhardwaj et al., 2025)"},"properties":{"noteIndex":0},"schema":"https://github.com/citation-style-language/schema/raw/master/csl-citation.json"}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(Bhardwaj et al., 2025)</w:t>
      </w:r>
      <w:r w:rsidR="00747EF3">
        <w:rPr>
          <w:rFonts w:ascii="Arial" w:eastAsia="Arial" w:hAnsi="Arial" w:cs="Arial"/>
        </w:rPr>
        <w:fldChar w:fldCharType="end"/>
      </w:r>
      <w:r>
        <w:rPr>
          <w:rFonts w:ascii="Arial" w:eastAsia="Arial" w:hAnsi="Arial" w:cs="Arial"/>
        </w:rPr>
        <w:t>. This perspective places mathematics as both a theoretical and applied field of study.</w:t>
      </w:r>
    </w:p>
    <w:p w14:paraId="087BA2FD" w14:textId="77777777" w:rsidR="00882F22" w:rsidRDefault="003A1DB3" w:rsidP="001B1CBA">
      <w:pPr>
        <w:spacing w:before="240" w:after="240"/>
        <w:jc w:val="both"/>
        <w:rPr>
          <w:rFonts w:ascii="Arial" w:eastAsia="Arial" w:hAnsi="Arial" w:cs="Arial"/>
          <w:b/>
          <w:bCs/>
        </w:rPr>
      </w:pPr>
      <w:r>
        <w:rPr>
          <w:rFonts w:ascii="Arial" w:eastAsia="Arial" w:hAnsi="Arial" w:cs="Arial"/>
        </w:rPr>
        <w:lastRenderedPageBreak/>
        <w:t xml:space="preserve">Problem solving is widely recognized as a central goal of mathematics education </w:t>
      </w:r>
      <w:r w:rsidR="00747EF3">
        <w:rPr>
          <w:rFonts w:ascii="Arial" w:eastAsia="Arial" w:hAnsi="Arial" w:cs="Arial"/>
        </w:rPr>
        <w:fldChar w:fldCharType="begin" w:fldLock="1"/>
      </w:r>
      <w:r w:rsidR="004B6889">
        <w:rPr>
          <w:rFonts w:ascii="Arial" w:eastAsia="Arial" w:hAnsi="Arial" w:cs="Arial"/>
        </w:rPr>
        <w:instrText>ADDIN CSL_CITATION {"citationItems":[{"id":"ITEM-1","itemData":{"DOI":"10.1007/s11858-024-01578-8","ISBN":"1185802401","ISSN":"18639704","abstract":"In tracing recent research trends and directions in mathematical problem-solving, it is argued that advances in mathematics practices occur and take place around two intertwined activities, mathematics problem formulation and ways to approach and solve those problems. In this context, a problematizing principle emerges as central activity to organize mathematics curriculum proposals and ways to structure problem-solving learning environments. Subjects’ use of concrete, abstract, symbolic, or digital tools not only influences the ways to pose and pursue mathematical problems; but also shapes the type of representation, exploration, and reasoning they engage to work and solve problems. Problem-solving foundations that privilege learners’ development of habits of mathematical practices that involve an inquiry method to formulate conjectures, to look for different ways to represent and approach problems, and to support and communicate results shed light on directions of current research trends and the relevance of rethinking curriculum proposals and extending problem-solving environments in terms of teachers/students’ consistent use of digital tools and online developments.","author":[{"dropping-particle":"","family":"Santos-Trigo","given":"Manuel","non-dropping-particle":"","parse-names":false,"suffix":""}],"container-title":"ZDM - Mathematics Education","id":"ITEM-1","issue":"2","issued":{"date-parts":[["2024"]]},"page":"211-222","title":"Problem solving in mathematics education: tracing its foundations and current research-practice trends","type":"article-journal","volume":"56"},"uris":["http://www.mendeley.com/documents/?uuid=69743ed5-6c09-40fc-9620-dd643f3a6dc8"]}],"mendeley":{"formattedCitation":"(Santos-Trigo, 2024)","plainTextFormattedCitation":"(Santos-Trigo, 2024)","previouslyFormattedCitation":"(Santos-Trigo, 2024)"},"properties":{"noteIndex":0},"schema":"https://github.com/citation-style-language/schema/raw/master/csl-citation.json"}</w:instrText>
      </w:r>
      <w:r w:rsidR="00747EF3">
        <w:rPr>
          <w:rFonts w:ascii="Arial" w:eastAsia="Arial" w:hAnsi="Arial" w:cs="Arial"/>
        </w:rPr>
        <w:fldChar w:fldCharType="separate"/>
      </w:r>
      <w:r w:rsidR="00747EF3" w:rsidRPr="00747EF3">
        <w:rPr>
          <w:rFonts w:ascii="Arial" w:eastAsia="Arial" w:hAnsi="Arial" w:cs="Arial"/>
          <w:noProof/>
        </w:rPr>
        <w:t>(Santos-Trigo, 2024)</w:t>
      </w:r>
      <w:r w:rsidR="00747EF3">
        <w:rPr>
          <w:rFonts w:ascii="Arial" w:eastAsia="Arial" w:hAnsi="Arial" w:cs="Arial"/>
        </w:rPr>
        <w:fldChar w:fldCharType="end"/>
      </w:r>
      <w:r>
        <w:rPr>
          <w:rFonts w:ascii="Arial" w:eastAsia="Arial" w:hAnsi="Arial" w:cs="Arial"/>
        </w:rPr>
        <w:t xml:space="preserve">. Students are expected to engage with problems that require analysis, interpretation, and strategic thinking rather than routine procedures </w:t>
      </w:r>
      <w:r w:rsidR="004B6889">
        <w:rPr>
          <w:rFonts w:ascii="Arial" w:eastAsia="Arial" w:hAnsi="Arial" w:cs="Arial"/>
        </w:rPr>
        <w:fldChar w:fldCharType="begin" w:fldLock="1"/>
      </w:r>
      <w:r w:rsidR="004B6889">
        <w:rPr>
          <w:rFonts w:ascii="Arial" w:eastAsia="Arial" w:hAnsi="Arial" w:cs="Arial"/>
        </w:rPr>
        <w:instrText>ADDIN CSL_CITATION {"citationItems":[{"id":"ITEM-1","itemData":{"DOI":"10.70088/scx8x622","ISSN":"3078-7602","abstract":"Critical thinking plays a crucial role in enhancing students' problem-solving abilities, particularly in higher education, where students are increasingly expected to tackle complex, real-world issues. This paper explores the relationship between critical thinking and problem-solving skills, focusing on various educational strategies that promote the development of critical thinking, such as problem-based learning (PBL), Socratic questioning, and collaborative learning. Through an analysis of case studies, quantitative studies, and qualitative insights, the paper highlights how critical thinking programs improve students' ability to analyze, evaluate, and solve problems effectively. The findings suggest that fostering critical thinking not only improves academic performance but also equips students with essential skills for professional success. Furthermore, the paper discusses the implications for educators and institutions, offering recommendations for integrating critical thinking into curricula to enhance students' problem-solving abilities.","author":[{"dropping-particle":"","family":"Prakong","given":"Somchai","non-dropping-particle":"","parse-names":false,"suffix":""}],"container-title":"Journal of Education, Humanities, and Social Research","id":"ITEM-1","issue":"1","issued":{"date-parts":[["2024"]]},"page":"10-16","title":"The role of critical thinking in enhancing students' problem-solving abilities in higher education","type":"article-journal","volume":"1"},"uris":["http://www.mendeley.com/documents/?uuid=43a425c1-585b-46f1-ab3e-d7a5dac37359"]},{"id":"ITEM-2","itemData":{"DOI":"10.1007/s10648-023-09757-x","ISBN":"0123456789","ISSN":"1573336X","abstract":"Critical thinking (CT) is widely regarded as an important competence to obtain in education. Students’ exposure to problems and collaboration have been proven helpful in promoting CT processes. These elements are present in student-centered instructional environments such as problem-based and project-based learning (P(j)BL). Next to CT, also higher-order thinking (HOT) and critical-analytic thinking (CAT) contain elements that are present in and fostered by P(j)BL. However, HOT, CT, and CAT definitions are often ill-defined and overlap. The present systematic review, therefore, investigated how HOT, CT, and CAT were conceptualized in P(j)BL environments. Another aim of this study was to review the evidence on the effectiveness of P(j)BL environments in fostering HOT, CT, or CAT. Results demonstrated an absence of CAT in P(j)BL research and a stronger focus on CT processes than CT dispositions (i.e., trait-like tendency or willingness to engage in CT). Further, while we found positive effects of P(j)BL on HOT and CT, there was a lack of clarity and consistency in how researchers conceptualized and measured these forms of thinking. Also, essential components of P(j)BL were often overlooked. Finally, we identified various design issues in effect studies, such as the lack of control groups, that bring the reported outcomes of those investigations into question.","author":[{"dropping-particle":"","family":"Loyens","given":"Sofie M.M.","non-dropping-particle":"","parse-names":false,"suffix":""},{"dropping-particle":"","family":"Meerten","given":"Julianne E.","non-dropping-particle":"van","parse-names":false,"suffix":""},{"dropping-particle":"","family":"Schaap","given":"Lydia","non-dropping-particle":"","parse-names":false,"suffix":""},{"dropping-particle":"","family":"Wijnia","given":"Lisette","non-dropping-particle":"","parse-names":false,"suffix":""}],"container-title":"Educational Psychology Review","id":"ITEM-2","issue":"2","issued":{"date-parts":[["2023"]]},"publisher":"Springer US","title":"Situating higher-order, critical, and critical-analytic thinking in problem- and project-based learning environments: a systematic review","type":"book","volume":"35"},"uris":["http://www.mendeley.com/documents/?uuid=18544311-7142-4261-82eb-3619fcda1c08"]}],"mendeley":{"formattedCitation":"(Loyens et al., 2023; Prakong, 2024)","plainTextFormattedCitation":"(Loyens et al., 2023; Prakong, 2024)","previouslyFormattedCitation":"(Loyens et al., 2023; Prakong, 2024)"},"properties":{"noteIndex":0},"schema":"https://github.com/citation-style-language/schema/raw/master/csl-citation.json"}</w:instrText>
      </w:r>
      <w:r w:rsidR="004B6889">
        <w:rPr>
          <w:rFonts w:ascii="Arial" w:eastAsia="Arial" w:hAnsi="Arial" w:cs="Arial"/>
        </w:rPr>
        <w:fldChar w:fldCharType="separate"/>
      </w:r>
      <w:r w:rsidR="004B6889" w:rsidRPr="004B6889">
        <w:rPr>
          <w:rFonts w:ascii="Arial" w:eastAsia="Arial" w:hAnsi="Arial" w:cs="Arial"/>
          <w:noProof/>
        </w:rPr>
        <w:t>(Loyens et al., 2023; Prakong, 2024)</w:t>
      </w:r>
      <w:r w:rsidR="004B6889">
        <w:rPr>
          <w:rFonts w:ascii="Arial" w:eastAsia="Arial" w:hAnsi="Arial" w:cs="Arial"/>
        </w:rPr>
        <w:fldChar w:fldCharType="end"/>
      </w:r>
      <w:r>
        <w:rPr>
          <w:rFonts w:ascii="Arial" w:eastAsia="Arial" w:hAnsi="Arial" w:cs="Arial"/>
        </w:rPr>
        <w:t>. Effective problem solving involves identifying relevant information, selecting suitable methods, and evaluating the validity of obtained solutions</w:t>
      </w:r>
      <w:r w:rsidR="001B1CBA">
        <w:rPr>
          <w:rFonts w:ascii="Arial" w:eastAsia="Arial" w:hAnsi="Arial" w:cs="Arial"/>
        </w:rPr>
        <w:t xml:space="preserve"> </w:t>
      </w:r>
      <w:r w:rsidR="004B6889">
        <w:rPr>
          <w:rFonts w:ascii="Arial" w:eastAsia="Arial" w:hAnsi="Arial" w:cs="Arial"/>
        </w:rPr>
        <w:fldChar w:fldCharType="begin" w:fldLock="1"/>
      </w:r>
      <w:r w:rsidR="004B6889">
        <w:rPr>
          <w:rFonts w:ascii="Arial" w:eastAsia="Arial" w:hAnsi="Arial" w:cs="Arial"/>
        </w:rPr>
        <w:instrText>ADDIN CSL_CITATION {"citationItems":[{"id":"ITEM-1","itemData":{"author":[{"dropping-particle":"","family":"Dacsa I","given":"Junlor C","non-dropping-particle":"","parse-names":false,"suffix":""}],"container-title":"The Official research Journal of University of Makati","id":"ITEM-1","issue":"2","issued":{"date-parts":[["2022"]]},"page":"1-8","title":"SOLO taxonomy and newman error analysis: understanding the difficulties of students in solving word problems in pre-calculus SOLO taxonomy and newman error analysis: understanding the difficulties of students in solving word problems in pre-calculus","type":"article-journal","volume":"10"},"uris":["http://www.mendeley.com/documents/?uuid=d7e9c233-dbbf-4d53-8620-ce3a1fc993bc"]},{"id":"ITEM-2","itemData":{"author":[{"dropping-particle":"","family":"Pham","given":"Thi Linh","non-dropping-particle":"","parse-names":false,"suffix":""},{"dropping-particle":"","family":"Tran","given":"Thi Mai","non-dropping-particle":"","parse-names":false,"suffix":""},{"dropping-particle":"","family":"Pham","given":"Hong Truong","non-dropping-particle":"","parse-names":false,"suffix":""}],"container-title":"International Journl of All Researc Writings","id":"ITEM-2","issue":"8","issued":{"date-parts":[["2022"]]},"page":"68-71","title":"Combining mathematical modeling and applied mathematics with strategy and situation analysis","type":"article-journal","volume":"3"},"uris":["http://www.mendeley.com/documents/?uuid=7c12b7ba-5e01-46a2-9057-f43e97a6e7a7"]}],"mendeley":{"formattedCitation":"(Dacsa I, 2022; Pham et al., 2022)","plainTextFormattedCitation":"(Dacsa I, 2022; Pham et al., 2022)","previouslyFormattedCitation":"(Dacsa I, 2022; Pham et al., 2022)"},"properties":{"noteIndex":0},"schema":"https://github.com/citation-style-language/schema/raw/master/csl-citation.json"}</w:instrText>
      </w:r>
      <w:r w:rsidR="004B6889">
        <w:rPr>
          <w:rFonts w:ascii="Arial" w:eastAsia="Arial" w:hAnsi="Arial" w:cs="Arial"/>
        </w:rPr>
        <w:fldChar w:fldCharType="separate"/>
      </w:r>
      <w:r w:rsidR="004B6889" w:rsidRPr="004B6889">
        <w:rPr>
          <w:rFonts w:ascii="Arial" w:eastAsia="Arial" w:hAnsi="Arial" w:cs="Arial"/>
          <w:noProof/>
        </w:rPr>
        <w:t>(Dacsa I, 2022; Pham et al., 2022)</w:t>
      </w:r>
      <w:r w:rsidR="004B6889">
        <w:rPr>
          <w:rFonts w:ascii="Arial" w:eastAsia="Arial" w:hAnsi="Arial" w:cs="Arial"/>
        </w:rPr>
        <w:fldChar w:fldCharType="end"/>
      </w:r>
      <w:r>
        <w:rPr>
          <w:rFonts w:ascii="Arial" w:eastAsia="Arial" w:hAnsi="Arial" w:cs="Arial"/>
        </w:rPr>
        <w:t xml:space="preserve">. These processes require a combination of conceptual understanding and procedural fluency </w:t>
      </w:r>
      <w:r w:rsidR="004B6889">
        <w:rPr>
          <w:rFonts w:ascii="Arial" w:eastAsia="Arial" w:hAnsi="Arial" w:cs="Arial"/>
        </w:rPr>
        <w:fldChar w:fldCharType="begin" w:fldLock="1"/>
      </w:r>
      <w:r w:rsidR="001B1CBA">
        <w:rPr>
          <w:rFonts w:ascii="Arial" w:eastAsia="Arial" w:hAnsi="Arial" w:cs="Arial"/>
        </w:rPr>
        <w:instrText>ADDIN CSL_CITATION {"citationItems":[{"id":"ITEM-1","itemData":{"DOI":"10.30935/scimath/9454","abstract":"Conceptual understanding (CU) and procedural fluency (PF) are two important mathematical competencies required by students. CU helps students organizing their knowledge into a coherent whole, and PF helps them to find the right solution of a problem. In order to enhance CU and PF, students need learning experiences in constructing knowledge and procedures. One of learning approaches which supports CU and PF enhancement is Model-Facilitated Learning (MFL). In MFL, students are given opportunities to build their knowledge and construct their own procedure through exploration with a virtual model. This study was an experiment based on pretest-posttest control group aiming to examine the influence of Model-Facilitated Learning on students' achievement and enhancement of CU and PF. The research subjects were 55 students of grade VII State Junior High School (SJHS) 19 Kerinci, Jambi Province. The results showed that the students who learned mathematics under Model-Facilitated Learning (MFL) had higher CU and PF than the students who received Conventional Learning (CL). Furthermore, the result showed that the students who learned by using MFL had higher enhancement of CU and PF than the students who received Conventional Learning (CL).","author":[{"dropping-particle":"","family":"Laswadi","given":"Laswadi","non-dropping-particle":"","parse-names":false,"suffix":""},{"dropping-particle":"","family":"Kusumah","given":"Yaya S.","non-dropping-particle":"","parse-names":false,"suffix":""},{"dropping-particle":"","family":"Darwis","given":"Sutawanir","non-dropping-particle":"","parse-names":false,"suffix":""},{"dropping-particle":"","family":"Afgani","given":"Jarnawi D.","non-dropping-particle":"","parse-names":false,"suffix":""}],"container-title":"European Journal of Science and Mathematics Education","id":"ITEM-1","issue":"1","issued":{"date-parts":[["2016"]]},"page":"67-74","title":"Developing conceptual understanding and procedural fluency for junior high school students through model-facilitated learning (MFL)","type":"article-journal","volume":"4"},"uris":["http://www.mendeley.com/documents/?uuid=18fc7a7a-dff6-4f96-9f6f-b86cb0e8d7cd"]}],"mendeley":{"formattedCitation":"(Laswadi et al., 2016)","plainTextFormattedCitation":"(Laswadi et al., 2016)","previouslyFormattedCitation":"(Laswadi et al., 2016)"},"properties":{"noteIndex":0},"schema":"https://github.com/citation-style-language/schema/raw/master/csl-citation.json"}</w:instrText>
      </w:r>
      <w:r w:rsidR="004B6889">
        <w:rPr>
          <w:rFonts w:ascii="Arial" w:eastAsia="Arial" w:hAnsi="Arial" w:cs="Arial"/>
        </w:rPr>
        <w:fldChar w:fldCharType="separate"/>
      </w:r>
      <w:r w:rsidR="001B1CBA" w:rsidRPr="001B1CBA">
        <w:rPr>
          <w:rFonts w:ascii="Arial" w:eastAsia="Arial" w:hAnsi="Arial" w:cs="Arial"/>
          <w:noProof/>
        </w:rPr>
        <w:t>(Laswadi et al., 2016)</w:t>
      </w:r>
      <w:r w:rsidR="004B6889">
        <w:rPr>
          <w:rFonts w:ascii="Arial" w:eastAsia="Arial" w:hAnsi="Arial" w:cs="Arial"/>
        </w:rPr>
        <w:fldChar w:fldCharType="end"/>
      </w:r>
      <w:r>
        <w:rPr>
          <w:rFonts w:ascii="Arial" w:eastAsia="Arial" w:hAnsi="Arial" w:cs="Arial"/>
        </w:rPr>
        <w:t>. The emphasis on problem solving highlights the importance of integrating various mathematical competencies in learning activities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{"citationItems":[{"id":"ITEM-1","itemData":{"author":[{"dropping-particle":"","family":"Pham","given":"Thi Linh","non-dropping-particle":"","parse-names":false,"suffix":""},{"dropping-particle":"","family":"Tran","given":"Thi Mai","non-dropping-particle":"","parse-names":false,"suffix":""},{"dropping-particle":"","family":"Pham","given":"Hong Truong","non-dropping-particle":"","parse-names":false,"suffix":""}],"container-title":"International Journl of All Researc Writings","id":"ITEM-1","issue":"8","issued":{"date-parts":[["2022"]]},"page":"68-71","title":"Combining mathematical modeling and applied mathematics with strategy and situation analysis","type":"article-journal","volume":"3"},"uris":["http://www.mendeley.com/documents/?uuid=7c12b7ba-5e01-46a2-9057-f43e97a6e7a7"]}],"mendeley":{"formattedCitation":"(Pham et al., 2022)","plainTextFormattedCitation":"(Pham et al., 2022)","previouslyFormattedCitation":"(Pham et al., 2022)"},"properties":{"noteIndex":0},"schema":"https://github.com/citation-style-language/schema/raw/master/csl-citation.json"}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(Pham et al., 2022)</w:t>
      </w:r>
      <w:r w:rsidR="001B1CBA">
        <w:rPr>
          <w:rFonts w:ascii="Arial" w:eastAsia="Arial" w:hAnsi="Arial" w:cs="Arial"/>
        </w:rPr>
        <w:fldChar w:fldCharType="end"/>
      </w:r>
      <w:r>
        <w:rPr>
          <w:rFonts w:ascii="Arial" w:eastAsia="Arial" w:hAnsi="Arial" w:cs="Arial"/>
        </w:rPr>
        <w:t xml:space="preserve">. </w:t>
      </w:r>
    </w:p>
    <w:p w14:paraId="0A286675" w14:textId="731E568A" w:rsidR="00882F22" w:rsidRDefault="003A1DB3" w:rsidP="00C17D6B">
      <w:pPr>
        <w:spacing w:before="240" w:after="240"/>
        <w:jc w:val="both"/>
        <w:rPr>
          <w:rFonts w:ascii="Arial" w:eastAsia="Arial" w:hAnsi="Arial" w:cs="Arial"/>
        </w:rPr>
      </w:pPr>
      <w:r>
        <w:rPr>
          <w:rFonts w:ascii="Arial" w:eastAsia="Arial" w:hAnsi="Arial" w:cs="Arial"/>
        </w:rPr>
        <w:t>Mathematical modelling emerges as a key approach in bridging abstract mathematical concepts with real-world situations</w:t>
      </w:r>
      <w:r w:rsidR="001B1CBA">
        <w:rPr>
          <w:rFonts w:ascii="Arial" w:eastAsia="Arial" w:hAnsi="Arial" w:cs="Arial"/>
        </w:rPr>
        <w:fldChar w:fldCharType="begin" w:fldLock="1"/>
      </w:r>
      <w:r w:rsidR="006E2C67">
        <w:rPr>
          <w:rFonts w:ascii="Arial" w:eastAsia="Arial" w:hAnsi="Arial" w:cs="Arial"/>
        </w:rPr>
        <w:instrText>ADDIN CSL_CITATION {"citationItems":[{"id":"ITEM-1","itemData":{"DOI":"10.29333/ejmste/16398","ISSN":"13058223","abstract":"Mathematical modelling is essential in mathematics education, presenting real-world problems in mathematical terms. This systematic literature review aims to evaluate the effectiveness of mathematical modelling in education and its implications for teaching and learning. The review used the PRISMA approach and a systematic search of electronic databases to identify relevant articles. The review identified key themes, including the impact of mathematical modelling activities on students’ learning development and the challenges of these activities. It identified patterns and trends in students’ achievement and skills through modelling activities, the effectiveness of enhancing mathematical learning development, and the challenges in implementing mathematical modelling. Key findings revealed the varying impact of different approaches on diverse modelling tasks. The review emphasized the need for educators to prepare for mathematical modelling practices and suggested that their effectiveness depends on task nature, learners’ age, and learning context. Future research should refined best practices, standardize classroom materials, and explore innovative approaches.","author":[{"dropping-particle":"","family":"Tasarib","given":"Aslipah","non-dropping-particle":"","parse-names":false,"suffix":""},{"dropping-particle":"","family":"Rosli","given":"Roslinda","non-dropping-particle":"","parse-names":false,"suffix":""},{"dropping-particle":"","family":"Rambely","given":"Azmin Sham","non-dropping-particle":"","parse-names":false,"suffix":""}],"container-title":"Eurasia Journal of Mathematics, Science and Technology Education","id":"ITEM-1","issue":"5","issued":{"date-parts":[["2025"]]},"title":"Impacts and challenges of mathematical modelling activities on students’ learning development: a systematic literature review","type":"article-journal","volume":"21"},"uris":["http://www.mendeley.com/documents/?uuid=c10652bc-3e88-4cfd-8211-a2c0739cf1b7"]},{"id":"ITEM-2","itemData":{"DOI":"10.3390/educsci15020248","ISSN":"22277102","abstract":"This study examined the impact of a teacher training programme combining Education for Sustainable Development (ESD) and Mathematical Modelling (MM) on pre-service primary mathematics teachers’ (PSTs) understanding of sustainability and its integration into mathematics education. Using a mixed-methods approach, data were gathered through pre- and post-test questionnaires and qualitative reflections. The results showed a significant improvement in PSTs’ knowledge of sustainability after the training. Key themes included the development of mathematical modelling competence and an increased understanding of sustainability topics and the importance of critical thinking. Participants also emphasized the importance of lifelong learning, openness to change, and acquiring the necessary didactic skills for creating ESD–modelling tasks. Additionally, the study found that PSTs’ personal behaviours shifted toward sustainability, with a focus on responsible consumption, water conservation, and climate action, aligning with various Sustainable Development Goals (SDGs). The seminar addressed all 17 SDGs, however, in the post-test questionnaire, participants most frequently provided examples related to SDG 6 (Clean Water and Sanitation), SDG 12 (Responsible Consumption and Production), and SDG 13 (Climate Action). It recommended a stronger emphasis on interdisciplinary approaches, targeting underrepresented SDGs, and challenging existing beliefs that restrict sustainability integration in subjects like mathematics. Mathematical modelling activities were highlighted as a key tool for integrating sustainability concepts into mathematics lessons.","author":[{"dropping-particle":"","family":"Bulut","given":"Neslihan","non-dropping-particle":"","parse-names":false,"suffix":""},{"dropping-particle":"","family":"Ferri","given":"Rita Borromeo","non-dropping-particle":"","parse-names":false,"suffix":""}],"container-title":"Education Sciences","id":"ITEM-2","issue":"2","issued":{"date-parts":[["2025"]]},"title":"Bridging Mathematical Modelling and Education for Sustainable Development in Pre-Service Primary Teacher Education","type":"article-journal","volume":"15"},"uris":["http://www.mendeley.com/documents/?uuid=2e83c56e-39a7-42b2-b10d-89658cf09691"]},{"id":"ITEM-3","itemData":{"author":[{"dropping-particle":"","family":"Salha","given":"Soheil H","non-dropping-particle":"","parse-names":false,"suffix":""},{"dropping-particle":"","family":"Qatani","given":"Naji","non-dropping-particle":"","parse-names":false,"suffix":""}],"id":"ITEM-3","issue":"5","issued":{"date-parts":[["2021"]]},"page":"539-551","title":"Impact of the mathematical modeling on conceptual understanding among student-teachers","type":"article-journal","volume":"56"},"uris":["http://www.mendeley.com/documents/?uuid=2004f873-455a-4ed4-9a0a-facb7aa723de"]},{"id":"ITEM-4","itemData":{"DOI":"10.11591/ijere.v14i3.32523","ISSN":"26205440","abstract":"This article is focused on analyzing the impact of mathematical modeling on the learning of university students. The starting point is the complexity of the learning process in technological careers, since cognitive, emotional, social and pedagogical elements are involved in this process, therefore, a multidisciplinary approach is required to allow a holistic understanding of educational phenomena. For this purpose, a systematic review was applied following the PRISMA guidelines and 30 research studies available in Scopus, PubMed, and Web of Science were selected. These studies highlight the importance of mathematical modeling in improving education. The results highlight a higher frequency of use for models with structural equations, models related to adaptive profiles and virtual mathematical models. It is concluded that mathematical modeling represents a valuable resource in higher education, which enriches the learning experience and prepares students to face academic and professional challenges. It is impact is manifested in the improvement of conceptual understanding, the strengthening of problem-solving skills and the close linkage between theory and practice.","author":[{"dropping-particle":"","family":"Apaza","given":"Ines Miryam Acero","non-dropping-particle":"","parse-names":false,"suffix":""},{"dropping-particle":"","family":"Choque","given":"Hugo Walter Zamata","non-dropping-particle":"","parse-names":false,"suffix":""},{"dropping-particle":"","family":"Laqui","given":"Anibal Javier Cutipa","non-dropping-particle":"","parse-names":false,"suffix":""}],"container-title":"International Journal of Evaluation and Research in Education","id":"ITEM-4","issue":"3","issued":{"date-parts":[["2025"]]},"page":"2118-2131","title":"Transforming university education: a systematic review of mathematical modeling in learning","type":"article-journal","volume":"14"},"uris":["http://www.mendeley.com/documents/?uuid=72cc9f8f-68d4-4c48-83ee-555455ac8c2e"]},{"id":"ITEM-5","itemData":{"DOI":"10.1016/j.jmathb.2024.101234","ISSN":"07323123","abstract":"Recently, scholars highlighted the crucial role played by drawings in students’ modelling performance. Nevertheless, the correlation between the use of drawings and modelling performance cannot be extended when complex modelling activities are considered. In this work, we focus on the students’ drawing activities when dealing with a complex geometry problem. In particular, the paper reports an exploratory case from 11-grade students exposed to a realistic scenario from the sport context, on which they have worked for 4 hours. The analysed data, which focus on one of the class discussions, show that an important aspect for drawings to help students in the mathematical modelling process is that drawings must be shared among students. In this way, students can put into play different strategies for connecting both solution-relevant and non solution-relevant drawing elements, such as understanding, coordinating, contrasting and integrating, that help them in proceeding throughout the mathematical modelling process.","author":[{"dropping-particle":"","family":"Bassi","given":"Caterina","non-dropping-particle":"","parse-names":false,"suffix":""},{"dropping-particle":"","family":"Brunetto","given":"Domenico","non-dropping-particle":"","parse-names":false,"suffix":""}],"container-title":"Journal of Mathematical Behavior","id":"ITEM-5","issue":"January","issued":{"date-parts":[["2025"]]},"page":"101234","publisher":"Elsevier Inc.","title":"Shared drawings in a mathematical modelling activity: an exploratory study","type":"article-journal","volume":"78"},"uris":["http://www.mendeley.com/documents/?uuid=388fe0e9-2f2a-4cec-8345-35d552e5eb88"]},{"id":"ITEM-6","itemData":{"DOI":"10.1007/s11858-021-01316-4","ISBN":"0123456789","ISSN":"18639704","abstract":"Creativity has been identified as a key characteristic that allows students to adapt smoothly to rapid societal and economic changes in the real world. However, Chinese students appear to perform less well in mathematical problem-solving and problem-posing abilities, which are strongly connected to mathematical creativity. Mathematical modelling has recently been introduced as one of the six core competencies in the Chinese mathematical curriculum and is built on students’ ability to solve real-world problems using mathematical means. As mathematical modelling is characterised by openness regarding the understanding of complex real-world problems and the complex relationship between the real world and mathematics, for the strengthening of creativity, mathematical modelling activities seem to be adequate to accomplish this purpose. In this paper, we describe a study with 71 upper secondary school students, 50 pre-service mathematics teachers, and 66 in-service mathematics teachers, based on an extended didactical framework regarding mathematical modelling as a creativity-demanding activity. The results of the study indicate a significant correlation between modelling competencies and creativity aspects. Especially significant correlations between the adequacy of the modelling approaches and the two creativity aspects of usefulness and fluency could be identified, as well as a significant negative correlation between usefulness and originality. The results of the correlational analysis of relationships among the four criteria were not always consistent in the three participant groups. Overall, the results have implications for the promotion of creativity for various expertise groups and demonstrate the dependency of the modelling activities on the mathematical knowledge of the participants and the mathematical topic with which they are dealing.","author":[{"dropping-particle":"","family":"Lu","given":"Xiaoli","non-dropping-particle":"","parse-names":false,"suffix":""},{"dropping-particle":"","family":"Kaiser","given":"Gabriele","non-dropping-particle":"","parse-names":false,"suffix":""}],"container-title":"ZDM - Mathematics Education","id":"ITEM-6","issue":"1","issued":{"date-parts":[["2022"]]},"page":"67-81","publisher":"Springer Berlin Heidelberg","title":"Can mathematical modelling work as a creativity-demanding activity? an empirical study in China","type":"article-journal","volume":"54"},"uris":["http://www.mendeley.com/documents/?uuid=c9a2d5c1-ebdb-47f7-8d79-e2bee673a4e9"]},{"id":"ITEM-7","itemData":{"DOI":"10.1007/s11858-025-01678-z","ISBN":"1185802501654","ISSN":"18639704","abstract":"This paper presents an empirical exploratory study involving 158 Swedish secondary school students (Years 7–11) asked to develop fair prescriptive mathematical models to rank real-life, multi-faceted heptathlon outcomes. A developed framework for identifying Characteristics of Fairness is used to investigate What types of models do the students develop? and What aspects of fairness in the context of heptathlon come to the fore in the students’ models? Discussed and situated in relation to previous research, the result highlight and elaborate four identified types of models focusing on Event placement, Individual performance, Comparative performance and Baseline comparison. In particular the results show that students emphasised outcome fairness at the expense of process fairness. Based on the findings, implications and possible future lines of research and theoretical development are suggested.","author":[{"dropping-particle":"","family":"Kohen","given":"Zehavit","non-dropping-particle":"","parse-names":false,"suffix":""}],"container-title":"ZDM - Mathematics Education","id":"ITEM-7","issue":"2","issued":{"date-parts":[["2025"]]},"page":"229-244","title":"Structured mathematical modelling in an authentic scientific</w:instrText>
      </w:r>
      <w:r w:rsidR="006E2C67">
        <w:rPr>
          <w:rFonts w:ascii="Cambria Math" w:eastAsia="Arial" w:hAnsi="Cambria Math" w:cs="Cambria Math"/>
        </w:rPr>
        <w:instrText>‑</w:instrText>
      </w:r>
      <w:r w:rsidR="006E2C67">
        <w:rPr>
          <w:rFonts w:ascii="Arial" w:eastAsia="Arial" w:hAnsi="Arial" w:cs="Arial"/>
        </w:rPr>
        <w:instrText>engineering context","type":"article-journal","volume":"57"},"uris":["http://www.mendeley.com/documents/?uuid=605b84c9-640c-4163-8d31-1445f204580a"]}],"mendeley":{"formattedCitation":"(Apaza et al., 2025; Bassi &amp; Brunetto, 2025; Bulut &amp; Ferri, 2025; Kohen, 2025; Lu &amp; Kaiser, 2022; Salha &amp; Qatani, 2021; Tasarib et al., 2025)","plainTextFormattedCitation":"(Apaza et al., 2025; Bassi &amp; Brunetto, 2025; Bulut &amp; Ferri, 2025; Kohen, 2025; Lu &amp; Kaiser, 2022; Salha &amp; Qatani, 2021; Tasarib et al., 2025)","previouslyFormattedCitation":"(Apaza et al., 2025; Bassi &amp; Brunetto, 2025; Bulut &amp; Ferri, 2025; Kohen, 2025; Lu &amp; Kaiser, 2022; Salha &amp; Qatani, 2021; Tasarib et al., 2025)"},"properties":{"noteIndex":0},"schema":"https://github.com/citation-style-language/schema/raw/master/csl-citation.json"}</w:instrText>
      </w:r>
      <w:r w:rsidR="001B1CBA">
        <w:rPr>
          <w:rFonts w:ascii="Arial" w:eastAsia="Arial" w:hAnsi="Arial" w:cs="Arial"/>
        </w:rPr>
        <w:fldChar w:fldCharType="separate"/>
      </w:r>
      <w:r w:rsidR="006E2C67" w:rsidRPr="006E2C67">
        <w:rPr>
          <w:rFonts w:ascii="Arial" w:eastAsia="Arial" w:hAnsi="Arial" w:cs="Arial"/>
          <w:noProof/>
        </w:rPr>
        <w:t>(Apaza et al., 2025; Bassi &amp; Brunetto, 2025; Bulut &amp; Ferri, 2025; Kohen, 2025; Lu &amp; Kaiser, 2022; Salha &amp; Qatani, 2021; Tasarib et al., 2025)</w:t>
      </w:r>
      <w:r w:rsidR="001B1CBA">
        <w:rPr>
          <w:rFonts w:ascii="Arial" w:eastAsia="Arial" w:hAnsi="Arial" w:cs="Arial"/>
        </w:rPr>
        <w:fldChar w:fldCharType="end"/>
      </w:r>
      <w:r>
        <w:rPr>
          <w:rFonts w:ascii="Arial" w:eastAsia="Arial" w:hAnsi="Arial" w:cs="Arial"/>
        </w:rPr>
        <w:t xml:space="preserve">. The modelling process enables students to translate contextual problems into mathematical representations that can be </w:t>
      </w:r>
      <w:r w:rsidR="00AA562C">
        <w:rPr>
          <w:rFonts w:ascii="Arial" w:eastAsia="Arial" w:hAnsi="Arial" w:cs="Arial"/>
        </w:rPr>
        <w:t>analyzed</w:t>
      </w:r>
      <w:r>
        <w:rPr>
          <w:rFonts w:ascii="Arial" w:eastAsia="Arial" w:hAnsi="Arial" w:cs="Arial"/>
        </w:rPr>
        <w:t xml:space="preserve"> and solved</w:t>
      </w:r>
      <w:r w:rsidR="00943F99">
        <w:rPr>
          <w:rFonts w:ascii="Arial" w:eastAsia="Arial" w:hAnsi="Arial" w:cs="Arial"/>
        </w:rPr>
        <w:t xml:space="preserve"> </w:t>
      </w:r>
      <w:r w:rsidR="001B1CBA">
        <w:rPr>
          <w:rFonts w:ascii="Arial" w:eastAsia="Arial" w:hAnsi="Arial" w:cs="Arial"/>
        </w:rPr>
        <w:fldChar w:fldCharType="begin" w:fldLock="1"/>
      </w:r>
      <w:r w:rsidR="00C17D6B">
        <w:rPr>
          <w:rFonts w:ascii="Arial" w:eastAsia="Arial" w:hAnsi="Arial" w:cs="Arial"/>
        </w:rPr>
        <w:instrText>ADDIN CSL_CITATION {"citationItems":[{"id":"ITEM-1","itemData":{"DOI":"10.58557/eduinsights.v2i2.86","abstract":"Matematika memiliki peran penting dalam membantu siswa menyelesaikan masalah di kehidupan sehari-hari. Masalah dalam dunia nyata dapat dituangkan dalam bentuk soal cerita matematika. Untuk menyelesaikan masalah, siswa perlu mengikuti beberapa tahapan, dimulai dari translasi masalah, di mana mereka memilih informasi penting dan mengubahnya menjadi model matematika. Model adalah representasi dari objek, benda, atau ide dalam bentuk yang berbeda dari entitas aslinya. Sedangkan pemodelan matematika adalah cara untuk membuat sistem yang rumit menjadi lebih sederhana dengan menggunakan persamaan matematika. Penelitian ini bertujuan untuk megetahui tingkat pemahaman peserta didik dalam menyelesaikan masalah turunan dengan menggunakan pemodelan matematis. Penelitian ini merupakan penelitian kuantitatif dengan pendekatan deskriptif. Populasi yang dijadikan subjek penelitian adalah seluruh peserta didik kelas XI MIPA-2 sebanyak 35 peserta didik. Sampel pada penelitian ini adalah peserta didik dalam menyelesaikan soal cerita pada materi turunan. Hasil penelitian menunjukan bahwa sebanyak 13 jawaban benar sesuai langkah Polya (7%) dan sebanyak 162 jawaban tidak sesuai langkah Polya ( 93% ) dari total keseluruhan jawaban 175 (100%). Presentase sama saja dengan penggabungan antara kelompok berkemampuan tinggi dan kelompok berkemampuan sedang yaitu sebanyak tujuh peserta didik dari total keseluruhan tiga puluh lima peserta didik. Sehingga dapat disimpulkan bahwa sebagian besar peserta didik masih kesulitan dengan memodelkan masalah dunia nyata kedalam bahasa matematika.","author":[{"dropping-particle":"","family":"Darmin","given":"","non-dropping-particle":"","parse-names":false,"suffix":""},{"dropping-particle":"","family":"Muchyidin","given":"Arif","non-dropping-particle":"","parse-names":false,"suffix":""},{"dropping-particle":"","family":"Nursuprianah","given":"Indah","non-dropping-particle":"","parse-names":false,"suffix":""}],"container-title":"Educational Insights","id":"ITEM-1","issue":"2","issued":{"date-parts":[["2024"]]},"page":"129-139","title":"Analysis of students' difficulties in using mathematical models to solve story problems on derivatives material","type":"article-journal","volume":"2"},"uris":["http://www.mendeley.com/documents/?uuid=43d37f8b-a005-479c-8065-8bc2f2dafe2d"]},{"id":"ITEM-2","itemData":{"DOI":"10.1063/5.0290067","author":[{"dropping-particle":"","family":"Sa'diyah","given":"Mukhtamilatus","non-dropping-particle":"","parse-names":false,"suffix":""},{"dropping-particle":"","family":"Purnomo","given":"Heri","non-dropping-particle":"","parse-names":false,"suffix":""},{"dropping-particle":"","family":"Harini","given":"Novita Vindri","non-dropping-particle":"","parse-names":false,"suffix":""}],"container-title":"The International Conference of Interdisciplinary Research and Studies in Mathematics","id":"ITEM-2","issue":"1","issued":{"date-parts":[["2025"]]},"title":"Analysis of mathematics learning related to the context of ral-life problems based on mathematical literacy aspects","type":"article-journal","volume":"3316"},"uris":["http://www.mendeley.com/documents/?uuid=a2c3c35d-9ce9-499a-8b51-46d19ef25526"]}],"mendeley":{"formattedCitation":"(Darmin et al., 2024; Sa’diyah et al., 2025)","plainTextFormattedCitation":"(Darmin et al., 2024; Sa’diyah et al., 2025)","previouslyFormattedCitation":"(Darmin et al., 2024; Sa’diyah et al., 2025)"},"properties":{"noteIndex":0},"schema":"https://github.com/citation-style-language/schema/raw/master/csl-citation.json"}</w:instrText>
      </w:r>
      <w:r w:rsidR="001B1CBA">
        <w:rPr>
          <w:rFonts w:ascii="Arial" w:eastAsia="Arial" w:hAnsi="Arial" w:cs="Arial"/>
        </w:rPr>
        <w:fldChar w:fldCharType="separate"/>
      </w:r>
      <w:r w:rsidR="00C17D6B" w:rsidRPr="00C17D6B">
        <w:rPr>
          <w:rFonts w:ascii="Arial" w:eastAsia="Arial" w:hAnsi="Arial" w:cs="Arial"/>
          <w:noProof/>
        </w:rPr>
        <w:t>(Darmin et al., 2024; Sa’diyah et al., 2025)</w:t>
      </w:r>
      <w:r w:rsidR="001B1CBA">
        <w:rPr>
          <w:rFonts w:ascii="Arial" w:eastAsia="Arial" w:hAnsi="Arial" w:cs="Arial"/>
        </w:rPr>
        <w:fldChar w:fldCharType="end"/>
      </w:r>
      <w:r>
        <w:rPr>
          <w:rFonts w:ascii="Arial" w:eastAsia="Arial" w:hAnsi="Arial" w:cs="Arial"/>
        </w:rPr>
        <w:t>. This process involves several interconnected stages, including understanding the problem, formulating a model, solving the model, and interpreting the results. Each stage requires specific cognitive skills and careful reasoning. The complexity of modelling tasks makes them particularly valuable for assessing students’ comprehensive mathematical abilities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{"citationItems":[{"id":"ITEM-1","itemData":{"abstract":"Mathematical modelling (the process of translating between the real world and mathematics in both directions) is one of the topics in mathematics education that has been discussed and propagated most intensely during the last few decades. In classroom practice all over the world, however, modelling still has a far less prominent role than is desirable. The main reason for this gap between the goals of the educational debate and everyday school practice is that modelling is difficult both for students' and for teachers. In our paper, we will show examples of how students and teachers deal with demanding modelling tasks. We will refer both to results from our own projects DISUM and COM² as well as to empirical findings from various other research studies. First, we will present some examples of students' difficulties with modelling tasks and of students' specific modelling routes when solving such tasks (also dependent on their mathematical thinking styles), and try to explain these difficulties by the cognitive demands of these tasks. We will emphasise that mathematical modelling has to be learnt specifically by students, and that modelling can indeed be learned if teaching obeys certain quality criteria, in particular maintaining a permanent balance between teacher's guidance and students' independence. We will then show some examples of how teachers have successfully realised this subtle balance, and we will present interesting differences between individual teachers' handling of modelling tasks. In the final part of our paper, we will draw some consequences from the reported empirical findings and formulate corresponding implications for teaching mathematical modelling. Eventually, we will present some encouraging results from a recent intervention study in the context of the DISUM project where it is demonstrated that appropriate learning environments may indeed lead to a higher and more enduring progress concerning students' modelling competency.","author":[{"dropping-particle":"","family":"Blum","given":"Werner","non-dropping-particle":"","parse-names":false,"suffix":""},{"dropping-particle":"","family":"Ferri","given":"Rita Borromeo","non-dropping-particle":"","parse-names":false,"suffix":""}],"container-title":"Journal of Mathematical Modelling and Application","id":"ITEM-1","issue":"1","issued":{"date-parts":[["2009"]]},"page":"45-58","title":"Mathematical modelling: can it be taught and learnt?","type":"article-journal","volume":"1"},"uris":["http://www.mendeley.com/documents/?uuid=6e20faff-9767-4ff7-a2d2-fc054b20625d"]}],"mendeley":{"formattedCitation":"(Blum &amp; Ferri, 2009)","plainTextFormattedCitation":"(Blum &amp; Ferri, 2009)","previouslyFormattedCitation":"(Blum &amp; Ferri, 2009)"},"properties":{"noteIndex":0},"schema":"https://github.com/citation-style-language/schema/raw/master/csl-citation.json"}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(Blum &amp; Ferri, 2009)</w:t>
      </w:r>
      <w:r w:rsidR="001B1CBA">
        <w:rPr>
          <w:rFonts w:ascii="Arial" w:eastAsia="Arial" w:hAnsi="Arial" w:cs="Arial"/>
        </w:rPr>
        <w:fldChar w:fldCharType="end"/>
      </w:r>
      <w:r>
        <w:rPr>
          <w:rFonts w:ascii="Arial" w:eastAsia="Arial" w:hAnsi="Arial" w:cs="Arial"/>
        </w:rPr>
        <w:t xml:space="preserve">. </w:t>
      </w:r>
    </w:p>
    <w:p w14:paraId="4AEF3FDD" w14:textId="77777777" w:rsidR="00882F22" w:rsidRDefault="003A1DB3" w:rsidP="001B1CBA">
      <w:pPr>
        <w:spacing w:before="240" w:after="240"/>
        <w:jc w:val="both"/>
        <w:rPr>
          <w:rFonts w:ascii="Arial" w:eastAsia="Arial" w:hAnsi="Arial" w:cs="Arial"/>
          <w:b/>
          <w:bCs/>
        </w:rPr>
      </w:pPr>
      <w:r>
        <w:rPr>
          <w:rFonts w:ascii="Arial" w:eastAsia="Arial" w:hAnsi="Arial" w:cs="Arial"/>
        </w:rPr>
        <w:t xml:space="preserve">In the context of mathematical modelling, students are required to coordinate multiple forms of knowledge simultaneously </w:t>
      </w:r>
      <w:r w:rsidR="001B1CBA">
        <w:rPr>
          <w:rFonts w:ascii="Arial" w:eastAsia="Arial" w:hAnsi="Arial" w:cs="Arial"/>
        </w:rPr>
        <w:fldChar w:fldCharType="begin" w:fldLock="1"/>
      </w:r>
      <w:r w:rsidR="001B1CBA">
        <w:rPr>
          <w:rFonts w:ascii="Arial" w:eastAsia="Arial" w:hAnsi="Arial" w:cs="Arial"/>
        </w:rPr>
        <w:instrText>ADDIN CSL_CITATION {"citationItems":[{"id":"ITEM-1","itemData":{"DOI":"10.1007/s11858-017-0902-4","ISBN":"0123456789","ISSN":"18639704","abstract":"This paper aims to investigate the following question: How do students use mathematics in modeling activities? With this purpose, the paper reports on mathematization and use of mathematics, and deals with empirical data with focus on modeling activities performed by students in the first year and in the fourth year of a degree in mathematics. After the description of a theoretical framework of modelling, what can be seen by means of a qualitative analysis is that the perception of messy world situations leads to idealization, and the idealized situation acts as the basis for mathematization in each activity. The mathematization in turn leads to different mathematics concepts, tools and procedures. The use of mathematics that students perform is anchored in their previous experiences, be it in their experiences with the concepts and tools of mathematics, or in their experiences with mathematical modeling practices. Besides that, after this process students have advanced and have expanded their knowledge and made significant progress by means of a balance between teacher guidance and students’ independence. Moreover, beyond mathematical knowledge, the research indicated that success in performing modeling activities also requires knowledge-based mathematical modeling anticipation.","author":[{"dropping-particle":"","family":"Almeida","given":"Lourdes Maria Werle","non-dropping-particle":"De","parse-names":false,"suffix":""}],"container-title":"ZDM - Mathematics Education","id":"ITEM-1","issue":"1-2","issued":{"date-parts":[["2017"]]},"page":"19-30","publisher":"Springer Berlin Heidelberg","title":"Considerations on the use of mathematics in modeling activities","type":"article-journal","volume":"50"},"uris":["http://www.mendeley.com/documents/?uuid=85c7ab6e-f8a6-462c-942b-41df70d11a92"]},{"id":"ITEM-2","itemData":{"DOI":"10.1007/s11858-018-0928-2","ISBN":"0123456789","ISSN":"18639704","abstract":"The notion of mathematicalmodelling has multiple interpretations in research literature and has been included in curriculum documents in various ways. This study presents a thematic analysis of nine professional modellers’ conceptions of the notion of mathematical modelling, representing scholarly knowledge. The result is organised according to four main aspects of modelling, that is description, understanding, abstractionand negotiation, representing key features of mathematical models and how people are affected by, or engage in, modelling work. The paper concludes with a discussion of some potential benefits for mathematics education that might be drawn from the study fromthe perspective of the ‘gap’ between mathematical modelling in educational and non-educational contexts, in terms of curriculum design and teaching practice.","author":[{"dropping-particle":"","family":"Frejd","given":"Peter","non-dropping-particle":"","parse-names":false,"suffix":""},{"dropping-particle":"","family":"Bergsten","given":"Christer","non-dropping-particle":"","parse-names":false,"suffix":""}],"container-title":"ZDM - Mathematics Education","id":"ITEM-2","issue":"1-2","issued":{"date-parts":[["2018"]]},"page":"117-127","title":"Professional modellers’ conceptions of the notion of mathematical modelling: Ideas for education","type":"article-journal","volume":"50"},"uris":["http://www.mendeley.com/documents/?uuid=06668535-f2b4-4428-9913-43e58829b276"]}],"mendeley":{"formattedCitation":"(De Almeida, 2017; Frejd &amp; Bergsten, 2018)","plainTextFormattedCitation":"(De Almeida, 2017; Frejd &amp; Bergsten, 2018)","previouslyFormattedCitation":"(De Almeida, 2017; Frejd &amp; Bergsten, 2018)"},"properties":{"noteIndex":0},"schema":"https://github.com/citation-style-language/schema/raw/master/csl-citation.json"}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(De Almeida, 2017; Frejd &amp; Bergsten, 2018)</w:t>
      </w:r>
      <w:r w:rsidR="001B1CBA">
        <w:rPr>
          <w:rFonts w:ascii="Arial" w:eastAsia="Arial" w:hAnsi="Arial" w:cs="Arial"/>
        </w:rPr>
        <w:fldChar w:fldCharType="end"/>
      </w:r>
      <w:r>
        <w:rPr>
          <w:rFonts w:ascii="Arial" w:eastAsia="Arial" w:hAnsi="Arial" w:cs="Arial"/>
        </w:rPr>
        <w:t>. Conceptual understanding supports the formulation of meaningful models, while procedural skills facilitate accurate computations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{"citationItems":[{"id":"ITEM-1","itemData":{"DOI":"10.31756/jrsmte.424","abstract":"This study aims to investigate the mathematical proficiency promoted by mathematical modelling tasks that require students to get involved in the processes of developing mathematical models, instead of just using known or given models. The research methodology is grounded on design-based research, and the classroom design framework is supported by complexity science underpinnings. The research intervention consists of high-school students, from a grade 11 mathematics course, aiming to solve four different modelling tasks in four distinct moments. Data was collected during the intervention from students’ written mathematical work and audio and video recordings, and from recall interviews after the intervention. Data analysis was conducted based on a model of mathematical proficiency and assisted by interpretive diagrams created for this research purpose. This research study offers insight into mathematics teaching by portraying how mathematical modelling tasks can be integrated into mathematics classes to promote students’ mathematical proficiency. The study discusses observed expressions and behaviours in students’ development of mathematical proficiency and suggests a relationship between mathematical modelling processes and the promotion of mathematical proficiency. The study also reveals that students develop mathematical proficiency, even when they do not come to full resolutions of modelling tasks, which emphasizes the relevance of learning processes, and not only of the products of these processes.","author":[{"dropping-particle":"","family":"Corrêa","given":"Priscila Dias","non-dropping-particle":"","parse-names":false,"suffix":""}],"container-title":"Journal of Research in Science, Mathematics and Technology Education","id":"ITEM-1","issue":"2","issued":{"date-parts":[["2021"]]},"page":"107-131","title":"The Mathematical proficiency promoted by mathematical modelling","type":"article-journal","volume":"4"},"uris":["http://www.mendeley.com/documents/?uuid=d911c29d-499d-4b9a-a082-8c0451fffdc8"]}],"mendeley":{"formattedCitation":"(Corrêa, 2021)","plainTextFormattedCitation":"(Corrêa, 2021)","previouslyFormattedCitation":"(Corrêa, 2021)"},"properties":{"noteIndex":0},"schema":"https://github.com/citation-style-language/schema/raw/master/csl-citation.json"}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(Corrêa, 2021)</w:t>
      </w:r>
      <w:r w:rsidR="001B1CBA">
        <w:rPr>
          <w:rFonts w:ascii="Arial" w:eastAsia="Arial" w:hAnsi="Arial" w:cs="Arial"/>
        </w:rPr>
        <w:fldChar w:fldCharType="end"/>
      </w:r>
      <w:r>
        <w:rPr>
          <w:rFonts w:ascii="Arial" w:eastAsia="Arial" w:hAnsi="Arial" w:cs="Arial"/>
        </w:rPr>
        <w:t xml:space="preserve">. Interpretative abilities are necessary to connect mathematical results back to the original context. Difficulties may arise when students are unable to integrate these components effectively. Such challenges often lead to incomplete or incorrect solutions, even when students possess partial understanding of the concepts involved  </w:t>
      </w:r>
      <w:r w:rsidR="001B1CBA">
        <w:rPr>
          <w:rFonts w:ascii="Arial" w:eastAsia="Arial" w:hAnsi="Arial" w:cs="Arial"/>
        </w:rPr>
        <w:fldChar w:fldCharType="begin" w:fldLock="1"/>
      </w:r>
      <w:r w:rsidR="001B1CBA">
        <w:rPr>
          <w:rFonts w:ascii="Arial" w:eastAsia="Arial" w:hAnsi="Arial" w:cs="Arial"/>
        </w:rPr>
        <w:instrText>ADDIN CSL_CITATION {"citationItems":[{"id":"ITEM-1","itemData":{"DOI":"10.18421/TEM134-68","ISSN":"22178333","abstract":"Constructing the correct mathematical model is the main key to solving mathematical modeling problems, but students most often fail at this process. Understanding the failure characteristics of constructing a model can be used to correct student errors. This study aims to discuss the characteristics of failures in constructing mathematical models carried out by the students in algebra subject matter. This study used an exploratory descriptive design approach and involves 41 mathematics education students to solve mathematical modeling test questions. The results showed four types of failure characteristics in constructing the model. First, misunderstand type is characterized by disability in capturing important facts from the problem and compiling a model only procedurally. Second, misconnection type is marked by incompetence in making connections between important facts. Third, missspeculation type is noted by the incapacity in making speculations about important facts. Fourth, misslogic type is signed by the inability to use logical facts. Therefore, lecturers or teachers must be more careful to improve the teaching process to be more comprehensive and carry out appropriate scaffolding to overcome the students’ difficulties in solving mathematical modeling problems, especially in constructing mathematical models. The appearance of each error indicates the need for certain repairs. Error correction should be handled based on the characteristics that arise.","author":[{"dropping-particle":"","family":"Shodikin","given":"Ali","non-dropping-particle":"","parse-names":false,"suffix":""},{"dropping-particle":"","family":"Ekawati","given":"Rooselyna","non-dropping-particle":"","parse-names":false,"suffix":""},{"dropping-particle":"","family":"Purnomo","given":"Heri P.","non-dropping-particle":"","parse-names":false,"suffix":""},{"dropping-particle":"","family":"Abdullah","given":"Abdul Halim","non-dropping-particle":"","parse-names":false,"suffix":""}],"container-title":"TEM Journal","id":"ITEM-1","issue":"4","issued":{"date-parts":[["2024"]]},"page":"3335-3345","title":"Failure in constructing the mathematical model in real-world problems","type":"article-journal","volume":"13"},"uris":["http://www.mendeley.com/documents/?uuid=e6e7abc2-2406-41ab-aaf1-9ffd563c1abd"]},{"id":"ITEM-2","itemData":{"DOI":"10.18535/ijsrm/v8i05.el02","abstract":"The main aim of this paper is to meassure students’ mathematical proficiency on conceptual understanding and procedural fluency, and their ability of integrating procedural and conceptual knowledge in problem solving. Based on the PCK taxonomy (Ho 2018), we design a questionnaire consisting of 12 questions with 22 tasks whose content is focus on linear functions and equations. The collected data is analysed by the statistical software IBM SPSS Statistics 22. Moreover, we use the structural equation modeling (SEM) to study the correlation between these two components of mathematical proficiency and the ability of integrating procedural and conceptual knowledge in problem solving, implemented in IBM SPSS AMOS 24. The findings show that students’ mathematical proficiency on procedural fluency on linear functions and equations is higher than that of conceptual understanding, and their ability of integrating procedural and conceptual knowledge is very low. Moreover, these categories have a bi-directional relationship, in which the affection of mathematical proficiency on conceptual understanding to the ability of integrating procedural and conceptual knowledge in problem solving is stronger than on procedural fluency.","author":[{"dropping-particle":"","family":"Phuong","given":"Ho Thi Minh","non-dropping-particle":"","parse-names":false,"suffix":""}],"container-title":"International Journal of Scientific Research and Management","id":"ITEM-2","issue":"05","issued":{"date-parts":[["2020"]]},"page":"1334-1350","title":"Measuring conceptual understanding, procedural fluency and integrating procedural and conceptual knowledge in mathematical problem solving","type":"article-journal","volume":"8"},"uris":["http://www.mendeley.com/documents/?uuid=4e1337e5-78e5-4d5f-8ed5-75b29250808a"]}],"mendeley":{"formattedCitation":"(Phuong, 2020; Shodikin et al., 2024)","plainTextFormattedCitation":"(Phuong, 2020; Shodikin et al., 2024)","previouslyFormattedCitation":"(Phuong, 2020; Shodikin et al., 2024)"},"properties":{"noteIndex":0},"schema":"https://github.com/citation-style-language/schema/raw/master/csl-citation.json"}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(Phuong, 2020; Shodikin et al., 2024)</w:t>
      </w:r>
      <w:r w:rsidR="001B1CBA">
        <w:rPr>
          <w:rFonts w:ascii="Arial" w:eastAsia="Arial" w:hAnsi="Arial" w:cs="Arial"/>
        </w:rPr>
        <w:fldChar w:fldCharType="end"/>
      </w:r>
      <w:r>
        <w:rPr>
          <w:rFonts w:ascii="Arial" w:eastAsia="Arial" w:hAnsi="Arial" w:cs="Arial"/>
        </w:rPr>
        <w:t xml:space="preserve">. </w:t>
      </w:r>
    </w:p>
    <w:p w14:paraId="5771E550" w14:textId="77777777" w:rsidR="00882F22" w:rsidRDefault="003A1DB3" w:rsidP="00C17D6B">
      <w:pPr>
        <w:spacing w:before="240" w:after="240"/>
        <w:jc w:val="both"/>
        <w:rPr>
          <w:rFonts w:ascii="Arial" w:eastAsia="Arial" w:hAnsi="Arial" w:cs="Arial"/>
        </w:rPr>
      </w:pPr>
      <w:r>
        <w:rPr>
          <w:rFonts w:ascii="Arial" w:eastAsia="Arial" w:hAnsi="Arial" w:cs="Arial"/>
        </w:rPr>
        <w:t>Linear programming represents one of the mathematical topics that strongly reflects the principles of modelling</w:t>
      </w:r>
      <w:r w:rsidR="00C17D6B">
        <w:rPr>
          <w:rFonts w:ascii="Arial" w:eastAsia="Arial" w:hAnsi="Arial" w:cs="Arial"/>
        </w:rPr>
        <w:t xml:space="preserve"> </w:t>
      </w:r>
      <w:r w:rsidR="00C17D6B">
        <w:rPr>
          <w:rFonts w:ascii="Arial" w:eastAsia="Arial" w:hAnsi="Arial" w:cs="Arial"/>
        </w:rPr>
        <w:fldChar w:fldCharType="begin" w:fldLock="1"/>
      </w:r>
      <w:r w:rsidR="00C17D6B">
        <w:rPr>
          <w:rFonts w:ascii="Arial" w:eastAsia="Arial" w:hAnsi="Arial" w:cs="Arial"/>
        </w:rPr>
        <w:instrText>ADDIN CSL_CITATION {"citationItems":[{"id":"ITEM-1","itemData":{"DOI":"10.1063/5.0290012","author":[{"dropping-particle":"","family":"Harini","given":"Novita Vindri","non-dropping-particle":"","parse-names":false,"suffix":""},{"dropping-particle":"","family":"Sa'diyah","given":"Mukhtamilatus","non-dropping-particle":"","parse-names":false,"suffix":""},{"dropping-particle":"","family":"Rahaju","given":"Endah Budi","non-dropping-particle":"","parse-names":false,"suffix":""}],"container-title":"The International Conference of Interdisciplinary Research and Studies in Mathematics","id":"ITEM-1","issue":"1","issued":{"date-parts":[["2025"]]},"title":"An overview of students' work in designing contextual problems and how to solve related to operational research","type":"article-journal","volume":"3316"},"uris":["http://www.mendeley.com/documents/?uuid=1b3b9f91-47c3-45e1-b663-9ccdf2315d33"]}],"mendeley":{"formattedCitation":"(Harini et al., 2025)","plainTextFormattedCitation":"(Harini et al., 2025)","previouslyFormattedCitation":"(Harini et al., 2025)"},"properties":{"noteIndex":0},"schema":"https://github.com/citation-style-language/schema/raw/master/csl-citation.json"}</w:instrText>
      </w:r>
      <w:r w:rsidR="00C17D6B">
        <w:rPr>
          <w:rFonts w:ascii="Arial" w:eastAsia="Arial" w:hAnsi="Arial" w:cs="Arial"/>
        </w:rPr>
        <w:fldChar w:fldCharType="separate"/>
      </w:r>
      <w:r w:rsidR="00C17D6B" w:rsidRPr="00C17D6B">
        <w:rPr>
          <w:rFonts w:ascii="Arial" w:eastAsia="Arial" w:hAnsi="Arial" w:cs="Arial"/>
          <w:noProof/>
        </w:rPr>
        <w:t>(Harini et al., 2025)</w:t>
      </w:r>
      <w:r w:rsidR="00C17D6B">
        <w:rPr>
          <w:rFonts w:ascii="Arial" w:eastAsia="Arial" w:hAnsi="Arial" w:cs="Arial"/>
        </w:rPr>
        <w:fldChar w:fldCharType="end"/>
      </w:r>
      <w:r>
        <w:rPr>
          <w:rFonts w:ascii="Arial" w:eastAsia="Arial" w:hAnsi="Arial" w:cs="Arial"/>
        </w:rPr>
        <w:t>. It provides a structured method for optimizing outcomes under given constraints and is widely used in various real-world applications</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{"citationItems":[{"id":"ITEM-1","itemData":{"DOI":"10.1007/978-1-4471-7546-9","ISBN":"9781447155768","abstract":"Operations Research Problems is an advanced textbook: designed primarily to meet the demands of a operations research and management science course taught at postgraduate M. Eng. or MBA level. This book includes an overview of each topic considered with worked …","author":[{"dropping-particle":"","family":"Poler","given":"Raul","non-dropping-particle":"","parse-names":false,"suffix":""},{"dropping-particle":"","family":"Mula","given":"Josefa","non-dropping-particle":"","parse-names":false,"suffix":""},{"dropping-particle":"","family":"Díaz-Madroñero","given":"Manuel","non-dropping-particle":"","parse-names":false,"suffix":""}],"container-title":"Operations Research Problems","id":"ITEM-1","issued":{"date-parts":[["2025"]]},"number-of-pages":"1-423","title":"Operations research problems","type":"book"},"uris":["http://www.mendeley.com/documents/?uuid=f0c43ba6-a895-4b7c-bb89-39c7ae2d7031"]}],"mendeley":{"formattedCitation":"(Poler et al., 2025)","plainTextFormattedCitation":"(Poler et al., 2025)","previouslyFormattedCitation":"(Poler et al., 2025)"},"properties":{"noteIndex":0},"schema":"https://github.com/citation-style-language/schema/raw/master/csl-citation.json"}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(Poler et al., 2025)</w:t>
      </w:r>
      <w:r w:rsidR="001B1CBA">
        <w:rPr>
          <w:rFonts w:ascii="Arial" w:eastAsia="Arial" w:hAnsi="Arial" w:cs="Arial"/>
        </w:rPr>
        <w:fldChar w:fldCharType="end"/>
      </w:r>
      <w:r>
        <w:rPr>
          <w:rFonts w:ascii="Arial" w:eastAsia="Arial" w:hAnsi="Arial" w:cs="Arial"/>
        </w:rPr>
        <w:t>. Learning linear programming requires students to interpret contextual information, define variables, and construct mathematical models that represent the situation</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{"citationItems":[{"id":"ITEM-1","itemData":{"DOI":"10.1007/s10763-019-09980-5","ISSN":"15731774","abstract":"In linear programming, many students find it difficult to translate a verbal description of a problem into a valid mathematical model. To better understand this, we examine the existing characteristics of college engineering students’ errors across linear programming (LP) problems. We examined textbooks to identify the types of problems typically found in introductory linear programming courses. We then developed a comprehensive set of tasks and analyzed students’ work to create a taxonomy of the errors and issues that students exhibited. From our findings, we define four categories of identified error types: (1) decision variable errors, (2) variable relationship errors, (3) notation errors, and (4) form errors. This study contributes to the research by investigating students’ work in an area of undergraduate mathematics that has not been heavily explored before. Findings suggest specific areas of focus for future work in helping students develop their understanding of linear programming models and mathematical modeling in word problems in general.","author":[{"dropping-particle":"","family":"Kenney","given":"Rachael","non-dropping-particle":"","parse-names":false,"suffix":""},{"dropping-particle":"","family":"An","given":"Tuyin","non-dropping-particle":"","parse-names":false,"suffix":""},{"dropping-particle":"","family":"Kim","given":"Sung Hee","non-dropping-particle":"","parse-names":false,"suffix":""},{"dropping-particle":"","family":"Uhan","given":"Nelson A.","non-dropping-particle":"","parse-names":false,"suffix":""},{"dropping-particle":"","family":"Yi","given":"Ji Soo","non-dropping-particle":"","parse-names":false,"suffix":""},{"dropping-particle":"","family":"Shamsul","given":"Aiman","non-dropping-particle":"","parse-names":false,"suffix":""}],"container-title":"International Journal of Science and Mathematics Education","id":"ITEM-1","issue":"4","issued":{"date-parts":[["2020"]]},"page":"635-655","publisher":"International Journal of Science and Mathematics Education","title":"Linear programming models: identifying common errors in engineering students’ work with complex word problems","type":"article-journal","volume":"18"},"uris":["http://www.mendeley.com/documents/?uuid=2a6c6404-3dad-40e5-9e78-3295fea8145c"]}],"mendeley":{"formattedCitation":"(Kenney et al., 2020)","plainTextFormattedCitation":"(Kenney et al., 2020)","previouslyFormattedCitation":"(Kenney et al., 2020)"},"properties":{"noteIndex":0},"schema":"https://github.com/citation-style-language/schema/raw/master/csl-citation.json"}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(Kenney et al., 2020)</w:t>
      </w:r>
      <w:r w:rsidR="001B1CBA">
        <w:rPr>
          <w:rFonts w:ascii="Arial" w:eastAsia="Arial" w:hAnsi="Arial" w:cs="Arial"/>
        </w:rPr>
        <w:fldChar w:fldCharType="end"/>
      </w:r>
      <w:r>
        <w:rPr>
          <w:rFonts w:ascii="Arial" w:eastAsia="Arial" w:hAnsi="Arial" w:cs="Arial"/>
        </w:rPr>
        <w:t>. The process also involves applying algebraic concepts and logical reasoning accurately</w:t>
      </w:r>
      <w:r w:rsidR="004E124E">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{"citationItems":[{"id":"ITEM-1","itemData":{"DOI":"10.1057/s41599-022-01449-1","ISSN":"26629992","abstract":"Students’ positive attitude towards mathematics leads to better performance and may influence their overall achievement and application of mathematics in real-life. In this article, we present the findings of an investigation on students’ attitude towards linear programming (LP) mathematics word problems (LPMWPs). An explanatory sequential quasi-experimental design involving a pre-intervention-intervention-post-intervention non-equivalent control group was adopted. A sample of 851 grade 11 Ugandan students (359 male and 492 female) from eight secondary schools (public and private) participated. Cluster random sampling was applied to select respondents from eight schools; four from central Uganda and four from eastern Uganda. The attitude towards mathematics inventory-short form (ATMI-SF) was adapted (with α = 0.75) as a multidimensional measurement tool for measuring students’ attitude towards LPMWPs. The results revealed that students’ attitude towards LPMWPs was generally negative. Enjoyment, motivation, and confidence were weekly negatively correlated while usefulness was positively correlated. Additionally, the results found no significant statistical relationship between students’ attitudes towards LPMWPs and their age, gender, school location, school status, and school ownership. The discrepancy is perhaps explained by both theoretical and/or psychometric limitations, and related factors, for instance, students’ academic background, school characteristics, and transitional beliefs from primary to secondary education. This study acknowledges the influence of and supplements other empirical findings on students’ attitude towards learning mathematics word problems. The present study provides insight to different educational stakeholders in assessing students’ attitude towards LPMWPs and may provide remediation and interventional strategies aimed at creating students’ conceptual change. The study recommends that teachers should cultivate students’ interests in mathematics as early as possible. Varying classroom instructional practices could be a remedy to enhance students’ understanding, achievement, and, motivation in learning mathematics word problems. The teachers’ continuous professional development courses should be enacted to improve instruction, assessment, and students’ attitude. Overall, the study findings support the theoretical framework for enhancing the learning of mathematics word problems in general and LP in particular.","author":[{"dropping-particle":"","family":"Wakhata","given":"Robert","non-dropping-particle":"","parse-names":false,"suffix":""},{"dropping-particle":"","family":"Mutarutinya","given":"Védaste","non-dropping-particle":"","parse-names":false,"suffix":""},{"dropping-particle":"","family":"Balimuttajjo","given":"Sudi","non-dropping-particle":"","parse-names":false,"suffix":""}],"container-title":"Humanities and Social Sciences Communications","id":"ITEM-1","issue":"1","issued":{"date-parts":[["2022"]]},"page":"1-11","publisher":"Springer US","title":"Secondary school students’ attitude towards mathematics word problems","type":"article-journal","volume":"9"},"uris":["http://www.mendeley.com/documents/?uuid=deadaddc-ba7c-49ae-8c6c-71f8fa064344"]}],"mendeley":{"formattedCitation":"(Wakhata et al., 2022)","plainTextFormattedCitation":"(Wakhata et al., 2022)","previouslyFormattedCitation":"(Wakhata et al., 2022)"},"properties":{"noteIndex":0},"schema":"https://github.com/citation-style-language/schema/raw/master/csl-citation.json"}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(Wakhata et al., 2022)</w:t>
      </w:r>
      <w:r w:rsidR="001B1CBA">
        <w:rPr>
          <w:rFonts w:ascii="Arial" w:eastAsia="Arial" w:hAnsi="Arial" w:cs="Arial"/>
        </w:rPr>
        <w:fldChar w:fldCharType="end"/>
      </w:r>
      <w:r>
        <w:rPr>
          <w:rFonts w:ascii="Arial" w:eastAsia="Arial" w:hAnsi="Arial" w:cs="Arial"/>
        </w:rPr>
        <w:t>. These requirements make linear programming a suitable domain for examining students’ modelling abilities.</w:t>
      </w:r>
    </w:p>
    <w:p w14:paraId="47771AB5" w14:textId="77777777" w:rsidR="00882F22" w:rsidRDefault="003A1DB3" w:rsidP="00C17D6B">
      <w:pPr>
        <w:spacing w:before="240" w:after="240"/>
        <w:jc w:val="both"/>
        <w:rPr>
          <w:rFonts w:ascii="Arial" w:eastAsia="Arial" w:hAnsi="Arial" w:cs="Arial"/>
        </w:rPr>
      </w:pPr>
      <w:r>
        <w:rPr>
          <w:rFonts w:ascii="Arial" w:eastAsia="Arial" w:hAnsi="Arial" w:cs="Arial"/>
        </w:rPr>
        <w:t>The simplex method is commonly introduced as a systematic algorithm for solving linear programming problems</w:t>
      </w:r>
      <w:r w:rsidR="004E124E">
        <w:rPr>
          <w:rFonts w:ascii="Arial" w:eastAsia="Arial" w:hAnsi="Arial" w:cs="Arial"/>
        </w:rPr>
        <w:t xml:space="preserve"> </w:t>
      </w:r>
      <w:r w:rsidR="001B1CBA">
        <w:rPr>
          <w:rFonts w:ascii="Arial" w:eastAsia="Arial" w:hAnsi="Arial" w:cs="Arial"/>
        </w:rPr>
        <w:fldChar w:fldCharType="begin" w:fldLock="1"/>
      </w:r>
      <w:r w:rsidR="00C17D6B">
        <w:rPr>
          <w:rFonts w:ascii="Arial" w:eastAsia="Arial" w:hAnsi="Arial" w:cs="Arial"/>
        </w:rPr>
        <w:instrText>ADDIN CSL_CITATION {"citationItems":[{"id":"ITEM-1","itemData":{"DOI":"10.1145/380752.380813","abstract":"Spielman and Teng introduced the smoothed analysis of algorithms to provide a framework in which one could explain the success in practice of algorithms and heuristics that could not be understood through the traditional worst-case and average-case analyses. In this talk, we survey some of the smoothed analyses that have been performed.","author":[{"dropping-particle":"","family":"Spielman","given":"Daniel","non-dropping-particle":"","parse-names":false,"suffix":""},{"dropping-particle":"","family":"Teng","given":"Shang-Hua","non-dropping-particle":"","parse-names":false,"suffix":""}],"container-title":"Journal of the ACM","id":"ITEM-1","issue":"3","issued":{"date-parts":[["2004"]]},"page":"296-305","title":"Smoothed analysis of algorithms","type":"article-journal","volume":"51"},"uris":["http://www.mendeley.com/documents/?uuid=40c81cdb-fd65-48bf-8d31-1f159cee1ecc"]},{"id":"ITEM-2","itemData":{"DOI":"10.33367/jtme.v2i2.5914","abstract":"This preliminary research will be conducted at the beginning of the operations research course. Operations research is an extension of the topic of linear programming mathematics that is taught in high school. This research aims to describe the results of the work of operations research class students regarding how to design contextual problems and solve them using GeoGebra’s help. This research uses a qualitative approach, namely through in-depth observation of the results of student work on worksheets. After data analysis, it was found that in designing problems, students could produce realistic contextual problems using two variables and a single optimum solution type. Interestingly, they use contexts that are very close to current world trends, for example, Korean boy bands, culinary delights, types of flower arrangements, and so on. Meanwhile, in the solution process, using GeoGebra has proven to facilitate problem-solving by implementing the strategy and checking the results. They use the probe concept to find the optimum solution, and GeoGebra dramatically speeds up the process","author":[{"dropping-particle":"","family":"Harini","given":"Novita Vindri","non-dropping-particle":"","parse-names":false,"suffix":""}],"container-title":"Noumerico: Journal of Technology in Mathematics Education","id":"ITEM-2","issue":"2","issued":{"date-parts":[["2024"]]},"page":"156-164","title":"Design contextual problems and solutions related to linear programming topics with the help of geogebra","type":"article-journal","volume":"2"},"uris":["http://www.mendeley.com/documents/?uuid=b137b4f8-ea87-4f06-a8a6-ee520da3e149"]}],"mendeley":{"formattedCitation":"(Harini, 2024; Spielman &amp; Teng, 2004)","plainTextFormattedCitation":"(Harini, 2024; Spielman &amp; Teng, 2004)","previouslyFormattedCitation":"(Harini, 2024; Spielman &amp; Teng, 2004)"},"properties":{"noteIndex":0},"schema":"https://github.com/citation-style-language/schema/raw/master/csl-citation.json"}</w:instrText>
      </w:r>
      <w:r w:rsidR="001B1CBA">
        <w:rPr>
          <w:rFonts w:ascii="Arial" w:eastAsia="Arial" w:hAnsi="Arial" w:cs="Arial"/>
        </w:rPr>
        <w:fldChar w:fldCharType="separate"/>
      </w:r>
      <w:r w:rsidR="00C17D6B" w:rsidRPr="00C17D6B">
        <w:rPr>
          <w:rFonts w:ascii="Arial" w:eastAsia="Arial" w:hAnsi="Arial" w:cs="Arial"/>
          <w:noProof/>
        </w:rPr>
        <w:t>(Harini, 2024; Spielman &amp; Teng, 2004)</w:t>
      </w:r>
      <w:r w:rsidR="001B1CBA">
        <w:rPr>
          <w:rFonts w:ascii="Arial" w:eastAsia="Arial" w:hAnsi="Arial" w:cs="Arial"/>
        </w:rPr>
        <w:fldChar w:fldCharType="end"/>
      </w:r>
      <w:r>
        <w:rPr>
          <w:rFonts w:ascii="Arial" w:eastAsia="Arial" w:hAnsi="Arial" w:cs="Arial"/>
        </w:rPr>
        <w:t>. The method provides step-by-step procedures that guide students toward identifying optimal solutions</w:t>
      </w:r>
      <w:r w:rsidR="001B1CBA">
        <w:rPr>
          <w:rFonts w:ascii="Arial" w:eastAsia="Arial" w:hAnsi="Arial" w:cs="Arial"/>
        </w:rPr>
        <w:t xml:space="preserve"> </w:t>
      </w:r>
      <w:r w:rsidR="001B1CBA">
        <w:rPr>
          <w:rFonts w:ascii="Arial" w:eastAsia="Arial" w:hAnsi="Arial" w:cs="Arial"/>
        </w:rPr>
        <w:fldChar w:fldCharType="begin" w:fldLock="1"/>
      </w:r>
      <w:r w:rsidR="009D4FAE">
        <w:rPr>
          <w:rFonts w:ascii="Arial" w:eastAsia="Arial" w:hAnsi="Arial" w:cs="Arial"/>
        </w:rPr>
        <w:instrText>ADDIN CSL_CITATION {"citationItems":[{"id":"ITEM-1","itemData":{"abstract":"Every business organisation exits primarily to make profit while ensuring its continued existence. In a bid to maximise profit with the limited available resources, it becomes imperative therefore that efficient allocation be made of these resources. This paper ex-rays the concept of linear programming as an optimisation technique for maximising profit with the available resources. It goes further to address a problem encountered by a business (Eat Plaza)who due to an increment in price of raw material wants to strim-line its production. The linear programming model is used to analyse this problem and an optimum solution is reached as well as relevant recommendations to the management.","author":[{"dropping-particle":"","family":"Wogu","given":"Onyekachi E","non-dropping-particle":"","parse-names":false,"suffix":""}],"container-title":"Journal of Economics and Sustainable Development","id":"ITEM-1","issue":"6","issued":{"date-parts":[["2014"]]},"page":"9-14","title":"An application of linear programming for efficient resource allocation","type":"article-journal","volume":"5"},"uris":["http://www.mendeley.com/documents/?uuid=35d69268-cc3f-4745-a752-7e157018ebcc"]}],"mendeley":{"formattedCitation":"(Wogu, 2014)","plainTextFormattedCitation":"(Wogu, 2014)","previouslyFormattedCitation":"(Wogu, 2014)"},"properties":{"noteIndex":0},"schema":"https://github.com/citation-style-language/schema/raw/master/csl-citation.json"}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(Wogu, 2014)</w:t>
      </w:r>
      <w:r w:rsidR="001B1CBA">
        <w:rPr>
          <w:rFonts w:ascii="Arial" w:eastAsia="Arial" w:hAnsi="Arial" w:cs="Arial"/>
        </w:rPr>
        <w:fldChar w:fldCharType="end"/>
      </w:r>
      <w:r>
        <w:rPr>
          <w:rFonts w:ascii="Arial" w:eastAsia="Arial" w:hAnsi="Arial" w:cs="Arial"/>
        </w:rPr>
        <w:t xml:space="preserve">. Successful use of the simplex method depends not only on following algorithmic steps but also on understanding the underlying mathematical structure. Students must be able to connect the procedural operations with </w:t>
      </w:r>
      <w:r w:rsidR="001B1CBA">
        <w:rPr>
          <w:rFonts w:ascii="Arial" w:eastAsia="Arial" w:hAnsi="Arial" w:cs="Arial"/>
        </w:rPr>
        <w:t>the model they have constructed</w:t>
      </w:r>
      <w:r>
        <w:rPr>
          <w:rFonts w:ascii="Arial" w:eastAsia="Arial" w:hAnsi="Arial" w:cs="Arial"/>
        </w:rPr>
        <w:t>. This dual demand often creates challenges in learning and application.</w:t>
      </w:r>
      <w:r w:rsidR="001B1CBA">
        <w:rPr>
          <w:rFonts w:ascii="Arial" w:eastAsia="Arial" w:hAnsi="Arial" w:cs="Arial"/>
        </w:rPr>
        <w:t xml:space="preserve"> </w:t>
      </w:r>
    </w:p>
    <w:p w14:paraId="3F487A21" w14:textId="77777777" w:rsidR="00882F22" w:rsidRDefault="003A1DB3" w:rsidP="001B1CBA">
      <w:pPr>
        <w:spacing w:before="240" w:after="240"/>
        <w:jc w:val="both"/>
        <w:rPr>
          <w:rFonts w:ascii="Arial" w:eastAsia="Arial" w:hAnsi="Arial" w:cs="Arial"/>
        </w:rPr>
      </w:pPr>
      <w:r>
        <w:rPr>
          <w:rFonts w:ascii="Arial" w:eastAsia="Arial" w:hAnsi="Arial" w:cs="Arial"/>
        </w:rPr>
        <w:t>Research has shown that students frequently encounter difficulties when working with linear programming problems. These difficulties include errors in translating contextual information into mathematical models and inaccuracies in performing computational procedures</w:t>
      </w:r>
      <w:r w:rsidR="001B1CBA">
        <w:rPr>
          <w:rFonts w:ascii="Arial" w:eastAsia="Arial" w:hAnsi="Arial" w:cs="Arial"/>
          <w:color w:val="0000FF"/>
        </w:rPr>
        <w:t xml:space="preserve"> </w:t>
      </w:r>
      <w:r w:rsidR="001B1CBA" w:rsidRPr="001B1CBA">
        <w:rPr>
          <w:rFonts w:ascii="Arial" w:eastAsia="Arial" w:hAnsi="Arial" w:cs="Arial"/>
        </w:rPr>
        <w:fldChar w:fldCharType="begin" w:fldLock="1"/>
      </w:r>
      <w:r w:rsidR="001B1CBA">
        <w:rPr>
          <w:rFonts w:ascii="Arial" w:eastAsia="Arial" w:hAnsi="Arial" w:cs="Arial"/>
        </w:rPr>
        <w:instrText>ADDIN CSL_CITATION {"citationItems":[{"id":"ITEM-1","itemData":{"DOI":"10.33122/ijtmer.v6i1.174","abstract":"This study aims to investigate more deeply the material of linear programming with a realistic mathematics education (RME) approach. This research is a literature study with a descriptive qualitative research type with library research using various written sources such as articles from Springer, ScienceDirect, and Google Scholar. This study focuses on the characteristics of RME, the principles of RME, the steps of learning RME on linear programming material, and examples of implementing RME learning on linear programming material. From the results of previous research, it was found that using the RME approach can help students understand linear programming material. This is because real-life problems in linear programming are in line with realistic principles that exist in the RME principle, namely being able to apply mathematics in solving real-life problems and mathematics must start from problem situations that are meaningful for students.","author":[{"dropping-particle":"","family":"Octaria","given":"Dina","non-dropping-particle":"","parse-names":false,"suffix":""},{"dropping-particle":"","family":"Zulkardi","given":"Zulkardi","non-dropping-particle":"","parse-names":false,"suffix":""},{"dropping-particle":"","family":"Putri","given":"Ratu Ilma Indra","non-dropping-particle":"","parse-names":false,"suffix":""}],"container-title":"International Journal of Trends in Mathematics Education Research","id":"ITEM-1","issue":"1","issued":{"date-parts":[["2023"]]},"page":"41-46","title":"Ksystematic literature review: how students learn linear programming with realistic mathematics education?","type":"article-journal","volume":"6"},"uris":["http://www.mendeley.com/documents/?uuid=e2d614a4-34a3-4be4-b4db-476b4ae7c970"]}],"mendeley":{"formattedCitation":"(Octaria et al., 2023)","plainTextFormattedCitation":"(Octaria et al., 2023)","previouslyFormattedCitation":"(Octaria et al., 2023)"},"properties":{"noteIndex":0},"schema":"https://github.com/citation-style-language/schema/raw/master/csl-citation.json"}</w:instrText>
      </w:r>
      <w:r w:rsidR="001B1CBA" w:rsidRPr="001B1CBA">
        <w:rPr>
          <w:rFonts w:ascii="Arial" w:eastAsia="Arial" w:hAnsi="Arial" w:cs="Arial"/>
        </w:rPr>
        <w:fldChar w:fldCharType="separate"/>
      </w:r>
      <w:r w:rsidR="001B1CBA" w:rsidRPr="001B1CBA">
        <w:rPr>
          <w:rFonts w:ascii="Arial" w:eastAsia="Arial" w:hAnsi="Arial" w:cs="Arial"/>
          <w:noProof/>
        </w:rPr>
        <w:t>(Octaria et al., 2023)</w:t>
      </w:r>
      <w:r w:rsidR="001B1CBA" w:rsidRPr="001B1CBA">
        <w:rPr>
          <w:rFonts w:ascii="Arial" w:eastAsia="Arial" w:hAnsi="Arial" w:cs="Arial"/>
        </w:rPr>
        <w:fldChar w:fldCharType="end"/>
      </w:r>
      <w:r>
        <w:rPr>
          <w:rFonts w:ascii="Arial" w:eastAsia="Arial" w:hAnsi="Arial" w:cs="Arial"/>
        </w:rPr>
        <w:t>. Some students also struggle to interpret the meaning of solutions within the given context</w:t>
      </w:r>
      <w:r w:rsidR="001B1CBA">
        <w:rPr>
          <w:rFonts w:ascii="Arial" w:eastAsia="Arial" w:hAnsi="Arial" w:cs="Arial"/>
        </w:rPr>
        <w:t xml:space="preserve"> </w:t>
      </w:r>
      <w:r w:rsidR="001B1CBA">
        <w:rPr>
          <w:rFonts w:ascii="Arial" w:eastAsia="Arial" w:hAnsi="Arial" w:cs="Arial"/>
        </w:rPr>
        <w:fldChar w:fldCharType="begin" w:fldLock="1"/>
      </w:r>
      <w:r w:rsidR="001B1CBA">
        <w:rPr>
          <w:rFonts w:ascii="Arial" w:eastAsia="Arial" w:hAnsi="Arial" w:cs="Arial"/>
        </w:rPr>
        <w:instrText>ADDIN CSL_CITATION {"citationItems":[{"id":"ITEM-1","itemData":{"DOI":"10.22219/jtlm.v2i1.33680","ISSN":"3064-0466","abstract":"This research aims to analyze students' difficulties in solving mathematical problems on linear programming material using qualitative descriptive methods based on the Polya heuristic. This research involved students with high, medium, and low abilities through analysis of written tests and student interviews. Data was collected from 30 class XI students at SMA X using specially designed written tests and in-depth interviews. Data analysis was carried out using thematic analysis techniques. The research results show that students with high abilities do not experience difficulties in working on contextual problems in linear programming material. Students with moderate abilities experience difficulty in determining the sign of inequality and the set of solution areas. Meanwhile, students with low abilities experience difficulties in various aspects, including understanding basic concepts and applying problem-solving steps. Specific examples of difficulties experienced include errors in drawing graphs and determining intersection points. As a recommendation, teachers are advised to introduce and explain problem-solving according to Polya's heuristics more concretely and systematically. For example, using Polya steps in varied practice sessions and providing specific feedback at each stage of problem-solving. In this way, students' understanding of linear programming material can be significantly improved.","author":[{"dropping-particle":"","family":"Fitrieyah","given":"Imamah Dien","non-dropping-particle":"","parse-names":false,"suffix":""},{"dropping-particle":"Ben","family":"Mabrouk","given":"Anouar","non-dropping-particle":"","parse-names":false,"suffix":""}],"container-title":"Journal of Teaching and Learning Mathematics","id":"ITEM-1","issue":"1","issued":{"date-parts":[["2024"]]},"page":"37-43","title":"Analysis of student's difficulty in solving mathematical problems in linear programs","type":"article-journal","volume":"2"},"uris":["http://www.mendeley.com/documents/?uuid=3c0138a7-29c6-4278-be9b-f35bd569734e"]}],"mendeley":{"formattedCitation":"(Fitrieyah &amp; Mabrouk, 2024)","plainTextFormattedCitation":"(Fitrieyah &amp; Mabrouk, 2024)","previouslyFormattedCitation":"(Fitrieyah &amp; Mabrouk, 2024)"},"properties":{"noteIndex":0},"schema":"https://github.com/citation-style-language/schema/raw/master/csl-citation.json"}</w:instrText>
      </w:r>
      <w:r w:rsidR="001B1CBA">
        <w:rPr>
          <w:rFonts w:ascii="Arial" w:eastAsia="Arial" w:hAnsi="Arial" w:cs="Arial"/>
        </w:rPr>
        <w:fldChar w:fldCharType="separate"/>
      </w:r>
      <w:r w:rsidR="001B1CBA" w:rsidRPr="001B1CBA">
        <w:rPr>
          <w:rFonts w:ascii="Arial" w:eastAsia="Arial" w:hAnsi="Arial" w:cs="Arial"/>
          <w:noProof/>
        </w:rPr>
        <w:t>(Fitrieyah &amp; Mabrouk, 2024)</w:t>
      </w:r>
      <w:r w:rsidR="001B1CBA">
        <w:rPr>
          <w:rFonts w:ascii="Arial" w:eastAsia="Arial" w:hAnsi="Arial" w:cs="Arial"/>
        </w:rPr>
        <w:fldChar w:fldCharType="end"/>
      </w:r>
      <w:r>
        <w:rPr>
          <w:rFonts w:ascii="Arial" w:eastAsia="Arial" w:hAnsi="Arial" w:cs="Arial"/>
        </w:rPr>
        <w:t>. Such errors indicate that challenges occur across different stages of the modelling and solution process. Understanding these errors requires a more comprehensive analytical perspective.</w:t>
      </w:r>
    </w:p>
    <w:p w14:paraId="5A821ECD" w14:textId="0F808CAC" w:rsidR="00882F22" w:rsidRPr="00D73808" w:rsidRDefault="00D73808">
      <w:pPr>
        <w:spacing w:before="240" w:after="240"/>
        <w:jc w:val="both"/>
        <w:rPr>
          <w:rFonts w:ascii="Arial" w:eastAsia="Arial" w:hAnsi="Arial" w:cs="Arial"/>
          <w:lang w:val="en-US"/>
        </w:rPr>
      </w:pPr>
      <w:r w:rsidRPr="00D73808">
        <w:rPr>
          <w:rFonts w:ascii="Arial" w:eastAsia="Arial" w:hAnsi="Arial" w:cs="Arial"/>
          <w:lang w:val="en-US"/>
        </w:rPr>
        <w:t>Despite the extensive emphasis on mathematical modelling and problem solving in the literature, observations in classroom practice indicate persistent difficulties among students when engaging with linear programming tasks. In particular, students often struggle to interpret contextual problems with complex information, define decision variables appropriately, and construct coherent mathematical models. These difficulties become more pronounced when students are required to proceed beyond model formulation and engage in algorithmic procedures such as the simplex method. As a result, students may demonstrate partial understanding, where they are able to initiate the modelling process but fail to complete it accurately or meaningfully.</w:t>
      </w:r>
      <w:r>
        <w:rPr>
          <w:rFonts w:ascii="Arial" w:eastAsia="Arial" w:hAnsi="Arial" w:cs="Arial"/>
          <w:lang w:val="en-US"/>
        </w:rPr>
        <w:t xml:space="preserve"> </w:t>
      </w:r>
      <w:r w:rsidRPr="00D73808">
        <w:rPr>
          <w:rFonts w:ascii="Arial" w:eastAsia="Arial" w:hAnsi="Arial" w:cs="Arial"/>
          <w:lang w:val="en-US"/>
        </w:rPr>
        <w:t>These observed challenges highlight the need for a more detailed investigation into how students perform across different stages of the modelling process and what types of errors emerge, particularly in tasks involving both modelling and algorithmic execution.</w:t>
      </w:r>
      <w:r>
        <w:rPr>
          <w:rFonts w:ascii="Arial" w:eastAsia="Arial" w:hAnsi="Arial" w:cs="Arial"/>
          <w:lang w:val="en-US"/>
        </w:rPr>
        <w:t xml:space="preserve"> </w:t>
      </w:r>
      <w:r w:rsidRPr="00D73808">
        <w:rPr>
          <w:rFonts w:ascii="Arial" w:eastAsia="Arial" w:hAnsi="Arial" w:cs="Arial"/>
        </w:rPr>
        <w:t xml:space="preserve">Based on these considerations, the present study aims to </w:t>
      </w:r>
      <w:proofErr w:type="spellStart"/>
      <w:r w:rsidRPr="00D73808">
        <w:rPr>
          <w:rFonts w:ascii="Arial" w:eastAsia="Arial" w:hAnsi="Arial" w:cs="Arial"/>
        </w:rPr>
        <w:t>analyse</w:t>
      </w:r>
      <w:proofErr w:type="spellEnd"/>
      <w:r w:rsidRPr="00D73808">
        <w:rPr>
          <w:rFonts w:ascii="Arial" w:eastAsia="Arial" w:hAnsi="Arial" w:cs="Arial"/>
        </w:rPr>
        <w:t xml:space="preserve"> students’ performance across the stages of the mathematical modelling process and to identify error patterns that emerge when solving linear programming problems using the simplex method.</w:t>
      </w:r>
    </w:p>
    <w:p w14:paraId="4CE47E01"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w:t>
      </w:r>
    </w:p>
    <w:p w14:paraId="74C2DCE7" w14:textId="77777777" w:rsidR="00882F22" w:rsidRDefault="00882F22">
      <w:pPr>
        <w:keepNext/>
        <w:pBdr>
          <w:top w:val="nil"/>
          <w:left w:val="nil"/>
          <w:bottom w:val="nil"/>
          <w:right w:val="nil"/>
          <w:between w:val="nil"/>
        </w:pBdr>
        <w:jc w:val="both"/>
        <w:rPr>
          <w:rFonts w:ascii="Arial" w:eastAsia="Arial" w:hAnsi="Arial" w:cs="Arial"/>
          <w:b/>
          <w:bCs/>
          <w:smallCaps/>
          <w:color w:val="000000"/>
          <w:sz w:val="22"/>
          <w:szCs w:val="22"/>
        </w:rPr>
      </w:pPr>
    </w:p>
    <w:p w14:paraId="72A18360" w14:textId="57C5FECB" w:rsidR="00882F22" w:rsidRDefault="006442BF" w:rsidP="006442BF">
      <w:pPr>
        <w:keepNext/>
        <w:pBdr>
          <w:top w:val="nil"/>
          <w:left w:val="nil"/>
          <w:bottom w:val="nil"/>
          <w:right w:val="nil"/>
          <w:between w:val="nil"/>
        </w:pBdr>
        <w:jc w:val="both"/>
        <w:rPr>
          <w:rFonts w:ascii="Arial" w:eastAsia="Arial" w:hAnsi="Arial" w:cs="Arial"/>
          <w:color w:val="000000"/>
        </w:rPr>
      </w:pPr>
      <w:r w:rsidRPr="006442BF">
        <w:rPr>
          <w:rFonts w:ascii="Arial" w:eastAsia="Arial" w:hAnsi="Arial" w:cs="Arial"/>
          <w:color w:val="000000"/>
        </w:rPr>
        <w:t xml:space="preserve">This study employed a descriptive–exploratory design to investigate students’ modelling performance and error patterns when solving a linear programming problem using the simplex method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{"citationItems":[{"id":"ITEM-1","itemData":{"DOI":"10.1016/j.infsof.2004.06.005","ISSN":"09505849","abstract":"The paper describes an exploratory study that investigated two descriptive software process models derived from the same process data using two different techniques. To set the context, the paper describes qualitative methods, particularly grounded theory and its techniques, and then explores the nature of the differences in the two models produced. It suggests ways in which constant comparison may contribute to the process-modelling task. As far as we are aware, it also serves as the first exploratory research on the application of this method in the software engineering process research domain. Based on data analysis using the technique of constant comparison often used in grounded theory research, a naive process modeller derived one of the models. An experienced process engineer relying heavily on experience and skill using an ad hoc approach derived the second model. The aim of the study was to explore differences in the models derived and to use this comparison as a basis for reflection on the method conventionally used in descriptive process modelling in contrast with the use of more formal qualitative analysis. The results show that (1) data analysis using the technique of constant comparison could be successfully applied to analyse process data, (2) the person with little experience in process modelling could produce a process model based on the data analysis using constant comparison and (3) the process model produced by the naive modeller was not equivalent to that produced by an experienced process engineer. © 2004 Elsevier B.V. All rights reserved.","author":[{"dropping-particle":"","family":"Carvalho","given":"Lucila","non-dropping-particle":"","parse-names":false,"suffix":""},{"dropping-particle":"","family":"Scott","given":"Louise","non-dropping-particle":"","parse-names":false,"suffix":""},{"dropping-particle":"","family":"Jeffery","given":"Ross","non-dropping-particle":"","parse-names":false,"suffix":""}],"container-title":"Information and Software Technology","id":"ITEM-1","issue":"2","issued":{"date-parts":[["2005"]]},"page":"113-127","title":"An exploratory study into the use of qualitative research methods in descriptive process modelling","type":"article-journal","volume":"47"},"uris":["http://www.mendeley.com/documents/?uuid=dc2d8859-cf28-41b8-8229-60dd2230bfcf"]}],"mendeley":{"formattedCitation":"(Carvalho et al., 2005)","plainTextFormattedCitation":"(Carvalho et al., 2005)","previouslyFormattedCitation":"(Carvalho et al., 2005)"},"properties":{"noteIndex":0},"schema":"https://github.com/citation-style-language/schema/raw/master/csl-citation.json"}</w:instrText>
      </w:r>
      <w:r>
        <w:rPr>
          <w:rFonts w:ascii="Arial" w:eastAsia="Arial" w:hAnsi="Arial" w:cs="Arial"/>
          <w:color w:val="000000"/>
        </w:rPr>
        <w:fldChar w:fldCharType="separate"/>
      </w:r>
      <w:r w:rsidRPr="009D4FAE">
        <w:rPr>
          <w:rFonts w:ascii="Arial" w:eastAsia="Arial" w:hAnsi="Arial" w:cs="Arial"/>
          <w:noProof/>
          <w:color w:val="000000"/>
        </w:rPr>
        <w:t>(Carvalho et al., 2005)</w:t>
      </w:r>
      <w:r>
        <w:rPr>
          <w:rFonts w:ascii="Arial" w:eastAsia="Arial" w:hAnsi="Arial" w:cs="Arial"/>
          <w:color w:val="000000"/>
        </w:rPr>
        <w:fldChar w:fldCharType="end"/>
      </w:r>
      <w:r>
        <w:rPr>
          <w:rFonts w:ascii="Arial" w:eastAsia="Arial" w:hAnsi="Arial" w:cs="Arial"/>
          <w:color w:val="000000"/>
        </w:rPr>
        <w:t xml:space="preserve">. </w:t>
      </w:r>
      <w:r w:rsidRPr="006442BF">
        <w:rPr>
          <w:rFonts w:ascii="Arial" w:eastAsia="Arial" w:hAnsi="Arial" w:cs="Arial"/>
          <w:color w:val="000000"/>
        </w:rPr>
        <w:t xml:space="preserve">This design is appropriate as the study aims to explore patterns of students’ performance and identify types of errors without introducing any instructional intervention or experimental manipulation. Therefore, an experimental design is not suitable for addressing the </w:t>
      </w:r>
      <w:r w:rsidRPr="006442BF">
        <w:rPr>
          <w:rFonts w:ascii="Arial" w:eastAsia="Arial" w:hAnsi="Arial" w:cs="Arial"/>
          <w:color w:val="000000"/>
        </w:rPr>
        <w:lastRenderedPageBreak/>
        <w:t>research objectives</w:t>
      </w:r>
      <w:r w:rsidR="003A1DB3">
        <w:rPr>
          <w:rFonts w:ascii="Arial" w:eastAsia="Arial" w:hAnsi="Arial" w:cs="Arial"/>
          <w:color w:val="000000"/>
        </w:rPr>
        <w:t xml:space="preserve">. The design was chosen to enable an in-depth analysis of students’ work, focusing on identifying patterns of performance and types of errors rather than making statistical </w:t>
      </w:r>
      <w:r w:rsidR="00AA562C">
        <w:rPr>
          <w:rFonts w:ascii="Arial" w:eastAsia="Arial" w:hAnsi="Arial" w:cs="Arial"/>
          <w:color w:val="000000"/>
        </w:rPr>
        <w:t>generalizations</w:t>
      </w:r>
      <w:r w:rsidR="003A1DB3">
        <w:rPr>
          <w:rFonts w:ascii="Arial" w:eastAsia="Arial" w:hAnsi="Arial" w:cs="Arial"/>
          <w:color w:val="000000"/>
        </w:rPr>
        <w:t>. The study does not aim to compare groups or establish causal relationships; instead, it seeks to provide a detailed account of how students construct mathematical models, carry out algorithmic procedures, and make sense of results in the context of a linear programming task.</w:t>
      </w:r>
    </w:p>
    <w:p w14:paraId="3939E4A6" w14:textId="77777777" w:rsidR="00882F22" w:rsidRDefault="00882F22">
      <w:pPr>
        <w:pBdr>
          <w:top w:val="nil"/>
          <w:left w:val="nil"/>
          <w:bottom w:val="nil"/>
          <w:right w:val="nil"/>
          <w:between w:val="nil"/>
        </w:pBdr>
        <w:jc w:val="both"/>
        <w:rPr>
          <w:rFonts w:ascii="Arial" w:eastAsia="Arial" w:hAnsi="Arial" w:cs="Arial"/>
          <w:color w:val="000000"/>
        </w:rPr>
      </w:pPr>
    </w:p>
    <w:p w14:paraId="7D0587FF" w14:textId="3433A6C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participants were 24 undergraduate students enrolled in a Mathematics Education program. Participants were selected through purposive sampling. The selected class had previously completed prerequisite coursework related to linear programming and had recently received instruction on the simplex method, including exposure to primal–dual relationships. This ensured that participants possessed sufficient background knowledge to engage in the modelling, transformation, and algorithmic processes required by the task. The sample size aligns with the exploratory nature of the study, which </w:t>
      </w:r>
      <w:r w:rsidR="00AA562C">
        <w:rPr>
          <w:rFonts w:ascii="Arial" w:eastAsia="Arial" w:hAnsi="Arial" w:cs="Arial"/>
          <w:color w:val="000000"/>
        </w:rPr>
        <w:t>prioritizes</w:t>
      </w:r>
      <w:r>
        <w:rPr>
          <w:rFonts w:ascii="Arial" w:eastAsia="Arial" w:hAnsi="Arial" w:cs="Arial"/>
          <w:color w:val="000000"/>
        </w:rPr>
        <w:t xml:space="preserve"> depth of analysis and detailed </w:t>
      </w:r>
      <w:r w:rsidR="00AA562C">
        <w:rPr>
          <w:rFonts w:ascii="Arial" w:eastAsia="Arial" w:hAnsi="Arial" w:cs="Arial"/>
          <w:color w:val="000000"/>
        </w:rPr>
        <w:t>characterization</w:t>
      </w:r>
      <w:r>
        <w:rPr>
          <w:rFonts w:ascii="Arial" w:eastAsia="Arial" w:hAnsi="Arial" w:cs="Arial"/>
          <w:color w:val="000000"/>
        </w:rPr>
        <w:t xml:space="preserve"> of students’ work over broad </w:t>
      </w:r>
      <w:r w:rsidR="00AA562C">
        <w:rPr>
          <w:rFonts w:ascii="Arial" w:eastAsia="Arial" w:hAnsi="Arial" w:cs="Arial"/>
          <w:color w:val="000000"/>
        </w:rPr>
        <w:t>generalization</w:t>
      </w:r>
      <w:r>
        <w:rPr>
          <w:rFonts w:ascii="Arial" w:eastAsia="Arial" w:hAnsi="Arial" w:cs="Arial"/>
          <w:color w:val="000000"/>
        </w:rPr>
        <w:t>.</w:t>
      </w:r>
    </w:p>
    <w:p w14:paraId="583F3DB8" w14:textId="77777777" w:rsidR="00882F22" w:rsidRDefault="00882F22">
      <w:pPr>
        <w:pBdr>
          <w:top w:val="nil"/>
          <w:left w:val="nil"/>
          <w:bottom w:val="nil"/>
          <w:right w:val="nil"/>
          <w:between w:val="nil"/>
        </w:pBdr>
        <w:jc w:val="both"/>
        <w:rPr>
          <w:rFonts w:ascii="Arial" w:eastAsia="Arial" w:hAnsi="Arial" w:cs="Arial"/>
          <w:color w:val="000000"/>
        </w:rPr>
      </w:pPr>
    </w:p>
    <w:p w14:paraId="0D2F8DE5"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research instrument consisted of a contextual linear programming task designed to elicit students’ modelling processes and solution strategies using the simplex method. The task required students to construct a primal linear programming model based on a real-world production context, derive the corresponding dual model, and solve the dual problem using the simplex method. The problem involved three decision variables and two resource constraints and required students to determine the optimal solution and interpret the results in context. This task structure enabled examination of multiple components of mathematical modelling, including understanding the problem, simplifying and structuring, mathematising, working mathematically, interpreting, validating, and communicating.</w:t>
      </w:r>
    </w:p>
    <w:p w14:paraId="746339B1" w14:textId="77777777" w:rsidR="00882F22" w:rsidRDefault="00882F22">
      <w:pPr>
        <w:pBdr>
          <w:top w:val="nil"/>
          <w:left w:val="nil"/>
          <w:bottom w:val="nil"/>
          <w:right w:val="nil"/>
          <w:between w:val="nil"/>
        </w:pBdr>
        <w:jc w:val="both"/>
        <w:rPr>
          <w:rFonts w:ascii="Arial" w:eastAsia="Arial" w:hAnsi="Arial" w:cs="Arial"/>
          <w:color w:val="000000"/>
        </w:rPr>
      </w:pPr>
    </w:p>
    <w:p w14:paraId="1DA941A6" w14:textId="63135EE4"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Students’ written responses were </w:t>
      </w:r>
      <w:r w:rsidR="00AA562C">
        <w:rPr>
          <w:rFonts w:ascii="Arial" w:eastAsia="Arial" w:hAnsi="Arial" w:cs="Arial"/>
          <w:color w:val="000000"/>
        </w:rPr>
        <w:t>analyzed</w:t>
      </w:r>
      <w:r>
        <w:rPr>
          <w:rFonts w:ascii="Arial" w:eastAsia="Arial" w:hAnsi="Arial" w:cs="Arial"/>
          <w:color w:val="000000"/>
        </w:rPr>
        <w:t xml:space="preserve"> using two complementary analytical frameworks. First, students’ modelling performance was </w:t>
      </w:r>
      <w:r w:rsidR="00AA562C">
        <w:rPr>
          <w:rFonts w:ascii="Arial" w:eastAsia="Arial" w:hAnsi="Arial" w:cs="Arial"/>
          <w:color w:val="000000"/>
        </w:rPr>
        <w:t>analyzed</w:t>
      </w:r>
      <w:r>
        <w:rPr>
          <w:rFonts w:ascii="Arial" w:eastAsia="Arial" w:hAnsi="Arial" w:cs="Arial"/>
          <w:color w:val="000000"/>
        </w:rPr>
        <w:t xml:space="preserve"> based on the mathematical modelling cycle proposed by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{"citationItems":[{"id":"ITEM-1","itemData":{"abstract":"Mathematical modelling (the process of translating between the real world and mathematics in both directions) is one of the topics in mathematics education that has been discussed and propagated most intensely during the last few decades. In classroom practice all over the world, however, modelling still has a far less prominent role than is desirable. The main reason for this gap between the goals of the educational debate and everyday school practice is that modelling is difficult both for students' and for teachers. In our paper, we will show examples of how students and teachers deal with demanding modelling tasks. We will refer both to results from our own projects DISUM and COM² as well as to empirical findings from various other research studies. First, we will present some examples of students' difficulties with modelling tasks and of students' specific modelling routes when solving such tasks (also dependent on their mathematical thinking styles), and try to explain these difficulties by the cognitive demands of these tasks. We will emphasise that mathematical modelling has to be learnt specifically by students, and that modelling can indeed be learned if teaching obeys certain quality criteria, in particular maintaining a permanent balance between teacher's guidance and students' independence. We will then show some examples of how teachers have successfully realised this subtle balance, and we will present interesting differences between individual teachers' handling of modelling tasks. In the final part of our paper, we will draw some consequences from the reported empirical findings and formulate corresponding implications for teaching mathematical modelling. Eventually, we will present some encouraging results from a recent intervention study in the context of the DISUM project where it is demonstrated that appropriate learning environments may indeed lead to a higher and more enduring progress concerning students' modelling competency.","author":[{"dropping-particle":"","family":"Blum","given":"Werner","non-dropping-particle":"","parse-names":false,"suffix":""},{"dropping-particle":"","family":"Ferri","given":"Rita Borromeo","non-dropping-particle":"","parse-names":false,"suffix":""}],"container-title":"Journal of Mathematical Modelling and Application","id":"ITEM-1","issue":"1","issued":{"date-parts":[["2009"]]},"page":"45-58","title":"Mathematical modelling: can it be taught and learnt?","type":"article-journal","volume":"1"},"uris":["http://www.mendeley.com/documents/?uuid=6e20faff-9767-4ff7-a2d2-fc054b20625d"]}],"mendeley":{"formattedCitation":"(Blum &amp; Ferri, 2009)","manualFormatting":"Blum &amp; Ferri (2009)","plainTextFormattedCitation":"(Blum &amp; Ferri, 2009)","previouslyFormattedCitation":"(Blum &amp; Ferri, 2009)"},"properties":{"noteIndex":0},"schema":"https://github.com/citation-style-language/schema/raw/master/csl-citation.json"}</w:instrText>
      </w:r>
      <w:r w:rsidR="009D4FAE">
        <w:rPr>
          <w:rFonts w:ascii="Arial" w:eastAsia="Arial" w:hAnsi="Arial" w:cs="Arial"/>
          <w:color w:val="000000"/>
        </w:rPr>
        <w:fldChar w:fldCharType="separate"/>
      </w:r>
      <w:r w:rsidR="009D4FAE">
        <w:rPr>
          <w:rFonts w:ascii="Arial" w:eastAsia="Arial" w:hAnsi="Arial" w:cs="Arial"/>
          <w:noProof/>
          <w:color w:val="000000"/>
        </w:rPr>
        <w:t>Blum &amp; Ferri</w:t>
      </w:r>
      <w:r w:rsidR="009D4FAE" w:rsidRPr="009D4FAE">
        <w:rPr>
          <w:rFonts w:ascii="Arial" w:eastAsia="Arial" w:hAnsi="Arial" w:cs="Arial"/>
          <w:noProof/>
          <w:color w:val="000000"/>
        </w:rPr>
        <w:t xml:space="preserve"> </w:t>
      </w:r>
      <w:r w:rsidR="009D4FAE">
        <w:rPr>
          <w:rFonts w:ascii="Arial" w:eastAsia="Arial" w:hAnsi="Arial" w:cs="Arial"/>
          <w:noProof/>
          <w:color w:val="000000"/>
        </w:rPr>
        <w:t>(</w:t>
      </w:r>
      <w:r w:rsidR="009D4FAE" w:rsidRPr="009D4FAE">
        <w:rPr>
          <w:rFonts w:ascii="Arial" w:eastAsia="Arial" w:hAnsi="Arial" w:cs="Arial"/>
          <w:noProof/>
          <w:color w:val="000000"/>
        </w:rPr>
        <w:t>2009)</w:t>
      </w:r>
      <w:r w:rsidR="009D4FAE">
        <w:rPr>
          <w:rFonts w:ascii="Arial" w:eastAsia="Arial" w:hAnsi="Arial" w:cs="Arial"/>
          <w:color w:val="000000"/>
        </w:rPr>
        <w:fldChar w:fldCharType="end"/>
      </w:r>
      <w:r>
        <w:rPr>
          <w:rFonts w:ascii="Arial" w:eastAsia="Arial" w:hAnsi="Arial" w:cs="Arial"/>
          <w:color w:val="000000"/>
        </w:rPr>
        <w:t>, which includes the stages of understanding the problem, simplifying and structuring, mathematising, working mathematically, interpreting, validating, and communicating. Each stage was evaluated using a four-level rubric ranging from 0 to 3, where higher scores indicated more complete and accurate performance.</w:t>
      </w:r>
    </w:p>
    <w:p w14:paraId="01484B02" w14:textId="77777777" w:rsidR="00882F22" w:rsidRDefault="00882F22">
      <w:pPr>
        <w:pBdr>
          <w:top w:val="nil"/>
          <w:left w:val="nil"/>
          <w:bottom w:val="nil"/>
          <w:right w:val="nil"/>
          <w:between w:val="nil"/>
        </w:pBdr>
        <w:jc w:val="both"/>
        <w:rPr>
          <w:rFonts w:ascii="Arial" w:eastAsia="Arial" w:hAnsi="Arial" w:cs="Arial"/>
          <w:color w:val="000000"/>
        </w:rPr>
      </w:pPr>
    </w:p>
    <w:p w14:paraId="4D724D10" w14:textId="4DA43498"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Second, students’ errors were </w:t>
      </w:r>
      <w:r w:rsidR="00AA562C">
        <w:rPr>
          <w:rFonts w:ascii="Arial" w:eastAsia="Arial" w:hAnsi="Arial" w:cs="Arial"/>
          <w:color w:val="000000"/>
        </w:rPr>
        <w:t>analyzed</w:t>
      </w:r>
      <w:r>
        <w:rPr>
          <w:rFonts w:ascii="Arial" w:eastAsia="Arial" w:hAnsi="Arial" w:cs="Arial"/>
          <w:color w:val="000000"/>
        </w:rPr>
        <w:t xml:space="preserve"> using the error analysis framework proposed by Anne Newman, which </w:t>
      </w:r>
      <w:r w:rsidR="00AA562C">
        <w:rPr>
          <w:rFonts w:ascii="Arial" w:eastAsia="Arial" w:hAnsi="Arial" w:cs="Arial"/>
          <w:color w:val="000000"/>
        </w:rPr>
        <w:t>categorizes</w:t>
      </w:r>
      <w:r>
        <w:rPr>
          <w:rFonts w:ascii="Arial" w:eastAsia="Arial" w:hAnsi="Arial" w:cs="Arial"/>
          <w:color w:val="000000"/>
        </w:rPr>
        <w:t xml:space="preserve"> errors into reading, comprehension, transformation, process skill, and encoding errors</w:t>
      </w:r>
      <w:r w:rsidR="009D4FAE">
        <w:rPr>
          <w:rFonts w:ascii="Arial" w:eastAsia="Arial" w:hAnsi="Arial" w:cs="Arial"/>
          <w:color w:val="000000"/>
        </w:rPr>
        <w:t xml:space="preserve">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author":[{"dropping-particle":"","family":"Santoso","given":"D.A","non-dropping-particle":"","parse-names":false,"suffix":""},{"dropping-particle":"","family":"A.","given":"Farid","non-dropping-particle":"","parse-names":false,"suffix":""},{"dropping-particle":"","family":"Ulum","given":"B","non-dropping-particle":"","parse-names":false,"suffix":""}],"container-title":"International Conference on Mathematics: Education, Theory and Application","id":"ITEM-1","issued":{"date-parts":[["2017"]]},"title":"Error Analysis Of Students Working About Word Problem Of Linear Program With NEA Procedure Error Analysis Of Students Working About Word Problem Of Linear Program With NEA Procedure","type":"article-journal"},"uris":["http://www.mendeley.com/documents/?uuid=ebb0e7de-26b9-4ea6-95ef-c355d67c8d68"]},{"id":"ITEM-2","itemData":{"DOI":"doi.org/10.1063/5.0043383","ISBN":"9780735440746","author":[{"dropping-particle":"","family":"Sukoriyanto","given":"","non-dropping-particle":"","parse-names":false,"suffix":""},{"dropping-particle":"","family":"Desmayanti","given":"Nuri","non-dropping-particle":"","parse-names":false,"suffix":""}],"container-title":"International Conference on Mathematics and Science Education (ICoMSE)","id":"ITEM-2","issued":{"date-parts":[["2021"]]},"title":"Analysis of student errors in solving linear programming problems based on Newman ’ s procedures in terms of writing mathematical communication capabilities","type":"article-journal","volume":"040002"},"uris":["http://www.mendeley.com/documents/?uuid=6705a14e-7535-4837-b02d-d4ca91bb8eb0"]}],"mendeley":{"formattedCitation":"(Santoso et al., 2017; Sukoriyanto &amp; Desmayanti, 2021)","plainTextFormattedCitation":"(Santoso et al., 2017; Sukoriyanto &amp; Desmayanti, 2021)","previouslyFormattedCitation":"(Santoso et al., 2017; Sukoriyanto &amp; Desmayanti, 2021)"},"properties":{"noteIndex":0},"schema":"https://github.com/citation-style-language/schema/raw/master/csl-citation.json"}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(Santoso et al., 2017; Sukoriyanto &amp; Desmayanti, 2021)</w:t>
      </w:r>
      <w:r w:rsidR="009D4FAE">
        <w:rPr>
          <w:rFonts w:ascii="Arial" w:eastAsia="Arial" w:hAnsi="Arial" w:cs="Arial"/>
          <w:color w:val="000000"/>
        </w:rPr>
        <w:fldChar w:fldCharType="end"/>
      </w:r>
      <w:r>
        <w:rPr>
          <w:rFonts w:ascii="Arial" w:eastAsia="Arial" w:hAnsi="Arial" w:cs="Arial"/>
          <w:color w:val="000000"/>
        </w:rPr>
        <w:t xml:space="preserve">. Each observed error was coded according to predefined indicators corresponding to these categories. To ensure systematic identification and classification of students’ errors, an error coding scheme was developed based on Newman’s Error Analysis framework. Students’ errors were </w:t>
      </w:r>
      <w:r w:rsidR="00AA562C">
        <w:rPr>
          <w:rFonts w:ascii="Arial" w:eastAsia="Arial" w:hAnsi="Arial" w:cs="Arial"/>
          <w:color w:val="000000"/>
        </w:rPr>
        <w:t>categorized</w:t>
      </w:r>
      <w:r>
        <w:rPr>
          <w:rFonts w:ascii="Arial" w:eastAsia="Arial" w:hAnsi="Arial" w:cs="Arial"/>
          <w:color w:val="000000"/>
        </w:rPr>
        <w:t xml:space="preserve"> into five types: reading, comprehension, transformation, process skill, and encoding errors</w:t>
      </w:r>
      <w:r w:rsidR="009D4FAE">
        <w:rPr>
          <w:rFonts w:ascii="Arial" w:eastAsia="Arial" w:hAnsi="Arial" w:cs="Arial"/>
          <w:color w:val="000000"/>
        </w:rPr>
        <w:t xml:space="preserve">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{"citationItems":[{"id":"ITEM-1","itemData":{"DOI":"10.1007/s10763-019-09980-5","ISSN":"15731774","abstract":"In linear programming, many students find it difficult to translate a verbal description of a problem into a valid mathematical model. To better understand this, we examine the existing characteristics of college engineering students’ errors across linear programming (LP) problems. We examined textbooks to identify the types of problems typically found in introductory linear programming courses. We then developed a comprehensive set of tasks and analyzed students’ work to create a taxonomy of the errors and issues that students exhibited. From our findings, we define four categories of identified error types: (1) decision variable errors, (2) variable relationship errors, (3) notation errors, and (4) form errors. This study contributes to the research by investigating students’ work in an area of undergraduate mathematics that has not been heavily explored before. Findings suggest specific areas of focus for future work in helping students develop their understanding of linear programming models and mathematical modeling in word problems in general.","author":[{"dropping-particle":"","family":"Kenney","given":"Rachael","non-dropping-particle":"","parse-names":false,"suffix":""},{"dropping-particle":"","family":"An","given":"Tuyin","non-dropping-particle":"","parse-names":false,"suffix":""},{"dropping-particle":"","family":"Kim","given":"Sung Hee","non-dropping-particle":"","parse-names":false,"suffix":""},{"dropping-particle":"","family":"Uhan","given":"Nelson A.","non-dropping-particle":"","parse-names":false,"suffix":""},{"dropping-particle":"","family":"Yi","given":"Ji Soo","non-dropping-particle":"","parse-names":false,"suffix":""},{"dropping-particle":"","family":"Shamsul","given":"Aiman","non-dropping-particle":"","parse-names":false,"suffix":""}],"container-title":"International Journal of Science and Mathematics Education","id":"ITEM-1","issue":"4","issued":{"date-parts":[["2020"]]},"page":"635-655","publisher":"International Journal of Science and Mathematics Education","title":"Linear programming models: identifying common errors in engineering students’ work with complex word problems","type":"article-journal","volume":"18"},"uris":["http://www.mendeley.com/documents/?uuid=2a6c6404-3dad-40e5-9e78-3295fea8145c"]}],"mendeley":{"formattedCitation":"(Kenney et al., 2020)","plainTextFormattedCitation":"(Kenney et al., 2020)","previouslyFormattedCitation":"(Kenney et al., 2020)"},"properties":{"noteIndex":0},"schema":"https://github.com/citation-style-language/schema/raw/master/csl-citation.json"}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(Kenney et al., 2020)</w:t>
      </w:r>
      <w:r w:rsidR="009D4FAE">
        <w:rPr>
          <w:rFonts w:ascii="Arial" w:eastAsia="Arial" w:hAnsi="Arial" w:cs="Arial"/>
          <w:color w:val="000000"/>
        </w:rPr>
        <w:fldChar w:fldCharType="end"/>
      </w:r>
      <w:r>
        <w:rPr>
          <w:rFonts w:ascii="Arial" w:eastAsia="Arial" w:hAnsi="Arial" w:cs="Arial"/>
          <w:color w:val="000000"/>
        </w:rPr>
        <w:t xml:space="preserve">. Each category was </w:t>
      </w:r>
      <w:r w:rsidR="00AA562C">
        <w:rPr>
          <w:rFonts w:ascii="Arial" w:eastAsia="Arial" w:hAnsi="Arial" w:cs="Arial"/>
          <w:color w:val="000000"/>
        </w:rPr>
        <w:t>operationalized</w:t>
      </w:r>
      <w:r>
        <w:rPr>
          <w:rFonts w:ascii="Arial" w:eastAsia="Arial" w:hAnsi="Arial" w:cs="Arial"/>
          <w:color w:val="000000"/>
        </w:rPr>
        <w:t xml:space="preserve"> through specific indicators used to code students’ written responses. The detailed coding scheme is presented in Table 1.</w:t>
      </w:r>
    </w:p>
    <w:p w14:paraId="350347A4" w14:textId="77777777" w:rsidR="00882F22" w:rsidRDefault="00882F22">
      <w:pPr>
        <w:pBdr>
          <w:top w:val="nil"/>
          <w:left w:val="nil"/>
          <w:bottom w:val="nil"/>
          <w:right w:val="nil"/>
          <w:between w:val="nil"/>
        </w:pBdr>
        <w:jc w:val="both"/>
        <w:rPr>
          <w:rFonts w:ascii="Arial" w:eastAsia="Arial" w:hAnsi="Arial" w:cs="Arial"/>
          <w:color w:val="000000"/>
        </w:rPr>
      </w:pPr>
    </w:p>
    <w:p w14:paraId="59E021F0" w14:textId="77777777" w:rsidR="00882F22" w:rsidRDefault="003A1DB3">
      <w:pPr>
        <w:tabs>
          <w:tab w:val="left" w:pos="1080"/>
        </w:tabs>
        <w:jc w:val="both"/>
        <w:rPr>
          <w:rFonts w:ascii="Arial" w:eastAsia="Arial" w:hAnsi="Arial" w:cs="Arial"/>
          <w:b/>
          <w:bCs/>
        </w:rPr>
      </w:pPr>
      <w:r>
        <w:rPr>
          <w:rFonts w:ascii="Arial" w:eastAsia="Arial" w:hAnsi="Arial" w:cs="Arial"/>
          <w:b/>
          <w:bCs/>
        </w:rPr>
        <w:t>Table 1. Coding Scheme for Error Analysis Based on Newman’s Framework</w:t>
      </w:r>
    </w:p>
    <w:p w14:paraId="0682D958" w14:textId="77777777" w:rsidR="00882F22" w:rsidRDefault="00882F22">
      <w:pPr>
        <w:pBdr>
          <w:top w:val="nil"/>
          <w:left w:val="nil"/>
          <w:bottom w:val="nil"/>
          <w:right w:val="nil"/>
          <w:between w:val="nil"/>
        </w:pBdr>
        <w:jc w:val="both"/>
        <w:rPr>
          <w:rFonts w:ascii="Arial" w:eastAsia="Arial" w:hAnsi="Arial" w:cs="Arial"/>
          <w:color w:val="000000"/>
        </w:rPr>
      </w:pPr>
    </w:p>
    <w:tbl>
      <w:tblPr>
        <w:tblStyle w:val="a0"/>
        <w:tblW w:w="8208" w:type="dxa"/>
        <w:tblInd w:w="0" w:type="dxa"/>
        <w:tblBorders>
          <w:top w:val="single" w:sz="4" w:space="0" w:color="7F7F7F"/>
          <w:bottom w:val="single" w:sz="4" w:space="0" w:color="7F7F7F"/>
        </w:tblBorders>
        <w:tblLayout w:type="fixed"/>
        <w:tblLook w:val="04A0" w:firstRow="1" w:lastRow="0" w:firstColumn="1" w:lastColumn="0" w:noHBand="0" w:noVBand="1"/>
      </w:tblPr>
      <w:tblGrid>
        <w:gridCol w:w="1766"/>
        <w:gridCol w:w="5726"/>
        <w:gridCol w:w="716"/>
      </w:tblGrid>
      <w:tr w:rsidR="00882F22" w14:paraId="67425C21" w14:textId="77777777" w:rsidTr="00882F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64D8C0AF"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NEA Component</w:t>
            </w:r>
          </w:p>
        </w:tc>
        <w:tc>
          <w:tcPr>
            <w:tcW w:w="5726" w:type="dxa"/>
          </w:tcPr>
          <w:p w14:paraId="6A64F0DC"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Error Indicator</w:t>
            </w:r>
          </w:p>
        </w:tc>
        <w:tc>
          <w:tcPr>
            <w:tcW w:w="716" w:type="dxa"/>
          </w:tcPr>
          <w:p w14:paraId="3D79085B"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Code</w:t>
            </w:r>
          </w:p>
        </w:tc>
      </w:tr>
      <w:tr w:rsidR="00882F22" w14:paraId="3C5ECA4D"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77D54C5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Reading</w:t>
            </w:r>
          </w:p>
        </w:tc>
        <w:tc>
          <w:tcPr>
            <w:tcW w:w="5726" w:type="dxa"/>
          </w:tcPr>
          <w:p w14:paraId="4CDF2E4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cannot identify decision variables from the question statement.</w:t>
            </w:r>
          </w:p>
        </w:tc>
        <w:tc>
          <w:tcPr>
            <w:tcW w:w="716" w:type="dxa"/>
          </w:tcPr>
          <w:p w14:paraId="28FE3C5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R1</w:t>
            </w:r>
          </w:p>
        </w:tc>
      </w:tr>
      <w:tr w:rsidR="00882F22" w14:paraId="2F6F42BA"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1B83B1E2"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64BF0A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misread numerical data (coefficients, constraints, constant values).</w:t>
            </w:r>
          </w:p>
        </w:tc>
        <w:tc>
          <w:tcPr>
            <w:tcW w:w="716" w:type="dxa"/>
          </w:tcPr>
          <w:p w14:paraId="4A5B664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R2</w:t>
            </w:r>
          </w:p>
        </w:tc>
      </w:tr>
      <w:tr w:rsidR="00882F22" w14:paraId="7F80E9E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A5FB55B"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4BD5175"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misinterpret inequality symbols.</w:t>
            </w:r>
          </w:p>
        </w:tc>
        <w:tc>
          <w:tcPr>
            <w:tcW w:w="716" w:type="dxa"/>
          </w:tcPr>
          <w:p w14:paraId="0DEAB07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R3</w:t>
            </w:r>
          </w:p>
        </w:tc>
      </w:tr>
      <w:tr w:rsidR="00882F22" w14:paraId="5F8545E9"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0F9AE605"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476F4DB"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cannot distinguish between objective function data and constraint data.</w:t>
            </w:r>
          </w:p>
        </w:tc>
        <w:tc>
          <w:tcPr>
            <w:tcW w:w="716" w:type="dxa"/>
          </w:tcPr>
          <w:p w14:paraId="229C416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R4</w:t>
            </w:r>
          </w:p>
        </w:tc>
      </w:tr>
      <w:tr w:rsidR="00882F22" w14:paraId="2D017EEE"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16D7D86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Comprehension</w:t>
            </w:r>
          </w:p>
        </w:tc>
        <w:tc>
          <w:tcPr>
            <w:tcW w:w="5726" w:type="dxa"/>
          </w:tcPr>
          <w:p w14:paraId="7195E2A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are unable to define decision variables accurately.</w:t>
            </w:r>
          </w:p>
        </w:tc>
        <w:tc>
          <w:tcPr>
            <w:tcW w:w="716" w:type="dxa"/>
          </w:tcPr>
          <w:p w14:paraId="1E25D8F9"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C1</w:t>
            </w:r>
          </w:p>
        </w:tc>
      </w:tr>
      <w:tr w:rsidR="00882F22" w14:paraId="5DE94C94"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D6F4C53"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1CFDA28"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do not understand that the problem is a maximization problem.</w:t>
            </w:r>
          </w:p>
        </w:tc>
        <w:tc>
          <w:tcPr>
            <w:tcW w:w="716" w:type="dxa"/>
          </w:tcPr>
          <w:p w14:paraId="3DF0E761"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C2</w:t>
            </w:r>
          </w:p>
        </w:tc>
      </w:tr>
      <w:tr w:rsidR="00882F22" w14:paraId="522645A5"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A2BA986"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581358C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misunderstand the terms “at least” or “no more than” in the constraints.</w:t>
            </w:r>
          </w:p>
        </w:tc>
        <w:tc>
          <w:tcPr>
            <w:tcW w:w="716" w:type="dxa"/>
          </w:tcPr>
          <w:p w14:paraId="79411DE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C3</w:t>
            </w:r>
          </w:p>
        </w:tc>
      </w:tr>
      <w:tr w:rsidR="00882F22" w14:paraId="04A41B41"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14AB378"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9D3C4FB"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do not understand the meaning of resource constraints in the context of optimization.</w:t>
            </w:r>
          </w:p>
        </w:tc>
        <w:tc>
          <w:tcPr>
            <w:tcW w:w="716" w:type="dxa"/>
          </w:tcPr>
          <w:p w14:paraId="5C38A87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C4</w:t>
            </w:r>
          </w:p>
        </w:tc>
      </w:tr>
      <w:tr w:rsidR="00882F22" w14:paraId="01E9CEBF"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6B6324E"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Transformation</w:t>
            </w:r>
          </w:p>
        </w:tc>
        <w:tc>
          <w:tcPr>
            <w:tcW w:w="5726" w:type="dxa"/>
          </w:tcPr>
          <w:p w14:paraId="36B49BD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set up the objective function.</w:t>
            </w:r>
          </w:p>
        </w:tc>
        <w:tc>
          <w:tcPr>
            <w:tcW w:w="716" w:type="dxa"/>
          </w:tcPr>
          <w:p w14:paraId="49CABE0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T1</w:t>
            </w:r>
          </w:p>
        </w:tc>
      </w:tr>
      <w:tr w:rsidR="00882F22" w14:paraId="0F5888BC"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01AD1696"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6848178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set up the constraint inequality model.</w:t>
            </w:r>
          </w:p>
        </w:tc>
        <w:tc>
          <w:tcPr>
            <w:tcW w:w="716" w:type="dxa"/>
          </w:tcPr>
          <w:p w14:paraId="30BAF512"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T2</w:t>
            </w:r>
          </w:p>
        </w:tc>
      </w:tr>
      <w:tr w:rsidR="00882F22" w14:paraId="222D992A"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2825BED"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6E0D85C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add slack, surplus, or artificial variables as needed.</w:t>
            </w:r>
          </w:p>
        </w:tc>
        <w:tc>
          <w:tcPr>
            <w:tcW w:w="716" w:type="dxa"/>
          </w:tcPr>
          <w:p w14:paraId="17D359E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T3</w:t>
            </w:r>
          </w:p>
        </w:tc>
      </w:tr>
      <w:tr w:rsidR="00882F22" w14:paraId="58808DB3"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4A599F59"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6B42F0EC"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converted the model to standard form.</w:t>
            </w:r>
          </w:p>
        </w:tc>
        <w:tc>
          <w:tcPr>
            <w:tcW w:w="716" w:type="dxa"/>
          </w:tcPr>
          <w:p w14:paraId="0221748A"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T4</w:t>
            </w:r>
          </w:p>
        </w:tc>
      </w:tr>
      <w:tr w:rsidR="00882F22" w14:paraId="42CEFF6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6C8F561"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767A638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were unable to correctly set up the initial simplex table.</w:t>
            </w:r>
          </w:p>
        </w:tc>
        <w:tc>
          <w:tcPr>
            <w:tcW w:w="716" w:type="dxa"/>
          </w:tcPr>
          <w:p w14:paraId="504A05D8"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T5</w:t>
            </w:r>
          </w:p>
        </w:tc>
      </w:tr>
      <w:tr w:rsidR="00882F22" w14:paraId="468AA47D"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1A297E72"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5726" w:type="dxa"/>
          </w:tcPr>
          <w:p w14:paraId="44E4955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determined the input variables (pivot columns).</w:t>
            </w:r>
          </w:p>
        </w:tc>
        <w:tc>
          <w:tcPr>
            <w:tcW w:w="716" w:type="dxa"/>
          </w:tcPr>
          <w:p w14:paraId="1041C762"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P1</w:t>
            </w:r>
          </w:p>
        </w:tc>
      </w:tr>
      <w:tr w:rsidR="00882F22" w14:paraId="5FAAC9C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4FD5177E"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3CF30C93"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determined the output variables (pivot rows).</w:t>
            </w:r>
          </w:p>
        </w:tc>
        <w:tc>
          <w:tcPr>
            <w:tcW w:w="716" w:type="dxa"/>
          </w:tcPr>
          <w:p w14:paraId="53362809"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P2</w:t>
            </w:r>
          </w:p>
        </w:tc>
      </w:tr>
      <w:tr w:rsidR="00882F22" w14:paraId="10A438E2"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360C597F"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12D2346E"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perform the pivot operation correctly.</w:t>
            </w:r>
          </w:p>
        </w:tc>
        <w:tc>
          <w:tcPr>
            <w:tcW w:w="716" w:type="dxa"/>
          </w:tcPr>
          <w:p w14:paraId="25322AE4"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P3</w:t>
            </w:r>
          </w:p>
        </w:tc>
      </w:tr>
      <w:tr w:rsidR="00882F22" w14:paraId="3E260169"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0726F798"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7CF52C4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made mistakes when performing elementary row operations during iteration.</w:t>
            </w:r>
          </w:p>
        </w:tc>
        <w:tc>
          <w:tcPr>
            <w:tcW w:w="716" w:type="dxa"/>
          </w:tcPr>
          <w:p w14:paraId="64AF8FA1"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P4</w:t>
            </w:r>
          </w:p>
        </w:tc>
      </w:tr>
      <w:tr w:rsidR="00882F22" w14:paraId="44A9532B"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5310DE87"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935C286"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recognize the optimal conditions.</w:t>
            </w:r>
          </w:p>
        </w:tc>
        <w:tc>
          <w:tcPr>
            <w:tcW w:w="716" w:type="dxa"/>
          </w:tcPr>
          <w:p w14:paraId="2E74749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P5</w:t>
            </w:r>
          </w:p>
        </w:tc>
      </w:tr>
      <w:tr w:rsidR="00882F22" w14:paraId="33987812"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EE866B3"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4B89ED8"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realize that the solution was not feasible because the artificial variables remained in the basis with positive values.</w:t>
            </w:r>
          </w:p>
        </w:tc>
        <w:tc>
          <w:tcPr>
            <w:tcW w:w="716" w:type="dxa"/>
          </w:tcPr>
          <w:p w14:paraId="59B298B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P6</w:t>
            </w:r>
          </w:p>
        </w:tc>
      </w:tr>
      <w:tr w:rsidR="00882F22" w14:paraId="06B9CE08"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7B43261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Encoding</w:t>
            </w:r>
          </w:p>
        </w:tc>
        <w:tc>
          <w:tcPr>
            <w:tcW w:w="5726" w:type="dxa"/>
          </w:tcPr>
          <w:p w14:paraId="5A198BEF"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misinterpreted the results of the final simplex table.</w:t>
            </w:r>
          </w:p>
        </w:tc>
        <w:tc>
          <w:tcPr>
            <w:tcW w:w="716" w:type="dxa"/>
          </w:tcPr>
          <w:p w14:paraId="211A3D9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E1</w:t>
            </w:r>
          </w:p>
        </w:tc>
      </w:tr>
      <w:tr w:rsidR="00882F22" w14:paraId="6EFAE480"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121CC45"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28A631D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did not explicitly write down the optimal values of the decision variables.</w:t>
            </w:r>
          </w:p>
        </w:tc>
        <w:tc>
          <w:tcPr>
            <w:tcW w:w="716" w:type="dxa"/>
          </w:tcPr>
          <w:p w14:paraId="0AD380A5"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E2</w:t>
            </w:r>
          </w:p>
        </w:tc>
      </w:tr>
      <w:tr w:rsidR="00882F22" w14:paraId="75187D08"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1766" w:type="dxa"/>
          </w:tcPr>
          <w:p w14:paraId="2A1CE2EF"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313ABBF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Students incorrectly stated the maximum value of the objective function.</w:t>
            </w:r>
          </w:p>
        </w:tc>
        <w:tc>
          <w:tcPr>
            <w:tcW w:w="716" w:type="dxa"/>
          </w:tcPr>
          <w:p w14:paraId="354A0E6F"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E3</w:t>
            </w:r>
          </w:p>
        </w:tc>
      </w:tr>
      <w:tr w:rsidR="00882F22" w14:paraId="19454AEF"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6" w:type="dxa"/>
          </w:tcPr>
          <w:p w14:paraId="47818B66" w14:textId="77777777" w:rsidR="00882F22" w:rsidRDefault="00882F22">
            <w:pPr>
              <w:pBdr>
                <w:top w:val="nil"/>
                <w:left w:val="nil"/>
                <w:bottom w:val="nil"/>
                <w:right w:val="nil"/>
                <w:between w:val="nil"/>
              </w:pBdr>
              <w:spacing w:after="240"/>
              <w:jc w:val="both"/>
              <w:rPr>
                <w:rFonts w:ascii="Arial" w:eastAsia="Arial" w:hAnsi="Arial" w:cs="Arial"/>
                <w:color w:val="000000"/>
              </w:rPr>
            </w:pPr>
          </w:p>
        </w:tc>
        <w:tc>
          <w:tcPr>
            <w:tcW w:w="5726" w:type="dxa"/>
          </w:tcPr>
          <w:p w14:paraId="4FCDACAF"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The final conclusion was inconsistent with the mathematical calculations.</w:t>
            </w:r>
          </w:p>
        </w:tc>
        <w:tc>
          <w:tcPr>
            <w:tcW w:w="716" w:type="dxa"/>
          </w:tcPr>
          <w:p w14:paraId="20668D3E"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E4</w:t>
            </w:r>
          </w:p>
        </w:tc>
      </w:tr>
    </w:tbl>
    <w:p w14:paraId="12586A46" w14:textId="77777777" w:rsidR="00882F22" w:rsidRDefault="00882F22">
      <w:pPr>
        <w:pBdr>
          <w:top w:val="nil"/>
          <w:left w:val="nil"/>
          <w:bottom w:val="nil"/>
          <w:right w:val="nil"/>
          <w:between w:val="nil"/>
        </w:pBdr>
        <w:jc w:val="both"/>
        <w:rPr>
          <w:rFonts w:ascii="Arial" w:eastAsia="Arial" w:hAnsi="Arial" w:cs="Arial"/>
          <w:color w:val="000000"/>
        </w:rPr>
      </w:pPr>
    </w:p>
    <w:p w14:paraId="64F1C2CA"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Data analysis was conducted in three stages. First, students’ modelling performance was </w:t>
      </w:r>
      <w:proofErr w:type="spellStart"/>
      <w:r>
        <w:rPr>
          <w:rFonts w:ascii="Arial" w:eastAsia="Arial" w:hAnsi="Arial" w:cs="Arial"/>
          <w:color w:val="000000"/>
        </w:rPr>
        <w:t>summarised</w:t>
      </w:r>
      <w:proofErr w:type="spellEnd"/>
      <w:r>
        <w:rPr>
          <w:rFonts w:ascii="Arial" w:eastAsia="Arial" w:hAnsi="Arial" w:cs="Arial"/>
          <w:color w:val="000000"/>
        </w:rPr>
        <w:t xml:space="preserve"> descriptively across modelling stages to identify areas of relative strength and difficulty. Second, error patterns were </w:t>
      </w:r>
      <w:proofErr w:type="spellStart"/>
      <w:r>
        <w:rPr>
          <w:rFonts w:ascii="Arial" w:eastAsia="Arial" w:hAnsi="Arial" w:cs="Arial"/>
          <w:color w:val="000000"/>
        </w:rPr>
        <w:t>analysed</w:t>
      </w:r>
      <w:proofErr w:type="spellEnd"/>
      <w:r>
        <w:rPr>
          <w:rFonts w:ascii="Arial" w:eastAsia="Arial" w:hAnsi="Arial" w:cs="Arial"/>
          <w:color w:val="000000"/>
        </w:rPr>
        <w:t xml:space="preserve"> by calculating the frequency of each error type, allowing identification of the most prevalent categories of errors. Third, cross-pattern analysis was conducted to explore relationships between students’ modelling performance and the types of errors they made. This analysis focused on identifying recurring patterns across individual cases rather than testing statistical relationships, consistent with the exploratory nature of the study.</w:t>
      </w:r>
    </w:p>
    <w:p w14:paraId="29CAA48A" w14:textId="77777777" w:rsidR="00882F22" w:rsidRDefault="00882F22">
      <w:pPr>
        <w:pBdr>
          <w:top w:val="nil"/>
          <w:left w:val="nil"/>
          <w:bottom w:val="nil"/>
          <w:right w:val="nil"/>
          <w:between w:val="nil"/>
        </w:pBdr>
        <w:jc w:val="both"/>
        <w:rPr>
          <w:rFonts w:ascii="Arial" w:eastAsia="Arial" w:hAnsi="Arial" w:cs="Arial"/>
          <w:color w:val="000000"/>
        </w:rPr>
      </w:pPr>
    </w:p>
    <w:p w14:paraId="5E16FDD9" w14:textId="77777777"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enhance trustworthiness and analytical </w:t>
      </w:r>
      <w:proofErr w:type="spellStart"/>
      <w:r>
        <w:rPr>
          <w:rFonts w:ascii="Arial" w:eastAsia="Arial" w:hAnsi="Arial" w:cs="Arial"/>
          <w:color w:val="000000"/>
        </w:rPr>
        <w:t>rigour</w:t>
      </w:r>
      <w:proofErr w:type="spellEnd"/>
      <w:r>
        <w:rPr>
          <w:rFonts w:ascii="Arial" w:eastAsia="Arial" w:hAnsi="Arial" w:cs="Arial"/>
          <w:color w:val="000000"/>
        </w:rPr>
        <w:t xml:space="preserve">, students’ written work was reviewed multiple times to ensure consistency in scoring and error classification </w:t>
      </w:r>
      <w:r w:rsidR="009D4FAE">
        <w:rPr>
          <w:rFonts w:ascii="Arial" w:eastAsia="Arial" w:hAnsi="Arial" w:cs="Arial"/>
          <w:color w:val="000000"/>
        </w:rPr>
        <w:fldChar w:fldCharType="begin" w:fldLock="1"/>
      </w:r>
      <w:r w:rsidR="009D4FAE">
        <w:rPr>
          <w:rFonts w:ascii="Arial" w:eastAsia="Arial" w:hAnsi="Arial" w:cs="Arial"/>
          <w:color w:val="000000"/>
        </w:rPr>
        <w:instrText>ADDIN CSL_CITATION {"citationItems":[{"id":"ITEM-1","itemData":{"DOI":"10.1111/nous.12448","ISSN":"14680068","abstract":"This paper develops a novel, bifocal account of trustworthiness according to which both trustworthiness simpliciter (as in ‘Ann is trustworthy’) and trustworthiness to phi (as in ‘Ann is trustworthy when it comes to keeping your secrets’) are analysed in terms of dispositions to fulfil one's obligations. We also offer a systematic account of the relation between the two types of trustworthiness, an account of degrees of trustworthiness and comparative trustworthiness, as well as a view of permissible trustworthiness attribution.","author":[{"dropping-particle":"","family":"Kelp","given":"Christoph","non-dropping-particle":"","parse-names":false,"suffix":""},{"dropping-particle":"","family":"Simion","given":"Mona","non-dropping-particle":"","parse-names":false,"suffix":""}],"container-title":"Nous","id":"ITEM-1","issue":"3","issued":{"date-parts":[["2023"]]},"page":"667-683","title":"What is trustworthiness?","type":"article-journal","volume":"57"},"uris":["http://www.mendeley.com/documents/?uuid=27c08a03-adab-4161-a12a-6c5f37a3d2de"]},{"id":"ITEM-2","itemData":{"abstract":"Discover the most empowering pathway to improved practice in education! The authors have extensively revised their best-selling book to include the latest investigative methods and reflect the current educational environment. Packed with updated examples, this book is unique in providing the theoretical and historical underpinnings of practitioner action research and all the \"how-to\" information necessary for successful classroom application. New features include: A \"Getting Started\" chapter on initial issues and considerations Additional advice on crafting the research question and research design Up-to-date information on political and ethical considerations New examples of practitioner action research studies","author":[{"dropping-particle":"","family":"Stahl","given":"Norman A.","non-dropping-particle":"","parse-names":false,"suffix":""},{"dropping-particle":"","family":"King","given":"James R.","non-dropping-particle":"","parse-names":false,"suffix":""}],"container-title":"Journal of Developmental Education","id":"ITEM-2","issue":"1","issued":{"date-parts":[["2020"]]},"page":"26-28","title":"Expanding approaches for research: understanding and using trustworthiness in qualitative research","type":"article-journal","volume":"44"},"uris":["http://www.mendeley.com/documents/?uuid=34bd8e5a-8836-4c38-92a7-848831e57eef"]}],"mendeley":{"formattedCitation":"(Kelp &amp; Simion, 2023; Stahl &amp; King, 2020)","plainTextFormattedCitation":"(Kelp &amp; Simion, 2023; Stahl &amp; King, 2020)","previouslyFormattedCitation":"(Kelp &amp; Simion, 2023; Stahl &amp; King, 2020)"},"properties":{"noteIndex":0},"schema":"https://github.com/citation-style-language/schema/raw/master/csl-citation.json"}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(Kelp &amp; Simion, 2023; Stahl &amp; King, 2020)</w:t>
      </w:r>
      <w:r w:rsidR="009D4FAE">
        <w:rPr>
          <w:rFonts w:ascii="Arial" w:eastAsia="Arial" w:hAnsi="Arial" w:cs="Arial"/>
          <w:color w:val="000000"/>
        </w:rPr>
        <w:fldChar w:fldCharType="end"/>
      </w:r>
      <w:r>
        <w:rPr>
          <w:rFonts w:ascii="Arial" w:eastAsia="Arial" w:hAnsi="Arial" w:cs="Arial"/>
          <w:color w:val="000000"/>
        </w:rPr>
        <w:t>. Discrepancies in coding were resolved through repeated examination of student responses. The use of established analytical frameworks for modelling and error analysis further supported the validity of the findings. The study acknowledges its bounded nature, as the analysis was conducted within a single class context.</w:t>
      </w:r>
    </w:p>
    <w:p w14:paraId="30E4BA89" w14:textId="1DC477A9" w:rsidR="006442BF" w:rsidRDefault="006442BF" w:rsidP="009D4FAE">
      <w:pPr>
        <w:pBdr>
          <w:top w:val="nil"/>
          <w:left w:val="nil"/>
          <w:bottom w:val="nil"/>
          <w:right w:val="nil"/>
          <w:between w:val="nil"/>
        </w:pBdr>
        <w:jc w:val="both"/>
        <w:rPr>
          <w:rFonts w:ascii="Arial" w:eastAsia="Arial" w:hAnsi="Arial" w:cs="Arial"/>
          <w:color w:val="000000"/>
        </w:rPr>
      </w:pPr>
      <w:r w:rsidRPr="006442BF">
        <w:rPr>
          <w:rFonts w:ascii="Arial" w:eastAsia="Arial" w:hAnsi="Arial" w:cs="Arial"/>
          <w:color w:val="000000"/>
        </w:rPr>
        <w:lastRenderedPageBreak/>
        <w:t xml:space="preserve">Ethical considerations were addressed prior to data collection. Students were informed that their responses would be used for research purposes, and participation was voluntary. Informed consent was obtained from all participants, and all data were </w:t>
      </w:r>
      <w:proofErr w:type="spellStart"/>
      <w:r w:rsidRPr="006442BF">
        <w:rPr>
          <w:rFonts w:ascii="Arial" w:eastAsia="Arial" w:hAnsi="Arial" w:cs="Arial"/>
          <w:color w:val="000000"/>
        </w:rPr>
        <w:t>anonymised</w:t>
      </w:r>
      <w:proofErr w:type="spellEnd"/>
      <w:r w:rsidRPr="006442BF">
        <w:rPr>
          <w:rFonts w:ascii="Arial" w:eastAsia="Arial" w:hAnsi="Arial" w:cs="Arial"/>
          <w:color w:val="000000"/>
        </w:rPr>
        <w:t xml:space="preserve"> to ensure confidentiality.</w:t>
      </w:r>
    </w:p>
    <w:p w14:paraId="3F5D1EEB" w14:textId="77777777" w:rsidR="00AA562C" w:rsidRDefault="00AA562C" w:rsidP="009D4FAE">
      <w:pPr>
        <w:pBdr>
          <w:top w:val="nil"/>
          <w:left w:val="nil"/>
          <w:bottom w:val="nil"/>
          <w:right w:val="nil"/>
          <w:between w:val="nil"/>
        </w:pBdr>
        <w:jc w:val="both"/>
        <w:rPr>
          <w:rFonts w:ascii="Arial" w:eastAsia="Arial" w:hAnsi="Arial" w:cs="Arial"/>
          <w:color w:val="000000"/>
        </w:rPr>
      </w:pPr>
    </w:p>
    <w:p w14:paraId="56D51055"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46E05DF4" w14:textId="77777777" w:rsidR="00882F22" w:rsidRDefault="00882F22">
      <w:pPr>
        <w:keepNext/>
        <w:pBdr>
          <w:top w:val="nil"/>
          <w:left w:val="nil"/>
          <w:bottom w:val="nil"/>
          <w:right w:val="nil"/>
          <w:between w:val="nil"/>
        </w:pBdr>
        <w:jc w:val="both"/>
        <w:rPr>
          <w:rFonts w:ascii="Arial" w:eastAsia="Arial" w:hAnsi="Arial" w:cs="Arial"/>
          <w:b/>
          <w:bCs/>
          <w:smallCaps/>
          <w:color w:val="000000"/>
          <w:sz w:val="22"/>
          <w:szCs w:val="22"/>
        </w:rPr>
      </w:pPr>
    </w:p>
    <w:p w14:paraId="288121A6" w14:textId="77777777" w:rsidR="00882F22" w:rsidRDefault="003A1DB3">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3. 1. </w:t>
      </w:r>
      <w:r>
        <w:rPr>
          <w:rFonts w:ascii="Arial" w:eastAsia="Arial" w:hAnsi="Arial" w:cs="Arial"/>
          <w:b/>
          <w:bCs/>
          <w:color w:val="000000"/>
          <w:sz w:val="22"/>
          <w:szCs w:val="22"/>
        </w:rPr>
        <w:t>Students’ Performance Across Modelling Stages</w:t>
      </w:r>
    </w:p>
    <w:p w14:paraId="7CF4A622"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address the first research question, students’ performance across the stages of the mathematical modelling process was </w:t>
      </w:r>
      <w:proofErr w:type="spellStart"/>
      <w:r>
        <w:rPr>
          <w:rFonts w:ascii="Arial" w:eastAsia="Arial" w:hAnsi="Arial" w:cs="Arial"/>
          <w:color w:val="000000"/>
        </w:rPr>
        <w:t>analysed</w:t>
      </w:r>
      <w:proofErr w:type="spellEnd"/>
      <w:r>
        <w:rPr>
          <w:rFonts w:ascii="Arial" w:eastAsia="Arial" w:hAnsi="Arial" w:cs="Arial"/>
          <w:color w:val="000000"/>
        </w:rPr>
        <w:t>. Students’ written responses were evaluated based on seven modelling stages, namely understanding the problem, simplifying and structuring, mathematising, working mathematically, interpreting, validating, and communicating. Descriptive statistics were computed for each stage to provide an overview of students’ performance patterns. Table 2 presents the descriptive statistics of students’ modelling performance across the modelling stages.</w:t>
      </w:r>
    </w:p>
    <w:p w14:paraId="50965578" w14:textId="77777777" w:rsidR="00882F22" w:rsidRDefault="00882F22">
      <w:pPr>
        <w:pBdr>
          <w:top w:val="nil"/>
          <w:left w:val="nil"/>
          <w:bottom w:val="nil"/>
          <w:right w:val="nil"/>
          <w:between w:val="nil"/>
        </w:pBdr>
        <w:jc w:val="both"/>
        <w:rPr>
          <w:rFonts w:ascii="Arial" w:eastAsia="Arial" w:hAnsi="Arial" w:cs="Arial"/>
          <w:color w:val="000000"/>
        </w:rPr>
      </w:pPr>
    </w:p>
    <w:p w14:paraId="3259C4D2" w14:textId="77777777" w:rsidR="00882F22" w:rsidRDefault="003A1DB3">
      <w:pPr>
        <w:tabs>
          <w:tab w:val="left" w:pos="1080"/>
        </w:tabs>
        <w:jc w:val="both"/>
        <w:rPr>
          <w:rFonts w:ascii="Arial" w:eastAsia="Arial" w:hAnsi="Arial" w:cs="Arial"/>
          <w:b/>
          <w:bCs/>
        </w:rPr>
      </w:pPr>
      <w:r>
        <w:rPr>
          <w:rFonts w:ascii="Arial" w:eastAsia="Arial" w:hAnsi="Arial" w:cs="Arial"/>
          <w:b/>
          <w:bCs/>
        </w:rPr>
        <w:t>Table 2. Descriptive Statistics of Students’ Modelling Performance Across Modelling Stages</w:t>
      </w:r>
    </w:p>
    <w:tbl>
      <w:tblPr>
        <w:tblStyle w:val="a1"/>
        <w:tblW w:w="6987" w:type="dxa"/>
        <w:tblInd w:w="0" w:type="dxa"/>
        <w:tblBorders>
          <w:top w:val="single" w:sz="4" w:space="0" w:color="7F7F7F"/>
          <w:bottom w:val="single" w:sz="4" w:space="0" w:color="7F7F7F"/>
        </w:tblBorders>
        <w:tblLayout w:type="fixed"/>
        <w:tblLook w:val="04A0" w:firstRow="1" w:lastRow="0" w:firstColumn="1" w:lastColumn="0" w:noHBand="0" w:noVBand="1"/>
      </w:tblPr>
      <w:tblGrid>
        <w:gridCol w:w="2828"/>
        <w:gridCol w:w="1496"/>
        <w:gridCol w:w="1496"/>
        <w:gridCol w:w="561"/>
        <w:gridCol w:w="606"/>
      </w:tblGrid>
      <w:tr w:rsidR="00882F22" w14:paraId="060E069E" w14:textId="77777777" w:rsidTr="00882F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7F7F7F"/>
              <w:bottom w:val="single" w:sz="4" w:space="0" w:color="000000"/>
            </w:tcBorders>
          </w:tcPr>
          <w:p w14:paraId="38E0792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Modelling Stage</w:t>
            </w:r>
          </w:p>
        </w:tc>
        <w:tc>
          <w:tcPr>
            <w:tcW w:w="1496" w:type="dxa"/>
            <w:tcBorders>
              <w:top w:val="single" w:sz="4" w:space="0" w:color="7F7F7F"/>
              <w:bottom w:val="single" w:sz="4" w:space="0" w:color="000000"/>
            </w:tcBorders>
          </w:tcPr>
          <w:p w14:paraId="16952809"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Mean Score</w:t>
            </w:r>
          </w:p>
        </w:tc>
        <w:tc>
          <w:tcPr>
            <w:tcW w:w="1496" w:type="dxa"/>
            <w:tcBorders>
              <w:top w:val="single" w:sz="4" w:space="0" w:color="7F7F7F"/>
              <w:bottom w:val="single" w:sz="4" w:space="0" w:color="000000"/>
            </w:tcBorders>
          </w:tcPr>
          <w:p w14:paraId="732DAAB2"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SD</w:t>
            </w:r>
          </w:p>
        </w:tc>
        <w:tc>
          <w:tcPr>
            <w:tcW w:w="561" w:type="dxa"/>
            <w:tcBorders>
              <w:top w:val="single" w:sz="4" w:space="0" w:color="7F7F7F"/>
              <w:bottom w:val="single" w:sz="4" w:space="0" w:color="000000"/>
            </w:tcBorders>
          </w:tcPr>
          <w:p w14:paraId="39FA6F2B"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Min</w:t>
            </w:r>
          </w:p>
        </w:tc>
        <w:tc>
          <w:tcPr>
            <w:tcW w:w="606" w:type="dxa"/>
            <w:tcBorders>
              <w:top w:val="single" w:sz="4" w:space="0" w:color="7F7F7F"/>
              <w:bottom w:val="single" w:sz="4" w:space="0" w:color="000000"/>
            </w:tcBorders>
          </w:tcPr>
          <w:p w14:paraId="57878BE0"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Max</w:t>
            </w:r>
          </w:p>
        </w:tc>
      </w:tr>
      <w:tr w:rsidR="00882F22" w14:paraId="3A0D7C0C"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000000"/>
              <w:bottom w:val="nil"/>
            </w:tcBorders>
          </w:tcPr>
          <w:p w14:paraId="632080A3"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Understanding the problem</w:t>
            </w:r>
          </w:p>
        </w:tc>
        <w:tc>
          <w:tcPr>
            <w:tcW w:w="1496" w:type="dxa"/>
            <w:tcBorders>
              <w:top w:val="single" w:sz="4" w:space="0" w:color="000000"/>
              <w:bottom w:val="nil"/>
            </w:tcBorders>
          </w:tcPr>
          <w:p w14:paraId="70F3D19E" w14:textId="7613E970"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r w:rsidR="006442BF">
              <w:rPr>
                <w:rFonts w:ascii="Arial" w:eastAsia="Arial" w:hAnsi="Arial" w:cs="Arial"/>
                <w:color w:val="000000"/>
              </w:rPr>
              <w:t>.</w:t>
            </w:r>
            <w:r>
              <w:rPr>
                <w:rFonts w:ascii="Arial" w:eastAsia="Arial" w:hAnsi="Arial" w:cs="Arial"/>
                <w:color w:val="000000"/>
              </w:rPr>
              <w:t>875</w:t>
            </w:r>
          </w:p>
        </w:tc>
        <w:tc>
          <w:tcPr>
            <w:tcW w:w="1496" w:type="dxa"/>
            <w:tcBorders>
              <w:top w:val="single" w:sz="4" w:space="0" w:color="000000"/>
              <w:bottom w:val="nil"/>
            </w:tcBorders>
          </w:tcPr>
          <w:p w14:paraId="54BD8386" w14:textId="16EC991D"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4484272031</w:t>
            </w:r>
          </w:p>
        </w:tc>
        <w:tc>
          <w:tcPr>
            <w:tcW w:w="561" w:type="dxa"/>
            <w:tcBorders>
              <w:top w:val="single" w:sz="4" w:space="0" w:color="000000"/>
              <w:bottom w:val="nil"/>
            </w:tcBorders>
          </w:tcPr>
          <w:p w14:paraId="056B7F87"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606" w:type="dxa"/>
            <w:tcBorders>
              <w:top w:val="single" w:sz="4" w:space="0" w:color="000000"/>
              <w:bottom w:val="nil"/>
            </w:tcBorders>
          </w:tcPr>
          <w:p w14:paraId="08081B57"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7887253D"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325CAEFA"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Simplifying/Structuring</w:t>
            </w:r>
          </w:p>
        </w:tc>
        <w:tc>
          <w:tcPr>
            <w:tcW w:w="1496" w:type="dxa"/>
            <w:tcBorders>
              <w:top w:val="nil"/>
              <w:bottom w:val="nil"/>
            </w:tcBorders>
          </w:tcPr>
          <w:p w14:paraId="28B185C3" w14:textId="1E57EC99"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r w:rsidR="006442BF">
              <w:rPr>
                <w:rFonts w:ascii="Arial" w:eastAsia="Arial" w:hAnsi="Arial" w:cs="Arial"/>
                <w:color w:val="000000"/>
              </w:rPr>
              <w:t>.</w:t>
            </w:r>
            <w:r>
              <w:rPr>
                <w:rFonts w:ascii="Arial" w:eastAsia="Arial" w:hAnsi="Arial" w:cs="Arial"/>
                <w:color w:val="000000"/>
              </w:rPr>
              <w:t>875</w:t>
            </w:r>
          </w:p>
        </w:tc>
        <w:tc>
          <w:tcPr>
            <w:tcW w:w="1496" w:type="dxa"/>
            <w:tcBorders>
              <w:top w:val="nil"/>
              <w:bottom w:val="nil"/>
            </w:tcBorders>
          </w:tcPr>
          <w:p w14:paraId="3D65549E" w14:textId="4B0D89C8"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4484272031</w:t>
            </w:r>
          </w:p>
        </w:tc>
        <w:tc>
          <w:tcPr>
            <w:tcW w:w="561" w:type="dxa"/>
            <w:tcBorders>
              <w:top w:val="nil"/>
              <w:bottom w:val="nil"/>
            </w:tcBorders>
          </w:tcPr>
          <w:p w14:paraId="736C15E0"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606" w:type="dxa"/>
            <w:tcBorders>
              <w:top w:val="nil"/>
              <w:bottom w:val="nil"/>
            </w:tcBorders>
          </w:tcPr>
          <w:p w14:paraId="14902278"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0DC3C406"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73AC989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Mathematising</w:t>
            </w:r>
          </w:p>
        </w:tc>
        <w:tc>
          <w:tcPr>
            <w:tcW w:w="1496" w:type="dxa"/>
            <w:tcBorders>
              <w:top w:val="nil"/>
              <w:bottom w:val="nil"/>
            </w:tcBorders>
          </w:tcPr>
          <w:p w14:paraId="3F667D0C" w14:textId="12DA06BA"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r w:rsidR="006442BF">
              <w:rPr>
                <w:rFonts w:ascii="Arial" w:eastAsia="Arial" w:hAnsi="Arial" w:cs="Arial"/>
                <w:color w:val="000000"/>
              </w:rPr>
              <w:t>.</w:t>
            </w:r>
            <w:r>
              <w:rPr>
                <w:rFonts w:ascii="Arial" w:eastAsia="Arial" w:hAnsi="Arial" w:cs="Arial"/>
                <w:color w:val="000000"/>
              </w:rPr>
              <w:t>75</w:t>
            </w:r>
          </w:p>
        </w:tc>
        <w:tc>
          <w:tcPr>
            <w:tcW w:w="1496" w:type="dxa"/>
            <w:tcBorders>
              <w:top w:val="nil"/>
              <w:bottom w:val="nil"/>
            </w:tcBorders>
          </w:tcPr>
          <w:p w14:paraId="59D80502" w14:textId="759A4C16"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6079187589</w:t>
            </w:r>
          </w:p>
        </w:tc>
        <w:tc>
          <w:tcPr>
            <w:tcW w:w="561" w:type="dxa"/>
            <w:tcBorders>
              <w:top w:val="nil"/>
              <w:bottom w:val="nil"/>
            </w:tcBorders>
          </w:tcPr>
          <w:p w14:paraId="4F44FAC9"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c>
          <w:tcPr>
            <w:tcW w:w="606" w:type="dxa"/>
            <w:tcBorders>
              <w:top w:val="nil"/>
              <w:bottom w:val="nil"/>
            </w:tcBorders>
          </w:tcPr>
          <w:p w14:paraId="2455E1C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315067EC"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2A43D227"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Working mathematically</w:t>
            </w:r>
          </w:p>
        </w:tc>
        <w:tc>
          <w:tcPr>
            <w:tcW w:w="1496" w:type="dxa"/>
            <w:tcBorders>
              <w:top w:val="nil"/>
              <w:bottom w:val="nil"/>
            </w:tcBorders>
          </w:tcPr>
          <w:p w14:paraId="06E1EFF3" w14:textId="3B82C34F"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r w:rsidR="006442BF">
              <w:rPr>
                <w:rFonts w:ascii="Arial" w:eastAsia="Arial" w:hAnsi="Arial" w:cs="Arial"/>
                <w:color w:val="000000"/>
              </w:rPr>
              <w:t>.</w:t>
            </w:r>
            <w:r>
              <w:rPr>
                <w:rFonts w:ascii="Arial" w:eastAsia="Arial" w:hAnsi="Arial" w:cs="Arial"/>
                <w:color w:val="000000"/>
              </w:rPr>
              <w:t>291666667</w:t>
            </w:r>
          </w:p>
        </w:tc>
        <w:tc>
          <w:tcPr>
            <w:tcW w:w="1496" w:type="dxa"/>
            <w:tcBorders>
              <w:top w:val="nil"/>
              <w:bottom w:val="nil"/>
            </w:tcBorders>
          </w:tcPr>
          <w:p w14:paraId="24BEDF39" w14:textId="4BA704A8"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7506036218</w:t>
            </w:r>
          </w:p>
        </w:tc>
        <w:tc>
          <w:tcPr>
            <w:tcW w:w="561" w:type="dxa"/>
            <w:tcBorders>
              <w:top w:val="nil"/>
              <w:bottom w:val="nil"/>
            </w:tcBorders>
          </w:tcPr>
          <w:p w14:paraId="49864C0C"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nil"/>
            </w:tcBorders>
          </w:tcPr>
          <w:p w14:paraId="402046FE"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196E93BF"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74AFA6E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Interpreting</w:t>
            </w:r>
          </w:p>
        </w:tc>
        <w:tc>
          <w:tcPr>
            <w:tcW w:w="1496" w:type="dxa"/>
            <w:tcBorders>
              <w:top w:val="nil"/>
              <w:bottom w:val="nil"/>
            </w:tcBorders>
          </w:tcPr>
          <w:p w14:paraId="11A36B94" w14:textId="5D1253DB"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375</w:t>
            </w:r>
          </w:p>
        </w:tc>
        <w:tc>
          <w:tcPr>
            <w:tcW w:w="1496" w:type="dxa"/>
            <w:tcBorders>
              <w:top w:val="nil"/>
              <w:bottom w:val="nil"/>
            </w:tcBorders>
          </w:tcPr>
          <w:p w14:paraId="4562B6F3" w14:textId="4EE9D84F"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8242255917</w:t>
            </w:r>
          </w:p>
        </w:tc>
        <w:tc>
          <w:tcPr>
            <w:tcW w:w="561" w:type="dxa"/>
            <w:tcBorders>
              <w:top w:val="nil"/>
              <w:bottom w:val="nil"/>
            </w:tcBorders>
          </w:tcPr>
          <w:p w14:paraId="77116C3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nil"/>
            </w:tcBorders>
          </w:tcPr>
          <w:p w14:paraId="7271F91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55A8FB0F" w14:textId="77777777" w:rsidTr="00882F22">
        <w:trPr>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nil"/>
            </w:tcBorders>
          </w:tcPr>
          <w:p w14:paraId="4226C181"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Validating</w:t>
            </w:r>
          </w:p>
        </w:tc>
        <w:tc>
          <w:tcPr>
            <w:tcW w:w="1496" w:type="dxa"/>
            <w:tcBorders>
              <w:top w:val="nil"/>
              <w:bottom w:val="nil"/>
            </w:tcBorders>
          </w:tcPr>
          <w:p w14:paraId="63DA57C4" w14:textId="4CAAC31A"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3333333333</w:t>
            </w:r>
          </w:p>
        </w:tc>
        <w:tc>
          <w:tcPr>
            <w:tcW w:w="1496" w:type="dxa"/>
            <w:tcBorders>
              <w:top w:val="nil"/>
              <w:bottom w:val="nil"/>
            </w:tcBorders>
          </w:tcPr>
          <w:p w14:paraId="4A65D53E" w14:textId="619F0D08"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8164965809</w:t>
            </w:r>
          </w:p>
        </w:tc>
        <w:tc>
          <w:tcPr>
            <w:tcW w:w="561" w:type="dxa"/>
            <w:tcBorders>
              <w:top w:val="nil"/>
              <w:bottom w:val="nil"/>
            </w:tcBorders>
          </w:tcPr>
          <w:p w14:paraId="3FB2799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nil"/>
            </w:tcBorders>
          </w:tcPr>
          <w:p w14:paraId="3CEFC6C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r w:rsidR="00882F22" w14:paraId="3B79978B" w14:textId="77777777" w:rsidTr="00882F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8" w:type="dxa"/>
            <w:tcBorders>
              <w:top w:val="nil"/>
              <w:bottom w:val="single" w:sz="4" w:space="0" w:color="000000"/>
            </w:tcBorders>
          </w:tcPr>
          <w:p w14:paraId="4EB44E9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Communicating</w:t>
            </w:r>
          </w:p>
        </w:tc>
        <w:tc>
          <w:tcPr>
            <w:tcW w:w="1496" w:type="dxa"/>
            <w:tcBorders>
              <w:top w:val="nil"/>
              <w:bottom w:val="single" w:sz="4" w:space="0" w:color="000000"/>
            </w:tcBorders>
          </w:tcPr>
          <w:p w14:paraId="763785B0" w14:textId="2DE77C50"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5</w:t>
            </w:r>
          </w:p>
        </w:tc>
        <w:tc>
          <w:tcPr>
            <w:tcW w:w="1496" w:type="dxa"/>
            <w:tcBorders>
              <w:top w:val="nil"/>
              <w:bottom w:val="single" w:sz="4" w:space="0" w:color="000000"/>
            </w:tcBorders>
          </w:tcPr>
          <w:p w14:paraId="4B10AFCA" w14:textId="4EDB9023"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r w:rsidR="006442BF">
              <w:rPr>
                <w:rFonts w:ascii="Arial" w:eastAsia="Arial" w:hAnsi="Arial" w:cs="Arial"/>
                <w:color w:val="000000"/>
              </w:rPr>
              <w:t>.</w:t>
            </w:r>
            <w:r>
              <w:rPr>
                <w:rFonts w:ascii="Arial" w:eastAsia="Arial" w:hAnsi="Arial" w:cs="Arial"/>
                <w:color w:val="000000"/>
              </w:rPr>
              <w:t>9780192938</w:t>
            </w:r>
          </w:p>
        </w:tc>
        <w:tc>
          <w:tcPr>
            <w:tcW w:w="561" w:type="dxa"/>
            <w:tcBorders>
              <w:top w:val="nil"/>
              <w:bottom w:val="single" w:sz="4" w:space="0" w:color="000000"/>
            </w:tcBorders>
          </w:tcPr>
          <w:p w14:paraId="5A34C627"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w:t>
            </w:r>
          </w:p>
        </w:tc>
        <w:tc>
          <w:tcPr>
            <w:tcW w:w="606" w:type="dxa"/>
            <w:tcBorders>
              <w:top w:val="nil"/>
              <w:bottom w:val="single" w:sz="4" w:space="0" w:color="000000"/>
            </w:tcBorders>
          </w:tcPr>
          <w:p w14:paraId="35A2A3F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w:t>
            </w:r>
          </w:p>
        </w:tc>
      </w:tr>
    </w:tbl>
    <w:p w14:paraId="42B794A6" w14:textId="77777777" w:rsidR="00882F22" w:rsidRDefault="00882F22">
      <w:pPr>
        <w:pBdr>
          <w:top w:val="nil"/>
          <w:left w:val="nil"/>
          <w:bottom w:val="nil"/>
          <w:right w:val="nil"/>
          <w:between w:val="nil"/>
        </w:pBdr>
        <w:jc w:val="both"/>
        <w:rPr>
          <w:rFonts w:ascii="Arial" w:eastAsia="Arial" w:hAnsi="Arial" w:cs="Arial"/>
          <w:color w:val="FF0000"/>
        </w:rPr>
      </w:pPr>
    </w:p>
    <w:p w14:paraId="17CE8663"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2 presents the descriptive statistics of students’ modelling performance across the seven modelling stages. Students demonstrated strong performance in the initial stages of the modelling process, with high mean scores for understanding the problem (M = 2.88), simplifying and structuring (M = 2.88), and mathematising (M = 2.75). These results indicate that most students were able to interpret the problem context, identify relevant information, and construct an appropriate mathematical model.</w:t>
      </w:r>
    </w:p>
    <w:p w14:paraId="690654E3" w14:textId="77777777" w:rsidR="00882F22" w:rsidRDefault="00882F22">
      <w:pPr>
        <w:pBdr>
          <w:top w:val="nil"/>
          <w:left w:val="nil"/>
          <w:bottom w:val="nil"/>
          <w:right w:val="nil"/>
          <w:between w:val="nil"/>
        </w:pBdr>
        <w:jc w:val="both"/>
        <w:rPr>
          <w:rFonts w:ascii="Arial" w:eastAsia="Arial" w:hAnsi="Arial" w:cs="Arial"/>
          <w:color w:val="000000"/>
        </w:rPr>
      </w:pPr>
    </w:p>
    <w:p w14:paraId="32F368E6"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a substantial decline was observed in the working mathematically stage (M = 1.29), suggesting that students encountered difficulties in carrying out the algorithmic procedures required to solve the model using the simplex method. Performance further declined in the interpreting (M = 0.38), validating (M = 0.33), and communicating (M = 0.50) stages. These findings indicate that although students were generally capable of formulating a correct mathematical model, many struggled to execute the simplex procedure accurately and to interpret or communicate the results meaningfully.</w:t>
      </w:r>
    </w:p>
    <w:p w14:paraId="3F0C10A1" w14:textId="77777777" w:rsidR="00882F22" w:rsidRDefault="00882F22">
      <w:pPr>
        <w:pBdr>
          <w:top w:val="nil"/>
          <w:left w:val="nil"/>
          <w:bottom w:val="nil"/>
          <w:right w:val="nil"/>
          <w:between w:val="nil"/>
        </w:pBdr>
        <w:jc w:val="both"/>
        <w:rPr>
          <w:rFonts w:ascii="Arial" w:eastAsia="Arial" w:hAnsi="Arial" w:cs="Arial"/>
          <w:color w:val="FF0000"/>
        </w:rPr>
      </w:pPr>
    </w:p>
    <w:p w14:paraId="4CE6B87E" w14:textId="77777777" w:rsidR="00882F22" w:rsidRDefault="003A1DB3">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color w:val="000000"/>
          <w:sz w:val="22"/>
          <w:szCs w:val="22"/>
        </w:rPr>
        <w:t>3.2 Types of Errors Observed</w:t>
      </w:r>
    </w:p>
    <w:p w14:paraId="4A40A8F7" w14:textId="77777777" w:rsidR="00882F22" w:rsidRDefault="00882F22">
      <w:pPr>
        <w:pBdr>
          <w:top w:val="nil"/>
          <w:left w:val="nil"/>
          <w:bottom w:val="nil"/>
          <w:right w:val="nil"/>
          <w:between w:val="nil"/>
        </w:pBdr>
        <w:jc w:val="both"/>
        <w:rPr>
          <w:rFonts w:ascii="Arial" w:eastAsia="Arial" w:hAnsi="Arial" w:cs="Arial"/>
          <w:color w:val="000000"/>
        </w:rPr>
      </w:pPr>
    </w:p>
    <w:p w14:paraId="2D9EFADA"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address the second research question, students’ written responses were </w:t>
      </w:r>
      <w:proofErr w:type="spellStart"/>
      <w:r>
        <w:rPr>
          <w:rFonts w:ascii="Arial" w:eastAsia="Arial" w:hAnsi="Arial" w:cs="Arial"/>
          <w:color w:val="000000"/>
        </w:rPr>
        <w:t>analysed</w:t>
      </w:r>
      <w:proofErr w:type="spellEnd"/>
      <w:r>
        <w:rPr>
          <w:rFonts w:ascii="Arial" w:eastAsia="Arial" w:hAnsi="Arial" w:cs="Arial"/>
          <w:color w:val="000000"/>
        </w:rPr>
        <w:t xml:space="preserve"> to identify the types of errors made when solving the linear programming problem using the simplex method. Errors were classified based on an established error analysis framework, consisting of reading, comprehension, transformation, process skill, and encoding errors. Table 3 presents the frequency of each error type identified in students’ solutions.</w:t>
      </w:r>
    </w:p>
    <w:p w14:paraId="470A3EFB" w14:textId="77777777" w:rsidR="00882F22" w:rsidRDefault="00882F22">
      <w:pPr>
        <w:pBdr>
          <w:top w:val="nil"/>
          <w:left w:val="nil"/>
          <w:bottom w:val="nil"/>
          <w:right w:val="nil"/>
          <w:between w:val="nil"/>
        </w:pBdr>
        <w:jc w:val="both"/>
        <w:rPr>
          <w:rFonts w:ascii="Arial" w:eastAsia="Arial" w:hAnsi="Arial" w:cs="Arial"/>
          <w:color w:val="000000"/>
        </w:rPr>
      </w:pPr>
    </w:p>
    <w:p w14:paraId="6F1F0F74" w14:textId="633285D8" w:rsidR="00882F22" w:rsidRDefault="003A1DB3">
      <w:pPr>
        <w:tabs>
          <w:tab w:val="left" w:pos="1080"/>
        </w:tabs>
        <w:jc w:val="center"/>
        <w:rPr>
          <w:rFonts w:ascii="Arial" w:eastAsia="Arial" w:hAnsi="Arial" w:cs="Arial"/>
          <w:b/>
          <w:bCs/>
        </w:rPr>
      </w:pPr>
      <w:r>
        <w:rPr>
          <w:rFonts w:ascii="Arial" w:eastAsia="Arial" w:hAnsi="Arial" w:cs="Arial"/>
          <w:b/>
          <w:bCs/>
        </w:rPr>
        <w:t>Table 3. Frequency of Error Types Observed in Students’ Solutions</w:t>
      </w:r>
    </w:p>
    <w:p w14:paraId="15A0C10A" w14:textId="77777777" w:rsidR="00882F22" w:rsidRDefault="00882F22">
      <w:pPr>
        <w:tabs>
          <w:tab w:val="left" w:pos="1080"/>
        </w:tabs>
        <w:jc w:val="both"/>
        <w:rPr>
          <w:rFonts w:ascii="Arial" w:eastAsia="Arial" w:hAnsi="Arial" w:cs="Arial"/>
          <w:b/>
          <w:bCs/>
        </w:rPr>
      </w:pPr>
    </w:p>
    <w:tbl>
      <w:tblPr>
        <w:tblStyle w:val="a2"/>
        <w:tblW w:w="4228"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739"/>
        <w:gridCol w:w="1261"/>
        <w:gridCol w:w="1228"/>
      </w:tblGrid>
      <w:tr w:rsidR="00882F22" w14:paraId="1134E68C" w14:textId="77777777" w:rsidTr="00882F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single" w:sz="4" w:space="0" w:color="7F7F7F"/>
              <w:bottom w:val="single" w:sz="4" w:space="0" w:color="000000"/>
            </w:tcBorders>
          </w:tcPr>
          <w:p w14:paraId="531A65B0"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Error Category</w:t>
            </w:r>
          </w:p>
        </w:tc>
        <w:tc>
          <w:tcPr>
            <w:tcW w:w="1261" w:type="dxa"/>
            <w:tcBorders>
              <w:top w:val="single" w:sz="4" w:space="0" w:color="7F7F7F"/>
              <w:bottom w:val="single" w:sz="4" w:space="0" w:color="000000"/>
            </w:tcBorders>
          </w:tcPr>
          <w:p w14:paraId="36BBEE99"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Error Code</w:t>
            </w:r>
          </w:p>
        </w:tc>
        <w:tc>
          <w:tcPr>
            <w:tcW w:w="1228" w:type="dxa"/>
            <w:tcBorders>
              <w:top w:val="single" w:sz="4" w:space="0" w:color="7F7F7F"/>
              <w:bottom w:val="single" w:sz="4" w:space="0" w:color="000000"/>
            </w:tcBorders>
          </w:tcPr>
          <w:p w14:paraId="62BD3F5E"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Frequency</w:t>
            </w:r>
          </w:p>
        </w:tc>
      </w:tr>
      <w:tr w:rsidR="00882F22" w14:paraId="4573ED8E"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single" w:sz="4" w:space="0" w:color="000000"/>
              <w:bottom w:val="nil"/>
            </w:tcBorders>
          </w:tcPr>
          <w:p w14:paraId="357D43D4"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Reading</w:t>
            </w:r>
          </w:p>
        </w:tc>
        <w:tc>
          <w:tcPr>
            <w:tcW w:w="1261" w:type="dxa"/>
            <w:tcBorders>
              <w:top w:val="single" w:sz="4" w:space="0" w:color="000000"/>
              <w:bottom w:val="nil"/>
            </w:tcBorders>
          </w:tcPr>
          <w:p w14:paraId="219FF3FC"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R1</w:t>
            </w:r>
          </w:p>
        </w:tc>
        <w:tc>
          <w:tcPr>
            <w:tcW w:w="1228" w:type="dxa"/>
            <w:tcBorders>
              <w:top w:val="single" w:sz="4" w:space="0" w:color="000000"/>
              <w:bottom w:val="nil"/>
            </w:tcBorders>
          </w:tcPr>
          <w:p w14:paraId="105FC778"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r w:rsidR="00882F22" w14:paraId="25F436D9" w14:textId="77777777" w:rsidTr="00882F22">
        <w:trPr>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0B6D4BD0"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Comprehension</w:t>
            </w:r>
          </w:p>
        </w:tc>
        <w:tc>
          <w:tcPr>
            <w:tcW w:w="1261" w:type="dxa"/>
            <w:tcBorders>
              <w:top w:val="nil"/>
              <w:bottom w:val="nil"/>
            </w:tcBorders>
          </w:tcPr>
          <w:p w14:paraId="7B021B43"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C3</w:t>
            </w:r>
          </w:p>
        </w:tc>
        <w:tc>
          <w:tcPr>
            <w:tcW w:w="1228" w:type="dxa"/>
            <w:tcBorders>
              <w:top w:val="nil"/>
              <w:bottom w:val="nil"/>
            </w:tcBorders>
          </w:tcPr>
          <w:p w14:paraId="1ADCDC18"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p>
        </w:tc>
      </w:tr>
      <w:tr w:rsidR="00882F22" w14:paraId="374328E1"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24E8EA2A"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lastRenderedPageBreak/>
              <w:t>Transformation</w:t>
            </w:r>
          </w:p>
        </w:tc>
        <w:tc>
          <w:tcPr>
            <w:tcW w:w="1261" w:type="dxa"/>
            <w:tcBorders>
              <w:top w:val="nil"/>
              <w:bottom w:val="nil"/>
            </w:tcBorders>
          </w:tcPr>
          <w:p w14:paraId="166C241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T4</w:t>
            </w:r>
          </w:p>
        </w:tc>
        <w:tc>
          <w:tcPr>
            <w:tcW w:w="1228" w:type="dxa"/>
            <w:tcBorders>
              <w:top w:val="nil"/>
              <w:bottom w:val="nil"/>
            </w:tcBorders>
          </w:tcPr>
          <w:p w14:paraId="4DB1C0E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r w:rsidR="00882F22" w14:paraId="3CE62382" w14:textId="77777777" w:rsidTr="00882F22">
        <w:trPr>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2683FEFB"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1261" w:type="dxa"/>
            <w:tcBorders>
              <w:top w:val="nil"/>
              <w:bottom w:val="nil"/>
            </w:tcBorders>
          </w:tcPr>
          <w:p w14:paraId="30D9A25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P1</w:t>
            </w:r>
          </w:p>
        </w:tc>
        <w:tc>
          <w:tcPr>
            <w:tcW w:w="1228" w:type="dxa"/>
            <w:tcBorders>
              <w:top w:val="nil"/>
              <w:bottom w:val="nil"/>
            </w:tcBorders>
          </w:tcPr>
          <w:p w14:paraId="28360EE5"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p>
        </w:tc>
      </w:tr>
      <w:tr w:rsidR="00882F22" w14:paraId="2DEE26D9"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63ED1488"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1261" w:type="dxa"/>
            <w:tcBorders>
              <w:top w:val="nil"/>
              <w:bottom w:val="nil"/>
            </w:tcBorders>
          </w:tcPr>
          <w:p w14:paraId="19398B3D"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P4</w:t>
            </w:r>
          </w:p>
        </w:tc>
        <w:tc>
          <w:tcPr>
            <w:tcW w:w="1228" w:type="dxa"/>
            <w:tcBorders>
              <w:top w:val="nil"/>
              <w:bottom w:val="nil"/>
            </w:tcBorders>
          </w:tcPr>
          <w:p w14:paraId="4F9F50DE"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15</w:t>
            </w:r>
          </w:p>
        </w:tc>
      </w:tr>
      <w:tr w:rsidR="00882F22" w14:paraId="1686BE44" w14:textId="77777777" w:rsidTr="00882F22">
        <w:trPr>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nil"/>
            </w:tcBorders>
          </w:tcPr>
          <w:p w14:paraId="24551046"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Process Skill</w:t>
            </w:r>
          </w:p>
        </w:tc>
        <w:tc>
          <w:tcPr>
            <w:tcW w:w="1261" w:type="dxa"/>
            <w:tcBorders>
              <w:top w:val="nil"/>
              <w:bottom w:val="nil"/>
            </w:tcBorders>
          </w:tcPr>
          <w:p w14:paraId="6E5E252B"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P5</w:t>
            </w:r>
          </w:p>
        </w:tc>
        <w:tc>
          <w:tcPr>
            <w:tcW w:w="1228" w:type="dxa"/>
            <w:tcBorders>
              <w:top w:val="nil"/>
              <w:bottom w:val="nil"/>
            </w:tcBorders>
          </w:tcPr>
          <w:p w14:paraId="2CC4D75C"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r w:rsidR="00882F22" w14:paraId="6CC29865" w14:textId="77777777" w:rsidTr="00882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tcBorders>
              <w:top w:val="nil"/>
              <w:bottom w:val="single" w:sz="4" w:space="0" w:color="000000"/>
            </w:tcBorders>
          </w:tcPr>
          <w:p w14:paraId="4A3DE203"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Encoding</w:t>
            </w:r>
          </w:p>
        </w:tc>
        <w:tc>
          <w:tcPr>
            <w:tcW w:w="1261" w:type="dxa"/>
            <w:tcBorders>
              <w:top w:val="nil"/>
              <w:bottom w:val="single" w:sz="4" w:space="0" w:color="000000"/>
            </w:tcBorders>
          </w:tcPr>
          <w:p w14:paraId="4314667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E3</w:t>
            </w:r>
          </w:p>
        </w:tc>
        <w:tc>
          <w:tcPr>
            <w:tcW w:w="1228" w:type="dxa"/>
            <w:tcBorders>
              <w:top w:val="nil"/>
              <w:bottom w:val="single" w:sz="4" w:space="0" w:color="000000"/>
            </w:tcBorders>
          </w:tcPr>
          <w:p w14:paraId="00AC4AEA"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tc>
      </w:tr>
    </w:tbl>
    <w:p w14:paraId="005D4D0A" w14:textId="77777777" w:rsidR="00882F22" w:rsidRDefault="00882F22">
      <w:pPr>
        <w:pBdr>
          <w:top w:val="nil"/>
          <w:left w:val="nil"/>
          <w:bottom w:val="nil"/>
          <w:right w:val="nil"/>
          <w:between w:val="nil"/>
        </w:pBdr>
        <w:jc w:val="both"/>
        <w:rPr>
          <w:rFonts w:ascii="Arial" w:eastAsia="Arial" w:hAnsi="Arial" w:cs="Arial"/>
          <w:color w:val="000000"/>
        </w:rPr>
      </w:pPr>
    </w:p>
    <w:p w14:paraId="16611855"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3 presents the frequency of error types observed in students’ solutions. Process skill errors were the most prevalent, with errors related to elementary row operations during simplex iterations (P4) being the most frequent. This indicates that many students encountered difficulties during the algorithmic execution of the simplex method. Errors related to determining pivot elements (P1) and </w:t>
      </w:r>
      <w:proofErr w:type="spellStart"/>
      <w:r>
        <w:rPr>
          <w:rFonts w:ascii="Arial" w:eastAsia="Arial" w:hAnsi="Arial" w:cs="Arial"/>
          <w:color w:val="000000"/>
        </w:rPr>
        <w:t>recognising</w:t>
      </w:r>
      <w:proofErr w:type="spellEnd"/>
      <w:r>
        <w:rPr>
          <w:rFonts w:ascii="Arial" w:eastAsia="Arial" w:hAnsi="Arial" w:cs="Arial"/>
          <w:color w:val="000000"/>
        </w:rPr>
        <w:t xml:space="preserve"> optimality conditions (P5) were also observed, although less frequently. In contrast, reading and comprehension errors occurred relatively infrequently, suggesting that most students were able to interpret the problem context but struggled with procedural execution. Only one student completed the task without any identifiable errors.</w:t>
      </w:r>
    </w:p>
    <w:p w14:paraId="25EF21FD" w14:textId="77777777" w:rsidR="00882F22" w:rsidRDefault="00882F22">
      <w:pPr>
        <w:pBdr>
          <w:top w:val="nil"/>
          <w:left w:val="nil"/>
          <w:bottom w:val="nil"/>
          <w:right w:val="nil"/>
          <w:between w:val="nil"/>
        </w:pBdr>
        <w:jc w:val="both"/>
        <w:rPr>
          <w:rFonts w:ascii="Arial" w:eastAsia="Arial" w:hAnsi="Arial" w:cs="Arial"/>
          <w:color w:val="000000"/>
        </w:rPr>
      </w:pPr>
    </w:p>
    <w:p w14:paraId="61F7B617" w14:textId="77777777" w:rsidR="00882F22" w:rsidRDefault="003A1DB3">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color w:val="000000"/>
          <w:sz w:val="22"/>
          <w:szCs w:val="22"/>
        </w:rPr>
        <w:t>3.3 Patterns Between Modelling Performance and Error Types</w:t>
      </w:r>
    </w:p>
    <w:p w14:paraId="771171D6"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address the third research question, a cross-pattern analysis was conducted to explore the relationship between students’ modelling performance and the types of errors they made. Instead of conducting statistical tests, the analysis focused on identifying recurring patterns across individual cases. Table 4 presents the observed patterns between lower performance in specific modelling stages and the dominant types of errors associated with them.</w:t>
      </w:r>
    </w:p>
    <w:p w14:paraId="734904A4" w14:textId="77777777" w:rsidR="00882F22" w:rsidRDefault="00882F22">
      <w:pPr>
        <w:pBdr>
          <w:top w:val="nil"/>
          <w:left w:val="nil"/>
          <w:bottom w:val="nil"/>
          <w:right w:val="nil"/>
          <w:between w:val="nil"/>
        </w:pBdr>
        <w:jc w:val="both"/>
        <w:rPr>
          <w:rFonts w:ascii="Arial" w:eastAsia="Arial" w:hAnsi="Arial" w:cs="Arial"/>
          <w:color w:val="000000"/>
        </w:rPr>
      </w:pPr>
    </w:p>
    <w:p w14:paraId="534408FA" w14:textId="77777777" w:rsidR="00882F22" w:rsidRDefault="003A1DB3">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Table 4. Relationship Between Modelling Performance and Dominant Error Types</w:t>
      </w:r>
    </w:p>
    <w:tbl>
      <w:tblPr>
        <w:tblStyle w:val="a3"/>
        <w:tblW w:w="7202" w:type="dxa"/>
        <w:tblInd w:w="0" w:type="dxa"/>
        <w:tblBorders>
          <w:top w:val="single" w:sz="4" w:space="0" w:color="7F7F7F"/>
          <w:bottom w:val="single" w:sz="4" w:space="0" w:color="7F7F7F"/>
        </w:tblBorders>
        <w:tblLayout w:type="fixed"/>
        <w:tblLook w:val="04A0" w:firstRow="1" w:lastRow="0" w:firstColumn="1" w:lastColumn="0" w:noHBand="0" w:noVBand="1"/>
      </w:tblPr>
      <w:tblGrid>
        <w:gridCol w:w="2950"/>
        <w:gridCol w:w="4252"/>
      </w:tblGrid>
      <w:tr w:rsidR="00882F22" w14:paraId="09790FCB" w14:textId="77777777" w:rsidTr="0088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7F7F7F"/>
              <w:bottom w:val="single" w:sz="4" w:space="0" w:color="000000"/>
            </w:tcBorders>
          </w:tcPr>
          <w:p w14:paraId="7419535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Modelling Stage (Low Score)</w:t>
            </w:r>
          </w:p>
        </w:tc>
        <w:tc>
          <w:tcPr>
            <w:tcW w:w="4252" w:type="dxa"/>
            <w:tcBorders>
              <w:top w:val="single" w:sz="4" w:space="0" w:color="7F7F7F"/>
              <w:bottom w:val="single" w:sz="4" w:space="0" w:color="000000"/>
            </w:tcBorders>
          </w:tcPr>
          <w:p w14:paraId="0A9ECF08" w14:textId="77777777" w:rsidR="00882F22" w:rsidRDefault="003A1DB3">
            <w:pPr>
              <w:pBdr>
                <w:top w:val="nil"/>
                <w:left w:val="nil"/>
                <w:bottom w:val="nil"/>
                <w:right w:val="nil"/>
                <w:between w:val="nil"/>
              </w:pBdr>
              <w:spacing w:after="2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bCs w:val="0"/>
                <w:color w:val="000000"/>
              </w:rPr>
              <w:t>Dominant Error Type</w:t>
            </w:r>
          </w:p>
        </w:tc>
      </w:tr>
      <w:tr w:rsidR="00882F22" w14:paraId="7EFD308E" w14:textId="77777777" w:rsidTr="0088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000000"/>
              <w:bottom w:val="nil"/>
            </w:tcBorders>
          </w:tcPr>
          <w:p w14:paraId="045FA6D5"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Working mathematically</w:t>
            </w:r>
          </w:p>
        </w:tc>
        <w:tc>
          <w:tcPr>
            <w:tcW w:w="4252" w:type="dxa"/>
            <w:tcBorders>
              <w:top w:val="single" w:sz="4" w:space="0" w:color="000000"/>
              <w:bottom w:val="nil"/>
            </w:tcBorders>
          </w:tcPr>
          <w:p w14:paraId="648FE2D0"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P4 (Row operation / iteration errors)</w:t>
            </w:r>
          </w:p>
        </w:tc>
      </w:tr>
      <w:tr w:rsidR="00882F22" w14:paraId="3AD2EEEB" w14:textId="77777777" w:rsidTr="00882F22">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tcPr>
          <w:p w14:paraId="523CC67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Working mathematically</w:t>
            </w:r>
          </w:p>
        </w:tc>
        <w:tc>
          <w:tcPr>
            <w:tcW w:w="4252" w:type="dxa"/>
            <w:tcBorders>
              <w:top w:val="nil"/>
              <w:bottom w:val="nil"/>
            </w:tcBorders>
          </w:tcPr>
          <w:p w14:paraId="0096F8C9"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P1 (Pivot column selection)</w:t>
            </w:r>
          </w:p>
        </w:tc>
      </w:tr>
      <w:tr w:rsidR="00882F22" w14:paraId="427A5042" w14:textId="77777777" w:rsidTr="0088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tcPr>
          <w:p w14:paraId="4924742E"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Interpreting</w:t>
            </w:r>
          </w:p>
        </w:tc>
        <w:tc>
          <w:tcPr>
            <w:tcW w:w="4252" w:type="dxa"/>
            <w:tcBorders>
              <w:top w:val="nil"/>
              <w:bottom w:val="nil"/>
            </w:tcBorders>
          </w:tcPr>
          <w:p w14:paraId="1689E09B"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P5 (Failure to </w:t>
            </w:r>
            <w:proofErr w:type="spellStart"/>
            <w:r>
              <w:rPr>
                <w:rFonts w:ascii="Arial" w:eastAsia="Arial" w:hAnsi="Arial" w:cs="Arial"/>
                <w:color w:val="000000"/>
              </w:rPr>
              <w:t>recognise</w:t>
            </w:r>
            <w:proofErr w:type="spellEnd"/>
            <w:r>
              <w:rPr>
                <w:rFonts w:ascii="Arial" w:eastAsia="Arial" w:hAnsi="Arial" w:cs="Arial"/>
                <w:color w:val="000000"/>
              </w:rPr>
              <w:t xml:space="preserve"> optimality)</w:t>
            </w:r>
          </w:p>
        </w:tc>
      </w:tr>
      <w:tr w:rsidR="00882F22" w14:paraId="24D71F38" w14:textId="77777777" w:rsidTr="00882F22">
        <w:tc>
          <w:tcPr>
            <w:cnfStyle w:val="001000000000" w:firstRow="0" w:lastRow="0" w:firstColumn="1" w:lastColumn="0" w:oddVBand="0" w:evenVBand="0" w:oddHBand="0" w:evenHBand="0" w:firstRowFirstColumn="0" w:firstRowLastColumn="0" w:lastRowFirstColumn="0" w:lastRowLastColumn="0"/>
            <w:tcW w:w="2950" w:type="dxa"/>
            <w:tcBorders>
              <w:top w:val="nil"/>
              <w:bottom w:val="nil"/>
            </w:tcBorders>
          </w:tcPr>
          <w:p w14:paraId="6965C56C"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Validating</w:t>
            </w:r>
          </w:p>
        </w:tc>
        <w:tc>
          <w:tcPr>
            <w:tcW w:w="4252" w:type="dxa"/>
            <w:tcBorders>
              <w:top w:val="nil"/>
              <w:bottom w:val="nil"/>
            </w:tcBorders>
          </w:tcPr>
          <w:p w14:paraId="0053AB16" w14:textId="77777777" w:rsidR="00882F22" w:rsidRDefault="003A1DB3">
            <w:pPr>
              <w:pBdr>
                <w:top w:val="nil"/>
                <w:left w:val="nil"/>
                <w:bottom w:val="nil"/>
                <w:right w:val="nil"/>
                <w:between w:val="nil"/>
              </w:pBdr>
              <w:spacing w:after="2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P5 / P4</w:t>
            </w:r>
          </w:p>
        </w:tc>
      </w:tr>
      <w:tr w:rsidR="00882F22" w14:paraId="7E399D36" w14:textId="77777777" w:rsidTr="0088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Borders>
              <w:top w:val="nil"/>
              <w:bottom w:val="single" w:sz="4" w:space="0" w:color="000000"/>
            </w:tcBorders>
          </w:tcPr>
          <w:p w14:paraId="6BD571F9" w14:textId="77777777" w:rsidR="00882F22" w:rsidRDefault="003A1DB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val="0"/>
                <w:bCs w:val="0"/>
                <w:color w:val="000000"/>
              </w:rPr>
              <w:t>Communicating</w:t>
            </w:r>
          </w:p>
        </w:tc>
        <w:tc>
          <w:tcPr>
            <w:tcW w:w="4252" w:type="dxa"/>
            <w:tcBorders>
              <w:top w:val="nil"/>
              <w:bottom w:val="single" w:sz="4" w:space="0" w:color="000000"/>
            </w:tcBorders>
          </w:tcPr>
          <w:p w14:paraId="76824262" w14:textId="77777777" w:rsidR="00882F22" w:rsidRDefault="003A1DB3">
            <w:pPr>
              <w:pBdr>
                <w:top w:val="nil"/>
                <w:left w:val="nil"/>
                <w:bottom w:val="nil"/>
                <w:right w:val="nil"/>
                <w:between w:val="nil"/>
              </w:pBdr>
              <w:spacing w:after="2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E3 (Incorrect interpretation of objective value)</w:t>
            </w:r>
          </w:p>
        </w:tc>
      </w:tr>
    </w:tbl>
    <w:p w14:paraId="03512B50" w14:textId="77777777" w:rsidR="00882F22" w:rsidRDefault="00882F22">
      <w:pPr>
        <w:pBdr>
          <w:top w:val="nil"/>
          <w:left w:val="nil"/>
          <w:bottom w:val="nil"/>
          <w:right w:val="nil"/>
          <w:between w:val="nil"/>
        </w:pBdr>
        <w:jc w:val="both"/>
        <w:rPr>
          <w:rFonts w:ascii="Arial" w:eastAsia="Arial" w:hAnsi="Arial" w:cs="Arial"/>
          <w:color w:val="000000"/>
        </w:rPr>
      </w:pPr>
    </w:p>
    <w:p w14:paraId="5BF757EE"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As shown in Table 4, students with lower performance in the working mathematically stage predominantly exhibited process skill errors, particularly those related to elementary row operations (P4). Similarly, difficulties in interpreting and validating stages were associated with errors in </w:t>
      </w:r>
      <w:proofErr w:type="spellStart"/>
      <w:r>
        <w:rPr>
          <w:rFonts w:ascii="Arial" w:eastAsia="Arial" w:hAnsi="Arial" w:cs="Arial"/>
          <w:color w:val="000000"/>
        </w:rPr>
        <w:t>recognising</w:t>
      </w:r>
      <w:proofErr w:type="spellEnd"/>
      <w:r>
        <w:rPr>
          <w:rFonts w:ascii="Arial" w:eastAsia="Arial" w:hAnsi="Arial" w:cs="Arial"/>
          <w:color w:val="000000"/>
        </w:rPr>
        <w:t xml:space="preserve"> optimality conditions.</w:t>
      </w:r>
    </w:p>
    <w:p w14:paraId="3AF52453" w14:textId="77777777" w:rsidR="00882F22" w:rsidRDefault="00882F22">
      <w:pPr>
        <w:pBdr>
          <w:top w:val="nil"/>
          <w:left w:val="nil"/>
          <w:bottom w:val="nil"/>
          <w:right w:val="nil"/>
          <w:between w:val="nil"/>
        </w:pBdr>
        <w:jc w:val="both"/>
        <w:rPr>
          <w:rFonts w:ascii="Arial" w:eastAsia="Arial" w:hAnsi="Arial" w:cs="Arial"/>
          <w:color w:val="000000"/>
        </w:rPr>
      </w:pPr>
    </w:p>
    <w:p w14:paraId="697F4CFB" w14:textId="77777777" w:rsidR="00882F22" w:rsidRDefault="003A1DB3">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3.4 Discussion</w:t>
      </w:r>
    </w:p>
    <w:p w14:paraId="53B9284D"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findings of this study indicate a clear discrepancy between students’ ability to construct mathematical models and their ability to carry out and interpret the associated algorithmic procedures. Although students demonstrated strong performance in the early modelling stages, their performance declined substantially during the working mathematically stage and remained low in the interpreting and validating stages. This pattern suggests that students’ primary difficulties did not stem from understanding the problem context or formulating mathematical models, but rather from executing and reflecting on algorithmic processes.</w:t>
      </w:r>
    </w:p>
    <w:p w14:paraId="014BFA21" w14:textId="77777777" w:rsidR="00882F22" w:rsidRDefault="00882F22">
      <w:pPr>
        <w:pBdr>
          <w:top w:val="nil"/>
          <w:left w:val="nil"/>
          <w:bottom w:val="nil"/>
          <w:right w:val="nil"/>
          <w:between w:val="nil"/>
        </w:pBdr>
        <w:jc w:val="both"/>
        <w:rPr>
          <w:rFonts w:ascii="Arial" w:eastAsia="Arial" w:hAnsi="Arial" w:cs="Arial"/>
          <w:color w:val="000000"/>
        </w:rPr>
      </w:pPr>
    </w:p>
    <w:p w14:paraId="5AC76388" w14:textId="77777777" w:rsidR="00882F22" w:rsidRDefault="003A1DB3" w:rsidP="009D4FA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finding is consistent with previous research indicating that students often demonstrate reasonable competence in model formulation but experience difficulties when transitioning to procedural and computational stages of mathematical problem solving </w:t>
      </w:r>
      <w:r w:rsidR="009D4FAE">
        <w:rPr>
          <w:rFonts w:ascii="Arial" w:eastAsia="Arial" w:hAnsi="Arial" w:cs="Arial"/>
          <w:color w:val="000000"/>
        </w:rPr>
        <w:fldChar w:fldCharType="begin" w:fldLock="1"/>
      </w:r>
      <w:r w:rsidR="004306F8">
        <w:rPr>
          <w:rFonts w:ascii="Arial" w:eastAsia="Arial" w:hAnsi="Arial" w:cs="Arial"/>
          <w:color w:val="000000"/>
        </w:rPr>
        <w:instrText>ADDIN CSL_CITATION {"citationItems":[{"id":"ITEM-1","itemData":{"DOI":"10.1016/j.actpsy.2025.104990","ISSN":"18736297","PMID":"40215783","abstract":"This study examines the modelling approaches of high school pre-service mathematics teachers (PSTs) and the types and purposes of digital technologies they use at different stages of the mathematical modelling process. Conducted during the 2018–2019 academic year, the study involved 26 PSTs working in eight groups as part of a course on computer technologies in mathematics education. The participants engaged in a model eliciting activity (MEA) focused on the obesity problem, integrating digital technologies and mathematical content knowledge. Findings indicate that while PSTs effectively utilized the internet, spreadsheets, calculators, and mathematical software for problem-solving, three distinct purposes of technology use emerged. However, challenges included overreliance on technological outputs, limiting critical evaluation and validation of models, and difficulties in transferring mathematical content knowledge to the modelling process. These results highlight the need for explicit instructional support in teacher education programs to enhance PSTs' critical engagement with digital tools and strengthen their ability to integrate mathematical knowledge in real-world problem-solving.","author":[{"dropping-particle":"","family":"Kandemir","given":"Mehmet Ali","non-dropping-particle":"","parse-names":false,"suffix":""},{"dropping-particle":"","family":"Eryilmaz","given":"Nurullah","non-dropping-particle":"","parse-names":false,"suffix":""}],"container-title":"Acta Psychologica","id":"ITEM-1","issue":"November 2024","issued":{"date-parts":[["2025"]]},"page":"104990","publisher":"Elsevier B.V.","title":"Pre-service mathematics teachers' modelling processes within model eliciting activity through digital technologies","type":"article-journal","volume":"256"},"uris":["http://www.mendeley.com/documents/?uuid=9ff8a746-cd89-46b6-85cd-ae64dd6d87cb"]},{"id":"ITEM-2","itemData":{"DOI":"10.3390/educsci15121674","ISSN":"22277102","abstract":"Solving algebraic word problems is an essential component of the school mathematics curriculum; nonetheless, many students still make mistakes in solving them. Several studies have largely focused on categorizing errors in solving algebraic word problems. However, relatively little attention has been given to the underlying learning obstacles that shape these errors. Addressing this gap, this study explores students’ learning obstacles in solving algebraic word problems through a hermeneutic phenomenological approach. Data were collected from 138 Indonesian students and two Indonesian mathematics teachers using written tests, document studies, and interviews. Data analysis was conducted alongside thematic analysis and the interpretative phenomenological analysis framework. The findings revealed five main errors: misunderstanding the problem’s meaning, incorrectly forming mathematical equations from the narrative, failing to solve the constructed mathematical model, providing incomplete or contextually inappropriate final answers, and failing to apply the trial-and-error method. These errors were traced to three categories of learning obstacles. Ontogenic obstacles included weaknesses in prerequisite skills such as reading comprehension, arithmetic, and algebraic manipulation, as well as a limited ability to transition from arithmetic to algebraic thinking. Epistemological obstacles arose when students’ understanding was tied to narrow contexts and could not be applied flexibly to new problem situations. Didactical obstacles reflected instructional gaps, particularly the emphasis on procedural routines over interpretation, reflection, and representational flexibility. This study extends the application of learning obstacle theory to the context of algebraic word problems and offers practical implications for teachers in designing adaptive instructional strategies to minimize students’ learning obstacles.","author":[{"dropping-particle":"","family":"Ario","given":"Marfi","non-dropping-particle":"","parse-names":false,"suffix":""},{"dropping-particle":"","family":"Suhendra","given":"","non-dropping-particle":"","parse-names":false,"suffix":""},{"dropping-particle":"","family":"Jupri","given":"Al","non-dropping-particle":"","parse-names":false,"suffix":""},{"dropping-particle":"","family":"Nurlaelah","given":"Elah","non-dropping-particle":"","parse-names":false,"suffix":""}],"container-title":"Education Sciences","id":"ITEM-2","issue":"12","issued":{"date-parts":[["2025"]]},"title":"Students’ errors and learning obstacles in solving algebraic word problems: hermeneutic phenomenology","type":"article-journal","volume":"15"},"uris":["http://www.mendeley.com/documents/?uuid=f9d2ea98-408b-4b5b-b984-9a5808aec9b1"]},{"id":"ITEM-3","itemData":{"DOI":"10.33902/JPR.202317062","ISSN":"26023717","abstract":"Educators have long emphasized the importance of relating mathematics to everyday life situations. During the primary school years, mathematical modeling activities play an important role in this regard. Through a mathematical modeling activity prepared in accordance with the length and area measurement learning outcomes in the primary school 4th-grade mathematics curriculum, the purpose of this study was to determine students' mathematical modeling competencies. The study adopted a qualitative approach using a teaching experiment model. The study involved three students selected from 33 in a state primary school through criterion sampling. Farmer Uncle Hüseyin model eliciting activity (MEA) was given to the focus group to work on, and the whole process was videotaped. Each video recording was transcribed in detail. Transcriptions, student handouts, and researcher field notes were analyzed using the mathematical modeling competencies cycle developed by Blum and Kaiser and adapted by Maaß (2006). Modeling competencies of students were found to be at different levels. Based on the study, the students' warm-up activities, the context of the MEA, and their previous modeling experiences all contributed to the students' representation of different levels of modeling competency. Due to the frequent use of multiple-choice questions in their classrooms, students also had difficulty interpreting qualitative data and understanding the mathematical task they were given.","author":[{"dropping-particle":"","family":"Kaygısız","given":"İsmail","non-dropping-particle":"","parse-names":false,"suffix":""},{"dropping-particle":"","family":"Şenel","given":"Emine Aysın","non-dropping-particle":"","parse-names":false,"suffix":""}],"container-title":"Journal of Pedagogical Research","id":"ITEM-3","issue":"1","issued":{"date-parts":[["2023"]]},"page":"1-24","title":"Investigating mathematical modeling competencies of primary school students: Reflections from a model eliciting activity","type":"article-journal","volume":"7"},"uris":["http://www.mendeley.com/documents/?uuid=c2197b17-8a6a-4b34-ba44-11746ec4de47"]}],"mendeley":{"formattedCitation":"(Ario et al., 2025; Kandemir &amp; Eryilmaz, 2025; Kaygısız &amp; Şenel, 2023)","plainTextFormattedCitation":"(Ario et al., 2025; Kandemir &amp; Eryilmaz, 2025; Kaygısız &amp; Şenel, 2023)","previouslyFormattedCitation":"(Ario et al., 2025; Kandemir &amp; Eryilmaz, 2025; Kaygısız &amp; Şenel, 2023)"},"properties":{"noteIndex":0},"schema":"https://github.com/citation-style-language/schema/raw/master/csl-citation.json"}</w:instrText>
      </w:r>
      <w:r w:rsidR="009D4FAE">
        <w:rPr>
          <w:rFonts w:ascii="Arial" w:eastAsia="Arial" w:hAnsi="Arial" w:cs="Arial"/>
          <w:color w:val="000000"/>
        </w:rPr>
        <w:fldChar w:fldCharType="separate"/>
      </w:r>
      <w:r w:rsidR="009D4FAE" w:rsidRPr="009D4FAE">
        <w:rPr>
          <w:rFonts w:ascii="Arial" w:eastAsia="Arial" w:hAnsi="Arial" w:cs="Arial"/>
          <w:noProof/>
          <w:color w:val="000000"/>
        </w:rPr>
        <w:t>(Ario et al., 2025; Kandemir &amp; Eryilmaz, 2025; Kaygısız &amp; Şenel, 2023)</w:t>
      </w:r>
      <w:r w:rsidR="009D4FAE">
        <w:rPr>
          <w:rFonts w:ascii="Arial" w:eastAsia="Arial" w:hAnsi="Arial" w:cs="Arial"/>
          <w:color w:val="000000"/>
        </w:rPr>
        <w:fldChar w:fldCharType="end"/>
      </w:r>
      <w:r>
        <w:rPr>
          <w:rFonts w:ascii="Arial" w:eastAsia="Arial" w:hAnsi="Arial" w:cs="Arial"/>
          <w:color w:val="000000"/>
        </w:rPr>
        <w:t>. Within the context of linear programming, the simplex method introduces additional cognitive demands, including iterative reasoning, pivot selection, and systematic execution of row operations. The high frequency of process skill errors observed in this study suggests that students’ procedural fluency in the simplex algorithm remains underdeveloped, despite their conceptual understanding of the problem structure.</w:t>
      </w:r>
    </w:p>
    <w:p w14:paraId="2E42444E" w14:textId="77777777" w:rsidR="00882F22" w:rsidRDefault="00882F22">
      <w:pPr>
        <w:pBdr>
          <w:top w:val="nil"/>
          <w:left w:val="nil"/>
          <w:bottom w:val="nil"/>
          <w:right w:val="nil"/>
          <w:between w:val="nil"/>
        </w:pBdr>
        <w:jc w:val="both"/>
        <w:rPr>
          <w:rFonts w:ascii="Arial" w:eastAsia="Arial" w:hAnsi="Arial" w:cs="Arial"/>
          <w:color w:val="000000"/>
        </w:rPr>
      </w:pPr>
    </w:p>
    <w:p w14:paraId="3F4338DB"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Furthermore, the limited performance observed in the interpreting and validating stages highlights challenges in reflective thinking and sense-making after computational procedures. Students who failed to </w:t>
      </w:r>
      <w:proofErr w:type="spellStart"/>
      <w:r>
        <w:rPr>
          <w:rFonts w:ascii="Arial" w:eastAsia="Arial" w:hAnsi="Arial" w:cs="Arial"/>
          <w:color w:val="000000"/>
        </w:rPr>
        <w:t>recognise</w:t>
      </w:r>
      <w:proofErr w:type="spellEnd"/>
      <w:r>
        <w:rPr>
          <w:rFonts w:ascii="Arial" w:eastAsia="Arial" w:hAnsi="Arial" w:cs="Arial"/>
          <w:color w:val="000000"/>
        </w:rPr>
        <w:t xml:space="preserve"> optimality conditions or interpret the final tableau were unable to connect procedural outcomes back to the problem context. This indicates that procedural fluency alone is insufficient; students must also be supported in developing metacognitive and interpretive skills that enable them to evaluate and communicate solutions meaningfully.</w:t>
      </w:r>
    </w:p>
    <w:p w14:paraId="10E8FF34" w14:textId="77777777" w:rsidR="00882F22" w:rsidRDefault="00882F22">
      <w:pPr>
        <w:pBdr>
          <w:top w:val="nil"/>
          <w:left w:val="nil"/>
          <w:bottom w:val="nil"/>
          <w:right w:val="nil"/>
          <w:between w:val="nil"/>
        </w:pBdr>
        <w:jc w:val="both"/>
        <w:rPr>
          <w:rFonts w:ascii="Arial" w:eastAsia="Arial" w:hAnsi="Arial" w:cs="Arial"/>
          <w:color w:val="000000"/>
        </w:rPr>
      </w:pPr>
    </w:p>
    <w:p w14:paraId="559338F8"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findings also highlight a critical gap between modelling competence and algorithmic execution. While students were able to translate real-world situations into mathematical models, this ability did not automatically translate into successful solution</w:t>
      </w:r>
      <w:r>
        <w:rPr>
          <w:rFonts w:ascii="Arial" w:eastAsia="Arial" w:hAnsi="Arial" w:cs="Arial"/>
        </w:rPr>
        <w:t xml:space="preserve"> </w:t>
      </w:r>
      <w:r>
        <w:rPr>
          <w:rFonts w:ascii="Arial" w:eastAsia="Arial" w:hAnsi="Arial" w:cs="Arial"/>
          <w:color w:val="000000"/>
        </w:rPr>
        <w:t xml:space="preserve">of the resulting mathematical procedures. This suggests that instruction in linear programming should not only </w:t>
      </w:r>
      <w:proofErr w:type="spellStart"/>
      <w:r>
        <w:rPr>
          <w:rFonts w:ascii="Arial" w:eastAsia="Arial" w:hAnsi="Arial" w:cs="Arial"/>
          <w:color w:val="000000"/>
        </w:rPr>
        <w:t>emphasise</w:t>
      </w:r>
      <w:proofErr w:type="spellEnd"/>
      <w:r>
        <w:rPr>
          <w:rFonts w:ascii="Arial" w:eastAsia="Arial" w:hAnsi="Arial" w:cs="Arial"/>
          <w:color w:val="000000"/>
        </w:rPr>
        <w:t xml:space="preserve"> model construction but also provide explicit support for algorithmic reasoning, iterative procedures, and reflective validation. Addressing this gap is essential for developing a more integrated understanding of mathematical modelling and problem solving.</w:t>
      </w:r>
    </w:p>
    <w:p w14:paraId="0BFD5C16" w14:textId="77777777" w:rsidR="00882F22" w:rsidRDefault="00882F22">
      <w:pPr>
        <w:pBdr>
          <w:top w:val="nil"/>
          <w:left w:val="nil"/>
          <w:bottom w:val="nil"/>
          <w:right w:val="nil"/>
          <w:between w:val="nil"/>
        </w:pBdr>
        <w:jc w:val="both"/>
        <w:rPr>
          <w:rFonts w:ascii="Arial" w:eastAsia="Arial" w:hAnsi="Arial" w:cs="Arial"/>
          <w:color w:val="000000"/>
        </w:rPr>
      </w:pPr>
    </w:p>
    <w:p w14:paraId="11C2713E"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6B7F024E"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examined students’ modelling performance and error patterns in solving a linear programming problem using the simplex method. The findings indicate that students generally demonstrated strong competence in the early stages of the modelling process, including understanding the problem, structuring the situation, and formulating the mathematical model. However, substantial difficulties emerged during the procedural and reflective stages, particularly in executing the simplex algorithm and interpreting the resulting solutions. This pattern suggests that the main challenges faced by students lie not in constructing mathematical models, but in carrying out and making sense of algorithmic procedures.</w:t>
      </w:r>
    </w:p>
    <w:p w14:paraId="02885FAD" w14:textId="77777777" w:rsidR="00882F22" w:rsidRDefault="00882F22">
      <w:pPr>
        <w:pBdr>
          <w:top w:val="nil"/>
          <w:left w:val="nil"/>
          <w:bottom w:val="nil"/>
          <w:right w:val="nil"/>
          <w:between w:val="nil"/>
        </w:pBdr>
        <w:jc w:val="both"/>
        <w:rPr>
          <w:rFonts w:ascii="Arial" w:eastAsia="Arial" w:hAnsi="Arial" w:cs="Arial"/>
          <w:color w:val="000000"/>
        </w:rPr>
      </w:pPr>
    </w:p>
    <w:p w14:paraId="44CB34B5" w14:textId="77777777" w:rsidR="00882F22"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Error analysis further revealed that process skill errors, especially those related to elementary row operations and iterative procedures, were the most prevalent. In contrast, errors related to understanding the problem context were relatively infrequent. These findings indicate a clear gap between students’ conceptual modelling competence and their procedural fluency. The observed patterns suggest that difficulties in procedural execution limit students’ ability to progress through later modelling stages, particularly interpretation and validation.</w:t>
      </w:r>
    </w:p>
    <w:p w14:paraId="42B1DAD3" w14:textId="77777777" w:rsidR="00882F22" w:rsidRDefault="00882F22">
      <w:pPr>
        <w:pBdr>
          <w:top w:val="nil"/>
          <w:left w:val="nil"/>
          <w:bottom w:val="nil"/>
          <w:right w:val="nil"/>
          <w:between w:val="nil"/>
        </w:pBdr>
        <w:jc w:val="both"/>
        <w:rPr>
          <w:rFonts w:ascii="Arial" w:eastAsia="Arial" w:hAnsi="Arial" w:cs="Arial"/>
          <w:color w:val="000000"/>
        </w:rPr>
      </w:pPr>
    </w:p>
    <w:p w14:paraId="53BE643C" w14:textId="07B55E8A" w:rsidR="006442BF" w:rsidRDefault="003A1DB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Overall, the results highlight the importance of supporting students not only in developing modelling skills but also in strengthening procedural and reflective competencies required to solve </w:t>
      </w:r>
      <w:proofErr w:type="spellStart"/>
      <w:r>
        <w:rPr>
          <w:rFonts w:ascii="Arial" w:eastAsia="Arial" w:hAnsi="Arial" w:cs="Arial"/>
          <w:color w:val="000000"/>
        </w:rPr>
        <w:t>optimisation</w:t>
      </w:r>
      <w:proofErr w:type="spellEnd"/>
      <w:r>
        <w:rPr>
          <w:rFonts w:ascii="Arial" w:eastAsia="Arial" w:hAnsi="Arial" w:cs="Arial"/>
          <w:color w:val="000000"/>
        </w:rPr>
        <w:t xml:space="preserve"> problems effectively. Instruction in linear programming should therefore balance conceptual modelling with explicit attention to algorithmic reasoning and interpretative skills. </w:t>
      </w:r>
      <w:r w:rsidR="006442BF" w:rsidRPr="006442BF">
        <w:rPr>
          <w:rFonts w:ascii="Arial" w:eastAsia="Arial" w:hAnsi="Arial" w:cs="Arial"/>
          <w:color w:val="000000"/>
        </w:rPr>
        <w:t xml:space="preserve">This study has several limitations that should be acknowledged. The research was conducted within a single class and involved a relatively small number of participants, which limits the </w:t>
      </w:r>
      <w:proofErr w:type="spellStart"/>
      <w:r w:rsidR="006442BF" w:rsidRPr="006442BF">
        <w:rPr>
          <w:rFonts w:ascii="Arial" w:eastAsia="Arial" w:hAnsi="Arial" w:cs="Arial"/>
          <w:color w:val="000000"/>
        </w:rPr>
        <w:t>generalisability</w:t>
      </w:r>
      <w:proofErr w:type="spellEnd"/>
      <w:r w:rsidR="006442BF" w:rsidRPr="006442BF">
        <w:rPr>
          <w:rFonts w:ascii="Arial" w:eastAsia="Arial" w:hAnsi="Arial" w:cs="Arial"/>
          <w:color w:val="000000"/>
        </w:rPr>
        <w:t xml:space="preserve"> of the findings. In addition, the study relied on students’ written responses, which may not fully capture the reasoning processes underlying their errors. Future research could involve larger and more diverse samples, as well as incorporate interviews or think-aloud protocols to gain deeper insights into students’ cognitive processes during modelling and algorithmic problem solving.</w:t>
      </w:r>
    </w:p>
    <w:p w14:paraId="63C1EB8F" w14:textId="77777777" w:rsidR="00882F22" w:rsidRDefault="00882F22">
      <w:pPr>
        <w:pBdr>
          <w:top w:val="nil"/>
          <w:left w:val="nil"/>
          <w:bottom w:val="nil"/>
          <w:right w:val="nil"/>
          <w:between w:val="nil"/>
        </w:pBdr>
        <w:jc w:val="both"/>
        <w:rPr>
          <w:rFonts w:ascii="Arial" w:eastAsia="Arial" w:hAnsi="Arial" w:cs="Arial"/>
          <w:color w:val="000000"/>
        </w:rPr>
      </w:pPr>
    </w:p>
    <w:p w14:paraId="1A87B437"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631969D6" w14:textId="77777777" w:rsidR="00882F22" w:rsidRPr="00AA562C" w:rsidRDefault="00882F22">
      <w:pPr>
        <w:keepNext/>
        <w:pBdr>
          <w:top w:val="nil"/>
          <w:left w:val="nil"/>
          <w:bottom w:val="nil"/>
          <w:right w:val="nil"/>
          <w:between w:val="nil"/>
        </w:pBdr>
        <w:jc w:val="both"/>
        <w:rPr>
          <w:rFonts w:ascii="Arial" w:eastAsia="Arial" w:hAnsi="Arial" w:cs="Arial"/>
          <w:color w:val="000000"/>
        </w:rPr>
      </w:pPr>
    </w:p>
    <w:p w14:paraId="0EEB8900" w14:textId="178B31EF" w:rsidR="00882F22" w:rsidRPr="00AA562C" w:rsidRDefault="00AA562C">
      <w:pPr>
        <w:keepNext/>
        <w:pBdr>
          <w:top w:val="nil"/>
          <w:left w:val="nil"/>
          <w:bottom w:val="nil"/>
          <w:right w:val="nil"/>
          <w:between w:val="nil"/>
        </w:pBdr>
        <w:jc w:val="both"/>
        <w:rPr>
          <w:rFonts w:ascii="Arial" w:eastAsia="Arial" w:hAnsi="Arial" w:cs="Arial"/>
          <w:color w:val="000000"/>
        </w:rPr>
      </w:pPr>
      <w:r w:rsidRPr="00AA562C">
        <w:rPr>
          <w:rFonts w:ascii="Arial" w:eastAsia="Arial" w:hAnsi="Arial" w:cs="Arial"/>
          <w:color w:val="000000"/>
        </w:rPr>
        <w:t>Authors have declared that no competing interests exist</w:t>
      </w:r>
      <w:r>
        <w:rPr>
          <w:rFonts w:ascii="Arial" w:eastAsia="Arial" w:hAnsi="Arial" w:cs="Arial"/>
          <w:color w:val="000000"/>
        </w:rPr>
        <w:t>.</w:t>
      </w:r>
    </w:p>
    <w:p w14:paraId="5B13D00D" w14:textId="59402109" w:rsidR="00AA562C" w:rsidRDefault="00AA562C">
      <w:pPr>
        <w:keepNext/>
        <w:pBdr>
          <w:top w:val="nil"/>
          <w:left w:val="nil"/>
          <w:bottom w:val="nil"/>
          <w:right w:val="nil"/>
          <w:between w:val="nil"/>
        </w:pBdr>
        <w:jc w:val="both"/>
        <w:rPr>
          <w:rFonts w:ascii="Arial" w:eastAsia="Arial" w:hAnsi="Arial" w:cs="Arial"/>
          <w:color w:val="000000"/>
        </w:rPr>
      </w:pPr>
    </w:p>
    <w:p w14:paraId="0B8914ED" w14:textId="77777777" w:rsidR="00FD421C" w:rsidRPr="003D5F7B" w:rsidRDefault="00FD421C" w:rsidP="00FD421C">
      <w:pPr>
        <w:pStyle w:val="NoSpacing"/>
        <w:rPr>
          <w:rFonts w:ascii="Arial" w:hAnsi="Arial" w:cs="Arial"/>
          <w:b/>
          <w:bCs/>
        </w:rPr>
      </w:pPr>
      <w:bookmarkStart w:id="0" w:name="_Hlk198031404"/>
      <w:r w:rsidRPr="003D5F7B">
        <w:rPr>
          <w:rFonts w:ascii="Arial" w:hAnsi="Arial" w:cs="Arial"/>
          <w:b/>
          <w:bCs/>
        </w:rPr>
        <w:t>Disclaimer (Artificial intelligence)</w:t>
      </w:r>
    </w:p>
    <w:p w14:paraId="24F477FB" w14:textId="77777777" w:rsidR="00FD421C" w:rsidRPr="003D5F7B" w:rsidRDefault="00FD421C" w:rsidP="00FD421C">
      <w:pPr>
        <w:pStyle w:val="NoSpacing"/>
        <w:rPr>
          <w:rFonts w:ascii="Arial" w:hAnsi="Arial" w:cs="Arial"/>
        </w:rPr>
      </w:pPr>
    </w:p>
    <w:p w14:paraId="51AB8E48" w14:textId="77777777" w:rsidR="00FD421C" w:rsidRPr="003D5F7B" w:rsidRDefault="00FD421C" w:rsidP="00FD421C">
      <w:pPr>
        <w:pStyle w:val="NoSpacing"/>
        <w:rPr>
          <w:rFonts w:ascii="Arial" w:hAnsi="Arial" w:cs="Arial"/>
        </w:rPr>
      </w:pPr>
      <w:r w:rsidRPr="003D5F7B">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0"/>
    <w:p w14:paraId="6F5CF4FF" w14:textId="77777777" w:rsidR="00FD421C" w:rsidRPr="00005ED1" w:rsidRDefault="00FD421C" w:rsidP="00FD421C">
      <w:pPr>
        <w:pStyle w:val="NoSpacing"/>
        <w:rPr>
          <w:rFonts w:ascii="Arial" w:hAnsi="Arial" w:cs="Arial"/>
        </w:rPr>
      </w:pPr>
    </w:p>
    <w:p w14:paraId="0C40349C" w14:textId="77777777" w:rsidR="00FD421C" w:rsidRDefault="00FD421C">
      <w:pPr>
        <w:keepNext/>
        <w:pBdr>
          <w:top w:val="nil"/>
          <w:left w:val="nil"/>
          <w:bottom w:val="nil"/>
          <w:right w:val="nil"/>
          <w:between w:val="nil"/>
        </w:pBdr>
        <w:jc w:val="both"/>
        <w:rPr>
          <w:rFonts w:ascii="Arial" w:eastAsia="Arial" w:hAnsi="Arial" w:cs="Arial"/>
          <w:color w:val="000000"/>
        </w:rPr>
      </w:pPr>
    </w:p>
    <w:p w14:paraId="72D17020" w14:textId="77777777" w:rsidR="00882F22" w:rsidRDefault="003A1DB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67C773F5" w14:textId="77777777" w:rsidR="004306F8" w:rsidRDefault="004306F8">
      <w:pPr>
        <w:keepNext/>
        <w:pBdr>
          <w:top w:val="nil"/>
          <w:left w:val="nil"/>
          <w:bottom w:val="nil"/>
          <w:right w:val="nil"/>
          <w:between w:val="nil"/>
        </w:pBdr>
        <w:jc w:val="both"/>
        <w:rPr>
          <w:rFonts w:ascii="Arial" w:eastAsia="Arial" w:hAnsi="Arial" w:cs="Arial"/>
          <w:b/>
          <w:bCs/>
          <w:smallCaps/>
          <w:color w:val="000000"/>
          <w:sz w:val="22"/>
          <w:szCs w:val="22"/>
        </w:rPr>
      </w:pPr>
    </w:p>
    <w:p w14:paraId="69B8736A" w14:textId="77777777" w:rsidR="00C17D6B" w:rsidRPr="00C17D6B" w:rsidRDefault="006E2C67"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eastAsia="Arial" w:hAnsiTheme="minorBidi" w:cstheme="minorBidi"/>
          <w:b/>
          <w:bCs/>
          <w:smallCaps/>
          <w:color w:val="000000"/>
        </w:rPr>
        <w:fldChar w:fldCharType="begin" w:fldLock="1"/>
      </w:r>
      <w:r w:rsidRPr="00C17D6B">
        <w:rPr>
          <w:rFonts w:asciiTheme="minorBidi" w:eastAsia="Arial" w:hAnsiTheme="minorBidi" w:cstheme="minorBidi"/>
          <w:b/>
          <w:bCs/>
          <w:smallCaps/>
          <w:color w:val="000000"/>
        </w:rPr>
        <w:instrText xml:space="preserve">ADDIN Mendeley Bibliography CSL_BIBLIOGRAPHY </w:instrText>
      </w:r>
      <w:r w:rsidRPr="00C17D6B">
        <w:rPr>
          <w:rFonts w:asciiTheme="minorBidi" w:eastAsia="Arial" w:hAnsiTheme="minorBidi" w:cstheme="minorBidi"/>
          <w:b/>
          <w:bCs/>
          <w:smallCaps/>
          <w:color w:val="000000"/>
        </w:rPr>
        <w:fldChar w:fldCharType="separate"/>
      </w:r>
      <w:r w:rsidR="00C17D6B" w:rsidRPr="00C17D6B">
        <w:rPr>
          <w:rFonts w:asciiTheme="minorBidi" w:hAnsiTheme="minorBidi" w:cstheme="minorBidi"/>
          <w:noProof/>
          <w:szCs w:val="24"/>
        </w:rPr>
        <w:t xml:space="preserve">Agbata, B. C., Obeng-Denteh, W., Kwabi, P. A., Abraham, S., Okpako, S. O., Arivi, S. S., Asante-Mensa, F., &amp; Adu, G. W. . (2024). Everyday uses of mathematics and the roles of a mathematics teacher. </w:t>
      </w:r>
      <w:r w:rsidR="00C17D6B" w:rsidRPr="00C17D6B">
        <w:rPr>
          <w:rFonts w:asciiTheme="minorBidi" w:hAnsiTheme="minorBidi" w:cstheme="minorBidi"/>
          <w:i/>
          <w:iCs/>
          <w:noProof/>
          <w:szCs w:val="24"/>
        </w:rPr>
        <w:t>Science World Journal</w:t>
      </w:r>
      <w:r w:rsidR="00C17D6B" w:rsidRPr="00C17D6B">
        <w:rPr>
          <w:rFonts w:asciiTheme="minorBidi" w:hAnsiTheme="minorBidi" w:cstheme="minorBidi"/>
          <w:noProof/>
          <w:szCs w:val="24"/>
        </w:rPr>
        <w:t xml:space="preserve">, </w:t>
      </w:r>
      <w:r w:rsidR="00C17D6B" w:rsidRPr="00C17D6B">
        <w:rPr>
          <w:rFonts w:asciiTheme="minorBidi" w:hAnsiTheme="minorBidi" w:cstheme="minorBidi"/>
          <w:i/>
          <w:iCs/>
          <w:noProof/>
          <w:szCs w:val="24"/>
        </w:rPr>
        <w:t>19</w:t>
      </w:r>
      <w:r w:rsidR="00C17D6B" w:rsidRPr="00C17D6B">
        <w:rPr>
          <w:rFonts w:asciiTheme="minorBidi" w:hAnsiTheme="minorBidi" w:cstheme="minorBidi"/>
          <w:noProof/>
          <w:szCs w:val="24"/>
        </w:rPr>
        <w:t xml:space="preserve">(3), 819–827. </w:t>
      </w:r>
      <w:hyperlink r:id="rId15" w:history="1">
        <w:r w:rsidR="00C17D6B" w:rsidRPr="00C17D6B">
          <w:rPr>
            <w:rStyle w:val="Hyperlink"/>
            <w:rFonts w:asciiTheme="minorBidi" w:hAnsiTheme="minorBidi" w:cstheme="minorBidi"/>
            <w:noProof/>
            <w:szCs w:val="24"/>
          </w:rPr>
          <w:t>https://doi.org/10.4314/swj.v19i3.29</w:t>
        </w:r>
      </w:hyperlink>
    </w:p>
    <w:p w14:paraId="64309B8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Apaza, I. M. A., Choque, H. W. Z., &amp; Laqui, A. J. C. (2025). Transforming university education: a systematic review of mathematical modeling in learning. </w:t>
      </w:r>
      <w:r w:rsidRPr="00C17D6B">
        <w:rPr>
          <w:rFonts w:asciiTheme="minorBidi" w:hAnsiTheme="minorBidi" w:cstheme="minorBidi"/>
          <w:i/>
          <w:iCs/>
          <w:noProof/>
          <w:szCs w:val="24"/>
        </w:rPr>
        <w:t>International Journal of Evaluation and Research in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14</w:t>
      </w:r>
      <w:r w:rsidRPr="00C17D6B">
        <w:rPr>
          <w:rFonts w:asciiTheme="minorBidi" w:hAnsiTheme="minorBidi" w:cstheme="minorBidi"/>
          <w:noProof/>
          <w:szCs w:val="24"/>
        </w:rPr>
        <w:t xml:space="preserve">(3), 2118–2131. </w:t>
      </w:r>
      <w:hyperlink r:id="rId16" w:history="1">
        <w:r w:rsidRPr="00C17D6B">
          <w:rPr>
            <w:rStyle w:val="Hyperlink"/>
            <w:rFonts w:asciiTheme="minorBidi" w:hAnsiTheme="minorBidi" w:cstheme="minorBidi"/>
            <w:noProof/>
            <w:szCs w:val="24"/>
          </w:rPr>
          <w:t>https://doi.org/10.11591/ijere.v14i3.32523</w:t>
        </w:r>
      </w:hyperlink>
    </w:p>
    <w:p w14:paraId="37CC353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Ario, M., Suhendra, Jupri, A., &amp; Nurlaelah, E. (2025). Students’ errors and learning obstacles in solving algebraic word problems: hermeneutic phenomenology. </w:t>
      </w:r>
      <w:r w:rsidRPr="00C17D6B">
        <w:rPr>
          <w:rFonts w:asciiTheme="minorBidi" w:hAnsiTheme="minorBidi" w:cstheme="minorBidi"/>
          <w:i/>
          <w:iCs/>
          <w:noProof/>
          <w:szCs w:val="24"/>
        </w:rPr>
        <w:t>Education Sciences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15</w:t>
      </w:r>
      <w:r w:rsidRPr="00C17D6B">
        <w:rPr>
          <w:rFonts w:asciiTheme="minorBidi" w:hAnsiTheme="minorBidi" w:cstheme="minorBidi"/>
          <w:noProof/>
          <w:szCs w:val="24"/>
        </w:rPr>
        <w:t xml:space="preserve">(12). </w:t>
      </w:r>
      <w:hyperlink r:id="rId17" w:history="1">
        <w:r w:rsidRPr="00C17D6B">
          <w:rPr>
            <w:rStyle w:val="Hyperlink"/>
            <w:rFonts w:asciiTheme="minorBidi" w:hAnsiTheme="minorBidi" w:cstheme="minorBidi"/>
            <w:noProof/>
            <w:szCs w:val="24"/>
          </w:rPr>
          <w:t>https://doi.org/10.3390/educsci15121674</w:t>
        </w:r>
      </w:hyperlink>
    </w:p>
    <w:p w14:paraId="3022FD70"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Banerjee, P. (2025). UNM digital repository mathematics in everyday life : exploring practical applications and real-world impact mathematics in everyday life : exploring practical applications and real- world impact. </w:t>
      </w:r>
      <w:r w:rsidRPr="00C17D6B">
        <w:rPr>
          <w:rFonts w:asciiTheme="minorBidi" w:hAnsiTheme="minorBidi" w:cstheme="minorBidi"/>
          <w:i/>
          <w:iCs/>
          <w:noProof/>
          <w:szCs w:val="24"/>
        </w:rPr>
        <w:t>Himalayan Research Paper Archive</w:t>
      </w:r>
      <w:r w:rsidRPr="00C17D6B">
        <w:rPr>
          <w:rFonts w:asciiTheme="minorBidi" w:hAnsiTheme="minorBidi" w:cstheme="minorBidi"/>
          <w:noProof/>
          <w:szCs w:val="24"/>
        </w:rPr>
        <w:t>.</w:t>
      </w:r>
    </w:p>
    <w:p w14:paraId="496185D5" w14:textId="77777777" w:rsidR="00FF206D" w:rsidRPr="00C17D6B" w:rsidRDefault="00C17D6B" w:rsidP="00FF206D">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lastRenderedPageBreak/>
        <w:t xml:space="preserve">Bassi, C., &amp; Brunetto, D. (2025). Shared drawings in a mathematical modelling activity: an exploratory study. </w:t>
      </w:r>
      <w:r w:rsidRPr="00C17D6B">
        <w:rPr>
          <w:rFonts w:asciiTheme="minorBidi" w:hAnsiTheme="minorBidi" w:cstheme="minorBidi"/>
          <w:i/>
          <w:iCs/>
          <w:noProof/>
          <w:szCs w:val="24"/>
        </w:rPr>
        <w:t>Journal of Mathematical Behavior</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78</w:t>
      </w:r>
      <w:r w:rsidRPr="00C17D6B">
        <w:rPr>
          <w:rFonts w:asciiTheme="minorBidi" w:hAnsiTheme="minorBidi" w:cstheme="minorBidi"/>
          <w:noProof/>
          <w:szCs w:val="24"/>
        </w:rPr>
        <w:t xml:space="preserve">(January), 101234. </w:t>
      </w:r>
      <w:hyperlink r:id="rId18" w:history="1">
        <w:r w:rsidRPr="00FF206D">
          <w:rPr>
            <w:rStyle w:val="Hyperlink"/>
            <w:rFonts w:asciiTheme="minorBidi" w:hAnsiTheme="minorBidi" w:cstheme="minorBidi"/>
            <w:noProof/>
            <w:szCs w:val="24"/>
          </w:rPr>
          <w:t>https://doi.org/10.1016/j.jmathb.2024.101234</w:t>
        </w:r>
      </w:hyperlink>
    </w:p>
    <w:p w14:paraId="3D58158B"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Bhardwaj, V., Zhang, S., Tan, Y. Q., &amp; Pandey, V. (2025). Redefining learning: student-centered strategies for academic and personal growth. </w:t>
      </w:r>
      <w:r w:rsidRPr="00C17D6B">
        <w:rPr>
          <w:rFonts w:asciiTheme="minorBidi" w:hAnsiTheme="minorBidi" w:cstheme="minorBidi"/>
          <w:i/>
          <w:iCs/>
          <w:noProof/>
          <w:szCs w:val="24"/>
        </w:rPr>
        <w:t>Frontiers in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10</w:t>
      </w:r>
      <w:r w:rsidRPr="00C17D6B">
        <w:rPr>
          <w:rFonts w:asciiTheme="minorBidi" w:hAnsiTheme="minorBidi" w:cstheme="minorBidi"/>
          <w:noProof/>
          <w:szCs w:val="24"/>
        </w:rPr>
        <w:t xml:space="preserve">(February), 1–15. </w:t>
      </w:r>
      <w:hyperlink r:id="rId19" w:history="1">
        <w:r w:rsidRPr="00FF206D">
          <w:rPr>
            <w:rStyle w:val="Hyperlink"/>
            <w:rFonts w:asciiTheme="minorBidi" w:hAnsiTheme="minorBidi" w:cstheme="minorBidi"/>
            <w:noProof/>
            <w:szCs w:val="24"/>
          </w:rPr>
          <w:t>https://doi.org/10.3389/feduc.2025.1518602</w:t>
        </w:r>
      </w:hyperlink>
    </w:p>
    <w:p w14:paraId="773F552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Blum, W., &amp; Ferri, R. B. (2009). Mathematical modelling: can it be taught and learnt? </w:t>
      </w:r>
      <w:r w:rsidRPr="00C17D6B">
        <w:rPr>
          <w:rFonts w:asciiTheme="minorBidi" w:hAnsiTheme="minorBidi" w:cstheme="minorBidi"/>
          <w:i/>
          <w:iCs/>
          <w:noProof/>
          <w:szCs w:val="24"/>
        </w:rPr>
        <w:t>Journal of Mathematical Modelling and Application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w:t>
      </w:r>
      <w:r w:rsidRPr="00C17D6B">
        <w:rPr>
          <w:rFonts w:asciiTheme="minorBidi" w:hAnsiTheme="minorBidi" w:cstheme="minorBidi"/>
          <w:noProof/>
          <w:szCs w:val="24"/>
        </w:rPr>
        <w:t>(1), 45–58.</w:t>
      </w:r>
    </w:p>
    <w:p w14:paraId="53B39DD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Bulut, N., &amp; Ferri, R. B. (2025). </w:t>
      </w:r>
      <w:r w:rsidR="00FF206D" w:rsidRPr="00C17D6B">
        <w:rPr>
          <w:rFonts w:asciiTheme="minorBidi" w:hAnsiTheme="minorBidi" w:cstheme="minorBidi"/>
          <w:noProof/>
          <w:szCs w:val="24"/>
        </w:rPr>
        <w:t>Bridging mathematical modelling and education for sustainable development in pre-service primary teacher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Education Sciences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15</w:t>
      </w:r>
      <w:r w:rsidRPr="00C17D6B">
        <w:rPr>
          <w:rFonts w:asciiTheme="minorBidi" w:hAnsiTheme="minorBidi" w:cstheme="minorBidi"/>
          <w:noProof/>
          <w:szCs w:val="24"/>
        </w:rPr>
        <w:t xml:space="preserve">(2). </w:t>
      </w:r>
      <w:hyperlink r:id="rId20" w:history="1">
        <w:r w:rsidRPr="00FF206D">
          <w:rPr>
            <w:rStyle w:val="Hyperlink"/>
            <w:rFonts w:asciiTheme="minorBidi" w:hAnsiTheme="minorBidi" w:cstheme="minorBidi"/>
            <w:noProof/>
            <w:szCs w:val="24"/>
          </w:rPr>
          <w:t>https://doi.org/10.3390/educsci15020248</w:t>
        </w:r>
      </w:hyperlink>
    </w:p>
    <w:p w14:paraId="2CBA98D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Carvalho, L., Scott, L., &amp; Jeffery, R. (2005). An exploratory study into the use of qualitative research methods in descriptive process modelling. </w:t>
      </w:r>
      <w:r w:rsidRPr="00C17D6B">
        <w:rPr>
          <w:rFonts w:asciiTheme="minorBidi" w:hAnsiTheme="minorBidi" w:cstheme="minorBidi"/>
          <w:i/>
          <w:iCs/>
          <w:noProof/>
          <w:szCs w:val="24"/>
        </w:rPr>
        <w:t>Information and Software Technology</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47</w:t>
      </w:r>
      <w:r w:rsidRPr="00C17D6B">
        <w:rPr>
          <w:rFonts w:asciiTheme="minorBidi" w:hAnsiTheme="minorBidi" w:cstheme="minorBidi"/>
          <w:noProof/>
          <w:szCs w:val="24"/>
        </w:rPr>
        <w:t xml:space="preserve">(2), 113–127. </w:t>
      </w:r>
      <w:hyperlink r:id="rId21" w:history="1">
        <w:r w:rsidRPr="00FF206D">
          <w:rPr>
            <w:rStyle w:val="Hyperlink"/>
            <w:rFonts w:asciiTheme="minorBidi" w:hAnsiTheme="minorBidi" w:cstheme="minorBidi"/>
            <w:noProof/>
            <w:szCs w:val="24"/>
          </w:rPr>
          <w:t>https://doi.org/10.1016/j.infsof.2004.06.005</w:t>
        </w:r>
      </w:hyperlink>
    </w:p>
    <w:p w14:paraId="0D87681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Ceballos, H., Bogaart, T. van den, van Ginkel, S., Spandaw, J., &amp; Drijvers, P. (2026). How collaborative problem solving promotes</w:t>
      </w:r>
      <w:r w:rsidR="00FF206D">
        <w:rPr>
          <w:rFonts w:asciiTheme="minorBidi" w:hAnsiTheme="minorBidi" w:cstheme="minorBidi"/>
          <w:noProof/>
          <w:szCs w:val="24"/>
        </w:rPr>
        <w:t xml:space="preserve"> higher-order thinking skills: a</w:t>
      </w:r>
      <w:r w:rsidRPr="00C17D6B">
        <w:rPr>
          <w:rFonts w:asciiTheme="minorBidi" w:hAnsiTheme="minorBidi" w:cstheme="minorBidi"/>
          <w:noProof/>
          <w:szCs w:val="24"/>
        </w:rPr>
        <w:t xml:space="preserve"> systematic review of design features and processes. </w:t>
      </w:r>
      <w:r w:rsidRPr="00C17D6B">
        <w:rPr>
          <w:rFonts w:asciiTheme="minorBidi" w:hAnsiTheme="minorBidi" w:cstheme="minorBidi"/>
          <w:i/>
          <w:iCs/>
          <w:noProof/>
          <w:szCs w:val="24"/>
        </w:rPr>
        <w:t>Thinking Skills and Creativity</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59</w:t>
      </w:r>
      <w:r w:rsidRPr="00C17D6B">
        <w:rPr>
          <w:rFonts w:asciiTheme="minorBidi" w:hAnsiTheme="minorBidi" w:cstheme="minorBidi"/>
          <w:noProof/>
          <w:szCs w:val="24"/>
        </w:rPr>
        <w:t xml:space="preserve">(September 2025). </w:t>
      </w:r>
      <w:hyperlink r:id="rId22" w:history="1">
        <w:r w:rsidRPr="00FF206D">
          <w:rPr>
            <w:rStyle w:val="Hyperlink"/>
            <w:rFonts w:asciiTheme="minorBidi" w:hAnsiTheme="minorBidi" w:cstheme="minorBidi"/>
            <w:noProof/>
            <w:szCs w:val="24"/>
          </w:rPr>
          <w:t>https://doi.org/10.1016/j.tsc.2025.102001</w:t>
        </w:r>
      </w:hyperlink>
    </w:p>
    <w:p w14:paraId="1EB14CB1" w14:textId="77777777" w:rsid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Corrêa, P. D. (2021). The Mathematical proficiency promoted by mathematical modelling. </w:t>
      </w:r>
      <w:r w:rsidRPr="00C17D6B">
        <w:rPr>
          <w:rFonts w:asciiTheme="minorBidi" w:hAnsiTheme="minorBidi" w:cstheme="minorBidi"/>
          <w:i/>
          <w:iCs/>
          <w:noProof/>
          <w:szCs w:val="24"/>
        </w:rPr>
        <w:t>Journal of Research in Science, Mathematics and Technology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w:t>
      </w:r>
      <w:r w:rsidRPr="00C17D6B">
        <w:rPr>
          <w:rFonts w:asciiTheme="minorBidi" w:hAnsiTheme="minorBidi" w:cstheme="minorBidi"/>
          <w:noProof/>
          <w:szCs w:val="24"/>
        </w:rPr>
        <w:t xml:space="preserve">(2), 107–131. </w:t>
      </w:r>
      <w:hyperlink r:id="rId23" w:history="1">
        <w:r w:rsidRPr="00FF206D">
          <w:rPr>
            <w:rStyle w:val="Hyperlink"/>
            <w:rFonts w:asciiTheme="minorBidi" w:hAnsiTheme="minorBidi" w:cstheme="minorBidi"/>
            <w:noProof/>
            <w:szCs w:val="24"/>
          </w:rPr>
          <w:t>https://doi.org/10.31756/jrsmte.424</w:t>
        </w:r>
      </w:hyperlink>
    </w:p>
    <w:p w14:paraId="12D7F254"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Cotič, M., Doz, D., Jenko, M., &amp; Zakelj, A. (2024). Mathematics education: What was it, what is it, and what will it be? </w:t>
      </w:r>
      <w:r w:rsidRPr="00C17D6B">
        <w:rPr>
          <w:rFonts w:asciiTheme="minorBidi" w:hAnsiTheme="minorBidi" w:cstheme="minorBidi"/>
          <w:i/>
          <w:iCs/>
          <w:noProof/>
          <w:szCs w:val="24"/>
        </w:rPr>
        <w:t>International Electronic Journal of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19</w:t>
      </w:r>
      <w:r w:rsidRPr="00C17D6B">
        <w:rPr>
          <w:rFonts w:asciiTheme="minorBidi" w:hAnsiTheme="minorBidi" w:cstheme="minorBidi"/>
          <w:noProof/>
          <w:szCs w:val="24"/>
        </w:rPr>
        <w:t>(3), 1–14.</w:t>
      </w:r>
    </w:p>
    <w:p w14:paraId="017833B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Dacsa I, J. C. (2022). SOLO taxonomy and newman error analysis: understanding the difficulties of students in solving word problems in pre-calculus SOLO taxonomy and newman error analysis: understanding the difficulties of students in solving word problems in pre-calculus. </w:t>
      </w:r>
      <w:r w:rsidRPr="00C17D6B">
        <w:rPr>
          <w:rFonts w:asciiTheme="minorBidi" w:hAnsiTheme="minorBidi" w:cstheme="minorBidi"/>
          <w:i/>
          <w:iCs/>
          <w:noProof/>
          <w:szCs w:val="24"/>
        </w:rPr>
        <w:t>The Official Research Journal of University of Makati</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10</w:t>
      </w:r>
      <w:r w:rsidRPr="00C17D6B">
        <w:rPr>
          <w:rFonts w:asciiTheme="minorBidi" w:hAnsiTheme="minorBidi" w:cstheme="minorBidi"/>
          <w:noProof/>
          <w:szCs w:val="24"/>
        </w:rPr>
        <w:t>(2), 1–8.</w:t>
      </w:r>
    </w:p>
    <w:p w14:paraId="7B63E976"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Darmin, Muchyidin, A., &amp; Nursuprianah, I. (2024). Analysis of students’ difficulties in using mathematical models to solve story problems on derivatives material. </w:t>
      </w:r>
      <w:r w:rsidRPr="00C17D6B">
        <w:rPr>
          <w:rFonts w:asciiTheme="minorBidi" w:hAnsiTheme="minorBidi" w:cstheme="minorBidi"/>
          <w:i/>
          <w:iCs/>
          <w:noProof/>
          <w:szCs w:val="24"/>
        </w:rPr>
        <w:t>Educational Insights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w:t>
      </w:r>
      <w:r w:rsidRPr="00C17D6B">
        <w:rPr>
          <w:rFonts w:asciiTheme="minorBidi" w:hAnsiTheme="minorBidi" w:cstheme="minorBidi"/>
          <w:noProof/>
          <w:szCs w:val="24"/>
        </w:rPr>
        <w:t xml:space="preserve">(2), 129–139. </w:t>
      </w:r>
      <w:hyperlink r:id="rId24" w:history="1">
        <w:r w:rsidRPr="00FF206D">
          <w:rPr>
            <w:rStyle w:val="Hyperlink"/>
            <w:rFonts w:asciiTheme="minorBidi" w:hAnsiTheme="minorBidi" w:cstheme="minorBidi"/>
            <w:noProof/>
            <w:szCs w:val="24"/>
          </w:rPr>
          <w:t>https://doi.org/10.58557/eduinsights.v2i2.86</w:t>
        </w:r>
      </w:hyperlink>
    </w:p>
    <w:p w14:paraId="43003DBE"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De Almeida, L. M. W. (2017). Considerations on the use of mathematics in modeling activities.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50</w:t>
      </w:r>
      <w:r w:rsidRPr="00C17D6B">
        <w:rPr>
          <w:rFonts w:asciiTheme="minorBidi" w:hAnsiTheme="minorBidi" w:cstheme="minorBidi"/>
          <w:noProof/>
          <w:szCs w:val="24"/>
        </w:rPr>
        <w:t>(1–2), 19–30. https://doi.org/10.1007/s11858-017-0902-4</w:t>
      </w:r>
    </w:p>
    <w:p w14:paraId="7B4D7A5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Fitrieyah, I. D., &amp; Mabrouk, A. Ben. (2024). Analysis of student’s difficulty in solving mathematical problems in linear programs. </w:t>
      </w:r>
      <w:r w:rsidRPr="00C17D6B">
        <w:rPr>
          <w:rFonts w:asciiTheme="minorBidi" w:hAnsiTheme="minorBidi" w:cstheme="minorBidi"/>
          <w:i/>
          <w:iCs/>
          <w:noProof/>
          <w:szCs w:val="24"/>
        </w:rPr>
        <w:t>Journal of Teaching and Learning Mathematics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w:t>
      </w:r>
      <w:r w:rsidRPr="00C17D6B">
        <w:rPr>
          <w:rFonts w:asciiTheme="minorBidi" w:hAnsiTheme="minorBidi" w:cstheme="minorBidi"/>
          <w:noProof/>
          <w:szCs w:val="24"/>
        </w:rPr>
        <w:t xml:space="preserve">(1), 37–43. </w:t>
      </w:r>
      <w:hyperlink r:id="rId25" w:history="1">
        <w:r w:rsidRPr="00FF206D">
          <w:rPr>
            <w:rStyle w:val="Hyperlink"/>
            <w:rFonts w:asciiTheme="minorBidi" w:hAnsiTheme="minorBidi" w:cstheme="minorBidi"/>
            <w:noProof/>
            <w:szCs w:val="24"/>
          </w:rPr>
          <w:t>https://doi.org/10.22219/jtlm.v2i1.33680</w:t>
        </w:r>
      </w:hyperlink>
    </w:p>
    <w:p w14:paraId="665C218B"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Frejd, P., &amp; Bergsten, C. (2018). Professional modellers’ conceptions of the notion of mathematical modelling: Ideas for education.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50</w:t>
      </w:r>
      <w:r w:rsidRPr="00C17D6B">
        <w:rPr>
          <w:rFonts w:asciiTheme="minorBidi" w:hAnsiTheme="minorBidi" w:cstheme="minorBidi"/>
          <w:noProof/>
          <w:szCs w:val="24"/>
        </w:rPr>
        <w:t xml:space="preserve">(1–2), 117–127. </w:t>
      </w:r>
      <w:hyperlink r:id="rId26" w:history="1">
        <w:r w:rsidRPr="00FF206D">
          <w:rPr>
            <w:rStyle w:val="Hyperlink"/>
            <w:rFonts w:asciiTheme="minorBidi" w:hAnsiTheme="minorBidi" w:cstheme="minorBidi"/>
            <w:noProof/>
            <w:szCs w:val="24"/>
          </w:rPr>
          <w:t>https://doi.org/10.1007/s11858-018-0928-2</w:t>
        </w:r>
      </w:hyperlink>
    </w:p>
    <w:p w14:paraId="777FB0BA"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Hapsari, R. F., Kuswardi, Y., &amp; Andriatna, R. (2025). Students’ ability of understanding concepts and computational skill based on learning styles in the discovery learning model. </w:t>
      </w:r>
      <w:r w:rsidRPr="00C17D6B">
        <w:rPr>
          <w:rFonts w:asciiTheme="minorBidi" w:hAnsiTheme="minorBidi" w:cstheme="minorBidi"/>
          <w:i/>
          <w:iCs/>
          <w:noProof/>
          <w:szCs w:val="24"/>
        </w:rPr>
        <w:t>Journal of Honai Math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8</w:t>
      </w:r>
      <w:r w:rsidRPr="00C17D6B">
        <w:rPr>
          <w:rFonts w:asciiTheme="minorBidi" w:hAnsiTheme="minorBidi" w:cstheme="minorBidi"/>
          <w:noProof/>
          <w:szCs w:val="24"/>
        </w:rPr>
        <w:t xml:space="preserve">(2), 271–286. </w:t>
      </w:r>
      <w:hyperlink r:id="rId27" w:history="1">
        <w:r w:rsidRPr="00FF206D">
          <w:rPr>
            <w:rStyle w:val="Hyperlink"/>
            <w:rFonts w:asciiTheme="minorBidi" w:hAnsiTheme="minorBidi" w:cstheme="minorBidi"/>
            <w:noProof/>
            <w:szCs w:val="24"/>
          </w:rPr>
          <w:t>https://doi.org/10.30862/jhm.v8i2.879</w:t>
        </w:r>
      </w:hyperlink>
    </w:p>
    <w:p w14:paraId="78ABCA9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Harini, N. V. (2024). Design contextual problems and solutions related to linear programming topics with the help of geogebra. </w:t>
      </w:r>
      <w:r w:rsidRPr="00C17D6B">
        <w:rPr>
          <w:rFonts w:asciiTheme="minorBidi" w:hAnsiTheme="minorBidi" w:cstheme="minorBidi"/>
          <w:i/>
          <w:iCs/>
          <w:noProof/>
          <w:szCs w:val="24"/>
        </w:rPr>
        <w:t>Noumerico: Journal of Technology in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w:t>
      </w:r>
      <w:r w:rsidRPr="00C17D6B">
        <w:rPr>
          <w:rFonts w:asciiTheme="minorBidi" w:hAnsiTheme="minorBidi" w:cstheme="minorBidi"/>
          <w:noProof/>
          <w:szCs w:val="24"/>
        </w:rPr>
        <w:t xml:space="preserve">(2), 156–164. </w:t>
      </w:r>
      <w:hyperlink r:id="rId28" w:history="1">
        <w:r w:rsidRPr="00FF206D">
          <w:rPr>
            <w:rStyle w:val="Hyperlink"/>
            <w:rFonts w:asciiTheme="minorBidi" w:hAnsiTheme="minorBidi" w:cstheme="minorBidi"/>
            <w:noProof/>
            <w:szCs w:val="24"/>
          </w:rPr>
          <w:t>https://doi.org/10.33367/jtme.v2i2.5914</w:t>
        </w:r>
      </w:hyperlink>
    </w:p>
    <w:p w14:paraId="718859A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Harini, N. V., Sa’diyah, M., &amp; Rahaju, E. B. (2025). An overview of students’ work in designing contextual problems and how to solve related to operational research. </w:t>
      </w:r>
      <w:r w:rsidRPr="00C17D6B">
        <w:rPr>
          <w:rFonts w:asciiTheme="minorBidi" w:hAnsiTheme="minorBidi" w:cstheme="minorBidi"/>
          <w:i/>
          <w:iCs/>
          <w:noProof/>
          <w:szCs w:val="24"/>
        </w:rPr>
        <w:t>The International Conference of Interdisciplinary Research and Studies in Mathematics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3316</w:t>
      </w:r>
      <w:r w:rsidRPr="00C17D6B">
        <w:rPr>
          <w:rFonts w:asciiTheme="minorBidi" w:hAnsiTheme="minorBidi" w:cstheme="minorBidi"/>
          <w:noProof/>
          <w:szCs w:val="24"/>
        </w:rPr>
        <w:t xml:space="preserve">(1). </w:t>
      </w:r>
      <w:hyperlink r:id="rId29" w:history="1">
        <w:r w:rsidRPr="00FF206D">
          <w:rPr>
            <w:rStyle w:val="Hyperlink"/>
            <w:rFonts w:asciiTheme="minorBidi" w:hAnsiTheme="minorBidi" w:cstheme="minorBidi"/>
            <w:noProof/>
            <w:szCs w:val="24"/>
          </w:rPr>
          <w:t>https://doi.org/10.1063/5.0290012</w:t>
        </w:r>
      </w:hyperlink>
    </w:p>
    <w:p w14:paraId="16E512B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Kandemir, M. A., &amp; Eryilmaz, N. (2025). Pre-service mathematics teachers’ modelling processes within model eliciting activity through digital technologies. </w:t>
      </w:r>
      <w:r w:rsidRPr="00C17D6B">
        <w:rPr>
          <w:rFonts w:asciiTheme="minorBidi" w:hAnsiTheme="minorBidi" w:cstheme="minorBidi"/>
          <w:i/>
          <w:iCs/>
          <w:noProof/>
          <w:szCs w:val="24"/>
        </w:rPr>
        <w:t>Acta Psychologica</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256</w:t>
      </w:r>
      <w:r w:rsidRPr="00C17D6B">
        <w:rPr>
          <w:rFonts w:asciiTheme="minorBidi" w:hAnsiTheme="minorBidi" w:cstheme="minorBidi"/>
          <w:noProof/>
          <w:szCs w:val="24"/>
        </w:rPr>
        <w:t xml:space="preserve">(November 2024), 104990. </w:t>
      </w:r>
      <w:hyperlink r:id="rId30" w:history="1">
        <w:r w:rsidRPr="00FF206D">
          <w:rPr>
            <w:rStyle w:val="Hyperlink"/>
            <w:rFonts w:asciiTheme="minorBidi" w:hAnsiTheme="minorBidi" w:cstheme="minorBidi"/>
            <w:noProof/>
            <w:szCs w:val="24"/>
          </w:rPr>
          <w:t>https://doi.org/10.1016/j.actpsy.2025.104990</w:t>
        </w:r>
      </w:hyperlink>
    </w:p>
    <w:p w14:paraId="6D0B103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Kaygısız, İ., &amp; Şenel, E. A. (2023). Investigating mathematical modeling competencies of primary school students: Reflections from a model eliciting activity. </w:t>
      </w:r>
      <w:r w:rsidRPr="00C17D6B">
        <w:rPr>
          <w:rFonts w:asciiTheme="minorBidi" w:hAnsiTheme="minorBidi" w:cstheme="minorBidi"/>
          <w:i/>
          <w:iCs/>
          <w:noProof/>
          <w:szCs w:val="24"/>
        </w:rPr>
        <w:t>Journal of Pedagogical Research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7</w:t>
      </w:r>
      <w:r w:rsidRPr="00C17D6B">
        <w:rPr>
          <w:rFonts w:asciiTheme="minorBidi" w:hAnsiTheme="minorBidi" w:cstheme="minorBidi"/>
          <w:noProof/>
          <w:szCs w:val="24"/>
        </w:rPr>
        <w:t xml:space="preserve">(1), 1–24. </w:t>
      </w:r>
      <w:hyperlink r:id="rId31" w:history="1">
        <w:r w:rsidRPr="00FF206D">
          <w:rPr>
            <w:rStyle w:val="Hyperlink"/>
            <w:rFonts w:asciiTheme="minorBidi" w:hAnsiTheme="minorBidi" w:cstheme="minorBidi"/>
            <w:noProof/>
            <w:szCs w:val="24"/>
          </w:rPr>
          <w:t>https://doi.org/10.33902/JPR.202317062</w:t>
        </w:r>
      </w:hyperlink>
    </w:p>
    <w:p w14:paraId="5C79770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Kelp, C., &amp; Simion, M. (2023). What is trustworthiness? </w:t>
      </w:r>
      <w:r w:rsidRPr="00C17D6B">
        <w:rPr>
          <w:rFonts w:asciiTheme="minorBidi" w:hAnsiTheme="minorBidi" w:cstheme="minorBidi"/>
          <w:i/>
          <w:iCs/>
          <w:noProof/>
          <w:szCs w:val="24"/>
        </w:rPr>
        <w:t>Nous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57</w:t>
      </w:r>
      <w:r w:rsidRPr="00C17D6B">
        <w:rPr>
          <w:rFonts w:asciiTheme="minorBidi" w:hAnsiTheme="minorBidi" w:cstheme="minorBidi"/>
          <w:noProof/>
          <w:szCs w:val="24"/>
        </w:rPr>
        <w:t xml:space="preserve">(3), 667–683. </w:t>
      </w:r>
      <w:hyperlink r:id="rId32" w:history="1">
        <w:r w:rsidRPr="00FF206D">
          <w:rPr>
            <w:rStyle w:val="Hyperlink"/>
            <w:rFonts w:asciiTheme="minorBidi" w:hAnsiTheme="minorBidi" w:cstheme="minorBidi"/>
            <w:noProof/>
            <w:szCs w:val="24"/>
          </w:rPr>
          <w:t>https://doi.org/10.1111/nous.12448</w:t>
        </w:r>
      </w:hyperlink>
    </w:p>
    <w:p w14:paraId="3AD917B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Kenney, R., An, T., Kim, S. H., Uhan, N. A., Yi, J. S., &amp; Shamsul, A. (2020). Linear programming models: identifying common errors in engineering students’ work with complex word problems. </w:t>
      </w:r>
      <w:r w:rsidRPr="00C17D6B">
        <w:rPr>
          <w:rFonts w:asciiTheme="minorBidi" w:hAnsiTheme="minorBidi" w:cstheme="minorBidi"/>
          <w:i/>
          <w:iCs/>
          <w:noProof/>
          <w:szCs w:val="24"/>
        </w:rPr>
        <w:t>International Journal of Science and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18</w:t>
      </w:r>
      <w:r w:rsidRPr="00C17D6B">
        <w:rPr>
          <w:rFonts w:asciiTheme="minorBidi" w:hAnsiTheme="minorBidi" w:cstheme="minorBidi"/>
          <w:noProof/>
          <w:szCs w:val="24"/>
        </w:rPr>
        <w:t xml:space="preserve">(4), 635–655. </w:t>
      </w:r>
      <w:hyperlink r:id="rId33" w:history="1">
        <w:r w:rsidRPr="00FF206D">
          <w:rPr>
            <w:rStyle w:val="Hyperlink"/>
            <w:rFonts w:asciiTheme="minorBidi" w:hAnsiTheme="minorBidi" w:cstheme="minorBidi"/>
            <w:noProof/>
            <w:szCs w:val="24"/>
          </w:rPr>
          <w:t>https://doi.org/10.1007/s10763-019-09980-5</w:t>
        </w:r>
      </w:hyperlink>
    </w:p>
    <w:p w14:paraId="3570D50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Kohen, Z. (2025). Structured mathematical modelling in an authentic scientific</w:t>
      </w:r>
      <w:r w:rsidRPr="00C17D6B">
        <w:rPr>
          <w:rFonts w:ascii="Cambria Math" w:hAnsi="Cambria Math" w:cs="Cambria Math"/>
          <w:noProof/>
          <w:szCs w:val="24"/>
        </w:rPr>
        <w:t>‑</w:t>
      </w:r>
      <w:r w:rsidRPr="00C17D6B">
        <w:rPr>
          <w:rFonts w:asciiTheme="minorBidi" w:hAnsiTheme="minorBidi" w:cstheme="minorBidi"/>
          <w:noProof/>
          <w:szCs w:val="24"/>
        </w:rPr>
        <w:t xml:space="preserve">engineering context.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57</w:t>
      </w:r>
      <w:r w:rsidRPr="00C17D6B">
        <w:rPr>
          <w:rFonts w:asciiTheme="minorBidi" w:hAnsiTheme="minorBidi" w:cstheme="minorBidi"/>
          <w:noProof/>
          <w:szCs w:val="24"/>
        </w:rPr>
        <w:t xml:space="preserve">(2), 229–244. </w:t>
      </w:r>
      <w:hyperlink r:id="rId34" w:history="1">
        <w:r w:rsidRPr="00FF206D">
          <w:rPr>
            <w:rStyle w:val="Hyperlink"/>
            <w:rFonts w:asciiTheme="minorBidi" w:hAnsiTheme="minorBidi" w:cstheme="minorBidi"/>
            <w:noProof/>
            <w:szCs w:val="24"/>
          </w:rPr>
          <w:t>https://doi.org/10.1007/s11858-025-01678-z</w:t>
        </w:r>
      </w:hyperlink>
    </w:p>
    <w:p w14:paraId="44AA255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Laswadi, L., Kusumah, Y. S., Darwis, S., &amp; Afgani, J. D. (2016). Developing conceptual understanding and procedural fluency for junior high school students through model-facilitated learning (MFL). </w:t>
      </w:r>
      <w:r w:rsidRPr="00C17D6B">
        <w:rPr>
          <w:rFonts w:asciiTheme="minorBidi" w:hAnsiTheme="minorBidi" w:cstheme="minorBidi"/>
          <w:i/>
          <w:iCs/>
          <w:noProof/>
          <w:szCs w:val="24"/>
        </w:rPr>
        <w:t>European Journal of Science and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w:t>
      </w:r>
      <w:r w:rsidRPr="00C17D6B">
        <w:rPr>
          <w:rFonts w:asciiTheme="minorBidi" w:hAnsiTheme="minorBidi" w:cstheme="minorBidi"/>
          <w:noProof/>
          <w:szCs w:val="24"/>
        </w:rPr>
        <w:t xml:space="preserve">(1), 67–74. </w:t>
      </w:r>
      <w:hyperlink r:id="rId35" w:history="1">
        <w:r w:rsidRPr="00FF206D">
          <w:rPr>
            <w:rStyle w:val="Hyperlink"/>
            <w:rFonts w:asciiTheme="minorBidi" w:hAnsiTheme="minorBidi" w:cstheme="minorBidi"/>
            <w:noProof/>
            <w:szCs w:val="24"/>
          </w:rPr>
          <w:t>https://doi.org/10.30935/scimath/9454</w:t>
        </w:r>
      </w:hyperlink>
    </w:p>
    <w:p w14:paraId="4E668D36"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Loyens, S. M. M., van Meerten, J. E., Schaap, L., &amp; Wijnia, L. (2023). Situating higher-order, critical, and critical-analytic thinking in problem- and project-based learning environments: a systematic review. In </w:t>
      </w:r>
      <w:r w:rsidRPr="00C17D6B">
        <w:rPr>
          <w:rFonts w:asciiTheme="minorBidi" w:hAnsiTheme="minorBidi" w:cstheme="minorBidi"/>
          <w:i/>
          <w:iCs/>
          <w:noProof/>
          <w:szCs w:val="24"/>
        </w:rPr>
        <w:t>Educational Psychology Review</w:t>
      </w:r>
      <w:r w:rsidRPr="00C17D6B">
        <w:rPr>
          <w:rFonts w:asciiTheme="minorBidi" w:hAnsiTheme="minorBidi" w:cstheme="minorBidi"/>
          <w:noProof/>
          <w:szCs w:val="24"/>
        </w:rPr>
        <w:t xml:space="preserve"> (Vol. 35, Issue 2). Springer US.</w:t>
      </w:r>
      <w:hyperlink r:id="rId36" w:history="1">
        <w:r w:rsidRPr="00FF206D">
          <w:rPr>
            <w:rStyle w:val="Hyperlink"/>
            <w:rFonts w:asciiTheme="minorBidi" w:hAnsiTheme="minorBidi" w:cstheme="minorBidi"/>
            <w:noProof/>
            <w:szCs w:val="24"/>
          </w:rPr>
          <w:t xml:space="preserve"> https://doi.org/10.1007/s10648-023-09757-x</w:t>
        </w:r>
      </w:hyperlink>
    </w:p>
    <w:p w14:paraId="4F4422F6"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Lu, X., &amp; Kaiser, G. (2022). Can mathematical modelling work as a creativity-demanding activity? an empirical study in China.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54</w:t>
      </w:r>
      <w:r w:rsidRPr="00C17D6B">
        <w:rPr>
          <w:rFonts w:asciiTheme="minorBidi" w:hAnsiTheme="minorBidi" w:cstheme="minorBidi"/>
          <w:noProof/>
          <w:szCs w:val="24"/>
        </w:rPr>
        <w:t xml:space="preserve">(1), 67–81. </w:t>
      </w:r>
      <w:hyperlink r:id="rId37" w:history="1">
        <w:r w:rsidRPr="00FF206D">
          <w:rPr>
            <w:rStyle w:val="Hyperlink"/>
            <w:rFonts w:asciiTheme="minorBidi" w:hAnsiTheme="minorBidi" w:cstheme="minorBidi"/>
            <w:noProof/>
            <w:szCs w:val="24"/>
          </w:rPr>
          <w:t>https://doi.org/10.1007/s11858-021-01316-4</w:t>
        </w:r>
      </w:hyperlink>
    </w:p>
    <w:p w14:paraId="03FE291D"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Octaria, D., Zulkardi, Z., &amp; Putri, R. I. I. (2023). Ksystematic literature review: how students learn linear programming with realistic mathematics education? </w:t>
      </w:r>
      <w:r w:rsidRPr="00C17D6B">
        <w:rPr>
          <w:rFonts w:asciiTheme="minorBidi" w:hAnsiTheme="minorBidi" w:cstheme="minorBidi"/>
          <w:i/>
          <w:iCs/>
          <w:noProof/>
          <w:szCs w:val="24"/>
        </w:rPr>
        <w:t>International Journal of Trends in Mathematics Education Research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6</w:t>
      </w:r>
      <w:r w:rsidRPr="00C17D6B">
        <w:rPr>
          <w:rFonts w:asciiTheme="minorBidi" w:hAnsiTheme="minorBidi" w:cstheme="minorBidi"/>
          <w:noProof/>
          <w:szCs w:val="24"/>
        </w:rPr>
        <w:t xml:space="preserve">(1), 41–46. </w:t>
      </w:r>
      <w:hyperlink r:id="rId38" w:history="1">
        <w:r w:rsidRPr="00FF206D">
          <w:rPr>
            <w:rStyle w:val="Hyperlink"/>
            <w:rFonts w:asciiTheme="minorBidi" w:hAnsiTheme="minorBidi" w:cstheme="minorBidi"/>
            <w:noProof/>
            <w:szCs w:val="24"/>
          </w:rPr>
          <w:t>https://doi.org/10.33122/ijtmer.v6i1.174</w:t>
        </w:r>
      </w:hyperlink>
    </w:p>
    <w:p w14:paraId="487BE6A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Pham, T. L., Tran, T. M., &amp; Pham, H. T. (2022). Combining mathematical modeling and applied mathematics with strategy and situation analysis. </w:t>
      </w:r>
      <w:r w:rsidRPr="00C17D6B">
        <w:rPr>
          <w:rFonts w:asciiTheme="minorBidi" w:hAnsiTheme="minorBidi" w:cstheme="minorBidi"/>
          <w:i/>
          <w:iCs/>
          <w:noProof/>
          <w:szCs w:val="24"/>
        </w:rPr>
        <w:t>International Journl of All Researc Writings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3</w:t>
      </w:r>
      <w:r w:rsidRPr="00C17D6B">
        <w:rPr>
          <w:rFonts w:asciiTheme="minorBidi" w:hAnsiTheme="minorBidi" w:cstheme="minorBidi"/>
          <w:noProof/>
          <w:szCs w:val="24"/>
        </w:rPr>
        <w:t>(8), 68–71.</w:t>
      </w:r>
    </w:p>
    <w:p w14:paraId="544D239C"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Phuong, H. T. M. (2020). Measuring conceptual understanding, procedural fluency and integrating procedural and conceptual knowledge in mathematical problem solving. </w:t>
      </w:r>
      <w:r w:rsidRPr="00C17D6B">
        <w:rPr>
          <w:rFonts w:asciiTheme="minorBidi" w:hAnsiTheme="minorBidi" w:cstheme="minorBidi"/>
          <w:i/>
          <w:iCs/>
          <w:noProof/>
          <w:szCs w:val="24"/>
        </w:rPr>
        <w:t>International Journal of Scientific Research and Management</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8</w:t>
      </w:r>
      <w:r w:rsidRPr="00C17D6B">
        <w:rPr>
          <w:rFonts w:asciiTheme="minorBidi" w:hAnsiTheme="minorBidi" w:cstheme="minorBidi"/>
          <w:noProof/>
          <w:szCs w:val="24"/>
        </w:rPr>
        <w:t xml:space="preserve">(05), 1334–1350. </w:t>
      </w:r>
      <w:hyperlink r:id="rId39" w:history="1">
        <w:r w:rsidRPr="00FF206D">
          <w:rPr>
            <w:rStyle w:val="Hyperlink"/>
            <w:rFonts w:asciiTheme="minorBidi" w:hAnsiTheme="minorBidi" w:cstheme="minorBidi"/>
            <w:noProof/>
            <w:szCs w:val="24"/>
          </w:rPr>
          <w:t>https://doi.org/10.18535/ijsrm/v8i05.el02</w:t>
        </w:r>
      </w:hyperlink>
    </w:p>
    <w:p w14:paraId="2E5BEA5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Poler, R., Mula, J., &amp; Díaz-Madroñero, M. (2025). Operations research problems. In </w:t>
      </w:r>
      <w:r w:rsidRPr="00C17D6B">
        <w:rPr>
          <w:rFonts w:asciiTheme="minorBidi" w:hAnsiTheme="minorBidi" w:cstheme="minorBidi"/>
          <w:i/>
          <w:iCs/>
          <w:noProof/>
          <w:szCs w:val="24"/>
        </w:rPr>
        <w:t>Operations Research Problems</w:t>
      </w:r>
      <w:r w:rsidRPr="00C17D6B">
        <w:rPr>
          <w:rFonts w:asciiTheme="minorBidi" w:hAnsiTheme="minorBidi" w:cstheme="minorBidi"/>
          <w:noProof/>
          <w:szCs w:val="24"/>
        </w:rPr>
        <w:t xml:space="preserve">. </w:t>
      </w:r>
      <w:hyperlink r:id="rId40" w:history="1">
        <w:r w:rsidRPr="00FF206D">
          <w:rPr>
            <w:rStyle w:val="Hyperlink"/>
            <w:rFonts w:asciiTheme="minorBidi" w:hAnsiTheme="minorBidi" w:cstheme="minorBidi"/>
            <w:noProof/>
            <w:szCs w:val="24"/>
          </w:rPr>
          <w:t>https://doi.org/10.1007/978-1-4471-7546-9</w:t>
        </w:r>
      </w:hyperlink>
    </w:p>
    <w:p w14:paraId="17390CAE"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Prakong, S. (2024). The role of critical thinking in enhancing students’ problem-solving abilities in higher education. </w:t>
      </w:r>
      <w:r w:rsidRPr="00C17D6B">
        <w:rPr>
          <w:rFonts w:asciiTheme="minorBidi" w:hAnsiTheme="minorBidi" w:cstheme="minorBidi"/>
          <w:i/>
          <w:iCs/>
          <w:noProof/>
          <w:szCs w:val="24"/>
        </w:rPr>
        <w:t>Journal of Education, Humanities, and Social Research</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w:t>
      </w:r>
      <w:r w:rsidRPr="00C17D6B">
        <w:rPr>
          <w:rFonts w:asciiTheme="minorBidi" w:hAnsiTheme="minorBidi" w:cstheme="minorBidi"/>
          <w:noProof/>
          <w:szCs w:val="24"/>
        </w:rPr>
        <w:t xml:space="preserve">(1), 10–16. </w:t>
      </w:r>
      <w:hyperlink r:id="rId41" w:history="1">
        <w:r w:rsidRPr="00FF206D">
          <w:rPr>
            <w:rStyle w:val="Hyperlink"/>
            <w:rFonts w:asciiTheme="minorBidi" w:hAnsiTheme="minorBidi" w:cstheme="minorBidi"/>
            <w:noProof/>
            <w:szCs w:val="24"/>
          </w:rPr>
          <w:t>https://doi.org/10.70088/scx8x622</w:t>
        </w:r>
      </w:hyperlink>
    </w:p>
    <w:p w14:paraId="02A82E3B"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Sa’diyah, M., Purnomo, H., &amp; Harini, N. V. (2025). Analysis of mathematics learning related to the context of ral-life problems based on mathematical literacy aspects. </w:t>
      </w:r>
      <w:r w:rsidRPr="00C17D6B">
        <w:rPr>
          <w:rFonts w:asciiTheme="minorBidi" w:hAnsiTheme="minorBidi" w:cstheme="minorBidi"/>
          <w:i/>
          <w:iCs/>
          <w:noProof/>
          <w:szCs w:val="24"/>
        </w:rPr>
        <w:t>The International Conference of Interdisciplinary Research and Studies in Mathematics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3316</w:t>
      </w:r>
      <w:r w:rsidRPr="00C17D6B">
        <w:rPr>
          <w:rFonts w:asciiTheme="minorBidi" w:hAnsiTheme="minorBidi" w:cstheme="minorBidi"/>
          <w:noProof/>
          <w:szCs w:val="24"/>
        </w:rPr>
        <w:t xml:space="preserve">(1). </w:t>
      </w:r>
      <w:hyperlink r:id="rId42" w:history="1">
        <w:r w:rsidRPr="00FF206D">
          <w:rPr>
            <w:rStyle w:val="Hyperlink"/>
            <w:rFonts w:asciiTheme="minorBidi" w:hAnsiTheme="minorBidi" w:cstheme="minorBidi"/>
            <w:noProof/>
            <w:szCs w:val="24"/>
          </w:rPr>
          <w:t>https://doi.org/10.1063/5.0290067</w:t>
        </w:r>
      </w:hyperlink>
    </w:p>
    <w:p w14:paraId="090237B2"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Salha, S. H., &amp; Qatani, N. (2021). </w:t>
      </w:r>
      <w:r w:rsidRPr="00C17D6B">
        <w:rPr>
          <w:rFonts w:asciiTheme="minorBidi" w:hAnsiTheme="minorBidi" w:cstheme="minorBidi"/>
          <w:i/>
          <w:iCs/>
          <w:noProof/>
          <w:szCs w:val="24"/>
        </w:rPr>
        <w:t>Impact of the mathematical modeling on conceptual understanding among student-teachers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56</w:t>
      </w:r>
      <w:r w:rsidRPr="00C17D6B">
        <w:rPr>
          <w:rFonts w:asciiTheme="minorBidi" w:hAnsiTheme="minorBidi" w:cstheme="minorBidi"/>
          <w:noProof/>
          <w:szCs w:val="24"/>
        </w:rPr>
        <w:t>(5), 539–551.</w:t>
      </w:r>
    </w:p>
    <w:p w14:paraId="351F6C3A"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Santos-Trigo, M. (2024). Problem solving in mathematics education: tracing its foundations and current research-practice trends. </w:t>
      </w:r>
      <w:r w:rsidRPr="00C17D6B">
        <w:rPr>
          <w:rFonts w:asciiTheme="minorBidi" w:hAnsiTheme="minorBidi" w:cstheme="minorBidi"/>
          <w:i/>
          <w:iCs/>
          <w:noProof/>
          <w:szCs w:val="24"/>
        </w:rPr>
        <w:t>ZDM - Mathematics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56</w:t>
      </w:r>
      <w:r w:rsidRPr="00C17D6B">
        <w:rPr>
          <w:rFonts w:asciiTheme="minorBidi" w:hAnsiTheme="minorBidi" w:cstheme="minorBidi"/>
          <w:noProof/>
          <w:szCs w:val="24"/>
        </w:rPr>
        <w:t xml:space="preserve">(2), 211–222. </w:t>
      </w:r>
      <w:hyperlink r:id="rId43" w:history="1">
        <w:r w:rsidRPr="00FF206D">
          <w:rPr>
            <w:rStyle w:val="Hyperlink"/>
            <w:rFonts w:asciiTheme="minorBidi" w:hAnsiTheme="minorBidi" w:cstheme="minorBidi"/>
            <w:noProof/>
            <w:szCs w:val="24"/>
          </w:rPr>
          <w:t>https://doi.org/10.1007/s11858-024-01578-8</w:t>
        </w:r>
      </w:hyperlink>
    </w:p>
    <w:p w14:paraId="1187BF43"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Santoso, D. ., A., F., &amp; Ulum, B. (2017). </w:t>
      </w:r>
      <w:r w:rsidR="00FF206D" w:rsidRPr="00C17D6B">
        <w:rPr>
          <w:rFonts w:asciiTheme="minorBidi" w:hAnsiTheme="minorBidi" w:cstheme="minorBidi"/>
          <w:noProof/>
          <w:szCs w:val="24"/>
        </w:rPr>
        <w:t>Error analysis of students working about word problem of linear program with NEA procedure error analysis of students working about word problem of linear program with NEA procedure.</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International Conference on Mathematics: Education, Theory and Application</w:t>
      </w:r>
      <w:r w:rsidRPr="00C17D6B">
        <w:rPr>
          <w:rFonts w:asciiTheme="minorBidi" w:hAnsiTheme="minorBidi" w:cstheme="minorBidi"/>
          <w:noProof/>
          <w:szCs w:val="24"/>
        </w:rPr>
        <w:t>.</w:t>
      </w:r>
    </w:p>
    <w:p w14:paraId="1FC11B8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Shodikin, A., Ekawati, R., Purnomo, H. P., &amp; Abdullah, A. H. (2024). Failure in constructing the mathematical model in real-world problems. </w:t>
      </w:r>
      <w:r w:rsidRPr="00C17D6B">
        <w:rPr>
          <w:rFonts w:asciiTheme="minorBidi" w:hAnsiTheme="minorBidi" w:cstheme="minorBidi"/>
          <w:i/>
          <w:iCs/>
          <w:noProof/>
          <w:szCs w:val="24"/>
        </w:rPr>
        <w:t>TEM Journal</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13</w:t>
      </w:r>
      <w:r w:rsidRPr="00C17D6B">
        <w:rPr>
          <w:rFonts w:asciiTheme="minorBidi" w:hAnsiTheme="minorBidi" w:cstheme="minorBidi"/>
          <w:noProof/>
          <w:szCs w:val="24"/>
        </w:rPr>
        <w:t xml:space="preserve">(4), 3335–3345. </w:t>
      </w:r>
      <w:hyperlink r:id="rId44" w:history="1">
        <w:r w:rsidRPr="00FF206D">
          <w:rPr>
            <w:rStyle w:val="Hyperlink"/>
            <w:rFonts w:asciiTheme="minorBidi" w:hAnsiTheme="minorBidi" w:cstheme="minorBidi"/>
            <w:noProof/>
            <w:szCs w:val="24"/>
          </w:rPr>
          <w:t>https://doi.org/10.18421/TEM134-68</w:t>
        </w:r>
      </w:hyperlink>
    </w:p>
    <w:p w14:paraId="4E4A1CB7"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Spielman, D., &amp; Teng, S.-H. (2004). Smoothed analysis of algorithms. </w:t>
      </w:r>
      <w:r w:rsidRPr="00C17D6B">
        <w:rPr>
          <w:rFonts w:asciiTheme="minorBidi" w:hAnsiTheme="minorBidi" w:cstheme="minorBidi"/>
          <w:i/>
          <w:iCs/>
          <w:noProof/>
          <w:szCs w:val="24"/>
        </w:rPr>
        <w:t>Journal of the ACM</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51</w:t>
      </w:r>
      <w:r w:rsidRPr="00C17D6B">
        <w:rPr>
          <w:rFonts w:asciiTheme="minorBidi" w:hAnsiTheme="minorBidi" w:cstheme="minorBidi"/>
          <w:noProof/>
          <w:szCs w:val="24"/>
        </w:rPr>
        <w:t xml:space="preserve">(3), 296–305. </w:t>
      </w:r>
      <w:hyperlink r:id="rId45" w:history="1">
        <w:r w:rsidRPr="00FF206D">
          <w:rPr>
            <w:rStyle w:val="Hyperlink"/>
            <w:rFonts w:asciiTheme="minorBidi" w:hAnsiTheme="minorBidi" w:cstheme="minorBidi"/>
            <w:noProof/>
            <w:szCs w:val="24"/>
          </w:rPr>
          <w:t>https://doi.org/10.1145/380752.380813</w:t>
        </w:r>
      </w:hyperlink>
    </w:p>
    <w:p w14:paraId="0C3C74A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Stahl, N. A., &amp; King, J. R. (2020). Expanding approaches for research: understanding and using trustworthiness in qualitative research. </w:t>
      </w:r>
      <w:r w:rsidRPr="00C17D6B">
        <w:rPr>
          <w:rFonts w:asciiTheme="minorBidi" w:hAnsiTheme="minorBidi" w:cstheme="minorBidi"/>
          <w:i/>
          <w:iCs/>
          <w:noProof/>
          <w:szCs w:val="24"/>
        </w:rPr>
        <w:t>Journal of Developmental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44</w:t>
      </w:r>
      <w:r w:rsidRPr="00C17D6B">
        <w:rPr>
          <w:rFonts w:asciiTheme="minorBidi" w:hAnsiTheme="minorBidi" w:cstheme="minorBidi"/>
          <w:noProof/>
          <w:szCs w:val="24"/>
        </w:rPr>
        <w:t>(1), 26–28.</w:t>
      </w:r>
    </w:p>
    <w:p w14:paraId="0655116E"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Sukoriyanto, &amp; Desmayanti, N. (2021). Analysis of student errors in solving linear programming problems based on Newman ’ s procedures in terms of writing mathematical communication capabilities. </w:t>
      </w:r>
      <w:r w:rsidRPr="00C17D6B">
        <w:rPr>
          <w:rFonts w:asciiTheme="minorBidi" w:hAnsiTheme="minorBidi" w:cstheme="minorBidi"/>
          <w:i/>
          <w:iCs/>
          <w:noProof/>
          <w:szCs w:val="24"/>
        </w:rPr>
        <w:t>International Conference on Mathematics and Science Education (ICoMSE)</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040002</w:t>
      </w:r>
      <w:r w:rsidRPr="00C17D6B">
        <w:rPr>
          <w:rFonts w:asciiTheme="minorBidi" w:hAnsiTheme="minorBidi" w:cstheme="minorBidi"/>
          <w:noProof/>
          <w:szCs w:val="24"/>
        </w:rPr>
        <w:t xml:space="preserve">. </w:t>
      </w:r>
      <w:hyperlink r:id="rId46" w:history="1">
        <w:r w:rsidRPr="00FF206D">
          <w:rPr>
            <w:rStyle w:val="Hyperlink"/>
            <w:rFonts w:asciiTheme="minorBidi" w:hAnsiTheme="minorBidi" w:cstheme="minorBidi"/>
            <w:noProof/>
            <w:szCs w:val="24"/>
          </w:rPr>
          <w:t>https://doi.org/doi.org/10.1063/5.0043383</w:t>
        </w:r>
      </w:hyperlink>
    </w:p>
    <w:p w14:paraId="088A50C0"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Tasarib, A., Rosli, R., &amp; Rambely, A. S. (2025). Impacts and challenges of mathematical modelling activities on students’ learning development: a systematic literature review. </w:t>
      </w:r>
      <w:r w:rsidRPr="00C17D6B">
        <w:rPr>
          <w:rFonts w:asciiTheme="minorBidi" w:hAnsiTheme="minorBidi" w:cstheme="minorBidi"/>
          <w:i/>
          <w:iCs/>
          <w:noProof/>
          <w:szCs w:val="24"/>
        </w:rPr>
        <w:t>Eurasia Journal of Mathematics, Science and Technology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21</w:t>
      </w:r>
      <w:r w:rsidRPr="00C17D6B">
        <w:rPr>
          <w:rFonts w:asciiTheme="minorBidi" w:hAnsiTheme="minorBidi" w:cstheme="minorBidi"/>
          <w:noProof/>
          <w:szCs w:val="24"/>
        </w:rPr>
        <w:t xml:space="preserve">(5). </w:t>
      </w:r>
      <w:hyperlink r:id="rId47" w:history="1">
        <w:r w:rsidRPr="00FF206D">
          <w:rPr>
            <w:rStyle w:val="Hyperlink"/>
            <w:rFonts w:asciiTheme="minorBidi" w:hAnsiTheme="minorBidi" w:cstheme="minorBidi"/>
            <w:noProof/>
            <w:szCs w:val="24"/>
          </w:rPr>
          <w:t>https://doi.org/10.29333/ejmste/16398</w:t>
        </w:r>
      </w:hyperlink>
    </w:p>
    <w:p w14:paraId="3D489A89"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Tursynkulova, E., Madiyarov, N., Sultanbek, T., &amp; Duysebayeva, P. (2023). The effect of problem-based learning on cognitive skills in solving geometric construction problems: a case study in Kazakhstan. </w:t>
      </w:r>
      <w:r w:rsidRPr="00C17D6B">
        <w:rPr>
          <w:rFonts w:asciiTheme="minorBidi" w:hAnsiTheme="minorBidi" w:cstheme="minorBidi"/>
          <w:i/>
          <w:iCs/>
          <w:noProof/>
          <w:szCs w:val="24"/>
        </w:rPr>
        <w:t>Frontiers in Education</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8</w:t>
      </w:r>
      <w:r w:rsidRPr="00C17D6B">
        <w:rPr>
          <w:rFonts w:asciiTheme="minorBidi" w:hAnsiTheme="minorBidi" w:cstheme="minorBidi"/>
          <w:noProof/>
          <w:szCs w:val="24"/>
        </w:rPr>
        <w:t xml:space="preserve">(December). </w:t>
      </w:r>
      <w:hyperlink r:id="rId48" w:history="1">
        <w:r w:rsidRPr="00FF206D">
          <w:rPr>
            <w:rStyle w:val="Hyperlink"/>
            <w:rFonts w:asciiTheme="minorBidi" w:hAnsiTheme="minorBidi" w:cstheme="minorBidi"/>
            <w:noProof/>
            <w:szCs w:val="24"/>
          </w:rPr>
          <w:t>https://doi.org/10.3389/feduc.2023.1284305</w:t>
        </w:r>
      </w:hyperlink>
    </w:p>
    <w:p w14:paraId="255D49DF" w14:textId="77777777" w:rsidR="00C17D6B" w:rsidRPr="00C17D6B" w:rsidRDefault="00C17D6B" w:rsidP="00C17D6B">
      <w:pPr>
        <w:widowControl w:val="0"/>
        <w:autoSpaceDE w:val="0"/>
        <w:autoSpaceDN w:val="0"/>
        <w:adjustRightInd w:val="0"/>
        <w:ind w:left="480" w:hanging="480"/>
        <w:jc w:val="both"/>
        <w:rPr>
          <w:rFonts w:asciiTheme="minorBidi" w:hAnsiTheme="minorBidi" w:cstheme="minorBidi"/>
          <w:noProof/>
          <w:szCs w:val="24"/>
        </w:rPr>
      </w:pPr>
      <w:r w:rsidRPr="00C17D6B">
        <w:rPr>
          <w:rFonts w:asciiTheme="minorBidi" w:hAnsiTheme="minorBidi" w:cstheme="minorBidi"/>
          <w:noProof/>
          <w:szCs w:val="24"/>
        </w:rPr>
        <w:t xml:space="preserve">Wakhata, R., Mutarutinya, V., &amp; Balimuttajjo, S. (2022). Secondary school students’ attitude towards mathematics word problems. </w:t>
      </w:r>
      <w:r w:rsidRPr="00C17D6B">
        <w:rPr>
          <w:rFonts w:asciiTheme="minorBidi" w:hAnsiTheme="minorBidi" w:cstheme="minorBidi"/>
          <w:i/>
          <w:iCs/>
          <w:noProof/>
          <w:szCs w:val="24"/>
        </w:rPr>
        <w:t>Humanities and Social Sciences Communications</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9</w:t>
      </w:r>
      <w:r w:rsidRPr="00C17D6B">
        <w:rPr>
          <w:rFonts w:asciiTheme="minorBidi" w:hAnsiTheme="minorBidi" w:cstheme="minorBidi"/>
          <w:noProof/>
          <w:szCs w:val="24"/>
        </w:rPr>
        <w:t xml:space="preserve">(1), 1–11. </w:t>
      </w:r>
      <w:hyperlink r:id="rId49" w:history="1">
        <w:r w:rsidRPr="00FF206D">
          <w:rPr>
            <w:rStyle w:val="Hyperlink"/>
            <w:rFonts w:asciiTheme="minorBidi" w:hAnsiTheme="minorBidi" w:cstheme="minorBidi"/>
            <w:noProof/>
            <w:szCs w:val="24"/>
          </w:rPr>
          <w:t>https://doi.org/10.1057/s41599-022-01449-1</w:t>
        </w:r>
      </w:hyperlink>
    </w:p>
    <w:p w14:paraId="06E7AA29" w14:textId="77777777" w:rsidR="00C17D6B" w:rsidRPr="00C17D6B" w:rsidRDefault="00C17D6B" w:rsidP="00FF206D">
      <w:pPr>
        <w:widowControl w:val="0"/>
        <w:autoSpaceDE w:val="0"/>
        <w:autoSpaceDN w:val="0"/>
        <w:adjustRightInd w:val="0"/>
        <w:ind w:left="480" w:hanging="480"/>
        <w:jc w:val="both"/>
        <w:rPr>
          <w:rFonts w:asciiTheme="minorBidi" w:hAnsiTheme="minorBidi" w:cstheme="minorBidi"/>
          <w:noProof/>
        </w:rPr>
      </w:pPr>
      <w:r w:rsidRPr="00C17D6B">
        <w:rPr>
          <w:rFonts w:asciiTheme="minorBidi" w:hAnsiTheme="minorBidi" w:cstheme="minorBidi"/>
          <w:noProof/>
          <w:szCs w:val="24"/>
        </w:rPr>
        <w:t xml:space="preserve">Wogu, O. E. (2014). An application of linear programming for efficient resource allocation. </w:t>
      </w:r>
      <w:r w:rsidRPr="00C17D6B">
        <w:rPr>
          <w:rFonts w:asciiTheme="minorBidi" w:hAnsiTheme="minorBidi" w:cstheme="minorBidi"/>
          <w:i/>
          <w:iCs/>
          <w:noProof/>
          <w:szCs w:val="24"/>
        </w:rPr>
        <w:t>Journal of Economics and Sustainable Development</w:t>
      </w:r>
      <w:r w:rsidRPr="00C17D6B">
        <w:rPr>
          <w:rFonts w:asciiTheme="minorBidi" w:hAnsiTheme="minorBidi" w:cstheme="minorBidi"/>
          <w:noProof/>
          <w:szCs w:val="24"/>
        </w:rPr>
        <w:t xml:space="preserve">, </w:t>
      </w:r>
      <w:r w:rsidRPr="00C17D6B">
        <w:rPr>
          <w:rFonts w:asciiTheme="minorBidi" w:hAnsiTheme="minorBidi" w:cstheme="minorBidi"/>
          <w:i/>
          <w:iCs/>
          <w:noProof/>
          <w:szCs w:val="24"/>
        </w:rPr>
        <w:t>5</w:t>
      </w:r>
      <w:r w:rsidRPr="00C17D6B">
        <w:rPr>
          <w:rFonts w:asciiTheme="minorBidi" w:hAnsiTheme="minorBidi" w:cstheme="minorBidi"/>
          <w:noProof/>
          <w:szCs w:val="24"/>
        </w:rPr>
        <w:t xml:space="preserve">(6), 9–14. </w:t>
      </w:r>
    </w:p>
    <w:p w14:paraId="00779894" w14:textId="77777777" w:rsidR="006E2C67" w:rsidRPr="00C17D6B" w:rsidRDefault="006E2C67" w:rsidP="00C17D6B">
      <w:pPr>
        <w:keepNext/>
        <w:pBdr>
          <w:top w:val="nil"/>
          <w:left w:val="nil"/>
          <w:bottom w:val="nil"/>
          <w:right w:val="nil"/>
          <w:between w:val="nil"/>
        </w:pBdr>
        <w:jc w:val="both"/>
        <w:rPr>
          <w:rFonts w:asciiTheme="minorBidi" w:eastAsia="Arial" w:hAnsiTheme="minorBidi" w:cstheme="minorBidi"/>
          <w:b/>
          <w:bCs/>
          <w:smallCaps/>
          <w:color w:val="000000"/>
          <w:sz w:val="22"/>
          <w:szCs w:val="22"/>
        </w:rPr>
      </w:pPr>
      <w:r w:rsidRPr="00C17D6B">
        <w:rPr>
          <w:rFonts w:asciiTheme="minorBidi" w:eastAsia="Arial" w:hAnsiTheme="minorBidi" w:cstheme="minorBidi"/>
          <w:b/>
          <w:bCs/>
          <w:smallCaps/>
          <w:color w:val="000000"/>
        </w:rPr>
        <w:fldChar w:fldCharType="end"/>
      </w:r>
    </w:p>
    <w:p w14:paraId="0725034B" w14:textId="77777777" w:rsidR="00882F22" w:rsidRDefault="00882F22">
      <w:pPr>
        <w:pBdr>
          <w:top w:val="nil"/>
          <w:left w:val="nil"/>
          <w:bottom w:val="nil"/>
          <w:right w:val="nil"/>
          <w:between w:val="nil"/>
        </w:pBdr>
        <w:ind w:left="360" w:hanging="360"/>
        <w:jc w:val="both"/>
        <w:rPr>
          <w:rFonts w:ascii="Arial" w:eastAsia="Arial" w:hAnsi="Arial" w:cs="Arial"/>
          <w:color w:val="000000"/>
        </w:rPr>
      </w:pPr>
    </w:p>
    <w:p w14:paraId="22DAA541" w14:textId="77777777" w:rsidR="00882F22" w:rsidRDefault="00882F22">
      <w:pPr>
        <w:keepNext/>
        <w:pBdr>
          <w:top w:val="nil"/>
          <w:left w:val="nil"/>
          <w:bottom w:val="nil"/>
          <w:right w:val="nil"/>
          <w:between w:val="nil"/>
        </w:pBdr>
        <w:jc w:val="both"/>
        <w:rPr>
          <w:rFonts w:ascii="Arial" w:eastAsia="Arial" w:hAnsi="Arial" w:cs="Arial"/>
          <w:smallCaps/>
          <w:color w:val="000000"/>
          <w:sz w:val="22"/>
          <w:szCs w:val="22"/>
        </w:rPr>
      </w:pPr>
    </w:p>
    <w:sectPr w:rsidR="00882F22" w:rsidSect="005D53F0">
      <w:headerReference w:type="even" r:id="rId50"/>
      <w:headerReference w:type="default" r:id="rId51"/>
      <w:footerReference w:type="default" r:id="rId52"/>
      <w:headerReference w:type="first" r:id="rId5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0EBF4" w14:textId="77777777" w:rsidR="00511ADC" w:rsidRDefault="00511ADC">
      <w:r>
        <w:separator/>
      </w:r>
    </w:p>
  </w:endnote>
  <w:endnote w:type="continuationSeparator" w:id="0">
    <w:p w14:paraId="1CD91AD3" w14:textId="77777777" w:rsidR="00511ADC" w:rsidRDefault="0051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11C8B7F-94A6-4584-8761-FE93B3366476}"/>
    <w:embedBold r:id="rId2" w:fontKey="{6D02FE4D-AAC9-4F1C-9C8B-BF50DAD7F3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42A01FA-0095-4697-A3E3-E444B4C95853}"/>
  </w:font>
  <w:font w:name="Cambria Math">
    <w:panose1 w:val="02040503050406030204"/>
    <w:charset w:val="00"/>
    <w:family w:val="roman"/>
    <w:pitch w:val="variable"/>
    <w:sig w:usb0="E00006FF" w:usb1="420024FF" w:usb2="02000000" w:usb3="00000000" w:csb0="0000019F" w:csb1="00000000"/>
    <w:embedRegular r:id="rId4" w:fontKey="{FB6CC92E-0E32-4B09-AD46-E0E9F0840F1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325C34AF-2492-4EF4-8387-0E6907C41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536D" w14:textId="77777777" w:rsidR="003840F9" w:rsidRDefault="00384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C69A" w14:textId="77777777" w:rsidR="003840F9" w:rsidRDefault="003840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96E4" w14:textId="35D9FEA3" w:rsidR="00882F22" w:rsidRPr="003840F9" w:rsidRDefault="00882F22" w:rsidP="003840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EE1F" w14:textId="77777777" w:rsidR="00882F22" w:rsidRDefault="00882F2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849F5" w14:textId="77777777" w:rsidR="00511ADC" w:rsidRDefault="00511ADC">
      <w:r>
        <w:separator/>
      </w:r>
    </w:p>
  </w:footnote>
  <w:footnote w:type="continuationSeparator" w:id="0">
    <w:p w14:paraId="49104C5F" w14:textId="77777777" w:rsidR="00511ADC" w:rsidRDefault="00511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08FF" w14:textId="4C4344C0" w:rsidR="003840F9" w:rsidRDefault="00000000">
    <w:pPr>
      <w:pStyle w:val="Header"/>
    </w:pPr>
    <w:r>
      <w:rPr>
        <w:noProof/>
      </w:rPr>
      <w:pict w14:anchorId="35565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2ACE" w14:textId="3BA32FF3" w:rsidR="003840F9" w:rsidRDefault="00000000">
    <w:pPr>
      <w:pStyle w:val="Header"/>
    </w:pPr>
    <w:r>
      <w:rPr>
        <w:noProof/>
      </w:rPr>
      <w:pict w14:anchorId="2F9D2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24C3" w14:textId="1666460A" w:rsidR="00882F22" w:rsidRDefault="00000000">
    <w:pPr>
      <w:ind w:left="2160"/>
      <w:jc w:val="center"/>
      <w:rPr>
        <w:rFonts w:ascii="Times New Roman" w:eastAsia="Times New Roman" w:hAnsi="Times New Roman" w:cs="Times New Roman"/>
        <w:i/>
        <w:iCs/>
        <w:sz w:val="18"/>
        <w:szCs w:val="18"/>
      </w:rPr>
    </w:pPr>
    <w:r>
      <w:rPr>
        <w:noProof/>
      </w:rPr>
      <w:pict w14:anchorId="63CBA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CF722DC" w14:textId="77777777" w:rsidR="00882F22" w:rsidRDefault="003A1DB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001197A" w14:textId="77777777" w:rsidR="00882F22" w:rsidRDefault="003A1DB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53B4911" w14:textId="77777777" w:rsidR="00882F22" w:rsidRDefault="003A1DB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E6EF2A8" w14:textId="77777777" w:rsidR="00882F22" w:rsidRDefault="003A1DB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15FFCEF" w14:textId="77777777" w:rsidR="00882F22" w:rsidRDefault="003A1DB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A7737DD" w14:textId="77777777" w:rsidR="00882F22" w:rsidRDefault="003A1DB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43D6E" w14:textId="1EB70893" w:rsidR="003840F9" w:rsidRDefault="00000000">
    <w:pPr>
      <w:pStyle w:val="Header"/>
    </w:pPr>
    <w:r>
      <w:rPr>
        <w:noProof/>
      </w:rPr>
      <w:pict w14:anchorId="3154D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4D146" w14:textId="7102C2D1" w:rsidR="003840F9" w:rsidRDefault="00000000">
    <w:pPr>
      <w:pStyle w:val="Header"/>
    </w:pPr>
    <w:r>
      <w:rPr>
        <w:noProof/>
      </w:rPr>
      <w:pict w14:anchorId="54418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A1F5C" w14:textId="0E3EC6EB" w:rsidR="003840F9" w:rsidRDefault="00000000">
    <w:pPr>
      <w:pStyle w:val="Header"/>
    </w:pPr>
    <w:r>
      <w:rPr>
        <w:noProof/>
      </w:rPr>
      <w:pict w14:anchorId="79A01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7498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F22"/>
    <w:rsid w:val="001939D7"/>
    <w:rsid w:val="001A435D"/>
    <w:rsid w:val="001B1CBA"/>
    <w:rsid w:val="001D11DF"/>
    <w:rsid w:val="003840F9"/>
    <w:rsid w:val="003A1DB3"/>
    <w:rsid w:val="003D5F7B"/>
    <w:rsid w:val="004306F8"/>
    <w:rsid w:val="00496DC6"/>
    <w:rsid w:val="004B6889"/>
    <w:rsid w:val="004E124E"/>
    <w:rsid w:val="00511ADC"/>
    <w:rsid w:val="00590478"/>
    <w:rsid w:val="005D53F0"/>
    <w:rsid w:val="006107C5"/>
    <w:rsid w:val="006442BF"/>
    <w:rsid w:val="0068277D"/>
    <w:rsid w:val="006E2C67"/>
    <w:rsid w:val="00747EF3"/>
    <w:rsid w:val="00783591"/>
    <w:rsid w:val="007C7AD9"/>
    <w:rsid w:val="00882F22"/>
    <w:rsid w:val="0093513E"/>
    <w:rsid w:val="00943F99"/>
    <w:rsid w:val="009D4FAE"/>
    <w:rsid w:val="00AA562C"/>
    <w:rsid w:val="00B92E2F"/>
    <w:rsid w:val="00C17D6B"/>
    <w:rsid w:val="00D03E1F"/>
    <w:rsid w:val="00D2784E"/>
    <w:rsid w:val="00D73808"/>
    <w:rsid w:val="00DB3333"/>
    <w:rsid w:val="00E425DC"/>
    <w:rsid w:val="00F32C2F"/>
    <w:rsid w:val="00F57328"/>
    <w:rsid w:val="00FD421C"/>
    <w:rsid w:val="00FF20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6CD12"/>
  <w15:docId w15:val="{B81866DA-20CF-4C6C-9AEA-2D922944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747EF3"/>
  </w:style>
  <w:style w:type="character" w:styleId="Hyperlink">
    <w:name w:val="Hyperlink"/>
    <w:basedOn w:val="DefaultParagraphFont"/>
    <w:uiPriority w:val="99"/>
    <w:unhideWhenUsed/>
    <w:rsid w:val="006E2C67"/>
    <w:rPr>
      <w:color w:val="0000FF" w:themeColor="hyperlink"/>
      <w:u w:val="single"/>
    </w:rPr>
  </w:style>
  <w:style w:type="paragraph" w:styleId="Header">
    <w:name w:val="header"/>
    <w:basedOn w:val="Normal"/>
    <w:link w:val="HeaderChar"/>
    <w:uiPriority w:val="99"/>
    <w:unhideWhenUsed/>
    <w:rsid w:val="00783591"/>
    <w:pPr>
      <w:tabs>
        <w:tab w:val="center" w:pos="4513"/>
        <w:tab w:val="right" w:pos="9026"/>
      </w:tabs>
    </w:pPr>
  </w:style>
  <w:style w:type="character" w:customStyle="1" w:styleId="HeaderChar">
    <w:name w:val="Header Char"/>
    <w:basedOn w:val="DefaultParagraphFont"/>
    <w:link w:val="Header"/>
    <w:uiPriority w:val="99"/>
    <w:rsid w:val="00783591"/>
  </w:style>
  <w:style w:type="paragraph" w:styleId="Footer">
    <w:name w:val="footer"/>
    <w:basedOn w:val="Normal"/>
    <w:link w:val="FooterChar"/>
    <w:uiPriority w:val="99"/>
    <w:unhideWhenUsed/>
    <w:rsid w:val="00783591"/>
    <w:pPr>
      <w:tabs>
        <w:tab w:val="center" w:pos="4513"/>
        <w:tab w:val="right" w:pos="9026"/>
      </w:tabs>
    </w:pPr>
  </w:style>
  <w:style w:type="character" w:customStyle="1" w:styleId="FooterChar">
    <w:name w:val="Footer Char"/>
    <w:basedOn w:val="DefaultParagraphFont"/>
    <w:link w:val="Footer"/>
    <w:uiPriority w:val="99"/>
    <w:rsid w:val="00783591"/>
  </w:style>
  <w:style w:type="paragraph" w:styleId="NoSpacing">
    <w:name w:val="No Spacing"/>
    <w:uiPriority w:val="1"/>
    <w:qFormat/>
    <w:rsid w:val="00FD421C"/>
    <w:rPr>
      <w:rFonts w:asciiTheme="minorHAnsi" w:eastAsiaTheme="minorHAnsi" w:hAnsiTheme="minorHAnsi" w:cstheme="minorBidi"/>
      <w:kern w:val="2"/>
      <w:sz w:val="22"/>
      <w:szCs w:val="2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jmathb.2024.101234" TargetMode="External"/><Relationship Id="rId26" Type="http://schemas.openxmlformats.org/officeDocument/2006/relationships/hyperlink" Target="https://doi.org/10.1007/s11858-018-0928-2" TargetMode="External"/><Relationship Id="rId39" Type="http://schemas.openxmlformats.org/officeDocument/2006/relationships/hyperlink" Target="https://doi.org/10.18535/ijsrm/v8i05.el02" TargetMode="External"/><Relationship Id="rId21" Type="http://schemas.openxmlformats.org/officeDocument/2006/relationships/hyperlink" Target="https://doi.org/10.1016/j.infsof.2004.06.005" TargetMode="External"/><Relationship Id="rId34" Type="http://schemas.openxmlformats.org/officeDocument/2006/relationships/hyperlink" Target="https://doi.org/10.1007/s11858-025-01678-z" TargetMode="External"/><Relationship Id="rId42" Type="http://schemas.openxmlformats.org/officeDocument/2006/relationships/hyperlink" Target="https://doi.org/10.1063/5.0290067" TargetMode="External"/><Relationship Id="rId47" Type="http://schemas.openxmlformats.org/officeDocument/2006/relationships/hyperlink" Target="https://doi.org/10.29333/ejmste/16398"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s://doi.org/10.11591/ijere.v14i3.32523" TargetMode="External"/><Relationship Id="rId29" Type="http://schemas.openxmlformats.org/officeDocument/2006/relationships/hyperlink" Target="https://doi.org/10.1063/5.0290012" TargetMode="External"/><Relationship Id="rId11" Type="http://schemas.openxmlformats.org/officeDocument/2006/relationships/footer" Target="footer2.xml"/><Relationship Id="rId24" Type="http://schemas.openxmlformats.org/officeDocument/2006/relationships/hyperlink" Target="https://doi.org/10.58557/eduinsights.v2i2.86" TargetMode="External"/><Relationship Id="rId32" Type="http://schemas.openxmlformats.org/officeDocument/2006/relationships/hyperlink" Target="https://doi.org/10.1111/nous.12448" TargetMode="External"/><Relationship Id="rId37" Type="http://schemas.openxmlformats.org/officeDocument/2006/relationships/hyperlink" Target="https://doi.org/10.1007/s11858-021-01316-4" TargetMode="External"/><Relationship Id="rId40" Type="http://schemas.openxmlformats.org/officeDocument/2006/relationships/hyperlink" Target="https://doi.org/10.1007/978-1-4471-7546-9" TargetMode="External"/><Relationship Id="rId45" Type="http://schemas.openxmlformats.org/officeDocument/2006/relationships/hyperlink" Target="https://doi.org/10.1145/380752.380813"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3389/feduc.2025.1518602" TargetMode="External"/><Relationship Id="rId31" Type="http://schemas.openxmlformats.org/officeDocument/2006/relationships/hyperlink" Target="https://doi.org/10.33902/JPR.202317062" TargetMode="External"/><Relationship Id="rId44" Type="http://schemas.openxmlformats.org/officeDocument/2006/relationships/hyperlink" Target="https://doi.org/10.18421/TEM134-68"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tsc.2025.102001" TargetMode="External"/><Relationship Id="rId27" Type="http://schemas.openxmlformats.org/officeDocument/2006/relationships/hyperlink" Target="https://doi.org/10.30862/jhm.v8i2.879" TargetMode="External"/><Relationship Id="rId30" Type="http://schemas.openxmlformats.org/officeDocument/2006/relationships/hyperlink" Target="https://doi.org/10.1016/j.actpsy.2025.104990" TargetMode="External"/><Relationship Id="rId35" Type="http://schemas.openxmlformats.org/officeDocument/2006/relationships/hyperlink" Target="https://doi.org/10.30935/scimath/9454" TargetMode="External"/><Relationship Id="rId43" Type="http://schemas.openxmlformats.org/officeDocument/2006/relationships/hyperlink" Target="https://doi.org/10.1007/s11858-024-01578-8" TargetMode="External"/><Relationship Id="rId48" Type="http://schemas.openxmlformats.org/officeDocument/2006/relationships/hyperlink" Target="https://doi.org/10.3389/feduc.2023.1284305"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educsci15121674" TargetMode="External"/><Relationship Id="rId25" Type="http://schemas.openxmlformats.org/officeDocument/2006/relationships/hyperlink" Target="https://doi.org/10.22219/jtlm.v2i1.33680" TargetMode="External"/><Relationship Id="rId33" Type="http://schemas.openxmlformats.org/officeDocument/2006/relationships/hyperlink" Target="https://doi.org/10.1007/s10763-019-09980-5" TargetMode="External"/><Relationship Id="rId38" Type="http://schemas.openxmlformats.org/officeDocument/2006/relationships/hyperlink" Target="https://doi.org/10.33122/ijtmer.v6i1.174" TargetMode="External"/><Relationship Id="rId46" Type="http://schemas.openxmlformats.org/officeDocument/2006/relationships/hyperlink" Target="https://doi.org/doi.org/10.1063/5.0043383" TargetMode="External"/><Relationship Id="rId20" Type="http://schemas.openxmlformats.org/officeDocument/2006/relationships/hyperlink" Target="https://doi.org/10.3390/educsci15020248" TargetMode="External"/><Relationship Id="rId41" Type="http://schemas.openxmlformats.org/officeDocument/2006/relationships/hyperlink" Target="https://doi.org/10.70088/scx8x62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4314/swj.v19i3.29" TargetMode="External"/><Relationship Id="rId23" Type="http://schemas.openxmlformats.org/officeDocument/2006/relationships/hyperlink" Target="https://doi.org/10.31756/jrsmte.424" TargetMode="External"/><Relationship Id="rId28" Type="http://schemas.openxmlformats.org/officeDocument/2006/relationships/hyperlink" Target="https://doi.org/10.33367/jtme.v2i2.5914" TargetMode="External"/><Relationship Id="rId36" Type="http://schemas.openxmlformats.org/officeDocument/2006/relationships/hyperlink" Target="%20https:/doi.org/10.1007/s10648-023-09757-x" TargetMode="External"/><Relationship Id="rId49" Type="http://schemas.openxmlformats.org/officeDocument/2006/relationships/hyperlink" Target="https://doi.org/10.1057/s41599-022-01449-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Dm6lg7A66T7OAxRFVa7ZuSyYw==">CgMxLjA4AHIhMXA5TDByb2JUOFhOWGk5T1NobU43VUVleXY0RndaS1ZW</go:docsCustomData>
</go:gDocsCustomXmlDataStorage>
</file>

<file path=customXml/itemProps1.xml><?xml version="1.0" encoding="utf-8"?>
<ds:datastoreItem xmlns:ds="http://schemas.openxmlformats.org/officeDocument/2006/customXml" ds:itemID="{9F4D7457-A96E-4237-8454-F6C1180D8F3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20719</Words>
  <Characters>118103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NovitaVindri Harini</dc:creator>
  <cp:lastModifiedBy>NovitaVindri Harini</cp:lastModifiedBy>
  <cp:revision>2</cp:revision>
  <dcterms:created xsi:type="dcterms:W3CDTF">2026-04-27T03:31:00Z</dcterms:created>
  <dcterms:modified xsi:type="dcterms:W3CDTF">2026-04-27T03:31:00Z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afd51fda-ccab-3539-8fad-6c88ccae0ccc</vt:lpwstr>
  </property>
  <property fmtid="{D5CDD505-2E9C-101B-9397-08002B2CF9AE}" pid="24" name="Mendeley Citation Style_1">
    <vt:lpwstr>http://www.zotero.org/styles/apa</vt:lpwstr>
  </property>
</Properties>
</file>