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88C5" w14:textId="1B6B192C" w:rsidR="00CC46F6" w:rsidRPr="009953FA" w:rsidRDefault="00FC105B" w:rsidP="00FC105B">
      <w:pPr>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Evolution of Electronic Health Records in Modern Healthcare: From Digital Documentation to Precision Medicine and Artificial Intelligence</w:t>
      </w:r>
    </w:p>
    <w:p w14:paraId="5A7DFDA7" w14:textId="77777777" w:rsidR="00295639" w:rsidRDefault="00295639" w:rsidP="00FC105B">
      <w:pPr>
        <w:spacing w:line="276" w:lineRule="auto"/>
        <w:rPr>
          <w:rFonts w:ascii="Times New Roman" w:hAnsi="Times New Roman" w:cs="Times New Roman"/>
          <w:b/>
          <w:sz w:val="24"/>
          <w:szCs w:val="24"/>
        </w:rPr>
      </w:pPr>
    </w:p>
    <w:p w14:paraId="6BC8C708" w14:textId="77777777" w:rsidR="00295639" w:rsidRDefault="00295639" w:rsidP="00FC105B">
      <w:pPr>
        <w:spacing w:line="276" w:lineRule="auto"/>
        <w:rPr>
          <w:rFonts w:ascii="Times New Roman" w:hAnsi="Times New Roman" w:cs="Times New Roman"/>
          <w:b/>
          <w:sz w:val="24"/>
          <w:szCs w:val="24"/>
        </w:rPr>
      </w:pPr>
    </w:p>
    <w:p w14:paraId="1821B3DA" w14:textId="2E78CFCD" w:rsidR="00CC46F6" w:rsidRPr="009953FA" w:rsidRDefault="00CC46F6" w:rsidP="00FC105B">
      <w:pPr>
        <w:spacing w:line="276" w:lineRule="auto"/>
        <w:rPr>
          <w:rFonts w:ascii="Times New Roman" w:hAnsi="Times New Roman" w:cs="Times New Roman"/>
          <w:b/>
          <w:sz w:val="24"/>
          <w:szCs w:val="24"/>
        </w:rPr>
      </w:pPr>
      <w:r w:rsidRPr="009953FA">
        <w:rPr>
          <w:rFonts w:ascii="Times New Roman" w:hAnsi="Times New Roman" w:cs="Times New Roman"/>
          <w:b/>
          <w:sz w:val="24"/>
          <w:szCs w:val="24"/>
        </w:rPr>
        <w:t xml:space="preserve">Abstract: </w:t>
      </w:r>
    </w:p>
    <w:p w14:paraId="5FFD7435" w14:textId="143F13E8" w:rsidR="00CC46F6" w:rsidRPr="009953FA" w:rsidRDefault="00FC105B"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Electronic Health Records (EHRs) have transformed modern healthcare by improving the storage, accessibility, and utilization of patient information in both clinical practice and medical research. The evolution of EHR systems began with early paper-based documentation and progressed through innovations such as the Problem-Oriented Medical Record and the Regenstrief Medical Record System, which established the foundation for modern digital healthcare infrastructure. Over the years, EHRs have expanded beyond simple recordkeeping and now support clinical decision-making, pharmacovigilance, disease surveillance, public health monitoring, and large-scale biomedical research. The integration of big data analytics, artificial intelligence, genomic information, and natural language processing has further enhanced the role of EHRs in precision medicine and personalized healthcare. During the COVID-19 pandemic, EHR systems demonstrated their value in real-time surveillance, patient monitoring, and rapid healthcare response. Despite these advancements, challenges related to interoperability, data standardization, privacy protection, cybersecurity, and unequal global access continue to affect their optimal implementation. Future EHR systems are expected to become more intelligent, interconnected, and patient-centered through integration with wearable technologies, telemedicine, digital therapeutics, and social determinants of health, ultimately improving healthcare quality, research efficiency, and clinical outcomes worldwide.</w:t>
      </w:r>
    </w:p>
    <w:p w14:paraId="1B49203A" w14:textId="080F06B1" w:rsidR="00FC105B" w:rsidRPr="009953FA" w:rsidRDefault="00FC105B" w:rsidP="00FC105B">
      <w:pPr>
        <w:spacing w:line="276" w:lineRule="auto"/>
        <w:jc w:val="both"/>
        <w:rPr>
          <w:rFonts w:ascii="Times New Roman" w:hAnsi="Times New Roman" w:cs="Times New Roman"/>
          <w:sz w:val="24"/>
          <w:szCs w:val="24"/>
        </w:rPr>
      </w:pPr>
      <w:r w:rsidRPr="009953FA">
        <w:rPr>
          <w:rFonts w:ascii="Times New Roman" w:hAnsi="Times New Roman" w:cs="Times New Roman"/>
          <w:b/>
          <w:bCs/>
          <w:sz w:val="24"/>
          <w:szCs w:val="24"/>
        </w:rPr>
        <w:t>Keywords:</w:t>
      </w:r>
      <w:r w:rsidRPr="009953FA">
        <w:rPr>
          <w:rFonts w:ascii="Times New Roman" w:hAnsi="Times New Roman" w:cs="Times New Roman"/>
          <w:sz w:val="24"/>
          <w:szCs w:val="24"/>
        </w:rPr>
        <w:t xml:space="preserve"> Electronic Health Records, Precision Medicine, Artificial Intelligence, Real-World Evidence, Digital Health</w:t>
      </w:r>
    </w:p>
    <w:p w14:paraId="195FF012" w14:textId="77777777" w:rsidR="00CC46F6" w:rsidRPr="009953FA" w:rsidRDefault="00CC46F6" w:rsidP="00FC105B">
      <w:pPr>
        <w:spacing w:line="276" w:lineRule="auto"/>
        <w:rPr>
          <w:rFonts w:ascii="Times New Roman" w:hAnsi="Times New Roman" w:cs="Times New Roman"/>
          <w:b/>
          <w:sz w:val="24"/>
          <w:szCs w:val="24"/>
        </w:rPr>
      </w:pPr>
      <w:r w:rsidRPr="009953FA">
        <w:rPr>
          <w:rFonts w:ascii="Times New Roman" w:hAnsi="Times New Roman" w:cs="Times New Roman"/>
          <w:b/>
          <w:sz w:val="24"/>
          <w:szCs w:val="24"/>
        </w:rPr>
        <w:t xml:space="preserve">Introduction: </w:t>
      </w:r>
    </w:p>
    <w:p w14:paraId="21BC3FDB" w14:textId="77777777"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The documentation of patient-related information can be traced back nearly 3000 years, when ancient civilizations recorded medical observations on materials such as papyrus scrolls, clay tablets, bones, and other available surfaces. These early records commonly described patient symptoms, possible diagnoses, and methods of treatment. As health-care practices gradually evolved, medical systems became more organized and sophisticated. In the era of classical medicine, physicians and scholars compiled medical knowledge into structured texts, often relying on collections of clinical cases instead of maintaining separate records for each individual patient.</w:t>
      </w:r>
    </w:p>
    <w:p w14:paraId="4DEA7898" w14:textId="5A7AAB16"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By the 19th century, the maintenance of detailed paper-based patient records became a common practice in hospitals and clinics. These handwritten files documented medical history, nursing care, prescribed therapies, and treatment outcomes, and were systematically stored for future reference. The rapid advancement of electronic and computer technologies during the 20th century transformed the way medical information was managed. Health-care institutions increasingly adopted electronic systems to reduce dependence on physical storage and to </w:t>
      </w:r>
      <w:r w:rsidRPr="009953FA">
        <w:rPr>
          <w:rFonts w:ascii="Times New Roman" w:hAnsi="Times New Roman" w:cs="Times New Roman"/>
          <w:sz w:val="24"/>
          <w:szCs w:val="24"/>
        </w:rPr>
        <w:lastRenderedPageBreak/>
        <w:t>improve the speed and accuracy of retrieving patient data. Among these innovations, computerization emerged as a major milestone.</w:t>
      </w:r>
      <w:r w:rsidR="00BE5E46" w:rsidRPr="009953FA">
        <w:rPr>
          <w:rFonts w:ascii="Times New Roman" w:hAnsi="Times New Roman" w:cs="Times New Roman"/>
          <w:sz w:val="24"/>
          <w:szCs w:val="24"/>
        </w:rPr>
        <w:t xml:space="preserve"> [1]</w:t>
      </w:r>
    </w:p>
    <w:p w14:paraId="3721365C" w14:textId="45D3A962"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The idea of electronic health records (EHRs) first appeared in the 1960s, with the primary goal of enhancing the organization, accessibility, and management of patient information. Over time, clinicians began using these systems to support clinical decision-making and improve patient care. During the 1990s, efforts toward standardization of EHR platforms intensified, while the growth of internet technology further accelerated their development and connectivity. In the 2010s, EHR adoption expanded rapidly across health-care systems worldwide, encouraged by government initiatives and growing awareness of their ability to improve quality of care, patient safety, and operational efficiency. Entering the 2020s, EHR technologies have continued to advance significantly, supported by innovations such as artificial intelligence, cloud computing, big data analytics, and other emerging digital health technologies.</w:t>
      </w:r>
      <w:r w:rsidR="00BE5E46" w:rsidRPr="009953FA">
        <w:rPr>
          <w:rFonts w:ascii="Times New Roman" w:hAnsi="Times New Roman" w:cs="Times New Roman"/>
          <w:sz w:val="24"/>
          <w:szCs w:val="24"/>
        </w:rPr>
        <w:t>[2]</w:t>
      </w:r>
    </w:p>
    <w:p w14:paraId="40216899" w14:textId="77777777" w:rsidR="00B06741" w:rsidRPr="009953FA" w:rsidRDefault="00B06741" w:rsidP="00FC105B">
      <w:pPr>
        <w:spacing w:line="276" w:lineRule="auto"/>
        <w:jc w:val="both"/>
        <w:rPr>
          <w:rFonts w:ascii="Times New Roman" w:hAnsi="Times New Roman" w:cs="Times New Roman"/>
          <w:b/>
          <w:sz w:val="24"/>
          <w:szCs w:val="24"/>
        </w:rPr>
      </w:pPr>
      <w:r w:rsidRPr="009953FA">
        <w:rPr>
          <w:rFonts w:ascii="Times New Roman" w:hAnsi="Times New Roman" w:cs="Times New Roman"/>
          <w:b/>
          <w:sz w:val="24"/>
          <w:szCs w:val="24"/>
        </w:rPr>
        <w:t>Early Development of POMR and Electronic Medical Records</w:t>
      </w:r>
    </w:p>
    <w:p w14:paraId="287410D5" w14:textId="77777777"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In the late 1960s, major progress was made toward the development of computerized medical documentation systems that later influenced modern electronic health records. One of the earliest and most influential contributions came from Lawrence Weed, who introduced the concept of the Problem-Oriented Medical Record (POMR). This approach arranged patient information according to individual clinical problems, allowing health professionals to maintain records in a more organized, logical, and patient-focused manner. By structuring medical data around specific health issues, the system improved the usefulness of records not only for patient care but also for clinical investigations and academic research.</w:t>
      </w:r>
    </w:p>
    <w:p w14:paraId="07B68DA7" w14:textId="16555CDF"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Over time, the POMR model gained wide acceptance in several areas of healthcare practice. It was applied in studies involving healthcare expenditure analysis, communication among healthcare staff, and clinical decision-making across numerous disease conditions. Medical educators also promoted this method extensively because it helped students learn systematic clinical reasoning and accurate documentation practices. Since patient-centered treatment depends heavily on clear and organized patient records, the POMR framework continued to remain relevant and widely used even during the early years of the twenty-first century.</w:t>
      </w:r>
      <w:r w:rsidR="00BE5E46" w:rsidRPr="009953FA">
        <w:rPr>
          <w:rFonts w:ascii="Times New Roman" w:hAnsi="Times New Roman" w:cs="Times New Roman"/>
          <w:sz w:val="24"/>
          <w:szCs w:val="24"/>
        </w:rPr>
        <w:t>[3]</w:t>
      </w:r>
    </w:p>
    <w:p w14:paraId="01650415" w14:textId="19E4AA64"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Another landmark development in this field emerged with the establishment of the Regenstrief Institute in Indianapolis in 1969. The institute developed the Regenstrief Medical Record System (RMRS), which became one of the earliest examples of an electronic medical record platform. This system enabled healthcare providers to electronically collect, store, and retrieve patient information, setting an important foundation for future EHR technologies. The RMRS was also utilized in clinical research, including randomized studies designed to evaluate medication effectiveness and patient outcomes.</w:t>
      </w:r>
      <w:r w:rsidR="00BE5E46" w:rsidRPr="009953FA">
        <w:rPr>
          <w:rFonts w:ascii="Times New Roman" w:hAnsi="Times New Roman" w:cs="Times New Roman"/>
          <w:sz w:val="24"/>
          <w:szCs w:val="24"/>
        </w:rPr>
        <w:t>[4]</w:t>
      </w:r>
    </w:p>
    <w:p w14:paraId="1B5A46E3" w14:textId="54BECA86"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In addition, the RMRS aimed to integrate information from multiple healthcare settings, including hospitals, clinics, urgent care centers, and public health departments. This broader connectivity improved the continuity and accessibility of patient information across healthcare networks. Together, the innovations introduced through the POMR and the RMRS significantly shaped the evolution of electronic medical documentation and established the groundwork for the advanced electronic health record systems used in healthcare today.</w:t>
      </w:r>
      <w:r w:rsidR="00BE5E46" w:rsidRPr="009953FA">
        <w:rPr>
          <w:rFonts w:ascii="Times New Roman" w:hAnsi="Times New Roman" w:cs="Times New Roman"/>
          <w:sz w:val="24"/>
          <w:szCs w:val="24"/>
        </w:rPr>
        <w:t>[5]</w:t>
      </w:r>
    </w:p>
    <w:p w14:paraId="7314FE99" w14:textId="77777777" w:rsidR="00BE5E46" w:rsidRPr="009953FA" w:rsidRDefault="00BE5E46" w:rsidP="00FC105B">
      <w:pPr>
        <w:spacing w:line="276" w:lineRule="auto"/>
        <w:jc w:val="both"/>
        <w:rPr>
          <w:rFonts w:ascii="Times New Roman" w:hAnsi="Times New Roman" w:cs="Times New Roman"/>
          <w:sz w:val="24"/>
          <w:szCs w:val="24"/>
        </w:rPr>
      </w:pPr>
    </w:p>
    <w:p w14:paraId="630AAF82" w14:textId="36B4044D" w:rsidR="00B06741" w:rsidRPr="009953FA" w:rsidRDefault="0003467D" w:rsidP="00FC105B">
      <w:pPr>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 xml:space="preserve">Advances in EHR Research Infrastructure: </w:t>
      </w:r>
    </w:p>
    <w:p w14:paraId="38A1C3FC" w14:textId="77777777"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emergence of the Problem-Oriented Medical Record (POMR) and the Regenstrief Medical Record System (RMRS) marked an important turning point in the evolution of electronic health records for research applications. As these systems became more sophisticated, researchers began integrating innovative technologies and analytical approaches to improve the management and utilization of healthcare data. During this period, data warehouses were established to organize large volumes of patient information, while advanced data mining and analytical tools were introduced to identify trends, relationships, and clinically relevant insights from expanding EHR databases. These developments later became fundamental for large-scale biomedical and clinical research.</w:t>
      </w:r>
    </w:p>
    <w:p w14:paraId="30E87EBA" w14:textId="01487D96"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As the research potential of EHR data became increasingly evident, institutions and healthcare organizations started forming collaborative groups and data-sharing networks. These partnerships encouraged the exchange of knowledge, standardized practices, and patient data across multiple centers, ultimately paving the way for large multicenter investigations and nationwide healthcare studies.</w:t>
      </w:r>
      <w:r w:rsidR="00BE5E46" w:rsidRPr="009953FA">
        <w:rPr>
          <w:rFonts w:ascii="Times New Roman" w:hAnsi="Times New Roman" w:cs="Times New Roman"/>
          <w:bCs/>
          <w:sz w:val="24"/>
          <w:szCs w:val="24"/>
        </w:rPr>
        <w:t>[6]</w:t>
      </w:r>
    </w:p>
    <w:p w14:paraId="625279CA" w14:textId="2B408A79"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A major milestone in the digitalization of healthcare occurred in 2009 with the introduction of the Health Information Technology for Economic and Clinical Health (HITECH) Act in the United States. This legislation accelerated the adoption of electronic health record systems across healthcare facilities and significantly increased the volume of digitally stored patient information. The widespread availability of electronic clinical data provided researchers with unprecedented opportunities to study disease progression, evaluate treatment outcomes, monitor population health trends, and assess therapeutic effectiveness on a broader scale.</w:t>
      </w:r>
      <w:r w:rsidR="00BE5E46" w:rsidRPr="009953FA">
        <w:rPr>
          <w:rFonts w:ascii="Times New Roman" w:hAnsi="Times New Roman" w:cs="Times New Roman"/>
          <w:bCs/>
          <w:sz w:val="24"/>
          <w:szCs w:val="24"/>
        </w:rPr>
        <w:t>[7]</w:t>
      </w:r>
    </w:p>
    <w:p w14:paraId="11171A85" w14:textId="0C6835B8"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Research studies conducted during the 2000s using EHR data generally shared several characteristics. Most investigations were limited to a single hospital or healthcare network, primarily followed observational study designs, and often lacked extensive clinical details. Despite these limitations, researchers explored new applications of EHRs, particularly in pharmacovigilance and comparative drug effectiveness studies. Since traditional clinical trials often involve restricted observation periods, EHR-based systems offered a practical solution for continuous monitoring of medication safety and therapeutic outcomes in real-world settings, benefiting both clinicians and patients.</w:t>
      </w:r>
      <w:r w:rsidR="00BE5E46" w:rsidRPr="009953FA">
        <w:rPr>
          <w:rFonts w:ascii="Times New Roman" w:hAnsi="Times New Roman" w:cs="Times New Roman"/>
          <w:bCs/>
          <w:sz w:val="24"/>
          <w:szCs w:val="24"/>
        </w:rPr>
        <w:t>[8]</w:t>
      </w:r>
    </w:p>
    <w:p w14:paraId="3E611584" w14:textId="77777777"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At the same time, early efforts were made to integrate biomedical imaging information into electronic health record systems through digital imaging technologies. The incorporation of medical imaging data enabled researchers to perform retrospective analyses and monitor disease progression over time. Furthermore, the anonymization of radiological records allowed investigators to conduct case-based and longitudinal imaging studies while maintaining patient confidentiality.</w:t>
      </w:r>
    </w:p>
    <w:p w14:paraId="3D015035" w14:textId="77777777" w:rsidR="0003467D" w:rsidRPr="009953FA" w:rsidRDefault="0003467D" w:rsidP="00FC105B">
      <w:pPr>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Expansion of Big Data and Real-World Evidence in Health Care</w:t>
      </w:r>
    </w:p>
    <w:p w14:paraId="2F25D43E" w14:textId="37E067A8"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During the 2010s, the health care sector experienced a major transformation with the rapid growth of big data analytics, largely driven by the widespread adoption of electronic health </w:t>
      </w:r>
      <w:r w:rsidRPr="009953FA">
        <w:rPr>
          <w:rFonts w:ascii="Times New Roman" w:hAnsi="Times New Roman" w:cs="Times New Roman"/>
          <w:bCs/>
          <w:sz w:val="24"/>
          <w:szCs w:val="24"/>
        </w:rPr>
        <w:lastRenderedPageBreak/>
        <w:t>records (EHRs). These digital records became one of the most important sources of clinical information, enabling researchers to perform extensive investigations into patient outcomes, disease progression, treatment effectiveness, and population health trends. Large observational and cohort studies increasingly relied on EHR-derived data to examine associations between risk factors and disease development, as well as to evaluate prognosis and long-term outcomes across diverse patient populations. At the same time, EHR systems were widely used in quality improvement initiatives aimed at enhancing communication between patients and health care professionals, strengthening clinical decision-making, and improving overall care delivery. Research based on EHR data expanded across numerous medical specialties, including primary care, cardiology, oncology, diabetes management, rheumatology, nephrology, neurology, hepatology, gastroenterology, and infectious diseases. The growing availability of such data significantly improved the ability of researchers and clinicians to understand disease patterns in real-world settings.</w:t>
      </w:r>
      <w:r w:rsidR="00BE5E46" w:rsidRPr="009953FA">
        <w:rPr>
          <w:rFonts w:ascii="Times New Roman" w:hAnsi="Times New Roman" w:cs="Times New Roman"/>
          <w:bCs/>
          <w:sz w:val="24"/>
          <w:szCs w:val="24"/>
        </w:rPr>
        <w:t>[9]</w:t>
      </w:r>
    </w:p>
    <w:p w14:paraId="5514FEBD" w14:textId="46A2C202"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In addition to EHRs, insurance claims databases emerged as another valuable resource for health research. Large health systems and insurers generated extensive datasets that provided insights into health care utilization, treatment patterns, costs, and long-term patient outcomes. These data sources supported the identification of public health risks, informed policy development, and contributed to more effective clinical and administrative decision-making. Researchers also began using large-scale patient data to identify eligible participants for clinical trials more efficiently. This shift contributed to the increasing adoption of pragmatic clinical trials (PCTs), which were specifically designed to evaluate the effectiveness of treatments under routine clinical conditions rather than tightly controlled experimental environments. Unlike traditional randomized controlled trials, PCTs focused on real-world practice and aimed to generate evidence that would be directly relevant to patients, physicians, and policy makers. These studies helped bridge the gap between controlled clinical research and actual patient experiences in everyday health care settings.</w:t>
      </w:r>
      <w:r w:rsidR="00BE5E46" w:rsidRPr="009953FA">
        <w:rPr>
          <w:rFonts w:ascii="Times New Roman" w:hAnsi="Times New Roman" w:cs="Times New Roman"/>
          <w:bCs/>
          <w:sz w:val="24"/>
          <w:szCs w:val="24"/>
        </w:rPr>
        <w:t>[10]</w:t>
      </w:r>
    </w:p>
    <w:p w14:paraId="660899E0" w14:textId="6406AABE"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development of pragmatic trials also encouraged the creation of specialized frameworks and tools to improve study design and implementation. Researchers emphasized the importance of stakeholder engagement, appropriate site selection, diverse patient recruitment, and seamless integration of interventions into routine clinical workflows. EHR-based data collection further simplified trial operations by reducing administrative burden and improving efficiency. Another major contribution of EHR and claims data was in the field of health economics and outcomes research. By documenting hospitalizations, procedures, medication use, and other medical services, these databases enabled investigators to estimate direct medical costs and perform cost-effectiveness analyses of different therapies and interventions. Such analyses became increasingly important for evaluating health system performance, measuring quality of care, and guiding evidence-based health policies.</w:t>
      </w:r>
      <w:r w:rsidR="00BE5E46" w:rsidRPr="009953FA">
        <w:rPr>
          <w:rFonts w:ascii="Times New Roman" w:hAnsi="Times New Roman" w:cs="Times New Roman"/>
          <w:bCs/>
          <w:sz w:val="24"/>
          <w:szCs w:val="24"/>
        </w:rPr>
        <w:t>[11]</w:t>
      </w:r>
    </w:p>
    <w:p w14:paraId="7E23F1A5" w14:textId="66659A54"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Regulatory authorities around the world gradually recognized the growing value of real-world evidence (RWE). Agencies such as the U.S. Food and Drug Administration and the European Medicines Agency began exploring how evidence generated from real-world studies, pragmatic trials, EHRs, and large patient cohorts could support regulatory decisions, postmarketing surveillance, and expanded drug approvals. This shift became particularly </w:t>
      </w:r>
      <w:r w:rsidRPr="009953FA">
        <w:rPr>
          <w:rFonts w:ascii="Times New Roman" w:hAnsi="Times New Roman" w:cs="Times New Roman"/>
          <w:bCs/>
          <w:sz w:val="24"/>
          <w:szCs w:val="24"/>
        </w:rPr>
        <w:lastRenderedPageBreak/>
        <w:t>important for rare diseases and conditions in which conducting large randomized trials was difficult or impractical. The increasing acceptance of RWE was further strengthened by policy initiatives encouraging the integration of real-world data into regulatory science. In several cases, regulatory approvals and expanded therapeutic indications were supported by analyses derived from EHRs, genomic sequencing, and observational patient data. These developments highlighted the growing confidence in real-world evidence as a complementary approach to traditional clinical trials and marked a significant advancement in modern health care research and decision-making.</w:t>
      </w:r>
      <w:r w:rsidR="00BE5E46" w:rsidRPr="009953FA">
        <w:rPr>
          <w:rFonts w:ascii="Times New Roman" w:hAnsi="Times New Roman" w:cs="Times New Roman"/>
          <w:bCs/>
          <w:sz w:val="24"/>
          <w:szCs w:val="24"/>
        </w:rPr>
        <w:t>[12]</w:t>
      </w:r>
    </w:p>
    <w:p w14:paraId="4DEB7CD9" w14:textId="77777777" w:rsidR="0003467D" w:rsidRPr="009953FA" w:rsidRDefault="0003467D" w:rsidP="00FC105B">
      <w:pPr>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COVID-19, Digital Health Surveillance, and Precision Medicine</w:t>
      </w:r>
    </w:p>
    <w:p w14:paraId="42F7BACE" w14:textId="2E48DE07"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COVID-19 pandemic highlighted the urgent need for global cooperation in health care, research, and digital surveillance systems. As countries struggled to respond to the rapidly spreading infection, electronic health records (EHRs) became an essential source of real-time clinical information. Health care professionals and researchers relied heavily on retrospective clinical data to understand disease patterns, patient outcomes, transmission behavior, and the effectiveness of medical interventions. The pandemic demonstrated how rapidly accessible health information could guide both clinical decisions and public health policies during a global crisis. During the initial outbreak in China, physician-scientists analyzed hospital records to identify the early clinical manifestations and transmission characteristics of COVID-19. Their investigations revealed that the virus could spread efficiently through both symptomatic and asymptomatic individuals, emphasizing the importance of mass testing, contact tracing, quarantine measures, and public awareness. These early observations also helped identify major risk factors linked with severe disease, including advanced age, chronic illnesses, compromised immunity, and underlying cardiovascular or respiratory conditions. The rapid publication and global sharing of these findings provided critical guidance for countries attempting to prepare their health care systems for the pandemic.</w:t>
      </w:r>
      <w:r w:rsidR="00BE5E46" w:rsidRPr="009953FA">
        <w:rPr>
          <w:rFonts w:ascii="Times New Roman" w:hAnsi="Times New Roman" w:cs="Times New Roman"/>
          <w:bCs/>
          <w:sz w:val="24"/>
          <w:szCs w:val="24"/>
        </w:rPr>
        <w:t>[13]</w:t>
      </w:r>
    </w:p>
    <w:p w14:paraId="34C63878" w14:textId="77777777"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Researchers in China also contributed significantly to the early genomic characterization of SARS-CoV-2. The prompt release of viral genome data enabled scientists across the world to develop diagnostic tests, initiate vaccine research, and begin therapeutic investigations within a remarkably short period. This unprecedented level of scientific collaboration accelerated vaccine development and supported the global response against the virus.</w:t>
      </w:r>
    </w:p>
    <w:p w14:paraId="15E36447" w14:textId="20225270"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As the pandemic progressed, EHR-based research expanded beyond disease surveillance into comparative effectiveness studies. Researchers evaluated the usefulness of personal protective equipment, public masking policies, lockdown strategies, social distancing practices, and various diagnostic approaches. These investigations provided evidence that helped governments and health authorities refine their pandemic management strategies while balancing public health concerns with economic and social stability. Clinical data collected during the pandemic also supported the evaluation of antiviral agents, anti-inflammatory therapies, vaccines, nutritional supplements, and supportive care measures. Findings from these studies contributed to the development of more effective treatment protocols and helped reduce disease severity and mortality in many populations. At the same time, telemedicine emerged as a major innovation in health care delivery. Virtual consultations allowed physicians </w:t>
      </w:r>
      <w:r w:rsidRPr="009953FA">
        <w:rPr>
          <w:rFonts w:ascii="Times New Roman" w:hAnsi="Times New Roman" w:cs="Times New Roman"/>
          <w:bCs/>
          <w:sz w:val="24"/>
          <w:szCs w:val="24"/>
        </w:rPr>
        <w:lastRenderedPageBreak/>
        <w:t>to continue providing medical care while reducing the risk of viral exposure, demonstrating the long-term potential of remote health care systems.</w:t>
      </w:r>
      <w:r w:rsidR="00BE5E46" w:rsidRPr="009953FA">
        <w:rPr>
          <w:rFonts w:ascii="Times New Roman" w:hAnsi="Times New Roman" w:cs="Times New Roman"/>
          <w:bCs/>
          <w:sz w:val="24"/>
          <w:szCs w:val="24"/>
        </w:rPr>
        <w:t>[14]</w:t>
      </w:r>
    </w:p>
    <w:p w14:paraId="17B67246" w14:textId="6B01A80F"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Several countries effectively integrated EHR infrastructure into their national pandemic responses. In the United States, public health agencies collaborated with hospitals and EHR vendors to obtain near real-time information regarding infections, hospital admissions, ventilator use, and vaccination outcomes. Vaccine safety monitoring systems also relied heavily on electronic clinical data to identify adverse events and guide vaccination policies. In the United Kingdom, the National Health Service used a large-scale digital analytics platform to securely evaluate deidentified patient data from millions of individuals. This system supported the identification of high-risk populations and enabled continuous monitoring of hospital admissions, ICU occupancy, and patient outcomes. South Korea combined EHRs with contact tracing systems and national reporting networks to strengthen outbreak containment efforts. Australia used its centralized My Health Record system to coordinate lockdown measures, monitor health services, and support reopening strategies. Germany implemented digital monitoring systems to track ICU bed availability, ventilator capacity, and workforce preparedness while also exploring digital health passports linked to vaccination and testing information.</w:t>
      </w:r>
      <w:r w:rsidR="00BE5E46" w:rsidRPr="009953FA">
        <w:rPr>
          <w:rFonts w:ascii="Times New Roman" w:hAnsi="Times New Roman" w:cs="Times New Roman"/>
          <w:bCs/>
          <w:sz w:val="24"/>
          <w:szCs w:val="24"/>
        </w:rPr>
        <w:t>[15]</w:t>
      </w:r>
    </w:p>
    <w:p w14:paraId="430B7D9B" w14:textId="5A566C69"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pandemic further exposed major inequalities in health outcomes related to social determinants of health. EHR data revealed that vulnerable populations, including older adults, economically disadvantaged communities, patients with chronic diseases, and individuals with autoimmune disorders, experienced disproportionately higher rates of severe illness and mortality. Factors such as limited access to health care, crowded living environments, occupational exposure, and delayed treatment contributed significantly to these disparities. Studies examining these patterns emphasized the importance of integrating social determinants into public health planning and precision medicine approaches. Improving access to medical care, strengthening chronic disease management, protecting immunocompromised individuals, and addressing broader socioeconomic inequalities became critical components of pandemic response strategies. These findings reinforced the understanding that effective disease management requires not only medical interventions but also attention to environmental and social conditions affecting population health.</w:t>
      </w:r>
    </w:p>
    <w:p w14:paraId="2ADE8C49" w14:textId="3955A75E"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Even after the official end of the global public health emergency, EHR systems continued to play a major role in investigating the long-term consequences of COVID-19. Researchers increasingly focused on post-COVID conditions, including persistent respiratory symptoms, neurological complications, mental health disorders, and cognitive impairment. Longitudinal electronic health data offered a valuable opportunity to examine how early infection may influence health outcomes over many years. The pandemic ultimately demonstrated that integrated digital health systems, real-time surveillance, and precision medicine approaches are essential tools for improving preparedness, resilience, and global response during future public health emergencies.</w:t>
      </w:r>
      <w:r w:rsidR="00BE5E46" w:rsidRPr="009953FA">
        <w:rPr>
          <w:rFonts w:ascii="Times New Roman" w:hAnsi="Times New Roman" w:cs="Times New Roman"/>
          <w:bCs/>
          <w:sz w:val="24"/>
          <w:szCs w:val="24"/>
        </w:rPr>
        <w:t>[16]</w:t>
      </w:r>
    </w:p>
    <w:p w14:paraId="5BCEF50B" w14:textId="77777777" w:rsidR="0003467D" w:rsidRPr="009953FA" w:rsidRDefault="0003467D" w:rsidP="00FC105B">
      <w:pPr>
        <w:spacing w:line="276" w:lineRule="auto"/>
        <w:rPr>
          <w:rFonts w:ascii="Times New Roman" w:hAnsi="Times New Roman" w:cs="Times New Roman"/>
          <w:b/>
          <w:bCs/>
          <w:sz w:val="24"/>
          <w:szCs w:val="24"/>
        </w:rPr>
      </w:pPr>
      <w:r w:rsidRPr="009953FA">
        <w:rPr>
          <w:rFonts w:ascii="Times New Roman" w:hAnsi="Times New Roman" w:cs="Times New Roman"/>
          <w:b/>
          <w:bCs/>
          <w:sz w:val="24"/>
          <w:szCs w:val="24"/>
        </w:rPr>
        <w:t>Genomic Integration in Modern Personalized Healthcare</w:t>
      </w:r>
    </w:p>
    <w:p w14:paraId="2D9B9345" w14:textId="77777777"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lastRenderedPageBreak/>
        <w:t>Precision medicine has emerged as one of the most influential developments in modern healthcare over the last decade. Instead of applying a uniform treatment approach to all patients, it focuses on tailoring therapies according to an individual’s genetic profile, environmental exposure, and lifestyle factors. In this evolving healthcare model, electronic health records (EHRs) have become an essential tool for collecting, organizing, and utilizing patient-specific information to support more accurate and personalized clinical decisions.</w:t>
      </w:r>
    </w:p>
    <w:p w14:paraId="385E7400" w14:textId="4D178C75"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combination of genomic information with EHR systems has significantly expanded opportunities for understanding disease mechanisms and developing individualized treatment strategies. By connecting genetic data with long-term clinical records, researchers can identify genetic risk factors, predict disease susceptibility, and evaluate patient responses to therapies more effectively. Although this integration has shown enormous promise, several technical and practical barriers still limit its widespread clinical adoption. Challenges such as incompatible data formats, limited storage capacity, complex genomic interpretation, and high implementation costs continue to affect the routine use of genomic information within healthcare systems. A major contributor to genomic research is the UK Biobank, which has established one of the largest biomedical databases in the world. The initiative contains anonymized genetic, clinical, lifestyle, and biological information collected from approximately half a million participants across the United Kingdom. The resource is further strengthened through connections with national electronic health databases, enabling researchers to study relationships between genetics and disease outcomes on a large scale. Whole genome sequencing data released through this initiative have supported numerous investigations into the genetic basis of complex diseases and potential causal relationships between inherited traits and health conditions. Despite its extensive contribution to biomedical science, concerns regarding participant selection and population representation remain important considerations.</w:t>
      </w:r>
      <w:r w:rsidR="00BE5E46" w:rsidRPr="009953FA">
        <w:rPr>
          <w:rFonts w:ascii="Times New Roman" w:hAnsi="Times New Roman" w:cs="Times New Roman"/>
          <w:bCs/>
          <w:sz w:val="24"/>
          <w:szCs w:val="24"/>
        </w:rPr>
        <w:t>[17]</w:t>
      </w:r>
    </w:p>
    <w:p w14:paraId="42A7AE1B" w14:textId="3DA95B15"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In the United States, the All of Us Research Program was launched to create a diverse health database involving more than one million participants. The program integrates genomic information, biological samples, and electronic health records to improve understanding of both common and rare diseases. By emphasizing inclusion of underrepresented populations, the initiative aims to reduce gaps in medical research and improve healthcare equity. The growing collection of genomic and clinical data within this program is expected to support advancements in disease prevention, diagnosis, and personalized therapeutic approaches. Several other regional and international biobanking initiatives have also contributed to the integration of genomic data with healthcare records. These include the BioBank Japan, FinnGen, deCODE Genetics, and Michigan Genomics Initiative. Collectively, these projects have strengthened research in disease genetics, drug response variability, and population health analysis, thereby accelerating the progress of precision medicine worldwide. Despite these advancements, the seamless incorporation of genomic information into everyday clinical practice remains a complex process. To overcome these barriers, organizations such as the National Human Genome Research Institute have supported collaborative programs aimed at standardizing genomic data integration and improving interoperability between healthcare systems. One such effort is the Electronic Medical Records and Genomics Network, which focuses on developing best practices for genomic data utilization, electronic phenotyping, and </w:t>
      </w:r>
      <w:r w:rsidRPr="009953FA">
        <w:rPr>
          <w:rFonts w:ascii="Times New Roman" w:hAnsi="Times New Roman" w:cs="Times New Roman"/>
          <w:bCs/>
          <w:sz w:val="24"/>
          <w:szCs w:val="24"/>
        </w:rPr>
        <w:lastRenderedPageBreak/>
        <w:t>large-scale genome-wide association studies using EHR-linked datasets. These initiatives continue to advance the practical implementation of genomics in healthcare and are expected to play a critical role in the future expansion of personalized medicine.</w:t>
      </w:r>
      <w:r w:rsidR="00BE5E46" w:rsidRPr="009953FA">
        <w:rPr>
          <w:rFonts w:ascii="Times New Roman" w:hAnsi="Times New Roman" w:cs="Times New Roman"/>
          <w:bCs/>
          <w:sz w:val="24"/>
          <w:szCs w:val="24"/>
        </w:rPr>
        <w:t>[18]</w:t>
      </w:r>
    </w:p>
    <w:p w14:paraId="2CFF627A" w14:textId="77777777" w:rsidR="0003467D" w:rsidRPr="009953FA" w:rsidRDefault="0003467D"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AI-Driven Insights From Electronic Health Records</w:t>
      </w:r>
    </w:p>
    <w:p w14:paraId="5C71A561" w14:textId="77777777"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integration of data analytics and artificial intelligence into electronic health record systems has transformed modern health care research and clinical decision-making. Advanced computational techniques are now widely used to process and interpret large-scale patient data, helping researchers uncover hidden trends, evaluate treatment responses, and better understand disease progression. These technologies have made it possible to analyze complex clinical information with greater speed and accuracy than traditional methods.</w:t>
      </w:r>
    </w:p>
    <w:p w14:paraId="0EE269E2" w14:textId="27C9AC62"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One of the most impactful contributions of AI in health care is its ability to identify individuals who may be at greater risk of developing serious medical conditions and to estimate possible outcomes in patients who are already diagnosed. By examining factors such as medical history, demographic details, lifestyle habits, and prior treatment records, AI-based systems can detect patterns associated with illnesses including diabetes, cardiovascular disorders, and chronic respiratory diseases. This allows clinicians to intervene earlier, personalize therapeutic strategies, and reduce the likelihood of complications or hospital admissions.</w:t>
      </w:r>
      <w:r w:rsidR="00BE5E46" w:rsidRPr="009953FA">
        <w:rPr>
          <w:rFonts w:ascii="Times New Roman" w:hAnsi="Times New Roman" w:cs="Times New Roman"/>
          <w:bCs/>
          <w:sz w:val="24"/>
          <w:szCs w:val="24"/>
        </w:rPr>
        <w:t>[19]</w:t>
      </w:r>
    </w:p>
    <w:p w14:paraId="1F04CF4E" w14:textId="77777777"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AI-driven predictive tools also support physicians in selecting more suitable treatment plans by forecasting patient responses to different therapies. As a result, patient care becomes more targeted, efficient, and outcome-oriented, ultimately improving both treatment quality and patient experience.</w:t>
      </w:r>
    </w:p>
    <w:p w14:paraId="1691B2C3" w14:textId="48FE98E5"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In infectious disease management, artificial intelligence has demonstrated remarkable value in monitoring and predicting disease transmission. When combined with additional data sources such as public health databases and digital communication platforms, AI models can help estimate outbreak patterns, identify regions at increased risk, and support timely public health responses. During the COVID-19 pandemic, these technologies played an essential role in forecasting hospitalization trends, recognizing emerging hotspots, and assisting health systems in resource planning and allocation.</w:t>
      </w:r>
      <w:r w:rsidR="00BE5E46" w:rsidRPr="009953FA">
        <w:rPr>
          <w:rFonts w:ascii="Times New Roman" w:hAnsi="Times New Roman" w:cs="Times New Roman"/>
          <w:bCs/>
          <w:sz w:val="24"/>
          <w:szCs w:val="24"/>
        </w:rPr>
        <w:t xml:space="preserve"> [20]</w:t>
      </w:r>
    </w:p>
    <w:p w14:paraId="2B142105" w14:textId="77777777" w:rsidR="0003467D" w:rsidRPr="009953FA" w:rsidRDefault="0003467D"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AI-Driven Clinical Decision Support and Personalized Care</w:t>
      </w:r>
    </w:p>
    <w:p w14:paraId="3E438246" w14:textId="77777777"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Artificial intelligence is playing an increasingly important role in advancing personalized medicine through the effective use of electronic health record (EHR) data. By integrating patient-specific details such as medical history, genetic background, laboratory findings, and treatment responses, AI systems can help clinicians design therapies that are better suited to individual patients. This personalized approach improves therapeutic outcomes, minimizes unwanted adverse effects, and supports more precise disease management.</w:t>
      </w:r>
    </w:p>
    <w:p w14:paraId="3EE99FE1" w14:textId="2CC76445"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Beyond medication optimization, AI-enabled clinical decision support systems assist health care professionals in routine and complex clinical practices. These systems can provide diagnostic recommendations, identify possible drug–drug interactions, suggest preventive screenings, and support treatment planning in real time. As a result, clinicians are able to make faster and more informed decisions, ultimately improving the quality and safety of patient care. </w:t>
      </w:r>
      <w:r w:rsidRPr="009953FA">
        <w:rPr>
          <w:rFonts w:ascii="Times New Roman" w:hAnsi="Times New Roman" w:cs="Times New Roman"/>
          <w:bCs/>
          <w:sz w:val="24"/>
          <w:szCs w:val="24"/>
        </w:rPr>
        <w:lastRenderedPageBreak/>
        <w:t>AI-based analysis of EHR data is also being applied to hospital management, where it helps predict perioperative risks, reduce complications, improve patient satisfaction, and lower overall health care expenditures.</w:t>
      </w:r>
      <w:r w:rsidR="00BE5E46" w:rsidRPr="009953FA">
        <w:rPr>
          <w:rFonts w:ascii="Times New Roman" w:hAnsi="Times New Roman" w:cs="Times New Roman"/>
          <w:bCs/>
          <w:sz w:val="24"/>
          <w:szCs w:val="24"/>
        </w:rPr>
        <w:t>[21]</w:t>
      </w:r>
    </w:p>
    <w:p w14:paraId="669535BA" w14:textId="1D83E744"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Among the different AI technologies, natural language processing (NLP) has emerged as a transformative tool in medical data analysis. A substantial portion of clinical information exists in unstructured formats such as physician notes, discharge summaries, radiology interpretations, and patient histories, which are difficult to analyze using conventional computational methods. NLP enables these complex text records to be converted into structured and clinically meaningful information. This significantly enhances data accessibility and supports advanced analytics, precision medicine initiatives, and evidence-based clinical decision-making. A remarkable advancement in this field is the development of GatorTron, a large-scale clinical language model trained using extensive datasets from clinical records, biomedical literature, and other medical knowledge sources. The model has demonstrated exceptional performance in several clinical NLP tasks, including medical concept identification, relationship extraction, semantic interpretation, clinical reasoning, and medical question answering. The success of GatorTron highlights how large language models can strengthen the interpretation of EHR data and contribute to more efficient, accurate, and intelligent health care delivery systems.</w:t>
      </w:r>
      <w:r w:rsidR="00BE5E46" w:rsidRPr="009953FA">
        <w:rPr>
          <w:rFonts w:ascii="Times New Roman" w:hAnsi="Times New Roman" w:cs="Times New Roman"/>
          <w:bCs/>
          <w:sz w:val="24"/>
          <w:szCs w:val="24"/>
        </w:rPr>
        <w:t>[22]</w:t>
      </w:r>
    </w:p>
    <w:p w14:paraId="08E98A97"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Future Outlook of EHRs in Medical Research</w:t>
      </w:r>
    </w:p>
    <w:p w14:paraId="0276658D" w14:textId="77777777" w:rsidR="00DF0BD0" w:rsidRPr="009953FA" w:rsidRDefault="00DF0BD0" w:rsidP="00FC105B">
      <w:p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Over the coming years, electronic health records are expected to evolve into more advanced and intelligent systems that will play a major role in medical research and healthcare innovation. Greater emphasis will be placed on seamless data sharing between healthcare platforms, allowing researchers and clinicians to access patient information more efficiently across different institutions. The growing use of precision medicine, artificial intelligence, and digital health tools is also anticipated to improve disease prediction, treatment planning, and patient-centered care. In addition, future EHR systems are likely to incorporate social and environmental factors that influence health, providing a more complete understanding of patient outcomes. Enhanced analytical technologies and real-time public health monitoring will further strengthen the ability of researchers to identify health trends, support clinical decision-making, and improve overall healthcare delivery.</w:t>
      </w:r>
    </w:p>
    <w:p w14:paraId="70B5CD8C"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Distinct Roles of EHR Systems in Clinical Care and Research</w:t>
      </w:r>
    </w:p>
    <w:p w14:paraId="099B73B1" w14:textId="1008972C"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Electronic Health Record (EHR) systems developed for clinical practice and those intended for research purposes are designed with different priorities and operational goals. Clinical EHR platforms mainly support direct patient management by enabling health professionals to access and update patient information instantly during medical consultations. These systems generally contain comprehensive details such as previous medical conditions, medication history, allergy records, laboratory investigations, imaging reports, and treatment plans. Their design focuses strongly on usability, quick navigation, patient safety, and efficient communication among health care providers to ensure uninterrupted continuity of care.</w:t>
      </w:r>
      <w:r w:rsidR="00BE5E46" w:rsidRPr="009953FA">
        <w:rPr>
          <w:rFonts w:ascii="Times New Roman" w:hAnsi="Times New Roman" w:cs="Times New Roman"/>
          <w:bCs/>
          <w:sz w:val="24"/>
          <w:szCs w:val="24"/>
        </w:rPr>
        <w:t>[23]</w:t>
      </w:r>
    </w:p>
    <w:p w14:paraId="2BB1FC48" w14:textId="59EA1870"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On the other hand, EHR systems created for research activities are structured to facilitate large-scale data collection, organization, and analysis. Such systems emphasize uniform data </w:t>
      </w:r>
      <w:r w:rsidRPr="009953FA">
        <w:rPr>
          <w:rFonts w:ascii="Times New Roman" w:hAnsi="Times New Roman" w:cs="Times New Roman"/>
          <w:bCs/>
          <w:sz w:val="24"/>
          <w:szCs w:val="24"/>
        </w:rPr>
        <w:lastRenderedPageBreak/>
        <w:t>formatting, standardized coding practices, and interoperability so that information from multiple sources can be integrated effectively. Researchers use these databases to examine disease trends, evaluate therapeutic outcomes, conduct clinical studies, and monitor public health patterns across broader populations. Unlike patient-centered clinical EHRs, research-oriented systems mainly work with deidentified datasets to protect individual privacy while enabling scientific investigation. They also incorporate strict protocols related to ethical approvals, patient consent, and data confidentiality to ensure responsible use of health information in research settings.</w:t>
      </w:r>
      <w:r w:rsidR="00BE5E46" w:rsidRPr="009953FA">
        <w:rPr>
          <w:rFonts w:ascii="Times New Roman" w:hAnsi="Times New Roman" w:cs="Times New Roman"/>
          <w:bCs/>
          <w:sz w:val="24"/>
          <w:szCs w:val="24"/>
        </w:rPr>
        <w:t>[24]</w:t>
      </w:r>
    </w:p>
    <w:p w14:paraId="3B18964A"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Future Scope of EHR Integration</w:t>
      </w:r>
    </w:p>
    <w:p w14:paraId="749282E4" w14:textId="2CD5CBB9"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future of electronic health record systems is expected to be driven by stronger interoperability and smoother exchange of medical information across hospitals, clinics, research institutions, and even international health networks. Such advancements will support more coordinated patient management, improve communication among health care professionals, and strengthen large-scale public health surveillance and collaborative medical research. As digital health technologies continue to evolve, regulatory frameworks will also become more refined to address issues related to ethical use of patient information, data governance, ownership rights, and responsible utilization of health records in both clinical and research environments. Greater emphasis will be placed on maintaining transparency and accountability in handling sensitive health information.</w:t>
      </w:r>
    </w:p>
    <w:p w14:paraId="2636880A" w14:textId="55BCE6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With the increasing dependence on digital records, ensuring the security and privacy of patient data will remain a major priority. Emerging technologies such as blockchain-based systems and privacy-preserving computational approaches, including federated learning, are expected to play a significant role in protecting confidential information while still enabling secure data analysis and knowledge sharing. In addition, modern frameworks designed for structured EHR-based research are contributing to improved study quality and reliability. These frameworks focus on data validation, verification processes, transparency, and ethical compliance while encouraging the integration of clinical research within routine health care practice. Such approaches can generate more practical and widely applicable outcomes, ultimately supporting better patient care, improved health care efficiency, and enhanced quality of life.</w:t>
      </w:r>
      <w:r w:rsidR="00BE5E46" w:rsidRPr="009953FA">
        <w:rPr>
          <w:rFonts w:ascii="Times New Roman" w:hAnsi="Times New Roman" w:cs="Times New Roman"/>
          <w:bCs/>
          <w:sz w:val="24"/>
          <w:szCs w:val="24"/>
        </w:rPr>
        <w:t>[25]</w:t>
      </w:r>
    </w:p>
    <w:p w14:paraId="485F0166"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Integration of Multiomics Data in Precision Health Care</w:t>
      </w:r>
    </w:p>
    <w:p w14:paraId="7FC58F07"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With the decreasing cost and growing accessibility of genomic sequencing technologies, electronic health records are increasingly being adapted to include genomic and other omics-related information. This advancement is expected to strengthen precision medicine by enabling clinicians to design individualized treatment strategies based on a patient’s unique biological profile. Such personalized approaches can improve therapeutic effectiveness while reducing the likelihood of adverse drug reactions.</w:t>
      </w:r>
    </w:p>
    <w:p w14:paraId="590CEBBD" w14:textId="5D7545F2"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One notable example is the PennChart Genomics Initiative, which has made considerable progress in incorporating genomic information into electronic health record systems. The initiative developed a centralized platform for displaying genetic test results within the EHR, allowing both clinicians and researchers to access relevant patient data more efficiently. This approach not only supports better clinical decision-making but also promotes medical research </w:t>
      </w:r>
      <w:r w:rsidRPr="009953FA">
        <w:rPr>
          <w:rFonts w:ascii="Times New Roman" w:hAnsi="Times New Roman" w:cs="Times New Roman"/>
          <w:bCs/>
          <w:sz w:val="24"/>
          <w:szCs w:val="24"/>
        </w:rPr>
        <w:lastRenderedPageBreak/>
        <w:t>while carefully addressing concerns related to patient privacy and data security. Thousands of genetic reports have already been integrated into the system, demonstrating the growing role of EHRs in advancing precision medicine. Future developments are expected to focus on improving infrastructure, enhancing compatibility across health systems, and educating health care professionals on the interpretation and use of genomic data.</w:t>
      </w:r>
      <w:r w:rsidR="00BE5E46" w:rsidRPr="009953FA">
        <w:rPr>
          <w:rFonts w:ascii="Times New Roman" w:hAnsi="Times New Roman" w:cs="Times New Roman"/>
          <w:bCs/>
          <w:sz w:val="24"/>
          <w:szCs w:val="24"/>
        </w:rPr>
        <w:t>[26]</w:t>
      </w:r>
    </w:p>
    <w:p w14:paraId="5FBC9696"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Large-scale genomic studies are also expanding the scope of precision medicine in neonatal and pediatric care. In the United States, the Genetics Underlying Diabetes in Hispanics and Latinos program plans to enroll a large cohort of newborns for whole-genome sequencing. The primary aim is to investigate how genomic information can improve newborn screening and support early diagnosis in neonatal and pediatric intensive care settings. Early identification of genetic abnormalities may help clinicians initiate timely interventions, potentially reducing hospitalization duration and improving survival outcomes for children with previously undiagnosed disorders. This initiative highlights the transformative potential of genomics in modern health care.</w:t>
      </w:r>
    </w:p>
    <w:p w14:paraId="60E9EC08" w14:textId="4868A9F1"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Similarly, Genomics England has launched an ambitious program focused on integrating genomic information with electronic health records. The project seeks to sequence thousands of genomes from patients with rare diseases, cancer, and their family members within the National Health Service framework. The initiative was established to deepen understanding of the genetic basis of disease and to support the development of a national genomic medicine service in the United Kingdom. Its success has demonstrated how genomic integration can contribute to more accurate diagnoses, targeted therapies, and improved patient management, further emphasizing the importance of genomics in the evolution of personalized medicine.</w:t>
      </w:r>
      <w:r w:rsidR="00BE5E46" w:rsidRPr="009953FA">
        <w:rPr>
          <w:rFonts w:ascii="Times New Roman" w:hAnsi="Times New Roman" w:cs="Times New Roman"/>
          <w:bCs/>
          <w:sz w:val="24"/>
          <w:szCs w:val="24"/>
        </w:rPr>
        <w:t>[27]</w:t>
      </w:r>
    </w:p>
    <w:p w14:paraId="729C16A5"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Future Integration of AI and Digital Health in EHR Systems</w:t>
      </w:r>
    </w:p>
    <w:p w14:paraId="3470524A" w14:textId="37FED68F"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Electronic Health Records (EHRs) are expected to evolve into more intelligent and dynamic systems through the growing integration of artificial intelligence (AI) and advanced digital health technologies. In the coming years, AI and machine learning tools will play a major role in analyzing patient data instantly, helping health care professionals identify disease risks, predict hospital readmissions, and recommend individualized prevention and treatment strategies. Compared with conventional analytical approaches, AI-based systems are capable of delivering improved accuracy and efficiency in clinical predictions, thereby supporting better medical decision-making. The incorporation of these technologies into mobile and web-based clinical platforms is anticipated to strengthen patient management and streamline health care delivery. Natural language processing (NLP) is also projected to transform the way EHR data are utilized. Since a large portion of medical information exists in unstructured formats such as physician notes, discharge summaries, and clinical reports, NLP technologies can assist in extracting meaningful insights from these records efficiently. This capability will support improved patient classification, more personalized therapeutic planning, and stronger prediction of disease progression and outcomes. In addition, NLP-driven automation can reduce the burden of manual documentation and data interpretation, allowing health care providers to focus more on patient care. Real-time analysis of patient information through NLP-based systems is expected to enhance clinical decision support and contribute to faster, evidence-based treatment decisions.</w:t>
      </w:r>
      <w:r w:rsidR="00286C56">
        <w:rPr>
          <w:rFonts w:ascii="Times New Roman" w:hAnsi="Times New Roman" w:cs="Times New Roman"/>
          <w:bCs/>
          <w:sz w:val="24"/>
          <w:szCs w:val="24"/>
        </w:rPr>
        <w:t xml:space="preserve"> [28]</w:t>
      </w:r>
    </w:p>
    <w:p w14:paraId="4685C4C5" w14:textId="757F1B91"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lastRenderedPageBreak/>
        <w:t>Another important advancement is the increasing connectivity between EHRs and other digital health tools, including wearable devices, telemedicine platforms, and digital therapeutics. Modern wearable technologies, such as smart watches, biosensors, and activity trackers, are now capable of continuously monitoring physiological and lifestyle-related parameters including heart rate, glucose levels, sleep quality, and physical activity. Integrating this real-time information into EHR systems can provide clinicians with a broader and more continuous understanding of patient health beyond periodic hospital visits. Such continuous monitoring may improve preventive care, support early disease detection, and enable timely modifications in treatment plans, particularly for individuals with chronic illnesses. The rapid growth of telehealth services has further emphasized the importance of integrated digital health systems. By linking telehealth platforms with EHRs, clinicians can access complete patient histories, medication records, and diagnostic reports during virtual consultations. This seamless exchange of information can improve the quality and continuity of remote care while also expanding health care access for people living in rural or underserved regions. Maintaining teleconsultation records within the EHR also ensures better coordination among different health care providers and care settings.</w:t>
      </w:r>
      <w:r w:rsidR="00286C56">
        <w:rPr>
          <w:rFonts w:ascii="Times New Roman" w:hAnsi="Times New Roman" w:cs="Times New Roman"/>
          <w:bCs/>
          <w:sz w:val="24"/>
          <w:szCs w:val="24"/>
        </w:rPr>
        <w:t>[29]</w:t>
      </w:r>
    </w:p>
    <w:p w14:paraId="14DA81CD"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Digital therapeutics represent another emerging component of modern health care. These software-based therapeutic interventions are increasingly being used for chronic disease management, behavioural therapy, and mental health support. Their integration with EHR systems can help clinicians monitor patient adherence, evaluate therapeutic progress, and personalize treatment approaches more effectively. Furthermore, combining digital therapeutics with EHR data can generate valuable real-world evidence regarding treatment effectiveness, thereby supporting future clinical and research advancements. Overall, the continued integration of AI, NLP, wearable technologies, telehealth, and digital therapeutics into EHR systems is expected to create a more efficient, data-driven, and patient-centered health care environment.</w:t>
      </w:r>
    </w:p>
    <w:p w14:paraId="084F9D8B"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Integration of Social Determinants in EHR Systems</w:t>
      </w:r>
    </w:p>
    <w:p w14:paraId="715B9730" w14:textId="1AF7B59C"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inclusion of social determinants of health (SDOH) in electronic health record systems is becoming increasingly important for enhancing patient care and minimizing inequalities in health services. Future EHR platforms are expected to capture a broader range of information related to patients’ living conditions, financial status, education, employment, and surrounding environment, areas that are often underrepresented in current healthcare systems. By combining clinical data with social and environmental factors, healthcare professionals will be able to gain a more complete understanding of patient health and design interventions that are more personalized and effective.</w:t>
      </w:r>
      <w:r w:rsidR="00286C56">
        <w:rPr>
          <w:rFonts w:ascii="Times New Roman" w:hAnsi="Times New Roman" w:cs="Times New Roman"/>
          <w:bCs/>
          <w:sz w:val="24"/>
          <w:szCs w:val="24"/>
        </w:rPr>
        <w:t xml:space="preserve"> [30]</w:t>
      </w:r>
    </w:p>
    <w:p w14:paraId="61C40765"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advancement of EHR technologies toward comprehensive SDOH integration will require improvements in data management, security measures, and analytical capabilities. In the future, SDOH information may be collected through automated digital tools, patient-reported data portals, community-based databases, and advanced technologies such as natural language processing to identify relevant social information from clinical notes and healthcare records. This integrated approach has the potential to support better decision-making, improve overall health outcomes, and reduce disparities across different populations.</w:t>
      </w:r>
    </w:p>
    <w:p w14:paraId="76280AB3" w14:textId="77777777" w:rsidR="008642A7" w:rsidRPr="009953FA" w:rsidRDefault="008642A7" w:rsidP="00FC105B">
      <w:pPr>
        <w:tabs>
          <w:tab w:val="left" w:pos="4800"/>
        </w:tabs>
        <w:spacing w:line="276" w:lineRule="auto"/>
        <w:jc w:val="both"/>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8642A7" w:rsidRPr="009953FA" w14:paraId="1772857C" w14:textId="77777777" w:rsidTr="00BE5E46">
        <w:tc>
          <w:tcPr>
            <w:tcW w:w="1803" w:type="dxa"/>
            <w:shd w:val="clear" w:color="auto" w:fill="A6A6A6" w:themeFill="background1" w:themeFillShade="A6"/>
            <w:vAlign w:val="center"/>
          </w:tcPr>
          <w:p w14:paraId="15731C61" w14:textId="12C691D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b/>
                <w:bCs/>
              </w:rPr>
              <w:t>Software / System</w:t>
            </w:r>
          </w:p>
        </w:tc>
        <w:tc>
          <w:tcPr>
            <w:tcW w:w="1803" w:type="dxa"/>
            <w:shd w:val="clear" w:color="auto" w:fill="A6A6A6" w:themeFill="background1" w:themeFillShade="A6"/>
            <w:vAlign w:val="center"/>
          </w:tcPr>
          <w:p w14:paraId="7C146424" w14:textId="66D66249"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b/>
                <w:bCs/>
              </w:rPr>
              <w:t>Year Introduced</w:t>
            </w:r>
          </w:p>
        </w:tc>
        <w:tc>
          <w:tcPr>
            <w:tcW w:w="1803" w:type="dxa"/>
            <w:shd w:val="clear" w:color="auto" w:fill="A6A6A6" w:themeFill="background1" w:themeFillShade="A6"/>
            <w:vAlign w:val="center"/>
          </w:tcPr>
          <w:p w14:paraId="3552AE0B" w14:textId="498581A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b/>
                <w:bCs/>
              </w:rPr>
              <w:t>Primary Purpose</w:t>
            </w:r>
          </w:p>
        </w:tc>
        <w:tc>
          <w:tcPr>
            <w:tcW w:w="1803" w:type="dxa"/>
            <w:shd w:val="clear" w:color="auto" w:fill="A6A6A6" w:themeFill="background1" w:themeFillShade="A6"/>
            <w:vAlign w:val="center"/>
          </w:tcPr>
          <w:p w14:paraId="3FEBA44D" w14:textId="21CBDC8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b/>
                <w:bCs/>
              </w:rPr>
              <w:t>Key Features</w:t>
            </w:r>
          </w:p>
        </w:tc>
        <w:tc>
          <w:tcPr>
            <w:tcW w:w="1804" w:type="dxa"/>
            <w:shd w:val="clear" w:color="auto" w:fill="A6A6A6" w:themeFill="background1" w:themeFillShade="A6"/>
            <w:vAlign w:val="center"/>
          </w:tcPr>
          <w:p w14:paraId="4E0B02AD" w14:textId="24D8005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b/>
                <w:bCs/>
              </w:rPr>
              <w:t>Contribution to Healthcare and Research</w:t>
            </w:r>
          </w:p>
        </w:tc>
      </w:tr>
      <w:tr w:rsidR="008642A7" w:rsidRPr="009953FA" w14:paraId="06930582" w14:textId="77777777" w:rsidTr="008642A7">
        <w:tc>
          <w:tcPr>
            <w:tcW w:w="1803" w:type="dxa"/>
            <w:vAlign w:val="center"/>
          </w:tcPr>
          <w:p w14:paraId="477C7271" w14:textId="0D9290A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Problem-Oriented Medical Record (POMR)</w:t>
            </w:r>
          </w:p>
        </w:tc>
        <w:tc>
          <w:tcPr>
            <w:tcW w:w="1803" w:type="dxa"/>
            <w:vAlign w:val="center"/>
          </w:tcPr>
          <w:p w14:paraId="0C3F451A" w14:textId="4AC53316"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Late 1960s</w:t>
            </w:r>
          </w:p>
        </w:tc>
        <w:tc>
          <w:tcPr>
            <w:tcW w:w="1803" w:type="dxa"/>
            <w:vAlign w:val="center"/>
          </w:tcPr>
          <w:p w14:paraId="724AA712" w14:textId="0A459E99"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Structured clinical documentation</w:t>
            </w:r>
          </w:p>
        </w:tc>
        <w:tc>
          <w:tcPr>
            <w:tcW w:w="1803" w:type="dxa"/>
            <w:vAlign w:val="center"/>
          </w:tcPr>
          <w:p w14:paraId="34F85952" w14:textId="2BE211A0"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Organized patient information according to individual medical problems and clinical observations</w:t>
            </w:r>
          </w:p>
        </w:tc>
        <w:tc>
          <w:tcPr>
            <w:tcW w:w="1804" w:type="dxa"/>
            <w:vAlign w:val="center"/>
          </w:tcPr>
          <w:p w14:paraId="36877B54" w14:textId="1ACAE9E4"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Improved clinical reasoning, patient-centered documentation, and medical education</w:t>
            </w:r>
          </w:p>
        </w:tc>
      </w:tr>
      <w:tr w:rsidR="008642A7" w:rsidRPr="009953FA" w14:paraId="7A941307" w14:textId="77777777" w:rsidTr="008642A7">
        <w:tc>
          <w:tcPr>
            <w:tcW w:w="1803" w:type="dxa"/>
            <w:vAlign w:val="center"/>
          </w:tcPr>
          <w:p w14:paraId="7775069B" w14:textId="757B7D3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Regenstrief Medical Record System (RMRS)</w:t>
            </w:r>
          </w:p>
        </w:tc>
        <w:tc>
          <w:tcPr>
            <w:tcW w:w="1803" w:type="dxa"/>
            <w:vAlign w:val="center"/>
          </w:tcPr>
          <w:p w14:paraId="5F8B5A7F" w14:textId="1D80437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1969</w:t>
            </w:r>
          </w:p>
        </w:tc>
        <w:tc>
          <w:tcPr>
            <w:tcW w:w="1803" w:type="dxa"/>
            <w:vAlign w:val="center"/>
          </w:tcPr>
          <w:p w14:paraId="001BB373" w14:textId="5CA9BA0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Electronic medical record management</w:t>
            </w:r>
          </w:p>
        </w:tc>
        <w:tc>
          <w:tcPr>
            <w:tcW w:w="1803" w:type="dxa"/>
            <w:vAlign w:val="center"/>
          </w:tcPr>
          <w:p w14:paraId="41BFF92D" w14:textId="76533B91"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Electronic storage, retrieval, and integration of patient information across healthcare facilities</w:t>
            </w:r>
          </w:p>
        </w:tc>
        <w:tc>
          <w:tcPr>
            <w:tcW w:w="1804" w:type="dxa"/>
            <w:vAlign w:val="center"/>
          </w:tcPr>
          <w:p w14:paraId="7CC7083D" w14:textId="72212860"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Supported early clinical research, medication evaluation studies, and continuity of care</w:t>
            </w:r>
          </w:p>
        </w:tc>
      </w:tr>
      <w:tr w:rsidR="008642A7" w:rsidRPr="009953FA" w14:paraId="76E78F5E" w14:textId="77777777" w:rsidTr="008642A7">
        <w:tc>
          <w:tcPr>
            <w:tcW w:w="1803" w:type="dxa"/>
            <w:vAlign w:val="center"/>
          </w:tcPr>
          <w:p w14:paraId="0134337D" w14:textId="7D16F111"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General Practice Research Database (GPRD)</w:t>
            </w:r>
          </w:p>
        </w:tc>
        <w:tc>
          <w:tcPr>
            <w:tcW w:w="1803" w:type="dxa"/>
            <w:vAlign w:val="center"/>
          </w:tcPr>
          <w:p w14:paraId="4AA7FFDA" w14:textId="742B25AA"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1990s</w:t>
            </w:r>
          </w:p>
        </w:tc>
        <w:tc>
          <w:tcPr>
            <w:tcW w:w="1803" w:type="dxa"/>
            <w:vAlign w:val="center"/>
          </w:tcPr>
          <w:p w14:paraId="2A0F25F0" w14:textId="3650DAC7"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Population-based healthcare research</w:t>
            </w:r>
          </w:p>
        </w:tc>
        <w:tc>
          <w:tcPr>
            <w:tcW w:w="1803" w:type="dxa"/>
            <w:vAlign w:val="center"/>
          </w:tcPr>
          <w:p w14:paraId="222F4207" w14:textId="56E5CD0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Large-scale primary care patient database with longitudinal clinical information</w:t>
            </w:r>
          </w:p>
        </w:tc>
        <w:tc>
          <w:tcPr>
            <w:tcW w:w="1804" w:type="dxa"/>
            <w:vAlign w:val="center"/>
          </w:tcPr>
          <w:p w14:paraId="0A04D838" w14:textId="48F82D82"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Enabled epidemiological studies and comparative effectiveness research</w:t>
            </w:r>
          </w:p>
        </w:tc>
      </w:tr>
      <w:tr w:rsidR="008642A7" w:rsidRPr="009953FA" w14:paraId="0BB9AA45" w14:textId="77777777" w:rsidTr="008642A7">
        <w:tc>
          <w:tcPr>
            <w:tcW w:w="1803" w:type="dxa"/>
            <w:vAlign w:val="center"/>
          </w:tcPr>
          <w:p w14:paraId="40B9E0B4" w14:textId="73F6C07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Doctors Independent Network (DIN) Database</w:t>
            </w:r>
          </w:p>
        </w:tc>
        <w:tc>
          <w:tcPr>
            <w:tcW w:w="1803" w:type="dxa"/>
            <w:vAlign w:val="center"/>
          </w:tcPr>
          <w:p w14:paraId="35EE3794" w14:textId="5C43B40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1990s</w:t>
            </w:r>
          </w:p>
        </w:tc>
        <w:tc>
          <w:tcPr>
            <w:tcW w:w="1803" w:type="dxa"/>
            <w:vAlign w:val="center"/>
          </w:tcPr>
          <w:p w14:paraId="0ED6E89C" w14:textId="2C5E8653"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Clinical data collection in general practice</w:t>
            </w:r>
          </w:p>
        </w:tc>
        <w:tc>
          <w:tcPr>
            <w:tcW w:w="1803" w:type="dxa"/>
            <w:vAlign w:val="center"/>
          </w:tcPr>
          <w:p w14:paraId="65A652DB" w14:textId="4153FBD0"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Electronic collection of patient records from participating general practitioners</w:t>
            </w:r>
          </w:p>
        </w:tc>
        <w:tc>
          <w:tcPr>
            <w:tcW w:w="1804" w:type="dxa"/>
            <w:vAlign w:val="center"/>
          </w:tcPr>
          <w:p w14:paraId="38C57F84" w14:textId="4DF03659"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Assisted observational research and evaluation of healthcare trends</w:t>
            </w:r>
          </w:p>
        </w:tc>
      </w:tr>
      <w:tr w:rsidR="008642A7" w:rsidRPr="009953FA" w14:paraId="19D57C0E" w14:textId="77777777" w:rsidTr="008642A7">
        <w:tc>
          <w:tcPr>
            <w:tcW w:w="1803" w:type="dxa"/>
            <w:vAlign w:val="center"/>
          </w:tcPr>
          <w:p w14:paraId="2FA730A4" w14:textId="1361E1B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Digital Imaging and Communications in Medicine (DICOM)</w:t>
            </w:r>
          </w:p>
        </w:tc>
        <w:tc>
          <w:tcPr>
            <w:tcW w:w="1803" w:type="dxa"/>
            <w:vAlign w:val="center"/>
          </w:tcPr>
          <w:p w14:paraId="3C01C165" w14:textId="2D1D7DE7"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1990s</w:t>
            </w:r>
          </w:p>
        </w:tc>
        <w:tc>
          <w:tcPr>
            <w:tcW w:w="1803" w:type="dxa"/>
            <w:vAlign w:val="center"/>
          </w:tcPr>
          <w:p w14:paraId="2A6513EA" w14:textId="5F73DEE2"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Medical imaging integration</w:t>
            </w:r>
          </w:p>
        </w:tc>
        <w:tc>
          <w:tcPr>
            <w:tcW w:w="1803" w:type="dxa"/>
            <w:vAlign w:val="center"/>
          </w:tcPr>
          <w:p w14:paraId="02B9B1C8" w14:textId="7B3A6761"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Standardized management and sharing of radiological images and imaging data</w:t>
            </w:r>
          </w:p>
        </w:tc>
        <w:tc>
          <w:tcPr>
            <w:tcW w:w="1804" w:type="dxa"/>
            <w:vAlign w:val="center"/>
          </w:tcPr>
          <w:p w14:paraId="28E5FADB" w14:textId="0A9CE7EE"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Improved integration of imaging into electronic patient records and retrospective imaging research</w:t>
            </w:r>
          </w:p>
        </w:tc>
      </w:tr>
      <w:tr w:rsidR="008642A7" w:rsidRPr="009953FA" w14:paraId="2AD1B33B" w14:textId="77777777" w:rsidTr="008642A7">
        <w:tc>
          <w:tcPr>
            <w:tcW w:w="1803" w:type="dxa"/>
            <w:vAlign w:val="center"/>
          </w:tcPr>
          <w:p w14:paraId="01A980A2" w14:textId="407A5A52"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HL7 Version 3</w:t>
            </w:r>
          </w:p>
        </w:tc>
        <w:tc>
          <w:tcPr>
            <w:tcW w:w="1803" w:type="dxa"/>
            <w:vAlign w:val="center"/>
          </w:tcPr>
          <w:p w14:paraId="5EB86559" w14:textId="30E7D2D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Early 2000s</w:t>
            </w:r>
          </w:p>
        </w:tc>
        <w:tc>
          <w:tcPr>
            <w:tcW w:w="1803" w:type="dxa"/>
            <w:vAlign w:val="center"/>
          </w:tcPr>
          <w:p w14:paraId="6314DE66" w14:textId="4890F7F2"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Healthcare data interoperability</w:t>
            </w:r>
          </w:p>
        </w:tc>
        <w:tc>
          <w:tcPr>
            <w:tcW w:w="1803" w:type="dxa"/>
            <w:vAlign w:val="center"/>
          </w:tcPr>
          <w:p w14:paraId="32A4D6E8" w14:textId="7C84D753"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Standardized communication framework for exchanging clinical information</w:t>
            </w:r>
          </w:p>
        </w:tc>
        <w:tc>
          <w:tcPr>
            <w:tcW w:w="1804" w:type="dxa"/>
            <w:vAlign w:val="center"/>
          </w:tcPr>
          <w:p w14:paraId="78D552AD" w14:textId="0F45983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Enhanced compatibility and semantic interoperability between healthcare systems</w:t>
            </w:r>
          </w:p>
        </w:tc>
      </w:tr>
      <w:tr w:rsidR="008642A7" w:rsidRPr="009953FA" w14:paraId="48C6547B" w14:textId="77777777" w:rsidTr="008642A7">
        <w:tc>
          <w:tcPr>
            <w:tcW w:w="1803" w:type="dxa"/>
            <w:vAlign w:val="center"/>
          </w:tcPr>
          <w:p w14:paraId="4CF61E03" w14:textId="7BEE5D8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UK Biobank Platform</w:t>
            </w:r>
          </w:p>
        </w:tc>
        <w:tc>
          <w:tcPr>
            <w:tcW w:w="1803" w:type="dxa"/>
            <w:vAlign w:val="center"/>
          </w:tcPr>
          <w:p w14:paraId="18EA413E" w14:textId="02882B64"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2006</w:t>
            </w:r>
          </w:p>
        </w:tc>
        <w:tc>
          <w:tcPr>
            <w:tcW w:w="1803" w:type="dxa"/>
            <w:vAlign w:val="center"/>
          </w:tcPr>
          <w:p w14:paraId="6DD5AD6E" w14:textId="3CF5594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Genomic and population health research</w:t>
            </w:r>
          </w:p>
        </w:tc>
        <w:tc>
          <w:tcPr>
            <w:tcW w:w="1803" w:type="dxa"/>
            <w:vAlign w:val="center"/>
          </w:tcPr>
          <w:p w14:paraId="396B40DC" w14:textId="2B6F746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Integration of genomic, lifestyle, and electronic health record data from large populations</w:t>
            </w:r>
          </w:p>
        </w:tc>
        <w:tc>
          <w:tcPr>
            <w:tcW w:w="1804" w:type="dxa"/>
            <w:vAlign w:val="center"/>
          </w:tcPr>
          <w:p w14:paraId="62A400FA" w14:textId="6DD1824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Supported precision medicine and large-scale genetic association studies</w:t>
            </w:r>
          </w:p>
        </w:tc>
      </w:tr>
      <w:tr w:rsidR="008642A7" w:rsidRPr="009953FA" w14:paraId="733C2F2D" w14:textId="77777777" w:rsidTr="008642A7">
        <w:tc>
          <w:tcPr>
            <w:tcW w:w="1803" w:type="dxa"/>
            <w:vAlign w:val="center"/>
          </w:tcPr>
          <w:p w14:paraId="5891C8EF" w14:textId="19810A4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lastRenderedPageBreak/>
              <w:t>All of Us Research Program</w:t>
            </w:r>
          </w:p>
        </w:tc>
        <w:tc>
          <w:tcPr>
            <w:tcW w:w="1803" w:type="dxa"/>
            <w:vAlign w:val="center"/>
          </w:tcPr>
          <w:p w14:paraId="6BD66FA8" w14:textId="06754B0D"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2018</w:t>
            </w:r>
          </w:p>
        </w:tc>
        <w:tc>
          <w:tcPr>
            <w:tcW w:w="1803" w:type="dxa"/>
            <w:vAlign w:val="center"/>
          </w:tcPr>
          <w:p w14:paraId="1C868362" w14:textId="5CCCD6B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Personalized medicine research</w:t>
            </w:r>
          </w:p>
        </w:tc>
        <w:tc>
          <w:tcPr>
            <w:tcW w:w="1803" w:type="dxa"/>
            <w:vAlign w:val="center"/>
          </w:tcPr>
          <w:p w14:paraId="6F6B0A1C" w14:textId="3956E029"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Combines genomic data, biospecimens, and EHR information from diverse populations</w:t>
            </w:r>
          </w:p>
        </w:tc>
        <w:tc>
          <w:tcPr>
            <w:tcW w:w="1804" w:type="dxa"/>
            <w:vAlign w:val="center"/>
          </w:tcPr>
          <w:p w14:paraId="786FC742" w14:textId="54E25405"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Strengthened inclusive biomedical research and individualized healthcare approaches</w:t>
            </w:r>
          </w:p>
        </w:tc>
      </w:tr>
      <w:tr w:rsidR="008642A7" w:rsidRPr="009953FA" w14:paraId="27820D91" w14:textId="77777777" w:rsidTr="008642A7">
        <w:tc>
          <w:tcPr>
            <w:tcW w:w="1803" w:type="dxa"/>
            <w:vAlign w:val="center"/>
          </w:tcPr>
          <w:p w14:paraId="5CBCB5AA" w14:textId="09BE1677"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GatorTron Clinical Language Model</w:t>
            </w:r>
          </w:p>
        </w:tc>
        <w:tc>
          <w:tcPr>
            <w:tcW w:w="1803" w:type="dxa"/>
            <w:vAlign w:val="center"/>
          </w:tcPr>
          <w:p w14:paraId="4E923138" w14:textId="5C70941E"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2020s</w:t>
            </w:r>
          </w:p>
        </w:tc>
        <w:tc>
          <w:tcPr>
            <w:tcW w:w="1803" w:type="dxa"/>
            <w:vAlign w:val="center"/>
          </w:tcPr>
          <w:p w14:paraId="597711DA" w14:textId="65EF2846"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Natural language processing in healthcare</w:t>
            </w:r>
          </w:p>
        </w:tc>
        <w:tc>
          <w:tcPr>
            <w:tcW w:w="1803" w:type="dxa"/>
            <w:vAlign w:val="center"/>
          </w:tcPr>
          <w:p w14:paraId="47F4B03C" w14:textId="22E8FC6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AI-based analysis of clinical notes, discharge summaries, and medical text</w:t>
            </w:r>
          </w:p>
        </w:tc>
        <w:tc>
          <w:tcPr>
            <w:tcW w:w="1804" w:type="dxa"/>
            <w:vAlign w:val="center"/>
          </w:tcPr>
          <w:p w14:paraId="1119D80C" w14:textId="5F28596E"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Improved extraction of meaningful insights from unstructured EHR data</w:t>
            </w:r>
          </w:p>
        </w:tc>
      </w:tr>
      <w:tr w:rsidR="008642A7" w:rsidRPr="009953FA" w14:paraId="24E9D18F" w14:textId="77777777" w:rsidTr="008642A7">
        <w:tc>
          <w:tcPr>
            <w:tcW w:w="1803" w:type="dxa"/>
            <w:vAlign w:val="center"/>
          </w:tcPr>
          <w:p w14:paraId="7C332F75" w14:textId="29FBB285"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PennChart Genomics Platform</w:t>
            </w:r>
          </w:p>
        </w:tc>
        <w:tc>
          <w:tcPr>
            <w:tcW w:w="1803" w:type="dxa"/>
            <w:vAlign w:val="center"/>
          </w:tcPr>
          <w:p w14:paraId="52B097CF" w14:textId="37FC5ED3"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2020s</w:t>
            </w:r>
          </w:p>
        </w:tc>
        <w:tc>
          <w:tcPr>
            <w:tcW w:w="1803" w:type="dxa"/>
            <w:vAlign w:val="center"/>
          </w:tcPr>
          <w:p w14:paraId="5BBCC739" w14:textId="67CE9B91"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Genomic integration within EHRs</w:t>
            </w:r>
          </w:p>
        </w:tc>
        <w:tc>
          <w:tcPr>
            <w:tcW w:w="1803" w:type="dxa"/>
            <w:vAlign w:val="center"/>
          </w:tcPr>
          <w:p w14:paraId="7433CC8A" w14:textId="7C32FE7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Centralized display and management of genetic reports inside EHR systems</w:t>
            </w:r>
          </w:p>
        </w:tc>
        <w:tc>
          <w:tcPr>
            <w:tcW w:w="1804" w:type="dxa"/>
            <w:vAlign w:val="center"/>
          </w:tcPr>
          <w:p w14:paraId="023ACD7C" w14:textId="4B59E211"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Enhanced genomic-based clinical decision-making and precision medicine research</w:t>
            </w:r>
          </w:p>
        </w:tc>
      </w:tr>
      <w:tr w:rsidR="008642A7" w:rsidRPr="009953FA" w14:paraId="041E9703" w14:textId="77777777" w:rsidTr="008642A7">
        <w:tc>
          <w:tcPr>
            <w:tcW w:w="1803" w:type="dxa"/>
            <w:vAlign w:val="center"/>
          </w:tcPr>
          <w:p w14:paraId="2CFA8B02" w14:textId="52428C4D"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Centralized Interactive Phenomics Resource (CIPHER)</w:t>
            </w:r>
          </w:p>
        </w:tc>
        <w:tc>
          <w:tcPr>
            <w:tcW w:w="1803" w:type="dxa"/>
            <w:vAlign w:val="center"/>
          </w:tcPr>
          <w:p w14:paraId="22B38F04" w14:textId="5E0D55EA"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2020s</w:t>
            </w:r>
          </w:p>
        </w:tc>
        <w:tc>
          <w:tcPr>
            <w:tcW w:w="1803" w:type="dxa"/>
            <w:vAlign w:val="center"/>
          </w:tcPr>
          <w:p w14:paraId="5D824446" w14:textId="40A5DA15"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Phenotype data analytics and sharing</w:t>
            </w:r>
          </w:p>
        </w:tc>
        <w:tc>
          <w:tcPr>
            <w:tcW w:w="1803" w:type="dxa"/>
            <w:vAlign w:val="center"/>
          </w:tcPr>
          <w:p w14:paraId="698217A1" w14:textId="35AC3CE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Metadata organization, phenotype algorithm repository, and analytical tools</w:t>
            </w:r>
          </w:p>
        </w:tc>
        <w:tc>
          <w:tcPr>
            <w:tcW w:w="1804" w:type="dxa"/>
            <w:vAlign w:val="center"/>
          </w:tcPr>
          <w:p w14:paraId="3ED17266" w14:textId="2BAA667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Facilitated collaborative clinical research and standardized phenotype development</w:t>
            </w:r>
          </w:p>
        </w:tc>
      </w:tr>
      <w:tr w:rsidR="008642A7" w:rsidRPr="009953FA" w14:paraId="7B7E7955" w14:textId="77777777" w:rsidTr="008642A7">
        <w:tc>
          <w:tcPr>
            <w:tcW w:w="1803" w:type="dxa"/>
            <w:vAlign w:val="center"/>
          </w:tcPr>
          <w:p w14:paraId="7AD00763" w14:textId="432A455D"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My Health Record (Australia)</w:t>
            </w:r>
          </w:p>
        </w:tc>
        <w:tc>
          <w:tcPr>
            <w:tcW w:w="1803" w:type="dxa"/>
            <w:vAlign w:val="center"/>
          </w:tcPr>
          <w:p w14:paraId="19B86990" w14:textId="47B3E1F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2010s</w:t>
            </w:r>
          </w:p>
        </w:tc>
        <w:tc>
          <w:tcPr>
            <w:tcW w:w="1803" w:type="dxa"/>
            <w:vAlign w:val="center"/>
          </w:tcPr>
          <w:p w14:paraId="52B671E2" w14:textId="5AF0B11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National digital health record management</w:t>
            </w:r>
          </w:p>
        </w:tc>
        <w:tc>
          <w:tcPr>
            <w:tcW w:w="1803" w:type="dxa"/>
            <w:vAlign w:val="center"/>
          </w:tcPr>
          <w:p w14:paraId="3C3BCA43" w14:textId="5EC7DDC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Centralized patient health information accessible across healthcare settings</w:t>
            </w:r>
          </w:p>
        </w:tc>
        <w:tc>
          <w:tcPr>
            <w:tcW w:w="1804" w:type="dxa"/>
            <w:vAlign w:val="center"/>
          </w:tcPr>
          <w:p w14:paraId="5CCB3A0A" w14:textId="34943499"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Improved healthcare coordination, public health monitoring, and continuity of care</w:t>
            </w:r>
          </w:p>
        </w:tc>
      </w:tr>
      <w:tr w:rsidR="008642A7" w:rsidRPr="009953FA" w14:paraId="39D98906" w14:textId="77777777" w:rsidTr="008642A7">
        <w:tc>
          <w:tcPr>
            <w:tcW w:w="1803" w:type="dxa"/>
            <w:vAlign w:val="center"/>
          </w:tcPr>
          <w:p w14:paraId="00E23D98" w14:textId="34B29D7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NHS Digital Analytics Platform</w:t>
            </w:r>
          </w:p>
        </w:tc>
        <w:tc>
          <w:tcPr>
            <w:tcW w:w="1803" w:type="dxa"/>
            <w:vAlign w:val="center"/>
          </w:tcPr>
          <w:p w14:paraId="02619EAE" w14:textId="435077F6"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2020s</w:t>
            </w:r>
          </w:p>
        </w:tc>
        <w:tc>
          <w:tcPr>
            <w:tcW w:w="1803" w:type="dxa"/>
            <w:vAlign w:val="center"/>
          </w:tcPr>
          <w:p w14:paraId="76111E00" w14:textId="0116F103"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Public health surveillance and analytics</w:t>
            </w:r>
          </w:p>
        </w:tc>
        <w:tc>
          <w:tcPr>
            <w:tcW w:w="1803" w:type="dxa"/>
            <w:vAlign w:val="center"/>
          </w:tcPr>
          <w:p w14:paraId="09B8D276" w14:textId="6828AEFE"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Secure analysis of large-scale deidentified patient data</w:t>
            </w:r>
          </w:p>
        </w:tc>
        <w:tc>
          <w:tcPr>
            <w:tcW w:w="1804" w:type="dxa"/>
            <w:vAlign w:val="center"/>
          </w:tcPr>
          <w:p w14:paraId="126EA5C1" w14:textId="7BCE3B3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Supported COVID-19 monitoring, risk identification, and healthcare planning</w:t>
            </w:r>
          </w:p>
        </w:tc>
      </w:tr>
      <w:tr w:rsidR="008642A7" w:rsidRPr="009953FA" w14:paraId="36BA7430" w14:textId="77777777" w:rsidTr="008642A7">
        <w:tc>
          <w:tcPr>
            <w:tcW w:w="1803" w:type="dxa"/>
            <w:vAlign w:val="center"/>
          </w:tcPr>
          <w:p w14:paraId="1684DBF9" w14:textId="31C366D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Telemedicine-Integrated EHR Platforms</w:t>
            </w:r>
          </w:p>
        </w:tc>
        <w:tc>
          <w:tcPr>
            <w:tcW w:w="1803" w:type="dxa"/>
            <w:vAlign w:val="center"/>
          </w:tcPr>
          <w:p w14:paraId="01F7A332" w14:textId="304DB55A"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2020s</w:t>
            </w:r>
          </w:p>
        </w:tc>
        <w:tc>
          <w:tcPr>
            <w:tcW w:w="1803" w:type="dxa"/>
            <w:vAlign w:val="center"/>
          </w:tcPr>
          <w:p w14:paraId="143C706F" w14:textId="303316B6"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Remote healthcare delivery</w:t>
            </w:r>
          </w:p>
        </w:tc>
        <w:tc>
          <w:tcPr>
            <w:tcW w:w="1803" w:type="dxa"/>
            <w:vAlign w:val="center"/>
          </w:tcPr>
          <w:p w14:paraId="6DB21FCD" w14:textId="32FB15DD"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Virtual consultation support with integrated patient histories and clinical records</w:t>
            </w:r>
          </w:p>
        </w:tc>
        <w:tc>
          <w:tcPr>
            <w:tcW w:w="1804" w:type="dxa"/>
            <w:vAlign w:val="center"/>
          </w:tcPr>
          <w:p w14:paraId="657AE545" w14:textId="65829FA4"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Expanded healthcare access and strengthened continuity of care during and after pandemics</w:t>
            </w:r>
          </w:p>
        </w:tc>
      </w:tr>
    </w:tbl>
    <w:p w14:paraId="6B080196" w14:textId="5159BDFD" w:rsidR="008642A7" w:rsidRPr="009953FA" w:rsidRDefault="008642A7" w:rsidP="008642A7">
      <w:pPr>
        <w:tabs>
          <w:tab w:val="left" w:pos="4800"/>
        </w:tabs>
        <w:spacing w:before="240" w:line="276" w:lineRule="auto"/>
        <w:jc w:val="center"/>
        <w:rPr>
          <w:rFonts w:ascii="Times New Roman" w:hAnsi="Times New Roman" w:cs="Times New Roman"/>
          <w:bCs/>
          <w:sz w:val="24"/>
          <w:szCs w:val="24"/>
        </w:rPr>
      </w:pPr>
      <w:r w:rsidRPr="009953FA">
        <w:rPr>
          <w:rFonts w:ascii="Times New Roman" w:hAnsi="Times New Roman" w:cs="Times New Roman"/>
          <w:b/>
          <w:sz w:val="24"/>
          <w:szCs w:val="24"/>
        </w:rPr>
        <w:t xml:space="preserve">Table-1: </w:t>
      </w:r>
      <w:r w:rsidRPr="009953FA">
        <w:rPr>
          <w:rFonts w:ascii="Times New Roman" w:hAnsi="Times New Roman" w:cs="Times New Roman"/>
          <w:bCs/>
          <w:sz w:val="24"/>
          <w:szCs w:val="24"/>
        </w:rPr>
        <w:t>Major Electronic Health Record Systems, Digital Health Platforms, and Analytical Technologies Contributing to Modern Healthcare and Medical Research</w:t>
      </w:r>
    </w:p>
    <w:p w14:paraId="1ED2FE32"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Future Scope in Public Health Surveillance</w:t>
      </w:r>
    </w:p>
    <w:p w14:paraId="1F6E95EA"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Electronic Health Records (EHRs) are expected to remain an essential component of public health and epidemiological research in the coming years. Their widespread use during the COVID-19 crisis demonstrated how valuable digital health data can be for tracking disease patterns, identifying outbreaks early, and supporting large-scale population studies. In future </w:t>
      </w:r>
      <w:r w:rsidRPr="009953FA">
        <w:rPr>
          <w:rFonts w:ascii="Times New Roman" w:hAnsi="Times New Roman" w:cs="Times New Roman"/>
          <w:bCs/>
          <w:sz w:val="24"/>
          <w:szCs w:val="24"/>
        </w:rPr>
        <w:lastRenderedPageBreak/>
        <w:t>health emergencies or unexpected pandemics, EHR systems may help healthcare authorities respond more rapidly through continuous monitoring and timely data analysis. They can also contribute to the development of stronger preventive healthcare measures and better disease management strategies. Nevertheless, the full potential of these systems will largely rely on improved interoperability, seamless integration between healthcare platforms, and secure data sharing across institutions.</w:t>
      </w:r>
    </w:p>
    <w:p w14:paraId="7952AE2B"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Integration of Analytics Platforms With Electronic Health Records</w:t>
      </w:r>
    </w:p>
    <w:p w14:paraId="73F09756"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integration of data analytics platforms with Electronic Health Records (EHRs) enables health care systems to efficiently utilize large volumes of patient-related information for clinical decision-making, research, and improved patient management. By combining analytical technologies with EHR databases, health professionals can identify disease patterns, monitor treatment outcomes, support precision medicine, and enhance the overall quality of care delivery. Advanced analytics applied to EHR data also contribute to better resource utilization and evidence-based medical practices.</w:t>
      </w:r>
    </w:p>
    <w:p w14:paraId="6FEAB7D9" w14:textId="0236DD8A"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One notable initiative in this field is the development of the Centralized Interactive Phenomics Resource (CIPHER), an online knowledge platform created to support phenotype development and clinical research activities. The system serves as a publicly accessible repository that simplifies the organization and sharing of clinical phenotype information. It incorporates structured metadata management, integrated analytical utilities, and user-friendly workflows that assist researchers in conducting efficient phenotype-based investigations. The platform additionally supports sophisticated search functions, metadata validation through web-based submissions, and interactive visualization features that improve accessibility and user participation. Such innovations are expected to strengthen collaborative research efforts and expand the availability of standardized phenotype algorithms for future health care applications.</w:t>
      </w:r>
      <w:r w:rsidR="00286C56">
        <w:rPr>
          <w:rFonts w:ascii="Times New Roman" w:hAnsi="Times New Roman" w:cs="Times New Roman"/>
          <w:bCs/>
          <w:sz w:val="24"/>
          <w:szCs w:val="24"/>
        </w:rPr>
        <w:t xml:space="preserve"> [31]</w:t>
      </w:r>
    </w:p>
    <w:p w14:paraId="5885E001"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Limitations and Concerns in EHR-Based Research</w:t>
      </w:r>
    </w:p>
    <w:p w14:paraId="22EF5F88"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Despite the growing adoption of electronic health records in medical research, several obstacles have continued to affect their effective utilization over the past few decades. One of the major concerns has been the variability in data accuracy, completeness, and standardization across different healthcare systems. Since many hospitals and clinics use different EHR platforms, difficulties in data sharing and system compatibility have often limited smooth integration and large-scale research analysis. In addition, the use of patient information for research has raised important ethical and legal concerns related to confidentiality, privacy, and cybersecurity. Regulatory frameworks introduced to safeguard sensitive health information played a major role in shaping the design and operation of EHR systems, ensuring that patient data could be used responsibly while maintaining strict privacy protection standards.</w:t>
      </w:r>
    </w:p>
    <w:p w14:paraId="3891A98B"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Ethical and Regulatory Aspects of EHR Data Use</w:t>
      </w:r>
    </w:p>
    <w:p w14:paraId="00CE219C" w14:textId="0B9B6679"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Electronic health records (EHRs) are routinely updated by a wide range of health care professionals, including physicians, nurses, laboratory personnel, pharmacists, and administrative staff. Because documentation practices differ across hospitals, health systems, </w:t>
      </w:r>
      <w:r w:rsidRPr="009953FA">
        <w:rPr>
          <w:rFonts w:ascii="Times New Roman" w:hAnsi="Times New Roman" w:cs="Times New Roman"/>
          <w:bCs/>
          <w:sz w:val="24"/>
          <w:szCs w:val="24"/>
        </w:rPr>
        <w:lastRenderedPageBreak/>
        <w:t>and countries, the quality and completeness of EHR data may vary considerably. Most of these records are originally created to support patient care, billing, and hospital operations rather than scientific investigations. As a result, researchers often face difficulties when attempting to use these data for clinical or epidemiological studies. One of the most important steps before using EHR data for research is the protection of patient identity. Sensitive personal details such as patient names, contact information, identification numbers, and addresses must either be removed or transformed into coded formats to maintain confidentiality. This process, commonly referred to as deidentification or pseudonymization, helps reduce the risk of exposing private patient information. Because health data are highly sensitive, institutions usually establish strict governance policies and review procedures before granting researchers access to EHR databases.</w:t>
      </w:r>
    </w:p>
    <w:p w14:paraId="3FB7035C" w14:textId="7B9BBB58"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Ethical and legal frameworks governing EHR-based research differ across regions. In the United States, strict privacy regulations guide how patient information can be reused for research purposes. European countries generally emphasize data minimization, explicit patient consent, and controlled data processing practices. In the United Kingdom, secure research environments have been developed to allow investigators to analyze health data while maintaining strong privacy protections. These international differences mean that researchers conducting multicountry studies must carefully follow the legal requirements of each participating region. In many cases, formal agreements are required to regulate data transfer, storage, and sharing across borders. Maintaining strong data security practices is essential throughout the research process. Techniques such as anonymization, encryption, secure cloud storage, and restricted-access systems are commonly adopted to safeguard patient information. Even with these measures, researchers continue to encounter major technical challenges related to interoperability between EHR systems. Many hospitals and health organizations use different software platforms and documentation structures, making it difficult to combine or compare datasets across institutions.</w:t>
      </w:r>
    </w:p>
    <w:p w14:paraId="10557803" w14:textId="518BE12E" w:rsidR="00DF0BD0"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To improve compatibility, several common data models and standardized coding systems have been introduced. These frameworks aim to organize health information into consistent formats that can support large-scale research and multicenter collaborations. However, important limitations still remain because EHR data are often incomplete, inconsistently coded, or stored in different formats. Variations in terminology and missing clinical details can reduce the reliability of integrated datasets and complicate data analysis. Another major challenge involves the large amount of unstructured information present in EHRs, particularly free-text clinical notes, discharge summaries, and physician observations. Extracting meaningful insights from these records frequently requires advanced computational approaches, including database management systems, natural language processing, and programming tools. These methods can be technically demanding and may require specialized expertise in data science and informatics. In addition, patient information is often scattered across multiple health care systems, such as primary care centers, specialist clinics, pharmacies, and disease registries. Integrating these fragmented records into a single, unified patient history remains difficult but is necessary for achieving accurate clinical research and effective health care management. </w:t>
      </w:r>
    </w:p>
    <w:p w14:paraId="096BB0EE" w14:textId="77777777" w:rsidR="00286C56" w:rsidRPr="009953FA" w:rsidRDefault="00286C56" w:rsidP="00FC105B">
      <w:pPr>
        <w:tabs>
          <w:tab w:val="left" w:pos="4800"/>
        </w:tabs>
        <w:spacing w:line="276" w:lineRule="auto"/>
        <w:jc w:val="both"/>
        <w:rPr>
          <w:rFonts w:ascii="Times New Roman" w:hAnsi="Times New Roman" w:cs="Times New Roman"/>
          <w:bCs/>
          <w:sz w:val="24"/>
          <w:szCs w:val="24"/>
        </w:rPr>
      </w:pPr>
    </w:p>
    <w:p w14:paraId="46A43813"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lastRenderedPageBreak/>
        <w:t>Challenges in EHR Integration and Utilization</w:t>
      </w:r>
    </w:p>
    <w:p w14:paraId="06EF753F" w14:textId="65995048"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Maintaining accurate and standardized information within electronic health record systems remains a major challenge in modern health care. Variations in data entry methods, missing clinical information, and inconsistencies in record management can reduce the dependability of EHR data for both patient care and scientific research. Reliable documentation practices are therefore essential to support effective clinical decisions and meaningful health analysis. Although digital health platforms and patient portals are designed to encourage individuals to participate more actively in their treatment, patient involvement is often limited by several factors. Difficulties related to digital literacy, limited access to technology, and differences in personal interest toward self-management can influence how effectively patients interact with electronic health systems. Financial limitations also continue to hinder wider EHR adoption. Smaller hospitals, independent clinics, and health facilities in resource-constrained regions may struggle with the high costs associated with system installation, staff training, software upgrades, and long-term maintenance. In many cases, shifting from traditional paper-based records to digital systems or changing from one EHR platform to another requires considerable time, technical support, and operational adjustments.</w:t>
      </w:r>
    </w:p>
    <w:p w14:paraId="429C8A0D" w14:textId="461BD5A0"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At the global level, unequal access to digital health infrastructure has created noticeable differences in EHR implementation across countries and health systems. Variations in economic resources, technological development, and governmental health policies contribute to inconsistent adoption and utilization of electronic records worldwide. The growing incorporation of artificial intelligence and advanced data analytics into EHR platforms offers promising opportunities for improving diagnosis, treatment planning, and health research. However, these advancements also introduce concerns regarding data reliability, biased algorithmic outcomes, and the transparency of AI-driven clinical recommendations.</w:t>
      </w:r>
      <w:r w:rsidR="00286C56">
        <w:rPr>
          <w:rFonts w:ascii="Times New Roman" w:hAnsi="Times New Roman" w:cs="Times New Roman"/>
          <w:bCs/>
          <w:sz w:val="24"/>
          <w:szCs w:val="24"/>
        </w:rPr>
        <w:t xml:space="preserve"> [32]</w:t>
      </w:r>
    </w:p>
    <w:p w14:paraId="2E3FC44E" w14:textId="7D679C7F" w:rsidR="00FC105B" w:rsidRPr="009953FA" w:rsidRDefault="00FC105B" w:rsidP="00FC105B">
      <w:pPr>
        <w:tabs>
          <w:tab w:val="left" w:pos="4800"/>
        </w:tabs>
        <w:spacing w:line="276" w:lineRule="auto"/>
        <w:jc w:val="both"/>
        <w:rPr>
          <w:rFonts w:ascii="Times New Roman" w:hAnsi="Times New Roman" w:cs="Times New Roman"/>
          <w:b/>
          <w:sz w:val="24"/>
          <w:szCs w:val="24"/>
        </w:rPr>
      </w:pPr>
      <w:r w:rsidRPr="009953FA">
        <w:rPr>
          <w:rFonts w:ascii="Times New Roman" w:hAnsi="Times New Roman" w:cs="Times New Roman"/>
          <w:b/>
          <w:sz w:val="24"/>
          <w:szCs w:val="24"/>
        </w:rPr>
        <w:t xml:space="preserve">Conclusion: </w:t>
      </w:r>
    </w:p>
    <w:p w14:paraId="6B1ABC1E" w14:textId="1AF92A23" w:rsidR="00FC105B" w:rsidRPr="009953FA" w:rsidRDefault="00FC105B"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Electronic Health Records have become one of the most significant innovations in contemporary healthcare, reshaping the way medical information is collected, managed, and applied in patient care and scientific research. From their early origins in paper-based documentation to the development of advanced digital systems, EHRs have continuously evolved to support more efficient, evidence-based, and patient-centered healthcare practices. Their growing integration with technologies such as artificial intelligence, genomic sequencing, big data analytics, and natural language processing has expanded opportunities for precision medicine, predictive modeling, and real-world clinical research. The COVID-19 pandemic further highlighted the importance of robust digital health infrastructure in disease surveillance, emergency response, and public health management. However, important challenges still remain, including issues related to interoperability, ethical governance, data privacy, cybersecurity, implementation costs, and unequal access to digital healthcare systems across different regions. Addressing these limitations will be essential for maximizing the benefits of EHR-based healthcare and research. Future advancements are expected to focus on stronger interoperability, integration of wearable and telehealth technologies, inclusion of social determinants of health, and secure global data-sharing frameworks. Collectively, these </w:t>
      </w:r>
      <w:r w:rsidRPr="009953FA">
        <w:rPr>
          <w:rFonts w:ascii="Times New Roman" w:hAnsi="Times New Roman" w:cs="Times New Roman"/>
          <w:bCs/>
          <w:sz w:val="24"/>
          <w:szCs w:val="24"/>
        </w:rPr>
        <w:lastRenderedPageBreak/>
        <w:t>developments will contribute to more personalized, efficient, and equitable healthcare systems in the future.</w:t>
      </w:r>
    </w:p>
    <w:p w14:paraId="24C94794" w14:textId="77777777" w:rsidR="00286C56" w:rsidRPr="00286C56" w:rsidRDefault="00286C56" w:rsidP="00286C56">
      <w:pPr>
        <w:tabs>
          <w:tab w:val="left" w:pos="4800"/>
        </w:tabs>
        <w:spacing w:line="276" w:lineRule="auto"/>
        <w:jc w:val="both"/>
        <w:rPr>
          <w:rFonts w:ascii="Times New Roman" w:hAnsi="Times New Roman" w:cs="Times New Roman"/>
          <w:b/>
          <w:bCs/>
          <w:sz w:val="24"/>
          <w:szCs w:val="24"/>
        </w:rPr>
      </w:pPr>
      <w:r w:rsidRPr="00286C56">
        <w:rPr>
          <w:rFonts w:ascii="Times New Roman" w:hAnsi="Times New Roman" w:cs="Times New Roman"/>
          <w:b/>
          <w:bCs/>
          <w:sz w:val="24"/>
          <w:szCs w:val="24"/>
        </w:rPr>
        <w:t>COMPETING INTERESTS DISCLAIMER:</w:t>
      </w:r>
    </w:p>
    <w:p w14:paraId="58CBC8CA" w14:textId="77777777" w:rsidR="00286C56" w:rsidRPr="00286C56" w:rsidRDefault="00286C56" w:rsidP="00286C56">
      <w:pPr>
        <w:tabs>
          <w:tab w:val="left" w:pos="4800"/>
        </w:tabs>
        <w:spacing w:line="276" w:lineRule="auto"/>
        <w:jc w:val="both"/>
        <w:rPr>
          <w:rFonts w:ascii="Times New Roman" w:hAnsi="Times New Roman" w:cs="Times New Roman"/>
          <w:sz w:val="24"/>
          <w:szCs w:val="24"/>
        </w:rPr>
      </w:pPr>
      <w:r w:rsidRPr="00286C5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8656610" w14:textId="77777777" w:rsidR="00286C56" w:rsidRPr="00286C56" w:rsidRDefault="00286C56" w:rsidP="00286C56">
      <w:pPr>
        <w:tabs>
          <w:tab w:val="left" w:pos="4800"/>
        </w:tabs>
        <w:spacing w:line="276" w:lineRule="auto"/>
        <w:jc w:val="both"/>
        <w:rPr>
          <w:rFonts w:ascii="Times New Roman" w:hAnsi="Times New Roman" w:cs="Times New Roman"/>
          <w:b/>
          <w:bCs/>
          <w:sz w:val="24"/>
          <w:szCs w:val="24"/>
        </w:rPr>
      </w:pPr>
      <w:r w:rsidRPr="00286C56">
        <w:rPr>
          <w:rFonts w:ascii="Times New Roman" w:hAnsi="Times New Roman" w:cs="Times New Roman"/>
          <w:b/>
          <w:bCs/>
          <w:sz w:val="24"/>
          <w:szCs w:val="24"/>
        </w:rPr>
        <w:t xml:space="preserve">DECLARATION OF AI: </w:t>
      </w:r>
    </w:p>
    <w:p w14:paraId="650966E7" w14:textId="77777777" w:rsidR="00286C56" w:rsidRPr="00286C56" w:rsidRDefault="00286C56" w:rsidP="00286C56">
      <w:pPr>
        <w:tabs>
          <w:tab w:val="left" w:pos="4800"/>
        </w:tabs>
        <w:spacing w:line="276" w:lineRule="auto"/>
        <w:jc w:val="both"/>
        <w:rPr>
          <w:rFonts w:ascii="Times New Roman" w:hAnsi="Times New Roman" w:cs="Times New Roman"/>
          <w:sz w:val="24"/>
          <w:szCs w:val="24"/>
        </w:rPr>
      </w:pPr>
      <w:r w:rsidRPr="00286C56">
        <w:rPr>
          <w:rFonts w:ascii="Times New Roman" w:hAnsi="Times New Roman" w:cs="Times New Roman"/>
          <w:sz w:val="24"/>
          <w:szCs w:val="24"/>
        </w:rPr>
        <w:t>Author(s) hereby declare that generative AI technologies such as Large Language Models have been used during the writing or editing of the manuscript. This explanation includes the name, version, model, and source of the generative AI technology, as well as the general nature of the input prompts provided.</w:t>
      </w:r>
    </w:p>
    <w:p w14:paraId="34BD85C2" w14:textId="77777777" w:rsidR="00286C56" w:rsidRPr="00286C56" w:rsidRDefault="00286C56" w:rsidP="00286C56">
      <w:pPr>
        <w:tabs>
          <w:tab w:val="left" w:pos="4800"/>
        </w:tabs>
        <w:spacing w:line="276" w:lineRule="auto"/>
        <w:jc w:val="both"/>
        <w:rPr>
          <w:rFonts w:ascii="Times New Roman" w:hAnsi="Times New Roman" w:cs="Times New Roman"/>
          <w:sz w:val="24"/>
          <w:szCs w:val="24"/>
        </w:rPr>
      </w:pPr>
      <w:r w:rsidRPr="00286C56">
        <w:rPr>
          <w:rFonts w:ascii="Times New Roman" w:hAnsi="Times New Roman" w:cs="Times New Roman"/>
          <w:sz w:val="24"/>
          <w:szCs w:val="24"/>
        </w:rPr>
        <w:t>Details of the AI usage are given below:</w:t>
      </w:r>
    </w:p>
    <w:p w14:paraId="65C13525" w14:textId="271CC181" w:rsidR="00286C56" w:rsidRPr="00286C56" w:rsidRDefault="00286C56" w:rsidP="00286C56">
      <w:pPr>
        <w:pStyle w:val="ListParagraph"/>
        <w:numPr>
          <w:ilvl w:val="0"/>
          <w:numId w:val="2"/>
        </w:numPr>
        <w:tabs>
          <w:tab w:val="left" w:pos="4800"/>
        </w:tabs>
        <w:spacing w:line="276" w:lineRule="auto"/>
        <w:jc w:val="both"/>
        <w:rPr>
          <w:rFonts w:ascii="Times New Roman" w:hAnsi="Times New Roman" w:cs="Times New Roman"/>
          <w:sz w:val="24"/>
          <w:szCs w:val="24"/>
        </w:rPr>
      </w:pPr>
      <w:r w:rsidRPr="00286C56">
        <w:rPr>
          <w:rFonts w:ascii="Times New Roman" w:hAnsi="Times New Roman" w:cs="Times New Roman"/>
          <w:sz w:val="24"/>
          <w:szCs w:val="24"/>
        </w:rPr>
        <w:t>ChatGPT (GPT-5.1), developed by OpenAI and accessed through the official ChatGPT platform, was used exclusively for improving English language proficiency during manuscript preparation. The assistance included grammar correction, sentence restructuring, clarity enhancement, and refinement of academic tone. Typical prompts included requests such as: “Improve the English grammar and flow of this paragraph, “Rewrite this sentence in a more academic style,” and “Enhance clarity and coherence without changing the scientific meaning.”</w:t>
      </w:r>
    </w:p>
    <w:p w14:paraId="76FA0CD3" w14:textId="6A185F5D" w:rsidR="008A1733" w:rsidRPr="00286C56" w:rsidRDefault="00286C56" w:rsidP="00286C56">
      <w:pPr>
        <w:pStyle w:val="ListParagraph"/>
        <w:numPr>
          <w:ilvl w:val="0"/>
          <w:numId w:val="2"/>
        </w:numPr>
        <w:tabs>
          <w:tab w:val="left" w:pos="4800"/>
        </w:tabs>
        <w:spacing w:line="276" w:lineRule="auto"/>
        <w:jc w:val="both"/>
        <w:rPr>
          <w:rFonts w:ascii="Times New Roman" w:hAnsi="Times New Roman" w:cs="Times New Roman"/>
          <w:sz w:val="24"/>
          <w:szCs w:val="24"/>
        </w:rPr>
      </w:pPr>
      <w:r w:rsidRPr="00286C56">
        <w:rPr>
          <w:rFonts w:ascii="Times New Roman" w:hAnsi="Times New Roman" w:cs="Times New Roman"/>
          <w:sz w:val="24"/>
          <w:szCs w:val="24"/>
        </w:rPr>
        <w:t>No AI tools were used for data analysis, interpretation of results, creation of scientific content, or generating novel ideas. All scientific content, conclusions, and interpretations are solely the work of the authors.</w:t>
      </w:r>
    </w:p>
    <w:p w14:paraId="6808413A" w14:textId="77777777" w:rsidR="00150E2A" w:rsidRPr="009953FA" w:rsidRDefault="00150E2A" w:rsidP="00FC105B">
      <w:pPr>
        <w:tabs>
          <w:tab w:val="left" w:pos="4800"/>
        </w:tabs>
        <w:spacing w:line="276" w:lineRule="auto"/>
        <w:jc w:val="both"/>
        <w:rPr>
          <w:rFonts w:ascii="Times New Roman" w:hAnsi="Times New Roman" w:cs="Times New Roman"/>
          <w:b/>
          <w:sz w:val="24"/>
          <w:szCs w:val="24"/>
        </w:rPr>
      </w:pPr>
      <w:r w:rsidRPr="009953FA">
        <w:rPr>
          <w:rFonts w:ascii="Times New Roman" w:hAnsi="Times New Roman" w:cs="Times New Roman"/>
          <w:b/>
          <w:sz w:val="24"/>
          <w:szCs w:val="24"/>
        </w:rPr>
        <w:t xml:space="preserve">References: </w:t>
      </w:r>
    </w:p>
    <w:p w14:paraId="56BEB967" w14:textId="36300AC5"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De Clercq, E., Van Casteren, V., Jonckheer, P., Burggraeve, P., Lafontaine, M. F., Degroote, K., et al. (2007). Are problem-oriented medical records (POMR) suitable for use in GPs' daily practice? </w:t>
      </w:r>
      <w:r w:rsidRPr="009953FA">
        <w:rPr>
          <w:rFonts w:ascii="Times New Roman" w:hAnsi="Times New Roman" w:cs="Times New Roman"/>
          <w:i/>
          <w:iCs/>
          <w:sz w:val="24"/>
          <w:szCs w:val="24"/>
        </w:rPr>
        <w:t>Studies in Health Technology and Informatics, 129</w:t>
      </w:r>
      <w:r w:rsidRPr="009953FA">
        <w:rPr>
          <w:rFonts w:ascii="Times New Roman" w:hAnsi="Times New Roman" w:cs="Times New Roman"/>
          <w:sz w:val="24"/>
          <w:szCs w:val="24"/>
        </w:rPr>
        <w:t>(Pt 1), 68–72.</w:t>
      </w:r>
    </w:p>
    <w:p w14:paraId="6DDB9269" w14:textId="78BACE5C"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Carey, I. M., Cook, D. G., De Wilde, S., Bremner, S. A., Richards, N., Caine, S., et al. (2003). Implications of the problem orientated medical record (POMR) for research using electronic GP databases: A comparison of the Doctors Independent Network Database (DIN) and the General Practice Research Database (GPRD). </w:t>
      </w:r>
      <w:r w:rsidRPr="009953FA">
        <w:rPr>
          <w:rFonts w:ascii="Times New Roman" w:hAnsi="Times New Roman" w:cs="Times New Roman"/>
          <w:i/>
          <w:iCs/>
          <w:sz w:val="24"/>
          <w:szCs w:val="24"/>
        </w:rPr>
        <w:t>BMC Family Practice, 4</w:t>
      </w:r>
      <w:r w:rsidRPr="009953FA">
        <w:rPr>
          <w:rFonts w:ascii="Times New Roman" w:hAnsi="Times New Roman" w:cs="Times New Roman"/>
          <w:sz w:val="24"/>
          <w:szCs w:val="24"/>
        </w:rPr>
        <w:t>(1), 14. https://doi.org/10.1186/1471-2296-4-14</w:t>
      </w:r>
    </w:p>
    <w:p w14:paraId="1B8CB8DD" w14:textId="11F091B5"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Donnelly, W. J. (2005). Patient-centered medical care requires a patient-centered medical record. </w:t>
      </w:r>
      <w:r w:rsidRPr="009953FA">
        <w:rPr>
          <w:rFonts w:ascii="Times New Roman" w:hAnsi="Times New Roman" w:cs="Times New Roman"/>
          <w:i/>
          <w:iCs/>
          <w:sz w:val="24"/>
          <w:szCs w:val="24"/>
        </w:rPr>
        <w:t>Academic Medicine, 80</w:t>
      </w:r>
      <w:r w:rsidRPr="009953FA">
        <w:rPr>
          <w:rFonts w:ascii="Times New Roman" w:hAnsi="Times New Roman" w:cs="Times New Roman"/>
          <w:sz w:val="24"/>
          <w:szCs w:val="24"/>
        </w:rPr>
        <w:t>(1), 33–38. https://doi.org/10.1097/00001888-200501000-00009</w:t>
      </w:r>
    </w:p>
    <w:p w14:paraId="009CAD5D" w14:textId="58316289"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McDonald, C. J., Tierney, W. M., Martin, D. K., Overhage, J. M., &amp; Day, Z. (1991). The Regenstrief medical record: 1991 a campus-wide system. </w:t>
      </w:r>
      <w:r w:rsidRPr="009953FA">
        <w:rPr>
          <w:rFonts w:ascii="Times New Roman" w:hAnsi="Times New Roman" w:cs="Times New Roman"/>
          <w:i/>
          <w:iCs/>
          <w:sz w:val="24"/>
          <w:szCs w:val="24"/>
        </w:rPr>
        <w:t>Proceedings of the Annual Symposium on Computer Applications in Medical Care</w:t>
      </w:r>
      <w:r w:rsidRPr="009953FA">
        <w:rPr>
          <w:rFonts w:ascii="Times New Roman" w:hAnsi="Times New Roman" w:cs="Times New Roman"/>
          <w:sz w:val="24"/>
          <w:szCs w:val="24"/>
        </w:rPr>
        <w:t>, 925–928.</w:t>
      </w:r>
    </w:p>
    <w:p w14:paraId="15B3694F" w14:textId="3E1B5FA8"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McDonald, C. J., Overhage, J. M., Tierney, W. M., Dexter, P. R., Martin, D. K., Suico, J. G., et al. (1999). The Regenstrief Medical Record System: A quarter century experience. </w:t>
      </w:r>
      <w:r w:rsidRPr="009953FA">
        <w:rPr>
          <w:rFonts w:ascii="Times New Roman" w:hAnsi="Times New Roman" w:cs="Times New Roman"/>
          <w:i/>
          <w:iCs/>
          <w:sz w:val="24"/>
          <w:szCs w:val="24"/>
        </w:rPr>
        <w:lastRenderedPageBreak/>
        <w:t>International Journal of Medical Informatics, 54</w:t>
      </w:r>
      <w:r w:rsidRPr="009953FA">
        <w:rPr>
          <w:rFonts w:ascii="Times New Roman" w:hAnsi="Times New Roman" w:cs="Times New Roman"/>
          <w:sz w:val="24"/>
          <w:szCs w:val="24"/>
        </w:rPr>
        <w:t>(3), 225–253. https://doi.org/10.1016/S1386-5056(99)00009-X</w:t>
      </w:r>
    </w:p>
    <w:p w14:paraId="1EDBA8BC" w14:textId="556BECEE"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Murray, M. D., Tierney, W. M., &amp; Brater, D. C. (1998). Determining the effectiveness of torasemide and furosemide in heart failure: Design of a randomised comparison using the Regenstrief medical record system. </w:t>
      </w:r>
      <w:r w:rsidRPr="009953FA">
        <w:rPr>
          <w:rFonts w:ascii="Times New Roman" w:hAnsi="Times New Roman" w:cs="Times New Roman"/>
          <w:i/>
          <w:iCs/>
          <w:sz w:val="24"/>
          <w:szCs w:val="24"/>
        </w:rPr>
        <w:t>Clinical Drug Investigation, 16</w:t>
      </w:r>
      <w:r w:rsidRPr="009953FA">
        <w:rPr>
          <w:rFonts w:ascii="Times New Roman" w:hAnsi="Times New Roman" w:cs="Times New Roman"/>
          <w:sz w:val="24"/>
          <w:szCs w:val="24"/>
        </w:rPr>
        <w:t>(1), 45–52. https://doi.org/10.2165/00044011-199816010-00006</w:t>
      </w:r>
    </w:p>
    <w:p w14:paraId="6BE4F9A4" w14:textId="39B706DD"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Burton, M. M., Simonaitis, L., &amp; Schadow, G. (2008). Medication and indication linkage: A practical therapy for the problem list? </w:t>
      </w:r>
      <w:r w:rsidRPr="009953FA">
        <w:rPr>
          <w:rFonts w:ascii="Times New Roman" w:hAnsi="Times New Roman" w:cs="Times New Roman"/>
          <w:i/>
          <w:iCs/>
          <w:sz w:val="24"/>
          <w:szCs w:val="24"/>
        </w:rPr>
        <w:t>AMIA Annual Symposium Proceedings, 2008</w:t>
      </w:r>
      <w:r w:rsidRPr="009953FA">
        <w:rPr>
          <w:rFonts w:ascii="Times New Roman" w:hAnsi="Times New Roman" w:cs="Times New Roman"/>
          <w:sz w:val="24"/>
          <w:szCs w:val="24"/>
        </w:rPr>
        <w:t>, 86–90.</w:t>
      </w:r>
    </w:p>
    <w:p w14:paraId="4A49F9C2" w14:textId="4F324148"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Overhage, J., McDonald, C. J., &amp; Suico, J. G. (2000). The Regenstrief medical record system 2000: Expanding the breadth and depth of a community wide EMR. </w:t>
      </w:r>
      <w:r w:rsidRPr="009953FA">
        <w:rPr>
          <w:rFonts w:ascii="Times New Roman" w:hAnsi="Times New Roman" w:cs="Times New Roman"/>
          <w:i/>
          <w:iCs/>
          <w:sz w:val="24"/>
          <w:szCs w:val="24"/>
        </w:rPr>
        <w:t>Proceedings of the AMIA Symposium</w:t>
      </w:r>
      <w:r w:rsidRPr="009953FA">
        <w:rPr>
          <w:rFonts w:ascii="Times New Roman" w:hAnsi="Times New Roman" w:cs="Times New Roman"/>
          <w:sz w:val="24"/>
          <w:szCs w:val="24"/>
        </w:rPr>
        <w:t>, 1173.</w:t>
      </w:r>
    </w:p>
    <w:p w14:paraId="12FF5C60" w14:textId="65312A3C"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Friedman, C. P., &amp; Dev, P. (1996). Education and informatics: It’s time to join forces. </w:t>
      </w:r>
      <w:r w:rsidRPr="009953FA">
        <w:rPr>
          <w:rFonts w:ascii="Times New Roman" w:hAnsi="Times New Roman" w:cs="Times New Roman"/>
          <w:i/>
          <w:iCs/>
          <w:sz w:val="24"/>
          <w:szCs w:val="24"/>
        </w:rPr>
        <w:t>Journal of the American Medical Informatics Association, 3</w:t>
      </w:r>
      <w:r w:rsidRPr="009953FA">
        <w:rPr>
          <w:rFonts w:ascii="Times New Roman" w:hAnsi="Times New Roman" w:cs="Times New Roman"/>
          <w:sz w:val="24"/>
          <w:szCs w:val="24"/>
        </w:rPr>
        <w:t xml:space="preserve">(2), 184–185. </w:t>
      </w:r>
      <w:hyperlink r:id="rId7" w:tgtFrame="_new" w:history="1">
        <w:r w:rsidRPr="009953FA">
          <w:rPr>
            <w:rStyle w:val="Hyperlink"/>
            <w:rFonts w:ascii="Times New Roman" w:hAnsi="Times New Roman" w:cs="Times New Roman"/>
            <w:sz w:val="24"/>
            <w:szCs w:val="24"/>
          </w:rPr>
          <w:t>https://doi.org/10.1136/jamia.1996.96236286</w:t>
        </w:r>
      </w:hyperlink>
    </w:p>
    <w:p w14:paraId="69877AA2" w14:textId="1955A5BE"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Jensen, P. B., Jensen, L. J., &amp; Brunak, S. (2012). Mining electronic health records: Towards better research applications and clinical care. </w:t>
      </w:r>
      <w:r w:rsidRPr="009953FA">
        <w:rPr>
          <w:rFonts w:ascii="Times New Roman" w:hAnsi="Times New Roman" w:cs="Times New Roman"/>
          <w:i/>
          <w:iCs/>
          <w:sz w:val="24"/>
          <w:szCs w:val="24"/>
        </w:rPr>
        <w:t>Nature Reviews Genetics, 13</w:t>
      </w:r>
      <w:r w:rsidRPr="009953FA">
        <w:rPr>
          <w:rFonts w:ascii="Times New Roman" w:hAnsi="Times New Roman" w:cs="Times New Roman"/>
          <w:sz w:val="24"/>
          <w:szCs w:val="24"/>
        </w:rPr>
        <w:t>(6), 395–405. https://doi.org/10.1038/nrg3208</w:t>
      </w:r>
    </w:p>
    <w:p w14:paraId="0D7875B1" w14:textId="7DF644E2"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Fernández-Breis, J. T., Maldonado, J. A., Marcos, M., Legaz-García, M. C., Moner, D., Torres-Sospedra, J., et al. (2013). Leveraging electronic healthcare record standards and semantic web technologies for the identification of patient cohorts. </w:t>
      </w:r>
      <w:r w:rsidRPr="009953FA">
        <w:rPr>
          <w:rFonts w:ascii="Times New Roman" w:hAnsi="Times New Roman" w:cs="Times New Roman"/>
          <w:i/>
          <w:iCs/>
          <w:sz w:val="24"/>
          <w:szCs w:val="24"/>
        </w:rPr>
        <w:t>Journal of the American Medical Informatics Association, 20</w:t>
      </w:r>
      <w:r w:rsidRPr="009953FA">
        <w:rPr>
          <w:rFonts w:ascii="Times New Roman" w:hAnsi="Times New Roman" w:cs="Times New Roman"/>
          <w:sz w:val="24"/>
          <w:szCs w:val="24"/>
        </w:rPr>
        <w:t>(e2), e288–e296. https://doi.org/10.1136/amiajnl-2013-001923</w:t>
      </w:r>
    </w:p>
    <w:p w14:paraId="6147BCCC" w14:textId="07AABAE7"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Slutsky, J. R., &amp; Clancy, C. M. (2010). Patient-centered comparative effectiveness research: Essential for high-quality care. </w:t>
      </w:r>
      <w:r w:rsidRPr="009953FA">
        <w:rPr>
          <w:rFonts w:ascii="Times New Roman" w:hAnsi="Times New Roman" w:cs="Times New Roman"/>
          <w:i/>
          <w:iCs/>
          <w:sz w:val="24"/>
          <w:szCs w:val="24"/>
        </w:rPr>
        <w:t>Archives of Internal Medicine, 170</w:t>
      </w:r>
      <w:r w:rsidRPr="009953FA">
        <w:rPr>
          <w:rFonts w:ascii="Times New Roman" w:hAnsi="Times New Roman" w:cs="Times New Roman"/>
          <w:sz w:val="24"/>
          <w:szCs w:val="24"/>
        </w:rPr>
        <w:t>(5), 403–404. https://doi.org/10.1001/archinternmed.2010.5</w:t>
      </w:r>
    </w:p>
    <w:p w14:paraId="1822D27A" w14:textId="18708D4F"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Weitzman, E. R., Kaci, L., &amp; Mandl, K. D. (2010). Sharing medical data for health research: The early personal health record experience. </w:t>
      </w:r>
      <w:r w:rsidRPr="009953FA">
        <w:rPr>
          <w:rFonts w:ascii="Times New Roman" w:hAnsi="Times New Roman" w:cs="Times New Roman"/>
          <w:i/>
          <w:iCs/>
          <w:sz w:val="24"/>
          <w:szCs w:val="24"/>
        </w:rPr>
        <w:t>Journal of Medical Internet Research, 12</w:t>
      </w:r>
      <w:r w:rsidRPr="009953FA">
        <w:rPr>
          <w:rFonts w:ascii="Times New Roman" w:hAnsi="Times New Roman" w:cs="Times New Roman"/>
          <w:sz w:val="24"/>
          <w:szCs w:val="24"/>
        </w:rPr>
        <w:t>(2), e14. https://doi.org/10.2196/jmir.1356</w:t>
      </w:r>
    </w:p>
    <w:p w14:paraId="0AF1492C" w14:textId="4AECB2C3"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Office of the National Coordinator for Health Information Technology, Department of Health and Human Services. (2010). Establishment of the temporary certification program for health information technology: Final rule. </w:t>
      </w:r>
      <w:r w:rsidRPr="009953FA">
        <w:rPr>
          <w:rFonts w:ascii="Times New Roman" w:hAnsi="Times New Roman" w:cs="Times New Roman"/>
          <w:i/>
          <w:iCs/>
          <w:sz w:val="24"/>
          <w:szCs w:val="24"/>
        </w:rPr>
        <w:t>Federal Register, 75</w:t>
      </w:r>
      <w:r w:rsidRPr="009953FA">
        <w:rPr>
          <w:rFonts w:ascii="Times New Roman" w:hAnsi="Times New Roman" w:cs="Times New Roman"/>
          <w:sz w:val="24"/>
          <w:szCs w:val="24"/>
        </w:rPr>
        <w:t>(121), 36157–36209.</w:t>
      </w:r>
    </w:p>
    <w:p w14:paraId="6590CEF6" w14:textId="0E135023"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Epstein, R. S., &amp; Teagarden, J. R. (2010). Comparative effectiveness research and personalized medicine: Catalyzing or colliding? </w:t>
      </w:r>
      <w:r w:rsidRPr="009953FA">
        <w:rPr>
          <w:rFonts w:ascii="Times New Roman" w:hAnsi="Times New Roman" w:cs="Times New Roman"/>
          <w:i/>
          <w:iCs/>
          <w:sz w:val="24"/>
          <w:szCs w:val="24"/>
        </w:rPr>
        <w:t>Pharmacoeconomics, 28</w:t>
      </w:r>
      <w:r w:rsidRPr="009953FA">
        <w:rPr>
          <w:rFonts w:ascii="Times New Roman" w:hAnsi="Times New Roman" w:cs="Times New Roman"/>
          <w:sz w:val="24"/>
          <w:szCs w:val="24"/>
        </w:rPr>
        <w:t>(10), 905–913. https://doi.org/10.2165/11535830-000000000-00000</w:t>
      </w:r>
    </w:p>
    <w:p w14:paraId="7F60931F" w14:textId="5978BCED"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Kush, R. D., Helton, E., Rockhold, F. W., &amp; Hardison, C. D. (2008). Electronic health records, medical research, and the tower of babel. </w:t>
      </w:r>
      <w:r w:rsidRPr="009953FA">
        <w:rPr>
          <w:rFonts w:ascii="Times New Roman" w:hAnsi="Times New Roman" w:cs="Times New Roman"/>
          <w:i/>
          <w:iCs/>
          <w:sz w:val="24"/>
          <w:szCs w:val="24"/>
        </w:rPr>
        <w:t>The New England Journal of Medicine, 358</w:t>
      </w:r>
      <w:r w:rsidRPr="009953FA">
        <w:rPr>
          <w:rFonts w:ascii="Times New Roman" w:hAnsi="Times New Roman" w:cs="Times New Roman"/>
          <w:sz w:val="24"/>
          <w:szCs w:val="24"/>
        </w:rPr>
        <w:t>(16), 1738–1740. https://doi.org/10.1056/NEJMsb0800209</w:t>
      </w:r>
    </w:p>
    <w:p w14:paraId="36F911B6" w14:textId="0F1A50E6"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Pearson, J. F., Brownstein, C. A., &amp; Brownstein, J. S. (2011). Potential for electronic health records and online social networking to redefine medical research. </w:t>
      </w:r>
      <w:r w:rsidRPr="009953FA">
        <w:rPr>
          <w:rFonts w:ascii="Times New Roman" w:hAnsi="Times New Roman" w:cs="Times New Roman"/>
          <w:i/>
          <w:iCs/>
          <w:sz w:val="24"/>
          <w:szCs w:val="24"/>
        </w:rPr>
        <w:t>Clinical Chemistry, 57</w:t>
      </w:r>
      <w:r w:rsidRPr="009953FA">
        <w:rPr>
          <w:rFonts w:ascii="Times New Roman" w:hAnsi="Times New Roman" w:cs="Times New Roman"/>
          <w:sz w:val="24"/>
          <w:szCs w:val="24"/>
        </w:rPr>
        <w:t>(2), 196–204. https://doi.org/10.1373/clinchem.2010.148668</w:t>
      </w:r>
    </w:p>
    <w:p w14:paraId="0C2939EE" w14:textId="5B598C93"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Classen, D. C., Pestotnik, S. L., Evans, R. S., Lloyd, J. F., &amp; Burke, J. P. (1997). Adverse drug events in hospitalized patients: Excess length of stay, extra costs, and attributable mortality. </w:t>
      </w:r>
      <w:r w:rsidRPr="009953FA">
        <w:rPr>
          <w:rFonts w:ascii="Times New Roman" w:hAnsi="Times New Roman" w:cs="Times New Roman"/>
          <w:i/>
          <w:iCs/>
          <w:sz w:val="24"/>
          <w:szCs w:val="24"/>
        </w:rPr>
        <w:t>JAMA, 277</w:t>
      </w:r>
      <w:r w:rsidRPr="009953FA">
        <w:rPr>
          <w:rFonts w:ascii="Times New Roman" w:hAnsi="Times New Roman" w:cs="Times New Roman"/>
          <w:sz w:val="24"/>
          <w:szCs w:val="24"/>
        </w:rPr>
        <w:t>(4), 301–306.</w:t>
      </w:r>
    </w:p>
    <w:p w14:paraId="24A00587" w14:textId="394BF8D4"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lastRenderedPageBreak/>
        <w:t xml:space="preserve">Bourgeois, F. T., Mandl, K. D., Valim, C., &amp; Shannon, M. W. (2009). Pediatric adverse drug events in the outpatient setting: An 11-year national analysis. </w:t>
      </w:r>
      <w:r w:rsidRPr="009953FA">
        <w:rPr>
          <w:rFonts w:ascii="Times New Roman" w:hAnsi="Times New Roman" w:cs="Times New Roman"/>
          <w:i/>
          <w:iCs/>
          <w:sz w:val="24"/>
          <w:szCs w:val="24"/>
        </w:rPr>
        <w:t>Pediatrics, 124</w:t>
      </w:r>
      <w:r w:rsidRPr="009953FA">
        <w:rPr>
          <w:rFonts w:ascii="Times New Roman" w:hAnsi="Times New Roman" w:cs="Times New Roman"/>
          <w:sz w:val="24"/>
          <w:szCs w:val="24"/>
        </w:rPr>
        <w:t>(4), e744–e750. https://doi.org/10.1542/peds.2008-3505</w:t>
      </w:r>
    </w:p>
    <w:p w14:paraId="2A00CA03" w14:textId="1D94C570"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Dore, D. D., Seeger, J. D., &amp; Arnold Chan, K. (2009). Use of a claims-based active drug safety surveillance system to assess the risk of acute pancreatitis with exenatide or sitagliptin compared to metformin or glyburide. </w:t>
      </w:r>
      <w:r w:rsidRPr="009953FA">
        <w:rPr>
          <w:rFonts w:ascii="Times New Roman" w:hAnsi="Times New Roman" w:cs="Times New Roman"/>
          <w:i/>
          <w:iCs/>
          <w:sz w:val="24"/>
          <w:szCs w:val="24"/>
        </w:rPr>
        <w:t>Current Medical Research and Opinion, 25</w:t>
      </w:r>
      <w:r w:rsidRPr="009953FA">
        <w:rPr>
          <w:rFonts w:ascii="Times New Roman" w:hAnsi="Times New Roman" w:cs="Times New Roman"/>
          <w:sz w:val="24"/>
          <w:szCs w:val="24"/>
        </w:rPr>
        <w:t>(4), 1019–1027. https://doi.org/10.1185/03007990902820519</w:t>
      </w:r>
    </w:p>
    <w:p w14:paraId="7B5290E1" w14:textId="0044665F"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Brownstein, J. S., Sordo, M., Kohane, I. S., &amp; Mandl, K. D. (2007). The tell-tale heart: Population-based surveillance reveals an association of rofecoxib and celecoxib with myocardial infarction. </w:t>
      </w:r>
      <w:r w:rsidRPr="009953FA">
        <w:rPr>
          <w:rFonts w:ascii="Times New Roman" w:hAnsi="Times New Roman" w:cs="Times New Roman"/>
          <w:i/>
          <w:iCs/>
          <w:sz w:val="24"/>
          <w:szCs w:val="24"/>
        </w:rPr>
        <w:t>PLoS ONE, 2</w:t>
      </w:r>
      <w:r w:rsidRPr="009953FA">
        <w:rPr>
          <w:rFonts w:ascii="Times New Roman" w:hAnsi="Times New Roman" w:cs="Times New Roman"/>
          <w:sz w:val="24"/>
          <w:szCs w:val="24"/>
        </w:rPr>
        <w:t>(9), e840. https://doi.org/10.1371/journal.pone.0000840</w:t>
      </w:r>
    </w:p>
    <w:p w14:paraId="298D05FF" w14:textId="0A490FAE"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Stang, P. E., Ryan, P. B., Racoosin, J. A., Overhage, J. M., Hartzema, A. G., Reich, C., et al. (2010). Advancing the science for active surveillance: Rationale and design for the Observational Medical Outcomes Partnership. </w:t>
      </w:r>
      <w:r w:rsidRPr="009953FA">
        <w:rPr>
          <w:rFonts w:ascii="Times New Roman" w:hAnsi="Times New Roman" w:cs="Times New Roman"/>
          <w:i/>
          <w:iCs/>
          <w:sz w:val="24"/>
          <w:szCs w:val="24"/>
        </w:rPr>
        <w:t>Annals of Internal Medicine, 153</w:t>
      </w:r>
      <w:r w:rsidRPr="009953FA">
        <w:rPr>
          <w:rFonts w:ascii="Times New Roman" w:hAnsi="Times New Roman" w:cs="Times New Roman"/>
          <w:sz w:val="24"/>
          <w:szCs w:val="24"/>
        </w:rPr>
        <w:t>(9), 600–606. https://doi.org/10.7326/0003-4819-153-9-201011020-00010</w:t>
      </w:r>
    </w:p>
    <w:p w14:paraId="222BBDAA" w14:textId="1DC95AA1"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Kuzmak, P. M., &amp; Dayhoff, R. E. (2000). The use of Digital Imaging and Communications in Medicine (DICOM) in the integration of imaging into the electronic patient record at the Department of Veterans Affairs. </w:t>
      </w:r>
      <w:r w:rsidRPr="009953FA">
        <w:rPr>
          <w:rFonts w:ascii="Times New Roman" w:hAnsi="Times New Roman" w:cs="Times New Roman"/>
          <w:i/>
          <w:iCs/>
          <w:sz w:val="24"/>
          <w:szCs w:val="24"/>
        </w:rPr>
        <w:t>Journal of Digital Imaging, 13</w:t>
      </w:r>
      <w:r w:rsidRPr="009953FA">
        <w:rPr>
          <w:rFonts w:ascii="Times New Roman" w:hAnsi="Times New Roman" w:cs="Times New Roman"/>
          <w:sz w:val="24"/>
          <w:szCs w:val="24"/>
        </w:rPr>
        <w:t>(S1), 133–137. https://doi.org/10.1007/BF03167644</w:t>
      </w:r>
    </w:p>
    <w:p w14:paraId="0317D4D0" w14:textId="64005EB0"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Noumeir, R., Lemay, A., &amp; Lina, J. M. (2007). Pseudonymization of radiology data for research purposes. </w:t>
      </w:r>
      <w:r w:rsidRPr="009953FA">
        <w:rPr>
          <w:rFonts w:ascii="Times New Roman" w:hAnsi="Times New Roman" w:cs="Times New Roman"/>
          <w:i/>
          <w:iCs/>
          <w:sz w:val="24"/>
          <w:szCs w:val="24"/>
        </w:rPr>
        <w:t>Journal of Digital Imaging, 20</w:t>
      </w:r>
      <w:r w:rsidRPr="009953FA">
        <w:rPr>
          <w:rFonts w:ascii="Times New Roman" w:hAnsi="Times New Roman" w:cs="Times New Roman"/>
          <w:sz w:val="24"/>
          <w:szCs w:val="24"/>
        </w:rPr>
        <w:t>(3), 284–295. https://doi.org/10.1007/s10278-006-1051-4</w:t>
      </w:r>
    </w:p>
    <w:p w14:paraId="444BEFED" w14:textId="67588A4C"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Nagy, M., Hanzlícek, P., Precková, P., Ríha, A., Dioszegi, M., Seidl, L., et al. (2010). Semantic interoperability in Czech healthcare environment supported by HL7 version 3. </w:t>
      </w:r>
      <w:r w:rsidRPr="009953FA">
        <w:rPr>
          <w:rFonts w:ascii="Times New Roman" w:hAnsi="Times New Roman" w:cs="Times New Roman"/>
          <w:i/>
          <w:iCs/>
          <w:sz w:val="24"/>
          <w:szCs w:val="24"/>
        </w:rPr>
        <w:t>Methods of Information in Medicine, 49</w:t>
      </w:r>
      <w:r w:rsidRPr="009953FA">
        <w:rPr>
          <w:rFonts w:ascii="Times New Roman" w:hAnsi="Times New Roman" w:cs="Times New Roman"/>
          <w:sz w:val="24"/>
          <w:szCs w:val="24"/>
        </w:rPr>
        <w:t xml:space="preserve">(2), 186–195. </w:t>
      </w:r>
      <w:hyperlink r:id="rId8" w:tgtFrame="_new" w:history="1">
        <w:r w:rsidRPr="009953FA">
          <w:rPr>
            <w:rStyle w:val="Hyperlink"/>
            <w:rFonts w:ascii="Times New Roman" w:hAnsi="Times New Roman" w:cs="Times New Roman"/>
            <w:sz w:val="24"/>
            <w:szCs w:val="24"/>
          </w:rPr>
          <w:t>https://doi.org/10.3414/ME09-02-0018</w:t>
        </w:r>
      </w:hyperlink>
    </w:p>
    <w:p w14:paraId="30403210" w14:textId="371FE614"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Soriano, E., Plazzotta, F., Campos, F., Kaminker, D., Cancio, A., Aguilera Díaz, J., et al. (2010). Integration of healthcare information: From enterprise PACS to patient centered multimedia health record. </w:t>
      </w:r>
      <w:r w:rsidRPr="009953FA">
        <w:rPr>
          <w:rFonts w:ascii="Times New Roman" w:hAnsi="Times New Roman" w:cs="Times New Roman"/>
          <w:i/>
          <w:iCs/>
          <w:sz w:val="24"/>
          <w:szCs w:val="24"/>
        </w:rPr>
        <w:t>Studies in Health Technology and Informatics, 160</w:t>
      </w:r>
      <w:r w:rsidRPr="009953FA">
        <w:rPr>
          <w:rFonts w:ascii="Times New Roman" w:hAnsi="Times New Roman" w:cs="Times New Roman"/>
          <w:sz w:val="24"/>
          <w:szCs w:val="24"/>
        </w:rPr>
        <w:t>(Pt 1), 126–130.</w:t>
      </w:r>
    </w:p>
    <w:p w14:paraId="29CD6DED" w14:textId="217B6D05" w:rsidR="00DF0BD0"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Mold, F., de Lusignan, S., Sheikh, A., Majeed, A., Wyatt, J. C., Quinn, T., et al. (2015). Patients’ online access to their electronic health records and linked online services: A systematic review in primary care. </w:t>
      </w:r>
      <w:r w:rsidRPr="009953FA">
        <w:rPr>
          <w:rFonts w:ascii="Times New Roman" w:hAnsi="Times New Roman" w:cs="Times New Roman"/>
          <w:i/>
          <w:iCs/>
          <w:sz w:val="24"/>
          <w:szCs w:val="24"/>
        </w:rPr>
        <w:t>British Journal of General Practice, 65</w:t>
      </w:r>
      <w:r w:rsidRPr="009953FA">
        <w:rPr>
          <w:rFonts w:ascii="Times New Roman" w:hAnsi="Times New Roman" w:cs="Times New Roman"/>
          <w:sz w:val="24"/>
          <w:szCs w:val="24"/>
        </w:rPr>
        <w:t xml:space="preserve">(632), e141–e151. </w:t>
      </w:r>
      <w:hyperlink r:id="rId9" w:history="1">
        <w:r w:rsidR="00286C56" w:rsidRPr="005B720B">
          <w:rPr>
            <w:rStyle w:val="Hyperlink"/>
            <w:rFonts w:ascii="Times New Roman" w:hAnsi="Times New Roman" w:cs="Times New Roman"/>
            <w:sz w:val="24"/>
            <w:szCs w:val="24"/>
          </w:rPr>
          <w:t>https://doi.org/10.3399/bjgp15X683941</w:t>
        </w:r>
      </w:hyperlink>
    </w:p>
    <w:p w14:paraId="7C0B0813" w14:textId="563F01A3" w:rsidR="00286C56" w:rsidRDefault="00286C56"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286C56">
        <w:rPr>
          <w:rFonts w:ascii="Times New Roman" w:hAnsi="Times New Roman" w:cs="Times New Roman"/>
          <w:sz w:val="24"/>
          <w:szCs w:val="24"/>
        </w:rPr>
        <w:t>GUDE S, GUDE YS. The synergy of artificial intelligence and machine learning in revolutionizing pharmaceutical regulatory affairs. Translational and Regulatory Sciences. 2024;6(2):37-45.</w:t>
      </w:r>
    </w:p>
    <w:p w14:paraId="37F8DB8F" w14:textId="2FB33979" w:rsidR="00286C56" w:rsidRDefault="00286C56"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286C56">
        <w:rPr>
          <w:rFonts w:ascii="Times New Roman" w:hAnsi="Times New Roman" w:cs="Times New Roman"/>
          <w:sz w:val="24"/>
          <w:szCs w:val="24"/>
        </w:rPr>
        <w:t>GUDE S, ABBURI SK, GALI PK, GORLAGUNTA S. Advancing single-shot vaccine design through AI and computational models. Translational and Regulatory Sciences. 2025;7(1):8-14.</w:t>
      </w:r>
    </w:p>
    <w:p w14:paraId="1B9AA7F1" w14:textId="21F43FAC" w:rsidR="00286C56" w:rsidRDefault="00286C56"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286C56">
        <w:rPr>
          <w:rFonts w:ascii="Times New Roman" w:hAnsi="Times New Roman" w:cs="Times New Roman"/>
          <w:sz w:val="24"/>
          <w:szCs w:val="24"/>
        </w:rPr>
        <w:t>Bathini UK, Burra V, Vuddanti L, Gude S. Next-Generation Sequencing (NGS) Technologies: Transformative Impact on Genomics and Personalized Medicine. Journal of International Research in Medical and Pharmaceutical Sciences. 2026 Jan 2;21(1):1-25.</w:t>
      </w:r>
    </w:p>
    <w:p w14:paraId="09FD8EE6" w14:textId="42B640AD" w:rsidR="00286C56" w:rsidRDefault="00286C56"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286C56">
        <w:rPr>
          <w:rFonts w:ascii="Times New Roman" w:hAnsi="Times New Roman" w:cs="Times New Roman"/>
          <w:sz w:val="24"/>
          <w:szCs w:val="24"/>
        </w:rPr>
        <w:lastRenderedPageBreak/>
        <w:t>Chatarajupalli D, Gogireddy YR, Gude S. Next-Generation Cancer Models: Integrating 3D Bioprinting and Organ-on-Chip Systems for Precision Oncology. Journal of International Research in Medical and Pharmaceutical Sciences. 2026 Jan 3;21(1):26-45.</w:t>
      </w:r>
    </w:p>
    <w:p w14:paraId="0FBE306D" w14:textId="7BE73AD3" w:rsidR="00286C56" w:rsidRDefault="00286C56"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286C56">
        <w:rPr>
          <w:rFonts w:ascii="Times New Roman" w:hAnsi="Times New Roman" w:cs="Times New Roman"/>
          <w:sz w:val="24"/>
          <w:szCs w:val="24"/>
        </w:rPr>
        <w:t>Dommeti S, Doragolla B, Guttala V, Gude S. Nanotechnology in Cancer Therapy and Immunotherapy: From Targeted Delivery to Cancer Vaccines. Journal of International Research in Medical and Pharmaceutical Sciences. 2026 Mar 25;21(2):11-33.</w:t>
      </w:r>
    </w:p>
    <w:p w14:paraId="0C484D93" w14:textId="77777777" w:rsidR="00286C56" w:rsidRPr="00286C56" w:rsidRDefault="00286C56" w:rsidP="00286C56">
      <w:pPr>
        <w:tabs>
          <w:tab w:val="left" w:pos="4800"/>
        </w:tabs>
        <w:spacing w:line="276" w:lineRule="auto"/>
        <w:jc w:val="both"/>
        <w:rPr>
          <w:rFonts w:ascii="Times New Roman" w:hAnsi="Times New Roman" w:cs="Times New Roman"/>
          <w:sz w:val="24"/>
          <w:szCs w:val="24"/>
        </w:rPr>
      </w:pPr>
    </w:p>
    <w:p w14:paraId="19F29BD1" w14:textId="48B805AE" w:rsidR="00150E2A" w:rsidRPr="00FC105B" w:rsidRDefault="00150E2A" w:rsidP="00FC105B">
      <w:pPr>
        <w:tabs>
          <w:tab w:val="left" w:pos="4800"/>
        </w:tabs>
        <w:spacing w:line="276" w:lineRule="auto"/>
        <w:jc w:val="both"/>
        <w:rPr>
          <w:rFonts w:ascii="Times New Roman" w:hAnsi="Times New Roman" w:cs="Times New Roman"/>
          <w:b/>
          <w:sz w:val="24"/>
          <w:szCs w:val="24"/>
        </w:rPr>
      </w:pPr>
    </w:p>
    <w:sectPr w:rsidR="00150E2A" w:rsidRPr="00FC105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4B28" w14:textId="77777777" w:rsidR="004E0DC0" w:rsidRDefault="004E0DC0" w:rsidP="00295639">
      <w:pPr>
        <w:spacing w:after="0" w:line="240" w:lineRule="auto"/>
      </w:pPr>
      <w:r>
        <w:separator/>
      </w:r>
    </w:p>
  </w:endnote>
  <w:endnote w:type="continuationSeparator" w:id="0">
    <w:p w14:paraId="7C7A959D" w14:textId="77777777" w:rsidR="004E0DC0" w:rsidRDefault="004E0DC0" w:rsidP="0029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829C" w14:textId="77777777" w:rsidR="00295639" w:rsidRDefault="00295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9541" w14:textId="77777777" w:rsidR="00295639" w:rsidRDefault="00295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C2AE" w14:textId="77777777" w:rsidR="00295639" w:rsidRDefault="00295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B603" w14:textId="77777777" w:rsidR="004E0DC0" w:rsidRDefault="004E0DC0" w:rsidP="00295639">
      <w:pPr>
        <w:spacing w:after="0" w:line="240" w:lineRule="auto"/>
      </w:pPr>
      <w:r>
        <w:separator/>
      </w:r>
    </w:p>
  </w:footnote>
  <w:footnote w:type="continuationSeparator" w:id="0">
    <w:p w14:paraId="655A62A8" w14:textId="77777777" w:rsidR="004E0DC0" w:rsidRDefault="004E0DC0" w:rsidP="00295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8FA4" w14:textId="0F534326" w:rsidR="00295639" w:rsidRDefault="00000000">
    <w:pPr>
      <w:pStyle w:val="Header"/>
    </w:pPr>
    <w:r>
      <w:rPr>
        <w:noProof/>
      </w:rPr>
      <w:pict w14:anchorId="4CFFE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70EA" w14:textId="35744C50" w:rsidR="00295639" w:rsidRDefault="00000000">
    <w:pPr>
      <w:pStyle w:val="Header"/>
    </w:pPr>
    <w:r>
      <w:rPr>
        <w:noProof/>
      </w:rPr>
      <w:pict w14:anchorId="6FF5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3F7D" w14:textId="7A8093D7" w:rsidR="00295639" w:rsidRDefault="00000000">
    <w:pPr>
      <w:pStyle w:val="Header"/>
    </w:pPr>
    <w:r>
      <w:rPr>
        <w:noProof/>
      </w:rPr>
      <w:pict w14:anchorId="05431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F79"/>
    <w:multiLevelType w:val="hybridMultilevel"/>
    <w:tmpl w:val="001C99A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6E6C72AB"/>
    <w:multiLevelType w:val="hybridMultilevel"/>
    <w:tmpl w:val="B55AE12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752817089">
    <w:abstractNumId w:val="1"/>
  </w:num>
  <w:num w:numId="2" w16cid:durableId="11476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F6"/>
    <w:rsid w:val="00032709"/>
    <w:rsid w:val="0003467D"/>
    <w:rsid w:val="00062589"/>
    <w:rsid w:val="000817C2"/>
    <w:rsid w:val="001322DD"/>
    <w:rsid w:val="00150E2A"/>
    <w:rsid w:val="00286C56"/>
    <w:rsid w:val="00295639"/>
    <w:rsid w:val="00313917"/>
    <w:rsid w:val="0037355D"/>
    <w:rsid w:val="004030D9"/>
    <w:rsid w:val="0041421C"/>
    <w:rsid w:val="004E0DC0"/>
    <w:rsid w:val="00524AAA"/>
    <w:rsid w:val="00531803"/>
    <w:rsid w:val="00641A49"/>
    <w:rsid w:val="00643548"/>
    <w:rsid w:val="008642A7"/>
    <w:rsid w:val="0088259C"/>
    <w:rsid w:val="008A1733"/>
    <w:rsid w:val="008A503B"/>
    <w:rsid w:val="008C248D"/>
    <w:rsid w:val="00907B0D"/>
    <w:rsid w:val="00942D95"/>
    <w:rsid w:val="009953FA"/>
    <w:rsid w:val="00A522A0"/>
    <w:rsid w:val="00AC6B37"/>
    <w:rsid w:val="00B06741"/>
    <w:rsid w:val="00B51161"/>
    <w:rsid w:val="00BD4957"/>
    <w:rsid w:val="00BE5E46"/>
    <w:rsid w:val="00C53CC0"/>
    <w:rsid w:val="00CC46F6"/>
    <w:rsid w:val="00D03627"/>
    <w:rsid w:val="00DA145F"/>
    <w:rsid w:val="00DF0BD0"/>
    <w:rsid w:val="00EC3470"/>
    <w:rsid w:val="00F27D41"/>
    <w:rsid w:val="00FC105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FD4D1"/>
  <w15:chartTrackingRefBased/>
  <w15:docId w15:val="{6CB8F7DC-9EF0-4C22-A2C1-F2A3B45D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BD0"/>
    <w:rPr>
      <w:color w:val="0563C1" w:themeColor="hyperlink"/>
      <w:u w:val="single"/>
    </w:rPr>
  </w:style>
  <w:style w:type="character" w:styleId="UnresolvedMention">
    <w:name w:val="Unresolved Mention"/>
    <w:basedOn w:val="DefaultParagraphFont"/>
    <w:uiPriority w:val="99"/>
    <w:semiHidden/>
    <w:unhideWhenUsed/>
    <w:rsid w:val="00DF0BD0"/>
    <w:rPr>
      <w:color w:val="605E5C"/>
      <w:shd w:val="clear" w:color="auto" w:fill="E1DFDD"/>
    </w:rPr>
  </w:style>
  <w:style w:type="paragraph" w:styleId="ListParagraph">
    <w:name w:val="List Paragraph"/>
    <w:basedOn w:val="Normal"/>
    <w:uiPriority w:val="34"/>
    <w:qFormat/>
    <w:rsid w:val="00DF0BD0"/>
    <w:pPr>
      <w:ind w:left="720"/>
      <w:contextualSpacing/>
    </w:pPr>
  </w:style>
  <w:style w:type="table" w:styleId="TableGrid">
    <w:name w:val="Table Grid"/>
    <w:basedOn w:val="TableNormal"/>
    <w:uiPriority w:val="39"/>
    <w:rsid w:val="00864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639"/>
  </w:style>
  <w:style w:type="paragraph" w:styleId="Footer">
    <w:name w:val="footer"/>
    <w:basedOn w:val="Normal"/>
    <w:link w:val="FooterChar"/>
    <w:uiPriority w:val="99"/>
    <w:unhideWhenUsed/>
    <w:rsid w:val="00295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639"/>
  </w:style>
  <w:style w:type="paragraph" w:styleId="NoSpacing">
    <w:name w:val="No Spacing"/>
    <w:uiPriority w:val="1"/>
    <w:qFormat/>
    <w:rsid w:val="008A173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14/ME09-02-00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36/jamia.1996.9623628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9/bjgp15X68394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21</Pages>
  <Words>9911</Words>
  <Characters>56496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Seetharam Gude</dc:creator>
  <cp:keywords/>
  <dc:description/>
  <cp:lastModifiedBy>SEETHARAM GUDE</cp:lastModifiedBy>
  <cp:revision>13</cp:revision>
  <dcterms:created xsi:type="dcterms:W3CDTF">2026-05-09T01:55:00Z</dcterms:created>
  <dcterms:modified xsi:type="dcterms:W3CDTF">2026-05-16T16:36:00Z</dcterms:modified>
</cp:coreProperties>
</file>