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205B5" w14:textId="77777777" w:rsidR="00462F1A" w:rsidRDefault="003D423E" w:rsidP="00671373">
      <w:pPr>
        <w:spacing w:before="240" w:after="320" w:line="360" w:lineRule="auto"/>
        <w:jc w:val="center"/>
        <w:rPr>
          <w:b/>
          <w:bCs/>
          <w:sz w:val="28"/>
          <w:szCs w:val="28"/>
        </w:rPr>
      </w:pPr>
      <w:r>
        <w:rPr>
          <w:b/>
          <w:bCs/>
          <w:sz w:val="28"/>
          <w:szCs w:val="28"/>
        </w:rPr>
        <w:t>From Gut to Brain: The Neurohormonal Basis of Appetite Suppression and Gastric Emptying Delay by Semaglutide in Non-Diabetic Obesity</w:t>
      </w:r>
    </w:p>
    <w:p w14:paraId="60449CB0" w14:textId="77777777" w:rsidR="005164F5" w:rsidRDefault="005164F5" w:rsidP="00671373">
      <w:pPr>
        <w:pStyle w:val="Heading1"/>
        <w:spacing w:line="360" w:lineRule="auto"/>
      </w:pPr>
    </w:p>
    <w:p w14:paraId="22F1D11D" w14:textId="22B6F794" w:rsidR="00462F1A" w:rsidRDefault="003D423E" w:rsidP="00671373">
      <w:pPr>
        <w:pStyle w:val="Heading1"/>
        <w:spacing w:line="360" w:lineRule="auto"/>
      </w:pPr>
      <w:r>
        <w:t>Abstract</w:t>
      </w:r>
    </w:p>
    <w:p w14:paraId="31F00FA4" w14:textId="77777777" w:rsidR="00462F1A" w:rsidRDefault="003D423E" w:rsidP="00671373">
      <w:pPr>
        <w:spacing w:before="160" w:line="360" w:lineRule="auto"/>
        <w:jc w:val="both"/>
      </w:pPr>
      <w:r>
        <w:rPr>
          <w:b/>
          <w:bCs/>
        </w:rPr>
        <w:t>Background:</w:t>
      </w:r>
    </w:p>
    <w:p w14:paraId="6E8AC154" w14:textId="77777777" w:rsidR="00671373" w:rsidRPr="00671373" w:rsidRDefault="00671373" w:rsidP="00671373">
      <w:pPr>
        <w:spacing w:before="160" w:line="360" w:lineRule="auto"/>
        <w:jc w:val="both"/>
      </w:pPr>
      <w:r w:rsidRPr="00671373">
        <w:t>Obesity is a chronic disease that is caused by dysregulation of the neurohormonal systems that regulate energy balance. With a weight loss of around 15% in randomized phase 3 trials, Semaglutide is a glucagon-like peptide-1 receptor agonist (GLP-1 RA) with greater weight-loss results than any other approved pharmacotherapy. The efficacy is due to the concurrent activation of hypothalamic appetite pathways, peripheral satiety hormones and enteric motility pathways.</w:t>
      </w:r>
    </w:p>
    <w:p w14:paraId="25643236" w14:textId="20F96F2E" w:rsidR="00462F1A" w:rsidRDefault="003D423E" w:rsidP="00671373">
      <w:pPr>
        <w:spacing w:before="160" w:line="360" w:lineRule="auto"/>
        <w:jc w:val="both"/>
      </w:pPr>
      <w:r>
        <w:rPr>
          <w:b/>
          <w:bCs/>
        </w:rPr>
        <w:t>Methods:</w:t>
      </w:r>
      <w:r w:rsidR="00671373">
        <w:t xml:space="preserve"> </w:t>
      </w:r>
      <w:r w:rsidR="00671373" w:rsidRPr="00671373">
        <w:t>A narrative review of peer-reviewed literature was performed from 2015 to 2026. The following databases were searched: PubMed (MEDLINE), Scopus, and Google Scholar. The evidence was categorized in five mechanistic areas: the pharmacology of GLP-1 receptor, hypothalamic control of appetite and energy expenditure, peripheral satiety hormones, gut-brain axis signaling, and gastric motility. The strength of the evidence is indicated throughout, based on randomized trials, preclinical models, or observational studies.</w:t>
      </w:r>
    </w:p>
    <w:p w14:paraId="53EDF44B" w14:textId="77777777" w:rsidR="00671373" w:rsidRPr="00671373" w:rsidRDefault="00671373" w:rsidP="00671373">
      <w:pPr>
        <w:spacing w:before="160" w:line="360" w:lineRule="auto"/>
        <w:jc w:val="both"/>
        <w:rPr>
          <w:b/>
          <w:bCs/>
        </w:rPr>
      </w:pPr>
      <w:r w:rsidRPr="00671373">
        <w:rPr>
          <w:b/>
          <w:bCs/>
        </w:rPr>
        <w:t>Results:</w:t>
      </w:r>
    </w:p>
    <w:p w14:paraId="6AC1BB9B" w14:textId="77777777" w:rsidR="00671373" w:rsidRDefault="00671373" w:rsidP="00671373">
      <w:pPr>
        <w:spacing w:before="160" w:line="360" w:lineRule="auto"/>
        <w:jc w:val="both"/>
      </w:pPr>
      <w:r>
        <w:t>Semaglutide acts directly in the arcuate nucleus on GLP-1 receptor (GLP-1R) to inhibit orexigenic (for eating) NPY/</w:t>
      </w:r>
      <w:proofErr w:type="spellStart"/>
      <w:r>
        <w:t>AgRP</w:t>
      </w:r>
      <w:proofErr w:type="spellEnd"/>
      <w:r>
        <w:t xml:space="preserve"> neurons and enhance anorexigenic (appetite suppressant) POMC/CART signaling. This central effect is further enhanced by peripheral ghrelin suppression, increased postprandial insulin secretion, and increased vagal afferent satiety signals. Gastric emptying delay (via enteric GLP-1 receptor activation, vagal efferent cholinergic drive, and suppression of motilin) extends postprandial gastric distention, which strengthens the central satiety signal. This gastric effect is most significant when dosed initially for dose titration and then may decrease following chronic dosing.</w:t>
      </w:r>
    </w:p>
    <w:p w14:paraId="25472BC3" w14:textId="77777777" w:rsidR="00671373" w:rsidRDefault="00671373" w:rsidP="00671373">
      <w:pPr>
        <w:spacing w:before="160" w:line="360" w:lineRule="auto"/>
        <w:jc w:val="both"/>
      </w:pPr>
      <w:r w:rsidRPr="00671373">
        <w:rPr>
          <w:b/>
          <w:bCs/>
        </w:rPr>
        <w:t>Conclusion</w:t>
      </w:r>
      <w:r>
        <w:t>:</w:t>
      </w:r>
    </w:p>
    <w:p w14:paraId="1C2AF0E2" w14:textId="36669462" w:rsidR="00671373" w:rsidRDefault="00671373" w:rsidP="00671373">
      <w:pPr>
        <w:spacing w:before="160" w:line="360" w:lineRule="auto"/>
        <w:jc w:val="both"/>
      </w:pPr>
      <w:r>
        <w:lastRenderedPageBreak/>
        <w:t>Semaglutide acts directly in the arcuate nucleus on GLP-1 receptor (GLP-1R) to inhibit orexigenic (for eating) NPY/</w:t>
      </w:r>
      <w:proofErr w:type="spellStart"/>
      <w:r>
        <w:t>AgRP</w:t>
      </w:r>
      <w:proofErr w:type="spellEnd"/>
      <w:r>
        <w:t xml:space="preserve"> neurons and enhance anorexigenic (appetite suppressant) POMC/CART signaling. This central effect is further enhanced by peripheral ghrelin suppression, increased postprandial insulin secretion, and increased vagal afferent satiety signals. Gastric emptying delay (via enteric GLP-1 receptor activation, vagal efferent cholinergic drive, and suppression of motilin) extends postprandial gastric distention, which strengthens the central satiety signal. This gastric effect is most significant when dosed initially for dose titration and then may decrease following chronic dosing.</w:t>
      </w:r>
    </w:p>
    <w:p w14:paraId="79D6AA74" w14:textId="77777777" w:rsidR="00462F1A" w:rsidRDefault="003D423E" w:rsidP="00671373">
      <w:pPr>
        <w:spacing w:after="160" w:line="360" w:lineRule="auto"/>
        <w:jc w:val="both"/>
      </w:pPr>
      <w:r>
        <w:t>Keywords: Semaglutide; GLP-1 receptor agonist; appetite suppression; gastric emptying; arcuate nucleus; gut-brain axis; obesity; NPY/</w:t>
      </w:r>
      <w:proofErr w:type="spellStart"/>
      <w:r>
        <w:t>AgRP</w:t>
      </w:r>
      <w:proofErr w:type="spellEnd"/>
      <w:r>
        <w:t>; POMC</w:t>
      </w:r>
    </w:p>
    <w:p w14:paraId="3B5619DB" w14:textId="77777777" w:rsidR="00462F1A" w:rsidRDefault="00462F1A" w:rsidP="00671373">
      <w:pPr>
        <w:spacing w:line="360" w:lineRule="auto"/>
      </w:pPr>
    </w:p>
    <w:p w14:paraId="712AA7D2" w14:textId="77777777" w:rsidR="00462F1A" w:rsidRDefault="003D423E" w:rsidP="00671373">
      <w:pPr>
        <w:pStyle w:val="Heading1"/>
        <w:spacing w:line="360" w:lineRule="auto"/>
      </w:pPr>
      <w:r>
        <w:t>1. Introduction</w:t>
      </w:r>
    </w:p>
    <w:p w14:paraId="7F3A4946" w14:textId="0F6BB3DA" w:rsidR="00AF098C" w:rsidRDefault="00AF098C" w:rsidP="00671373">
      <w:pPr>
        <w:pStyle w:val="NormalWeb"/>
        <w:spacing w:line="360" w:lineRule="auto"/>
      </w:pPr>
      <w:r>
        <w:t xml:space="preserve">Obesity is one of the most significant chronic diseases of the 21st century, affecting an estimated 890 million adults worldwide and substantially increasing the risk of type 2 diabetes, cardiovascular disease, obstructive sleep </w:t>
      </w:r>
      <w:proofErr w:type="spellStart"/>
      <w:r>
        <w:t>apnoea</w:t>
      </w:r>
      <w:proofErr w:type="spellEnd"/>
      <w:r>
        <w:t>, and all-cause mortality [1]. Although lifestyle modification remains the cornerstone of management, randomized controlled trials consistently show that it produces only modest weight loss, which is often difficult to sustain in individuals with established obesity [2]. This limited long-term efficacy has driven interest in pharmacological therapies that target the underlying neurobiological mechanisms of energy homeostasis rather than relying solely on voluntary caloric restriction.</w:t>
      </w:r>
    </w:p>
    <w:p w14:paraId="00533EFA" w14:textId="77777777" w:rsidR="00462F1A" w:rsidRDefault="003D423E" w:rsidP="00671373">
      <w:pPr>
        <w:spacing w:after="160" w:line="360" w:lineRule="auto"/>
        <w:jc w:val="both"/>
      </w:pPr>
      <w:r>
        <w:t xml:space="preserve">The development of GLP-1 receptor agonists (GLP-1 RAs) for obesity represents an important pharmacological advance. Early agents such as exenatide (half-life approximately 2.4 hours, twice-daily dosing) and once-daily liraglutide achieved clinically useful but modest weight loss of approximately 5-8% [2]. Each successive generation addressed the central pharmacokinetic limitation of rapid DPP-4 degradation of native GLP-1. Semaglutide (Ozempic, 1.0 mg; </w:t>
      </w:r>
      <w:proofErr w:type="spellStart"/>
      <w:r>
        <w:t>Wegovy</w:t>
      </w:r>
      <w:proofErr w:type="spellEnd"/>
      <w:r>
        <w:t xml:space="preserve">, 2.4 mg; Novo Nordisk) represents the most structurally </w:t>
      </w:r>
      <w:proofErr w:type="spellStart"/>
      <w:r>
        <w:t>optimised</w:t>
      </w:r>
      <w:proofErr w:type="spellEnd"/>
      <w:r>
        <w:t xml:space="preserve"> agent in this class to date, engineered for once-weekly subcutaneous dosing through albumin binding, DPP-4 resistance, and modified receptor affinity. In the STEP clinical </w:t>
      </w:r>
      <w:proofErr w:type="spellStart"/>
      <w:r>
        <w:t>programme</w:t>
      </w:r>
      <w:proofErr w:type="spellEnd"/>
      <w:r>
        <w:t xml:space="preserve">, semaglutide 2.4 mg produced mean </w:t>
      </w:r>
      <w:r>
        <w:lastRenderedPageBreak/>
        <w:t>weight loss of 14.9% over 68 weeks in adults with obesity without diabetes, nearly three times the reduction achieved with older agents such as orlistat or phentermine-topiramate in comparable populations [3]. This magnitude of effect raised an obvious mechanistic question: how does activation of a single receptor class produce such a coordinated and comprehensive reduction in energy intake?</w:t>
      </w:r>
    </w:p>
    <w:p w14:paraId="14A3AAD4" w14:textId="77777777" w:rsidR="00462F1A" w:rsidRDefault="003D423E" w:rsidP="00671373">
      <w:pPr>
        <w:spacing w:after="160" w:line="360" w:lineRule="auto"/>
        <w:jc w:val="both"/>
      </w:pPr>
      <w:r>
        <w:t xml:space="preserve">The answer lies not in a single mechanism but in the convergence of at least three semi-independent neurohormonal systems: central hypothalamic appetite circuits, peripheral satiety hormones, and enteric motility control. This review </w:t>
      </w:r>
      <w:proofErr w:type="spellStart"/>
      <w:r>
        <w:t>synthesises</w:t>
      </w:r>
      <w:proofErr w:type="spellEnd"/>
      <w:r>
        <w:t xml:space="preserve"> the mechanistic evidence underpinning each of these systems, traces how semaglutide engages them pharmacologically, and connects these findings to the clinical outcomes observed in </w:t>
      </w:r>
      <w:proofErr w:type="spellStart"/>
      <w:r>
        <w:t>randomised</w:t>
      </w:r>
      <w:proofErr w:type="spellEnd"/>
      <w:r>
        <w:t xml:space="preserve"> trials. The specific objectives of this review are to: (1) describe the receptor pharmacology and structural basis of semaglutide’s prolonged action; (2) </w:t>
      </w:r>
      <w:proofErr w:type="spellStart"/>
      <w:r>
        <w:t>characterise</w:t>
      </w:r>
      <w:proofErr w:type="spellEnd"/>
      <w:r>
        <w:t xml:space="preserve"> GLP-1R-mediated effects on hypothalamic appetite circuits, including homeostatic and reward pathways; (3) examine peripheral satiety hormones modulated by semaglutide, including ghrelin, leptin, and insulin; (4) </w:t>
      </w:r>
      <w:proofErr w:type="spellStart"/>
      <w:r>
        <w:t>analyse</w:t>
      </w:r>
      <w:proofErr w:type="spellEnd"/>
      <w:r>
        <w:t xml:space="preserve"> gut-brain axis </w:t>
      </w:r>
      <w:proofErr w:type="spellStart"/>
      <w:r>
        <w:t>signalling</w:t>
      </w:r>
      <w:proofErr w:type="spellEnd"/>
      <w:r>
        <w:t xml:space="preserve"> pathways through which vagal and brainstem GLP-1R activation contributes to satiety; (5) explain the mechanisms, time-course, and clinical significance of gastric emptying delay; and (6) identify unresolved mechanistic gaps, with emphasis on neurobiological adaptation, population-specific evidence, and microbiome interactions. Gaps in the neurobiological understanding of long-term GLP-1R agonism in non-diabetic obesity are identified throughout and consolidated in the discussion.</w:t>
      </w:r>
    </w:p>
    <w:p w14:paraId="65DD4EB9" w14:textId="77777777" w:rsidR="00462F1A" w:rsidRDefault="00462F1A" w:rsidP="00671373">
      <w:pPr>
        <w:spacing w:line="360" w:lineRule="auto"/>
      </w:pPr>
    </w:p>
    <w:p w14:paraId="7621F0E4" w14:textId="77777777" w:rsidR="00462F1A" w:rsidRDefault="003D423E" w:rsidP="00671373">
      <w:pPr>
        <w:pStyle w:val="Heading1"/>
        <w:spacing w:line="360" w:lineRule="auto"/>
      </w:pPr>
      <w:r>
        <w:t>2. Methods</w:t>
      </w:r>
    </w:p>
    <w:p w14:paraId="0F235D82" w14:textId="77777777" w:rsidR="00462F1A" w:rsidRDefault="003D423E" w:rsidP="00671373">
      <w:pPr>
        <w:pStyle w:val="Heading2"/>
        <w:spacing w:line="360" w:lineRule="auto"/>
      </w:pPr>
      <w:r>
        <w:t>2.1 Study Design and Rationale</w:t>
      </w:r>
    </w:p>
    <w:p w14:paraId="5AC6EF4F" w14:textId="77777777" w:rsidR="00462F1A" w:rsidRDefault="003D423E" w:rsidP="00671373">
      <w:pPr>
        <w:spacing w:after="160" w:line="360" w:lineRule="auto"/>
        <w:jc w:val="both"/>
      </w:pPr>
      <w:r>
        <w:t xml:space="preserve">This review was conducted as a narrative synthesis of mechanistic and clinical evidence. A systematic review design was not selected because the primary objective was to build an integrated explanatory model, mapping how receptor-level pharmacology translates into appetite suppression, altered gastric function, and ultimately weight loss, not to estimate a pooled treatment effect. Heterogeneous study designs (rodent electrophysiology, human scintigraphy, </w:t>
      </w:r>
      <w:proofErr w:type="spellStart"/>
      <w:r>
        <w:t>randomised</w:t>
      </w:r>
      <w:proofErr w:type="spellEnd"/>
      <w:r>
        <w:t xml:space="preserve"> trials, observational studies) are combined here in a manner that tabulation or meta-analysis would </w:t>
      </w:r>
      <w:r>
        <w:lastRenderedPageBreak/>
        <w:t xml:space="preserve">obscure. This approach is consistent with established practice for mechanistic narrative reviews in endocrinology and </w:t>
      </w:r>
      <w:proofErr w:type="spellStart"/>
      <w:r>
        <w:t>neurogastroenterology</w:t>
      </w:r>
      <w:proofErr w:type="spellEnd"/>
      <w:r>
        <w:t>. The boundaries and limitations of this methodology are acknowledged explicitly. Narrative reviews are inherently susceptible to selection bias: the inclusion of studies reflects authorial judgement rather than a pre-registered algorithm, and studies consistent with the review’s integrative thesis may be inadvertently over-represented relative to null or discordant findings. No formal quality appraisal instrument was applied to individual studies, and no systematic search flow diagram was produced. The review was prepared in accordance with the Scale for the Assessment of Narrative Review Articles (SANRA), which provides a quality framework for non-systematic reviews but does not eliminate these methodological constraints. Readers should interpret mechanistic conclusions as the best available synthesis of current evidence, not as findings equivalent to a systematic review or meta-analysis in terms of exhaustiveness or reproducibility.</w:t>
      </w:r>
    </w:p>
    <w:p w14:paraId="1CD7948D" w14:textId="77777777" w:rsidR="00462F1A" w:rsidRDefault="003D423E" w:rsidP="00671373">
      <w:pPr>
        <w:pStyle w:val="Heading2"/>
        <w:spacing w:line="360" w:lineRule="auto"/>
      </w:pPr>
      <w:r>
        <w:t>2.2 Eligibility Criteria</w:t>
      </w:r>
    </w:p>
    <w:p w14:paraId="156A9973" w14:textId="77777777" w:rsidR="00462F1A" w:rsidRDefault="003D423E" w:rsidP="00671373">
      <w:pPr>
        <w:spacing w:after="160" w:line="360" w:lineRule="auto"/>
        <w:jc w:val="both"/>
      </w:pPr>
      <w:r>
        <w:t>Peer-reviewed original research articles, systematic reviews, meta-analyses, and authoritative clinical guidelines published in English between January 2015 and April 2025 were eligible. The ten-year window captures the bulk of the modern mechanistic literature on GLP-1 RA pharmacology while excluding older studies where more recent evidence supersedes them. Studies were included if they examined at least one of five mechanistic domains: (</w:t>
      </w:r>
      <w:proofErr w:type="spellStart"/>
      <w:r>
        <w:t>i</w:t>
      </w:r>
      <w:proofErr w:type="spellEnd"/>
      <w:r>
        <w:t xml:space="preserve">) GLP-1R pharmacology and receptor-level </w:t>
      </w:r>
      <w:proofErr w:type="spellStart"/>
      <w:r>
        <w:t>signalling</w:t>
      </w:r>
      <w:proofErr w:type="spellEnd"/>
      <w:r>
        <w:t xml:space="preserve"> in the CNS or gastrointestinal tract; (ii) hypothalamic appetite regulation, specifically POMC/CART and NPY/</w:t>
      </w:r>
      <w:proofErr w:type="spellStart"/>
      <w:r>
        <w:t>AgRP</w:t>
      </w:r>
      <w:proofErr w:type="spellEnd"/>
      <w:r>
        <w:t xml:space="preserve"> neuronal populations; (iii) peripheral appetite-regulating hormones, including ghrelin, leptin, and insulin; (iv) gut-brain axis </w:t>
      </w:r>
      <w:proofErr w:type="spellStart"/>
      <w:r>
        <w:t>signalling</w:t>
      </w:r>
      <w:proofErr w:type="spellEnd"/>
      <w:r>
        <w:t>, encompassing vagal afferent and efferent pathways; and (v) gastric emptying kinetics and enteric nervous system modulation.</w:t>
      </w:r>
    </w:p>
    <w:p w14:paraId="358D9B68" w14:textId="77777777" w:rsidR="00462F1A" w:rsidRDefault="003D423E" w:rsidP="00671373">
      <w:pPr>
        <w:spacing w:after="160" w:line="360" w:lineRule="auto"/>
        <w:jc w:val="both"/>
      </w:pPr>
      <w:r>
        <w:t xml:space="preserve">Studies were excluded if they reported exclusively on </w:t>
      </w:r>
      <w:proofErr w:type="spellStart"/>
      <w:r>
        <w:t>glycaemic</w:t>
      </w:r>
      <w:proofErr w:type="spellEnd"/>
      <w:r>
        <w:t xml:space="preserve"> control without appetite or motility outcomes, were limited to pharmacokinetic </w:t>
      </w:r>
      <w:proofErr w:type="spellStart"/>
      <w:r>
        <w:t>characterisation</w:t>
      </w:r>
      <w:proofErr w:type="spellEnd"/>
      <w:r>
        <w:t xml:space="preserve"> without receptor-level reporting, or were published in non-English languages. Conference abstracts and editorials without primary data were excluded.</w:t>
      </w:r>
    </w:p>
    <w:p w14:paraId="148FBB54" w14:textId="77777777" w:rsidR="00462F1A" w:rsidRDefault="003D423E" w:rsidP="00671373">
      <w:pPr>
        <w:pStyle w:val="Heading2"/>
        <w:spacing w:line="360" w:lineRule="auto"/>
      </w:pPr>
      <w:r>
        <w:t>2.3 Search Strategy</w:t>
      </w:r>
    </w:p>
    <w:p w14:paraId="6912311F" w14:textId="77777777" w:rsidR="00462F1A" w:rsidRDefault="003D423E" w:rsidP="00671373">
      <w:pPr>
        <w:spacing w:after="160" w:line="360" w:lineRule="auto"/>
        <w:jc w:val="both"/>
      </w:pPr>
      <w:r>
        <w:lastRenderedPageBreak/>
        <w:t xml:space="preserve">A structured search of PubMed (MEDLINE), Scopus, and Google Scholar was conducted between February and April 2025. Search terms were </w:t>
      </w:r>
      <w:proofErr w:type="spellStart"/>
      <w:r>
        <w:t>organised</w:t>
      </w:r>
      <w:proofErr w:type="spellEnd"/>
      <w:r>
        <w:t xml:space="preserve"> into five thematic clusters mirroring the mechanistic domains above, combining </w:t>
      </w:r>
      <w:proofErr w:type="spellStart"/>
      <w:r>
        <w:t>MeSH</w:t>
      </w:r>
      <w:proofErr w:type="spellEnd"/>
      <w:r>
        <w:t xml:space="preserve"> headings with free-text terms. Boolean operators linked terms within and across clusters. Reference lists of included articles were manually screened (citation chaining) to recover relevant studies not captured by database searches.</w:t>
      </w:r>
    </w:p>
    <w:p w14:paraId="79F36785" w14:textId="77777777" w:rsidR="00462F1A" w:rsidRDefault="003D423E" w:rsidP="00671373">
      <w:pPr>
        <w:pStyle w:val="Heading2"/>
        <w:spacing w:line="360" w:lineRule="auto"/>
      </w:pPr>
      <w:r>
        <w:t>2.4 Data Extraction and Synthesis</w:t>
      </w:r>
    </w:p>
    <w:p w14:paraId="09D763CA" w14:textId="77777777" w:rsidR="00462F1A" w:rsidRDefault="003D423E" w:rsidP="00671373">
      <w:pPr>
        <w:spacing w:after="160" w:line="360" w:lineRule="auto"/>
        <w:jc w:val="both"/>
      </w:pPr>
      <w:r>
        <w:t xml:space="preserve">For each included article, the following were extracted: study design, population, intervention or exposure, mechanistic or clinical outcomes, and key findings. Findings were </w:t>
      </w:r>
      <w:proofErr w:type="spellStart"/>
      <w:r>
        <w:t>organised</w:t>
      </w:r>
      <w:proofErr w:type="spellEnd"/>
      <w:r>
        <w:t xml:space="preserve"> thematically and mapped onto an integrated mechanistic framework. Where evidence derived from animal models supplements human data, translational limitations are noted. Conflicting findings are presented with the basis for disagreement. Evidence strength is </w:t>
      </w:r>
      <w:proofErr w:type="spellStart"/>
      <w:r>
        <w:t>characterised</w:t>
      </w:r>
      <w:proofErr w:type="spellEnd"/>
      <w:r>
        <w:t xml:space="preserve"> throughout as </w:t>
      </w:r>
      <w:proofErr w:type="spellStart"/>
      <w:r>
        <w:t>randomised</w:t>
      </w:r>
      <w:proofErr w:type="spellEnd"/>
      <w:r>
        <w:t xml:space="preserve"> trial-level, meta-analytic, observational, or preclinical.</w:t>
      </w:r>
    </w:p>
    <w:p w14:paraId="271BE346" w14:textId="77777777" w:rsidR="00462F1A" w:rsidRDefault="003D423E" w:rsidP="00671373">
      <w:pPr>
        <w:pStyle w:val="Heading2"/>
        <w:spacing w:line="360" w:lineRule="auto"/>
      </w:pPr>
      <w:r>
        <w:t>2.5 Reporting Standards</w:t>
      </w:r>
    </w:p>
    <w:p w14:paraId="73EAB251" w14:textId="77777777" w:rsidR="00462F1A" w:rsidRDefault="003D423E" w:rsidP="00671373">
      <w:pPr>
        <w:spacing w:after="160" w:line="360" w:lineRule="auto"/>
        <w:jc w:val="both"/>
      </w:pPr>
      <w:r>
        <w:t>This review was prepared in accordance with the Scale for the Assessment of Narrative Review Articles (SANRA). Abbreviations are defined at first mention and used consistently thereafter.</w:t>
      </w:r>
    </w:p>
    <w:p w14:paraId="0DC7CEFB" w14:textId="77777777" w:rsidR="00462F1A" w:rsidRDefault="00462F1A" w:rsidP="00671373">
      <w:pPr>
        <w:spacing w:line="360" w:lineRule="auto"/>
      </w:pPr>
    </w:p>
    <w:p w14:paraId="455C28E8" w14:textId="77777777" w:rsidR="00462F1A" w:rsidRDefault="003D423E" w:rsidP="00671373">
      <w:pPr>
        <w:pStyle w:val="Heading1"/>
        <w:spacing w:line="360" w:lineRule="auto"/>
      </w:pPr>
      <w:r>
        <w:t xml:space="preserve">3. Semaglutide: Receptor Pharmacology and </w:t>
      </w:r>
      <w:proofErr w:type="spellStart"/>
      <w:r>
        <w:t>Signalling</w:t>
      </w:r>
      <w:proofErr w:type="spellEnd"/>
      <w:r>
        <w:t xml:space="preserve"> Basis</w:t>
      </w:r>
    </w:p>
    <w:p w14:paraId="7B9A2F2F" w14:textId="77777777" w:rsidR="00462F1A" w:rsidRDefault="003D423E" w:rsidP="00671373">
      <w:pPr>
        <w:spacing w:after="160" w:line="360" w:lineRule="auto"/>
        <w:jc w:val="both"/>
      </w:pPr>
      <w:r>
        <w:t>Native GLP-1 is a 30-amino acid incretin peptide secreted by intestinal L-cells. Its intravenous half-life is approximately 1.5 minutes, as it is rapidly inactivated by dipeptidyl peptidase-4 (DPP-4) cleavage. Semaglutide addresses this pharmacokinetic limitation through three structural modifications: acylation of lysine at position 26 with a C-18 fatty diacid chain, which drives albumin binding and reduces renal clearance; substitution of alanine with alpha-</w:t>
      </w:r>
      <w:proofErr w:type="spellStart"/>
      <w:r>
        <w:t>aminoisobutyric</w:t>
      </w:r>
      <w:proofErr w:type="spellEnd"/>
      <w:r>
        <w:t xml:space="preserve"> acid at position 8, which confers DPP-4 resistance; and substitution of lysine with arginine at position 34, which prevents off-target fatty acid binding. Together, these modifications extend plasma half-life to approximately seven days, underpinning once-weekly dosing [4].</w:t>
      </w:r>
    </w:p>
    <w:p w14:paraId="65111548" w14:textId="77777777" w:rsidR="00462F1A" w:rsidRDefault="003D423E" w:rsidP="00671373">
      <w:pPr>
        <w:spacing w:after="160" w:line="360" w:lineRule="auto"/>
        <w:jc w:val="both"/>
      </w:pPr>
      <w:r>
        <w:t xml:space="preserve">GLP-1Rs are G protein-coupled receptors coupled primarily to </w:t>
      </w:r>
      <w:proofErr w:type="spellStart"/>
      <w:r>
        <w:t>Gs</w:t>
      </w:r>
      <w:proofErr w:type="spellEnd"/>
      <w:r>
        <w:t xml:space="preserve"> proteins. Upon ligand binding, adenylyl cyclase is activated, intracellular cyclic AMP (cAMP) rises, and protein kinase A (PKA) </w:t>
      </w:r>
      <w:r>
        <w:lastRenderedPageBreak/>
        <w:t>and exchange proteins activated by cAMP (EPAC) are recruited [5, 6]. In hypothalamic neurons, this cascade modulates ion channel conductance and synaptic transmission. In enteric neurons and gastric smooth muscle, it alters contractile activity. The same receptor mediates qualitatively different functional outcomes depending on the cell type expressing it, a point of mechanistic significance because semaglutide, unlike endogenous GLP-1, achieves sustained plasma concentrations sufficient to engage GLP-1Rs in the brain directly, not only through vagal relay.</w:t>
      </w:r>
    </w:p>
    <w:p w14:paraId="770F73E4" w14:textId="77777777" w:rsidR="00120AAE" w:rsidRDefault="003D423E" w:rsidP="00671373">
      <w:pPr>
        <w:pStyle w:val="NormalWeb"/>
        <w:spacing w:line="360" w:lineRule="auto"/>
      </w:pPr>
      <w:r>
        <w:t xml:space="preserve">GLP-1Rs are expressed in the pancreatic beta cell, hypothalamic nuclei, brainstem, nodose ganglion, gastric antrum, and cardiovascular system [5]. In non-diabetic individuals with obesity, the clinically relevant pharmacodynamic targets for weight loss are the central nervous system and gastrointestinal tract. This anatomical distribution enables semaglutide to engage both appetite circuits and gastric motility simultaneously. Semaglutide’s pharmacological effects are shaped by the anatomical distribution of GLP-1 receptors across central, peripheral, and gastrointestinal tissues. Figure 1 illustrates how these sites interact to produce coordinated appetite suppression, enhanced satiety </w:t>
      </w:r>
      <w:proofErr w:type="spellStart"/>
      <w:r>
        <w:t>signalling</w:t>
      </w:r>
      <w:proofErr w:type="spellEnd"/>
      <w:r>
        <w:t>, and delayed gastric emptying.</w:t>
      </w:r>
    </w:p>
    <w:p w14:paraId="5B6A6B0F" w14:textId="26DDD63C" w:rsidR="00462F1A" w:rsidRDefault="00462F1A" w:rsidP="00671373">
      <w:pPr>
        <w:spacing w:after="160" w:line="360" w:lineRule="auto"/>
        <w:jc w:val="both"/>
      </w:pPr>
    </w:p>
    <w:p w14:paraId="68EB8828" w14:textId="61D9BFBB" w:rsidR="002D6D46" w:rsidRDefault="00D62974" w:rsidP="00671373">
      <w:pPr>
        <w:spacing w:after="160" w:line="360" w:lineRule="auto"/>
        <w:jc w:val="both"/>
      </w:pPr>
      <w:r>
        <w:t>Fig 1: Anatomical Distribution and Integrated M</w:t>
      </w:r>
      <w:r w:rsidR="00F455CC">
        <w:t>e</w:t>
      </w:r>
      <w:r>
        <w:t xml:space="preserve">chanisms of Semaglutide Action </w:t>
      </w:r>
    </w:p>
    <w:p w14:paraId="7E2A76B3" w14:textId="53C71C97" w:rsidR="002D6D46" w:rsidRDefault="002D6D46" w:rsidP="00671373">
      <w:pPr>
        <w:spacing w:after="160" w:line="360" w:lineRule="auto"/>
        <w:jc w:val="both"/>
      </w:pPr>
      <w:r>
        <w:rPr>
          <w:noProof/>
        </w:rPr>
        <w:lastRenderedPageBreak/>
        <w:drawing>
          <wp:anchor distT="0" distB="0" distL="114300" distR="114300" simplePos="0" relativeHeight="251658240" behindDoc="1" locked="0" layoutInCell="1" allowOverlap="1" wp14:anchorId="18A0BE4D" wp14:editId="6F18C2D4">
            <wp:simplePos x="0" y="0"/>
            <wp:positionH relativeFrom="column">
              <wp:posOffset>0</wp:posOffset>
            </wp:positionH>
            <wp:positionV relativeFrom="paragraph">
              <wp:posOffset>248920</wp:posOffset>
            </wp:positionV>
            <wp:extent cx="6661785" cy="450342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t="5247"/>
                    <a:stretch>
                      <a:fillRect/>
                    </a:stretch>
                  </pic:blipFill>
                  <pic:spPr bwMode="auto">
                    <a:xfrm>
                      <a:off x="0" y="0"/>
                      <a:ext cx="6661785" cy="45034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99FA9D" w14:textId="77777777" w:rsidR="00462F1A" w:rsidRDefault="00462F1A" w:rsidP="00671373">
      <w:pPr>
        <w:spacing w:line="360" w:lineRule="auto"/>
      </w:pPr>
    </w:p>
    <w:p w14:paraId="5A301C8B" w14:textId="77777777" w:rsidR="00462F1A" w:rsidRDefault="003D423E" w:rsidP="00671373">
      <w:pPr>
        <w:pStyle w:val="Heading1"/>
        <w:spacing w:line="360" w:lineRule="auto"/>
      </w:pPr>
      <w:r>
        <w:t>4. Hypothalamic Appetite Circuits: Central Targets of GLP-1R Agonism</w:t>
      </w:r>
    </w:p>
    <w:p w14:paraId="02C3F397" w14:textId="77777777" w:rsidR="00462F1A" w:rsidRDefault="003D423E" w:rsidP="00671373">
      <w:pPr>
        <w:pStyle w:val="Heading2"/>
        <w:spacing w:line="360" w:lineRule="auto"/>
      </w:pPr>
      <w:r>
        <w:t>4.1 The Arcuate Nucleus and Melanocortin Axis</w:t>
      </w:r>
    </w:p>
    <w:p w14:paraId="32649B55" w14:textId="77777777" w:rsidR="00462F1A" w:rsidRDefault="003D423E" w:rsidP="00671373">
      <w:pPr>
        <w:spacing w:after="160" w:line="360" w:lineRule="auto"/>
        <w:jc w:val="both"/>
      </w:pPr>
      <w:r>
        <w:t xml:space="preserve">The arcuate nucleus (ARC) of the hypothalamus functions as the primary energy-sensing hub, integrating peripheral metabolic signals and translating them into feeding </w:t>
      </w:r>
      <w:proofErr w:type="spellStart"/>
      <w:r>
        <w:t>behaviour</w:t>
      </w:r>
      <w:proofErr w:type="spellEnd"/>
      <w:r>
        <w:t>. Within the ARC, two functionally antagonistic neuronal populations determine the balance between hunger and satiety [7]. Pro-opiomelanocortin and cocaine-and-amphetamine-regulated transcript (POMC/CART) neurons are anorexigenic: when activated, they release alpha-melanocyte-stimulating hormone (alpha-MSH), which binds melanocortin-3 and melanocortin-4 receptors (MC3R/MC4R) in the paraventricular nucleus (PVN), reducing food intake and increasing energy expenditure [8]. Neuropeptide Y and agouti-related peptide (NPY/</w:t>
      </w:r>
      <w:proofErr w:type="spellStart"/>
      <w:r>
        <w:t>AgRP</w:t>
      </w:r>
      <w:proofErr w:type="spellEnd"/>
      <w:r>
        <w:t xml:space="preserve">) neurons are orexigenic: </w:t>
      </w:r>
      <w:r>
        <w:lastRenderedPageBreak/>
        <w:t xml:space="preserve">their activation stimulates NPY receptors and </w:t>
      </w:r>
      <w:proofErr w:type="spellStart"/>
      <w:r>
        <w:t>antagonises</w:t>
      </w:r>
      <w:proofErr w:type="spellEnd"/>
      <w:r>
        <w:t xml:space="preserve"> MC3R/MC4R, driving food-seeking </w:t>
      </w:r>
      <w:proofErr w:type="spellStart"/>
      <w:r>
        <w:t>behaviour</w:t>
      </w:r>
      <w:proofErr w:type="spellEnd"/>
      <w:r>
        <w:t>.</w:t>
      </w:r>
    </w:p>
    <w:p w14:paraId="58A7DD8D" w14:textId="77777777" w:rsidR="00462F1A" w:rsidRDefault="003D423E" w:rsidP="00671373">
      <w:pPr>
        <w:spacing w:after="160" w:line="360" w:lineRule="auto"/>
        <w:jc w:val="both"/>
      </w:pPr>
      <w:r>
        <w:t xml:space="preserve">Preclinical studies demonstrate that GLP-1Rs are expressed on both neuronal populations in the ARC, with functional consequences. Rodent studies using targeted receptor approaches show that GLP-1R </w:t>
      </w:r>
      <w:proofErr w:type="spellStart"/>
      <w:r>
        <w:t>signalling</w:t>
      </w:r>
      <w:proofErr w:type="spellEnd"/>
      <w:r>
        <w:t xml:space="preserve"> in the ARC is necessary for the full anorectic effect of systemic GLP-1 RA administration, with semaglutide suppressing NPY/</w:t>
      </w:r>
      <w:proofErr w:type="spellStart"/>
      <w:r>
        <w:t>AgRP</w:t>
      </w:r>
      <w:proofErr w:type="spellEnd"/>
      <w:r>
        <w:t xml:space="preserve"> neuronal activity and potentiating POMC/CART firing across distributed neural pathways [9]. The net effect is a shift in the melanocortin axis toward sustained anorexigenic tone, not a transient postprandial signal but a maintained neurobiological state that reduces the drive to eat between meals.</w:t>
      </w:r>
    </w:p>
    <w:p w14:paraId="3AEB5A9E" w14:textId="77777777" w:rsidR="00462F1A" w:rsidRDefault="003D423E" w:rsidP="00671373">
      <w:pPr>
        <w:spacing w:after="160" w:line="360" w:lineRule="auto"/>
        <w:jc w:val="both"/>
      </w:pPr>
      <w:r>
        <w:t>This central mechanism distinguishes semaglutide from earlier pharmacotherapies. Phentermine drives catecholaminergic suppression of appetite through monoaminergic pathways largely separate from the melanocortin axis. Semaglutide engages the endogenous energy-sensing circuitry, mimicking and amplifying the physiological response to nutrient ingestion. It is important to note, however, that the evidence for direct GLP-1R activation on ARC neuronal populations derives predominantly from rodent studies, and the degree to which this mechanism operates identically in humans remains incompletely established. Some investigators have argued that the primary central route of action is indirect, via GLP-1R activation in the brainstem (area postrema and NTS), which then projects to the hypothalamus, rather than direct action on ARC neurons. This mechanistic debate has not been resolved in humans, and both pathways likely contribute to the overall appetite-suppressing effect, with their relative importance varying across individuals and contexts.</w:t>
      </w:r>
    </w:p>
    <w:p w14:paraId="7200248E" w14:textId="77777777" w:rsidR="00462F1A" w:rsidRDefault="003D423E" w:rsidP="00671373">
      <w:pPr>
        <w:pStyle w:val="Heading2"/>
        <w:spacing w:line="360" w:lineRule="auto"/>
      </w:pPr>
      <w:r>
        <w:t>4.2 Reward Circuitry and Hedonic Feeding</w:t>
      </w:r>
    </w:p>
    <w:p w14:paraId="0A874E88" w14:textId="77777777" w:rsidR="00462F1A" w:rsidRDefault="003D423E" w:rsidP="00671373">
      <w:pPr>
        <w:spacing w:after="160" w:line="360" w:lineRule="auto"/>
        <w:jc w:val="both"/>
      </w:pPr>
      <w:r>
        <w:t xml:space="preserve">Appetite regulation extends beyond hypothalamic homeostatic circuits. Hedonic feeding (eating driven by reward rather than caloric need) involves dopaminergic </w:t>
      </w:r>
      <w:proofErr w:type="spellStart"/>
      <w:r>
        <w:t>signalling</w:t>
      </w:r>
      <w:proofErr w:type="spellEnd"/>
      <w:r>
        <w:t xml:space="preserve"> in the mesolimbic system. This represents a secondary, modulatory mechanism rather than a primary driver of semaglutide’s weight-loss effect; the homeostatic hypothalamic pathway described in Section 4.1 is considered the dominant central mechanism. A </w:t>
      </w:r>
      <w:proofErr w:type="spellStart"/>
      <w:r>
        <w:t>randomised</w:t>
      </w:r>
      <w:proofErr w:type="spellEnd"/>
      <w:r>
        <w:t xml:space="preserve"> crossover trial in humans demonstrated that semaglutide reduced appetite, energy intake, and food cravings, including for high-fat foods, compared with placebo, consistent with attenuation of the motivational salience of </w:t>
      </w:r>
      <w:r>
        <w:lastRenderedPageBreak/>
        <w:t xml:space="preserve">palatable food [10]. This suggests semaglutide may be particularly effective in individuals whose obesity is driven by reward-based overconsumption, though prospective evidence stratifying response by eating phenotype remains limited. It should also be noted that the precise neural substrate mediating this reward-pathway effect has not been fully </w:t>
      </w:r>
      <w:proofErr w:type="spellStart"/>
      <w:r>
        <w:t>characterised</w:t>
      </w:r>
      <w:proofErr w:type="spellEnd"/>
      <w:r>
        <w:t xml:space="preserve"> in humans; whether GLP-1Rs act directly on mesolimbic dopamine neurons or indirectly through hypothalamic-limbic projections is not yet resolved.</w:t>
      </w:r>
    </w:p>
    <w:p w14:paraId="03DC5D19" w14:textId="77777777" w:rsidR="00462F1A" w:rsidRDefault="00462F1A" w:rsidP="00671373">
      <w:pPr>
        <w:spacing w:line="360" w:lineRule="auto"/>
      </w:pPr>
    </w:p>
    <w:p w14:paraId="37EC4992" w14:textId="77777777" w:rsidR="00462F1A" w:rsidRDefault="003D423E" w:rsidP="00671373">
      <w:pPr>
        <w:pStyle w:val="Heading1"/>
        <w:spacing w:line="360" w:lineRule="auto"/>
      </w:pPr>
      <w:r>
        <w:t>5. Peripheral Satiety Hormones: Ghrelin, Leptin, and Insulin</w:t>
      </w:r>
    </w:p>
    <w:p w14:paraId="7ECF366F" w14:textId="77777777" w:rsidR="00462F1A" w:rsidRDefault="003D423E" w:rsidP="00671373">
      <w:pPr>
        <w:pStyle w:val="Heading2"/>
        <w:spacing w:line="360" w:lineRule="auto"/>
      </w:pPr>
      <w:r>
        <w:t>5.1 Ghrelin Suppression</w:t>
      </w:r>
    </w:p>
    <w:p w14:paraId="6E683CB4" w14:textId="77777777" w:rsidR="00462F1A" w:rsidRDefault="003D423E" w:rsidP="00671373">
      <w:pPr>
        <w:spacing w:after="160" w:line="360" w:lineRule="auto"/>
        <w:jc w:val="both"/>
      </w:pPr>
      <w:r>
        <w:t>Ghrelin is the only identified peripheral orexigenic hormone. Secreted primarily by gastric oxyntic cells, it acts on growth hormone secretagogue receptors (GHSR) in the hypothalamus to stimulate NPY/</w:t>
      </w:r>
      <w:proofErr w:type="spellStart"/>
      <w:r>
        <w:t>AgRP</w:t>
      </w:r>
      <w:proofErr w:type="spellEnd"/>
      <w:r>
        <w:t xml:space="preserve"> neurons and drive pre-meal hunger [11]. In obesity, fasting ghrelin concentrations are typically lower than in lean individuals but postprandial suppression is blunted. Semaglutide treatment is associated with reductions in fasting ghrelin concentrations and improved postprandial suppression, with a </w:t>
      </w:r>
      <w:proofErr w:type="spellStart"/>
      <w:r>
        <w:t>randomised</w:t>
      </w:r>
      <w:proofErr w:type="spellEnd"/>
      <w:r>
        <w:t xml:space="preserve"> trial in obese adults confirming reduced hunger, prospective food consumption, and food cravings compared with placebo [12]. A systematic review of semaglutide's appetite and gastric emptying effects in non-diabetic obese adults confirmed coordinated suppression of ghrelin as a component of its appetite-regulating mechanism [13].</w:t>
      </w:r>
    </w:p>
    <w:p w14:paraId="2FEDB350" w14:textId="77777777" w:rsidR="00462F1A" w:rsidRDefault="003D423E" w:rsidP="00671373">
      <w:pPr>
        <w:pStyle w:val="Heading2"/>
        <w:spacing w:line="360" w:lineRule="auto"/>
      </w:pPr>
      <w:r>
        <w:t>5.2 Leptin and the Resistance Problem</w:t>
      </w:r>
    </w:p>
    <w:p w14:paraId="4D04C985" w14:textId="77777777" w:rsidR="00462F1A" w:rsidRDefault="003D423E" w:rsidP="00671373">
      <w:pPr>
        <w:spacing w:after="160" w:line="360" w:lineRule="auto"/>
        <w:jc w:val="both"/>
      </w:pPr>
      <w:r>
        <w:t>Leptin is an adipocyte-derived hormone that communicates long-term energy stores to the hypothalamus, inhibiting NPY/</w:t>
      </w:r>
      <w:proofErr w:type="spellStart"/>
      <w:r>
        <w:t>AgRP</w:t>
      </w:r>
      <w:proofErr w:type="spellEnd"/>
      <w:r>
        <w:t xml:space="preserve"> neurons and activating POMC/CART neurons proportionally to fat mass. In obesity, despite markedly elevated circulating leptin concentrations, hypothalamic leptin receptor </w:t>
      </w:r>
      <w:proofErr w:type="spellStart"/>
      <w:r>
        <w:t>signalling</w:t>
      </w:r>
      <w:proofErr w:type="spellEnd"/>
      <w:r>
        <w:t xml:space="preserve"> is impaired, a phenomenon termed leptin resistance, </w:t>
      </w:r>
      <w:proofErr w:type="spellStart"/>
      <w:r>
        <w:t>characterised</w:t>
      </w:r>
      <w:proofErr w:type="spellEnd"/>
      <w:r>
        <w:t xml:space="preserve"> by reduced STAT3 phosphorylation and upregulation of suppressor of cytokine signalling-3 (SOCS3) [14, 35]. This resistance renders the physiological leptin satiety signal ineffective, perpetuating hyperphagia.</w:t>
      </w:r>
    </w:p>
    <w:p w14:paraId="4BB3DBC4" w14:textId="77777777" w:rsidR="00462F1A" w:rsidRDefault="003D423E" w:rsidP="00671373">
      <w:pPr>
        <w:spacing w:after="160" w:line="360" w:lineRule="auto"/>
        <w:jc w:val="both"/>
      </w:pPr>
      <w:r>
        <w:t xml:space="preserve">Semaglutide does not directly restore leptin receptor sensitivity. A prospective study in non-diabetic obese women found that although body fat mass and leptin concentrations fell with </w:t>
      </w:r>
      <w:r>
        <w:lastRenderedPageBreak/>
        <w:t xml:space="preserve">semaglutide treatment, no improvement in leptin receptor </w:t>
      </w:r>
      <w:proofErr w:type="spellStart"/>
      <w:r>
        <w:t>signalling</w:t>
      </w:r>
      <w:proofErr w:type="spellEnd"/>
      <w:r>
        <w:t xml:space="preserve"> was observed at the hypothalamic level [15]. However, weight loss itself may partially reverse leptin resistance over time through reductions in endoplasmic reticulum stress and inflammatory cytokine </w:t>
      </w:r>
      <w:proofErr w:type="spellStart"/>
      <w:r>
        <w:t>signalling</w:t>
      </w:r>
      <w:proofErr w:type="spellEnd"/>
      <w:r>
        <w:t xml:space="preserve"> in the hypothalamus. There is a degree of conflict in this evidence base: some animal studies suggest that GLP-1R agonism may modestly attenuate SOCS3 upregulation, which is a key driver of leptin receptor resistance, but human data do not yet confirm this. The contribution of leptin-pathway changes to semaglutide’s clinical efficacy is therefore currently uncertain and should be regarded as an indirect or secondary mechanism rather than a primary driver of weight loss.</w:t>
      </w:r>
    </w:p>
    <w:p w14:paraId="4E02CFFC" w14:textId="77777777" w:rsidR="00462F1A" w:rsidRDefault="003D423E" w:rsidP="00671373">
      <w:pPr>
        <w:pStyle w:val="Heading2"/>
        <w:spacing w:line="360" w:lineRule="auto"/>
      </w:pPr>
      <w:r>
        <w:t xml:space="preserve">5.3 Postprandial Insulin </w:t>
      </w:r>
      <w:proofErr w:type="spellStart"/>
      <w:r>
        <w:t>Signalling</w:t>
      </w:r>
      <w:proofErr w:type="spellEnd"/>
    </w:p>
    <w:p w14:paraId="5CF1D1F5" w14:textId="77777777" w:rsidR="00462F1A" w:rsidRDefault="003D423E" w:rsidP="00671373">
      <w:pPr>
        <w:spacing w:after="160" w:line="360" w:lineRule="auto"/>
        <w:jc w:val="both"/>
      </w:pPr>
      <w:r>
        <w:t xml:space="preserve">In non-diabetic individuals, semaglutide augments glucose-dependent insulin secretion from pancreatic beta cells without meaningfully altering fasting insulin levels [16]. The resulting postprandial </w:t>
      </w:r>
      <w:proofErr w:type="spellStart"/>
      <w:r>
        <w:t>hyperinsulinaemia</w:t>
      </w:r>
      <w:proofErr w:type="spellEnd"/>
      <w:r>
        <w:t xml:space="preserve"> contributes to satiety through hypothalamic insulin receptor activation. </w:t>
      </w:r>
      <w:proofErr w:type="spellStart"/>
      <w:r>
        <w:t>Randomised</w:t>
      </w:r>
      <w:proofErr w:type="spellEnd"/>
      <w:r>
        <w:t xml:space="preserve"> studies in obese adults indicate that insulin suppresses NPY/</w:t>
      </w:r>
      <w:proofErr w:type="spellStart"/>
      <w:r>
        <w:t>AgRP</w:t>
      </w:r>
      <w:proofErr w:type="spellEnd"/>
      <w:r>
        <w:t xml:space="preserve"> neuronal activity and upregulates POMC expression, acting as an anorexigenic signal in the fed state, with brain insulin resistance contributing to hyperphagia in obesity [17]. By amplifying the postprandial insulin response, semaglutide reinforces the central satiety signal at a time when caloric intake is most relevant to energy balance.</w:t>
      </w:r>
    </w:p>
    <w:p w14:paraId="441094EC" w14:textId="77777777" w:rsidR="00462F1A" w:rsidRDefault="00462F1A" w:rsidP="00671373">
      <w:pPr>
        <w:spacing w:line="360" w:lineRule="auto"/>
      </w:pPr>
    </w:p>
    <w:p w14:paraId="4B2DF14F" w14:textId="77777777" w:rsidR="00462F1A" w:rsidRDefault="003D423E" w:rsidP="00671373">
      <w:pPr>
        <w:pStyle w:val="Heading1"/>
        <w:spacing w:line="360" w:lineRule="auto"/>
      </w:pPr>
      <w:r>
        <w:t xml:space="preserve">6. The Gut-Brain Axis: Vagal </w:t>
      </w:r>
      <w:proofErr w:type="spellStart"/>
      <w:r>
        <w:t>Signalling</w:t>
      </w:r>
      <w:proofErr w:type="spellEnd"/>
      <w:r>
        <w:t xml:space="preserve"> and Brainstem Integration</w:t>
      </w:r>
    </w:p>
    <w:p w14:paraId="3C8F39CB" w14:textId="77777777" w:rsidR="00462F1A" w:rsidRDefault="003D423E" w:rsidP="00671373">
      <w:pPr>
        <w:spacing w:after="160" w:line="360" w:lineRule="auto"/>
        <w:jc w:val="both"/>
      </w:pPr>
      <w:r>
        <w:t xml:space="preserve">The gut-brain axis is a bidirectional, multimodal communication system linking enteroendocrine, immune, and neural signals from the gastrointestinal tract to the CNS. Its core neural substrate is the </w:t>
      </w:r>
      <w:proofErr w:type="spellStart"/>
      <w:r>
        <w:t>vagus</w:t>
      </w:r>
      <w:proofErr w:type="spellEnd"/>
      <w:r>
        <w:t xml:space="preserve"> nerve, whose afferent </w:t>
      </w:r>
      <w:proofErr w:type="spellStart"/>
      <w:r>
        <w:t>fibres</w:t>
      </w:r>
      <w:proofErr w:type="spellEnd"/>
      <w:r>
        <w:t xml:space="preserve"> carry chemosensory and mechanosensory signals from the gut wall to the nucleus of the solitary tract (NTS) in the brainstem, which in turn relays processed satiety information to the hypothalamus and limbic system [18]. GLP-1 plays a central role in this relay system. L-cells in the distal small intestine and colon secrete GLP-1 in response to luminal nutrients; the hormone activates GLP-1Rs on vagal afferent terminals in the intestinal wall and portal vein, generating satiety signals that travel to the NTS via nodose ganglion neurons [19]. A vagal afferent knockout study confirmed that GLP-1R </w:t>
      </w:r>
      <w:proofErr w:type="spellStart"/>
      <w:r>
        <w:t>signalling</w:t>
      </w:r>
      <w:proofErr w:type="spellEnd"/>
      <w:r>
        <w:t xml:space="preserve"> in this pathway is necessary for the full anorectic effect of peripherally administered GLP-1 RA [20].</w:t>
      </w:r>
    </w:p>
    <w:p w14:paraId="5DA8EF45" w14:textId="77777777" w:rsidR="00462F1A" w:rsidRDefault="003D423E" w:rsidP="00671373">
      <w:pPr>
        <w:spacing w:after="160" w:line="360" w:lineRule="auto"/>
        <w:jc w:val="both"/>
      </w:pPr>
      <w:r>
        <w:lastRenderedPageBreak/>
        <w:t xml:space="preserve">Semaglutide operates on this system at two levels simultaneously. Peripherally, its DPP-4 resistance and prolonged plasma half-life mean that GLP-1Rs on vagal afferents remain occupied between meals, maintaining a baseline anorexigenic tone that endogenous GLP-1 cannot sustain. Centrally, semaglutide concentrations in plasma are sufficient (particularly near peak drug levels post-injection) to bypass the blood-brain barrier through the circumventricular organs, most importantly the area postrema (AP). The AP lacks a conventional tight-junction barrier, and GLP-1Rs there are directly accessible to circulating peptides. Studies in rodents demonstrate that GLP-1R-expressing neurons in the NTS and AP mediate key aspects of GLP-1 RA-induced satiety and weight loss, with AP GLP-1R activation projecting to the NTS and amplifying satiety </w:t>
      </w:r>
      <w:proofErr w:type="spellStart"/>
      <w:r>
        <w:t>signalling</w:t>
      </w:r>
      <w:proofErr w:type="spellEnd"/>
      <w:r>
        <w:t xml:space="preserve"> independent of vagal afferent input [22]. This dual peripheral-central engagement is a pharmacological property not shared by endogenous GLP-1, which is largely degraded before reaching the brain.</w:t>
      </w:r>
    </w:p>
    <w:p w14:paraId="34F011B1" w14:textId="77777777" w:rsidR="00462F1A" w:rsidRDefault="003D423E" w:rsidP="00671373">
      <w:pPr>
        <w:spacing w:after="160" w:line="360" w:lineRule="auto"/>
        <w:jc w:val="both"/>
      </w:pPr>
      <w:r>
        <w:t xml:space="preserve">Within the NTS, GLP-1R activation suppresses orexigenic output and enhances meal-induced satiety. The NTS also communicates bidirectionally with the dorsal motor nucleus of the </w:t>
      </w:r>
      <w:proofErr w:type="spellStart"/>
      <w:r>
        <w:t>vagus</w:t>
      </w:r>
      <w:proofErr w:type="spellEnd"/>
      <w:r>
        <w:t xml:space="preserve"> (DMV), which governs efferent vagal output to the gastrointestinal tract [21]. This descending control pathway is a key substrate through which brainstem GLP-1R activation reduces gastric contractility, as discussed in Section 7.</w:t>
      </w:r>
    </w:p>
    <w:p w14:paraId="78E39527" w14:textId="77777777" w:rsidR="00462F1A" w:rsidRDefault="00462F1A" w:rsidP="00671373">
      <w:pPr>
        <w:spacing w:line="360" w:lineRule="auto"/>
      </w:pPr>
    </w:p>
    <w:p w14:paraId="4DDE01E9" w14:textId="77777777" w:rsidR="00462F1A" w:rsidRDefault="003D423E" w:rsidP="00671373">
      <w:pPr>
        <w:pStyle w:val="Heading1"/>
        <w:spacing w:line="360" w:lineRule="auto"/>
      </w:pPr>
      <w:r>
        <w:t>7. Gastric Emptying: Mechanisms, Time-Course, and Adaptation</w:t>
      </w:r>
    </w:p>
    <w:p w14:paraId="58FC3484" w14:textId="77777777" w:rsidR="00462F1A" w:rsidRDefault="003D423E" w:rsidP="00671373">
      <w:pPr>
        <w:pStyle w:val="Heading2"/>
        <w:spacing w:line="360" w:lineRule="auto"/>
      </w:pPr>
      <w:r>
        <w:t>7.1 Mechanisms of Delayed Gastric Emptying</w:t>
      </w:r>
    </w:p>
    <w:p w14:paraId="5E7782DE" w14:textId="77777777" w:rsidR="00462F1A" w:rsidRDefault="003D423E" w:rsidP="00671373">
      <w:pPr>
        <w:spacing w:after="160" w:line="360" w:lineRule="auto"/>
        <w:jc w:val="both"/>
      </w:pPr>
      <w:r>
        <w:t>Delayed gastric emptying prolongs mechanical distension of the stomach wall, slows intestinal nutrient absorption, and sustains postprandial satiety by maintaining GLP-1 and peptide YY secretion from L-cells over a longer postprandial window [23, 34]. These effects reduce meal size and inter-meal appetite, reinforcing the central appetite suppression described in Sections 4 and 6. Semaglutide delays gastric emptying through at least four coordinated mechanisms.</w:t>
      </w:r>
    </w:p>
    <w:p w14:paraId="29E47377" w14:textId="77777777" w:rsidR="00462F1A" w:rsidRDefault="003D423E" w:rsidP="00671373">
      <w:pPr>
        <w:spacing w:after="160" w:line="360" w:lineRule="auto"/>
        <w:jc w:val="both"/>
      </w:pPr>
      <w:r>
        <w:t xml:space="preserve">Semaglutide delays gastric emptying through at least four coordinated mechanisms, with the first two considered the primary drivers and the latter two contributory. First, and most important, GLP-1R activation within the enteric nervous system reduces antral contractility, slowing the trituration </w:t>
      </w:r>
      <w:r>
        <w:lastRenderedPageBreak/>
        <w:t>and propulsion of chyme [24]. Second, pyloric tone is increased, creating a functional resistance at the gastroduodenal junction; together, these enteric mechanisms account for the majority of the measurable gastric emptying delay. Third, semaglutide reduces cholinergic efferent drive to gastric smooth muscle by activating GLP-1Rs in the brainstem, specifically the DMV. Acetylcholine normally drives phasic gastric contractions; its suppression via descending vagal inhibition reduces contractile amplitude and frequency [25]. Fourth, semaglutide suppresses motilin, a hormone produced by enteroendocrine Mo-cells that initiates the migrating motor complex (MMC) during fasting. Reduced motilin activity prolongs the inter-MMC interval, further delaying gastric clearance between meals [26]. The relative contribution of each mechanism is not definitively established in humans; the brainstem and motilin pathways are supported by preclinical and indirect evidence, whereas the enteric antral and pyloric effects have more direct human clinical evidence. A systematic review of semaglutide’s effects in non-diabetic obese adults documented these converging mechanisms and their collective contribution to appetite suppression and weight reduction [13].</w:t>
      </w:r>
    </w:p>
    <w:p w14:paraId="3C2E5686" w14:textId="77777777" w:rsidR="00462F1A" w:rsidRDefault="003D423E" w:rsidP="00671373">
      <w:pPr>
        <w:pStyle w:val="Heading2"/>
        <w:spacing w:line="360" w:lineRule="auto"/>
      </w:pPr>
      <w:r>
        <w:t>7.2 Acute vs Chronic Effects: The Adaptation Problem</w:t>
      </w:r>
    </w:p>
    <w:p w14:paraId="58BA38A8" w14:textId="77777777" w:rsidR="00462F1A" w:rsidRDefault="003D423E" w:rsidP="00671373">
      <w:pPr>
        <w:spacing w:after="160" w:line="360" w:lineRule="auto"/>
        <w:jc w:val="both"/>
      </w:pPr>
      <w:r>
        <w:t xml:space="preserve">A clinically important distinction exists between the acute and chronic gastric effects of semaglutide. A </w:t>
      </w:r>
      <w:proofErr w:type="spellStart"/>
      <w:r>
        <w:t>randomised</w:t>
      </w:r>
      <w:proofErr w:type="spellEnd"/>
      <w:r>
        <w:t xml:space="preserve"> trial of semaglutide 2.4 mg in 72 adults with obesity found that at 20 weeks, the gastric emptying delay assessed by paracetamol absorption was modest and non-significant when corrected for weight loss, despite significant reductions in appetite, energy intake, and food cravings [24]. This attenuation relative to earlier dose-escalation phases suggests that gastric adaptation occurs with chronic dosing, attributed to post-receptor downregulation and </w:t>
      </w:r>
      <w:proofErr w:type="spellStart"/>
      <w:r>
        <w:t>desensitisation</w:t>
      </w:r>
      <w:proofErr w:type="spellEnd"/>
      <w:r>
        <w:t xml:space="preserve"> of enteric GLP-1Rs [27]. The STEP trials demonstrate sustained weight loss over 68 weeks despite this adaptation [3], suggesting either that central appetite-suppressing mechanisms do not adapt in parallel, or that the residual gastric effect remains physiologically meaningful. Prospective mechanistic studies tracking both gastric emptying and central appetite biomarkers longitudinally in non-diabetic obesity are needed to resolve this question.</w:t>
      </w:r>
    </w:p>
    <w:p w14:paraId="0D37B24A" w14:textId="77777777" w:rsidR="00D632B8" w:rsidRDefault="003D423E" w:rsidP="00671373">
      <w:pPr>
        <w:spacing w:after="160" w:line="360" w:lineRule="auto"/>
        <w:jc w:val="both"/>
      </w:pPr>
      <w:r>
        <w:t xml:space="preserve">Nausea, vomiting, and constipation (the most common adverse effects of semaglutide) are mechanistically attributable to the gastrointestinal effects described above [28]. Their typical transience and dose-dependence reflect the partial adaptation of enteric GLP-1R </w:t>
      </w:r>
      <w:proofErr w:type="spellStart"/>
      <w:r>
        <w:t>signalling</w:t>
      </w:r>
      <w:proofErr w:type="spellEnd"/>
      <w:r>
        <w:t xml:space="preserve"> with continued exposure. Gradual dose escalation, the standard clinical approach, reduces the </w:t>
      </w:r>
      <w:r>
        <w:lastRenderedPageBreak/>
        <w:t xml:space="preserve">magnitude of the initial gastric emptying delay and correspondingly lowers early gastrointestinal intolerance. The mechanisms described across central appetite circuits, peripheral hormonal </w:t>
      </w:r>
      <w:proofErr w:type="spellStart"/>
      <w:r>
        <w:t>signalling</w:t>
      </w:r>
      <w:proofErr w:type="spellEnd"/>
      <w:r>
        <w:t xml:space="preserve">, gut-brain communication, and gastric motility converge to produce a coordinated reduction in energy intake. </w:t>
      </w:r>
    </w:p>
    <w:p w14:paraId="00ED214A" w14:textId="0CDB2F7D" w:rsidR="00322EC3" w:rsidRDefault="00D632B8" w:rsidP="00671373">
      <w:pPr>
        <w:spacing w:after="160" w:line="360" w:lineRule="auto"/>
        <w:jc w:val="both"/>
      </w:pPr>
      <w:r>
        <w:t>Table 1: Integrated neurohormonal mechanisms of semaglutide action in non-diabetic obesity.</w:t>
      </w:r>
    </w:p>
    <w:p w14:paraId="5B45B83A" w14:textId="1CB96576" w:rsidR="003B625C" w:rsidRDefault="003B625C" w:rsidP="00671373">
      <w:pPr>
        <w:spacing w:after="160" w:line="360" w:lineRule="auto"/>
        <w:jc w:val="both"/>
      </w:pPr>
    </w:p>
    <w:p w14:paraId="0F7611EC" w14:textId="3F9A4B19" w:rsidR="003B625C" w:rsidRDefault="003B625C" w:rsidP="00671373">
      <w:pPr>
        <w:spacing w:after="160" w:line="360" w:lineRule="auto"/>
        <w:jc w:val="both"/>
      </w:pPr>
    </w:p>
    <w:p w14:paraId="1D3FD90C" w14:textId="35766878" w:rsidR="003B625C" w:rsidRDefault="003B625C" w:rsidP="00671373">
      <w:pPr>
        <w:spacing w:after="160" w:line="360" w:lineRule="auto"/>
        <w:jc w:val="both"/>
      </w:pPr>
    </w:p>
    <w:p w14:paraId="1A928589" w14:textId="02198641" w:rsidR="003B625C" w:rsidRDefault="003B625C" w:rsidP="00671373">
      <w:pPr>
        <w:spacing w:after="160" w:line="360" w:lineRule="auto"/>
        <w:jc w:val="both"/>
      </w:pPr>
    </w:p>
    <w:p w14:paraId="284028E8" w14:textId="77777777" w:rsidR="003B625C" w:rsidRDefault="003B625C" w:rsidP="00671373">
      <w:pPr>
        <w:spacing w:after="160" w:line="360" w:lineRule="auto"/>
        <w:jc w:val="both"/>
      </w:pPr>
    </w:p>
    <w:tbl>
      <w:tblPr>
        <w:tblW w:w="11070" w:type="dxa"/>
        <w:tblCellSpacing w:w="15"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57"/>
        <w:gridCol w:w="1621"/>
        <w:gridCol w:w="1754"/>
        <w:gridCol w:w="1615"/>
        <w:gridCol w:w="1446"/>
        <w:gridCol w:w="2877"/>
      </w:tblGrid>
      <w:tr w:rsidR="001621E3" w14:paraId="18C85CB2" w14:textId="77777777" w:rsidTr="00793F24">
        <w:trPr>
          <w:tblHeader/>
          <w:tblCellSpacing w:w="15" w:type="dxa"/>
        </w:trPr>
        <w:tc>
          <w:tcPr>
            <w:tcW w:w="1712" w:type="dxa"/>
            <w:vAlign w:val="center"/>
            <w:hideMark/>
          </w:tcPr>
          <w:p w14:paraId="32321C6A" w14:textId="35D15948" w:rsidR="001621E3" w:rsidRDefault="001621E3" w:rsidP="00671373">
            <w:pPr>
              <w:spacing w:line="360" w:lineRule="auto"/>
              <w:rPr>
                <w:b/>
                <w:bCs/>
              </w:rPr>
            </w:pPr>
            <w:r>
              <w:rPr>
                <w:b/>
                <w:bCs/>
              </w:rPr>
              <w:t>Domain</w:t>
            </w:r>
          </w:p>
        </w:tc>
        <w:tc>
          <w:tcPr>
            <w:tcW w:w="0" w:type="auto"/>
            <w:vAlign w:val="center"/>
            <w:hideMark/>
          </w:tcPr>
          <w:p w14:paraId="4778ECEB" w14:textId="77777777" w:rsidR="001621E3" w:rsidRDefault="001621E3" w:rsidP="00671373">
            <w:pPr>
              <w:spacing w:line="360" w:lineRule="auto"/>
              <w:jc w:val="center"/>
              <w:rPr>
                <w:b/>
                <w:bCs/>
              </w:rPr>
            </w:pPr>
            <w:r>
              <w:rPr>
                <w:b/>
                <w:bCs/>
              </w:rPr>
              <w:t>Target site</w:t>
            </w:r>
          </w:p>
        </w:tc>
        <w:tc>
          <w:tcPr>
            <w:tcW w:w="0" w:type="auto"/>
            <w:vAlign w:val="center"/>
            <w:hideMark/>
          </w:tcPr>
          <w:p w14:paraId="0525C81E" w14:textId="77777777" w:rsidR="001621E3" w:rsidRDefault="001621E3" w:rsidP="00671373">
            <w:pPr>
              <w:spacing w:line="360" w:lineRule="auto"/>
              <w:jc w:val="center"/>
              <w:rPr>
                <w:b/>
                <w:bCs/>
              </w:rPr>
            </w:pPr>
            <w:r>
              <w:rPr>
                <w:b/>
                <w:bCs/>
              </w:rPr>
              <w:t>Mechanism</w:t>
            </w:r>
          </w:p>
        </w:tc>
        <w:tc>
          <w:tcPr>
            <w:tcW w:w="0" w:type="auto"/>
            <w:vAlign w:val="center"/>
            <w:hideMark/>
          </w:tcPr>
          <w:p w14:paraId="157AEB16" w14:textId="77777777" w:rsidR="001621E3" w:rsidRDefault="001621E3" w:rsidP="00671373">
            <w:pPr>
              <w:spacing w:line="360" w:lineRule="auto"/>
              <w:jc w:val="center"/>
              <w:rPr>
                <w:b/>
                <w:bCs/>
              </w:rPr>
            </w:pPr>
            <w:r>
              <w:rPr>
                <w:b/>
                <w:bCs/>
              </w:rPr>
              <w:t>Physiological effect</w:t>
            </w:r>
          </w:p>
        </w:tc>
        <w:tc>
          <w:tcPr>
            <w:tcW w:w="0" w:type="auto"/>
            <w:vAlign w:val="center"/>
            <w:hideMark/>
          </w:tcPr>
          <w:p w14:paraId="279969B6" w14:textId="77777777" w:rsidR="001621E3" w:rsidRDefault="001621E3" w:rsidP="00671373">
            <w:pPr>
              <w:spacing w:line="360" w:lineRule="auto"/>
              <w:jc w:val="center"/>
              <w:rPr>
                <w:b/>
                <w:bCs/>
              </w:rPr>
            </w:pPr>
            <w:r>
              <w:rPr>
                <w:b/>
                <w:bCs/>
              </w:rPr>
              <w:t>Net outcome</w:t>
            </w:r>
          </w:p>
        </w:tc>
        <w:tc>
          <w:tcPr>
            <w:tcW w:w="2832" w:type="dxa"/>
            <w:vAlign w:val="center"/>
            <w:hideMark/>
          </w:tcPr>
          <w:p w14:paraId="43791FDE" w14:textId="77777777" w:rsidR="001621E3" w:rsidRDefault="001621E3" w:rsidP="00671373">
            <w:pPr>
              <w:spacing w:line="360" w:lineRule="auto"/>
              <w:jc w:val="center"/>
              <w:rPr>
                <w:b/>
                <w:bCs/>
              </w:rPr>
            </w:pPr>
            <w:r>
              <w:rPr>
                <w:b/>
                <w:bCs/>
              </w:rPr>
              <w:t>Evidence basis</w:t>
            </w:r>
          </w:p>
        </w:tc>
      </w:tr>
      <w:tr w:rsidR="001621E3" w14:paraId="38104453" w14:textId="77777777" w:rsidTr="00793F24">
        <w:trPr>
          <w:tblCellSpacing w:w="15" w:type="dxa"/>
        </w:trPr>
        <w:tc>
          <w:tcPr>
            <w:tcW w:w="1712" w:type="dxa"/>
            <w:vAlign w:val="center"/>
            <w:hideMark/>
          </w:tcPr>
          <w:p w14:paraId="5998D25C" w14:textId="77777777" w:rsidR="001621E3" w:rsidRDefault="001621E3" w:rsidP="00671373">
            <w:pPr>
              <w:spacing w:line="360" w:lineRule="auto"/>
            </w:pPr>
            <w:r>
              <w:t>Central appetite regulation</w:t>
            </w:r>
          </w:p>
        </w:tc>
        <w:tc>
          <w:tcPr>
            <w:tcW w:w="0" w:type="auto"/>
            <w:vAlign w:val="center"/>
            <w:hideMark/>
          </w:tcPr>
          <w:p w14:paraId="56CAE804" w14:textId="77777777" w:rsidR="001621E3" w:rsidRDefault="001621E3" w:rsidP="00671373">
            <w:pPr>
              <w:spacing w:line="360" w:lineRule="auto"/>
            </w:pPr>
            <w:r>
              <w:t>Arcuate nucleus, including NPY/</w:t>
            </w:r>
            <w:proofErr w:type="spellStart"/>
            <w:r>
              <w:t>AgRP</w:t>
            </w:r>
            <w:proofErr w:type="spellEnd"/>
            <w:r>
              <w:t xml:space="preserve"> and POMC/CART neurons</w:t>
            </w:r>
          </w:p>
        </w:tc>
        <w:tc>
          <w:tcPr>
            <w:tcW w:w="0" w:type="auto"/>
            <w:vAlign w:val="center"/>
            <w:hideMark/>
          </w:tcPr>
          <w:p w14:paraId="4133BE11" w14:textId="77777777" w:rsidR="001621E3" w:rsidRDefault="001621E3" w:rsidP="00671373">
            <w:pPr>
              <w:spacing w:line="360" w:lineRule="auto"/>
            </w:pPr>
            <w:r>
              <w:t>GLP-1R activation suppresses orexigenic NPY/</w:t>
            </w:r>
            <w:proofErr w:type="spellStart"/>
            <w:r>
              <w:t>AgRP</w:t>
            </w:r>
            <w:proofErr w:type="spellEnd"/>
            <w:r>
              <w:t xml:space="preserve"> activity and supports anorexigenic POMC/CART </w:t>
            </w:r>
            <w:proofErr w:type="spellStart"/>
            <w:r>
              <w:t>signalling</w:t>
            </w:r>
            <w:proofErr w:type="spellEnd"/>
          </w:p>
        </w:tc>
        <w:tc>
          <w:tcPr>
            <w:tcW w:w="0" w:type="auto"/>
            <w:vAlign w:val="center"/>
            <w:hideMark/>
          </w:tcPr>
          <w:p w14:paraId="790F5921" w14:textId="77777777" w:rsidR="001621E3" w:rsidRDefault="001621E3" w:rsidP="00671373">
            <w:pPr>
              <w:spacing w:line="360" w:lineRule="auto"/>
            </w:pPr>
            <w:r>
              <w:t xml:space="preserve">Shifts hypothalamic </w:t>
            </w:r>
            <w:proofErr w:type="spellStart"/>
            <w:r>
              <w:t>signalling</w:t>
            </w:r>
            <w:proofErr w:type="spellEnd"/>
            <w:r>
              <w:t xml:space="preserve"> toward satiety</w:t>
            </w:r>
          </w:p>
        </w:tc>
        <w:tc>
          <w:tcPr>
            <w:tcW w:w="0" w:type="auto"/>
            <w:vAlign w:val="center"/>
            <w:hideMark/>
          </w:tcPr>
          <w:p w14:paraId="5CDB47B7" w14:textId="77777777" w:rsidR="001621E3" w:rsidRDefault="001621E3" w:rsidP="00671373">
            <w:pPr>
              <w:spacing w:line="360" w:lineRule="auto"/>
            </w:pPr>
            <w:r>
              <w:t>Sustained appetite suppression</w:t>
            </w:r>
          </w:p>
        </w:tc>
        <w:tc>
          <w:tcPr>
            <w:tcW w:w="2832" w:type="dxa"/>
            <w:vAlign w:val="center"/>
            <w:hideMark/>
          </w:tcPr>
          <w:p w14:paraId="635B13B7" w14:textId="77777777" w:rsidR="001621E3" w:rsidRDefault="001621E3" w:rsidP="00671373">
            <w:pPr>
              <w:spacing w:line="360" w:lineRule="auto"/>
            </w:pPr>
            <w:r>
              <w:t>Mainly preclinical evidence, with translational support from human appetite studies</w:t>
            </w:r>
          </w:p>
        </w:tc>
      </w:tr>
      <w:tr w:rsidR="001621E3" w14:paraId="4358E2BA" w14:textId="77777777" w:rsidTr="00793F24">
        <w:trPr>
          <w:tblCellSpacing w:w="15" w:type="dxa"/>
        </w:trPr>
        <w:tc>
          <w:tcPr>
            <w:tcW w:w="1712" w:type="dxa"/>
            <w:vAlign w:val="center"/>
            <w:hideMark/>
          </w:tcPr>
          <w:p w14:paraId="6319ECC2" w14:textId="77777777" w:rsidR="001621E3" w:rsidRDefault="001621E3" w:rsidP="00671373">
            <w:pPr>
              <w:spacing w:line="360" w:lineRule="auto"/>
            </w:pPr>
            <w:r>
              <w:t>Central reward regulation</w:t>
            </w:r>
          </w:p>
        </w:tc>
        <w:tc>
          <w:tcPr>
            <w:tcW w:w="0" w:type="auto"/>
            <w:vAlign w:val="center"/>
            <w:hideMark/>
          </w:tcPr>
          <w:p w14:paraId="749CA8B0" w14:textId="77777777" w:rsidR="001621E3" w:rsidRDefault="001621E3" w:rsidP="00671373">
            <w:pPr>
              <w:spacing w:line="360" w:lineRule="auto"/>
            </w:pPr>
            <w:r>
              <w:t>Reward-related brain circuits, including mesolimbic pathways</w:t>
            </w:r>
          </w:p>
        </w:tc>
        <w:tc>
          <w:tcPr>
            <w:tcW w:w="0" w:type="auto"/>
            <w:vAlign w:val="center"/>
            <w:hideMark/>
          </w:tcPr>
          <w:p w14:paraId="39005C74" w14:textId="77777777" w:rsidR="001621E3" w:rsidRDefault="001621E3" w:rsidP="00671373">
            <w:pPr>
              <w:spacing w:line="360" w:lineRule="auto"/>
            </w:pPr>
            <w:r>
              <w:t xml:space="preserve">Semaglutide reduces food cravings and preference for </w:t>
            </w:r>
            <w:r>
              <w:lastRenderedPageBreak/>
              <w:t>highly palatable foods</w:t>
            </w:r>
          </w:p>
        </w:tc>
        <w:tc>
          <w:tcPr>
            <w:tcW w:w="0" w:type="auto"/>
            <w:vAlign w:val="center"/>
            <w:hideMark/>
          </w:tcPr>
          <w:p w14:paraId="5DE79300" w14:textId="77777777" w:rsidR="001621E3" w:rsidRDefault="001621E3" w:rsidP="00671373">
            <w:pPr>
              <w:spacing w:line="360" w:lineRule="auto"/>
            </w:pPr>
            <w:r>
              <w:lastRenderedPageBreak/>
              <w:t>Lowers the motivational pull of food cues</w:t>
            </w:r>
          </w:p>
        </w:tc>
        <w:tc>
          <w:tcPr>
            <w:tcW w:w="0" w:type="auto"/>
            <w:vAlign w:val="center"/>
            <w:hideMark/>
          </w:tcPr>
          <w:p w14:paraId="17FF3E12" w14:textId="77777777" w:rsidR="001621E3" w:rsidRDefault="001621E3" w:rsidP="00671373">
            <w:pPr>
              <w:spacing w:line="360" w:lineRule="auto"/>
            </w:pPr>
            <w:r>
              <w:t>Reduced reward-driven eating</w:t>
            </w:r>
          </w:p>
        </w:tc>
        <w:tc>
          <w:tcPr>
            <w:tcW w:w="2832" w:type="dxa"/>
            <w:vAlign w:val="center"/>
            <w:hideMark/>
          </w:tcPr>
          <w:p w14:paraId="35FCEE90" w14:textId="77777777" w:rsidR="001621E3" w:rsidRDefault="001621E3" w:rsidP="00671373">
            <w:pPr>
              <w:spacing w:line="360" w:lineRule="auto"/>
            </w:pPr>
            <w:r>
              <w:t>Human appetite and food-preference studies, although the exact neural mechanism remains incompletely defined</w:t>
            </w:r>
          </w:p>
        </w:tc>
      </w:tr>
      <w:tr w:rsidR="001621E3" w14:paraId="0EF91812" w14:textId="77777777" w:rsidTr="00793F24">
        <w:trPr>
          <w:tblCellSpacing w:w="15" w:type="dxa"/>
        </w:trPr>
        <w:tc>
          <w:tcPr>
            <w:tcW w:w="1712" w:type="dxa"/>
            <w:vAlign w:val="center"/>
            <w:hideMark/>
          </w:tcPr>
          <w:p w14:paraId="43FEE04C" w14:textId="77777777" w:rsidR="001621E3" w:rsidRDefault="001621E3" w:rsidP="00671373">
            <w:pPr>
              <w:spacing w:line="360" w:lineRule="auto"/>
            </w:pPr>
            <w:r>
              <w:t>Peripheral hormones</w:t>
            </w:r>
          </w:p>
        </w:tc>
        <w:tc>
          <w:tcPr>
            <w:tcW w:w="0" w:type="auto"/>
            <w:vAlign w:val="center"/>
            <w:hideMark/>
          </w:tcPr>
          <w:p w14:paraId="23EF9E93" w14:textId="77777777" w:rsidR="001621E3" w:rsidRDefault="001621E3" w:rsidP="00671373">
            <w:pPr>
              <w:spacing w:line="360" w:lineRule="auto"/>
            </w:pPr>
            <w:r>
              <w:t>Ghrelin-producing cells in the stomach</w:t>
            </w:r>
          </w:p>
        </w:tc>
        <w:tc>
          <w:tcPr>
            <w:tcW w:w="0" w:type="auto"/>
            <w:vAlign w:val="center"/>
            <w:hideMark/>
          </w:tcPr>
          <w:p w14:paraId="3AA33483" w14:textId="77777777" w:rsidR="001621E3" w:rsidRDefault="001621E3" w:rsidP="00671373">
            <w:pPr>
              <w:spacing w:line="360" w:lineRule="auto"/>
            </w:pPr>
            <w:r>
              <w:t>Semaglutide is associated with lower fasting hunger signals and improved postprandial ghrelin suppression</w:t>
            </w:r>
          </w:p>
        </w:tc>
        <w:tc>
          <w:tcPr>
            <w:tcW w:w="0" w:type="auto"/>
            <w:vAlign w:val="center"/>
            <w:hideMark/>
          </w:tcPr>
          <w:p w14:paraId="22224787" w14:textId="77777777" w:rsidR="001621E3" w:rsidRDefault="001621E3" w:rsidP="00671373">
            <w:pPr>
              <w:spacing w:line="360" w:lineRule="auto"/>
            </w:pPr>
            <w:r>
              <w:t>Reduces hunger drive before and after meals</w:t>
            </w:r>
          </w:p>
        </w:tc>
        <w:tc>
          <w:tcPr>
            <w:tcW w:w="0" w:type="auto"/>
            <w:vAlign w:val="center"/>
            <w:hideMark/>
          </w:tcPr>
          <w:p w14:paraId="181ED9E4" w14:textId="77777777" w:rsidR="001621E3" w:rsidRDefault="001621E3" w:rsidP="00671373">
            <w:pPr>
              <w:spacing w:line="360" w:lineRule="auto"/>
            </w:pPr>
            <w:r>
              <w:t>Lower meal initiation and reduced appetite</w:t>
            </w:r>
          </w:p>
        </w:tc>
        <w:tc>
          <w:tcPr>
            <w:tcW w:w="2832" w:type="dxa"/>
            <w:vAlign w:val="center"/>
            <w:hideMark/>
          </w:tcPr>
          <w:p w14:paraId="7299BD1E" w14:textId="77777777" w:rsidR="001621E3" w:rsidRDefault="001621E3" w:rsidP="00671373">
            <w:pPr>
              <w:spacing w:line="360" w:lineRule="auto"/>
            </w:pPr>
            <w:r>
              <w:t>Human appetite studies and systematic review evidence</w:t>
            </w:r>
          </w:p>
        </w:tc>
      </w:tr>
      <w:tr w:rsidR="001621E3" w14:paraId="6ABAB026" w14:textId="77777777" w:rsidTr="00793F24">
        <w:trPr>
          <w:tblCellSpacing w:w="15" w:type="dxa"/>
        </w:trPr>
        <w:tc>
          <w:tcPr>
            <w:tcW w:w="1712" w:type="dxa"/>
            <w:vAlign w:val="center"/>
            <w:hideMark/>
          </w:tcPr>
          <w:p w14:paraId="051D1ADF" w14:textId="77777777" w:rsidR="001621E3" w:rsidRDefault="001621E3" w:rsidP="00671373">
            <w:pPr>
              <w:spacing w:line="360" w:lineRule="auto"/>
            </w:pPr>
            <w:r>
              <w:t>Peripheral hormones</w:t>
            </w:r>
          </w:p>
        </w:tc>
        <w:tc>
          <w:tcPr>
            <w:tcW w:w="0" w:type="auto"/>
            <w:vAlign w:val="center"/>
            <w:hideMark/>
          </w:tcPr>
          <w:p w14:paraId="489C968E" w14:textId="77777777" w:rsidR="001621E3" w:rsidRDefault="001621E3" w:rsidP="00671373">
            <w:pPr>
              <w:spacing w:line="360" w:lineRule="auto"/>
            </w:pPr>
            <w:r>
              <w:t xml:space="preserve">Pancreatic beta cells and hypothalamic insulin </w:t>
            </w:r>
            <w:proofErr w:type="spellStart"/>
            <w:r>
              <w:t>signalling</w:t>
            </w:r>
            <w:proofErr w:type="spellEnd"/>
            <w:r>
              <w:t xml:space="preserve"> pathways</w:t>
            </w:r>
          </w:p>
        </w:tc>
        <w:tc>
          <w:tcPr>
            <w:tcW w:w="0" w:type="auto"/>
            <w:vAlign w:val="center"/>
            <w:hideMark/>
          </w:tcPr>
          <w:p w14:paraId="3A48B29B" w14:textId="77777777" w:rsidR="001621E3" w:rsidRDefault="001621E3" w:rsidP="00671373">
            <w:pPr>
              <w:spacing w:line="360" w:lineRule="auto"/>
            </w:pPr>
            <w:r>
              <w:t>Semaglutide enhances glucose-dependent postprandial insulin secretion</w:t>
            </w:r>
          </w:p>
        </w:tc>
        <w:tc>
          <w:tcPr>
            <w:tcW w:w="0" w:type="auto"/>
            <w:vAlign w:val="center"/>
            <w:hideMark/>
          </w:tcPr>
          <w:p w14:paraId="11F8C92A" w14:textId="77777777" w:rsidR="001621E3" w:rsidRDefault="001621E3" w:rsidP="00671373">
            <w:pPr>
              <w:spacing w:line="360" w:lineRule="auto"/>
            </w:pPr>
            <w:r>
              <w:t xml:space="preserve">Reinforces fed-state satiety </w:t>
            </w:r>
            <w:proofErr w:type="spellStart"/>
            <w:r>
              <w:t>signalling</w:t>
            </w:r>
            <w:proofErr w:type="spellEnd"/>
          </w:p>
        </w:tc>
        <w:tc>
          <w:tcPr>
            <w:tcW w:w="0" w:type="auto"/>
            <w:vAlign w:val="center"/>
            <w:hideMark/>
          </w:tcPr>
          <w:p w14:paraId="104A1678" w14:textId="77777777" w:rsidR="001621E3" w:rsidRDefault="001621E3" w:rsidP="00671373">
            <w:pPr>
              <w:spacing w:line="360" w:lineRule="auto"/>
            </w:pPr>
            <w:r>
              <w:t>Supportive post-meal satiety</w:t>
            </w:r>
          </w:p>
        </w:tc>
        <w:tc>
          <w:tcPr>
            <w:tcW w:w="2832" w:type="dxa"/>
            <w:vAlign w:val="center"/>
            <w:hideMark/>
          </w:tcPr>
          <w:p w14:paraId="054CB4A4" w14:textId="77777777" w:rsidR="001621E3" w:rsidRDefault="001621E3" w:rsidP="00671373">
            <w:pPr>
              <w:spacing w:line="360" w:lineRule="auto"/>
            </w:pPr>
            <w:r>
              <w:t>Human metabolic studies, with mechanistic support from brain insulin research</w:t>
            </w:r>
          </w:p>
        </w:tc>
      </w:tr>
      <w:tr w:rsidR="001621E3" w14:paraId="6B337653" w14:textId="77777777" w:rsidTr="00793F24">
        <w:trPr>
          <w:tblCellSpacing w:w="15" w:type="dxa"/>
        </w:trPr>
        <w:tc>
          <w:tcPr>
            <w:tcW w:w="1712" w:type="dxa"/>
            <w:vAlign w:val="center"/>
            <w:hideMark/>
          </w:tcPr>
          <w:p w14:paraId="170480F7" w14:textId="77777777" w:rsidR="001621E3" w:rsidRDefault="001621E3" w:rsidP="00671373">
            <w:pPr>
              <w:spacing w:line="360" w:lineRule="auto"/>
            </w:pPr>
            <w:r>
              <w:t>Peripheral hormones</w:t>
            </w:r>
          </w:p>
        </w:tc>
        <w:tc>
          <w:tcPr>
            <w:tcW w:w="0" w:type="auto"/>
            <w:vAlign w:val="center"/>
            <w:hideMark/>
          </w:tcPr>
          <w:p w14:paraId="22D4516F" w14:textId="77777777" w:rsidR="001621E3" w:rsidRDefault="001621E3" w:rsidP="00671373">
            <w:pPr>
              <w:spacing w:line="360" w:lineRule="auto"/>
            </w:pPr>
            <w:r>
              <w:t>Adipocytes and hypothalamic leptin pathways</w:t>
            </w:r>
          </w:p>
        </w:tc>
        <w:tc>
          <w:tcPr>
            <w:tcW w:w="0" w:type="auto"/>
            <w:vAlign w:val="center"/>
            <w:hideMark/>
          </w:tcPr>
          <w:p w14:paraId="4644D0A9" w14:textId="77777777" w:rsidR="001621E3" w:rsidRDefault="001621E3" w:rsidP="00671373">
            <w:pPr>
              <w:spacing w:line="360" w:lineRule="auto"/>
            </w:pPr>
            <w:r>
              <w:t>Leptin levels fall as fat mass decreases, but direct restoration of leptin sensitivity by semaglutide remains unproven</w:t>
            </w:r>
          </w:p>
        </w:tc>
        <w:tc>
          <w:tcPr>
            <w:tcW w:w="0" w:type="auto"/>
            <w:vAlign w:val="center"/>
            <w:hideMark/>
          </w:tcPr>
          <w:p w14:paraId="5905CC38" w14:textId="77777777" w:rsidR="001621E3" w:rsidRDefault="001621E3" w:rsidP="00671373">
            <w:pPr>
              <w:spacing w:line="360" w:lineRule="auto"/>
            </w:pPr>
            <w:r>
              <w:t>May influence long-term energy-balance adaptation</w:t>
            </w:r>
          </w:p>
        </w:tc>
        <w:tc>
          <w:tcPr>
            <w:tcW w:w="0" w:type="auto"/>
            <w:vAlign w:val="center"/>
            <w:hideMark/>
          </w:tcPr>
          <w:p w14:paraId="4E785E9A" w14:textId="77777777" w:rsidR="001621E3" w:rsidRDefault="001621E3" w:rsidP="00671373">
            <w:pPr>
              <w:spacing w:line="360" w:lineRule="auto"/>
            </w:pPr>
            <w:r>
              <w:t>Indirect and uncertain contribution to sustained appetite regulation</w:t>
            </w:r>
          </w:p>
        </w:tc>
        <w:tc>
          <w:tcPr>
            <w:tcW w:w="2832" w:type="dxa"/>
            <w:vAlign w:val="center"/>
            <w:hideMark/>
          </w:tcPr>
          <w:p w14:paraId="7AD2271D" w14:textId="77777777" w:rsidR="001621E3" w:rsidRDefault="001621E3" w:rsidP="00671373">
            <w:pPr>
              <w:spacing w:line="360" w:lineRule="auto"/>
            </w:pPr>
            <w:r>
              <w:t>Limited human evidence; mechanism remains uncertain</w:t>
            </w:r>
          </w:p>
        </w:tc>
      </w:tr>
      <w:tr w:rsidR="001621E3" w14:paraId="7AC1A894" w14:textId="77777777" w:rsidTr="00793F24">
        <w:trPr>
          <w:tblCellSpacing w:w="15" w:type="dxa"/>
        </w:trPr>
        <w:tc>
          <w:tcPr>
            <w:tcW w:w="1712" w:type="dxa"/>
            <w:vAlign w:val="center"/>
            <w:hideMark/>
          </w:tcPr>
          <w:p w14:paraId="304F327C" w14:textId="77777777" w:rsidR="001621E3" w:rsidRDefault="001621E3" w:rsidP="00671373">
            <w:pPr>
              <w:spacing w:line="360" w:lineRule="auto"/>
            </w:pPr>
            <w:r>
              <w:t>Gut-brain axis</w:t>
            </w:r>
          </w:p>
        </w:tc>
        <w:tc>
          <w:tcPr>
            <w:tcW w:w="0" w:type="auto"/>
            <w:vAlign w:val="center"/>
            <w:hideMark/>
          </w:tcPr>
          <w:p w14:paraId="69507AEA" w14:textId="77777777" w:rsidR="001621E3" w:rsidRDefault="001621E3" w:rsidP="00671373">
            <w:pPr>
              <w:spacing w:line="360" w:lineRule="auto"/>
            </w:pPr>
            <w:r>
              <w:t xml:space="preserve">Vagal afferents, nucleus tractus </w:t>
            </w:r>
            <w:r>
              <w:lastRenderedPageBreak/>
              <w:t>solitarius, and area postrema</w:t>
            </w:r>
          </w:p>
        </w:tc>
        <w:tc>
          <w:tcPr>
            <w:tcW w:w="0" w:type="auto"/>
            <w:vAlign w:val="center"/>
            <w:hideMark/>
          </w:tcPr>
          <w:p w14:paraId="4F8841DE" w14:textId="77777777" w:rsidR="001621E3" w:rsidRDefault="001621E3" w:rsidP="00671373">
            <w:pPr>
              <w:spacing w:line="360" w:lineRule="auto"/>
            </w:pPr>
            <w:r>
              <w:lastRenderedPageBreak/>
              <w:t xml:space="preserve">GLP-1R activation strengthens </w:t>
            </w:r>
            <w:r>
              <w:lastRenderedPageBreak/>
              <w:t xml:space="preserve">peripheral and central satiety </w:t>
            </w:r>
            <w:proofErr w:type="spellStart"/>
            <w:r>
              <w:t>signalling</w:t>
            </w:r>
            <w:proofErr w:type="spellEnd"/>
          </w:p>
        </w:tc>
        <w:tc>
          <w:tcPr>
            <w:tcW w:w="0" w:type="auto"/>
            <w:vAlign w:val="center"/>
            <w:hideMark/>
          </w:tcPr>
          <w:p w14:paraId="3953B9D7" w14:textId="77777777" w:rsidR="001621E3" w:rsidRDefault="001621E3" w:rsidP="00671373">
            <w:pPr>
              <w:spacing w:line="360" w:lineRule="auto"/>
            </w:pPr>
            <w:r>
              <w:lastRenderedPageBreak/>
              <w:t xml:space="preserve">Enhances gut-derived satiety input and </w:t>
            </w:r>
            <w:r>
              <w:lastRenderedPageBreak/>
              <w:t>reduces orexigenic output</w:t>
            </w:r>
          </w:p>
        </w:tc>
        <w:tc>
          <w:tcPr>
            <w:tcW w:w="0" w:type="auto"/>
            <w:vAlign w:val="center"/>
            <w:hideMark/>
          </w:tcPr>
          <w:p w14:paraId="5C0D3EED" w14:textId="77777777" w:rsidR="001621E3" w:rsidRDefault="001621E3" w:rsidP="00671373">
            <w:pPr>
              <w:spacing w:line="360" w:lineRule="auto"/>
            </w:pPr>
            <w:r>
              <w:lastRenderedPageBreak/>
              <w:t>Maintained anorexigenic tone</w:t>
            </w:r>
          </w:p>
        </w:tc>
        <w:tc>
          <w:tcPr>
            <w:tcW w:w="2832" w:type="dxa"/>
            <w:vAlign w:val="center"/>
            <w:hideMark/>
          </w:tcPr>
          <w:p w14:paraId="0333F16E" w14:textId="77777777" w:rsidR="001621E3" w:rsidRDefault="001621E3" w:rsidP="00671373">
            <w:pPr>
              <w:spacing w:line="360" w:lineRule="auto"/>
            </w:pPr>
            <w:r>
              <w:t>Preclinical and translational evidence</w:t>
            </w:r>
          </w:p>
        </w:tc>
      </w:tr>
      <w:tr w:rsidR="001621E3" w14:paraId="0307257E" w14:textId="77777777" w:rsidTr="00793F24">
        <w:trPr>
          <w:tblCellSpacing w:w="15" w:type="dxa"/>
        </w:trPr>
        <w:tc>
          <w:tcPr>
            <w:tcW w:w="1712" w:type="dxa"/>
            <w:vAlign w:val="center"/>
            <w:hideMark/>
          </w:tcPr>
          <w:p w14:paraId="726D28A1" w14:textId="77777777" w:rsidR="001621E3" w:rsidRDefault="001621E3" w:rsidP="00671373">
            <w:pPr>
              <w:spacing w:line="360" w:lineRule="auto"/>
            </w:pPr>
            <w:r>
              <w:t>Gastric motility</w:t>
            </w:r>
          </w:p>
        </w:tc>
        <w:tc>
          <w:tcPr>
            <w:tcW w:w="0" w:type="auto"/>
            <w:vAlign w:val="center"/>
            <w:hideMark/>
          </w:tcPr>
          <w:p w14:paraId="60BCAAC9" w14:textId="77777777" w:rsidR="001621E3" w:rsidRDefault="001621E3" w:rsidP="00671373">
            <w:pPr>
              <w:spacing w:line="360" w:lineRule="auto"/>
            </w:pPr>
            <w:r>
              <w:t xml:space="preserve">Enteric neurons, gastric antrum, pylorus, and dorsal motor nucleus of the </w:t>
            </w:r>
            <w:proofErr w:type="spellStart"/>
            <w:r>
              <w:t>vagus</w:t>
            </w:r>
            <w:proofErr w:type="spellEnd"/>
          </w:p>
        </w:tc>
        <w:tc>
          <w:tcPr>
            <w:tcW w:w="0" w:type="auto"/>
            <w:vAlign w:val="center"/>
            <w:hideMark/>
          </w:tcPr>
          <w:p w14:paraId="40F0DC6D" w14:textId="77777777" w:rsidR="001621E3" w:rsidRDefault="001621E3" w:rsidP="00671373">
            <w:pPr>
              <w:spacing w:line="360" w:lineRule="auto"/>
            </w:pPr>
            <w:r>
              <w:t>Semaglutide reduces antral contractility, increases pyloric tone, reduces vagal cholinergic drive, and may involve motilin-related effects</w:t>
            </w:r>
          </w:p>
        </w:tc>
        <w:tc>
          <w:tcPr>
            <w:tcW w:w="0" w:type="auto"/>
            <w:vAlign w:val="center"/>
            <w:hideMark/>
          </w:tcPr>
          <w:p w14:paraId="734521A7" w14:textId="77777777" w:rsidR="001621E3" w:rsidRDefault="001621E3" w:rsidP="00671373">
            <w:pPr>
              <w:spacing w:line="360" w:lineRule="auto"/>
            </w:pPr>
            <w:r>
              <w:t>Delays gastric emptying, especially early in treatment, with attenuation during chronic dosing</w:t>
            </w:r>
          </w:p>
        </w:tc>
        <w:tc>
          <w:tcPr>
            <w:tcW w:w="0" w:type="auto"/>
            <w:vAlign w:val="center"/>
            <w:hideMark/>
          </w:tcPr>
          <w:p w14:paraId="3E28FEA0" w14:textId="77777777" w:rsidR="001621E3" w:rsidRDefault="001621E3" w:rsidP="00671373">
            <w:pPr>
              <w:spacing w:line="360" w:lineRule="auto"/>
            </w:pPr>
            <w:r>
              <w:t>Prolonged postprandial fullness and reduced meal size</w:t>
            </w:r>
          </w:p>
        </w:tc>
        <w:tc>
          <w:tcPr>
            <w:tcW w:w="2832" w:type="dxa"/>
            <w:vAlign w:val="center"/>
            <w:hideMark/>
          </w:tcPr>
          <w:p w14:paraId="45BD1CD0" w14:textId="77777777" w:rsidR="001621E3" w:rsidRDefault="001621E3" w:rsidP="00671373">
            <w:pPr>
              <w:spacing w:line="360" w:lineRule="auto"/>
            </w:pPr>
            <w:r>
              <w:t>Human gastric-emptying studies, supported by mechanistic gastrointestinal evidence</w:t>
            </w:r>
          </w:p>
        </w:tc>
      </w:tr>
    </w:tbl>
    <w:p w14:paraId="7D1A2661" w14:textId="77777777" w:rsidR="001621E3" w:rsidRDefault="001621E3" w:rsidP="00671373">
      <w:pPr>
        <w:spacing w:after="160" w:line="360" w:lineRule="auto"/>
        <w:jc w:val="both"/>
      </w:pPr>
    </w:p>
    <w:p w14:paraId="0BA9B497" w14:textId="77777777" w:rsidR="00462F1A" w:rsidRDefault="00462F1A" w:rsidP="00671373">
      <w:pPr>
        <w:spacing w:line="360" w:lineRule="auto"/>
      </w:pPr>
    </w:p>
    <w:p w14:paraId="0881C320" w14:textId="77777777" w:rsidR="00462F1A" w:rsidRDefault="003D423E" w:rsidP="00671373">
      <w:pPr>
        <w:pStyle w:val="Heading1"/>
        <w:spacing w:line="360" w:lineRule="auto"/>
      </w:pPr>
      <w:r>
        <w:t>8. Clinical Translation: From Mechanism to Weight Loss Outcomes</w:t>
      </w:r>
    </w:p>
    <w:p w14:paraId="752753ED" w14:textId="77777777" w:rsidR="00462F1A" w:rsidRDefault="003D423E" w:rsidP="00671373">
      <w:pPr>
        <w:spacing w:after="160" w:line="360" w:lineRule="auto"/>
        <w:jc w:val="both"/>
      </w:pPr>
      <w:r>
        <w:t xml:space="preserve">The STEP </w:t>
      </w:r>
      <w:proofErr w:type="spellStart"/>
      <w:r>
        <w:t>programme</w:t>
      </w:r>
      <w:proofErr w:type="spellEnd"/>
      <w:r>
        <w:t xml:space="preserve"> </w:t>
      </w:r>
      <w:proofErr w:type="spellStart"/>
      <w:r>
        <w:t>randomised</w:t>
      </w:r>
      <w:proofErr w:type="spellEnd"/>
      <w:r>
        <w:t xml:space="preserve"> more than 3,000 adults with obesity (without diabetes) to semaglutide 2.4 mg weekly or placebo. Across STEP 1, 3, and 4, mean weight loss with semaglutide ranged from 14.9% to 17.4% at 68 weeks, with approximately one-third of participants achieving reductions exceeding 20% [3]. These outcomes substantially exceed those reported with older single-mechanism pharmacotherapies, consistent with the multi-mechanism model described in this review. The convergence of central appetite suppression, ghrelin reduction, augmented postprandial insulin satiety </w:t>
      </w:r>
      <w:proofErr w:type="spellStart"/>
      <w:r>
        <w:t>signalling</w:t>
      </w:r>
      <w:proofErr w:type="spellEnd"/>
      <w:r>
        <w:t>, and gastric emptying delay produces a quantitatively greater caloric deficit than any single mechanism could achieve independently.</w:t>
      </w:r>
    </w:p>
    <w:p w14:paraId="00CB98DF" w14:textId="77777777" w:rsidR="00462F1A" w:rsidRDefault="003D423E" w:rsidP="00671373">
      <w:pPr>
        <w:spacing w:after="160" w:line="360" w:lineRule="auto"/>
        <w:jc w:val="both"/>
      </w:pPr>
      <w:r>
        <w:t xml:space="preserve">Clinically meaningful cardiometabolic benefits accompanied weight loss in the STEP trials, including reductions in blood pressure, circulating triglycerides, and glycated </w:t>
      </w:r>
      <w:proofErr w:type="spellStart"/>
      <w:r>
        <w:t>haemoglobin</w:t>
      </w:r>
      <w:proofErr w:type="spellEnd"/>
      <w:r>
        <w:t xml:space="preserve">. The cardiovascular benefits of GLP-1 RAs have been demonstrated in prospective outcomes trials </w:t>
      </w:r>
      <w:r>
        <w:lastRenderedPageBreak/>
        <w:t xml:space="preserve">conducted in patients with type 2 diabetes, most notably SUSTAIN-6 [30]; comparable benefits in non-diabetic obesity have now been confirmed in the SELECT trial, which demonstrated a 20% reduction in major adverse cardiovascular events with semaglutide 2.4 mg in 17,604 adults with obesity and established cardiovascular disease but without diabetes [32]. The neurohormonal mechanisms by which weight loss translates into cardiovascular risk reduction remain incompletely </w:t>
      </w:r>
      <w:proofErr w:type="spellStart"/>
      <w:r>
        <w:t>characterised</w:t>
      </w:r>
      <w:proofErr w:type="spellEnd"/>
      <w:r>
        <w:t>, though reductions in adipose-driven inflammation, improved insulin sensitivity, and direct GLP-1R effects on cardiomyocytes and vascular endothelium are candidate pathways.</w:t>
      </w:r>
    </w:p>
    <w:p w14:paraId="1DB45A89" w14:textId="77777777" w:rsidR="00462F1A" w:rsidRDefault="003D423E" w:rsidP="00671373">
      <w:pPr>
        <w:spacing w:after="160" w:line="360" w:lineRule="auto"/>
        <w:jc w:val="both"/>
      </w:pPr>
      <w:r>
        <w:t xml:space="preserve">Individual variability in weight loss response is a </w:t>
      </w:r>
      <w:proofErr w:type="spellStart"/>
      <w:r>
        <w:t>recognised</w:t>
      </w:r>
      <w:proofErr w:type="spellEnd"/>
      <w:r>
        <w:t xml:space="preserve"> clinical challenge. </w:t>
      </w:r>
      <w:proofErr w:type="spellStart"/>
      <w:r>
        <w:t>Randomised</w:t>
      </w:r>
      <w:proofErr w:type="spellEnd"/>
      <w:r>
        <w:t xml:space="preserve"> trial data show a broad distribution of outcomes around the mean: some participants achieve greater than 25% weight reduction; others lose less than 5%. The determinants of this variability are not fully understood, but candidate factors include pre-treatment ghrelin dynamics, baseline leptin resistance severity, gut microbiome composition, GLP-1R genotype, and </w:t>
      </w:r>
      <w:proofErr w:type="spellStart"/>
      <w:r>
        <w:t>behavioural</w:t>
      </w:r>
      <w:proofErr w:type="spellEnd"/>
      <w:r>
        <w:t xml:space="preserve"> determinants of caloric compensation. A systematic review of semaglutide in non-diabetic obese adults identified appetite regulation and gastric emptying as key mechanistic contributors to weight outcomes, but also underscored that individual hormonal profiles may substantially modify the degree of response [13]. Identification of neurohormonal predictors of response, potentially using validated biomarkers of hypothalamic GLP-1R sensitivity, represents a priority for </w:t>
      </w:r>
      <w:proofErr w:type="spellStart"/>
      <w:r>
        <w:t>personalised</w:t>
      </w:r>
      <w:proofErr w:type="spellEnd"/>
      <w:r>
        <w:t xml:space="preserve"> obesity pharmacotherapy [38].</w:t>
      </w:r>
    </w:p>
    <w:p w14:paraId="2B02041A" w14:textId="59BD31B7" w:rsidR="00462F1A" w:rsidRDefault="003D423E" w:rsidP="00671373">
      <w:pPr>
        <w:spacing w:after="160" w:line="360" w:lineRule="auto"/>
        <w:jc w:val="both"/>
      </w:pPr>
      <w:r>
        <w:t xml:space="preserve">The positioning of semaglutide relative to other anti-obesity therapies is increasingly shaped by its mechanism. Orlistat inhibits pancreatic lipase and reduces fat absorption but has no central appetite effect. Phentermine-topiramate acts centrally through catecholaminergic and GABAergic pathways largely distinct from GLP-1 </w:t>
      </w:r>
      <w:proofErr w:type="spellStart"/>
      <w:r>
        <w:t>signalling</w:t>
      </w:r>
      <w:proofErr w:type="spellEnd"/>
      <w:r>
        <w:t xml:space="preserve">. Tirzepatide, a dual GIP and GLP-1 receptor agonist, produces weight loss of up to 22.5% at the highest dose in </w:t>
      </w:r>
      <w:proofErr w:type="spellStart"/>
      <w:r>
        <w:t>randomised</w:t>
      </w:r>
      <w:proofErr w:type="spellEnd"/>
      <w:r>
        <w:t xml:space="preserve"> trials, exceeding semaglutide [31]. This incremental benefit may reflect synergistic action of GIP receptor activation on hypothalamic reward circuits and adipose lipid metabolism, though the mechanistic basis of the incremental effect over semaglutide monotherapy has not been fully resolved. Combining semaglutide with structured dietary and </w:t>
      </w:r>
      <w:proofErr w:type="spellStart"/>
      <w:r>
        <w:t>behavioural</w:t>
      </w:r>
      <w:proofErr w:type="spellEnd"/>
      <w:r>
        <w:t xml:space="preserve"> intervention further improves outcomes [29].</w:t>
      </w:r>
    </w:p>
    <w:p w14:paraId="3541F17E" w14:textId="78ED2A8A" w:rsidR="002D6D46" w:rsidRDefault="002D6D46" w:rsidP="00671373">
      <w:pPr>
        <w:pStyle w:val="NormalWeb"/>
        <w:spacing w:line="360" w:lineRule="auto"/>
      </w:pPr>
      <w:r>
        <w:lastRenderedPageBreak/>
        <w:t>Following the discussion of clinical outcomes, Table 2 places semaglutide in context by comparing its mechanism, primary sites of action, typical weight-loss outcomes, and key limitations with selected older and newer anti-obesity therapies.</w:t>
      </w:r>
    </w:p>
    <w:p w14:paraId="18B62A4A" w14:textId="77777777" w:rsidR="00D632B8" w:rsidRDefault="00D632B8" w:rsidP="00671373">
      <w:pPr>
        <w:pStyle w:val="NormalWeb"/>
        <w:spacing w:line="360" w:lineRule="auto"/>
      </w:pPr>
    </w:p>
    <w:p w14:paraId="55EDDAC2" w14:textId="66E9C93D" w:rsidR="002D6D46" w:rsidRPr="00671373" w:rsidRDefault="00D632B8" w:rsidP="00671373">
      <w:pPr>
        <w:pStyle w:val="NormalWeb"/>
        <w:spacing w:line="360" w:lineRule="auto"/>
        <w:rPr>
          <w:b/>
          <w:bCs/>
        </w:rPr>
      </w:pPr>
      <w:r w:rsidRPr="00671373">
        <w:rPr>
          <w:b/>
          <w:bCs/>
        </w:rPr>
        <w:t>Table 2: Comparative overview of selected anti-obesity pharmacotherapies: mechanism, efficacy, and limitations.</w:t>
      </w:r>
    </w:p>
    <w:tbl>
      <w:tblPr>
        <w:tblW w:w="0" w:type="auto"/>
        <w:tblCellSpacing w:w="15" w:type="dxa"/>
        <w:tblBorders>
          <w:top w:val="single" w:sz="4" w:space="0" w:color="auto"/>
          <w:left w:val="single" w:sz="4" w:space="0" w:color="auto"/>
          <w:bottom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28"/>
        <w:gridCol w:w="2216"/>
        <w:gridCol w:w="1973"/>
        <w:gridCol w:w="1745"/>
        <w:gridCol w:w="1993"/>
      </w:tblGrid>
      <w:tr w:rsidR="002D6D46" w14:paraId="6E195C51" w14:textId="77777777" w:rsidTr="002D6D46">
        <w:trPr>
          <w:tblHeader/>
          <w:tblCellSpacing w:w="15" w:type="dxa"/>
        </w:trPr>
        <w:tc>
          <w:tcPr>
            <w:tcW w:w="0" w:type="auto"/>
            <w:vAlign w:val="center"/>
            <w:hideMark/>
          </w:tcPr>
          <w:p w14:paraId="21397852" w14:textId="77777777" w:rsidR="002D6D46" w:rsidRDefault="002D6D46" w:rsidP="00671373">
            <w:pPr>
              <w:spacing w:line="360" w:lineRule="auto"/>
              <w:jc w:val="center"/>
              <w:rPr>
                <w:b/>
                <w:bCs/>
              </w:rPr>
            </w:pPr>
            <w:r>
              <w:rPr>
                <w:b/>
                <w:bCs/>
              </w:rPr>
              <w:t>Drug</w:t>
            </w:r>
          </w:p>
        </w:tc>
        <w:tc>
          <w:tcPr>
            <w:tcW w:w="0" w:type="auto"/>
            <w:vAlign w:val="center"/>
            <w:hideMark/>
          </w:tcPr>
          <w:p w14:paraId="34C9B7CF" w14:textId="77777777" w:rsidR="002D6D46" w:rsidRDefault="002D6D46" w:rsidP="00671373">
            <w:pPr>
              <w:spacing w:line="360" w:lineRule="auto"/>
              <w:jc w:val="center"/>
              <w:rPr>
                <w:b/>
                <w:bCs/>
              </w:rPr>
            </w:pPr>
            <w:r>
              <w:rPr>
                <w:b/>
                <w:bCs/>
              </w:rPr>
              <w:t>Mechanism of action</w:t>
            </w:r>
          </w:p>
        </w:tc>
        <w:tc>
          <w:tcPr>
            <w:tcW w:w="0" w:type="auto"/>
            <w:vAlign w:val="center"/>
            <w:hideMark/>
          </w:tcPr>
          <w:p w14:paraId="399D47C2" w14:textId="77777777" w:rsidR="002D6D46" w:rsidRDefault="002D6D46" w:rsidP="00671373">
            <w:pPr>
              <w:spacing w:line="360" w:lineRule="auto"/>
              <w:jc w:val="center"/>
              <w:rPr>
                <w:b/>
                <w:bCs/>
              </w:rPr>
            </w:pPr>
            <w:r>
              <w:rPr>
                <w:b/>
                <w:bCs/>
              </w:rPr>
              <w:t>Primary site of action</w:t>
            </w:r>
          </w:p>
        </w:tc>
        <w:tc>
          <w:tcPr>
            <w:tcW w:w="0" w:type="auto"/>
            <w:vAlign w:val="center"/>
            <w:hideMark/>
          </w:tcPr>
          <w:p w14:paraId="61D6A2DC" w14:textId="77777777" w:rsidR="002D6D46" w:rsidRDefault="002D6D46" w:rsidP="00671373">
            <w:pPr>
              <w:spacing w:line="360" w:lineRule="auto"/>
              <w:jc w:val="center"/>
              <w:rPr>
                <w:b/>
                <w:bCs/>
              </w:rPr>
            </w:pPr>
            <w:r>
              <w:rPr>
                <w:b/>
                <w:bCs/>
              </w:rPr>
              <w:t>Typical weight loss reported in clinical trials</w:t>
            </w:r>
          </w:p>
        </w:tc>
        <w:tc>
          <w:tcPr>
            <w:tcW w:w="0" w:type="auto"/>
            <w:vAlign w:val="center"/>
            <w:hideMark/>
          </w:tcPr>
          <w:p w14:paraId="0232B368" w14:textId="77777777" w:rsidR="002D6D46" w:rsidRDefault="002D6D46" w:rsidP="00671373">
            <w:pPr>
              <w:spacing w:line="360" w:lineRule="auto"/>
              <w:jc w:val="center"/>
              <w:rPr>
                <w:b/>
                <w:bCs/>
              </w:rPr>
            </w:pPr>
            <w:r>
              <w:rPr>
                <w:b/>
                <w:bCs/>
              </w:rPr>
              <w:t>Key limitations and adverse effects</w:t>
            </w:r>
          </w:p>
        </w:tc>
      </w:tr>
      <w:tr w:rsidR="002D6D46" w14:paraId="22BA9DFE" w14:textId="77777777" w:rsidTr="002D6D46">
        <w:trPr>
          <w:tblCellSpacing w:w="15" w:type="dxa"/>
        </w:trPr>
        <w:tc>
          <w:tcPr>
            <w:tcW w:w="0" w:type="auto"/>
            <w:vAlign w:val="center"/>
            <w:hideMark/>
          </w:tcPr>
          <w:p w14:paraId="5DF790D4" w14:textId="77777777" w:rsidR="002D6D46" w:rsidRDefault="002D6D46" w:rsidP="00671373">
            <w:pPr>
              <w:spacing w:line="360" w:lineRule="auto"/>
            </w:pPr>
            <w:r>
              <w:t>Semaglutide</w:t>
            </w:r>
          </w:p>
        </w:tc>
        <w:tc>
          <w:tcPr>
            <w:tcW w:w="0" w:type="auto"/>
            <w:vAlign w:val="center"/>
            <w:hideMark/>
          </w:tcPr>
          <w:p w14:paraId="7D7BFA17" w14:textId="77777777" w:rsidR="002D6D46" w:rsidRDefault="002D6D46" w:rsidP="00671373">
            <w:pPr>
              <w:spacing w:line="360" w:lineRule="auto"/>
            </w:pPr>
            <w:r>
              <w:t>GLP-1 receptor agonist that enhances satiety, suppresses appetite, reduces food cravings, and delays gastric emptying</w:t>
            </w:r>
          </w:p>
        </w:tc>
        <w:tc>
          <w:tcPr>
            <w:tcW w:w="0" w:type="auto"/>
            <w:vAlign w:val="center"/>
            <w:hideMark/>
          </w:tcPr>
          <w:p w14:paraId="183645D6" w14:textId="77777777" w:rsidR="002D6D46" w:rsidRDefault="002D6D46" w:rsidP="00671373">
            <w:pPr>
              <w:spacing w:line="360" w:lineRule="auto"/>
            </w:pPr>
            <w:r>
              <w:t>Central nervous system, especially hypothalamic and brainstem appetite circuits; gut-brain axis; gastrointestinal tract</w:t>
            </w:r>
          </w:p>
        </w:tc>
        <w:tc>
          <w:tcPr>
            <w:tcW w:w="0" w:type="auto"/>
            <w:vAlign w:val="center"/>
            <w:hideMark/>
          </w:tcPr>
          <w:p w14:paraId="7521D16B" w14:textId="77777777" w:rsidR="002D6D46" w:rsidRDefault="002D6D46" w:rsidP="00671373">
            <w:pPr>
              <w:spacing w:line="360" w:lineRule="auto"/>
            </w:pPr>
            <w:r>
              <w:t>Approximately 14.9% to 17.4% in STEP trials [3]</w:t>
            </w:r>
          </w:p>
        </w:tc>
        <w:tc>
          <w:tcPr>
            <w:tcW w:w="0" w:type="auto"/>
            <w:vAlign w:val="center"/>
            <w:hideMark/>
          </w:tcPr>
          <w:p w14:paraId="2D6BFC4B" w14:textId="77777777" w:rsidR="002D6D46" w:rsidRDefault="002D6D46" w:rsidP="00671373">
            <w:pPr>
              <w:spacing w:line="360" w:lineRule="auto"/>
            </w:pPr>
            <w:r>
              <w:t>Gastrointestinal symptoms, including nausea and vomiting; weight regain after discontinuation [36,37]</w:t>
            </w:r>
          </w:p>
        </w:tc>
      </w:tr>
      <w:tr w:rsidR="002D6D46" w14:paraId="48C61B18" w14:textId="77777777" w:rsidTr="002D6D46">
        <w:trPr>
          <w:tblCellSpacing w:w="15" w:type="dxa"/>
        </w:trPr>
        <w:tc>
          <w:tcPr>
            <w:tcW w:w="0" w:type="auto"/>
            <w:vAlign w:val="center"/>
            <w:hideMark/>
          </w:tcPr>
          <w:p w14:paraId="6C4BDD75" w14:textId="77777777" w:rsidR="002D6D46" w:rsidRDefault="002D6D46" w:rsidP="00671373">
            <w:pPr>
              <w:spacing w:line="360" w:lineRule="auto"/>
            </w:pPr>
            <w:r>
              <w:t>Orlistat</w:t>
            </w:r>
          </w:p>
        </w:tc>
        <w:tc>
          <w:tcPr>
            <w:tcW w:w="0" w:type="auto"/>
            <w:vAlign w:val="center"/>
            <w:hideMark/>
          </w:tcPr>
          <w:p w14:paraId="357BB695" w14:textId="77777777" w:rsidR="002D6D46" w:rsidRDefault="002D6D46" w:rsidP="00671373">
            <w:pPr>
              <w:spacing w:line="360" w:lineRule="auto"/>
            </w:pPr>
            <w:r>
              <w:t>Pancreatic and gastric lipase inhibitor that reduces dietary fat absorption</w:t>
            </w:r>
          </w:p>
        </w:tc>
        <w:tc>
          <w:tcPr>
            <w:tcW w:w="0" w:type="auto"/>
            <w:vAlign w:val="center"/>
            <w:hideMark/>
          </w:tcPr>
          <w:p w14:paraId="66184D51" w14:textId="77777777" w:rsidR="002D6D46" w:rsidRDefault="002D6D46" w:rsidP="00671373">
            <w:pPr>
              <w:spacing w:line="360" w:lineRule="auto"/>
            </w:pPr>
            <w:r>
              <w:t>Gastrointestinal tract</w:t>
            </w:r>
          </w:p>
        </w:tc>
        <w:tc>
          <w:tcPr>
            <w:tcW w:w="0" w:type="auto"/>
            <w:vAlign w:val="center"/>
            <w:hideMark/>
          </w:tcPr>
          <w:p w14:paraId="4D5AF870" w14:textId="77777777" w:rsidR="002D6D46" w:rsidRDefault="002D6D46" w:rsidP="00671373">
            <w:pPr>
              <w:spacing w:line="360" w:lineRule="auto"/>
            </w:pPr>
            <w:r>
              <w:t>Approximately 5.0% to 7.0% [2]</w:t>
            </w:r>
          </w:p>
        </w:tc>
        <w:tc>
          <w:tcPr>
            <w:tcW w:w="0" w:type="auto"/>
            <w:vAlign w:val="center"/>
            <w:hideMark/>
          </w:tcPr>
          <w:p w14:paraId="35F9BCA0" w14:textId="77777777" w:rsidR="002D6D46" w:rsidRDefault="002D6D46" w:rsidP="00671373">
            <w:pPr>
              <w:spacing w:line="360" w:lineRule="auto"/>
            </w:pPr>
            <w:proofErr w:type="spellStart"/>
            <w:r>
              <w:t>Steatorrhoea</w:t>
            </w:r>
            <w:proofErr w:type="spellEnd"/>
            <w:r>
              <w:t xml:space="preserve">, </w:t>
            </w:r>
            <w:proofErr w:type="spellStart"/>
            <w:r>
              <w:t>faecal</w:t>
            </w:r>
            <w:proofErr w:type="spellEnd"/>
            <w:r>
              <w:t xml:space="preserve"> urgency, gastrointestinal discomfort, poor adherence, and reduced absorption of fat-soluble vitamins</w:t>
            </w:r>
          </w:p>
        </w:tc>
      </w:tr>
      <w:tr w:rsidR="002D6D46" w14:paraId="5E797737" w14:textId="77777777" w:rsidTr="002D6D46">
        <w:trPr>
          <w:tblCellSpacing w:w="15" w:type="dxa"/>
        </w:trPr>
        <w:tc>
          <w:tcPr>
            <w:tcW w:w="0" w:type="auto"/>
            <w:vAlign w:val="center"/>
            <w:hideMark/>
          </w:tcPr>
          <w:p w14:paraId="730A40CE" w14:textId="77777777" w:rsidR="002D6D46" w:rsidRDefault="002D6D46" w:rsidP="00671373">
            <w:pPr>
              <w:spacing w:line="360" w:lineRule="auto"/>
            </w:pPr>
            <w:r>
              <w:t>Phentermine-topiramate</w:t>
            </w:r>
          </w:p>
        </w:tc>
        <w:tc>
          <w:tcPr>
            <w:tcW w:w="0" w:type="auto"/>
            <w:vAlign w:val="center"/>
            <w:hideMark/>
          </w:tcPr>
          <w:p w14:paraId="6B651DE9" w14:textId="77777777" w:rsidR="002D6D46" w:rsidRDefault="002D6D46" w:rsidP="00671373">
            <w:pPr>
              <w:spacing w:line="360" w:lineRule="auto"/>
            </w:pPr>
            <w:r>
              <w:t xml:space="preserve">Centrally acting combination therapy involving </w:t>
            </w:r>
            <w:r>
              <w:lastRenderedPageBreak/>
              <w:t>sympathomimetic appetite suppression and topiramate-related appetite modulation</w:t>
            </w:r>
          </w:p>
        </w:tc>
        <w:tc>
          <w:tcPr>
            <w:tcW w:w="0" w:type="auto"/>
            <w:vAlign w:val="center"/>
            <w:hideMark/>
          </w:tcPr>
          <w:p w14:paraId="2139763F" w14:textId="77777777" w:rsidR="002D6D46" w:rsidRDefault="002D6D46" w:rsidP="00671373">
            <w:pPr>
              <w:spacing w:line="360" w:lineRule="auto"/>
            </w:pPr>
            <w:r>
              <w:lastRenderedPageBreak/>
              <w:t>Central nervous system</w:t>
            </w:r>
          </w:p>
        </w:tc>
        <w:tc>
          <w:tcPr>
            <w:tcW w:w="0" w:type="auto"/>
            <w:vAlign w:val="center"/>
            <w:hideMark/>
          </w:tcPr>
          <w:p w14:paraId="347A1971" w14:textId="77777777" w:rsidR="002D6D46" w:rsidRDefault="002D6D46" w:rsidP="00671373">
            <w:pPr>
              <w:spacing w:line="360" w:lineRule="auto"/>
            </w:pPr>
            <w:r>
              <w:t>Approximately 8.0% to 10.0% [2]</w:t>
            </w:r>
          </w:p>
        </w:tc>
        <w:tc>
          <w:tcPr>
            <w:tcW w:w="0" w:type="auto"/>
            <w:vAlign w:val="center"/>
            <w:hideMark/>
          </w:tcPr>
          <w:p w14:paraId="4B2ED3A0" w14:textId="77777777" w:rsidR="002D6D46" w:rsidRDefault="002D6D46" w:rsidP="00671373">
            <w:pPr>
              <w:spacing w:line="360" w:lineRule="auto"/>
            </w:pPr>
            <w:r>
              <w:t xml:space="preserve">Insomnia, dizziness, dry mouth, cognitive </w:t>
            </w:r>
            <w:r>
              <w:lastRenderedPageBreak/>
              <w:t>effects, increased heart rate, and teratogenic risk</w:t>
            </w:r>
          </w:p>
        </w:tc>
      </w:tr>
      <w:tr w:rsidR="002D6D46" w14:paraId="492A82D9" w14:textId="77777777" w:rsidTr="002D6D46">
        <w:trPr>
          <w:tblCellSpacing w:w="15" w:type="dxa"/>
        </w:trPr>
        <w:tc>
          <w:tcPr>
            <w:tcW w:w="0" w:type="auto"/>
            <w:vAlign w:val="center"/>
            <w:hideMark/>
          </w:tcPr>
          <w:p w14:paraId="74DF6DDE" w14:textId="77777777" w:rsidR="002D6D46" w:rsidRDefault="002D6D46" w:rsidP="00671373">
            <w:pPr>
              <w:spacing w:line="360" w:lineRule="auto"/>
            </w:pPr>
            <w:r>
              <w:lastRenderedPageBreak/>
              <w:t>Tirzepatide</w:t>
            </w:r>
          </w:p>
        </w:tc>
        <w:tc>
          <w:tcPr>
            <w:tcW w:w="0" w:type="auto"/>
            <w:vAlign w:val="center"/>
            <w:hideMark/>
          </w:tcPr>
          <w:p w14:paraId="3A86C546" w14:textId="77777777" w:rsidR="002D6D46" w:rsidRDefault="002D6D46" w:rsidP="00671373">
            <w:pPr>
              <w:spacing w:line="360" w:lineRule="auto"/>
            </w:pPr>
            <w:r>
              <w:t>Dual GIP and GLP-1 receptor agonist that enhances satiety and metabolic regulation</w:t>
            </w:r>
          </w:p>
        </w:tc>
        <w:tc>
          <w:tcPr>
            <w:tcW w:w="0" w:type="auto"/>
            <w:vAlign w:val="center"/>
            <w:hideMark/>
          </w:tcPr>
          <w:p w14:paraId="5F4AF05C" w14:textId="77777777" w:rsidR="002D6D46" w:rsidRDefault="002D6D46" w:rsidP="00671373">
            <w:pPr>
              <w:spacing w:line="360" w:lineRule="auto"/>
            </w:pPr>
            <w:r>
              <w:t>Central nervous system and peripheral metabolic tissues</w:t>
            </w:r>
          </w:p>
        </w:tc>
        <w:tc>
          <w:tcPr>
            <w:tcW w:w="0" w:type="auto"/>
            <w:vAlign w:val="center"/>
            <w:hideMark/>
          </w:tcPr>
          <w:p w14:paraId="58F3E2C5" w14:textId="77777777" w:rsidR="002D6D46" w:rsidRDefault="002D6D46" w:rsidP="00671373">
            <w:pPr>
              <w:spacing w:line="360" w:lineRule="auto"/>
            </w:pPr>
            <w:r>
              <w:t xml:space="preserve">Up to approximately 22.5% at the highest dose in </w:t>
            </w:r>
            <w:proofErr w:type="spellStart"/>
            <w:r>
              <w:t>randomised</w:t>
            </w:r>
            <w:proofErr w:type="spellEnd"/>
            <w:r>
              <w:t xml:space="preserve"> trials [31]</w:t>
            </w:r>
          </w:p>
        </w:tc>
        <w:tc>
          <w:tcPr>
            <w:tcW w:w="0" w:type="auto"/>
            <w:vAlign w:val="center"/>
            <w:hideMark/>
          </w:tcPr>
          <w:p w14:paraId="1F4F883E" w14:textId="77777777" w:rsidR="002D6D46" w:rsidRDefault="002D6D46" w:rsidP="00671373">
            <w:pPr>
              <w:spacing w:line="360" w:lineRule="auto"/>
            </w:pPr>
            <w:r>
              <w:t>Gastrointestinal symptoms and limited long-term data compared with older therapies</w:t>
            </w:r>
          </w:p>
        </w:tc>
      </w:tr>
    </w:tbl>
    <w:p w14:paraId="4412DF24" w14:textId="77777777" w:rsidR="002D6D46" w:rsidRDefault="002D6D46" w:rsidP="00671373">
      <w:pPr>
        <w:pStyle w:val="NormalWeb"/>
        <w:spacing w:line="360" w:lineRule="auto"/>
      </w:pPr>
    </w:p>
    <w:p w14:paraId="4A292B99" w14:textId="77777777" w:rsidR="002D6D46" w:rsidRDefault="002D6D46" w:rsidP="00671373">
      <w:pPr>
        <w:spacing w:after="160" w:line="360" w:lineRule="auto"/>
        <w:jc w:val="both"/>
      </w:pPr>
    </w:p>
    <w:p w14:paraId="07641F9F" w14:textId="77777777" w:rsidR="00462F1A" w:rsidRDefault="00462F1A" w:rsidP="00671373">
      <w:pPr>
        <w:spacing w:line="360" w:lineRule="auto"/>
      </w:pPr>
    </w:p>
    <w:p w14:paraId="7A058CDD" w14:textId="77777777" w:rsidR="00671373" w:rsidRDefault="00671373" w:rsidP="00671373">
      <w:pPr>
        <w:pStyle w:val="Heading1"/>
        <w:spacing w:line="360" w:lineRule="auto"/>
      </w:pPr>
    </w:p>
    <w:p w14:paraId="2AFD8256" w14:textId="77777777" w:rsidR="00671373" w:rsidRDefault="00671373" w:rsidP="00671373">
      <w:pPr>
        <w:pStyle w:val="Heading1"/>
        <w:spacing w:line="360" w:lineRule="auto"/>
      </w:pPr>
    </w:p>
    <w:p w14:paraId="29F8FAC8" w14:textId="77777777" w:rsidR="00671373" w:rsidRDefault="00671373" w:rsidP="00671373">
      <w:pPr>
        <w:pStyle w:val="Heading1"/>
        <w:spacing w:line="360" w:lineRule="auto"/>
      </w:pPr>
    </w:p>
    <w:p w14:paraId="1DAC678C" w14:textId="77777777" w:rsidR="00671373" w:rsidRDefault="00671373" w:rsidP="00671373">
      <w:pPr>
        <w:pStyle w:val="Heading1"/>
        <w:spacing w:line="360" w:lineRule="auto"/>
      </w:pPr>
    </w:p>
    <w:p w14:paraId="271DBB24" w14:textId="4FB99595" w:rsidR="00462F1A" w:rsidRDefault="003D423E" w:rsidP="00671373">
      <w:pPr>
        <w:pStyle w:val="Heading1"/>
        <w:spacing w:line="360" w:lineRule="auto"/>
      </w:pPr>
      <w:r>
        <w:t>9. Discussion</w:t>
      </w:r>
    </w:p>
    <w:p w14:paraId="27662A1B" w14:textId="63ECE3BD" w:rsidR="00580B81" w:rsidRDefault="00580B81" w:rsidP="00671373">
      <w:pPr>
        <w:pStyle w:val="Heading1"/>
        <w:spacing w:line="360" w:lineRule="auto"/>
        <w:rPr>
          <w:b w:val="0"/>
          <w:bCs w:val="0"/>
          <w:sz w:val="24"/>
          <w:szCs w:val="24"/>
        </w:rPr>
      </w:pPr>
      <w:r w:rsidRPr="00580B81">
        <w:rPr>
          <w:b w:val="0"/>
          <w:bCs w:val="0"/>
          <w:sz w:val="24"/>
          <w:szCs w:val="24"/>
        </w:rPr>
        <w:lastRenderedPageBreak/>
        <w:t>The picture of the mechanism of action built up from this review points toward a truly integrative model of semaglutide action. It does not primarily act as an appetite suppressant or a stomach-emptying inhibitor. This is achieved by activation via receptor systems distributed across several anatomical areas, such as the arcuate nucleus, brainstem, vagal circuitry, and enteric nervous system. This multi-level engagement is likely designed to ensure that its clinical effectiveness is significantly greater than that of a single agent in only one of these systems</w:t>
      </w:r>
      <w:r>
        <w:rPr>
          <w:b w:val="0"/>
          <w:bCs w:val="0"/>
          <w:sz w:val="24"/>
          <w:szCs w:val="24"/>
        </w:rPr>
        <w:t xml:space="preserve"> </w:t>
      </w:r>
      <w:r w:rsidRPr="00580B81">
        <w:rPr>
          <w:b w:val="0"/>
          <w:bCs w:val="0"/>
          <w:sz w:val="24"/>
          <w:szCs w:val="24"/>
        </w:rPr>
        <w:t>Several mechanistic uncertainties need to be explicitly stated</w:t>
      </w:r>
      <w:r>
        <w:rPr>
          <w:b w:val="0"/>
          <w:bCs w:val="0"/>
          <w:sz w:val="24"/>
          <w:szCs w:val="24"/>
        </w:rPr>
        <w:t>. F</w:t>
      </w:r>
      <w:r w:rsidRPr="00580B81">
        <w:rPr>
          <w:b w:val="0"/>
          <w:bCs w:val="0"/>
          <w:sz w:val="24"/>
          <w:szCs w:val="24"/>
        </w:rPr>
        <w:t>irst</w:t>
      </w:r>
      <w:r>
        <w:rPr>
          <w:b w:val="0"/>
          <w:bCs w:val="0"/>
          <w:sz w:val="24"/>
          <w:szCs w:val="24"/>
        </w:rPr>
        <w:t xml:space="preserve"> is </w:t>
      </w:r>
      <w:r w:rsidRPr="00580B81">
        <w:rPr>
          <w:b w:val="0"/>
          <w:bCs w:val="0"/>
          <w:sz w:val="24"/>
          <w:szCs w:val="24"/>
        </w:rPr>
        <w:t xml:space="preserve">the neurobiological adaptation. </w:t>
      </w:r>
    </w:p>
    <w:p w14:paraId="3812B80E" w14:textId="77777777" w:rsidR="00580B81" w:rsidRDefault="00580B81" w:rsidP="00671373">
      <w:pPr>
        <w:pStyle w:val="Heading1"/>
        <w:spacing w:line="360" w:lineRule="auto"/>
        <w:rPr>
          <w:b w:val="0"/>
          <w:bCs w:val="0"/>
          <w:sz w:val="24"/>
          <w:szCs w:val="24"/>
        </w:rPr>
      </w:pPr>
      <w:r w:rsidRPr="00580B81">
        <w:rPr>
          <w:b w:val="0"/>
          <w:bCs w:val="0"/>
          <w:sz w:val="24"/>
          <w:szCs w:val="24"/>
        </w:rPr>
        <w:t>Gastric emptying delay is reduced with chronic dosing [27]. Whether hypothalamic GLP-1R signaling is similarly desensitized is not known. Prolonged exposure to GLP-1 RA suggests some level of POMC/CART adaptation in rodent studies [9], but human evidence of longitudinal hypothalamic neuronal activity is not available. Mechanisms described here cannot be used to predict the durability of central appetite suppression over years of treatment. The clinical data from the STEP program show that there can be significant weight regain when people stop taking Semaglutide</w:t>
      </w:r>
      <w:r>
        <w:rPr>
          <w:b w:val="0"/>
          <w:bCs w:val="0"/>
          <w:sz w:val="24"/>
          <w:szCs w:val="24"/>
        </w:rPr>
        <w:t xml:space="preserve"> </w:t>
      </w:r>
      <w:proofErr w:type="gramStart"/>
      <w:r>
        <w:rPr>
          <w:b w:val="0"/>
          <w:bCs w:val="0"/>
          <w:sz w:val="24"/>
          <w:szCs w:val="24"/>
        </w:rPr>
        <w:t>(</w:t>
      </w:r>
      <w:r w:rsidRPr="00580B81">
        <w:rPr>
          <w:b w:val="0"/>
          <w:bCs w:val="0"/>
          <w:sz w:val="24"/>
          <w:szCs w:val="24"/>
        </w:rPr>
        <w:t xml:space="preserve"> patients</w:t>
      </w:r>
      <w:proofErr w:type="gramEnd"/>
      <w:r w:rsidRPr="00580B81">
        <w:rPr>
          <w:b w:val="0"/>
          <w:bCs w:val="0"/>
          <w:sz w:val="24"/>
          <w:szCs w:val="24"/>
        </w:rPr>
        <w:t xml:space="preserve"> who discontinued the drug at 20 weeks regained around 50% of their weight loss over the next year, and patients who discontinued the drug at 68 weeks regained around 60% of their weight loss within the following year</w:t>
      </w:r>
      <w:r>
        <w:rPr>
          <w:b w:val="0"/>
          <w:bCs w:val="0"/>
          <w:sz w:val="24"/>
          <w:szCs w:val="24"/>
        </w:rPr>
        <w:t>)</w:t>
      </w:r>
      <w:r w:rsidRPr="00580B81">
        <w:rPr>
          <w:b w:val="0"/>
          <w:bCs w:val="0"/>
          <w:sz w:val="24"/>
          <w:szCs w:val="24"/>
        </w:rPr>
        <w:t>. This also suggests that, as with other drugs, the body adapts to the effects of Semaglutide, leading to decreased appetite and body weight only while the drug is being taken.</w:t>
      </w:r>
      <w:r>
        <w:rPr>
          <w:b w:val="0"/>
          <w:bCs w:val="0"/>
          <w:sz w:val="24"/>
          <w:szCs w:val="24"/>
        </w:rPr>
        <w:t xml:space="preserve"> </w:t>
      </w:r>
    </w:p>
    <w:p w14:paraId="5BFCDE65" w14:textId="0E504278" w:rsidR="00580B81" w:rsidRDefault="00580B81" w:rsidP="00671373">
      <w:pPr>
        <w:pStyle w:val="Heading1"/>
        <w:spacing w:line="360" w:lineRule="auto"/>
        <w:rPr>
          <w:b w:val="0"/>
          <w:bCs w:val="0"/>
          <w:sz w:val="24"/>
          <w:szCs w:val="24"/>
        </w:rPr>
      </w:pPr>
      <w:r w:rsidRPr="00580B81">
        <w:rPr>
          <w:b w:val="0"/>
          <w:bCs w:val="0"/>
          <w:sz w:val="24"/>
          <w:szCs w:val="24"/>
        </w:rPr>
        <w:t>The second uncertainty concerns the population specificity of the evidence base. The majority of mechanistic research has been conducted in rodent models or in patients with type 2 diabetes. Metabolic context is important, and core GLP-1R pathways are conserved. Established type 2 diabetes is associated with a neuroinflammatory state that affects hypothalamic insulin signaling, leptin sensitivity, and vagal afferent function, distinct from those observed in non-diabetic obesity. The responses of appetite and gastric emptying to Semaglutide were mechanistically consistent with its known mechanism of action. However, in the context of non-diabetic obese adults, there was less direct evidence of neurobiological activity [13].</w:t>
      </w:r>
      <w:r>
        <w:rPr>
          <w:b w:val="0"/>
          <w:bCs w:val="0"/>
          <w:sz w:val="24"/>
          <w:szCs w:val="24"/>
        </w:rPr>
        <w:t xml:space="preserve"> </w:t>
      </w:r>
    </w:p>
    <w:p w14:paraId="33EF8013" w14:textId="06112D20" w:rsidR="00580B81" w:rsidRDefault="00580B81" w:rsidP="00671373">
      <w:pPr>
        <w:pStyle w:val="Heading1"/>
        <w:spacing w:line="360" w:lineRule="auto"/>
        <w:rPr>
          <w:b w:val="0"/>
          <w:bCs w:val="0"/>
          <w:sz w:val="24"/>
          <w:szCs w:val="24"/>
        </w:rPr>
      </w:pPr>
      <w:r w:rsidRPr="00580B81">
        <w:rPr>
          <w:b w:val="0"/>
          <w:bCs w:val="0"/>
          <w:sz w:val="24"/>
          <w:szCs w:val="24"/>
        </w:rPr>
        <w:t xml:space="preserve">The third uncertainty is the contribution of the gut microbiome. Educated inferences and experiments suggest that obese people have different intestinal microbiomes than lean people. The gut microbiome can also influence GLP-1 secretion from L-cells via bile acid signaling and </w:t>
      </w:r>
      <w:r w:rsidRPr="00580B81">
        <w:rPr>
          <w:b w:val="0"/>
          <w:bCs w:val="0"/>
          <w:sz w:val="24"/>
          <w:szCs w:val="24"/>
        </w:rPr>
        <w:lastRenderedPageBreak/>
        <w:t>the production of short-chain fatty acids, and loss of this "endogenous GLP-1 secretory pathway" in obesity can reduce baseline satiety tone, which is exacerbated by semaglutide [33]. The impact of baseline microbiome composition on the pharmacodynamic response to Semaglutide is still an emerging research question that has not been fully answered.</w:t>
      </w:r>
    </w:p>
    <w:p w14:paraId="07BC21FA" w14:textId="5F6F92BC" w:rsidR="00580B81" w:rsidRPr="00580B81" w:rsidRDefault="00580B81" w:rsidP="00671373">
      <w:pPr>
        <w:pStyle w:val="Heading1"/>
        <w:spacing w:line="360" w:lineRule="auto"/>
        <w:rPr>
          <w:b w:val="0"/>
          <w:bCs w:val="0"/>
          <w:sz w:val="24"/>
          <w:szCs w:val="24"/>
        </w:rPr>
      </w:pPr>
      <w:r w:rsidRPr="00580B81">
        <w:rPr>
          <w:b w:val="0"/>
          <w:bCs w:val="0"/>
          <w:sz w:val="24"/>
          <w:szCs w:val="24"/>
        </w:rPr>
        <w:t>.</w:t>
      </w:r>
    </w:p>
    <w:p w14:paraId="1A000001" w14:textId="77777777" w:rsidR="00462F1A" w:rsidRDefault="003D423E" w:rsidP="00671373">
      <w:pPr>
        <w:pStyle w:val="Heading1"/>
        <w:spacing w:line="360" w:lineRule="auto"/>
      </w:pPr>
      <w:r>
        <w:t>10. Limitations</w:t>
      </w:r>
    </w:p>
    <w:p w14:paraId="1A000002" w14:textId="41004D2C" w:rsidR="00462F1A" w:rsidRDefault="00580B81" w:rsidP="00671373">
      <w:pPr>
        <w:spacing w:after="160" w:line="360" w:lineRule="auto"/>
        <w:jc w:val="both"/>
      </w:pPr>
      <w:r w:rsidRPr="00580B81">
        <w:t>The conclusions of this review are limited by several factors that must be considered. First, it is a narrative review, and as such, cannot escape the bias of selection. The authors conducted a non-systematic literature review to build an integrated mechanistic model, without pre-registering a search protocol. This can lead to a disproportionate number of studies that conform to the mechanistic narrative and a lack of null or conflicting results. Secondly, most of the evidence for the mechanisms and hypothalamic GLP-1R effects on ARC neuronal populations comes from rodent models. Human translational evidence is less detailed, and the validity of rodent evidence to guide human neurophysiology is not presumed. Thirdly, several mechanistic studies in the evidence base were conducted in people with type 2 diabetes, rather than in non-diabetic obese populations. This review focuses on non-diabetic populations and the metabolic differences between them and those highlighted above, such as baseline insulin resistance, hypothalamic neuroinflammation, and GLP-1R sensitivity, which may reduce the applicability of those findings directly to the non-diabetic population. Fourth, the available data on the effects of altering the gut microbiome on GLP-1 pharmacodynamics are mostly observational and preliminary. The data available do not allow for any causal conclusions. Fifth, the mechanisms outlined may not be fully applicable to the physiology of patients on long-term (&gt;2 years) semaglutide treatment; there is a lack of data on long-term (2+ years) neurobiological adaptations to GLP-1R agonism. Lastly, there is awareness of individual variation in response to treatment. However, no full mechanistic explanation exists based on current evidence, and predictive biomarkers are in the early stages of validation.</w:t>
      </w:r>
    </w:p>
    <w:p w14:paraId="4C294F76" w14:textId="3A7DA41D" w:rsidR="00462F1A" w:rsidRDefault="003D423E" w:rsidP="00671373">
      <w:pPr>
        <w:pStyle w:val="Heading1"/>
        <w:spacing w:line="360" w:lineRule="auto"/>
      </w:pPr>
      <w:r>
        <w:t>11. Conclusion</w:t>
      </w:r>
    </w:p>
    <w:p w14:paraId="3B943365" w14:textId="77777777" w:rsidR="00580B81" w:rsidRPr="00580B81" w:rsidRDefault="00580B81" w:rsidP="00671373">
      <w:pPr>
        <w:pStyle w:val="Heading1"/>
        <w:spacing w:line="360" w:lineRule="auto"/>
        <w:rPr>
          <w:b w:val="0"/>
          <w:bCs w:val="0"/>
          <w:sz w:val="24"/>
          <w:szCs w:val="24"/>
        </w:rPr>
      </w:pPr>
      <w:r w:rsidRPr="00580B81">
        <w:rPr>
          <w:b w:val="0"/>
          <w:bCs w:val="0"/>
          <w:sz w:val="24"/>
          <w:szCs w:val="24"/>
        </w:rPr>
        <w:lastRenderedPageBreak/>
        <w:t>By targeting multiple central, peripheral, and enteric pathways involved in appetite regulation, the convergent action of semaglutide results in sustained and clinically significant weight loss in non-diabetic adults with obesity. The activation of GLP-1R in the arcuate nucleus suppresses orexigenic NPY/</w:t>
      </w:r>
      <w:proofErr w:type="spellStart"/>
      <w:r w:rsidRPr="00580B81">
        <w:rPr>
          <w:b w:val="0"/>
          <w:bCs w:val="0"/>
          <w:sz w:val="24"/>
          <w:szCs w:val="24"/>
        </w:rPr>
        <w:t>AgRP</w:t>
      </w:r>
      <w:proofErr w:type="spellEnd"/>
      <w:r w:rsidRPr="00580B81">
        <w:rPr>
          <w:b w:val="0"/>
          <w:bCs w:val="0"/>
          <w:sz w:val="24"/>
          <w:szCs w:val="24"/>
        </w:rPr>
        <w:t xml:space="preserve"> signaling and enhances anorexigenic POMC/CART signaling. This is accompanied by peripheral ghrelin suppression, increased postprandial insulin anorexigenic action, and increased afference of satiety in the </w:t>
      </w:r>
      <w:proofErr w:type="spellStart"/>
      <w:r w:rsidRPr="00580B81">
        <w:rPr>
          <w:b w:val="0"/>
          <w:bCs w:val="0"/>
          <w:sz w:val="24"/>
          <w:szCs w:val="24"/>
        </w:rPr>
        <w:t>vagus</w:t>
      </w:r>
      <w:proofErr w:type="spellEnd"/>
      <w:r w:rsidRPr="00580B81">
        <w:rPr>
          <w:b w:val="0"/>
          <w:bCs w:val="0"/>
          <w:sz w:val="24"/>
          <w:szCs w:val="24"/>
        </w:rPr>
        <w:t>. The effects of gastric emptying delay (via enteric GLP-1R activation), cholinergic inhibition (via the DMV), and motilin suppression are all responsible for prolonging postprandial distention and the peripheral satiety signal. These mechanisms work together to create a persistent decrease in calorie intake, greater than what either pathway alone would achieve.</w:t>
      </w:r>
    </w:p>
    <w:p w14:paraId="010DB4EC" w14:textId="3F847D3D" w:rsidR="00580B81" w:rsidRPr="00580B81" w:rsidRDefault="00580B81" w:rsidP="00671373">
      <w:pPr>
        <w:pStyle w:val="Heading1"/>
        <w:spacing w:line="360" w:lineRule="auto"/>
        <w:rPr>
          <w:b w:val="0"/>
          <w:bCs w:val="0"/>
          <w:sz w:val="24"/>
          <w:szCs w:val="24"/>
        </w:rPr>
      </w:pPr>
      <w:r w:rsidRPr="00580B81">
        <w:rPr>
          <w:b w:val="0"/>
          <w:bCs w:val="0"/>
          <w:sz w:val="24"/>
          <w:szCs w:val="24"/>
        </w:rPr>
        <w:t xml:space="preserve">There are still gaps in the mechanisms, however. There are currently no known answers regarding the extent of hypothalamic GLP-1R signaling adaptation over time, the underlying neurobiology of inter-individual response variability, or the role of the gut microbiome in pharmacodynamic outcomes. To fully understand why some </w:t>
      </w:r>
      <w:proofErr w:type="gramStart"/>
      <w:r w:rsidRPr="00580B81">
        <w:rPr>
          <w:b w:val="0"/>
          <w:bCs w:val="0"/>
          <w:sz w:val="24"/>
          <w:szCs w:val="24"/>
        </w:rPr>
        <w:t>people</w:t>
      </w:r>
      <w:proofErr w:type="gramEnd"/>
      <w:r w:rsidRPr="00580B81">
        <w:rPr>
          <w:b w:val="0"/>
          <w:bCs w:val="0"/>
          <w:sz w:val="24"/>
          <w:szCs w:val="24"/>
        </w:rPr>
        <w:t xml:space="preserve"> lose a tremendous amount of weight and keep it off for an extended period, while others gain weight, a dedicated mechanistic study of obesity in the non-diabetic population is required, which would involve longitudinal brain imaging, appetite biomarkers, and microbiome characterization.</w:t>
      </w:r>
    </w:p>
    <w:p w14:paraId="2E8F0D02" w14:textId="77777777" w:rsidR="00E857BF" w:rsidRPr="003A29C6" w:rsidRDefault="00E857BF" w:rsidP="00671373">
      <w:pPr>
        <w:spacing w:line="360" w:lineRule="auto"/>
        <w:jc w:val="both"/>
        <w:outlineLvl w:val="0"/>
        <w:rPr>
          <w:rFonts w:ascii="Arial" w:hAnsi="Arial" w:cs="Arial"/>
        </w:rPr>
      </w:pPr>
      <w:r>
        <w:rPr>
          <w:rFonts w:ascii="Arial" w:hAnsi="Arial" w:cs="Arial"/>
          <w:b/>
          <w:bCs/>
        </w:rPr>
        <w:t>COMPETING INTERESTS DISCLAIMER:</w:t>
      </w:r>
    </w:p>
    <w:p w14:paraId="40F2E3FD" w14:textId="4AA0F0E7" w:rsidR="00E857BF" w:rsidRDefault="00E857BF" w:rsidP="00671373">
      <w:pPr>
        <w:spacing w:line="360" w:lineRule="auto"/>
      </w:pPr>
      <w:r>
        <w:t>Authors have declared that they have no known competing financial interests OR non-financial interests OR personal relationships that could have appeared to influence the work reported in this paper.</w:t>
      </w:r>
    </w:p>
    <w:p w14:paraId="1B46AF41" w14:textId="77777777" w:rsidR="00B10AF0" w:rsidRDefault="00B10AF0" w:rsidP="00671373">
      <w:pPr>
        <w:spacing w:line="360" w:lineRule="auto"/>
      </w:pPr>
    </w:p>
    <w:p w14:paraId="2753D633" w14:textId="77777777" w:rsidR="00864BEB" w:rsidRPr="00671373" w:rsidRDefault="00864BEB" w:rsidP="00671373">
      <w:pPr>
        <w:pStyle w:val="NoSpacing"/>
        <w:spacing w:line="360" w:lineRule="auto"/>
        <w:rPr>
          <w:rFonts w:ascii="Times New Roman" w:hAnsi="Times New Roman" w:cs="Times New Roman"/>
          <w:b/>
          <w:bCs/>
          <w:sz w:val="24"/>
          <w:szCs w:val="24"/>
        </w:rPr>
      </w:pPr>
      <w:bookmarkStart w:id="0" w:name="_Hlk221624953"/>
      <w:r w:rsidRPr="00671373">
        <w:rPr>
          <w:rFonts w:ascii="Times New Roman" w:hAnsi="Times New Roman" w:cs="Times New Roman"/>
          <w:b/>
          <w:bCs/>
          <w:sz w:val="24"/>
          <w:szCs w:val="24"/>
        </w:rPr>
        <w:t>Disclaimer (Artificial intelligence)</w:t>
      </w:r>
    </w:p>
    <w:p w14:paraId="564D24D7" w14:textId="77777777" w:rsidR="00864BEB" w:rsidRPr="00671373" w:rsidRDefault="00864BEB" w:rsidP="00671373">
      <w:pPr>
        <w:pStyle w:val="NoSpacing"/>
        <w:spacing w:line="360" w:lineRule="auto"/>
        <w:rPr>
          <w:rFonts w:ascii="Times New Roman" w:hAnsi="Times New Roman" w:cs="Times New Roman"/>
          <w:sz w:val="24"/>
          <w:szCs w:val="24"/>
        </w:rPr>
      </w:pPr>
    </w:p>
    <w:p w14:paraId="688B2A10" w14:textId="77777777" w:rsidR="00864BEB" w:rsidRPr="00671373" w:rsidRDefault="00864BEB" w:rsidP="00671373">
      <w:pPr>
        <w:pStyle w:val="NoSpacing"/>
        <w:spacing w:line="360" w:lineRule="auto"/>
        <w:rPr>
          <w:rFonts w:ascii="Times New Roman" w:hAnsi="Times New Roman" w:cs="Times New Roman"/>
          <w:sz w:val="24"/>
          <w:szCs w:val="24"/>
        </w:rPr>
      </w:pPr>
      <w:r w:rsidRPr="00671373">
        <w:rPr>
          <w:rFonts w:ascii="Times New Roman" w:hAnsi="Times New Roman" w:cs="Times New Roman"/>
          <w:sz w:val="24"/>
          <w:szCs w:val="24"/>
        </w:rPr>
        <w:t xml:space="preserve">Author(s) hereby </w:t>
      </w:r>
      <w:proofErr w:type="gramStart"/>
      <w:r w:rsidRPr="00671373">
        <w:rPr>
          <w:rFonts w:ascii="Times New Roman" w:hAnsi="Times New Roman" w:cs="Times New Roman"/>
          <w:sz w:val="24"/>
          <w:szCs w:val="24"/>
        </w:rPr>
        <w:t>declare</w:t>
      </w:r>
      <w:proofErr w:type="gramEnd"/>
      <w:r w:rsidRPr="00671373">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bookmarkEnd w:id="0"/>
    <w:p w14:paraId="2ADA6E66" w14:textId="77777777" w:rsidR="00462F1A" w:rsidRDefault="00462F1A" w:rsidP="00671373">
      <w:pPr>
        <w:spacing w:line="360" w:lineRule="auto"/>
      </w:pPr>
    </w:p>
    <w:p w14:paraId="02A586C6" w14:textId="77777777" w:rsidR="00671373" w:rsidRDefault="00671373" w:rsidP="00671373">
      <w:pPr>
        <w:pStyle w:val="Heading1"/>
        <w:spacing w:line="360" w:lineRule="auto"/>
      </w:pPr>
    </w:p>
    <w:p w14:paraId="18C9F6A7" w14:textId="79728AF0" w:rsidR="00462F1A" w:rsidRDefault="003D423E" w:rsidP="00671373">
      <w:pPr>
        <w:pStyle w:val="Heading1"/>
        <w:spacing w:line="360" w:lineRule="auto"/>
      </w:pPr>
      <w:r>
        <w:lastRenderedPageBreak/>
        <w:t>References</w:t>
      </w:r>
    </w:p>
    <w:p w14:paraId="170835F8" w14:textId="77777777" w:rsidR="00462F1A" w:rsidRDefault="003D423E" w:rsidP="00671373">
      <w:pPr>
        <w:spacing w:after="80" w:line="360" w:lineRule="auto"/>
        <w:ind w:left="720" w:hanging="720"/>
        <w:jc w:val="both"/>
      </w:pPr>
      <w:r>
        <w:t>[1] World Health Organization. Obesity and overweight [Internet]. Geneva: WHO; 2024 [cited 2025 Apr]. Available from: https://www.who.int/news-room/fact-sheets/detail/obesity-and-overweight</w:t>
      </w:r>
    </w:p>
    <w:p w14:paraId="310B21A5" w14:textId="77777777" w:rsidR="00462F1A" w:rsidRDefault="003D423E" w:rsidP="00671373">
      <w:pPr>
        <w:spacing w:after="80" w:line="360" w:lineRule="auto"/>
        <w:ind w:left="720" w:hanging="720"/>
        <w:jc w:val="both"/>
      </w:pPr>
      <w:r>
        <w:t xml:space="preserve">[2] Apovian CM, Aronne LJ, </w:t>
      </w:r>
      <w:proofErr w:type="spellStart"/>
      <w:r>
        <w:t>Bessesen</w:t>
      </w:r>
      <w:proofErr w:type="spellEnd"/>
      <w:r>
        <w:t xml:space="preserve"> DH, McDonnell ME, Murad MH, Powell-Wiley T, et al. Pharmacological management of obesity: an Endocrine Society clinical practice guideline. J Clin Endocrinol </w:t>
      </w:r>
      <w:proofErr w:type="spellStart"/>
      <w:r>
        <w:t>Metab</w:t>
      </w:r>
      <w:proofErr w:type="spellEnd"/>
      <w:r>
        <w:t>. 2015;100(2):342-62.</w:t>
      </w:r>
    </w:p>
    <w:p w14:paraId="13167369" w14:textId="77777777" w:rsidR="00462F1A" w:rsidRDefault="003D423E" w:rsidP="00671373">
      <w:pPr>
        <w:spacing w:after="80" w:line="360" w:lineRule="auto"/>
        <w:ind w:left="720" w:hanging="720"/>
        <w:jc w:val="both"/>
      </w:pPr>
      <w:r>
        <w:t xml:space="preserve">[3] Wilding JPH, </w:t>
      </w:r>
      <w:proofErr w:type="spellStart"/>
      <w:r>
        <w:t>Batterham</w:t>
      </w:r>
      <w:proofErr w:type="spellEnd"/>
      <w:r>
        <w:t xml:space="preserve"> RL, </w:t>
      </w:r>
      <w:proofErr w:type="spellStart"/>
      <w:r>
        <w:t>Calanna</w:t>
      </w:r>
      <w:proofErr w:type="spellEnd"/>
      <w:r>
        <w:t xml:space="preserve"> S, Davies M, Van Gaal LF, </w:t>
      </w:r>
      <w:proofErr w:type="spellStart"/>
      <w:r>
        <w:t>Lingvay</w:t>
      </w:r>
      <w:proofErr w:type="spellEnd"/>
      <w:r>
        <w:t xml:space="preserve"> I, et al. Once-weekly semaglutide in adults with overweight or obesity. N Engl J Med. 2021;384(11):989-1002.</w:t>
      </w:r>
    </w:p>
    <w:p w14:paraId="5F564D06" w14:textId="77777777" w:rsidR="00462F1A" w:rsidRDefault="003D423E" w:rsidP="00671373">
      <w:pPr>
        <w:spacing w:after="80" w:line="360" w:lineRule="auto"/>
        <w:ind w:left="720" w:hanging="720"/>
        <w:jc w:val="both"/>
      </w:pPr>
      <w:r>
        <w:t>[4] Lau J, Bloch P, Schaffer L, Pettersson I, Spetzler J, Kofoed J, et al. Discovery of the once-weekly glucagon-like peptide-1 (GLP-1) analogue semaglutide. J Med Chem. 2015;58(18):7370-80.</w:t>
      </w:r>
    </w:p>
    <w:p w14:paraId="0CD5BCC5" w14:textId="77777777" w:rsidR="00462F1A" w:rsidRDefault="003D423E" w:rsidP="00671373">
      <w:pPr>
        <w:spacing w:after="80" w:line="360" w:lineRule="auto"/>
        <w:ind w:left="720" w:hanging="720"/>
        <w:jc w:val="both"/>
      </w:pPr>
      <w:r>
        <w:t xml:space="preserve">[5] Drucker DJ. Mechanisms of action and therapeutic application of glucagon-like peptide-1. Cell </w:t>
      </w:r>
      <w:proofErr w:type="spellStart"/>
      <w:r>
        <w:t>Metab</w:t>
      </w:r>
      <w:proofErr w:type="spellEnd"/>
      <w:r>
        <w:t>. 2018;27(4):740-56.</w:t>
      </w:r>
    </w:p>
    <w:p w14:paraId="7EB78005" w14:textId="77777777" w:rsidR="00462F1A" w:rsidRDefault="003D423E" w:rsidP="00671373">
      <w:pPr>
        <w:spacing w:after="80" w:line="360" w:lineRule="auto"/>
        <w:ind w:left="720" w:hanging="720"/>
        <w:jc w:val="both"/>
      </w:pPr>
      <w:r>
        <w:t xml:space="preserve">[6] Holst JJ, Rosenkilde MM. GLP-1 receptor activation in the brain: the neural substrate of GLP-1 action. Neuropharmacology. </w:t>
      </w:r>
      <w:proofErr w:type="gramStart"/>
      <w:r>
        <w:t>2020;171:108045</w:t>
      </w:r>
      <w:proofErr w:type="gramEnd"/>
      <w:r>
        <w:t>.</w:t>
      </w:r>
    </w:p>
    <w:p w14:paraId="60B73155" w14:textId="77777777" w:rsidR="00462F1A" w:rsidRDefault="003D423E" w:rsidP="00671373">
      <w:pPr>
        <w:spacing w:after="80" w:line="360" w:lineRule="auto"/>
        <w:ind w:left="720" w:hanging="720"/>
        <w:jc w:val="both"/>
      </w:pPr>
      <w:r>
        <w:t>[7] Timper K, Bruning JC. Hypothalamic circuits regulating appetite and energy homeostasis: pathways to obesity. Dis Model Mech. 2017;10(6):679-89.</w:t>
      </w:r>
    </w:p>
    <w:p w14:paraId="6EEC6AE9" w14:textId="77777777" w:rsidR="00462F1A" w:rsidRDefault="003D423E" w:rsidP="00671373">
      <w:pPr>
        <w:spacing w:after="80" w:line="360" w:lineRule="auto"/>
        <w:ind w:left="720" w:hanging="720"/>
        <w:jc w:val="both"/>
      </w:pPr>
      <w:r>
        <w:t xml:space="preserve">[8] Valdivia S, Bhatt DL. </w:t>
      </w:r>
      <w:proofErr w:type="spellStart"/>
      <w:r>
        <w:t>AgRP</w:t>
      </w:r>
      <w:proofErr w:type="spellEnd"/>
      <w:r>
        <w:t xml:space="preserve">/NPY and POMC neurons in the arcuate nucleus and their potential role in treatment of obesity. Curr </w:t>
      </w:r>
      <w:proofErr w:type="spellStart"/>
      <w:r>
        <w:t>Obes</w:t>
      </w:r>
      <w:proofErr w:type="spellEnd"/>
      <w:r>
        <w:t xml:space="preserve"> Rep. 2022;11(1):27-35.</w:t>
      </w:r>
    </w:p>
    <w:p w14:paraId="7ECE4F19" w14:textId="77777777" w:rsidR="00462F1A" w:rsidRDefault="003D423E" w:rsidP="00671373">
      <w:pPr>
        <w:spacing w:after="80" w:line="360" w:lineRule="auto"/>
        <w:ind w:left="720" w:hanging="720"/>
        <w:jc w:val="both"/>
      </w:pPr>
      <w:r>
        <w:t xml:space="preserve">[9] Gabery S, Salinas CG, Paulsen SJ, Ahnfelt-Ronne J, </w:t>
      </w:r>
      <w:proofErr w:type="spellStart"/>
      <w:r>
        <w:t>Alanentalo</w:t>
      </w:r>
      <w:proofErr w:type="spellEnd"/>
      <w:r>
        <w:t xml:space="preserve"> T, Baquero AF, et al. Semaglutide lowers body weight in rodents via distributed neural pathways. JCI Insight. 2020;5(6</w:t>
      </w:r>
      <w:proofErr w:type="gramStart"/>
      <w:r>
        <w:t>):e</w:t>
      </w:r>
      <w:proofErr w:type="gramEnd"/>
      <w:r>
        <w:t>133429.</w:t>
      </w:r>
    </w:p>
    <w:p w14:paraId="4BBD65FF" w14:textId="77777777" w:rsidR="00462F1A" w:rsidRDefault="003D423E" w:rsidP="00671373">
      <w:pPr>
        <w:spacing w:after="80" w:line="360" w:lineRule="auto"/>
        <w:ind w:left="720" w:hanging="720"/>
        <w:jc w:val="both"/>
      </w:pPr>
      <w:r>
        <w:t xml:space="preserve">[10] Blundell J, Finlayson G, Axelsen MB, Flint A, Gibbons C, Kvist T, et al. Effects of once-weekly semaglutide on appetite, energy intake, control of eating, food preference and body weight in subjects with obesity. Diabetes </w:t>
      </w:r>
      <w:proofErr w:type="spellStart"/>
      <w:r>
        <w:t>Obes</w:t>
      </w:r>
      <w:proofErr w:type="spellEnd"/>
      <w:r>
        <w:t xml:space="preserve"> </w:t>
      </w:r>
      <w:proofErr w:type="spellStart"/>
      <w:r>
        <w:t>Metab</w:t>
      </w:r>
      <w:proofErr w:type="spellEnd"/>
      <w:r>
        <w:t>. 2017;19(9):1242-51.</w:t>
      </w:r>
    </w:p>
    <w:p w14:paraId="3BFEC17A" w14:textId="77777777" w:rsidR="00462F1A" w:rsidRDefault="003D423E" w:rsidP="00671373">
      <w:pPr>
        <w:spacing w:after="80" w:line="360" w:lineRule="auto"/>
        <w:ind w:left="720" w:hanging="720"/>
        <w:jc w:val="both"/>
      </w:pPr>
      <w:r>
        <w:t xml:space="preserve">[11] Muller TD, </w:t>
      </w:r>
      <w:proofErr w:type="spellStart"/>
      <w:r>
        <w:t>Nogueiras</w:t>
      </w:r>
      <w:proofErr w:type="spellEnd"/>
      <w:r>
        <w:t xml:space="preserve"> R, Andermann ML, Andrews ZB, Anker SD, </w:t>
      </w:r>
      <w:proofErr w:type="spellStart"/>
      <w:r>
        <w:t>Argente</w:t>
      </w:r>
      <w:proofErr w:type="spellEnd"/>
      <w:r>
        <w:t xml:space="preserve"> J, et al. Ghrelin. Mol </w:t>
      </w:r>
      <w:proofErr w:type="spellStart"/>
      <w:r>
        <w:t>Metab</w:t>
      </w:r>
      <w:proofErr w:type="spellEnd"/>
      <w:r>
        <w:t>. 2015;4(6):437-60.</w:t>
      </w:r>
    </w:p>
    <w:p w14:paraId="72B98B93" w14:textId="36EFE6DA" w:rsidR="00A960E6" w:rsidRDefault="003D423E" w:rsidP="00671373">
      <w:pPr>
        <w:spacing w:before="100" w:beforeAutospacing="1" w:after="100" w:afterAutospacing="1" w:line="360" w:lineRule="auto"/>
      </w:pPr>
      <w:r>
        <w:lastRenderedPageBreak/>
        <w:t xml:space="preserve">[12] Chao AM, Taylor S, Moore M, Amaro A, Wadden TA. Evolving approaches for pharmacological therapy of obesity. Annu Rev </w:t>
      </w:r>
      <w:proofErr w:type="spellStart"/>
      <w:r>
        <w:t>Pharmacol</w:t>
      </w:r>
      <w:proofErr w:type="spellEnd"/>
      <w:r>
        <w:t xml:space="preserve"> </w:t>
      </w:r>
      <w:proofErr w:type="spellStart"/>
      <w:r>
        <w:t>Toxicol</w:t>
      </w:r>
      <w:proofErr w:type="spellEnd"/>
      <w:r>
        <w:t xml:space="preserve">. </w:t>
      </w:r>
      <w:proofErr w:type="gramStart"/>
      <w:r>
        <w:t>2025;65:169</w:t>
      </w:r>
      <w:proofErr w:type="gramEnd"/>
      <w:r>
        <w:t>-189. doi:10.1146/annurev-pharmtox-031124-101146.</w:t>
      </w:r>
    </w:p>
    <w:p w14:paraId="375136FE" w14:textId="532C85DB" w:rsidR="00462F1A" w:rsidRDefault="00462F1A" w:rsidP="00671373">
      <w:pPr>
        <w:spacing w:after="80" w:line="360" w:lineRule="auto"/>
        <w:ind w:left="720" w:hanging="720"/>
        <w:jc w:val="both"/>
      </w:pPr>
    </w:p>
    <w:p w14:paraId="41B787AA" w14:textId="77777777" w:rsidR="00462F1A" w:rsidRDefault="003D423E" w:rsidP="00671373">
      <w:pPr>
        <w:spacing w:after="80" w:line="360" w:lineRule="auto"/>
        <w:ind w:left="720" w:hanging="720"/>
        <w:jc w:val="both"/>
      </w:pPr>
      <w:r>
        <w:t xml:space="preserve">[13] </w:t>
      </w:r>
      <w:proofErr w:type="spellStart"/>
      <w:r>
        <w:t>Abioke</w:t>
      </w:r>
      <w:proofErr w:type="spellEnd"/>
      <w:r>
        <w:t xml:space="preserve"> UB, Baiden I, </w:t>
      </w:r>
      <w:proofErr w:type="spellStart"/>
      <w:r>
        <w:t>Okeoma</w:t>
      </w:r>
      <w:proofErr w:type="spellEnd"/>
      <w:r>
        <w:t xml:space="preserve"> OI, </w:t>
      </w:r>
      <w:proofErr w:type="spellStart"/>
      <w:r>
        <w:t>Partey</w:t>
      </w:r>
      <w:proofErr w:type="spellEnd"/>
      <w:r>
        <w:t xml:space="preserve">-Newman V, Adewale TO, </w:t>
      </w:r>
      <w:proofErr w:type="spellStart"/>
      <w:r>
        <w:t>Onyekezeyi</w:t>
      </w:r>
      <w:proofErr w:type="spellEnd"/>
      <w:r>
        <w:t xml:space="preserve"> SO, </w:t>
      </w:r>
      <w:proofErr w:type="spellStart"/>
      <w:r>
        <w:t>Okwuowulu</w:t>
      </w:r>
      <w:proofErr w:type="spellEnd"/>
      <w:r>
        <w:t xml:space="preserve"> IL. Appetite regulation and gastric emptying of semaglutide in non-diabetic obese adults: a systematic review. Epidemiol Health Data Insights. 2026;18334. doi:10.63946/</w:t>
      </w:r>
      <w:proofErr w:type="spellStart"/>
      <w:r>
        <w:t>ehdi</w:t>
      </w:r>
      <w:proofErr w:type="spellEnd"/>
      <w:r>
        <w:t>/18334.</w:t>
      </w:r>
    </w:p>
    <w:p w14:paraId="38DC52FC" w14:textId="77777777" w:rsidR="00462F1A" w:rsidRDefault="003D423E" w:rsidP="00671373">
      <w:pPr>
        <w:spacing w:after="80" w:line="360" w:lineRule="auto"/>
        <w:ind w:left="720" w:hanging="720"/>
        <w:jc w:val="both"/>
      </w:pPr>
      <w:r>
        <w:t xml:space="preserve">[14] Friedman JM. Leptin and the endocrine control of energy balance. Nat </w:t>
      </w:r>
      <w:proofErr w:type="spellStart"/>
      <w:r>
        <w:t>Metab</w:t>
      </w:r>
      <w:proofErr w:type="spellEnd"/>
      <w:r>
        <w:t>. 2019;1(8):754-64.</w:t>
      </w:r>
    </w:p>
    <w:p w14:paraId="7768594C" w14:textId="77777777" w:rsidR="00462F1A" w:rsidRDefault="003D423E" w:rsidP="00671373">
      <w:pPr>
        <w:spacing w:after="80" w:line="360" w:lineRule="auto"/>
        <w:ind w:left="720" w:hanging="720"/>
        <w:jc w:val="both"/>
      </w:pPr>
      <w:r>
        <w:t xml:space="preserve">[15] </w:t>
      </w:r>
      <w:proofErr w:type="spellStart"/>
      <w:r>
        <w:t>Jensterle</w:t>
      </w:r>
      <w:proofErr w:type="spellEnd"/>
      <w:r>
        <w:t xml:space="preserve"> M, </w:t>
      </w:r>
      <w:proofErr w:type="spellStart"/>
      <w:r>
        <w:t>Ferjan</w:t>
      </w:r>
      <w:proofErr w:type="spellEnd"/>
      <w:r>
        <w:t xml:space="preserve"> S, </w:t>
      </w:r>
      <w:proofErr w:type="spellStart"/>
      <w:r>
        <w:t>Battelino</w:t>
      </w:r>
      <w:proofErr w:type="spellEnd"/>
      <w:r>
        <w:t xml:space="preserve"> T, Janez A. Semaglutide reduces fat mass but does not affect leptin resistance in non-diabetic obese women. </w:t>
      </w:r>
      <w:proofErr w:type="spellStart"/>
      <w:r>
        <w:t>Endocr</w:t>
      </w:r>
      <w:proofErr w:type="spellEnd"/>
      <w:r>
        <w:t xml:space="preserve"> Connect. 2019;8(8):1139-48.</w:t>
      </w:r>
    </w:p>
    <w:p w14:paraId="7936AAF2" w14:textId="77777777" w:rsidR="00462F1A" w:rsidRDefault="003D423E" w:rsidP="00671373">
      <w:pPr>
        <w:spacing w:after="80" w:line="360" w:lineRule="auto"/>
        <w:ind w:left="720" w:hanging="720"/>
        <w:jc w:val="both"/>
      </w:pPr>
      <w:r>
        <w:t xml:space="preserve">[16] Nauck MA, Quast DR, </w:t>
      </w:r>
      <w:proofErr w:type="spellStart"/>
      <w:r>
        <w:t>Wefers</w:t>
      </w:r>
      <w:proofErr w:type="spellEnd"/>
      <w:r>
        <w:t xml:space="preserve"> J, Meier JJ. GLP-1 receptor agonists in the treatment of type 2 diabetes: state-of-the-art. Mol </w:t>
      </w:r>
      <w:proofErr w:type="spellStart"/>
      <w:r>
        <w:t>Metab</w:t>
      </w:r>
      <w:proofErr w:type="spellEnd"/>
      <w:r>
        <w:t xml:space="preserve">. </w:t>
      </w:r>
      <w:proofErr w:type="gramStart"/>
      <w:r>
        <w:t>2021;46:101102</w:t>
      </w:r>
      <w:proofErr w:type="gramEnd"/>
      <w:r>
        <w:t>.</w:t>
      </w:r>
    </w:p>
    <w:p w14:paraId="41490D4F" w14:textId="77777777" w:rsidR="00462F1A" w:rsidRDefault="003D423E" w:rsidP="00671373">
      <w:pPr>
        <w:spacing w:after="80" w:line="360" w:lineRule="auto"/>
        <w:ind w:left="720" w:hanging="720"/>
        <w:jc w:val="both"/>
      </w:pPr>
      <w:r>
        <w:t xml:space="preserve">[17] Kullmann S, Heni M, </w:t>
      </w:r>
      <w:proofErr w:type="spellStart"/>
      <w:r>
        <w:t>Hallschmid</w:t>
      </w:r>
      <w:proofErr w:type="spellEnd"/>
      <w:r>
        <w:t xml:space="preserve"> M, Fritsche A, </w:t>
      </w:r>
      <w:proofErr w:type="spellStart"/>
      <w:r>
        <w:t>Preissl</w:t>
      </w:r>
      <w:proofErr w:type="spellEnd"/>
      <w:r>
        <w:t xml:space="preserve"> H, Haring HU. Brain insulin resistance at the crossroads of metabolic and cognitive disorders in humans. </w:t>
      </w:r>
      <w:proofErr w:type="spellStart"/>
      <w:r>
        <w:t>Physiol</w:t>
      </w:r>
      <w:proofErr w:type="spellEnd"/>
      <w:r>
        <w:t xml:space="preserve"> Rev. 2016;96(4):1169-209.</w:t>
      </w:r>
    </w:p>
    <w:p w14:paraId="2A90723B" w14:textId="77777777" w:rsidR="00462F1A" w:rsidRDefault="003D423E" w:rsidP="00671373">
      <w:pPr>
        <w:spacing w:after="80" w:line="360" w:lineRule="auto"/>
        <w:ind w:left="720" w:hanging="720"/>
        <w:jc w:val="both"/>
      </w:pPr>
      <w:r>
        <w:t xml:space="preserve">[18] Cryan JF, O'Riordan KJ, Cowan CSM, Sandhu KV, </w:t>
      </w:r>
      <w:proofErr w:type="spellStart"/>
      <w:r>
        <w:t>Bastiaanssen</w:t>
      </w:r>
      <w:proofErr w:type="spellEnd"/>
      <w:r>
        <w:t xml:space="preserve"> TFS, Boehme M, et al. The microbiota-gut-brain axis. </w:t>
      </w:r>
      <w:proofErr w:type="spellStart"/>
      <w:r>
        <w:t>Physiol</w:t>
      </w:r>
      <w:proofErr w:type="spellEnd"/>
      <w:r>
        <w:t xml:space="preserve"> Rev. 2019;99(4):1877-2013.</w:t>
      </w:r>
    </w:p>
    <w:p w14:paraId="027B15CF" w14:textId="77777777" w:rsidR="00462F1A" w:rsidRDefault="003D423E" w:rsidP="00671373">
      <w:pPr>
        <w:spacing w:after="80" w:line="360" w:lineRule="auto"/>
        <w:ind w:left="720" w:hanging="720"/>
        <w:jc w:val="both"/>
      </w:pPr>
      <w:r>
        <w:t xml:space="preserve">[19] Brierley DI, Holt MK, Singh A, de Araujo A, McDougle M, Vergara M, et al. Reappraising the role of the </w:t>
      </w:r>
      <w:proofErr w:type="spellStart"/>
      <w:r>
        <w:t>vagus</w:t>
      </w:r>
      <w:proofErr w:type="spellEnd"/>
      <w:r>
        <w:t xml:space="preserve"> nerve in GLP-1-mediated regulation of eating. Br J Pharmacol. 2022;179(4):584-99.</w:t>
      </w:r>
    </w:p>
    <w:p w14:paraId="4700478B" w14:textId="77777777" w:rsidR="00462F1A" w:rsidRDefault="003D423E" w:rsidP="00671373">
      <w:pPr>
        <w:spacing w:after="80" w:line="360" w:lineRule="auto"/>
        <w:ind w:left="720" w:hanging="720"/>
        <w:jc w:val="both"/>
      </w:pPr>
      <w:r>
        <w:t xml:space="preserve">[20] Krieger JP, Arnold M, Pettersen KG, </w:t>
      </w:r>
      <w:proofErr w:type="spellStart"/>
      <w:r>
        <w:t>Lossel</w:t>
      </w:r>
      <w:proofErr w:type="spellEnd"/>
      <w:r>
        <w:t xml:space="preserve"> P, Langhans W, Lee SJ. Knockdown of GLP-1 receptors in vagal afferents affects normal food intake and glycemia. Diabetes. 2016;65(1):34-43.</w:t>
      </w:r>
    </w:p>
    <w:p w14:paraId="70C572D1" w14:textId="77777777" w:rsidR="00462F1A" w:rsidRDefault="003D423E" w:rsidP="00671373">
      <w:pPr>
        <w:spacing w:after="80" w:line="360" w:lineRule="auto"/>
        <w:ind w:left="720" w:hanging="720"/>
        <w:jc w:val="both"/>
      </w:pPr>
      <w:r>
        <w:t xml:space="preserve">[21] Berthoud HR, Hubrecht R, </w:t>
      </w:r>
      <w:proofErr w:type="spellStart"/>
      <w:r>
        <w:t>Neuhuber</w:t>
      </w:r>
      <w:proofErr w:type="spellEnd"/>
      <w:r>
        <w:t xml:space="preserve"> WL, Morrison CD. Vagal and spinal afferent innervation of the digestive tract: reflex circuits and functional implications. Am J </w:t>
      </w:r>
      <w:proofErr w:type="spellStart"/>
      <w:r>
        <w:t>Physiol</w:t>
      </w:r>
      <w:proofErr w:type="spellEnd"/>
      <w:r>
        <w:t xml:space="preserve"> </w:t>
      </w:r>
      <w:proofErr w:type="spellStart"/>
      <w:r>
        <w:t>Gastrointest</w:t>
      </w:r>
      <w:proofErr w:type="spellEnd"/>
      <w:r>
        <w:t xml:space="preserve"> Liver Physiol. 2021;321(6</w:t>
      </w:r>
      <w:proofErr w:type="gramStart"/>
      <w:r>
        <w:t>):G</w:t>
      </w:r>
      <w:proofErr w:type="gramEnd"/>
      <w:r>
        <w:t>690-G709.</w:t>
      </w:r>
    </w:p>
    <w:p w14:paraId="61D2AC2B" w14:textId="77777777" w:rsidR="00462F1A" w:rsidRDefault="003D423E" w:rsidP="00671373">
      <w:pPr>
        <w:spacing w:after="80" w:line="360" w:lineRule="auto"/>
        <w:ind w:left="720" w:hanging="720"/>
        <w:jc w:val="both"/>
      </w:pPr>
      <w:r>
        <w:lastRenderedPageBreak/>
        <w:t xml:space="preserve">[22] Holt MK, Richards JE, Cook DR, Brierley DI, Williams DL, Bhatt DL, et al. </w:t>
      </w:r>
      <w:proofErr w:type="spellStart"/>
      <w:r>
        <w:t>Preproglucagon</w:t>
      </w:r>
      <w:proofErr w:type="spellEnd"/>
      <w:r>
        <w:t xml:space="preserve"> neurons in the nucleus of the solitary tract are the main source of brain GLP-1, mediate stress-induced </w:t>
      </w:r>
      <w:proofErr w:type="spellStart"/>
      <w:r>
        <w:t>hypophagia</w:t>
      </w:r>
      <w:proofErr w:type="spellEnd"/>
      <w:r>
        <w:t>, and limit unusually large intakes of food. Diabetes. 2019;68(1):21-33.</w:t>
      </w:r>
    </w:p>
    <w:p w14:paraId="6A23CB5B" w14:textId="77777777" w:rsidR="00462F1A" w:rsidRDefault="003D423E" w:rsidP="00671373">
      <w:pPr>
        <w:spacing w:after="80" w:line="360" w:lineRule="auto"/>
        <w:ind w:left="720" w:hanging="720"/>
        <w:jc w:val="both"/>
      </w:pPr>
      <w:r>
        <w:t xml:space="preserve">[23] Maselli DB, Camilleri M. Effects of GLP-1 and its analogs on gastric physiology in diabetes mellitus and obesity. Adv Exp Med Biol. </w:t>
      </w:r>
      <w:proofErr w:type="gramStart"/>
      <w:r>
        <w:t>2021;1307:171</w:t>
      </w:r>
      <w:proofErr w:type="gramEnd"/>
      <w:r>
        <w:t>-92.</w:t>
      </w:r>
    </w:p>
    <w:p w14:paraId="7A3D44D0" w14:textId="77777777" w:rsidR="00462F1A" w:rsidRDefault="003D423E" w:rsidP="00671373">
      <w:pPr>
        <w:spacing w:after="80" w:line="360" w:lineRule="auto"/>
        <w:ind w:left="720" w:hanging="720"/>
        <w:jc w:val="both"/>
      </w:pPr>
      <w:r>
        <w:t xml:space="preserve">[24] Friedrichsen M, </w:t>
      </w:r>
      <w:proofErr w:type="spellStart"/>
      <w:r>
        <w:t>Breitschaft</w:t>
      </w:r>
      <w:proofErr w:type="spellEnd"/>
      <w:r>
        <w:t xml:space="preserve"> A, Tadayon S, </w:t>
      </w:r>
      <w:proofErr w:type="spellStart"/>
      <w:r>
        <w:t>Wizert</w:t>
      </w:r>
      <w:proofErr w:type="spellEnd"/>
      <w:r>
        <w:t xml:space="preserve"> A, Skovgaard D. The effect of semaglutide 2.4 mg once weekly on energy intake, appetite, control of eating, and gastric emptying in adults with obesity. Diabetes </w:t>
      </w:r>
      <w:proofErr w:type="spellStart"/>
      <w:r>
        <w:t>Obes</w:t>
      </w:r>
      <w:proofErr w:type="spellEnd"/>
      <w:r>
        <w:t xml:space="preserve"> </w:t>
      </w:r>
      <w:proofErr w:type="spellStart"/>
      <w:r>
        <w:t>Metab</w:t>
      </w:r>
      <w:proofErr w:type="spellEnd"/>
      <w:r>
        <w:t>. 2021;23(3):754-62.</w:t>
      </w:r>
    </w:p>
    <w:p w14:paraId="1B85C8D7" w14:textId="77777777" w:rsidR="00462F1A" w:rsidRDefault="003D423E" w:rsidP="00671373">
      <w:pPr>
        <w:spacing w:after="80" w:line="360" w:lineRule="auto"/>
        <w:ind w:left="720" w:hanging="720"/>
        <w:jc w:val="both"/>
      </w:pPr>
      <w:r>
        <w:t xml:space="preserve">[25] </w:t>
      </w:r>
      <w:proofErr w:type="spellStart"/>
      <w:r>
        <w:t>Jalleh</w:t>
      </w:r>
      <w:proofErr w:type="spellEnd"/>
      <w:r>
        <w:t xml:space="preserve"> RJ, Plummer MP, Marathe CS, </w:t>
      </w:r>
      <w:proofErr w:type="spellStart"/>
      <w:r>
        <w:t>Umapathysivam</w:t>
      </w:r>
      <w:proofErr w:type="spellEnd"/>
      <w:r>
        <w:t xml:space="preserve"> MM, Quast DR, Rayner CK, et al. Clinical consequences of delayed gastric emptying with GLP-1 receptor agonists and tirzepatide. J Clin Endocrinol </w:t>
      </w:r>
      <w:proofErr w:type="spellStart"/>
      <w:r>
        <w:t>Metab</w:t>
      </w:r>
      <w:proofErr w:type="spellEnd"/>
      <w:r>
        <w:t>. 2024;110(1):1-13.</w:t>
      </w:r>
    </w:p>
    <w:p w14:paraId="76769B85" w14:textId="77777777" w:rsidR="00462F1A" w:rsidRDefault="003D423E" w:rsidP="00671373">
      <w:pPr>
        <w:spacing w:after="80" w:line="360" w:lineRule="auto"/>
        <w:ind w:left="720" w:hanging="720"/>
        <w:jc w:val="both"/>
      </w:pPr>
      <w:r>
        <w:t>[26] Camilleri M. Gastrointestinal complications of obesity. Gastroenterology. 2021;161(2):519-32.</w:t>
      </w:r>
    </w:p>
    <w:p w14:paraId="3F393F18" w14:textId="77777777" w:rsidR="00462F1A" w:rsidRDefault="003D423E" w:rsidP="00671373">
      <w:pPr>
        <w:spacing w:after="80" w:line="360" w:lineRule="auto"/>
        <w:ind w:left="720" w:hanging="720"/>
        <w:jc w:val="both"/>
      </w:pPr>
      <w:r>
        <w:t xml:space="preserve">[27] Hjerpsted JB, Flint A, Brooks A, Axelsen MB, Kvist T, Blundell J. Semaglutide improves postprandial glucose and lipid metabolism, and delays first-hour gastric emptying in subjects with obesity. Diabetes </w:t>
      </w:r>
      <w:proofErr w:type="spellStart"/>
      <w:r>
        <w:t>Obes</w:t>
      </w:r>
      <w:proofErr w:type="spellEnd"/>
      <w:r>
        <w:t xml:space="preserve"> </w:t>
      </w:r>
      <w:proofErr w:type="spellStart"/>
      <w:r>
        <w:t>Metab</w:t>
      </w:r>
      <w:proofErr w:type="spellEnd"/>
      <w:r>
        <w:t>. 2018;20(3):610-9.</w:t>
      </w:r>
    </w:p>
    <w:p w14:paraId="12364647" w14:textId="77777777" w:rsidR="00462F1A" w:rsidRDefault="003D423E" w:rsidP="00671373">
      <w:pPr>
        <w:spacing w:after="80" w:line="360" w:lineRule="auto"/>
        <w:ind w:left="720" w:hanging="720"/>
        <w:jc w:val="both"/>
      </w:pPr>
      <w:r>
        <w:t>[28] Davies M, Pieber TR, Hartoft-Nielsen ML, Hansen OKH, Jabbour S, Rosenstock J. Effect of oral semaglutide compared with placebo and subcutaneous semaglutide on glycemic control in patients with type 2 diabetes. JAMA. 2017;318(15):1460-70.</w:t>
      </w:r>
    </w:p>
    <w:p w14:paraId="4732BB01" w14:textId="77777777" w:rsidR="00462F1A" w:rsidRPr="00C62B7A" w:rsidRDefault="003D423E" w:rsidP="00671373">
      <w:pPr>
        <w:spacing w:after="80" w:line="360" w:lineRule="auto"/>
        <w:ind w:left="720" w:hanging="720"/>
        <w:jc w:val="both"/>
        <w:rPr>
          <w:lang w:val="es-US"/>
        </w:rPr>
      </w:pPr>
      <w:r>
        <w:t xml:space="preserve">[29] Wharton S, </w:t>
      </w:r>
      <w:proofErr w:type="spellStart"/>
      <w:r>
        <w:t>Calanna</w:t>
      </w:r>
      <w:proofErr w:type="spellEnd"/>
      <w:r>
        <w:t xml:space="preserve"> S, Davies M, Dicker D, Goldman B, </w:t>
      </w:r>
      <w:proofErr w:type="spellStart"/>
      <w:r>
        <w:t>Lingvay</w:t>
      </w:r>
      <w:proofErr w:type="spellEnd"/>
      <w:r>
        <w:t xml:space="preserve"> I, et al. Gastrointestinal tolerability of once-weekly semaglutide 2.4 mg in adults with overweight or obesity, and the relationship between gastrointestinal adverse events and weight loss. </w:t>
      </w:r>
      <w:r>
        <w:rPr>
          <w:lang w:val="es-US"/>
        </w:rPr>
        <w:t xml:space="preserve">Diabetes Obes </w:t>
      </w:r>
      <w:proofErr w:type="spellStart"/>
      <w:r>
        <w:rPr>
          <w:lang w:val="es-US"/>
        </w:rPr>
        <w:t>Metab</w:t>
      </w:r>
      <w:proofErr w:type="spellEnd"/>
      <w:r>
        <w:rPr>
          <w:lang w:val="es-US"/>
        </w:rPr>
        <w:t>. 2022;24(1):94-105.</w:t>
      </w:r>
    </w:p>
    <w:p w14:paraId="003CEB76" w14:textId="77777777" w:rsidR="00462F1A" w:rsidRDefault="003D423E" w:rsidP="00671373">
      <w:pPr>
        <w:spacing w:after="80" w:line="360" w:lineRule="auto"/>
        <w:ind w:left="720" w:hanging="720"/>
        <w:jc w:val="both"/>
      </w:pPr>
      <w:r>
        <w:rPr>
          <w:lang w:val="es-US"/>
        </w:rPr>
        <w:t xml:space="preserve">[30] Marso SP, Bain SC, Consoli A, </w:t>
      </w:r>
      <w:proofErr w:type="spellStart"/>
      <w:r>
        <w:rPr>
          <w:lang w:val="es-US"/>
        </w:rPr>
        <w:t>Eliaschewitz</w:t>
      </w:r>
      <w:proofErr w:type="spellEnd"/>
      <w:r>
        <w:rPr>
          <w:lang w:val="es-US"/>
        </w:rPr>
        <w:t xml:space="preserve"> FG, </w:t>
      </w:r>
      <w:proofErr w:type="spellStart"/>
      <w:r>
        <w:rPr>
          <w:lang w:val="es-US"/>
        </w:rPr>
        <w:t>Jodar</w:t>
      </w:r>
      <w:proofErr w:type="spellEnd"/>
      <w:r>
        <w:rPr>
          <w:lang w:val="es-US"/>
        </w:rPr>
        <w:t xml:space="preserve"> E, Leiter LA, et al. </w:t>
      </w:r>
      <w:r>
        <w:t>Semaglutide and cardiovascular outcomes in patients with type 2 diabetes. N Engl J Med. 2016;375(19):1834-44.</w:t>
      </w:r>
    </w:p>
    <w:p w14:paraId="7C3AFEF5" w14:textId="59A698C1" w:rsidR="00A960E6" w:rsidRDefault="00A960E6" w:rsidP="00671373">
      <w:pPr>
        <w:pStyle w:val="NormalWeb"/>
        <w:spacing w:line="360" w:lineRule="auto"/>
      </w:pPr>
      <w:r>
        <w:lastRenderedPageBreak/>
        <w:t xml:space="preserve">[31] </w:t>
      </w:r>
      <w:proofErr w:type="spellStart"/>
      <w:r>
        <w:t>Jastreboff</w:t>
      </w:r>
      <w:proofErr w:type="spellEnd"/>
      <w:r>
        <w:t xml:space="preserve"> AM, Aronne LJ, Ahmad NN, Wharton S, Connery L, Alves B, et al. Tirzepatide once weekly for the treatment of obesity. N Engl J Med. 2022;387(3):205-216. doi:10.1056/NEJMoa2206038.</w:t>
      </w:r>
    </w:p>
    <w:p w14:paraId="3C21B608" w14:textId="7E53EBAB" w:rsidR="00462F1A" w:rsidRDefault="00462F1A" w:rsidP="00671373">
      <w:pPr>
        <w:spacing w:after="80" w:line="360" w:lineRule="auto"/>
        <w:ind w:left="720" w:hanging="720"/>
        <w:jc w:val="both"/>
      </w:pPr>
    </w:p>
    <w:p w14:paraId="7451122B" w14:textId="77777777" w:rsidR="00462F1A" w:rsidRDefault="003D423E" w:rsidP="00671373">
      <w:pPr>
        <w:spacing w:after="80" w:line="360" w:lineRule="auto"/>
        <w:ind w:left="720" w:hanging="720"/>
        <w:jc w:val="both"/>
      </w:pPr>
      <w:r>
        <w:t xml:space="preserve">[32] </w:t>
      </w:r>
      <w:proofErr w:type="spellStart"/>
      <w:r>
        <w:t>Lincoff</w:t>
      </w:r>
      <w:proofErr w:type="spellEnd"/>
      <w:r>
        <w:t xml:space="preserve"> AM, Brown-Frandsen K, Colhoun HM, </w:t>
      </w:r>
      <w:proofErr w:type="spellStart"/>
      <w:r>
        <w:t>Deanfield</w:t>
      </w:r>
      <w:proofErr w:type="spellEnd"/>
      <w:r>
        <w:t xml:space="preserve"> J, Emerson SS, Esbjerg S, et al; SELECT Trial Investigators. Semaglutide and cardiovascular outcomes in obesity without diabetes. N Engl J Med. 2023;389(24):2221-32.</w:t>
      </w:r>
    </w:p>
    <w:p w14:paraId="6532EBDD" w14:textId="77777777" w:rsidR="00462F1A" w:rsidRDefault="003D423E" w:rsidP="00671373">
      <w:pPr>
        <w:spacing w:after="80" w:line="360" w:lineRule="auto"/>
        <w:ind w:left="720" w:hanging="720"/>
        <w:jc w:val="both"/>
      </w:pPr>
      <w:r>
        <w:t>[33] Zhang Y, Zhou S, Zhou Y, Yu L, Zhang L, Wang Y. Crosstalk between glucagon-like peptide 1 and gut microbiota in metabolic diseases. mBio. 2024;15(1</w:t>
      </w:r>
      <w:proofErr w:type="gramStart"/>
      <w:r>
        <w:t>):e</w:t>
      </w:r>
      <w:proofErr w:type="gramEnd"/>
      <w:r>
        <w:t>0203223.</w:t>
      </w:r>
    </w:p>
    <w:p w14:paraId="6D8F5B05" w14:textId="77777777" w:rsidR="00462F1A" w:rsidRPr="00C62B7A" w:rsidRDefault="003D423E" w:rsidP="00671373">
      <w:pPr>
        <w:spacing w:after="80" w:line="360" w:lineRule="auto"/>
        <w:ind w:left="720" w:hanging="720"/>
        <w:jc w:val="both"/>
        <w:rPr>
          <w:lang w:val="es-US"/>
        </w:rPr>
      </w:pPr>
      <w:r>
        <w:t xml:space="preserve">[34] </w:t>
      </w:r>
      <w:proofErr w:type="spellStart"/>
      <w:r>
        <w:t>Alexiadou</w:t>
      </w:r>
      <w:proofErr w:type="spellEnd"/>
      <w:r>
        <w:t xml:space="preserve"> K, Tan TM. Gastrointestinal peptides as therapeutic targets to mitigate obesity and metabolic syndrome. </w:t>
      </w:r>
      <w:r>
        <w:rPr>
          <w:lang w:val="es-US"/>
        </w:rPr>
        <w:t>Curr Diab Rep. 2020;20(7):26.</w:t>
      </w:r>
    </w:p>
    <w:p w14:paraId="2FA3B193" w14:textId="77777777" w:rsidR="00462F1A" w:rsidRDefault="003D423E" w:rsidP="00671373">
      <w:pPr>
        <w:spacing w:after="80" w:line="360" w:lineRule="auto"/>
        <w:ind w:left="720" w:hanging="720"/>
        <w:jc w:val="both"/>
      </w:pPr>
      <w:r>
        <w:rPr>
          <w:lang w:val="es-US"/>
        </w:rPr>
        <w:t xml:space="preserve">[35] Izquierdo AG, </w:t>
      </w:r>
      <w:proofErr w:type="spellStart"/>
      <w:r>
        <w:rPr>
          <w:lang w:val="es-US"/>
        </w:rPr>
        <w:t>Crujeiras</w:t>
      </w:r>
      <w:proofErr w:type="spellEnd"/>
      <w:r>
        <w:rPr>
          <w:lang w:val="es-US"/>
        </w:rPr>
        <w:t xml:space="preserve"> AB, Casanueva FF, Carreira MC. </w:t>
      </w:r>
      <w:r>
        <w:t>Leptin, obesity, and leptin resistance: where are we 25 years later? Nutrients. 2019;11(11):2704.</w:t>
      </w:r>
    </w:p>
    <w:p w14:paraId="35E01777" w14:textId="77777777" w:rsidR="00462F1A" w:rsidRDefault="003D423E" w:rsidP="00671373">
      <w:pPr>
        <w:spacing w:after="80" w:line="360" w:lineRule="auto"/>
        <w:ind w:left="720" w:hanging="720"/>
        <w:jc w:val="both"/>
      </w:pPr>
      <w:r>
        <w:t>[36] Rubino D, Abrahamsson N, Davies M, Hesse D, Greenway FL, Jensen C, et al; STEP 4 Investigators. Effect of continued weekly subcutaneous semaglutide vs placebo on weight loss maintenance in adults with overweight or obesity: the STEP 4 randomized clinical trial. JAMA. 2021;325(14):1414-25.</w:t>
      </w:r>
    </w:p>
    <w:p w14:paraId="70F0F982" w14:textId="77777777" w:rsidR="00462F1A" w:rsidRDefault="003D423E" w:rsidP="00671373">
      <w:pPr>
        <w:spacing w:after="80" w:line="360" w:lineRule="auto"/>
        <w:ind w:left="720" w:hanging="720"/>
        <w:jc w:val="both"/>
      </w:pPr>
      <w:r>
        <w:t xml:space="preserve">[37] Wilding JPH, </w:t>
      </w:r>
      <w:proofErr w:type="spellStart"/>
      <w:r>
        <w:t>Batterham</w:t>
      </w:r>
      <w:proofErr w:type="spellEnd"/>
      <w:r>
        <w:t xml:space="preserve"> RL, Davies M, Van Gaal LF, Kandler K, </w:t>
      </w:r>
      <w:proofErr w:type="spellStart"/>
      <w:r>
        <w:t>Konakli</w:t>
      </w:r>
      <w:proofErr w:type="spellEnd"/>
      <w:r>
        <w:t xml:space="preserve"> K, et al. Weight </w:t>
      </w:r>
      <w:proofErr w:type="gramStart"/>
      <w:r>
        <w:t>regain</w:t>
      </w:r>
      <w:proofErr w:type="gramEnd"/>
      <w:r>
        <w:t xml:space="preserve"> and cardiometabolic effects after withdrawal of semaglutide: the STEP 1 trial extension. Diabetes </w:t>
      </w:r>
      <w:proofErr w:type="spellStart"/>
      <w:r>
        <w:t>Obes</w:t>
      </w:r>
      <w:proofErr w:type="spellEnd"/>
      <w:r>
        <w:t xml:space="preserve"> </w:t>
      </w:r>
      <w:proofErr w:type="spellStart"/>
      <w:r>
        <w:t>Metab</w:t>
      </w:r>
      <w:proofErr w:type="spellEnd"/>
      <w:r>
        <w:t>. 2022;24(8):1553-64.</w:t>
      </w:r>
    </w:p>
    <w:p w14:paraId="67A0E2CA" w14:textId="77777777" w:rsidR="00462F1A" w:rsidRDefault="003D423E" w:rsidP="00671373">
      <w:pPr>
        <w:spacing w:after="80" w:line="360" w:lineRule="auto"/>
        <w:ind w:left="720" w:hanging="720"/>
        <w:jc w:val="both"/>
      </w:pPr>
      <w:r>
        <w:t xml:space="preserve">[38] </w:t>
      </w:r>
      <w:proofErr w:type="spellStart"/>
      <w:r>
        <w:t>Sikirica</w:t>
      </w:r>
      <w:proofErr w:type="spellEnd"/>
      <w:r>
        <w:t xml:space="preserve"> MV, Martin AA, Wood R, Leith A, Rao S, Bhatt DL. Reasons for discontinuation of GLP1 receptor agonists and rates of therapeutic substitution in type 2 diabetes mellitus and obesity: a real-world analysis. Diabetes </w:t>
      </w:r>
      <w:proofErr w:type="spellStart"/>
      <w:r>
        <w:t>Metab</w:t>
      </w:r>
      <w:proofErr w:type="spellEnd"/>
      <w:r>
        <w:t xml:space="preserve"> Syndr </w:t>
      </w:r>
      <w:proofErr w:type="spellStart"/>
      <w:r>
        <w:t>Obes</w:t>
      </w:r>
      <w:proofErr w:type="spellEnd"/>
      <w:r>
        <w:t xml:space="preserve">. </w:t>
      </w:r>
      <w:proofErr w:type="gramStart"/>
      <w:r>
        <w:t>2021;14:2083</w:t>
      </w:r>
      <w:proofErr w:type="gramEnd"/>
      <w:r>
        <w:t>-92.</w:t>
      </w:r>
    </w:p>
    <w:sectPr w:rsidR="00462F1A">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96D4F" w14:textId="77777777" w:rsidR="00E6197D" w:rsidRDefault="00E6197D" w:rsidP="005164F5">
      <w:r>
        <w:separator/>
      </w:r>
    </w:p>
  </w:endnote>
  <w:endnote w:type="continuationSeparator" w:id="0">
    <w:p w14:paraId="5B4E482A" w14:textId="77777777" w:rsidR="00E6197D" w:rsidRDefault="00E6197D" w:rsidP="005164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9572E" w14:textId="77777777" w:rsidR="005164F5" w:rsidRDefault="005164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D9BDE" w14:textId="77777777" w:rsidR="005164F5" w:rsidRDefault="005164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8B6D6" w14:textId="77777777" w:rsidR="005164F5" w:rsidRDefault="00516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A5C0B" w14:textId="77777777" w:rsidR="00E6197D" w:rsidRDefault="00E6197D" w:rsidP="005164F5">
      <w:r>
        <w:separator/>
      </w:r>
    </w:p>
  </w:footnote>
  <w:footnote w:type="continuationSeparator" w:id="0">
    <w:p w14:paraId="1E712396" w14:textId="77777777" w:rsidR="00E6197D" w:rsidRDefault="00E6197D" w:rsidP="005164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357A0" w14:textId="777550AA" w:rsidR="005164F5" w:rsidRDefault="00000000">
    <w:pPr>
      <w:pStyle w:val="Header"/>
    </w:pPr>
    <w:r>
      <w:rPr>
        <w:noProof/>
      </w:rPr>
      <w:pict w14:anchorId="08FD4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91547"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09169" w14:textId="2EEC7B49" w:rsidR="005164F5" w:rsidRDefault="00000000">
    <w:pPr>
      <w:pStyle w:val="Header"/>
    </w:pPr>
    <w:r>
      <w:rPr>
        <w:noProof/>
      </w:rPr>
      <w:pict w14:anchorId="731CB2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91548"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F4636" w14:textId="403E0C8F" w:rsidR="005164F5" w:rsidRDefault="00000000">
    <w:pPr>
      <w:pStyle w:val="Header"/>
    </w:pPr>
    <w:r>
      <w:rPr>
        <w:noProof/>
      </w:rPr>
      <w:pict w14:anchorId="224806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491546"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3DE3"/>
    <w:multiLevelType w:val="hybridMultilevel"/>
    <w:tmpl w:val="FC9445A8"/>
    <w:lvl w:ilvl="0" w:tplc="91643994">
      <w:start w:val="1"/>
      <w:numFmt w:val="bullet"/>
      <w:lvlText w:val="●"/>
      <w:lvlJc w:val="left"/>
      <w:pPr>
        <w:ind w:left="720" w:hanging="360"/>
      </w:pPr>
    </w:lvl>
    <w:lvl w:ilvl="1" w:tplc="2AB2775E">
      <w:start w:val="1"/>
      <w:numFmt w:val="bullet"/>
      <w:lvlText w:val="○"/>
      <w:lvlJc w:val="left"/>
      <w:pPr>
        <w:ind w:left="1440" w:hanging="360"/>
      </w:pPr>
    </w:lvl>
    <w:lvl w:ilvl="2" w:tplc="E9B2ED64">
      <w:start w:val="1"/>
      <w:numFmt w:val="bullet"/>
      <w:lvlText w:val="■"/>
      <w:lvlJc w:val="left"/>
      <w:pPr>
        <w:ind w:left="2160" w:hanging="360"/>
      </w:pPr>
    </w:lvl>
    <w:lvl w:ilvl="3" w:tplc="9CBAF47E">
      <w:start w:val="1"/>
      <w:numFmt w:val="bullet"/>
      <w:lvlText w:val="●"/>
      <w:lvlJc w:val="left"/>
      <w:pPr>
        <w:ind w:left="2880" w:hanging="360"/>
      </w:pPr>
    </w:lvl>
    <w:lvl w:ilvl="4" w:tplc="1CBCCE68">
      <w:start w:val="1"/>
      <w:numFmt w:val="bullet"/>
      <w:lvlText w:val="○"/>
      <w:lvlJc w:val="left"/>
      <w:pPr>
        <w:ind w:left="3600" w:hanging="360"/>
      </w:pPr>
    </w:lvl>
    <w:lvl w:ilvl="5" w:tplc="E794BF46">
      <w:start w:val="1"/>
      <w:numFmt w:val="bullet"/>
      <w:lvlText w:val="■"/>
      <w:lvlJc w:val="left"/>
      <w:pPr>
        <w:ind w:left="4320" w:hanging="360"/>
      </w:pPr>
    </w:lvl>
    <w:lvl w:ilvl="6" w:tplc="91A63466">
      <w:start w:val="1"/>
      <w:numFmt w:val="bullet"/>
      <w:lvlText w:val="●"/>
      <w:lvlJc w:val="left"/>
      <w:pPr>
        <w:ind w:left="5040" w:hanging="360"/>
      </w:pPr>
    </w:lvl>
    <w:lvl w:ilvl="7" w:tplc="A530C666">
      <w:start w:val="1"/>
      <w:numFmt w:val="bullet"/>
      <w:lvlText w:val="●"/>
      <w:lvlJc w:val="left"/>
      <w:pPr>
        <w:ind w:left="5760" w:hanging="360"/>
      </w:pPr>
    </w:lvl>
    <w:lvl w:ilvl="8" w:tplc="E2740AB2">
      <w:start w:val="1"/>
      <w:numFmt w:val="bullet"/>
      <w:lvlText w:val="●"/>
      <w:lvlJc w:val="left"/>
      <w:pPr>
        <w:ind w:left="6480" w:hanging="360"/>
      </w:pPr>
    </w:lvl>
  </w:abstractNum>
  <w:abstractNum w:abstractNumId="1" w15:restartNumberingAfterBreak="0">
    <w:nsid w:val="6BC1090E"/>
    <w:multiLevelType w:val="multilevel"/>
    <w:tmpl w:val="3ECA2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9995784">
    <w:abstractNumId w:val="0"/>
    <w:lvlOverride w:ilvl="0">
      <w:startOverride w:val="1"/>
    </w:lvlOverride>
  </w:num>
  <w:num w:numId="2" w16cid:durableId="17181613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IzNjQ1NDQzNzY1NDFS0lEKTi0uzszPAykwrAUAM+nnIywAAAA="/>
  </w:docVars>
  <w:rsids>
    <w:rsidRoot w:val="00462F1A"/>
    <w:rsid w:val="00092327"/>
    <w:rsid w:val="00120AAE"/>
    <w:rsid w:val="001621E3"/>
    <w:rsid w:val="002D6D46"/>
    <w:rsid w:val="00304174"/>
    <w:rsid w:val="00322EC3"/>
    <w:rsid w:val="003B625C"/>
    <w:rsid w:val="003D423E"/>
    <w:rsid w:val="00462F1A"/>
    <w:rsid w:val="004B42D9"/>
    <w:rsid w:val="004E618C"/>
    <w:rsid w:val="005164F5"/>
    <w:rsid w:val="00547DC5"/>
    <w:rsid w:val="00562A02"/>
    <w:rsid w:val="00580B81"/>
    <w:rsid w:val="00671373"/>
    <w:rsid w:val="00793F24"/>
    <w:rsid w:val="007A4E37"/>
    <w:rsid w:val="00864BEB"/>
    <w:rsid w:val="00883D73"/>
    <w:rsid w:val="008A4E7F"/>
    <w:rsid w:val="009906A6"/>
    <w:rsid w:val="00A104C0"/>
    <w:rsid w:val="00A84CFB"/>
    <w:rsid w:val="00A960E6"/>
    <w:rsid w:val="00AF098C"/>
    <w:rsid w:val="00B10AF0"/>
    <w:rsid w:val="00BA0F01"/>
    <w:rsid w:val="00C62B7A"/>
    <w:rsid w:val="00D40232"/>
    <w:rsid w:val="00D62974"/>
    <w:rsid w:val="00D632B8"/>
    <w:rsid w:val="00D64FD3"/>
    <w:rsid w:val="00DC4AC2"/>
    <w:rsid w:val="00E6197D"/>
    <w:rsid w:val="00E857BF"/>
    <w:rsid w:val="00F024E7"/>
    <w:rsid w:val="00F10577"/>
    <w:rsid w:val="00F45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82103"/>
  <w15:docId w15:val="{A38722EE-64D4-4379-8F2E-2ED649933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link w:val="Heading1Char"/>
    <w:uiPriority w:val="9"/>
    <w:qFormat/>
    <w:pPr>
      <w:spacing w:before="320" w:after="160"/>
      <w:outlineLvl w:val="0"/>
    </w:pPr>
    <w:rPr>
      <w:b/>
      <w:bCs/>
      <w:sz w:val="28"/>
      <w:szCs w:val="28"/>
    </w:rPr>
  </w:style>
  <w:style w:type="paragraph" w:styleId="Heading2">
    <w:name w:val="heading 2"/>
    <w:uiPriority w:val="9"/>
    <w:unhideWhenUsed/>
    <w:qFormat/>
    <w:pPr>
      <w:spacing w:before="240" w:after="120"/>
      <w:outlineLvl w:val="1"/>
    </w:pPr>
    <w:rPr>
      <w:b/>
      <w:bCs/>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NormalWeb">
    <w:name w:val="Normal (Web)"/>
    <w:basedOn w:val="Normal"/>
    <w:uiPriority w:val="99"/>
    <w:semiHidden/>
    <w:unhideWhenUsed/>
    <w:rsid w:val="00AF098C"/>
    <w:pPr>
      <w:spacing w:before="100" w:beforeAutospacing="1" w:after="100" w:afterAutospacing="1"/>
    </w:pPr>
  </w:style>
  <w:style w:type="character" w:styleId="Strong">
    <w:name w:val="Strong"/>
    <w:basedOn w:val="DefaultParagraphFont"/>
    <w:uiPriority w:val="22"/>
    <w:qFormat/>
    <w:rsid w:val="00F024E7"/>
    <w:rPr>
      <w:b/>
      <w:bCs/>
    </w:rPr>
  </w:style>
  <w:style w:type="character" w:styleId="UnresolvedMention">
    <w:name w:val="Unresolved Mention"/>
    <w:basedOn w:val="DefaultParagraphFont"/>
    <w:uiPriority w:val="99"/>
    <w:semiHidden/>
    <w:unhideWhenUsed/>
    <w:rsid w:val="004E618C"/>
    <w:rPr>
      <w:color w:val="605E5C"/>
      <w:shd w:val="clear" w:color="auto" w:fill="E1DFDD"/>
    </w:rPr>
  </w:style>
  <w:style w:type="paragraph" w:styleId="Header">
    <w:name w:val="header"/>
    <w:basedOn w:val="Normal"/>
    <w:link w:val="HeaderChar"/>
    <w:uiPriority w:val="99"/>
    <w:unhideWhenUsed/>
    <w:rsid w:val="005164F5"/>
    <w:pPr>
      <w:tabs>
        <w:tab w:val="center" w:pos="4680"/>
        <w:tab w:val="right" w:pos="9360"/>
      </w:tabs>
    </w:pPr>
  </w:style>
  <w:style w:type="character" w:customStyle="1" w:styleId="HeaderChar">
    <w:name w:val="Header Char"/>
    <w:basedOn w:val="DefaultParagraphFont"/>
    <w:link w:val="Header"/>
    <w:uiPriority w:val="99"/>
    <w:rsid w:val="005164F5"/>
  </w:style>
  <w:style w:type="paragraph" w:styleId="Footer">
    <w:name w:val="footer"/>
    <w:basedOn w:val="Normal"/>
    <w:link w:val="FooterChar"/>
    <w:uiPriority w:val="99"/>
    <w:unhideWhenUsed/>
    <w:rsid w:val="005164F5"/>
    <w:pPr>
      <w:tabs>
        <w:tab w:val="center" w:pos="4680"/>
        <w:tab w:val="right" w:pos="9360"/>
      </w:tabs>
    </w:pPr>
  </w:style>
  <w:style w:type="character" w:customStyle="1" w:styleId="FooterChar">
    <w:name w:val="Footer Char"/>
    <w:basedOn w:val="DefaultParagraphFont"/>
    <w:link w:val="Footer"/>
    <w:uiPriority w:val="99"/>
    <w:rsid w:val="005164F5"/>
  </w:style>
  <w:style w:type="paragraph" w:styleId="NoSpacing">
    <w:name w:val="No Spacing"/>
    <w:uiPriority w:val="1"/>
    <w:qFormat/>
    <w:rsid w:val="00864BEB"/>
    <w:rPr>
      <w:rFonts w:asciiTheme="minorHAnsi" w:eastAsiaTheme="minorHAnsi" w:hAnsiTheme="minorHAnsi" w:cstheme="minorBidi"/>
      <w:sz w:val="22"/>
      <w:szCs w:val="22"/>
      <w:lang w:val="en-GB"/>
    </w:rPr>
  </w:style>
  <w:style w:type="character" w:customStyle="1" w:styleId="Heading1Char">
    <w:name w:val="Heading 1 Char"/>
    <w:basedOn w:val="DefaultParagraphFont"/>
    <w:link w:val="Heading1"/>
    <w:uiPriority w:val="9"/>
    <w:rsid w:val="00580B81"/>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402425">
      <w:bodyDiv w:val="1"/>
      <w:marLeft w:val="0"/>
      <w:marRight w:val="0"/>
      <w:marTop w:val="0"/>
      <w:marBottom w:val="0"/>
      <w:divBdr>
        <w:top w:val="none" w:sz="0" w:space="0" w:color="auto"/>
        <w:left w:val="none" w:sz="0" w:space="0" w:color="auto"/>
        <w:bottom w:val="none" w:sz="0" w:space="0" w:color="auto"/>
        <w:right w:val="none" w:sz="0" w:space="0" w:color="auto"/>
      </w:divBdr>
      <w:divsChild>
        <w:div w:id="824509954">
          <w:marLeft w:val="0"/>
          <w:marRight w:val="0"/>
          <w:marTop w:val="0"/>
          <w:marBottom w:val="0"/>
          <w:divBdr>
            <w:top w:val="none" w:sz="0" w:space="0" w:color="auto"/>
            <w:left w:val="none" w:sz="0" w:space="0" w:color="auto"/>
            <w:bottom w:val="none" w:sz="0" w:space="0" w:color="auto"/>
            <w:right w:val="none" w:sz="0" w:space="0" w:color="auto"/>
          </w:divBdr>
          <w:divsChild>
            <w:div w:id="2037805779">
              <w:marLeft w:val="0"/>
              <w:marRight w:val="0"/>
              <w:marTop w:val="0"/>
              <w:marBottom w:val="0"/>
              <w:divBdr>
                <w:top w:val="none" w:sz="0" w:space="0" w:color="auto"/>
                <w:left w:val="none" w:sz="0" w:space="0" w:color="auto"/>
                <w:bottom w:val="none" w:sz="0" w:space="0" w:color="auto"/>
                <w:right w:val="none" w:sz="0" w:space="0" w:color="auto"/>
              </w:divBdr>
              <w:divsChild>
                <w:div w:id="469520156">
                  <w:marLeft w:val="0"/>
                  <w:marRight w:val="0"/>
                  <w:marTop w:val="0"/>
                  <w:marBottom w:val="0"/>
                  <w:divBdr>
                    <w:top w:val="none" w:sz="0" w:space="0" w:color="auto"/>
                    <w:left w:val="none" w:sz="0" w:space="0" w:color="auto"/>
                    <w:bottom w:val="none" w:sz="0" w:space="0" w:color="auto"/>
                    <w:right w:val="none" w:sz="0" w:space="0" w:color="auto"/>
                  </w:divBdr>
                  <w:divsChild>
                    <w:div w:id="471755103">
                      <w:marLeft w:val="0"/>
                      <w:marRight w:val="0"/>
                      <w:marTop w:val="0"/>
                      <w:marBottom w:val="0"/>
                      <w:divBdr>
                        <w:top w:val="none" w:sz="0" w:space="0" w:color="auto"/>
                        <w:left w:val="none" w:sz="0" w:space="0" w:color="auto"/>
                        <w:bottom w:val="none" w:sz="0" w:space="0" w:color="auto"/>
                        <w:right w:val="none" w:sz="0" w:space="0" w:color="auto"/>
                      </w:divBdr>
                      <w:divsChild>
                        <w:div w:id="239367644">
                          <w:marLeft w:val="0"/>
                          <w:marRight w:val="0"/>
                          <w:marTop w:val="0"/>
                          <w:marBottom w:val="0"/>
                          <w:divBdr>
                            <w:top w:val="none" w:sz="0" w:space="0" w:color="auto"/>
                            <w:left w:val="none" w:sz="0" w:space="0" w:color="auto"/>
                            <w:bottom w:val="none" w:sz="0" w:space="0" w:color="auto"/>
                            <w:right w:val="none" w:sz="0" w:space="0" w:color="auto"/>
                          </w:divBdr>
                          <w:divsChild>
                            <w:div w:id="103665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219917">
      <w:bodyDiv w:val="1"/>
      <w:marLeft w:val="0"/>
      <w:marRight w:val="0"/>
      <w:marTop w:val="0"/>
      <w:marBottom w:val="0"/>
      <w:divBdr>
        <w:top w:val="none" w:sz="0" w:space="0" w:color="auto"/>
        <w:left w:val="none" w:sz="0" w:space="0" w:color="auto"/>
        <w:bottom w:val="none" w:sz="0" w:space="0" w:color="auto"/>
        <w:right w:val="none" w:sz="0" w:space="0" w:color="auto"/>
      </w:divBdr>
    </w:div>
    <w:div w:id="1108428626">
      <w:bodyDiv w:val="1"/>
      <w:marLeft w:val="0"/>
      <w:marRight w:val="0"/>
      <w:marTop w:val="0"/>
      <w:marBottom w:val="0"/>
      <w:divBdr>
        <w:top w:val="none" w:sz="0" w:space="0" w:color="auto"/>
        <w:left w:val="none" w:sz="0" w:space="0" w:color="auto"/>
        <w:bottom w:val="none" w:sz="0" w:space="0" w:color="auto"/>
        <w:right w:val="none" w:sz="0" w:space="0" w:color="auto"/>
      </w:divBdr>
      <w:divsChild>
        <w:div w:id="1548491983">
          <w:marLeft w:val="0"/>
          <w:marRight w:val="0"/>
          <w:marTop w:val="0"/>
          <w:marBottom w:val="0"/>
          <w:divBdr>
            <w:top w:val="none" w:sz="0" w:space="0" w:color="auto"/>
            <w:left w:val="none" w:sz="0" w:space="0" w:color="auto"/>
            <w:bottom w:val="none" w:sz="0" w:space="0" w:color="auto"/>
            <w:right w:val="none" w:sz="0" w:space="0" w:color="auto"/>
          </w:divBdr>
          <w:divsChild>
            <w:div w:id="33581833">
              <w:marLeft w:val="0"/>
              <w:marRight w:val="0"/>
              <w:marTop w:val="0"/>
              <w:marBottom w:val="0"/>
              <w:divBdr>
                <w:top w:val="none" w:sz="0" w:space="0" w:color="auto"/>
                <w:left w:val="none" w:sz="0" w:space="0" w:color="auto"/>
                <w:bottom w:val="none" w:sz="0" w:space="0" w:color="auto"/>
                <w:right w:val="none" w:sz="0" w:space="0" w:color="auto"/>
              </w:divBdr>
              <w:divsChild>
                <w:div w:id="159852293">
                  <w:marLeft w:val="0"/>
                  <w:marRight w:val="0"/>
                  <w:marTop w:val="0"/>
                  <w:marBottom w:val="0"/>
                  <w:divBdr>
                    <w:top w:val="none" w:sz="0" w:space="0" w:color="auto"/>
                    <w:left w:val="none" w:sz="0" w:space="0" w:color="auto"/>
                    <w:bottom w:val="none" w:sz="0" w:space="0" w:color="auto"/>
                    <w:right w:val="none" w:sz="0" w:space="0" w:color="auto"/>
                  </w:divBdr>
                  <w:divsChild>
                    <w:div w:id="192576511">
                      <w:marLeft w:val="0"/>
                      <w:marRight w:val="0"/>
                      <w:marTop w:val="0"/>
                      <w:marBottom w:val="0"/>
                      <w:divBdr>
                        <w:top w:val="none" w:sz="0" w:space="0" w:color="auto"/>
                        <w:left w:val="none" w:sz="0" w:space="0" w:color="auto"/>
                        <w:bottom w:val="none" w:sz="0" w:space="0" w:color="auto"/>
                        <w:right w:val="none" w:sz="0" w:space="0" w:color="auto"/>
                      </w:divBdr>
                      <w:divsChild>
                        <w:div w:id="1378896184">
                          <w:marLeft w:val="0"/>
                          <w:marRight w:val="0"/>
                          <w:marTop w:val="0"/>
                          <w:marBottom w:val="0"/>
                          <w:divBdr>
                            <w:top w:val="none" w:sz="0" w:space="0" w:color="auto"/>
                            <w:left w:val="none" w:sz="0" w:space="0" w:color="auto"/>
                            <w:bottom w:val="none" w:sz="0" w:space="0" w:color="auto"/>
                            <w:right w:val="none" w:sz="0" w:space="0" w:color="auto"/>
                          </w:divBdr>
                          <w:divsChild>
                            <w:div w:id="79791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134949">
      <w:bodyDiv w:val="1"/>
      <w:marLeft w:val="0"/>
      <w:marRight w:val="0"/>
      <w:marTop w:val="0"/>
      <w:marBottom w:val="0"/>
      <w:divBdr>
        <w:top w:val="none" w:sz="0" w:space="0" w:color="auto"/>
        <w:left w:val="none" w:sz="0" w:space="0" w:color="auto"/>
        <w:bottom w:val="none" w:sz="0" w:space="0" w:color="auto"/>
        <w:right w:val="none" w:sz="0" w:space="0" w:color="auto"/>
      </w:divBdr>
    </w:div>
    <w:div w:id="1203446276">
      <w:bodyDiv w:val="1"/>
      <w:marLeft w:val="0"/>
      <w:marRight w:val="0"/>
      <w:marTop w:val="0"/>
      <w:marBottom w:val="0"/>
      <w:divBdr>
        <w:top w:val="none" w:sz="0" w:space="0" w:color="auto"/>
        <w:left w:val="none" w:sz="0" w:space="0" w:color="auto"/>
        <w:bottom w:val="none" w:sz="0" w:space="0" w:color="auto"/>
        <w:right w:val="none" w:sz="0" w:space="0" w:color="auto"/>
      </w:divBdr>
    </w:div>
    <w:div w:id="1372724308">
      <w:bodyDiv w:val="1"/>
      <w:marLeft w:val="0"/>
      <w:marRight w:val="0"/>
      <w:marTop w:val="0"/>
      <w:marBottom w:val="0"/>
      <w:divBdr>
        <w:top w:val="none" w:sz="0" w:space="0" w:color="auto"/>
        <w:left w:val="none" w:sz="0" w:space="0" w:color="auto"/>
        <w:bottom w:val="none" w:sz="0" w:space="0" w:color="auto"/>
        <w:right w:val="none" w:sz="0" w:space="0" w:color="auto"/>
      </w:divBdr>
    </w:div>
    <w:div w:id="1930499572">
      <w:bodyDiv w:val="1"/>
      <w:marLeft w:val="0"/>
      <w:marRight w:val="0"/>
      <w:marTop w:val="0"/>
      <w:marBottom w:val="0"/>
      <w:divBdr>
        <w:top w:val="none" w:sz="0" w:space="0" w:color="auto"/>
        <w:left w:val="none" w:sz="0" w:space="0" w:color="auto"/>
        <w:bottom w:val="none" w:sz="0" w:space="0" w:color="auto"/>
        <w:right w:val="none" w:sz="0" w:space="0" w:color="auto"/>
      </w:divBdr>
    </w:div>
    <w:div w:id="21414127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1014</TotalTime>
  <Pages>25</Pages>
  <Words>7197</Words>
  <Characters>41024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1022</cp:lastModifiedBy>
  <cp:revision>27</cp:revision>
  <dcterms:created xsi:type="dcterms:W3CDTF">2026-05-03T13:51:00Z</dcterms:created>
  <dcterms:modified xsi:type="dcterms:W3CDTF">2026-05-19T07:23:00Z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9e66e6a3-0033-4db3-bf23-fb22d34b96d3</vt:lpwstr>
  </property>
</Properties>
</file>