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BF658" w14:textId="77777777" w:rsidR="00F450EC" w:rsidRPr="0049060C" w:rsidRDefault="005769F3" w:rsidP="0049060C">
      <w:pPr>
        <w:spacing w:before="240" w:after="320" w:line="360" w:lineRule="auto"/>
        <w:jc w:val="center"/>
        <w:rPr>
          <w:b/>
          <w:bCs/>
        </w:rPr>
      </w:pPr>
      <w:r w:rsidRPr="0049060C">
        <w:rPr>
          <w:b/>
          <w:bCs/>
        </w:rPr>
        <w:t>Optimising Insulin Therapy in Modern Type 2 Diabetes Care: A Narrative Review</w:t>
      </w:r>
    </w:p>
    <w:p w14:paraId="0076778C" w14:textId="77777777" w:rsidR="00A62DD7" w:rsidRPr="0049060C" w:rsidRDefault="00A62DD7" w:rsidP="0049060C">
      <w:pPr>
        <w:spacing w:after="240" w:line="360" w:lineRule="auto"/>
      </w:pPr>
    </w:p>
    <w:p w14:paraId="5BD4E6B6" w14:textId="77777777" w:rsidR="00F450EC" w:rsidRPr="0049060C" w:rsidRDefault="005769F3" w:rsidP="0049060C">
      <w:pPr>
        <w:pStyle w:val="Heading1"/>
        <w:spacing w:line="360" w:lineRule="auto"/>
        <w:rPr>
          <w:sz w:val="24"/>
          <w:szCs w:val="24"/>
        </w:rPr>
      </w:pPr>
      <w:r w:rsidRPr="0049060C">
        <w:rPr>
          <w:sz w:val="24"/>
          <w:szCs w:val="24"/>
        </w:rPr>
        <w:t>Abstract</w:t>
      </w:r>
    </w:p>
    <w:p w14:paraId="11A3BE72" w14:textId="77777777" w:rsidR="00F450EC" w:rsidRPr="0049060C" w:rsidRDefault="005769F3" w:rsidP="0049060C">
      <w:pPr>
        <w:spacing w:before="160" w:line="360" w:lineRule="auto"/>
        <w:jc w:val="both"/>
      </w:pPr>
      <w:r w:rsidRPr="0049060C">
        <w:rPr>
          <w:b/>
          <w:bCs/>
        </w:rPr>
        <w:t>Background:</w:t>
      </w:r>
    </w:p>
    <w:p w14:paraId="51CDD0B0" w14:textId="77777777" w:rsidR="000C5AD7" w:rsidRPr="0049060C" w:rsidRDefault="000C5AD7" w:rsidP="0049060C">
      <w:pPr>
        <w:pStyle w:val="NormalWeb"/>
        <w:spacing w:line="360" w:lineRule="auto"/>
      </w:pPr>
      <w:r w:rsidRPr="0049060C">
        <w:t>Type 2 diabetes mellitus is a chronic metabolic condition affecting millions of adults worldwide. Despite newer treatment modalities such as GLP-1 receptor agonists, SGLT2 inhibitors, and tirzepatide, insulin remains vital for many patients. This is particularly the case for those with advanced beta-cell dysfunction, severe hyperglycaemia, or inadequate glycaemic control despite non-insulin therapies.</w:t>
      </w:r>
    </w:p>
    <w:p w14:paraId="5FCBCF65" w14:textId="77777777" w:rsidR="00F450EC" w:rsidRPr="0049060C" w:rsidRDefault="00F450EC" w:rsidP="0049060C">
      <w:pPr>
        <w:spacing w:after="160" w:line="360" w:lineRule="auto"/>
        <w:jc w:val="both"/>
      </w:pPr>
    </w:p>
    <w:p w14:paraId="28E03F44" w14:textId="77777777" w:rsidR="00F450EC" w:rsidRPr="0049060C" w:rsidRDefault="005769F3" w:rsidP="0049060C">
      <w:pPr>
        <w:spacing w:before="160" w:line="360" w:lineRule="auto"/>
        <w:jc w:val="both"/>
      </w:pPr>
      <w:r w:rsidRPr="0049060C">
        <w:rPr>
          <w:b/>
          <w:bCs/>
        </w:rPr>
        <w:t>Objective:</w:t>
      </w:r>
    </w:p>
    <w:p w14:paraId="3DE7EAEC" w14:textId="77777777" w:rsidR="000C5AD7" w:rsidRPr="0049060C" w:rsidRDefault="000C5AD7" w:rsidP="0049060C">
      <w:pPr>
        <w:spacing w:before="160" w:line="360" w:lineRule="auto"/>
        <w:jc w:val="both"/>
      </w:pPr>
      <w:r w:rsidRPr="0049060C">
        <w:rPr>
          <w:rStyle w:val="cursor-pointer"/>
        </w:rPr>
        <w:t>This narrative review outlines the changing landscape of insulin therapy for type 2 diabetes, and focuses on personalisation of treatment, combination therapy, minimising adverse events, digital technologies and safe de-intensification.</w:t>
      </w:r>
      <w:r w:rsidRPr="0049060C">
        <w:t xml:space="preserve"> </w:t>
      </w:r>
    </w:p>
    <w:p w14:paraId="052C23B3" w14:textId="77777777" w:rsidR="00F450EC" w:rsidRPr="0049060C" w:rsidRDefault="005769F3" w:rsidP="0049060C">
      <w:pPr>
        <w:spacing w:before="160" w:line="360" w:lineRule="auto"/>
        <w:jc w:val="both"/>
      </w:pPr>
      <w:r w:rsidRPr="0049060C">
        <w:rPr>
          <w:b/>
          <w:bCs/>
        </w:rPr>
        <w:t>Methods:</w:t>
      </w:r>
    </w:p>
    <w:p w14:paraId="096233D7" w14:textId="77777777" w:rsidR="00F450EC" w:rsidRPr="0049060C" w:rsidRDefault="005769F3" w:rsidP="0049060C">
      <w:pPr>
        <w:spacing w:after="160" w:line="360" w:lineRule="auto"/>
        <w:jc w:val="both"/>
      </w:pPr>
      <w:r w:rsidRPr="0049060C">
        <w:t>Literature was reviewed from PubMed, Scopus, and Google Scholar, focusing mainly on clinical trials, systematic reviews, meta-analyses, major guidelines, and relevant expert reviews published between 2016 and 2026. Landmark older studies were included where clinically relevant.</w:t>
      </w:r>
    </w:p>
    <w:p w14:paraId="176B8039" w14:textId="77777777" w:rsidR="00F450EC" w:rsidRPr="0049060C" w:rsidRDefault="005769F3" w:rsidP="0049060C">
      <w:pPr>
        <w:spacing w:before="160" w:line="360" w:lineRule="auto"/>
        <w:jc w:val="both"/>
        <w:rPr>
          <w:b/>
          <w:bCs/>
        </w:rPr>
      </w:pPr>
      <w:r w:rsidRPr="0049060C">
        <w:rPr>
          <w:b/>
          <w:bCs/>
        </w:rPr>
        <w:t>Key Findings:</w:t>
      </w:r>
    </w:p>
    <w:p w14:paraId="1222B844" w14:textId="77777777" w:rsidR="000C5AD7" w:rsidRPr="0049060C" w:rsidRDefault="000C5AD7" w:rsidP="0049060C">
      <w:pPr>
        <w:spacing w:line="360" w:lineRule="auto"/>
      </w:pPr>
      <w:r w:rsidRPr="0049060C">
        <w:t xml:space="preserve">The use of insulin is still strongly influencing glycaemic control but is now more guided by new therapies and technologies. GLP-1 receptor agonists, SGLT2 inhibitors, and tirzepatide can be combined to lower the amount of insulin needed for treatment, help prevent weight gain, improve cardiometabolic outcomes, and decrease treatment burden in certain patients. New technologies such as smart insulin pens and digital titration devices facilitate more accurate insulin dosing and decrease the risk of hypoglycaemia. Patient-led titration and safe de-intensification are also important particularly for high-risk individuals for hypoglycaemia. </w:t>
      </w:r>
    </w:p>
    <w:p w14:paraId="5903CCF6" w14:textId="77777777" w:rsidR="000C5AD7" w:rsidRPr="0049060C" w:rsidRDefault="000C5AD7" w:rsidP="0049060C">
      <w:pPr>
        <w:spacing w:before="160" w:line="360" w:lineRule="auto"/>
        <w:jc w:val="both"/>
      </w:pPr>
    </w:p>
    <w:p w14:paraId="01DAE56B" w14:textId="77777777" w:rsidR="00F450EC" w:rsidRPr="0049060C" w:rsidRDefault="005769F3" w:rsidP="0049060C">
      <w:pPr>
        <w:spacing w:before="160" w:line="360" w:lineRule="auto"/>
        <w:jc w:val="both"/>
      </w:pPr>
      <w:r w:rsidRPr="0049060C">
        <w:rPr>
          <w:b/>
          <w:bCs/>
        </w:rPr>
        <w:t>Conclusion:</w:t>
      </w:r>
    </w:p>
    <w:p w14:paraId="459FEA80" w14:textId="77777777" w:rsidR="00F450EC" w:rsidRPr="0049060C" w:rsidRDefault="005769F3" w:rsidP="0049060C">
      <w:pPr>
        <w:spacing w:after="160" w:line="360" w:lineRule="auto"/>
        <w:jc w:val="both"/>
      </w:pPr>
      <w:r w:rsidRPr="0049060C">
        <w:t xml:space="preserve">Insulin therapy remains indispensable in type 2 diabetes care, but its optimal use now requires a more digitally supported, and patient-centred approach. The key concern is no longer whether insulin remains necessary, but how its use can be optimised to improve effectiveness and fit safely within modern type 2 diabetes </w:t>
      </w:r>
      <w:proofErr w:type="gramStart"/>
      <w:r w:rsidRPr="0049060C">
        <w:t>care..</w:t>
      </w:r>
      <w:proofErr w:type="gramEnd"/>
    </w:p>
    <w:p w14:paraId="22F405EC" w14:textId="77777777" w:rsidR="00F450EC" w:rsidRPr="0049060C" w:rsidRDefault="00F450EC" w:rsidP="0049060C">
      <w:pPr>
        <w:spacing w:line="360" w:lineRule="auto"/>
      </w:pPr>
    </w:p>
    <w:p w14:paraId="0693FBEA" w14:textId="77777777" w:rsidR="00F450EC" w:rsidRPr="0049060C" w:rsidRDefault="005769F3" w:rsidP="0049060C">
      <w:pPr>
        <w:spacing w:after="160" w:line="360" w:lineRule="auto"/>
        <w:jc w:val="both"/>
      </w:pPr>
      <w:r w:rsidRPr="0049060C">
        <w:t>Keywords: type 2 diabetes mellitus; insulin therapy; GLP-1 receptor agonists; SGLT2 inhibitors; hypoglycaemia; continuous glucose monitoring; clinical inertia; basal-bolus therapy</w:t>
      </w:r>
    </w:p>
    <w:p w14:paraId="7633F6ED" w14:textId="77777777" w:rsidR="00F450EC" w:rsidRPr="0049060C" w:rsidRDefault="00F450EC" w:rsidP="0049060C">
      <w:pPr>
        <w:spacing w:line="360" w:lineRule="auto"/>
      </w:pPr>
    </w:p>
    <w:p w14:paraId="4294E7C5" w14:textId="77777777" w:rsidR="00F450EC" w:rsidRPr="0049060C" w:rsidRDefault="005769F3" w:rsidP="0049060C">
      <w:pPr>
        <w:pStyle w:val="Heading1"/>
        <w:spacing w:line="360" w:lineRule="auto"/>
        <w:rPr>
          <w:sz w:val="24"/>
          <w:szCs w:val="24"/>
        </w:rPr>
      </w:pPr>
      <w:r w:rsidRPr="0049060C">
        <w:rPr>
          <w:sz w:val="24"/>
          <w:szCs w:val="24"/>
        </w:rPr>
        <w:t>1. Introduction</w:t>
      </w:r>
    </w:p>
    <w:p w14:paraId="658C4C34" w14:textId="77777777" w:rsidR="00F450EC" w:rsidRPr="0049060C" w:rsidRDefault="005769F3" w:rsidP="0049060C">
      <w:pPr>
        <w:spacing w:after="160" w:line="360" w:lineRule="auto"/>
        <w:jc w:val="both"/>
      </w:pPr>
      <w:r w:rsidRPr="0049060C">
        <w:t>Type 2 diabetes is one of the defining clinical burdens of this era. The International Diabetes Federation estimated in 2021 that 537 million adults were living with the condition globally, a figure projected to reach 783 million by 2045, with the majority of new diagnoses occurring in low- and middle-income countries [1]. Its complications, cardiovascular disease, chronic kidney disease, neuropathy, retinopathy, place sustained demands on both individuals and health systems across decades.</w:t>
      </w:r>
    </w:p>
    <w:p w14:paraId="52544659" w14:textId="77777777" w:rsidR="00F450EC" w:rsidRPr="0049060C" w:rsidRDefault="005769F3" w:rsidP="0049060C">
      <w:pPr>
        <w:spacing w:after="160" w:line="360" w:lineRule="auto"/>
        <w:jc w:val="both"/>
      </w:pPr>
      <w:r w:rsidRPr="0049060C">
        <w:t>The rationale for glycaemic control is well established. Landmark trials demonstrated that intensive glucose lowering reduces microvascular complications, and subsequent work has clarified the conditions under which cardiovascular benefit is achievable [2]. What has changed is the landscape within which clinicians pursue that control. In 2010, optimising insulin meant choosing between analogues and titrating doses. In 2026, it means navigating an environment that includes GLP-1 RAs, SGLT2 inhibitors, dual incretin agonists, fixed-ratio combination products, once-weekly insulins, and continuous glucose monitoring, and deciding how insulin fits into that environment for each individual patient.</w:t>
      </w:r>
    </w:p>
    <w:p w14:paraId="061BADE9" w14:textId="77777777" w:rsidR="00F450EC" w:rsidRPr="0049060C" w:rsidRDefault="005769F3" w:rsidP="0049060C">
      <w:pPr>
        <w:spacing w:after="160" w:line="360" w:lineRule="auto"/>
        <w:jc w:val="both"/>
      </w:pPr>
      <w:r w:rsidRPr="0049060C">
        <w:t>Insulin has been available for more than a century. It remains the most potent glucose-lowering agent available and the only treatment capable of compensating for near-total beta-cell failure. Yet its use in clinical practice is persistently suboptimal. Initiation is delayed, titration is inadequate, and adherence is inconsistent. This pattern, driven by patient anxiety, clinician reluctance, and system-level barriers, defines what the literature terms clinical inertia [3].</w:t>
      </w:r>
    </w:p>
    <w:p w14:paraId="6EEB747F" w14:textId="77777777" w:rsidR="00F450EC" w:rsidRPr="0049060C" w:rsidRDefault="005769F3" w:rsidP="0049060C">
      <w:pPr>
        <w:spacing w:after="160" w:line="360" w:lineRule="auto"/>
        <w:jc w:val="both"/>
      </w:pPr>
      <w:r w:rsidRPr="0049060C">
        <w:t>The emergence of newer agents has not resolved this problem. It has complicated it. GLP-1 RAs and SGLT2 inhibitors offer glycaemic efficacy comparable to many insulin regimens for patients with residual beta-cell function, alongside cardiorenal benefits that insulin does not provide. Tirzepatide, the first approved dual incretin agonist, achieves HbA1c reductions previously achievable only with intensive insulin. These findings create new clinical decision points: when combination with insulin is preferable to insulin alone, when insulin can be de-escalated without glycaemic loss, and how to sequence therapies in a disease that rarely stabilises.</w:t>
      </w:r>
    </w:p>
    <w:p w14:paraId="59E11675" w14:textId="77777777" w:rsidR="00F450EC" w:rsidRPr="0049060C" w:rsidRDefault="005769F3" w:rsidP="0049060C">
      <w:pPr>
        <w:spacing w:after="160" w:line="360" w:lineRule="auto"/>
        <w:jc w:val="both"/>
      </w:pPr>
      <w:r w:rsidRPr="0049060C">
        <w:t>This review addresses those questions by examining the pathophysiological basis for insulin therapy, the evidence on conventional and emerging regimens, the role of newer agents in optimising insulin use, strategies for special populations, and the technologies reshaping clinical practice. Literature was drawn primarily from publications between 2016 and 2026, supplemented by foundational trials where relevant.</w:t>
      </w:r>
    </w:p>
    <w:p w14:paraId="2B277D1E" w14:textId="77777777" w:rsidR="00F450EC" w:rsidRPr="0049060C" w:rsidRDefault="00F450EC" w:rsidP="0049060C">
      <w:pPr>
        <w:spacing w:line="360" w:lineRule="auto"/>
      </w:pPr>
    </w:p>
    <w:p w14:paraId="24F7AFFB" w14:textId="77777777" w:rsidR="00BC41D8" w:rsidRPr="0049060C" w:rsidRDefault="002159CB" w:rsidP="0049060C">
      <w:pPr>
        <w:pStyle w:val="Heading1"/>
        <w:spacing w:line="360" w:lineRule="auto"/>
        <w:rPr>
          <w:sz w:val="24"/>
          <w:szCs w:val="24"/>
        </w:rPr>
      </w:pPr>
      <w:r w:rsidRPr="0049060C">
        <w:rPr>
          <w:sz w:val="24"/>
          <w:szCs w:val="24"/>
        </w:rPr>
        <w:t>2. Methodology</w:t>
      </w:r>
    </w:p>
    <w:p w14:paraId="4D26FFFB" w14:textId="77777777" w:rsidR="00BC41D8" w:rsidRPr="0049060C" w:rsidRDefault="002159CB" w:rsidP="0049060C">
      <w:pPr>
        <w:spacing w:after="160" w:line="360" w:lineRule="auto"/>
        <w:jc w:val="both"/>
      </w:pPr>
      <w:r w:rsidRPr="0049060C">
        <w:t>This study was conducted as a narrative review of published literature on insulin therapy in type 2 diabetes mellitus, with particular attention to its evolving role in the context of newer pharmacological agents and diabetes technologies. The review was designed to provide a clinically focused synthesis rather than a formal systematic review or meta-analysis.</w:t>
      </w:r>
    </w:p>
    <w:p w14:paraId="6C372B2E" w14:textId="77777777" w:rsidR="00BC41D8" w:rsidRPr="0049060C" w:rsidRDefault="002159CB" w:rsidP="0049060C">
      <w:pPr>
        <w:pStyle w:val="Heading2"/>
        <w:spacing w:line="360" w:lineRule="auto"/>
      </w:pPr>
      <w:r w:rsidRPr="0049060C">
        <w:t>Literature Search Strategy</w:t>
      </w:r>
    </w:p>
    <w:p w14:paraId="1B806C3D" w14:textId="77777777" w:rsidR="00BC41D8" w:rsidRPr="0049060C" w:rsidRDefault="002159CB" w:rsidP="0049060C">
      <w:pPr>
        <w:spacing w:after="160" w:line="360" w:lineRule="auto"/>
        <w:jc w:val="both"/>
      </w:pPr>
      <w:r w:rsidRPr="0049060C">
        <w:t>A literature search was conducted using PubMed, Scopus, and Google Scholar. The search focused primarily on articles published between 2016 and 2026, although older landmark studies were included where they provided foundational evidence relevant to insulin therapy, glycaemic control, or diabetes outcomes. Search terms included "insulin therapy," "type 2 diabetes," "basal insulin," "basal-bolus insulin," "GLP-1 receptor agonist," "SGLT2 inhibitor," "tirzepatide," "hypoglycaemia," "clinical inertia," "continuous glucose monitoring," "smart insulin pen," "insulin titration," and "insulin optimisation." Boolean combinations such as "type 2 diabetes AND insulin therapy" and "basal insulin AND GLP-1 receptor agonist" were also used.</w:t>
      </w:r>
    </w:p>
    <w:p w14:paraId="28C522A0" w14:textId="77777777" w:rsidR="00BC41D8" w:rsidRPr="0049060C" w:rsidRDefault="002159CB" w:rsidP="0049060C">
      <w:pPr>
        <w:pStyle w:val="Heading2"/>
        <w:spacing w:line="360" w:lineRule="auto"/>
      </w:pPr>
      <w:r w:rsidRPr="0049060C">
        <w:t>Inclusion Criteria</w:t>
      </w:r>
    </w:p>
    <w:p w14:paraId="2DCE0C06" w14:textId="77777777" w:rsidR="00BC41D8" w:rsidRPr="0049060C" w:rsidRDefault="002159CB" w:rsidP="0049060C">
      <w:pPr>
        <w:spacing w:after="160" w:line="360" w:lineRule="auto"/>
        <w:jc w:val="both"/>
      </w:pPr>
      <w:r w:rsidRPr="0049060C">
        <w:t>Articles were included if they addressed insulin therapy in adults with type 2 diabetes mellitus, the use of insulin in combination with newer glucose-lowering therapies, insulin initiation or intensification, insulin de-intensification, hypoglycaemia prevention, clinical inertia, continuous glucose monitoring, smart insulin technologies, or treatment individualisation. Priority was given to randomised clinical trials, systematic reviews, meta-analyses, major clinical guidelines, consensus statements, and clinically relevant narrative reviews.</w:t>
      </w:r>
    </w:p>
    <w:p w14:paraId="54B008FC" w14:textId="77777777" w:rsidR="00BC41D8" w:rsidRPr="0049060C" w:rsidRDefault="002159CB" w:rsidP="0049060C">
      <w:pPr>
        <w:pStyle w:val="Heading2"/>
        <w:spacing w:line="360" w:lineRule="auto"/>
      </w:pPr>
      <w:r w:rsidRPr="0049060C">
        <w:t>Exclusion Criteria</w:t>
      </w:r>
    </w:p>
    <w:p w14:paraId="00559E57" w14:textId="77777777" w:rsidR="00BC41D8" w:rsidRPr="0049060C" w:rsidRDefault="002159CB" w:rsidP="0049060C">
      <w:pPr>
        <w:spacing w:after="160" w:line="360" w:lineRule="auto"/>
        <w:jc w:val="both"/>
      </w:pPr>
      <w:r w:rsidRPr="0049060C">
        <w:t>Articles were excluded if they focused exclusively on type 1 diabetes, paediatric diabetes, gestational diabetes, animal studies, basic science mechanisms without direct clinical relevance, or therapies unrelated to insulin optimisation in type 2 diabetes. Duplicate records, articles with insufficient methodological clarity, and commentaries or opinion pieces without substantial clinical evidence were also excluded.</w:t>
      </w:r>
    </w:p>
    <w:p w14:paraId="6FA82D92" w14:textId="77777777" w:rsidR="00BC41D8" w:rsidRPr="0049060C" w:rsidRDefault="002159CB" w:rsidP="0049060C">
      <w:pPr>
        <w:pStyle w:val="Heading2"/>
        <w:spacing w:line="360" w:lineRule="auto"/>
      </w:pPr>
      <w:r w:rsidRPr="0049060C">
        <w:t>Article Selection and Review Process</w:t>
      </w:r>
    </w:p>
    <w:p w14:paraId="21E91C33" w14:textId="77777777" w:rsidR="00BC41D8" w:rsidRPr="0049060C" w:rsidRDefault="002159CB" w:rsidP="0049060C">
      <w:pPr>
        <w:spacing w:after="160" w:line="360" w:lineRule="auto"/>
        <w:jc w:val="both"/>
      </w:pPr>
      <w:r w:rsidRPr="0049060C">
        <w:t>Titles and abstracts were first screened for relevance to the objectives of the review. Full-text articles were then assessed where the abstract suggested relevance to insulin therapy, combination treatment, emerging therapies, or diabetes technology. Evidence was synthesised narratively according to major themes, including the rationale for insulin use, conventional insulin regimens, emerging therapeutic approaches, combination therapy, special populations, technology-assisted insulin optimisation, and practical clinical recommendations.</w:t>
      </w:r>
    </w:p>
    <w:p w14:paraId="06EB9072" w14:textId="77777777" w:rsidR="00BC41D8" w:rsidRPr="0049060C" w:rsidRDefault="002159CB" w:rsidP="0049060C">
      <w:pPr>
        <w:pStyle w:val="Heading2"/>
        <w:spacing w:line="360" w:lineRule="auto"/>
      </w:pPr>
      <w:r w:rsidRPr="0049060C">
        <w:t>Number of Articles Reviewed</w:t>
      </w:r>
    </w:p>
    <w:p w14:paraId="16111692" w14:textId="77777777" w:rsidR="00BC41D8" w:rsidRPr="0049060C" w:rsidRDefault="002159CB" w:rsidP="0049060C">
      <w:pPr>
        <w:spacing w:after="160" w:line="360" w:lineRule="auto"/>
        <w:jc w:val="both"/>
      </w:pPr>
      <w:r w:rsidRPr="0049060C">
        <w:t>A total of 55 articles were included and reviewed in the final synthesis. These included clinical trials, systematic reviews, meta-analyses, major clinical guidelines, consensus statements, and selected landmark studies relevant to insulin therapy in type 2 diabetes mellitus. Because this was a narrative review, no formal meta-analysis, pooled effect estimate, or structured risk-of-bias assessment was performed.</w:t>
      </w:r>
    </w:p>
    <w:p w14:paraId="289B9883" w14:textId="77777777" w:rsidR="00F450EC" w:rsidRPr="0049060C" w:rsidRDefault="005769F3" w:rsidP="0049060C">
      <w:pPr>
        <w:pStyle w:val="Heading1"/>
        <w:spacing w:line="360" w:lineRule="auto"/>
        <w:rPr>
          <w:sz w:val="24"/>
          <w:szCs w:val="24"/>
        </w:rPr>
      </w:pPr>
      <w:r w:rsidRPr="0049060C">
        <w:rPr>
          <w:sz w:val="24"/>
          <w:szCs w:val="24"/>
        </w:rPr>
        <w:t>3. Pathophysiology and the Rationale for Insulin</w:t>
      </w:r>
    </w:p>
    <w:p w14:paraId="74369947" w14:textId="77777777" w:rsidR="00F450EC" w:rsidRPr="0049060C" w:rsidRDefault="005769F3" w:rsidP="0049060C">
      <w:pPr>
        <w:spacing w:after="160" w:line="360" w:lineRule="auto"/>
        <w:jc w:val="both"/>
      </w:pPr>
      <w:r w:rsidRPr="0049060C">
        <w:t>T2DM arises from the interaction of peripheral insulin resistance, in skeletal muscle, liver, and adipose tissue, with progressive beta-cell dysfunction. In early disease, compensatory hyperinsulinaemia maintains near-normal glycaemia. Over time, however, glucotoxicity, lipotoxicity, oxidative stress, and inflammatory signalling erode beta-cell function in a manner that is heterogeneous and not fully predictable [4]. Longitudinal data demonstrate that beta-cell decline varies substantially across individuals: some retain meaningful functional reserve for decades, while others show significant impairment at diagnosis [5].</w:t>
      </w:r>
    </w:p>
    <w:p w14:paraId="6DA321C4" w14:textId="77777777" w:rsidR="00F450EC" w:rsidRPr="0049060C" w:rsidRDefault="005769F3" w:rsidP="0049060C">
      <w:pPr>
        <w:spacing w:after="160" w:line="360" w:lineRule="auto"/>
        <w:jc w:val="both"/>
      </w:pPr>
      <w:r w:rsidRPr="0049060C">
        <w:t>The clinical implications of this heterogeneity are underappreciated. First-phase insulin secretion is lost early, producing postprandial hyperglycaemia before fasting glucose is affected [6]. Incretin activity, particularly GLP-1-mediated insulin secretion enhancement and glucagon suppression, is impaired in established T2DM, blunting the postprandial response to nutrient ingestion [7]. These changes explain why exogenous insulin eventually becomes necessary when endogenous capacity is exhausted.</w:t>
      </w:r>
    </w:p>
    <w:p w14:paraId="2653487A" w14:textId="77777777" w:rsidR="00F450EC" w:rsidRPr="0049060C" w:rsidRDefault="005769F3" w:rsidP="0049060C">
      <w:pPr>
        <w:spacing w:after="160" w:line="360" w:lineRule="auto"/>
        <w:jc w:val="both"/>
      </w:pPr>
      <w:r w:rsidRPr="0049060C">
        <w:t>Critically, the transition to insulin reflects disease progression, not therapeutic failure. Delayed initiation prolongs hyperglycaemia and its consequences. Premature initiation exposes patients to hypoglycaemia and weight gain without commensurate benefit. Identifying when beta-cell reserve has become genuinely insufficient for non-insulin therapy is the central clinical challenge, and no single biomarker currently defines that threshold with precision [8].</w:t>
      </w:r>
    </w:p>
    <w:p w14:paraId="641035ED" w14:textId="77777777" w:rsidR="00F450EC" w:rsidRPr="0049060C" w:rsidRDefault="00F450EC" w:rsidP="0049060C">
      <w:pPr>
        <w:spacing w:line="360" w:lineRule="auto"/>
      </w:pPr>
    </w:p>
    <w:p w14:paraId="5CF1BB7C" w14:textId="77777777" w:rsidR="005769F3" w:rsidRPr="0049060C" w:rsidRDefault="005769F3" w:rsidP="0049060C">
      <w:pPr>
        <w:pStyle w:val="Heading1"/>
        <w:spacing w:line="360" w:lineRule="auto"/>
        <w:rPr>
          <w:sz w:val="24"/>
          <w:szCs w:val="24"/>
        </w:rPr>
      </w:pPr>
    </w:p>
    <w:p w14:paraId="40B25D96" w14:textId="77777777" w:rsidR="005769F3" w:rsidRPr="0049060C" w:rsidRDefault="005769F3" w:rsidP="0049060C">
      <w:pPr>
        <w:pStyle w:val="Heading1"/>
        <w:spacing w:line="360" w:lineRule="auto"/>
        <w:rPr>
          <w:sz w:val="24"/>
          <w:szCs w:val="24"/>
        </w:rPr>
      </w:pPr>
    </w:p>
    <w:p w14:paraId="15BD1FA8" w14:textId="77777777" w:rsidR="00F450EC" w:rsidRPr="0049060C" w:rsidRDefault="005769F3" w:rsidP="0049060C">
      <w:pPr>
        <w:pStyle w:val="Heading1"/>
        <w:spacing w:line="360" w:lineRule="auto"/>
        <w:rPr>
          <w:sz w:val="24"/>
          <w:szCs w:val="24"/>
        </w:rPr>
      </w:pPr>
      <w:r w:rsidRPr="0049060C">
        <w:rPr>
          <w:sz w:val="24"/>
          <w:szCs w:val="24"/>
        </w:rPr>
        <w:t>4. Indications for Insulin Therapy</w:t>
      </w:r>
    </w:p>
    <w:p w14:paraId="1374338B" w14:textId="77777777" w:rsidR="00F450EC" w:rsidRPr="0049060C" w:rsidRDefault="005769F3" w:rsidP="0049060C">
      <w:pPr>
        <w:spacing w:after="160" w:line="360" w:lineRule="auto"/>
        <w:jc w:val="both"/>
      </w:pPr>
      <w:r w:rsidRPr="0049060C">
        <w:t>Current ADA/EASD consensus guidance identifies several clinical scenarios in which insulin therapy is indicated in T2DM [9]. The most common is persistent hyperglycaemia despite optimised non-insulin therapy. When HbA1c remains above an individually agreed target on dual or triple oral therapy, the addition of basal insulin is generally appropriate. The threshold should account for the degree of hyperglycaemia, the patient's cardiorenal risk profile, and the trajectory of beta-cell decline rather than any fixed numerical rule.</w:t>
      </w:r>
    </w:p>
    <w:p w14:paraId="6BEA2838" w14:textId="77777777" w:rsidR="00F450EC" w:rsidRPr="0049060C" w:rsidRDefault="005769F3" w:rsidP="0049060C">
      <w:pPr>
        <w:spacing w:after="160" w:line="360" w:lineRule="auto"/>
        <w:jc w:val="both"/>
      </w:pPr>
      <w:r w:rsidRPr="0049060C">
        <w:t>Severe hyperglycaemia at presentation constitutes a distinct indication. Patients with HbA1c above 10 to 11 percent, or with symptomatic polyuria and weight loss, often benefit from a period of insulin therapy to rapidly correct glucose toxicity and allow residual beta-cell function to recover [10]. A proportion of these patients can subsequently discontinue insulin following metabolic stabilisation, though many will require continued pharmacological escalation.</w:t>
      </w:r>
    </w:p>
    <w:p w14:paraId="1115EC8D" w14:textId="77777777" w:rsidR="00F450EC" w:rsidRPr="0049060C" w:rsidRDefault="005769F3" w:rsidP="0049060C">
      <w:pPr>
        <w:spacing w:after="160" w:line="360" w:lineRule="auto"/>
        <w:jc w:val="both"/>
      </w:pPr>
      <w:r w:rsidRPr="0049060C">
        <w:t>Acute clinical settings represent a third category. Major intercurrent illness, surgical procedures, corticosteroid use, and hospitalisation generate insulin resistance and stress-induced hyperglycaemia that non-insulin agents cannot reliably manage. Insulin infusions or subcutaneous regimens provide the flexibility and potency required in these settings [11]. Oral agents are generally withheld during acute illness, given the risks of lactic acidosis with metformin in states of impaired renal perfusion, and volume depletion with SGLT2 inhibitors in haemodynamically compromised patients.</w:t>
      </w:r>
    </w:p>
    <w:p w14:paraId="1120889C" w14:textId="77777777" w:rsidR="00F450EC" w:rsidRPr="0049060C" w:rsidRDefault="005769F3" w:rsidP="0049060C">
      <w:pPr>
        <w:spacing w:after="160" w:line="360" w:lineRule="auto"/>
        <w:jc w:val="both"/>
      </w:pPr>
      <w:r w:rsidRPr="0049060C">
        <w:t>Pregnancy warrants specific mention. Insulin remains the preferred treatment for hyperglycaemia in women with pre-existing T2DM or gestational diabetes requiring pharmacotherapy beyond lifestyle measures, given the limited safety data for most oral agents in this context [12].</w:t>
      </w:r>
    </w:p>
    <w:p w14:paraId="282582AB" w14:textId="77777777" w:rsidR="00F450EC" w:rsidRPr="0049060C" w:rsidRDefault="00F450EC" w:rsidP="0049060C">
      <w:pPr>
        <w:spacing w:line="360" w:lineRule="auto"/>
      </w:pPr>
    </w:p>
    <w:p w14:paraId="4212A43A" w14:textId="77777777" w:rsidR="005769F3" w:rsidRPr="0049060C" w:rsidRDefault="005769F3" w:rsidP="0049060C">
      <w:pPr>
        <w:pStyle w:val="Heading1"/>
        <w:spacing w:line="360" w:lineRule="auto"/>
        <w:rPr>
          <w:sz w:val="24"/>
          <w:szCs w:val="24"/>
        </w:rPr>
      </w:pPr>
    </w:p>
    <w:p w14:paraId="60331132" w14:textId="77777777" w:rsidR="005769F3" w:rsidRPr="0049060C" w:rsidRDefault="005769F3" w:rsidP="0049060C">
      <w:pPr>
        <w:pStyle w:val="Heading1"/>
        <w:spacing w:line="360" w:lineRule="auto"/>
        <w:rPr>
          <w:sz w:val="24"/>
          <w:szCs w:val="24"/>
        </w:rPr>
      </w:pPr>
    </w:p>
    <w:p w14:paraId="222799FC" w14:textId="77777777" w:rsidR="00F450EC" w:rsidRPr="0049060C" w:rsidRDefault="005769F3" w:rsidP="0049060C">
      <w:pPr>
        <w:pStyle w:val="Heading1"/>
        <w:spacing w:line="360" w:lineRule="auto"/>
        <w:rPr>
          <w:sz w:val="24"/>
          <w:szCs w:val="24"/>
        </w:rPr>
      </w:pPr>
      <w:r w:rsidRPr="0049060C">
        <w:rPr>
          <w:sz w:val="24"/>
          <w:szCs w:val="24"/>
        </w:rPr>
        <w:t>5. Conventional Insulin Regimens</w:t>
      </w:r>
    </w:p>
    <w:p w14:paraId="644B24D2" w14:textId="77777777" w:rsidR="00F450EC" w:rsidRPr="0049060C" w:rsidRDefault="005769F3" w:rsidP="0049060C">
      <w:pPr>
        <w:pStyle w:val="Heading2"/>
        <w:spacing w:line="360" w:lineRule="auto"/>
      </w:pPr>
      <w:r w:rsidRPr="0049060C">
        <w:t>5.1 Basal Insulin</w:t>
      </w:r>
    </w:p>
    <w:p w14:paraId="31D0890C" w14:textId="77777777" w:rsidR="00F450EC" w:rsidRPr="0049060C" w:rsidRDefault="005769F3" w:rsidP="0049060C">
      <w:pPr>
        <w:spacing w:after="160" w:line="360" w:lineRule="auto"/>
        <w:jc w:val="both"/>
      </w:pPr>
      <w:r w:rsidRPr="0049060C">
        <w:t>Basal insulin controls fasting and overnight glucose by suppressing hepatic glucose output across inter-meal and nocturnal periods. Second-generation analogues, including insulin glargine U-300, insulin degludec, and glargine U-100, have largely displaced NPH insulin in routine practice, primarily because of their flatter pharmacokinetic profiles and lower rates of nocturnal hypoglycaemia [13]. Insulin degludec, with a half-life exceeding 25 hours, produces a particularly stable concentration-action profile that allows flexible injection timing and appears to reduce hypoglycaemia at equivalent HbA1c compared with glargine U-100 in randomised trials [14].</w:t>
      </w:r>
    </w:p>
    <w:p w14:paraId="28265565" w14:textId="77777777" w:rsidR="00F450EC" w:rsidRPr="0049060C" w:rsidRDefault="005769F3" w:rsidP="0049060C">
      <w:pPr>
        <w:spacing w:after="160" w:line="360" w:lineRule="auto"/>
        <w:jc w:val="both"/>
      </w:pPr>
      <w:r w:rsidRPr="0049060C">
        <w:t>Basal insulin is typically the first injectable agent added when oral therapy proves insufficient. Its simplicity, predictable titration, and once-daily dosing make it well suited to primary care initiation. Its central limitation is the inability to address postprandial glucose excursions, which become the dominant driver of HbA1c once fasting glucose is controlled. Patients who achieve adequate fasting glucose on basal insulin but remain above HbA1c target usually have predominantly postprandial hyperglycaemia that requires a distinct therapeutic response: a GLP-1 RA, prandial insulin, or a short-acting secretagogue [15].</w:t>
      </w:r>
    </w:p>
    <w:p w14:paraId="61A6DAD5" w14:textId="77777777" w:rsidR="00F450EC" w:rsidRPr="0049060C" w:rsidRDefault="005769F3" w:rsidP="0049060C">
      <w:pPr>
        <w:pStyle w:val="Heading2"/>
        <w:spacing w:line="360" w:lineRule="auto"/>
      </w:pPr>
      <w:r w:rsidRPr="0049060C">
        <w:t>5.2 Basal-Bolus Therapy</w:t>
      </w:r>
    </w:p>
    <w:p w14:paraId="592600BC" w14:textId="77777777" w:rsidR="00F450EC" w:rsidRPr="0049060C" w:rsidRDefault="005769F3" w:rsidP="0049060C">
      <w:pPr>
        <w:spacing w:after="160" w:line="360" w:lineRule="auto"/>
        <w:jc w:val="both"/>
      </w:pPr>
      <w:r w:rsidRPr="0049060C">
        <w:t>The basal-bolus regimen combines a long-acting basal insulin with rapid-acting prandial doses before each main meal, approximating the physiological pattern of continuous basal secretion punctuated by meal-stimulated spikes. It offers the greatest glycaemic flexibility and the highest ceiling for glucose lowering, making it the preferred approach for patients with advanced beta-cell failure, large postprandial excursions, or highly variable meal patterns [16]. Those strengths come at a cost: multiple daily injections, pre-meal dose calculation based on carbohydrate content and anticipated activity, and frequent self-monitoring impose substantial burdens. Hypoglycaemia rates exceed those of basal insulin alone, and weight gain is amplified. Randomised comparisons in T2DM have found that basal-bolus regimens do not consistently produce superior HbA1c reductions compared with simpler alternatives in real-world clinical settings, where protocol adherence is inevitably imperfect [17].</w:t>
      </w:r>
    </w:p>
    <w:p w14:paraId="21F70098" w14:textId="77777777" w:rsidR="00F450EC" w:rsidRPr="0049060C" w:rsidRDefault="005769F3" w:rsidP="0049060C">
      <w:pPr>
        <w:pStyle w:val="Heading2"/>
        <w:spacing w:line="360" w:lineRule="auto"/>
      </w:pPr>
      <w:r w:rsidRPr="0049060C">
        <w:t>5.3 Premixed Insulin</w:t>
      </w:r>
    </w:p>
    <w:p w14:paraId="1BDE87F6" w14:textId="77777777" w:rsidR="00F450EC" w:rsidRPr="0049060C" w:rsidRDefault="005769F3" w:rsidP="0049060C">
      <w:pPr>
        <w:spacing w:after="160" w:line="360" w:lineRule="auto"/>
        <w:jc w:val="both"/>
      </w:pPr>
      <w:r w:rsidRPr="0049060C">
        <w:t xml:space="preserve">Premixed preparations combine fixed proportions of intermediate-acting and rapid-acting insulin, typically 70/30 or 75/25, in twice-daily injection before breakfast and the evening meal. They offer a simpler alternative to basal-bolus therapy and may suit patients in settings </w:t>
      </w:r>
      <w:proofErr w:type="gramStart"/>
      <w:r w:rsidRPr="0049060C">
        <w:t>where</w:t>
      </w:r>
      <w:proofErr w:type="gramEnd"/>
      <w:r w:rsidRPr="0049060C">
        <w:t xml:space="preserve"> refrigeration, device access, or health literacy limits more complex management [18]. Their central disadvantage is inflexibility. Fixed ratios cannot be independently titrated when fasting and postprandial glucose problems diverge. They require consistent meal timing and carbohydrate intake to limit hypoglycaemia, carry higher hypoglycaemia rates than basal insulin alone, and suit patients with irregular schedules poorly. Contemporary guidelines position them as an option for specific patient populations rather than a default progression from basal therapy.</w:t>
      </w:r>
    </w:p>
    <w:p w14:paraId="43129972" w14:textId="77777777" w:rsidR="00F450EC" w:rsidRPr="0049060C" w:rsidRDefault="00F450EC" w:rsidP="0049060C">
      <w:pPr>
        <w:spacing w:line="360" w:lineRule="auto"/>
      </w:pPr>
    </w:p>
    <w:p w14:paraId="3B958348" w14:textId="77777777" w:rsidR="00F450EC" w:rsidRPr="0049060C" w:rsidRDefault="005769F3" w:rsidP="0049060C">
      <w:pPr>
        <w:pStyle w:val="Heading1"/>
        <w:spacing w:line="360" w:lineRule="auto"/>
        <w:rPr>
          <w:sz w:val="24"/>
          <w:szCs w:val="24"/>
        </w:rPr>
      </w:pPr>
      <w:r w:rsidRPr="0049060C">
        <w:rPr>
          <w:sz w:val="24"/>
          <w:szCs w:val="24"/>
        </w:rPr>
        <w:t>6. Challenges in Insulin Therapy</w:t>
      </w:r>
    </w:p>
    <w:p w14:paraId="71DA24F7" w14:textId="77777777" w:rsidR="00F450EC" w:rsidRPr="0049060C" w:rsidRDefault="005769F3" w:rsidP="0049060C">
      <w:pPr>
        <w:spacing w:after="160" w:line="360" w:lineRule="auto"/>
        <w:jc w:val="both"/>
      </w:pPr>
      <w:r w:rsidRPr="0049060C">
        <w:t>Hypoglycaemia is the most clinically significant adverse effect of insulin and the most powerful deterrent to its appropriate use. Severe episodes, defined as those requiring external assistance, carry acute risks including cardiac arrhythmia, falls, motor vehicle accidents, and, in older patients, precipitating acute cardiovascular events [19]. Non-severe episodes are also consequential: they disrupt sleep, impair cognition, and sustain a fear of hypoglycaemia that drives deliberate under-dosing by patients and conservative prescribing by clinicians. Both behaviours contribute directly to persistently elevated HbA1c in people on insulin [20].</w:t>
      </w:r>
    </w:p>
    <w:p w14:paraId="58C90054" w14:textId="77777777" w:rsidR="00F450EC" w:rsidRPr="0049060C" w:rsidRDefault="005769F3" w:rsidP="0049060C">
      <w:pPr>
        <w:spacing w:after="160" w:line="360" w:lineRule="auto"/>
        <w:jc w:val="both"/>
      </w:pPr>
      <w:r w:rsidRPr="0049060C">
        <w:t>Insulin-associated weight gain compounds the metabolic risks of a condition defined by adiposity. Insulin promotes lipogenesis and stimulates appetite, producing mean weight gains of 2 to 5 kilograms in basal insulin trials and greater gains with basal-bolus regimens [21]. Weight gain worsens insulin resistance and drives progressive dose increases, creating a cycle that is difficult to interrupt without adjunctive therapy.</w:t>
      </w:r>
    </w:p>
    <w:p w14:paraId="321E863C" w14:textId="77777777" w:rsidR="00F450EC" w:rsidRPr="0049060C" w:rsidRDefault="005769F3" w:rsidP="0049060C">
      <w:pPr>
        <w:spacing w:after="160" w:line="360" w:lineRule="auto"/>
        <w:jc w:val="both"/>
      </w:pPr>
      <w:r w:rsidRPr="0049060C">
        <w:t>Clinical inertia in insulin management is pervasive. Real-world data from multiple health systems demonstrate that patients with T2DM spend years with HbA1c above target before insulin is initiated, and that once started, doses are frequently undertitrated relative to evidence-based protocols [22]. The causes include time constraints in clinical consultations, concern about inducing hypoglycaemia, therapeutic nihilism about long-term diabetes outcomes, and the practical complexity of adding insulin management to already burdened clinical encounters.</w:t>
      </w:r>
    </w:p>
    <w:p w14:paraId="58107EF7" w14:textId="77777777" w:rsidR="00F450EC" w:rsidRPr="0049060C" w:rsidRDefault="005769F3" w:rsidP="0049060C">
      <w:pPr>
        <w:spacing w:after="160" w:line="360" w:lineRule="auto"/>
        <w:jc w:val="both"/>
      </w:pPr>
      <w:r w:rsidRPr="0049060C">
        <w:t>Access barriers, particularly in low- and middle-income settings, impose constraints that clinical optimisation cannot overcome. Cost, supply chain reliability, device availability, and glucose monitoring infrastructure collectively determine whether any insulin regimen can be implemented in practice. The Lancet Commission on Diabetes estimated that approximately half of the people globally who require insulin do not have reliable access to it [23, 24]. Any discussion of optimisation that does not acknowledge this global gap is incomplete.</w:t>
      </w:r>
    </w:p>
    <w:p w14:paraId="0BE3BB66" w14:textId="77777777" w:rsidR="00F450EC" w:rsidRPr="0049060C" w:rsidRDefault="005769F3" w:rsidP="0049060C">
      <w:pPr>
        <w:spacing w:after="160" w:line="360" w:lineRule="auto"/>
        <w:jc w:val="both"/>
      </w:pPr>
      <w:r w:rsidRPr="0049060C">
        <w:t>Psychosocial barriers are at least as important as pharmacological ones. For many patients, insulin initiation signals disease worsening, implies personal failure in some cultural frameworks, and generates anxiety about occupational consequences including driving restrictions. Structured patient education, peer support, and deliberate clinician communication around what insulin initiation does and does not mean are as central to optimisation as analogue selection [25].</w:t>
      </w:r>
    </w:p>
    <w:p w14:paraId="3A990096" w14:textId="77777777" w:rsidR="00F450EC" w:rsidRPr="0049060C" w:rsidRDefault="00F450EC" w:rsidP="0049060C">
      <w:pPr>
        <w:spacing w:line="360" w:lineRule="auto"/>
      </w:pPr>
    </w:p>
    <w:p w14:paraId="1AB84DBD" w14:textId="77777777" w:rsidR="00F450EC" w:rsidRPr="0049060C" w:rsidRDefault="005769F3" w:rsidP="0049060C">
      <w:pPr>
        <w:pStyle w:val="Heading1"/>
        <w:spacing w:line="360" w:lineRule="auto"/>
        <w:rPr>
          <w:sz w:val="24"/>
          <w:szCs w:val="24"/>
        </w:rPr>
      </w:pPr>
      <w:r w:rsidRPr="0049060C">
        <w:rPr>
          <w:sz w:val="24"/>
          <w:szCs w:val="24"/>
        </w:rPr>
        <w:t>7. Emerging Agents and Their Impact on Insulin Use</w:t>
      </w:r>
    </w:p>
    <w:p w14:paraId="2B8B1DEF" w14:textId="77777777" w:rsidR="00F450EC" w:rsidRPr="0049060C" w:rsidRDefault="005769F3" w:rsidP="0049060C">
      <w:pPr>
        <w:pStyle w:val="Heading2"/>
        <w:spacing w:line="360" w:lineRule="auto"/>
      </w:pPr>
      <w:r w:rsidRPr="0049060C">
        <w:t>7.1 GLP-1 Receptor Agonists</w:t>
      </w:r>
    </w:p>
    <w:p w14:paraId="13081E3D" w14:textId="77777777" w:rsidR="00F450EC" w:rsidRPr="0049060C" w:rsidRDefault="005769F3" w:rsidP="0049060C">
      <w:pPr>
        <w:spacing w:after="160" w:line="360" w:lineRule="auto"/>
        <w:jc w:val="both"/>
      </w:pPr>
      <w:r w:rsidRPr="0049060C">
        <w:t>GLP-1 receptor agonists stimulate insulin secretion and suppress glucagon in a glucose-dependent manner, delay gastric emptying, reduce appetite, and produce weight loss of 2 to 5 kilograms in trials of once-weekly formulations such as semaglutide and dulaglutide [26, 56]. Their cardiovascular benefits, demonstrated across the LEADER, SUSTAIN-6, REWIND, and HARMONY outcomes trials and confirmed in meta-analysis, have established them as preferred agents in patients with established cardiovascular disease or high cardiovascular risk, independent of their glucose-lowering effect [27].</w:t>
      </w:r>
    </w:p>
    <w:p w14:paraId="397CB76B" w14:textId="77777777" w:rsidR="00F450EC" w:rsidRPr="0049060C" w:rsidRDefault="005769F3" w:rsidP="0049060C">
      <w:pPr>
        <w:spacing w:after="160" w:line="360" w:lineRule="auto"/>
        <w:jc w:val="both"/>
      </w:pPr>
      <w:r w:rsidRPr="0049060C">
        <w:t>For insulin prescribing, two findings are clinically decisive. First, adding a GLP-1 RA to established insulin therapy consistently reduces HbA1c, lowers insulin dose requirements, and attenuates insulin-associated weight gain, allowing clinicians to obtain the glycaemic benefit of insulin while partially mitigating its most burdensome adverse effects. Second, in patients not yet on insulin, higher-dose semaglutide formulations can achieve HbA1c reductions of 1.5 to 2.0 percentage points, results that previously would have triggered insulin initiation, effectively deferring that transition for patients with adequate residual beta-cell function [28].</w:t>
      </w:r>
    </w:p>
    <w:p w14:paraId="009552A0" w14:textId="77777777" w:rsidR="00F450EC" w:rsidRPr="0049060C" w:rsidRDefault="005769F3" w:rsidP="0049060C">
      <w:pPr>
        <w:pStyle w:val="Heading2"/>
        <w:spacing w:line="360" w:lineRule="auto"/>
      </w:pPr>
      <w:r w:rsidRPr="0049060C">
        <w:t>7.2 Dual Incretin Therapies</w:t>
      </w:r>
    </w:p>
    <w:p w14:paraId="7B8F73ED" w14:textId="77777777" w:rsidR="00F450EC" w:rsidRPr="0049060C" w:rsidRDefault="005769F3" w:rsidP="0049060C">
      <w:pPr>
        <w:spacing w:after="160" w:line="360" w:lineRule="auto"/>
        <w:jc w:val="both"/>
      </w:pPr>
      <w:r w:rsidRPr="0049060C">
        <w:t>Tirzepatide, a combined GIP and GLP-1 receptor agonist, has produced the largest glycaemic and weight reductions reported with any non-insulin agent. In the SURPASS programme, the 15 mg weekly dose reduced HbA1c by approximately 2.1 to 2.5 percentage points and body weight by 10 to 12 kilograms, exceeding injectable semaglutide 1 mg in direct randomised comparison [29]. The SURPASS-5 trial demonstrated that adding tirzepatide to established basal insulin produced HbA1c reductions sufficient to allow substantial insulin dose reduction and, in a proportion of patients, complete insulin discontinuation [30].</w:t>
      </w:r>
    </w:p>
    <w:p w14:paraId="495F46F4" w14:textId="77777777" w:rsidR="00F450EC" w:rsidRPr="0049060C" w:rsidRDefault="005769F3" w:rsidP="0049060C">
      <w:pPr>
        <w:spacing w:after="160" w:line="360" w:lineRule="auto"/>
        <w:jc w:val="both"/>
      </w:pPr>
      <w:r w:rsidRPr="0049060C">
        <w:t>These findings have direct implications for prescribing. For patients on basal insulin primarily because prior non-insulin therapies were insufficient, tirzepatide offers a pathway to insulin reduction or elimination that did not exist before. This is evidence-based de-intensification, not insulin avoidance. The distinction matters clinically because it requires preserved beta-cell function to be effective: patients with advanced failure will still require insulin regardless of adjunct therapy.</w:t>
      </w:r>
    </w:p>
    <w:p w14:paraId="6731EDC2" w14:textId="77777777" w:rsidR="00F450EC" w:rsidRPr="0049060C" w:rsidRDefault="005769F3" w:rsidP="0049060C">
      <w:pPr>
        <w:pStyle w:val="Heading2"/>
        <w:spacing w:line="360" w:lineRule="auto"/>
      </w:pPr>
      <w:r w:rsidRPr="0049060C">
        <w:t>7.3 SGLT2 Inhibitors</w:t>
      </w:r>
    </w:p>
    <w:p w14:paraId="017B13A2" w14:textId="77777777" w:rsidR="00F450EC" w:rsidRPr="0049060C" w:rsidRDefault="005769F3" w:rsidP="0049060C">
      <w:pPr>
        <w:spacing w:after="160" w:line="360" w:lineRule="auto"/>
        <w:jc w:val="both"/>
      </w:pPr>
      <w:r w:rsidRPr="0049060C">
        <w:t>SGLT2 inhibitors reduce plasma glucose by promoting urinary glucose excretion, independent of insulin secretion and action. Their HbA1c-lowering effect of 0.5 to 1.0 percentage points is modest, but their renal and cardiovascular protective effects, demonstrated in the EMPA-REG OUTCOME, CANVAS, and CREDENCE trials, have established them as disease-modifying agents in patients with heart failure, chronic kidney disease, or established cardiovascular disease [31]. Adding an SGLT2 inhibitor to insulin therapy reduces HbA1c, enables insulin dose reduction, and attenuates insulin-induced weight gain. The combination carries a small but real risk of euglycaemic diabetic ketoacidosis, particularly when insulin doses are reduced too aggressively, during significant illness, or perioperatively. Proactive patient education on sick-day rules, and the instruction to reduce rather than stop insulin when adding an SGLT2 inhibitor, is a practical communication point that determines safety in this combination [32].</w:t>
      </w:r>
    </w:p>
    <w:p w14:paraId="69ACCD65" w14:textId="77777777" w:rsidR="00F450EC" w:rsidRPr="0049060C" w:rsidRDefault="005769F3" w:rsidP="0049060C">
      <w:pPr>
        <w:pStyle w:val="Heading2"/>
        <w:spacing w:line="360" w:lineRule="auto"/>
      </w:pPr>
      <w:r w:rsidRPr="0049060C">
        <w:t>7.4 Fixed-Ratio Combination Products</w:t>
      </w:r>
    </w:p>
    <w:p w14:paraId="25508797" w14:textId="77777777" w:rsidR="00F450EC" w:rsidRPr="0049060C" w:rsidRDefault="005769F3" w:rsidP="0049060C">
      <w:pPr>
        <w:spacing w:after="160" w:line="360" w:lineRule="auto"/>
        <w:jc w:val="both"/>
      </w:pPr>
      <w:r w:rsidRPr="0049060C">
        <w:t>Fixed-ratio combination products co-formulate a basal insulin with a GLP-1 RA in a single daily injection. Insulin degludec/liraglutide (IDegLira) and insulin glargine/lixisenatide (iGlarLixi) are the two currently approved products. Clinical trials demonstrate superior HbA1c reduction compared with either component alone, with lower hypoglycaemia rates and weight neutrality or weight loss compared with basal insulin alone [33]. These products are practical for patients transitioning from GLP-1 RA therapy to insulin, or for those in whom a second injectable pen represents a significant adherence barrier [34].</w:t>
      </w:r>
    </w:p>
    <w:p w14:paraId="1D6E8061" w14:textId="77777777" w:rsidR="00F450EC" w:rsidRPr="0049060C" w:rsidRDefault="005769F3" w:rsidP="0049060C">
      <w:pPr>
        <w:pStyle w:val="Heading2"/>
        <w:spacing w:line="360" w:lineRule="auto"/>
      </w:pPr>
      <w:r w:rsidRPr="0049060C">
        <w:t>7.5 Newer Basal Insulins</w:t>
      </w:r>
    </w:p>
    <w:p w14:paraId="333FB885" w14:textId="77777777" w:rsidR="00F450EC" w:rsidRPr="0049060C" w:rsidRDefault="005769F3" w:rsidP="0049060C">
      <w:pPr>
        <w:spacing w:after="160" w:line="360" w:lineRule="auto"/>
        <w:jc w:val="both"/>
      </w:pPr>
      <w:r w:rsidRPr="0049060C">
        <w:t>Insulin icodec, a once-weekly basal insulin, produced non-inferior glycaemic control with fewer hypoglycaemic episodes compared with once-daily degludec in phase 3 trials [35]. Weekly dosing has meaningful implications for patients in whom daily injection burden is a deterrent. If broadly adopted, it may alter how basal insulin is positioned relative to oral therapy in the T2DM treatment sequence. The relative merits, limitations, and clinical positioning of the major therapies and technologies discussed in this review are summarised in Table 1 and illustrated comparatively in Figure 2.</w:t>
      </w:r>
    </w:p>
    <w:p w14:paraId="2E969165" w14:textId="77777777" w:rsidR="005769F3" w:rsidRPr="0049060C" w:rsidRDefault="005769F3" w:rsidP="0049060C">
      <w:pPr>
        <w:spacing w:after="160" w:line="360" w:lineRule="auto"/>
        <w:jc w:val="both"/>
      </w:pPr>
    </w:p>
    <w:p w14:paraId="6154A9AE" w14:textId="77777777" w:rsidR="005769F3" w:rsidRPr="0049060C" w:rsidRDefault="005769F3" w:rsidP="0049060C">
      <w:pPr>
        <w:spacing w:after="160" w:line="360" w:lineRule="auto"/>
        <w:jc w:val="both"/>
      </w:pPr>
    </w:p>
    <w:p w14:paraId="48BE7710" w14:textId="77777777" w:rsidR="005769F3" w:rsidRPr="0049060C" w:rsidRDefault="005769F3" w:rsidP="0049060C">
      <w:pPr>
        <w:pStyle w:val="Heading3"/>
        <w:spacing w:line="360" w:lineRule="auto"/>
        <w:rPr>
          <w:rStyle w:val="Strong"/>
          <w:color w:val="000000" w:themeColor="text1"/>
        </w:rPr>
      </w:pPr>
      <w:r w:rsidRPr="0049060C">
        <w:rPr>
          <w:rStyle w:val="Strong"/>
          <w:color w:val="000000" w:themeColor="text1"/>
        </w:rPr>
        <w:t>Table 1: Summary of Therapies and Technologies in Modern Type 2 Diabetes Management</w:t>
      </w:r>
    </w:p>
    <w:p w14:paraId="4DEA8464" w14:textId="77777777" w:rsidR="00327EB3" w:rsidRPr="0049060C" w:rsidRDefault="00327EB3" w:rsidP="0049060C">
      <w:pPr>
        <w:pStyle w:val="Heading3"/>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1455"/>
        <w:gridCol w:w="2018"/>
        <w:gridCol w:w="2003"/>
        <w:gridCol w:w="1967"/>
        <w:gridCol w:w="1907"/>
      </w:tblGrid>
      <w:tr w:rsidR="00BC41D8" w:rsidRPr="0049060C" w14:paraId="18AD46A3" w14:textId="77777777">
        <w:tc>
          <w:tcPr>
            <w:tcW w:w="0" w:type="auto"/>
          </w:tcPr>
          <w:p w14:paraId="38E5D987" w14:textId="77777777" w:rsidR="00BC41D8" w:rsidRPr="0049060C" w:rsidRDefault="002159CB" w:rsidP="0049060C">
            <w:pPr>
              <w:spacing w:line="360" w:lineRule="auto"/>
              <w:rPr>
                <w:b/>
                <w:bCs/>
              </w:rPr>
            </w:pPr>
            <w:r w:rsidRPr="0049060C">
              <w:rPr>
                <w:b/>
                <w:bCs/>
              </w:rPr>
              <w:t>Therapy / Technology</w:t>
            </w:r>
          </w:p>
        </w:tc>
        <w:tc>
          <w:tcPr>
            <w:tcW w:w="0" w:type="auto"/>
          </w:tcPr>
          <w:p w14:paraId="64D6EAC7" w14:textId="77777777" w:rsidR="00BC41D8" w:rsidRPr="0049060C" w:rsidRDefault="002159CB" w:rsidP="0049060C">
            <w:pPr>
              <w:spacing w:line="360" w:lineRule="auto"/>
              <w:rPr>
                <w:b/>
                <w:bCs/>
              </w:rPr>
            </w:pPr>
            <w:r w:rsidRPr="0049060C">
              <w:rPr>
                <w:b/>
                <w:bCs/>
              </w:rPr>
              <w:t>Main advantages</w:t>
            </w:r>
          </w:p>
        </w:tc>
        <w:tc>
          <w:tcPr>
            <w:tcW w:w="0" w:type="auto"/>
          </w:tcPr>
          <w:p w14:paraId="23F9D339" w14:textId="77777777" w:rsidR="00BC41D8" w:rsidRPr="0049060C" w:rsidRDefault="002159CB" w:rsidP="0049060C">
            <w:pPr>
              <w:spacing w:line="360" w:lineRule="auto"/>
              <w:rPr>
                <w:b/>
                <w:bCs/>
              </w:rPr>
            </w:pPr>
            <w:r w:rsidRPr="0049060C">
              <w:rPr>
                <w:b/>
                <w:bCs/>
              </w:rPr>
              <w:t>Main limitations</w:t>
            </w:r>
          </w:p>
        </w:tc>
        <w:tc>
          <w:tcPr>
            <w:tcW w:w="0" w:type="auto"/>
          </w:tcPr>
          <w:p w14:paraId="42290002" w14:textId="77777777" w:rsidR="00BC41D8" w:rsidRPr="0049060C" w:rsidRDefault="002159CB" w:rsidP="0049060C">
            <w:pPr>
              <w:spacing w:line="360" w:lineRule="auto"/>
              <w:rPr>
                <w:b/>
                <w:bCs/>
              </w:rPr>
            </w:pPr>
            <w:r w:rsidRPr="0049060C">
              <w:rPr>
                <w:b/>
                <w:bCs/>
              </w:rPr>
              <w:t>Best clinical fit</w:t>
            </w:r>
          </w:p>
        </w:tc>
        <w:tc>
          <w:tcPr>
            <w:tcW w:w="0" w:type="auto"/>
          </w:tcPr>
          <w:p w14:paraId="39F21F73" w14:textId="77777777" w:rsidR="00BC41D8" w:rsidRPr="0049060C" w:rsidRDefault="002159CB" w:rsidP="0049060C">
            <w:pPr>
              <w:spacing w:line="360" w:lineRule="auto"/>
              <w:rPr>
                <w:b/>
                <w:bCs/>
              </w:rPr>
            </w:pPr>
            <w:r w:rsidRPr="0049060C">
              <w:rPr>
                <w:b/>
                <w:bCs/>
              </w:rPr>
              <w:t>Practical considerations</w:t>
            </w:r>
          </w:p>
        </w:tc>
      </w:tr>
      <w:tr w:rsidR="00BC41D8" w:rsidRPr="0049060C" w14:paraId="7ED562E6" w14:textId="77777777">
        <w:tc>
          <w:tcPr>
            <w:tcW w:w="0" w:type="auto"/>
          </w:tcPr>
          <w:p w14:paraId="4A7B961C" w14:textId="77777777" w:rsidR="00BC41D8" w:rsidRPr="0049060C" w:rsidRDefault="002159CB" w:rsidP="0049060C">
            <w:pPr>
              <w:spacing w:line="360" w:lineRule="auto"/>
            </w:pPr>
            <w:r w:rsidRPr="0049060C">
              <w:t>Basal insulin</w:t>
            </w:r>
          </w:p>
        </w:tc>
        <w:tc>
          <w:tcPr>
            <w:tcW w:w="0" w:type="auto"/>
          </w:tcPr>
          <w:p w14:paraId="023A812C" w14:textId="77777777" w:rsidR="00BC41D8" w:rsidRPr="0049060C" w:rsidRDefault="002159CB" w:rsidP="0049060C">
            <w:pPr>
              <w:spacing w:line="360" w:lineRule="auto"/>
            </w:pPr>
            <w:r w:rsidRPr="0049060C">
              <w:t>Strong fasting glucose control; simple once-daily regimen</w:t>
            </w:r>
          </w:p>
        </w:tc>
        <w:tc>
          <w:tcPr>
            <w:tcW w:w="0" w:type="auto"/>
          </w:tcPr>
          <w:p w14:paraId="197A3606" w14:textId="77777777" w:rsidR="00BC41D8" w:rsidRPr="0049060C" w:rsidRDefault="002159CB" w:rsidP="0049060C">
            <w:pPr>
              <w:spacing w:line="360" w:lineRule="auto"/>
            </w:pPr>
            <w:r w:rsidRPr="0049060C">
              <w:t>Hypoglycaemia; weight gain; limited postprandial control</w:t>
            </w:r>
          </w:p>
        </w:tc>
        <w:tc>
          <w:tcPr>
            <w:tcW w:w="0" w:type="auto"/>
          </w:tcPr>
          <w:p w14:paraId="00775123" w14:textId="77777777" w:rsidR="00BC41D8" w:rsidRPr="0049060C" w:rsidRDefault="002159CB" w:rsidP="0049060C">
            <w:pPr>
              <w:spacing w:line="360" w:lineRule="auto"/>
            </w:pPr>
            <w:r w:rsidRPr="0049060C">
              <w:t>Advanced beta-cell dysfunction; fasting hyperglycaemia</w:t>
            </w:r>
          </w:p>
        </w:tc>
        <w:tc>
          <w:tcPr>
            <w:tcW w:w="0" w:type="auto"/>
          </w:tcPr>
          <w:p w14:paraId="7C7064BB" w14:textId="77777777" w:rsidR="00BC41D8" w:rsidRPr="0049060C" w:rsidRDefault="002159CB" w:rsidP="0049060C">
            <w:pPr>
              <w:spacing w:line="360" w:lineRule="auto"/>
            </w:pPr>
            <w:r w:rsidRPr="0049060C">
              <w:t>Needs structured titration and hypoglycaemia education</w:t>
            </w:r>
          </w:p>
        </w:tc>
      </w:tr>
      <w:tr w:rsidR="00BC41D8" w:rsidRPr="0049060C" w14:paraId="74B52EB1" w14:textId="77777777">
        <w:tc>
          <w:tcPr>
            <w:tcW w:w="0" w:type="auto"/>
          </w:tcPr>
          <w:p w14:paraId="5B401ECB" w14:textId="77777777" w:rsidR="00BC41D8" w:rsidRPr="0049060C" w:rsidRDefault="002159CB" w:rsidP="0049060C">
            <w:pPr>
              <w:spacing w:line="360" w:lineRule="auto"/>
            </w:pPr>
            <w:r w:rsidRPr="0049060C">
              <w:t>Basal-bolus insulin</w:t>
            </w:r>
          </w:p>
        </w:tc>
        <w:tc>
          <w:tcPr>
            <w:tcW w:w="0" w:type="auto"/>
          </w:tcPr>
          <w:p w14:paraId="45EA3AB8" w14:textId="77777777" w:rsidR="00BC41D8" w:rsidRPr="0049060C" w:rsidRDefault="002159CB" w:rsidP="0049060C">
            <w:pPr>
              <w:spacing w:line="360" w:lineRule="auto"/>
            </w:pPr>
            <w:r w:rsidRPr="0049060C">
              <w:t>Most flexible and potent insulin regimen</w:t>
            </w:r>
          </w:p>
        </w:tc>
        <w:tc>
          <w:tcPr>
            <w:tcW w:w="0" w:type="auto"/>
          </w:tcPr>
          <w:p w14:paraId="45DB910A" w14:textId="77777777" w:rsidR="00BC41D8" w:rsidRPr="0049060C" w:rsidRDefault="002159CB" w:rsidP="0049060C">
            <w:pPr>
              <w:spacing w:line="360" w:lineRule="auto"/>
            </w:pPr>
            <w:r w:rsidRPr="0049060C">
              <w:t>High injection burden; higher hypoglycaemia risk; weight gain</w:t>
            </w:r>
          </w:p>
        </w:tc>
        <w:tc>
          <w:tcPr>
            <w:tcW w:w="0" w:type="auto"/>
          </w:tcPr>
          <w:p w14:paraId="13581190" w14:textId="77777777" w:rsidR="00BC41D8" w:rsidRPr="0049060C" w:rsidRDefault="002159CB" w:rsidP="0049060C">
            <w:pPr>
              <w:spacing w:line="360" w:lineRule="auto"/>
            </w:pPr>
            <w:r w:rsidRPr="0049060C">
              <w:t>Severe insulin deficiency; marked postprandial excursions</w:t>
            </w:r>
          </w:p>
        </w:tc>
        <w:tc>
          <w:tcPr>
            <w:tcW w:w="0" w:type="auto"/>
          </w:tcPr>
          <w:p w14:paraId="34A68E7D" w14:textId="77777777" w:rsidR="00BC41D8" w:rsidRPr="0049060C" w:rsidRDefault="002159CB" w:rsidP="0049060C">
            <w:pPr>
              <w:spacing w:line="360" w:lineRule="auto"/>
            </w:pPr>
            <w:r w:rsidRPr="0049060C">
              <w:t>Requires frequent monitoring and patient training</w:t>
            </w:r>
          </w:p>
        </w:tc>
      </w:tr>
      <w:tr w:rsidR="00BC41D8" w:rsidRPr="0049060C" w14:paraId="5AA2C899" w14:textId="77777777">
        <w:tc>
          <w:tcPr>
            <w:tcW w:w="0" w:type="auto"/>
          </w:tcPr>
          <w:p w14:paraId="65CD41F9" w14:textId="77777777" w:rsidR="00BC41D8" w:rsidRPr="0049060C" w:rsidRDefault="002159CB" w:rsidP="0049060C">
            <w:pPr>
              <w:spacing w:line="360" w:lineRule="auto"/>
            </w:pPr>
            <w:r w:rsidRPr="0049060C">
              <w:t>GLP-1 receptor agonists</w:t>
            </w:r>
          </w:p>
        </w:tc>
        <w:tc>
          <w:tcPr>
            <w:tcW w:w="0" w:type="auto"/>
          </w:tcPr>
          <w:p w14:paraId="0E68C919" w14:textId="77777777" w:rsidR="00BC41D8" w:rsidRPr="0049060C" w:rsidRDefault="002159CB" w:rsidP="0049060C">
            <w:pPr>
              <w:spacing w:line="360" w:lineRule="auto"/>
            </w:pPr>
            <w:r w:rsidRPr="0049060C">
              <w:t>Weight loss; low hypoglycaemia risk; cardiovascular benefit for selected agents</w:t>
            </w:r>
          </w:p>
        </w:tc>
        <w:tc>
          <w:tcPr>
            <w:tcW w:w="0" w:type="auto"/>
          </w:tcPr>
          <w:p w14:paraId="64F77D2D" w14:textId="77777777" w:rsidR="00BC41D8" w:rsidRPr="0049060C" w:rsidRDefault="002159CB" w:rsidP="0049060C">
            <w:pPr>
              <w:spacing w:line="360" w:lineRule="auto"/>
            </w:pPr>
            <w:r w:rsidRPr="0049060C">
              <w:t>Gastrointestinal effects; cost; access limitations</w:t>
            </w:r>
          </w:p>
        </w:tc>
        <w:tc>
          <w:tcPr>
            <w:tcW w:w="0" w:type="auto"/>
          </w:tcPr>
          <w:p w14:paraId="058A10ED" w14:textId="77777777" w:rsidR="00BC41D8" w:rsidRPr="0049060C" w:rsidRDefault="002159CB" w:rsidP="0049060C">
            <w:pPr>
              <w:spacing w:line="360" w:lineRule="auto"/>
            </w:pPr>
            <w:r w:rsidRPr="0049060C">
              <w:t>Obesity, cardiovascular risk, need to reduce insulin burden</w:t>
            </w:r>
          </w:p>
        </w:tc>
        <w:tc>
          <w:tcPr>
            <w:tcW w:w="0" w:type="auto"/>
          </w:tcPr>
          <w:p w14:paraId="1CB804F4" w14:textId="77777777" w:rsidR="00BC41D8" w:rsidRPr="0049060C" w:rsidRDefault="002159CB" w:rsidP="0049060C">
            <w:pPr>
              <w:spacing w:line="360" w:lineRule="auto"/>
            </w:pPr>
            <w:r w:rsidRPr="0049060C">
              <w:t>Useful with basal insulin to reduce dose and weight gain</w:t>
            </w:r>
          </w:p>
        </w:tc>
      </w:tr>
      <w:tr w:rsidR="00BC41D8" w:rsidRPr="0049060C" w14:paraId="10BA8529" w14:textId="77777777">
        <w:tc>
          <w:tcPr>
            <w:tcW w:w="0" w:type="auto"/>
          </w:tcPr>
          <w:p w14:paraId="31F68C1F" w14:textId="77777777" w:rsidR="00BC41D8" w:rsidRPr="0049060C" w:rsidRDefault="002159CB" w:rsidP="0049060C">
            <w:pPr>
              <w:spacing w:line="360" w:lineRule="auto"/>
            </w:pPr>
            <w:r w:rsidRPr="0049060C">
              <w:t>Tirzepatide</w:t>
            </w:r>
          </w:p>
        </w:tc>
        <w:tc>
          <w:tcPr>
            <w:tcW w:w="0" w:type="auto"/>
          </w:tcPr>
          <w:p w14:paraId="5A6A4260" w14:textId="77777777" w:rsidR="00BC41D8" w:rsidRPr="0049060C" w:rsidRDefault="002159CB" w:rsidP="0049060C">
            <w:pPr>
              <w:spacing w:line="360" w:lineRule="auto"/>
            </w:pPr>
            <w:r w:rsidRPr="0049060C">
              <w:t>Large HbA1c and weight reduction; may reduce insulin need</w:t>
            </w:r>
          </w:p>
        </w:tc>
        <w:tc>
          <w:tcPr>
            <w:tcW w:w="0" w:type="auto"/>
          </w:tcPr>
          <w:p w14:paraId="398130CC" w14:textId="77777777" w:rsidR="00BC41D8" w:rsidRPr="0049060C" w:rsidRDefault="002159CB" w:rsidP="0049060C">
            <w:pPr>
              <w:spacing w:line="360" w:lineRule="auto"/>
            </w:pPr>
            <w:r w:rsidRPr="0049060C">
              <w:t>Cost; gastrointestinal effects; limited long-term real-world data</w:t>
            </w:r>
          </w:p>
        </w:tc>
        <w:tc>
          <w:tcPr>
            <w:tcW w:w="0" w:type="auto"/>
          </w:tcPr>
          <w:p w14:paraId="2C39C65F" w14:textId="77777777" w:rsidR="00BC41D8" w:rsidRPr="0049060C" w:rsidRDefault="002159CB" w:rsidP="0049060C">
            <w:pPr>
              <w:spacing w:line="360" w:lineRule="auto"/>
            </w:pPr>
            <w:r w:rsidRPr="0049060C">
              <w:t>Patients with obesity and residual beta-cell function</w:t>
            </w:r>
          </w:p>
        </w:tc>
        <w:tc>
          <w:tcPr>
            <w:tcW w:w="0" w:type="auto"/>
          </w:tcPr>
          <w:p w14:paraId="3F7BF032" w14:textId="77777777" w:rsidR="00BC41D8" w:rsidRPr="0049060C" w:rsidRDefault="002159CB" w:rsidP="0049060C">
            <w:pPr>
              <w:spacing w:line="360" w:lineRule="auto"/>
            </w:pPr>
            <w:r w:rsidRPr="0049060C">
              <w:t>May delay or simplify insulin intensification in selected patients</w:t>
            </w:r>
          </w:p>
        </w:tc>
      </w:tr>
      <w:tr w:rsidR="00BC41D8" w:rsidRPr="0049060C" w14:paraId="0BFB9A7A" w14:textId="77777777">
        <w:tc>
          <w:tcPr>
            <w:tcW w:w="0" w:type="auto"/>
          </w:tcPr>
          <w:p w14:paraId="5E9324F3" w14:textId="77777777" w:rsidR="00BC41D8" w:rsidRPr="0049060C" w:rsidRDefault="002159CB" w:rsidP="0049060C">
            <w:pPr>
              <w:spacing w:line="360" w:lineRule="auto"/>
            </w:pPr>
            <w:r w:rsidRPr="0049060C">
              <w:t>SGLT2 inhibitors</w:t>
            </w:r>
          </w:p>
        </w:tc>
        <w:tc>
          <w:tcPr>
            <w:tcW w:w="0" w:type="auto"/>
          </w:tcPr>
          <w:p w14:paraId="4DFD5AD0" w14:textId="77777777" w:rsidR="00BC41D8" w:rsidRPr="0049060C" w:rsidRDefault="002159CB" w:rsidP="0049060C">
            <w:pPr>
              <w:spacing w:line="360" w:lineRule="auto"/>
            </w:pPr>
            <w:r w:rsidRPr="0049060C">
              <w:t>Cardiorenal protection; modest weight and BP reduction</w:t>
            </w:r>
          </w:p>
        </w:tc>
        <w:tc>
          <w:tcPr>
            <w:tcW w:w="0" w:type="auto"/>
          </w:tcPr>
          <w:p w14:paraId="0B91C3EB" w14:textId="77777777" w:rsidR="00BC41D8" w:rsidRPr="0049060C" w:rsidRDefault="002159CB" w:rsidP="0049060C">
            <w:pPr>
              <w:spacing w:line="360" w:lineRule="auto"/>
            </w:pPr>
            <w:r w:rsidRPr="0049060C">
              <w:t>Genital infections; volume depletion; rare euglycaemic DKA</w:t>
            </w:r>
          </w:p>
        </w:tc>
        <w:tc>
          <w:tcPr>
            <w:tcW w:w="0" w:type="auto"/>
          </w:tcPr>
          <w:p w14:paraId="7215C67D" w14:textId="77777777" w:rsidR="00BC41D8" w:rsidRPr="0049060C" w:rsidRDefault="002159CB" w:rsidP="0049060C">
            <w:pPr>
              <w:spacing w:line="360" w:lineRule="auto"/>
            </w:pPr>
            <w:r w:rsidRPr="0049060C">
              <w:t>T2DM with CKD, heart failure, or cardiovascular risk</w:t>
            </w:r>
          </w:p>
        </w:tc>
        <w:tc>
          <w:tcPr>
            <w:tcW w:w="0" w:type="auto"/>
          </w:tcPr>
          <w:p w14:paraId="486CAB7C" w14:textId="77777777" w:rsidR="00BC41D8" w:rsidRPr="0049060C" w:rsidRDefault="002159CB" w:rsidP="0049060C">
            <w:pPr>
              <w:spacing w:line="360" w:lineRule="auto"/>
            </w:pPr>
            <w:r w:rsidRPr="0049060C">
              <w:t>Avoid excessive insulin reduction; teach sick-day rules</w:t>
            </w:r>
          </w:p>
        </w:tc>
      </w:tr>
      <w:tr w:rsidR="00BC41D8" w:rsidRPr="0049060C" w14:paraId="1B396D84" w14:textId="77777777">
        <w:tc>
          <w:tcPr>
            <w:tcW w:w="0" w:type="auto"/>
          </w:tcPr>
          <w:p w14:paraId="4E61F969" w14:textId="77777777" w:rsidR="00BC41D8" w:rsidRPr="0049060C" w:rsidRDefault="002159CB" w:rsidP="0049060C">
            <w:pPr>
              <w:spacing w:line="360" w:lineRule="auto"/>
            </w:pPr>
            <w:r w:rsidRPr="0049060C">
              <w:t>CGM</w:t>
            </w:r>
          </w:p>
        </w:tc>
        <w:tc>
          <w:tcPr>
            <w:tcW w:w="0" w:type="auto"/>
          </w:tcPr>
          <w:p w14:paraId="1FAA08BD" w14:textId="77777777" w:rsidR="00BC41D8" w:rsidRPr="0049060C" w:rsidRDefault="002159CB" w:rsidP="0049060C">
            <w:pPr>
              <w:spacing w:line="360" w:lineRule="auto"/>
            </w:pPr>
            <w:r w:rsidRPr="0049060C">
              <w:t>Shows patterns, time in range, nocturnal hypoglycaemia, and variability</w:t>
            </w:r>
          </w:p>
        </w:tc>
        <w:tc>
          <w:tcPr>
            <w:tcW w:w="0" w:type="auto"/>
          </w:tcPr>
          <w:p w14:paraId="591DFB19" w14:textId="77777777" w:rsidR="00BC41D8" w:rsidRPr="0049060C" w:rsidRDefault="002159CB" w:rsidP="0049060C">
            <w:pPr>
              <w:spacing w:line="360" w:lineRule="auto"/>
            </w:pPr>
            <w:r w:rsidRPr="0049060C">
              <w:t>Cost; access; data burden; digital literacy needs</w:t>
            </w:r>
          </w:p>
        </w:tc>
        <w:tc>
          <w:tcPr>
            <w:tcW w:w="0" w:type="auto"/>
          </w:tcPr>
          <w:p w14:paraId="6E36D003" w14:textId="77777777" w:rsidR="00BC41D8" w:rsidRPr="0049060C" w:rsidRDefault="002159CB" w:rsidP="0049060C">
            <w:pPr>
              <w:spacing w:line="360" w:lineRule="auto"/>
            </w:pPr>
            <w:r w:rsidRPr="0049060C">
              <w:t>Insulin-treated patients, recurrent hypoglycaemia, variable glucose</w:t>
            </w:r>
          </w:p>
        </w:tc>
        <w:tc>
          <w:tcPr>
            <w:tcW w:w="0" w:type="auto"/>
          </w:tcPr>
          <w:p w14:paraId="47D6EC70" w14:textId="77777777" w:rsidR="00BC41D8" w:rsidRPr="0049060C" w:rsidRDefault="002159CB" w:rsidP="0049060C">
            <w:pPr>
              <w:spacing w:line="360" w:lineRule="auto"/>
            </w:pPr>
            <w:r w:rsidRPr="0049060C">
              <w:t>Most useful when data are actively used for dose decisions</w:t>
            </w:r>
          </w:p>
        </w:tc>
      </w:tr>
    </w:tbl>
    <w:p w14:paraId="052B18DB" w14:textId="77777777" w:rsidR="00BC41D8" w:rsidRPr="0049060C" w:rsidRDefault="002159CB" w:rsidP="0049060C">
      <w:pPr>
        <w:spacing w:after="160" w:line="360" w:lineRule="auto"/>
        <w:jc w:val="both"/>
        <w:rPr>
          <w:b/>
          <w:bCs/>
        </w:rPr>
      </w:pPr>
      <w:r w:rsidRPr="0049060C">
        <w:rPr>
          <w:b/>
          <w:bCs/>
        </w:rPr>
        <w:t>Abbreviations: BP, blood pressure; CGM, continuous glucose monitoring; CKD, chronic kidney disease; DKA, diabetic ketoacidosis; GLP-1, glucagon-like peptide-1; HbA1c, glycated haemoglobin; T2DM, type 2 diabetes mellitus.</w:t>
      </w:r>
    </w:p>
    <w:p w14:paraId="61652A00" w14:textId="77777777" w:rsidR="005769F3" w:rsidRPr="0049060C" w:rsidRDefault="005769F3" w:rsidP="0049060C">
      <w:pPr>
        <w:spacing w:after="160" w:line="360" w:lineRule="auto"/>
        <w:jc w:val="both"/>
      </w:pPr>
    </w:p>
    <w:p w14:paraId="063840CA" w14:textId="77777777" w:rsidR="0049060C" w:rsidRDefault="007F0E14" w:rsidP="0049060C">
      <w:pPr>
        <w:pStyle w:val="NormalWeb"/>
        <w:spacing w:line="360" w:lineRule="auto"/>
        <w:rPr>
          <w:b/>
          <w:bCs/>
          <w:noProof/>
        </w:rPr>
      </w:pPr>
      <w:r w:rsidRPr="0049060C">
        <w:rPr>
          <w:b/>
          <w:bCs/>
          <w:noProof/>
        </w:rPr>
        <w:t xml:space="preserve">     </w:t>
      </w:r>
    </w:p>
    <w:p w14:paraId="0537B3C2" w14:textId="77777777" w:rsidR="0049060C" w:rsidRDefault="0049060C" w:rsidP="0049060C">
      <w:pPr>
        <w:pStyle w:val="NormalWeb"/>
        <w:spacing w:line="360" w:lineRule="auto"/>
        <w:rPr>
          <w:b/>
          <w:bCs/>
          <w:noProof/>
        </w:rPr>
      </w:pPr>
    </w:p>
    <w:p w14:paraId="010934CB" w14:textId="371A40E0" w:rsidR="007F0E14" w:rsidRPr="0049060C" w:rsidRDefault="007F0E14" w:rsidP="0049060C">
      <w:pPr>
        <w:pStyle w:val="NormalWeb"/>
        <w:spacing w:line="360" w:lineRule="auto"/>
        <w:rPr>
          <w:b/>
          <w:bCs/>
        </w:rPr>
      </w:pPr>
      <w:r w:rsidRPr="0049060C">
        <w:rPr>
          <w:b/>
          <w:bCs/>
          <w:noProof/>
        </w:rPr>
        <w:t xml:space="preserve">FIGURE 2: </w:t>
      </w:r>
      <w:r w:rsidRPr="0049060C">
        <w:rPr>
          <w:b/>
          <w:bCs/>
        </w:rPr>
        <w:t>Therapies and Technologies in Modern Type 2 Diabetes Management</w:t>
      </w:r>
    </w:p>
    <w:p w14:paraId="593B0DB6" w14:textId="77777777" w:rsidR="007F0E14" w:rsidRPr="0049060C" w:rsidRDefault="007F0E14" w:rsidP="0049060C">
      <w:pPr>
        <w:spacing w:after="160" w:line="360" w:lineRule="auto"/>
        <w:jc w:val="both"/>
      </w:pPr>
      <w:r w:rsidRPr="0049060C">
        <w:rPr>
          <w:noProof/>
        </w:rPr>
        <w:drawing>
          <wp:inline distT="0" distB="0" distL="0" distR="0" wp14:anchorId="1C79B289" wp14:editId="03C2E39A">
            <wp:extent cx="6754662" cy="4799999"/>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6781270" cy="4818907"/>
                    </a:xfrm>
                    <a:prstGeom prst="rect">
                      <a:avLst/>
                    </a:prstGeom>
                  </pic:spPr>
                </pic:pic>
              </a:graphicData>
            </a:graphic>
          </wp:inline>
        </w:drawing>
      </w:r>
    </w:p>
    <w:p w14:paraId="4989E146" w14:textId="44F7DFE9" w:rsidR="00F450EC" w:rsidRDefault="00F450EC" w:rsidP="0049060C">
      <w:pPr>
        <w:spacing w:line="360" w:lineRule="auto"/>
      </w:pPr>
    </w:p>
    <w:p w14:paraId="7455BD97" w14:textId="185742CB" w:rsidR="0049060C" w:rsidRDefault="0049060C" w:rsidP="0049060C">
      <w:pPr>
        <w:spacing w:line="360" w:lineRule="auto"/>
      </w:pPr>
    </w:p>
    <w:p w14:paraId="66AA1FD0" w14:textId="27936600" w:rsidR="0049060C" w:rsidRDefault="0049060C" w:rsidP="0049060C">
      <w:pPr>
        <w:spacing w:line="360" w:lineRule="auto"/>
      </w:pPr>
    </w:p>
    <w:p w14:paraId="5CBCD601" w14:textId="536AD38E" w:rsidR="0049060C" w:rsidRDefault="0049060C" w:rsidP="0049060C">
      <w:pPr>
        <w:spacing w:line="360" w:lineRule="auto"/>
      </w:pPr>
    </w:p>
    <w:p w14:paraId="4442DDB4" w14:textId="54402A8A" w:rsidR="0049060C" w:rsidRDefault="0049060C" w:rsidP="0049060C">
      <w:pPr>
        <w:spacing w:line="360" w:lineRule="auto"/>
      </w:pPr>
    </w:p>
    <w:p w14:paraId="3CACDC68" w14:textId="4E904750" w:rsidR="0049060C" w:rsidRDefault="0049060C" w:rsidP="0049060C">
      <w:pPr>
        <w:spacing w:line="360" w:lineRule="auto"/>
      </w:pPr>
    </w:p>
    <w:p w14:paraId="20D756C2" w14:textId="00281783" w:rsidR="0049060C" w:rsidRDefault="0049060C" w:rsidP="0049060C">
      <w:pPr>
        <w:spacing w:line="360" w:lineRule="auto"/>
      </w:pPr>
    </w:p>
    <w:p w14:paraId="1D1AB790" w14:textId="77777777" w:rsidR="0049060C" w:rsidRPr="0049060C" w:rsidRDefault="0049060C" w:rsidP="0049060C">
      <w:pPr>
        <w:spacing w:line="360" w:lineRule="auto"/>
      </w:pPr>
    </w:p>
    <w:p w14:paraId="49941DC9" w14:textId="77777777" w:rsidR="005769F3" w:rsidRPr="0049060C" w:rsidRDefault="005769F3" w:rsidP="0049060C">
      <w:pPr>
        <w:pStyle w:val="Heading1"/>
        <w:spacing w:line="360" w:lineRule="auto"/>
        <w:rPr>
          <w:sz w:val="24"/>
          <w:szCs w:val="24"/>
        </w:rPr>
      </w:pPr>
    </w:p>
    <w:p w14:paraId="52477C50" w14:textId="77777777" w:rsidR="00F450EC" w:rsidRPr="0049060C" w:rsidRDefault="005769F3" w:rsidP="0049060C">
      <w:pPr>
        <w:pStyle w:val="Heading1"/>
        <w:spacing w:line="360" w:lineRule="auto"/>
        <w:rPr>
          <w:sz w:val="24"/>
          <w:szCs w:val="24"/>
        </w:rPr>
      </w:pPr>
      <w:r w:rsidRPr="0049060C">
        <w:rPr>
          <w:sz w:val="24"/>
          <w:szCs w:val="24"/>
        </w:rPr>
        <w:t>8. Optimising Insulin in the Modern Era</w:t>
      </w:r>
    </w:p>
    <w:p w14:paraId="1B78F02B" w14:textId="77777777" w:rsidR="00F450EC" w:rsidRPr="0049060C" w:rsidRDefault="005769F3" w:rsidP="0049060C">
      <w:pPr>
        <w:spacing w:after="160" w:line="360" w:lineRule="auto"/>
        <w:jc w:val="both"/>
      </w:pPr>
      <w:r w:rsidRPr="0049060C">
        <w:t>Optimal insulin use in T2DM requires an individual assessment of the patient's glycaemic pattern, comorbidities, life circumstances, and treatment goals, followed by selection of a regimen and combination partners that maximise benefit while minimising risk [36]. Three operational priorities recur across patient contexts.</w:t>
      </w:r>
    </w:p>
    <w:p w14:paraId="09A252B4" w14:textId="77777777" w:rsidR="00F450EC" w:rsidRPr="0049060C" w:rsidRDefault="005769F3" w:rsidP="0049060C">
      <w:pPr>
        <w:spacing w:after="160" w:line="360" w:lineRule="auto"/>
        <w:jc w:val="both"/>
      </w:pPr>
      <w:r w:rsidRPr="0049060C">
        <w:t>Titration is among the most undertreated aspects of insulin management. The principle that patients can safely adjust their own basal insulin doses using structured algorithms is well established. Patient-led titration protocols using simple rules, such as incrementing by 2 units every three days until fasting glucose reaches target, produce equivalent or superior HbA1c reductions compared with clinician-led titration in randomised comparisons, without increasing hypoglycaemia rates [37]. Delivering these algorithms in written or digital formats costs very little and produces meaningful glycaemic effect.</w:t>
      </w:r>
    </w:p>
    <w:p w14:paraId="334B75E5" w14:textId="77777777" w:rsidR="00F450EC" w:rsidRPr="0049060C" w:rsidRDefault="005769F3" w:rsidP="0049060C">
      <w:pPr>
        <w:spacing w:after="160" w:line="360" w:lineRule="auto"/>
        <w:jc w:val="both"/>
      </w:pPr>
      <w:r w:rsidRPr="0049060C">
        <w:t>Hypoglycaemia minimisation requires attention to the full clinical context: meal patterns, physical activity, renal function, concurrent medications, and the patient's ability to recognise and respond to low glucose. Switching from NPH or glargine U-100 to degludec or glargine U-300 reduces nocturnal hypoglycaemia without sacrificing HbA1c control [38]. Combining insulin with a GLP-1 RA, or reducing the insulin dose when adding an SGLT2 inhibitor, are additional levers. Continuous glucose monitoring allows more precise identification of hypoglycaemia patterns and more targeted dose adjustment than any retrospective review of self-monitored readings can achieve.</w:t>
      </w:r>
    </w:p>
    <w:p w14:paraId="70F69600" w14:textId="77777777" w:rsidR="00F450EC" w:rsidRPr="0049060C" w:rsidRDefault="005769F3" w:rsidP="0049060C">
      <w:pPr>
        <w:spacing w:after="160" w:line="360" w:lineRule="auto"/>
        <w:jc w:val="both"/>
      </w:pPr>
      <w:r w:rsidRPr="0049060C">
        <w:t>De-intensification is underused. Older patients, those with reduced life expectancy, and those experiencing recurrent hypoglycaemia may benefit from relaxed glycaemic targets, allowing insulin dose reduction or discontinuation. Observational data suggest a substantial proportion of elderly patients on basal-bolus insulin could be safely de-escalated to basal insulin alone without significant glycaemic deterioration [39]. A structured de-intensification review should be part of routine diabetes management for appropriate patients, and should not wait for a hypoglycaemic event to prompt it. To consolidate the clinical decision-making framework described in this review, a practical treatment algorithm is presented in Figure 1.</w:t>
      </w:r>
    </w:p>
    <w:p w14:paraId="3EE5669A" w14:textId="77777777" w:rsidR="00327EB3" w:rsidRPr="0049060C" w:rsidRDefault="00327EB3" w:rsidP="0049060C">
      <w:pPr>
        <w:spacing w:after="160" w:line="360" w:lineRule="auto"/>
        <w:jc w:val="both"/>
      </w:pPr>
    </w:p>
    <w:p w14:paraId="019DEB4E" w14:textId="77777777" w:rsidR="00327EB3" w:rsidRPr="0049060C" w:rsidRDefault="00327EB3" w:rsidP="0049060C">
      <w:pPr>
        <w:spacing w:after="160" w:line="360" w:lineRule="auto"/>
        <w:jc w:val="both"/>
      </w:pPr>
      <w:r w:rsidRPr="0049060C">
        <w:rPr>
          <w:noProof/>
        </w:rPr>
        <w:drawing>
          <wp:inline distT="0" distB="0" distL="0" distR="0" wp14:anchorId="66A23667" wp14:editId="780DF4BE">
            <wp:extent cx="5876925" cy="75113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880367" cy="7515735"/>
                    </a:xfrm>
                    <a:prstGeom prst="rect">
                      <a:avLst/>
                    </a:prstGeom>
                  </pic:spPr>
                </pic:pic>
              </a:graphicData>
            </a:graphic>
          </wp:inline>
        </w:drawing>
      </w:r>
    </w:p>
    <w:p w14:paraId="2258BC25" w14:textId="77777777" w:rsidR="00F450EC" w:rsidRPr="0049060C" w:rsidRDefault="00327EB3" w:rsidP="0049060C">
      <w:pPr>
        <w:spacing w:line="360" w:lineRule="auto"/>
        <w:rPr>
          <w:b/>
          <w:bCs/>
        </w:rPr>
      </w:pPr>
      <w:r w:rsidRPr="0049060C">
        <w:rPr>
          <w:rStyle w:val="Strong"/>
          <w:b w:val="0"/>
          <w:bCs w:val="0"/>
        </w:rPr>
        <w:t>Figure 1.</w:t>
      </w:r>
      <w:r w:rsidRPr="0049060C">
        <w:rPr>
          <w:b/>
          <w:bCs/>
        </w:rPr>
        <w:t xml:space="preserve"> Practical algorithm for insulin optimisation in modern type 2 diabetes care. The algorithm outlines a stepwise approach to clinical decision-making, from initial patient assessment through insulin initiation, intensification, combination therapy, and de-intensification</w:t>
      </w:r>
    </w:p>
    <w:p w14:paraId="4136A2BF" w14:textId="77777777" w:rsidR="00F450EC" w:rsidRPr="0049060C" w:rsidRDefault="005769F3" w:rsidP="0049060C">
      <w:pPr>
        <w:pStyle w:val="Heading1"/>
        <w:spacing w:line="360" w:lineRule="auto"/>
        <w:rPr>
          <w:sz w:val="24"/>
          <w:szCs w:val="24"/>
        </w:rPr>
      </w:pPr>
      <w:r w:rsidRPr="0049060C">
        <w:rPr>
          <w:sz w:val="24"/>
          <w:szCs w:val="24"/>
        </w:rPr>
        <w:t>9. Combination Therapy Strategies</w:t>
      </w:r>
    </w:p>
    <w:p w14:paraId="680E4D6B" w14:textId="77777777" w:rsidR="00F450EC" w:rsidRPr="0049060C" w:rsidRDefault="005769F3" w:rsidP="0049060C">
      <w:pPr>
        <w:pStyle w:val="Heading2"/>
        <w:spacing w:line="360" w:lineRule="auto"/>
      </w:pPr>
      <w:r w:rsidRPr="0049060C">
        <w:t>9.1 Insulin and Metformin</w:t>
      </w:r>
    </w:p>
    <w:p w14:paraId="07BCE3BB" w14:textId="77777777" w:rsidR="00F450EC" w:rsidRPr="0049060C" w:rsidRDefault="005769F3" w:rsidP="0049060C">
      <w:pPr>
        <w:spacing w:after="160" w:line="360" w:lineRule="auto"/>
        <w:jc w:val="both"/>
      </w:pPr>
      <w:r w:rsidRPr="0049060C">
        <w:t>Metformin's mechanism, hepatic glucose output suppression through AMPK activation, complements exogenous insulin's peripheral action. The combination reduces insulin dose requirements and attenuates weight gain compared with insulin alone [40]. Observational data associate continuing metformin after insulin initiation with reduced cardiovascular events and mortality. Unless contraindicated by renal impairment or gastrointestinal intolerance, metformin should be maintained when insulin is added.</w:t>
      </w:r>
    </w:p>
    <w:p w14:paraId="747938F3" w14:textId="77777777" w:rsidR="00F450EC" w:rsidRPr="0049060C" w:rsidRDefault="005769F3" w:rsidP="0049060C">
      <w:pPr>
        <w:pStyle w:val="Heading2"/>
        <w:spacing w:line="360" w:lineRule="auto"/>
      </w:pPr>
      <w:r w:rsidRPr="0049060C">
        <w:t>9.2 Insulin and GLP-1 Receptor Agonists</w:t>
      </w:r>
    </w:p>
    <w:p w14:paraId="698AAF12" w14:textId="77777777" w:rsidR="00F450EC" w:rsidRPr="0049060C" w:rsidRDefault="005769F3" w:rsidP="0049060C">
      <w:pPr>
        <w:spacing w:after="160" w:line="360" w:lineRule="auto"/>
        <w:jc w:val="both"/>
      </w:pPr>
      <w:r w:rsidRPr="0049060C">
        <w:t>The combination of basal insulin with a GLP-1 RA addresses the two dominant components of T2DM hyperglycaemia through complementary mechanisms. Basal insulin controls overnight and inter-meal glucose; the GLP-1 RA addresses postprandial excursions through glucose-dependent insulin secretion enhancement, glucagon suppression, and gastric emptying delay. Systematic review and meta-analysis confirm superior HbA1c reduction over either agent alone, with weight neutrality or reduction and lower hypoglycaemia rates than basal-bolus insulin achieves with comparable glycaemic effect [41]. Fixed-ratio products deliver this combination in a single daily injection.</w:t>
      </w:r>
    </w:p>
    <w:p w14:paraId="086B3BDB" w14:textId="77777777" w:rsidR="00F450EC" w:rsidRPr="0049060C" w:rsidRDefault="005769F3" w:rsidP="0049060C">
      <w:pPr>
        <w:pStyle w:val="Heading2"/>
        <w:spacing w:line="360" w:lineRule="auto"/>
      </w:pPr>
      <w:r w:rsidRPr="0049060C">
        <w:t>9.3 Insulin and SGLT2 Inhibitors</w:t>
      </w:r>
    </w:p>
    <w:p w14:paraId="14E3ECC5" w14:textId="77777777" w:rsidR="00F450EC" w:rsidRPr="0049060C" w:rsidRDefault="005769F3" w:rsidP="0049060C">
      <w:pPr>
        <w:spacing w:after="160" w:line="360" w:lineRule="auto"/>
        <w:jc w:val="both"/>
      </w:pPr>
      <w:r w:rsidRPr="0049060C">
        <w:t>Adding an SGLT2 inhibitor to insulin therapy produces HbA1c reductions of 0.5 to 0.7 percentage points and mean insulin dose reductions of 10 to 15 percent in randomised trials, with modest weight loss and blood pressure reduction [42]. Cardiovascular and renal protective effects accrue independently of glycaemic control. The primary safety concern, euglycaemic ketoacidosis, is manageable with proactive patient education. Reducing insulin to a level that produces relative insulinopenia in the context of increased lipolysis is the main precipitant, and the clinical instruction to reduce rather than stop insulin when initiating an SGLT2 inhibitor addresses most of this risk.</w:t>
      </w:r>
    </w:p>
    <w:p w14:paraId="06FEFB7D" w14:textId="77777777" w:rsidR="00F450EC" w:rsidRPr="0049060C" w:rsidRDefault="00F450EC" w:rsidP="0049060C">
      <w:pPr>
        <w:spacing w:line="360" w:lineRule="auto"/>
      </w:pPr>
    </w:p>
    <w:p w14:paraId="7F02AD8B" w14:textId="77777777" w:rsidR="00BC41D8" w:rsidRPr="0049060C" w:rsidRDefault="002159CB" w:rsidP="0049060C">
      <w:pPr>
        <w:pStyle w:val="Heading1"/>
        <w:spacing w:line="360" w:lineRule="auto"/>
        <w:rPr>
          <w:sz w:val="24"/>
          <w:szCs w:val="24"/>
        </w:rPr>
      </w:pPr>
      <w:r w:rsidRPr="0049060C">
        <w:rPr>
          <w:sz w:val="24"/>
          <w:szCs w:val="24"/>
        </w:rPr>
        <w:t>10. Critical Discussion</w:t>
      </w:r>
    </w:p>
    <w:p w14:paraId="24C8A41C" w14:textId="77777777" w:rsidR="00BC41D8" w:rsidRPr="0049060C" w:rsidRDefault="002159CB" w:rsidP="0049060C">
      <w:pPr>
        <w:pStyle w:val="Heading2"/>
        <w:spacing w:line="360" w:lineRule="auto"/>
      </w:pPr>
      <w:r w:rsidRPr="0049060C">
        <w:t>10.1 Critical Comparison: Insulin and GLP-1 Receptor Agonists</w:t>
      </w:r>
    </w:p>
    <w:p w14:paraId="404C8E54" w14:textId="77777777" w:rsidR="00BC41D8" w:rsidRPr="0049060C" w:rsidRDefault="002159CB" w:rsidP="0049060C">
      <w:pPr>
        <w:spacing w:after="160" w:line="360" w:lineRule="auto"/>
        <w:jc w:val="both"/>
      </w:pPr>
      <w:r w:rsidRPr="0049060C">
        <w:t>Insulin and GLP-1 receptor agonists occupy different but increasingly overlapping positions in T2DM management. Insulin remains the most potent and reliable glucose-lowering therapy, particularly in patients with severe hyperglycaemia, symptomatic metabolic decompensation, or advanced beta-cell failure. Its effectiveness is not dependent on residual incretin response or endogenous insulin secretion to the same extent as GLP-1 receptor agonists. However, insulin is associated with hypoglycaemia, weight gain, dose complexity, and psychological resistance among some patients.</w:t>
      </w:r>
    </w:p>
    <w:p w14:paraId="53FD0348" w14:textId="77777777" w:rsidR="00BC41D8" w:rsidRPr="0049060C" w:rsidRDefault="002159CB" w:rsidP="0049060C">
      <w:pPr>
        <w:spacing w:after="160" w:line="360" w:lineRule="auto"/>
        <w:jc w:val="both"/>
      </w:pPr>
      <w:r w:rsidRPr="0049060C">
        <w:t>By contrast, GLP-1 receptor agonists improve glycaemic control through glucose-dependent insulin secretion, glucagon suppression, slowed gastric emptying, and appetite reduction. Their advantages include weight loss, low intrinsic hypoglycaemia risk, and cardiovascular benefit in selected agents [56]. However, their efficacy depends partly on residual beta-cell function, and their use may be limited by gastrointestinal adverse effects, contraindications, cost, supply limitations, and patient tolerance. The comparison should not be framed as insulin versus GLP-1 receptor agonists in all patients, but as a question of timing, disease stage, comorbidity profile, affordability, and treatment goals.</w:t>
      </w:r>
    </w:p>
    <w:p w14:paraId="2C73C809" w14:textId="77777777" w:rsidR="00BC41D8" w:rsidRPr="0049060C" w:rsidRDefault="002159CB" w:rsidP="0049060C">
      <w:pPr>
        <w:spacing w:after="160" w:line="360" w:lineRule="auto"/>
        <w:jc w:val="both"/>
      </w:pPr>
      <w:r w:rsidRPr="0049060C">
        <w:t>A clinically useful approach is to prioritise GLP-1 receptor agonists before insulin in patients with obesity, established atherosclerotic cardiovascular disease, or high hypoglycaemia risk, provided there is no urgent need for rapid insulinisation. Insulin remains appropriate when glycaemia is severely uncontrolled, catabolic symptoms are present, or non-insulin agents fail to achieve individualised targets. In many patients, the strongest strategy is combination therapy, where basal insulin controls fasting glucose and the GLP-1 receptor agonist improves postprandial control, reduces insulin dose requirements, and offsets weight gain.</w:t>
      </w:r>
    </w:p>
    <w:p w14:paraId="70CDC3CE" w14:textId="77777777" w:rsidR="00BC41D8" w:rsidRPr="0049060C" w:rsidRDefault="002159CB" w:rsidP="0049060C">
      <w:pPr>
        <w:pStyle w:val="Heading2"/>
        <w:spacing w:line="360" w:lineRule="auto"/>
      </w:pPr>
      <w:r w:rsidRPr="0049060C">
        <w:t>10.2 Critical Comparison: Tirzepatide and Basal-Bolus Insulin</w:t>
      </w:r>
    </w:p>
    <w:p w14:paraId="20DD9B11" w14:textId="77777777" w:rsidR="00BC41D8" w:rsidRPr="0049060C" w:rsidRDefault="002159CB" w:rsidP="0049060C">
      <w:pPr>
        <w:spacing w:after="160" w:line="360" w:lineRule="auto"/>
        <w:jc w:val="both"/>
      </w:pPr>
      <w:r w:rsidRPr="0049060C">
        <w:t>Tirzepatide has introduced an important therapeutic alternative for patients who might previously have progressed directly to basal-bolus insulin. Compared with basal-bolus therapy, tirzepatide offers substantial HbA1c reduction with marked weight loss and a lower risk of hypoglycaemia when not combined with agents that directly cause hypoglycaemia. It also reduces injection burden compared with multiple daily insulin injections and may be more acceptable to patients who are reluctant to intensify insulin therapy.</w:t>
      </w:r>
    </w:p>
    <w:p w14:paraId="70929DEF" w14:textId="77777777" w:rsidR="00BC41D8" w:rsidRPr="0049060C" w:rsidRDefault="002159CB" w:rsidP="0049060C">
      <w:pPr>
        <w:spacing w:after="160" w:line="360" w:lineRule="auto"/>
        <w:jc w:val="both"/>
      </w:pPr>
      <w:r w:rsidRPr="0049060C">
        <w:t>Basal-bolus insulin, however, remains necessary in patients with advanced insulin deficiency, severe hyperglycaemia requiring rapid correction, marked postprandial excursions unresponsive to non-insulin therapy, or clinical contexts where insulin flexibility is essential. Tirzepatide is not a direct replacement for basal-bolus insulin in all patients. Its effectiveness depends on patient tolerance, affordability, access, and the presence of residual beta-cell function. The practical implication is that tirzepatide may delay, reduce, or simplify insulin therapy in selected patients, but basal-bolus insulin remains indispensable where endogenous insulin reserve is insufficient. The decision should therefore be individualised rather than based only on comparative efficacy.</w:t>
      </w:r>
    </w:p>
    <w:p w14:paraId="43C1D3F5" w14:textId="77777777" w:rsidR="009C0287" w:rsidRPr="0049060C" w:rsidRDefault="009C0287" w:rsidP="0049060C">
      <w:pPr>
        <w:spacing w:after="160" w:line="360" w:lineRule="auto"/>
        <w:jc w:val="both"/>
      </w:pPr>
    </w:p>
    <w:p w14:paraId="7DED3AD6" w14:textId="77777777" w:rsidR="00BC41D8" w:rsidRPr="0049060C" w:rsidRDefault="002159CB" w:rsidP="0049060C">
      <w:pPr>
        <w:pStyle w:val="Heading2"/>
        <w:spacing w:line="360" w:lineRule="auto"/>
      </w:pPr>
      <w:r w:rsidRPr="0049060C">
        <w:t>10.3 Critical Comparison: CGM and Traditional Glucose Monitoring</w:t>
      </w:r>
    </w:p>
    <w:p w14:paraId="10F725F9" w14:textId="77777777" w:rsidR="00BC41D8" w:rsidRPr="0049060C" w:rsidRDefault="002159CB" w:rsidP="0049060C">
      <w:pPr>
        <w:spacing w:after="160" w:line="360" w:lineRule="auto"/>
        <w:jc w:val="both"/>
      </w:pPr>
      <w:r w:rsidRPr="0049060C">
        <w:t>Traditional self-monitoring of blood glucose provides isolated glucose readings at selected time points. It is inexpensive relative to CGM, familiar to many patients, and remains useful for fasting glucose-guided basal insulin titration. However, it often misses nocturnal hypoglycaemia, postprandial excursions, dawn phenomenon, and glycaemic variability between testing times. It also depends heavily on patient testing frequency and technique.</w:t>
      </w:r>
    </w:p>
    <w:p w14:paraId="7478693E" w14:textId="77777777" w:rsidR="00BC41D8" w:rsidRPr="0049060C" w:rsidRDefault="002159CB" w:rsidP="0049060C">
      <w:pPr>
        <w:spacing w:after="160" w:line="360" w:lineRule="auto"/>
        <w:jc w:val="both"/>
      </w:pPr>
      <w:r w:rsidRPr="0049060C">
        <w:t>Continuous glucose monitoring provides a more complete glycaemic profile by showing trends, time in range, time below range, and direction of glucose change. This allows clinicians and patients to adjust insulin based on patterns rather than isolated readings. CGM is particularly valuable for patients on intensive insulin regimens, those with recurrent hypoglycaemia, impaired hypoglycaemia awareness, or unexplained HbA1c-glucose mismatch. Its limitations include cost, device availability, data overload, variable patient digital literacy, and the need for clinician capacity to interpret CGM outputs meaningfully. In practice, CGM should be prioritised for insulin-treated patients at higher risk of hypoglycaemia or glycaemic variability, while traditional monitoring remains relevant where CGM is unavailable or unaffordable.</w:t>
      </w:r>
    </w:p>
    <w:p w14:paraId="4A6A5AAC" w14:textId="77777777" w:rsidR="00BC41D8" w:rsidRPr="0049060C" w:rsidRDefault="002159CB" w:rsidP="0049060C">
      <w:pPr>
        <w:pStyle w:val="Heading2"/>
        <w:spacing w:line="360" w:lineRule="auto"/>
      </w:pPr>
      <w:r w:rsidRPr="0049060C">
        <w:t>10.4 Cost, Accessibility, and Affordability in Low- and Middle-Income Countries</w:t>
      </w:r>
    </w:p>
    <w:p w14:paraId="6D2548BB" w14:textId="77777777" w:rsidR="00BC41D8" w:rsidRPr="0049060C" w:rsidRDefault="002159CB" w:rsidP="0049060C">
      <w:pPr>
        <w:spacing w:after="160" w:line="360" w:lineRule="auto"/>
        <w:jc w:val="both"/>
      </w:pPr>
      <w:r w:rsidRPr="0049060C">
        <w:t>The clinical value of newer therapies and technologies must be interpreted alongside affordability and access. GLP-1 receptor agonists, tirzepatide, second-generation insulin analogues, CGM systems, and smart insulin pens may improve outcomes, but their cost can place them beyond the reach of many patients, particularly in low- and middle-income countries. Real-world uptake may be constrained by out-of-pocket payment, limited insurance coverage, inconsistent supply chains, weak cold-chain infrastructure, and shortages of trained healthcare professionals.</w:t>
      </w:r>
    </w:p>
    <w:p w14:paraId="4A641C61" w14:textId="77777777" w:rsidR="00BC41D8" w:rsidRPr="0049060C" w:rsidRDefault="002159CB" w:rsidP="0049060C">
      <w:pPr>
        <w:spacing w:after="160" w:line="360" w:lineRule="auto"/>
        <w:jc w:val="both"/>
      </w:pPr>
      <w:r w:rsidRPr="0049060C">
        <w:t>In such settings, treatment recommendations should be tiered and pragmatic. Human insulin, metformin, sulfonylureas, and structured glucose monitoring may remain the most realistic options for many patients. Where newer agents are available, priority may be given to patients with the greatest expected benefit, such as those with established cardiovascular disease, chronic kidney disease, obesity, or recurrent hypoglycaemia. A modern insulin optimisation framework must therefore include not only efficacy and safety, but also feasibility. A theoretically superior regimen that patients cannot afford, obtain, store, or understand is unlikely to improve outcomes.</w:t>
      </w:r>
    </w:p>
    <w:p w14:paraId="7DA1852F" w14:textId="77777777" w:rsidR="00BC41D8" w:rsidRPr="0049060C" w:rsidRDefault="002159CB" w:rsidP="0049060C">
      <w:pPr>
        <w:pStyle w:val="Heading2"/>
        <w:spacing w:line="360" w:lineRule="auto"/>
      </w:pPr>
      <w:r w:rsidRPr="0049060C">
        <w:t>10.5 Long-Term Safety and Adherence Issues with Newer Therapies</w:t>
      </w:r>
    </w:p>
    <w:p w14:paraId="387F5502" w14:textId="77777777" w:rsidR="00BC41D8" w:rsidRPr="0049060C" w:rsidRDefault="002159CB" w:rsidP="0049060C">
      <w:pPr>
        <w:spacing w:after="160" w:line="360" w:lineRule="auto"/>
        <w:jc w:val="both"/>
      </w:pPr>
      <w:r w:rsidRPr="0049060C">
        <w:t>Although newer therapies have expanded the options available for T2DM care, long-term safety and adherence require careful attention. GLP-1 receptor agonists and tirzepatide are associated with gastrointestinal adverse effects, including nausea, vomiting, diarrhoea, constipation, and reduced appetite. These effects may reduce persistence, especially during dose escalation. Long-term adherence may also be affected by injection concerns, medication cost, supply shortages, and unrealistic expectations regarding weight loss or glycaemic improvement.</w:t>
      </w:r>
    </w:p>
    <w:p w14:paraId="07ED0E2A" w14:textId="77777777" w:rsidR="00BC41D8" w:rsidRPr="0049060C" w:rsidRDefault="002159CB" w:rsidP="0049060C">
      <w:pPr>
        <w:spacing w:after="160" w:line="360" w:lineRule="auto"/>
        <w:jc w:val="both"/>
      </w:pPr>
      <w:r w:rsidRPr="0049060C">
        <w:t>SGLT2 inhibitors have important cardiorenal benefits, but their use requires patient education on genital mycotic infections, volume depletion, sick-day rules, perioperative withholding, and the rare but clinically significant risk of euglycaemic diabetic ketoacidosis, especially when insulin doses are reduced too aggressively. CGM and smart devices may improve decision-making, but adherence may be limited by sensor discomfort, alarm fatigue, skin reactions, device cost, and digital literacy barriers. Long-term real-world studies are needed to clarify persistence, safety, and outcomes when these newer therapies are combined with insulin across diverse patient populations.</w:t>
      </w:r>
    </w:p>
    <w:p w14:paraId="2C450BF8" w14:textId="77777777" w:rsidR="00F450EC" w:rsidRPr="0049060C" w:rsidRDefault="005769F3" w:rsidP="0049060C">
      <w:pPr>
        <w:pStyle w:val="Heading1"/>
        <w:spacing w:line="360" w:lineRule="auto"/>
        <w:rPr>
          <w:sz w:val="24"/>
          <w:szCs w:val="24"/>
        </w:rPr>
      </w:pPr>
      <w:r w:rsidRPr="0049060C">
        <w:rPr>
          <w:sz w:val="24"/>
          <w:szCs w:val="24"/>
        </w:rPr>
        <w:t>11. Special Populations</w:t>
      </w:r>
    </w:p>
    <w:p w14:paraId="6FE8F119" w14:textId="77777777" w:rsidR="00F450EC" w:rsidRPr="0049060C" w:rsidRDefault="005769F3" w:rsidP="0049060C">
      <w:pPr>
        <w:pStyle w:val="Heading2"/>
        <w:spacing w:line="360" w:lineRule="auto"/>
      </w:pPr>
      <w:r w:rsidRPr="0049060C">
        <w:t>11.1 Elderly Patients</w:t>
      </w:r>
    </w:p>
    <w:p w14:paraId="56763B46" w14:textId="77777777" w:rsidR="00F450EC" w:rsidRPr="0049060C" w:rsidRDefault="005769F3" w:rsidP="0049060C">
      <w:pPr>
        <w:spacing w:after="160" w:line="360" w:lineRule="auto"/>
        <w:jc w:val="both"/>
      </w:pPr>
      <w:r w:rsidRPr="0049060C">
        <w:t>Hypoglycaemia carries greater consequences in older adults: falls, fractures, arrhythmia, and acute cardiovascular events are all more likely, and the physiological and cognitive changes of ageing impair both recognition and recovery [43]. HbA1c targets should generally be relaxed, to 7.5 to 8.5 percent in frail or functionally dependent patients. Regimens should be simplified: basal insulin alone, or fixed-ratio combinations, are preferable to basal-bolus in most elderly patients. Deprescribing sulfonylureas when insulin is added reduces additive hypoglycaemia risk without requiring complex pharmacological substitution.</w:t>
      </w:r>
    </w:p>
    <w:p w14:paraId="10CCDB8D" w14:textId="77777777" w:rsidR="00F450EC" w:rsidRPr="0049060C" w:rsidRDefault="005769F3" w:rsidP="0049060C">
      <w:pPr>
        <w:pStyle w:val="Heading2"/>
        <w:spacing w:line="360" w:lineRule="auto"/>
      </w:pPr>
      <w:r w:rsidRPr="0049060C">
        <w:t>11.2 Cardiovascular Disease</w:t>
      </w:r>
    </w:p>
    <w:p w14:paraId="1E0F7203" w14:textId="77777777" w:rsidR="00F450EC" w:rsidRPr="0049060C" w:rsidRDefault="005769F3" w:rsidP="0049060C">
      <w:pPr>
        <w:spacing w:after="160" w:line="360" w:lineRule="auto"/>
        <w:jc w:val="both"/>
      </w:pPr>
      <w:r w:rsidRPr="0049060C">
        <w:t>Patients with established cardiovascular disease or high cardiovascular risk should receive GLP-1 RAs or SGLT2 inhibitors as combination partners with insulin wherever possible, given the mortality benefit demonstrated in cardiovascular outcome trials [44]. Insulin itself has not demonstrated cardiovascular benefit in T2DM outcome trials. The ORIGIN trial established that insulin glargine does not cause cardiovascular harm in a dysglycaemia population, supporting its safety in this group, but demonstrating no benefit beyond glucose lowering [45]. Hypoglycaemia minimisation is a specific priority given the arrhythmia risk associated with glucose-lowering episodes in patients with underlying cardiac disease.</w:t>
      </w:r>
    </w:p>
    <w:p w14:paraId="5195A2FF" w14:textId="77777777" w:rsidR="00F450EC" w:rsidRPr="0049060C" w:rsidRDefault="005769F3" w:rsidP="0049060C">
      <w:pPr>
        <w:pStyle w:val="Heading2"/>
        <w:spacing w:line="360" w:lineRule="auto"/>
      </w:pPr>
      <w:r w:rsidRPr="0049060C">
        <w:t>11.3 Chronic Kidney Disease</w:t>
      </w:r>
    </w:p>
    <w:p w14:paraId="749AFC88" w14:textId="77777777" w:rsidR="00F450EC" w:rsidRPr="0049060C" w:rsidRDefault="005769F3" w:rsidP="0049060C">
      <w:pPr>
        <w:spacing w:after="160" w:line="360" w:lineRule="auto"/>
        <w:jc w:val="both"/>
      </w:pPr>
      <w:r w:rsidRPr="0049060C">
        <w:t>Renal impairment prolongs insulin clearance and increases hypoglycaemia risk as estimated GFR declines, typically requiring dose reduction below 45 mL/min/1.73m2 and frequent adjustment in patients with rapidly changing function [46]. Many oral agents are contraindicated in advanced chronic kidney disease, making insulin often the only available glucose-lowering option. SGLT2 inhibitors lose glycaemic efficacy as renal function falls but retain cardiorenal protective effects at low doses through CKD stages 3 to 4, supporting their co-administration with insulin where nephroprotection is the primary goal [47].</w:t>
      </w:r>
    </w:p>
    <w:p w14:paraId="78D6DCD2" w14:textId="77777777" w:rsidR="00F450EC" w:rsidRPr="0049060C" w:rsidRDefault="005769F3" w:rsidP="0049060C">
      <w:pPr>
        <w:pStyle w:val="Heading2"/>
        <w:spacing w:line="360" w:lineRule="auto"/>
      </w:pPr>
      <w:r w:rsidRPr="0049060C">
        <w:t>11.4 Obesity</w:t>
      </w:r>
    </w:p>
    <w:p w14:paraId="65E26863" w14:textId="77777777" w:rsidR="00F450EC" w:rsidRPr="0049060C" w:rsidRDefault="005769F3" w:rsidP="0049060C">
      <w:pPr>
        <w:spacing w:after="160" w:line="360" w:lineRule="auto"/>
        <w:jc w:val="both"/>
      </w:pPr>
      <w:r w:rsidRPr="0049060C">
        <w:t>In obese patients on insulin, adding a GLP-1 RA, particularly higher-dose semaglutide or tirzepatide, can produce clinically significant weight reduction of 10 to 15 percent alongside insulin dose reduction, reversing the weight-gain trajectory that often accompanies insulin escalation [48]. For patients with severe obesity and poor glycaemic control despite maximal medical therapy, bariatric surgery achieves diabetes remission in a substantial proportion and may render insulin unnecessary [49].</w:t>
      </w:r>
    </w:p>
    <w:p w14:paraId="39CB80CC" w14:textId="77777777" w:rsidR="00F450EC" w:rsidRPr="0049060C" w:rsidRDefault="00F450EC" w:rsidP="0049060C">
      <w:pPr>
        <w:spacing w:line="360" w:lineRule="auto"/>
      </w:pPr>
    </w:p>
    <w:p w14:paraId="4F18DBFD" w14:textId="77777777" w:rsidR="00F450EC" w:rsidRPr="0049060C" w:rsidRDefault="005769F3" w:rsidP="0049060C">
      <w:pPr>
        <w:pStyle w:val="Heading1"/>
        <w:spacing w:line="360" w:lineRule="auto"/>
        <w:rPr>
          <w:sz w:val="24"/>
          <w:szCs w:val="24"/>
        </w:rPr>
      </w:pPr>
      <w:r w:rsidRPr="0049060C">
        <w:rPr>
          <w:sz w:val="24"/>
          <w:szCs w:val="24"/>
        </w:rPr>
        <w:t>12. Technology in Insulin Optimisation</w:t>
      </w:r>
    </w:p>
    <w:p w14:paraId="07BC5680" w14:textId="77777777" w:rsidR="00F450EC" w:rsidRPr="0049060C" w:rsidRDefault="005769F3" w:rsidP="0049060C">
      <w:pPr>
        <w:spacing w:after="160" w:line="360" w:lineRule="auto"/>
        <w:jc w:val="both"/>
      </w:pPr>
      <w:r w:rsidRPr="0049060C">
        <w:t>Continuous glucose monitoring generates up to 288 glucose readings daily, enabling identification of nocturnal hypoglycaemia, postprandial excursions, and the dawn phenomenon that are invisible to HbA1c and intermittent fingerstick testing. Randomised trials in T2DM populations on insulin associate CGM use with HbA1c reductions of approximately 0.3 to 0.5 percentage points, lower hypoglycaemia rates, and improved time in range [50]. The case for offering CGM to all insulin-treated patients with T2DM as a standard of care, where access permits, is now supported by a sufficient evidence base to make cost the primary remaining argument against it.</w:t>
      </w:r>
    </w:p>
    <w:p w14:paraId="5F4F1AF4" w14:textId="77777777" w:rsidR="00F450EC" w:rsidRPr="0049060C" w:rsidRDefault="005769F3" w:rsidP="0049060C">
      <w:pPr>
        <w:spacing w:after="160" w:line="360" w:lineRule="auto"/>
        <w:jc w:val="both"/>
      </w:pPr>
      <w:r w:rsidRPr="0049060C">
        <w:t>Smart insulin pens record injection time, dose, and pen temperature, transmitting data via Bluetooth to applications that track adherence, calculate doses, and flag missed injections. When integrated with CGM data, they provide a picture of the relationship between insulin delivery and glucose response that neither device achieves alone [51]. Automated titration tools that translate glucose diary or CGM data into dose recommendations have shown promise in improving HbA1c without increasing hypoglycaemia in feasibility studies, though evidence from adequately powered randomised trials remains limited [52].</w:t>
      </w:r>
    </w:p>
    <w:p w14:paraId="78C9F427" w14:textId="77777777" w:rsidR="00F450EC" w:rsidRPr="0049060C" w:rsidRDefault="00F450EC" w:rsidP="0049060C">
      <w:pPr>
        <w:spacing w:line="360" w:lineRule="auto"/>
      </w:pPr>
    </w:p>
    <w:p w14:paraId="76A8837C" w14:textId="77777777" w:rsidR="00F450EC" w:rsidRPr="0049060C" w:rsidRDefault="005769F3" w:rsidP="0049060C">
      <w:pPr>
        <w:pStyle w:val="Heading1"/>
        <w:spacing w:line="360" w:lineRule="auto"/>
        <w:rPr>
          <w:sz w:val="24"/>
          <w:szCs w:val="24"/>
        </w:rPr>
      </w:pPr>
      <w:r w:rsidRPr="0049060C">
        <w:rPr>
          <w:sz w:val="24"/>
          <w:szCs w:val="24"/>
        </w:rPr>
        <w:t>13. Practical Clinical Recommendations</w:t>
      </w:r>
    </w:p>
    <w:p w14:paraId="39C92E0C" w14:textId="77777777" w:rsidR="00F450EC" w:rsidRPr="0049060C" w:rsidRDefault="005769F3" w:rsidP="0049060C">
      <w:pPr>
        <w:spacing w:after="160" w:line="360" w:lineRule="auto"/>
        <w:jc w:val="both"/>
      </w:pPr>
      <w:r w:rsidRPr="0049060C">
        <w:t>Insulin initiation should be considered when HbA1c remains above the individually agreed target despite optimised non-insulin therapy, when the patient presents with symptomatic hyperglycaemia or HbA1c exceeding 10 percent, or when an acute clinical condition requires urgent glucose control. Initiation should be accompanied by structured patient education covering injection technique, hypoglycaemia recognition and management, glucose monitoring, and dose adjustment. Involving patients in device and injection site selection is associated with better adherence [53].</w:t>
      </w:r>
    </w:p>
    <w:p w14:paraId="75F861E4" w14:textId="77777777" w:rsidR="00F450EC" w:rsidRPr="0049060C" w:rsidRDefault="005769F3" w:rsidP="0049060C">
      <w:pPr>
        <w:spacing w:after="160" w:line="360" w:lineRule="auto"/>
        <w:jc w:val="both"/>
      </w:pPr>
      <w:r w:rsidRPr="0049060C">
        <w:t>Regimen selection should reflect the dominant glycaemic problem. Isolated fasting hyperglycaemia with adequate postprandial control warrants once-daily basal insulin. Significant postprandial excursions are better addressed by a fixed-ratio combination product or the addition of a GLP-1 RA to basal insulin than by basal dose escalation alone. Basal-bolus therapy should be reserved for patients with demonstrably advanced beta-cell failure in whom non-insulin adjuncts cannot control postprandial glucose.</w:t>
      </w:r>
    </w:p>
    <w:p w14:paraId="54D0585F" w14:textId="77777777" w:rsidR="00F450EC" w:rsidRPr="0049060C" w:rsidRDefault="005769F3" w:rsidP="0049060C">
      <w:pPr>
        <w:spacing w:after="160" w:line="360" w:lineRule="auto"/>
        <w:jc w:val="both"/>
      </w:pPr>
      <w:r w:rsidRPr="0049060C">
        <w:t>Dose intensification should follow a structured and time-defined protocol. Fasting glucose-guided basal titration using 2-unit increments every three days is a validated, patient-manageable approach. When HbA1c remains elevated despite fasting glucose control, the appropriate response is therapeutic strategy review rather than continued basal escalation. An insulin dose above 0.5 units per kilogram per day without commensurate HbA1c improvement signals that the current approach requires reassessment.</w:t>
      </w:r>
    </w:p>
    <w:p w14:paraId="57DB07C2" w14:textId="77777777" w:rsidR="00F450EC" w:rsidRPr="0049060C" w:rsidRDefault="005769F3" w:rsidP="0049060C">
      <w:pPr>
        <w:spacing w:after="160" w:line="360" w:lineRule="auto"/>
        <w:jc w:val="both"/>
      </w:pPr>
      <w:r w:rsidRPr="0049060C">
        <w:t>Monitoring and follow-up should reflect regimen complexity. Patients initiating basal insulin benefit from contact within two to four weeks to review titration progress and address concerns. Annual review should formally assess whether the current regimen remains appropriate for the patient's goals, functional status, and comorbidities, including structured consideration of de-intensification where clinically warranted.</w:t>
      </w:r>
    </w:p>
    <w:p w14:paraId="08C56FC0" w14:textId="77777777" w:rsidR="00F450EC" w:rsidRPr="0049060C" w:rsidRDefault="00F450EC" w:rsidP="0049060C">
      <w:pPr>
        <w:spacing w:line="360" w:lineRule="auto"/>
      </w:pPr>
    </w:p>
    <w:p w14:paraId="195CDD2A" w14:textId="77777777" w:rsidR="00F450EC" w:rsidRPr="0049060C" w:rsidRDefault="005769F3" w:rsidP="0049060C">
      <w:pPr>
        <w:pStyle w:val="Heading1"/>
        <w:spacing w:line="360" w:lineRule="auto"/>
        <w:rPr>
          <w:sz w:val="24"/>
          <w:szCs w:val="24"/>
        </w:rPr>
      </w:pPr>
      <w:r w:rsidRPr="0049060C">
        <w:rPr>
          <w:sz w:val="24"/>
          <w:szCs w:val="24"/>
        </w:rPr>
        <w:t>14. Future Directions</w:t>
      </w:r>
    </w:p>
    <w:p w14:paraId="1A9D4184" w14:textId="77777777" w:rsidR="00F450EC" w:rsidRPr="0049060C" w:rsidRDefault="005769F3" w:rsidP="0049060C">
      <w:pPr>
        <w:spacing w:after="160" w:line="360" w:lineRule="auto"/>
        <w:jc w:val="both"/>
      </w:pPr>
      <w:r w:rsidRPr="0049060C">
        <w:t>Once-weekly insulin icodec, now approved in some jurisdictions, will be followed by other ultra-long-acting formulations that may shift basal insulin toward background medication status requiring minimal active management. Glucose-responsive insulins, formulations designed to release drug only when plasma glucose rises above a threshold, represent a more fundamental pharmacological advance that could, if successfully developed, largely eliminate hypoglycaemia as a consequence of exogenous insulin use [54].</w:t>
      </w:r>
    </w:p>
    <w:p w14:paraId="1DE733B5" w14:textId="77777777" w:rsidR="00F450EC" w:rsidRPr="0049060C" w:rsidRDefault="005769F3" w:rsidP="0049060C">
      <w:pPr>
        <w:spacing w:after="160" w:line="360" w:lineRule="auto"/>
        <w:jc w:val="both"/>
      </w:pPr>
      <w:r w:rsidRPr="0049060C">
        <w:t>Personalised medicine approaches that use genomic, transcriptomic, and metabolomic data to predict which patients respond best to specific insulin formulations remain aspirational but are under active investigation. The characterisation of distinct diabetes subtypes based on cluster analysis of clinical and biological variables, including severe insulin-resistant and severe insulin-deficient phenotypes, offers a framework for matching treatment intensity and type to underlying pathophysiology rather than applying population-averaged algorithms [55].</w:t>
      </w:r>
    </w:p>
    <w:p w14:paraId="49B7568F" w14:textId="77777777" w:rsidR="00F450EC" w:rsidRPr="0049060C" w:rsidRDefault="005769F3" w:rsidP="0049060C">
      <w:pPr>
        <w:spacing w:after="160" w:line="360" w:lineRule="auto"/>
        <w:jc w:val="both"/>
      </w:pPr>
      <w:r w:rsidRPr="0049060C">
        <w:t>Research gaps deserving specific attention include the long-term outcomes of insulin de-intensification in older patients, comparative effectiveness of fixed-ratio combination products versus their components in unselected populations, CGM utility in primary care insulin management, and the effectiveness of digital titration tools in populations with limited health literacy and technology access. The global insulin access gap remains the most important unresolved problem in this field. The most optimised regimen available is irrelevant to the hundreds of millions of people with T2DM who cannot reliably obtain any insulin at all [24].</w:t>
      </w:r>
    </w:p>
    <w:p w14:paraId="19808172" w14:textId="77777777" w:rsidR="00F450EC" w:rsidRPr="0049060C" w:rsidRDefault="00F450EC" w:rsidP="0049060C">
      <w:pPr>
        <w:spacing w:line="360" w:lineRule="auto"/>
      </w:pPr>
    </w:p>
    <w:p w14:paraId="71F2AF8E" w14:textId="77777777" w:rsidR="00C92AEE" w:rsidRPr="0049060C" w:rsidRDefault="00C92AEE" w:rsidP="0049060C">
      <w:pPr>
        <w:pStyle w:val="Heading1"/>
        <w:spacing w:line="360" w:lineRule="auto"/>
        <w:rPr>
          <w:sz w:val="24"/>
          <w:szCs w:val="24"/>
        </w:rPr>
      </w:pPr>
      <w:r w:rsidRPr="0049060C">
        <w:rPr>
          <w:sz w:val="24"/>
          <w:szCs w:val="24"/>
        </w:rPr>
        <w:t>15. Limitations</w:t>
      </w:r>
    </w:p>
    <w:p w14:paraId="0645BCD2" w14:textId="77777777" w:rsidR="00C92AEE" w:rsidRPr="0049060C" w:rsidRDefault="00C92AEE" w:rsidP="0049060C">
      <w:pPr>
        <w:spacing w:before="100" w:beforeAutospacing="1" w:after="100" w:afterAutospacing="1" w:line="360" w:lineRule="auto"/>
      </w:pPr>
      <w:r w:rsidRPr="0049060C">
        <w:t xml:space="preserve">This review has some limitations. First, it was conducted as a narrative review rather than a systematic review. Although the literature search was drawn from PubMed, Scopus, and Google Scholar and focused mainly on clinical trials, systematic reviews, meta-analyses, and major clinical guidelines published between 2016 and 2026, the search process did not follow a formal systematic review protocol. Therefore, relevant studies may have been missed, particularly studies published outside the selected databases or outside the defined search period. </w:t>
      </w:r>
    </w:p>
    <w:p w14:paraId="3C697CDC" w14:textId="77777777" w:rsidR="00C92AEE" w:rsidRPr="0049060C" w:rsidRDefault="00C92AEE" w:rsidP="0049060C">
      <w:pPr>
        <w:spacing w:before="100" w:beforeAutospacing="1" w:after="100" w:afterAutospacing="1" w:line="360" w:lineRule="auto"/>
      </w:pPr>
      <w:r w:rsidRPr="0049060C">
        <w:t>Second, no formal risk-of-bias assessment or evidence grading was performed. As a result, the strength of evidence across the included studies was not quantitatively ranked. The interpretation of findings therefore reflects a clinically focused synthesis of the available literature rather than a formal comparative assessment of study quality.</w:t>
      </w:r>
    </w:p>
    <w:p w14:paraId="35E7E315" w14:textId="77777777" w:rsidR="00C92AEE" w:rsidRPr="0049060C" w:rsidRDefault="00C92AEE" w:rsidP="0049060C">
      <w:pPr>
        <w:spacing w:before="100" w:beforeAutospacing="1" w:after="100" w:afterAutospacing="1" w:line="360" w:lineRule="auto"/>
      </w:pPr>
      <w:r w:rsidRPr="0049060C">
        <w:t>Third, because the review focuses on rapidly evolving therapies and technologies, including GLP-1 receptor agonists, SGLT2 inhibitors, tirzepatide, continuous glucose monitoring, smart insulin pens, and digital titration tools, some recommendations may need revision as longer-term safety, effectiveness, and real-world implementation data become available.</w:t>
      </w:r>
    </w:p>
    <w:p w14:paraId="1BFF6A55" w14:textId="77777777" w:rsidR="00C92AEE" w:rsidRPr="0049060C" w:rsidRDefault="00C92AEE" w:rsidP="0049060C">
      <w:pPr>
        <w:spacing w:before="100" w:beforeAutospacing="1" w:after="100" w:afterAutospacing="1" w:line="360" w:lineRule="auto"/>
      </w:pPr>
      <w:r w:rsidRPr="0049060C">
        <w:t>Finally, the review discusses insulin optimisation across broad clinical settings, but access to newer agents, insulin analogues, CGM systems, and digital tools varies widely across countries and health systems. Therefore, some recommendations may be more applicable to well-resourced settings than to low-resource environments where affordability, availability, and infrastructure remain major barriers to diabetes care.</w:t>
      </w:r>
    </w:p>
    <w:p w14:paraId="309F0038" w14:textId="77777777" w:rsidR="00C92AEE" w:rsidRPr="0049060C" w:rsidRDefault="00C92AEE" w:rsidP="0049060C">
      <w:pPr>
        <w:pStyle w:val="Heading1"/>
        <w:spacing w:line="360" w:lineRule="auto"/>
        <w:rPr>
          <w:sz w:val="24"/>
          <w:szCs w:val="24"/>
        </w:rPr>
      </w:pPr>
    </w:p>
    <w:p w14:paraId="5ED826CE" w14:textId="77777777" w:rsidR="00F450EC" w:rsidRPr="0049060C" w:rsidRDefault="005769F3" w:rsidP="0049060C">
      <w:pPr>
        <w:pStyle w:val="Heading1"/>
        <w:spacing w:line="360" w:lineRule="auto"/>
        <w:rPr>
          <w:sz w:val="24"/>
          <w:szCs w:val="24"/>
        </w:rPr>
      </w:pPr>
      <w:r w:rsidRPr="0049060C">
        <w:rPr>
          <w:sz w:val="24"/>
          <w:szCs w:val="24"/>
        </w:rPr>
        <w:t>16. Conclusion</w:t>
      </w:r>
    </w:p>
    <w:p w14:paraId="25558B19" w14:textId="77777777" w:rsidR="00195CE1" w:rsidRPr="0049060C" w:rsidRDefault="00195CE1" w:rsidP="0049060C">
      <w:pPr>
        <w:spacing w:after="160" w:line="360" w:lineRule="auto"/>
        <w:jc w:val="both"/>
      </w:pPr>
    </w:p>
    <w:p w14:paraId="5DC604E3" w14:textId="77777777" w:rsidR="00195CE1" w:rsidRPr="0049060C" w:rsidRDefault="00195CE1" w:rsidP="0049060C">
      <w:pPr>
        <w:spacing w:before="100" w:beforeAutospacing="1" w:after="100" w:afterAutospacing="1" w:line="360" w:lineRule="auto"/>
      </w:pPr>
      <w:r w:rsidRPr="0049060C">
        <w:t>Insulin therapy remains an essential component of type 2 diabetes management, particularly for patients with advanced beta-cell dysfunction, severe hyperglycaemia, or inadequate glycaemic control despite optimised non-insulin therapy. However, its role has evolved in response to the emergence of GLP-1 receptor agonists, dual incretin agonists such as tirzepatide, SGLT2 inhibitors, continuous glucose monitoring, and smart insulin delivery technologies. These developments have changed how insulin is initiated, intensified, combined, monitored, and de-intensified in clinical practice.</w:t>
      </w:r>
    </w:p>
    <w:p w14:paraId="10B66B42" w14:textId="77777777" w:rsidR="00195CE1" w:rsidRPr="0049060C" w:rsidRDefault="00195CE1" w:rsidP="0049060C">
      <w:pPr>
        <w:spacing w:before="100" w:beforeAutospacing="1" w:after="100" w:afterAutospacing="1" w:line="360" w:lineRule="auto"/>
      </w:pPr>
      <w:r w:rsidRPr="0049060C">
        <w:t>The evidence reviewed in this article shows that insulin should no longer be viewed as a standalone or final-stage intervention, but as part of a broader, individualised treatment strategy. Combining insulin with newer glucose-lowering agents can reduce insulin dose requirements, improve glycaemic control, limit weight gain, reduce hypoglycaemia risk, and provide additional cardiovascular and renal benefits in appropriate patients. Similarly, CGM and digital tools allow clinicians and patients to make treatment decisions based on glucose patterns rather than isolated readings, supporting safer and more precise dose adjustment.</w:t>
      </w:r>
    </w:p>
    <w:p w14:paraId="413D80F1" w14:textId="77777777" w:rsidR="00195CE1" w:rsidRPr="0049060C" w:rsidRDefault="00195CE1" w:rsidP="0049060C">
      <w:pPr>
        <w:spacing w:before="100" w:beforeAutospacing="1" w:after="100" w:afterAutospacing="1" w:line="360" w:lineRule="auto"/>
      </w:pPr>
      <w:r w:rsidRPr="0049060C">
        <w:t>Effective insulin use in modern T2DM care therefore requires more than timely initiation. It requires appropriate patient selection, structured titration, attention to hypoglycaemia risk, rational combination therapy, patient education, and regular review of whether the current regimen remains suitable. In older adults, frail patients, or those experiencing recurrent hypoglycaemia, safe de-intensification may be as clinically important as intensification. This reinforces the need for patient-centred care that reflects disease stage, comorbidities, treatment burden, access to therapy, and individual preferences.</w:t>
      </w:r>
    </w:p>
    <w:p w14:paraId="6F887FB4" w14:textId="77777777" w:rsidR="00195CE1" w:rsidRPr="0049060C" w:rsidRDefault="00195CE1" w:rsidP="0049060C">
      <w:pPr>
        <w:spacing w:before="100" w:beforeAutospacing="1" w:after="100" w:afterAutospacing="1" w:line="360" w:lineRule="auto"/>
      </w:pPr>
      <w:r w:rsidRPr="0049060C">
        <w:t>Overall, insulin remains indispensable in the management of T2DM, but its optimal use has become more nuanced. The challenge is not simply whether insulin should be used, but how it can be used more safely, effectively, and individually within a rapidly changing therapeutic landscape. This review supports a modern approach in which insulin is integrated with emerging therapies and technologies to improve outcomes while minimising avoidable harm.</w:t>
      </w:r>
    </w:p>
    <w:p w14:paraId="62981AA5" w14:textId="77777777" w:rsidR="00195CE1" w:rsidRPr="0049060C" w:rsidRDefault="00195CE1" w:rsidP="0049060C">
      <w:pPr>
        <w:spacing w:line="360" w:lineRule="auto"/>
      </w:pPr>
    </w:p>
    <w:p w14:paraId="00430855" w14:textId="77777777" w:rsidR="00195CE1" w:rsidRPr="0049060C" w:rsidRDefault="00195CE1" w:rsidP="0049060C">
      <w:pPr>
        <w:spacing w:after="160" w:line="360" w:lineRule="auto"/>
        <w:jc w:val="both"/>
      </w:pPr>
    </w:p>
    <w:p w14:paraId="26A356EF" w14:textId="77777777" w:rsidR="00F450EC" w:rsidRPr="0049060C" w:rsidRDefault="00F450EC" w:rsidP="0049060C">
      <w:pPr>
        <w:spacing w:line="360" w:lineRule="auto"/>
      </w:pPr>
    </w:p>
    <w:p w14:paraId="634ACF30" w14:textId="77777777" w:rsidR="00F450EC" w:rsidRPr="0049060C" w:rsidRDefault="005769F3" w:rsidP="0049060C">
      <w:pPr>
        <w:pStyle w:val="Heading1"/>
        <w:spacing w:line="360" w:lineRule="auto"/>
        <w:rPr>
          <w:sz w:val="24"/>
          <w:szCs w:val="24"/>
        </w:rPr>
      </w:pPr>
      <w:r w:rsidRPr="0049060C">
        <w:rPr>
          <w:sz w:val="24"/>
          <w:szCs w:val="24"/>
        </w:rPr>
        <w:t>Declarations</w:t>
      </w:r>
    </w:p>
    <w:p w14:paraId="47FB4DC9" w14:textId="77777777" w:rsidR="00F450EC" w:rsidRPr="0049060C" w:rsidRDefault="005769F3" w:rsidP="0049060C">
      <w:pPr>
        <w:spacing w:after="160" w:line="360" w:lineRule="auto"/>
        <w:jc w:val="both"/>
      </w:pPr>
      <w:r w:rsidRPr="0049060C">
        <w:t>Ethics statement: This study is a narrative review of published literature and did not involve primary data collection from human participants. No ethical approval was required.</w:t>
      </w:r>
    </w:p>
    <w:p w14:paraId="0EE400B3" w14:textId="77777777" w:rsidR="00F450EC" w:rsidRPr="0049060C" w:rsidRDefault="005769F3" w:rsidP="0049060C">
      <w:pPr>
        <w:spacing w:after="160" w:line="360" w:lineRule="auto"/>
        <w:jc w:val="both"/>
      </w:pPr>
      <w:r w:rsidRPr="0049060C">
        <w:t>Data availability: No new data were generated or analysed in this study. All sources cited are publicly available and referenced in full.</w:t>
      </w:r>
    </w:p>
    <w:p w14:paraId="5BFB7CFC" w14:textId="77777777" w:rsidR="00495857" w:rsidRPr="0049060C" w:rsidRDefault="00495857" w:rsidP="0049060C">
      <w:pPr>
        <w:pStyle w:val="NoSpacing"/>
        <w:spacing w:line="360" w:lineRule="auto"/>
        <w:rPr>
          <w:rFonts w:ascii="Times New Roman" w:hAnsi="Times New Roman" w:cs="Times New Roman"/>
          <w:b/>
          <w:bCs/>
          <w:sz w:val="24"/>
          <w:szCs w:val="24"/>
        </w:rPr>
      </w:pPr>
      <w:bookmarkStart w:id="0" w:name="_Hlk221624953"/>
      <w:r w:rsidRPr="0049060C">
        <w:rPr>
          <w:rFonts w:ascii="Times New Roman" w:hAnsi="Times New Roman" w:cs="Times New Roman"/>
          <w:b/>
          <w:bCs/>
          <w:sz w:val="24"/>
          <w:szCs w:val="24"/>
        </w:rPr>
        <w:t>Disclaimer (Artificial intelligence)</w:t>
      </w:r>
    </w:p>
    <w:p w14:paraId="59F6C4F5" w14:textId="77777777" w:rsidR="00495857" w:rsidRPr="0049060C" w:rsidRDefault="00495857" w:rsidP="0049060C">
      <w:pPr>
        <w:pStyle w:val="NoSpacing"/>
        <w:spacing w:line="360" w:lineRule="auto"/>
        <w:rPr>
          <w:rFonts w:ascii="Times New Roman" w:hAnsi="Times New Roman" w:cs="Times New Roman"/>
          <w:sz w:val="24"/>
          <w:szCs w:val="24"/>
        </w:rPr>
      </w:pPr>
    </w:p>
    <w:p w14:paraId="6AEEDD0B" w14:textId="77777777" w:rsidR="00495857" w:rsidRPr="0049060C" w:rsidRDefault="00495857" w:rsidP="0049060C">
      <w:pPr>
        <w:pStyle w:val="NoSpacing"/>
        <w:spacing w:line="360" w:lineRule="auto"/>
        <w:rPr>
          <w:rFonts w:ascii="Times New Roman" w:hAnsi="Times New Roman" w:cs="Times New Roman"/>
          <w:sz w:val="24"/>
          <w:szCs w:val="24"/>
        </w:rPr>
      </w:pPr>
      <w:r w:rsidRPr="0049060C">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bookmarkEnd w:id="0"/>
    <w:p w14:paraId="68A2DA5E" w14:textId="4DA242C9" w:rsidR="00F450EC" w:rsidRDefault="00F450EC" w:rsidP="0049060C">
      <w:pPr>
        <w:spacing w:line="360" w:lineRule="auto"/>
      </w:pPr>
    </w:p>
    <w:p w14:paraId="64E8FA20" w14:textId="58D0870C" w:rsidR="0049060C" w:rsidRDefault="0049060C" w:rsidP="0049060C">
      <w:pPr>
        <w:spacing w:line="360" w:lineRule="auto"/>
      </w:pPr>
    </w:p>
    <w:p w14:paraId="52D9C700" w14:textId="07B43D92" w:rsidR="0049060C" w:rsidRDefault="0049060C" w:rsidP="0049060C">
      <w:pPr>
        <w:spacing w:line="360" w:lineRule="auto"/>
      </w:pPr>
    </w:p>
    <w:p w14:paraId="28AAB31A" w14:textId="37A5B49A" w:rsidR="0049060C" w:rsidRDefault="0049060C" w:rsidP="0049060C">
      <w:pPr>
        <w:spacing w:line="360" w:lineRule="auto"/>
      </w:pPr>
    </w:p>
    <w:p w14:paraId="3F243340" w14:textId="77777777" w:rsidR="0049060C" w:rsidRPr="0049060C" w:rsidRDefault="0049060C" w:rsidP="0049060C">
      <w:pPr>
        <w:spacing w:line="360" w:lineRule="auto"/>
      </w:pPr>
    </w:p>
    <w:p w14:paraId="4AA02D3A" w14:textId="77777777" w:rsidR="00F450EC" w:rsidRPr="0049060C" w:rsidRDefault="005769F3" w:rsidP="0049060C">
      <w:pPr>
        <w:pStyle w:val="Heading1"/>
        <w:spacing w:line="360" w:lineRule="auto"/>
        <w:rPr>
          <w:sz w:val="24"/>
          <w:szCs w:val="24"/>
        </w:rPr>
      </w:pPr>
      <w:r w:rsidRPr="0049060C">
        <w:rPr>
          <w:sz w:val="24"/>
          <w:szCs w:val="24"/>
        </w:rPr>
        <w:t>References</w:t>
      </w:r>
    </w:p>
    <w:p w14:paraId="7DF3E52E" w14:textId="77777777" w:rsidR="00F450EC" w:rsidRPr="0049060C" w:rsidRDefault="005769F3" w:rsidP="0049060C">
      <w:pPr>
        <w:spacing w:after="80" w:line="360" w:lineRule="auto"/>
        <w:ind w:left="720" w:hanging="720"/>
        <w:jc w:val="both"/>
      </w:pPr>
      <w:r w:rsidRPr="0049060C">
        <w:t>[1] Sun H, Saeedi P, Karuranga S, Pinkepank M, Ogurtsova K, Duncan BB, et al. IDF Diabetes Atlas: global, regional and country-level diabetes prevalence estimates for 2021 and projections for 2045. Diabetes Res Clin Pract. 2022;183:109119.</w:t>
      </w:r>
    </w:p>
    <w:p w14:paraId="10AC111F" w14:textId="77777777" w:rsidR="00F450EC" w:rsidRPr="0049060C" w:rsidRDefault="005769F3" w:rsidP="0049060C">
      <w:pPr>
        <w:spacing w:after="80" w:line="360" w:lineRule="auto"/>
        <w:ind w:left="720" w:hanging="720"/>
        <w:jc w:val="both"/>
      </w:pPr>
      <w:r w:rsidRPr="0049060C">
        <w:t>[2] Holman RR, Paul SK, Bethel MA, Matthews DR, Neil HA. 10-year follow-up of intensive glucose control in type 2 diabetes. N Engl J Med. 2008;359(15):1577-89.</w:t>
      </w:r>
    </w:p>
    <w:p w14:paraId="34198C08" w14:textId="77777777" w:rsidR="00F450EC" w:rsidRPr="0049060C" w:rsidRDefault="005769F3" w:rsidP="0049060C">
      <w:pPr>
        <w:spacing w:after="80" w:line="360" w:lineRule="auto"/>
        <w:ind w:left="720" w:hanging="720"/>
        <w:jc w:val="both"/>
      </w:pPr>
      <w:r w:rsidRPr="0049060C">
        <w:t>[3] Khunti K, Wolden ML, Thorsted BL, Andersen M, Davies MJ. Clinical inertia in people with type 2 diabetes: a retrospective cohort study of more than 80,000 people. Diabetes Care. 2013;36(11):3411-7.</w:t>
      </w:r>
    </w:p>
    <w:p w14:paraId="531DEA78" w14:textId="77777777" w:rsidR="00F450EC" w:rsidRPr="0049060C" w:rsidRDefault="005769F3" w:rsidP="0049060C">
      <w:pPr>
        <w:spacing w:after="80" w:line="360" w:lineRule="auto"/>
        <w:ind w:left="720" w:hanging="720"/>
        <w:jc w:val="both"/>
      </w:pPr>
      <w:r w:rsidRPr="0049060C">
        <w:t>[4] DeFronzo RA, Ferrannini E, Groop L, Henry RR, Herman WH, Holst JJ, et al. Type 2 diabetes mellitus. Nat Rev Dis Primers. 2015;1:15019.</w:t>
      </w:r>
    </w:p>
    <w:p w14:paraId="3DB8D616" w14:textId="77777777" w:rsidR="00F450EC" w:rsidRPr="0049060C" w:rsidRDefault="005769F3" w:rsidP="0049060C">
      <w:pPr>
        <w:spacing w:after="80" w:line="360" w:lineRule="auto"/>
        <w:ind w:left="720" w:hanging="720"/>
        <w:jc w:val="both"/>
      </w:pPr>
      <w:r w:rsidRPr="0049060C">
        <w:t>[5] Turner RC, Cull CA, Frighi V, Holman RR. Glycemic control with diet, sulfonylurea, metformin, or insulin in patients with type 2 diabetes mellitus: progressive requirement for multiple therapies (UKPDS 49). JAMA. 1999;281(21):2005-12.</w:t>
      </w:r>
    </w:p>
    <w:p w14:paraId="76F9D152" w14:textId="77777777" w:rsidR="00F450EC" w:rsidRPr="0049060C" w:rsidRDefault="005769F3" w:rsidP="0049060C">
      <w:pPr>
        <w:spacing w:after="80" w:line="360" w:lineRule="auto"/>
        <w:ind w:left="720" w:hanging="720"/>
        <w:jc w:val="both"/>
      </w:pPr>
      <w:r w:rsidRPr="0049060C">
        <w:t>[6] Monnier L, Lapinski H, Colette C. Contributions of fasting and postprandial plasma glucose increments to the overall diurnal hyperglycemia of type 2 diabetic patients. Diabetes Care. 2003;26(3):881-5.</w:t>
      </w:r>
    </w:p>
    <w:p w14:paraId="68E033FE" w14:textId="77777777" w:rsidR="00F450EC" w:rsidRPr="0049060C" w:rsidRDefault="005769F3" w:rsidP="0049060C">
      <w:pPr>
        <w:spacing w:after="80" w:line="360" w:lineRule="auto"/>
        <w:ind w:left="720" w:hanging="720"/>
        <w:jc w:val="both"/>
      </w:pPr>
      <w:r w:rsidRPr="0049060C">
        <w:t>[7] Nauck MA, Meier JJ. Incretin hormones: their role in health and disease. Diabetes Obes Metab. 2018;20 Suppl 1:5-21.</w:t>
      </w:r>
    </w:p>
    <w:p w14:paraId="7C378531" w14:textId="77777777" w:rsidR="00F450EC" w:rsidRPr="0049060C" w:rsidRDefault="005769F3" w:rsidP="0049060C">
      <w:pPr>
        <w:spacing w:after="80" w:line="360" w:lineRule="auto"/>
        <w:ind w:left="720" w:hanging="720"/>
        <w:jc w:val="both"/>
      </w:pPr>
      <w:r w:rsidRPr="0049060C">
        <w:t>[8] Pozzilli P, Strollo R, Bonora E. One size does not fit all glycemic targets for type 2 diabetes. J Diabetes Investig. 2014;5(2):134-41.</w:t>
      </w:r>
    </w:p>
    <w:p w14:paraId="78FD948B" w14:textId="77777777" w:rsidR="00F450EC" w:rsidRPr="0049060C" w:rsidRDefault="005769F3" w:rsidP="0049060C">
      <w:pPr>
        <w:spacing w:after="80" w:line="360" w:lineRule="auto"/>
        <w:ind w:left="720" w:hanging="720"/>
        <w:jc w:val="both"/>
      </w:pPr>
      <w:r w:rsidRPr="0049060C">
        <w:t>[9] Davies MJ, Aroda VR, Collins BS, Gabbay RA, Green J, Maruthur NM, et al. Management of hyperglycemia in type 2 diabetes, 2022: a consensus report by the American Diabetes Association and the European Association for the Study of Diabetes. Diabetes Care. 2022;45(11):2753-86.</w:t>
      </w:r>
    </w:p>
    <w:p w14:paraId="3338A07E" w14:textId="77777777" w:rsidR="00F450EC" w:rsidRPr="0049060C" w:rsidRDefault="005769F3" w:rsidP="0049060C">
      <w:pPr>
        <w:spacing w:after="80" w:line="360" w:lineRule="auto"/>
        <w:ind w:left="720" w:hanging="720"/>
        <w:jc w:val="both"/>
      </w:pPr>
      <w:r w:rsidRPr="0049060C">
        <w:t>[10] Vidovic J, Hirsch IB. Initial management of severe hyperglycemia in type 2 diabetes. In: StatPearls [Internet]. Treasure Island (FL): StatPearls Publishing; 2026 Jan 12. Available from: https://www.ncbi.nlm.nih.gov/books/NBK278997/</w:t>
      </w:r>
    </w:p>
    <w:p w14:paraId="1E71CF54" w14:textId="77777777" w:rsidR="00F450EC" w:rsidRPr="0049060C" w:rsidRDefault="005769F3" w:rsidP="0049060C">
      <w:pPr>
        <w:spacing w:after="80" w:line="360" w:lineRule="auto"/>
        <w:ind w:left="720" w:hanging="720"/>
        <w:jc w:val="both"/>
      </w:pPr>
      <w:r w:rsidRPr="0049060C">
        <w:t>[11] American Diabetes Association Professional Practice Committee. 16. Diabetes care in the hospital: standards of care in diabetes 2024. Diabetes Care. 2024;47(Suppl 1):S295-S306.</w:t>
      </w:r>
    </w:p>
    <w:p w14:paraId="0F2B7CEB" w14:textId="77777777" w:rsidR="00F450EC" w:rsidRPr="0049060C" w:rsidRDefault="005769F3" w:rsidP="0049060C">
      <w:pPr>
        <w:spacing w:after="80" w:line="360" w:lineRule="auto"/>
        <w:ind w:left="720" w:hanging="720"/>
        <w:jc w:val="both"/>
      </w:pPr>
      <w:r w:rsidRPr="0049060C">
        <w:t>[12] American Diabetes Association Professional Practice Committee. 15. Management of diabetes in pregnancy: standards of care in diabetes 2024. Diabetes Care. 2024;47(Suppl 1):S282-S294.</w:t>
      </w:r>
    </w:p>
    <w:p w14:paraId="12640E14" w14:textId="77777777" w:rsidR="00F450EC" w:rsidRPr="0049060C" w:rsidRDefault="005769F3" w:rsidP="0049060C">
      <w:pPr>
        <w:spacing w:after="80" w:line="360" w:lineRule="auto"/>
        <w:ind w:left="720" w:hanging="720"/>
        <w:jc w:val="both"/>
      </w:pPr>
      <w:r w:rsidRPr="0049060C">
        <w:t>[13] Heise T, Norskov M, Nosek L, Kaplan K, Famulla S, Haahr HL. Insulin degludec: lower day-to-day and within-day variability in pharmacodynamic response compared with insulin glargine 300 U/mL in type 1 diabetes. Diabetes Obes Metab. 2017;19(7):1032-9.</w:t>
      </w:r>
    </w:p>
    <w:p w14:paraId="237CCC6A" w14:textId="77777777" w:rsidR="00F450EC" w:rsidRPr="0049060C" w:rsidRDefault="005769F3" w:rsidP="0049060C">
      <w:pPr>
        <w:spacing w:after="80" w:line="360" w:lineRule="auto"/>
        <w:ind w:left="720" w:hanging="720"/>
        <w:jc w:val="both"/>
      </w:pPr>
      <w:r w:rsidRPr="0049060C">
        <w:t>[14] Marso SP, McGuire DK, Zinman B, Poulter NR, Emerson SS, Pieber TR, et al. Efficacy and safety of degludec versus glargine in type 2 diabetes. N Engl J Med. 2017;377(8):723-32.</w:t>
      </w:r>
    </w:p>
    <w:p w14:paraId="05BACC5D" w14:textId="77777777" w:rsidR="00F450EC" w:rsidRPr="0049060C" w:rsidRDefault="005769F3" w:rsidP="0049060C">
      <w:pPr>
        <w:spacing w:after="80" w:line="360" w:lineRule="auto"/>
        <w:ind w:left="720" w:hanging="720"/>
        <w:jc w:val="both"/>
      </w:pPr>
      <w:r w:rsidRPr="0049060C">
        <w:t>[15] Riddle MC, Bolli GB, Ziemen M, Muehlen-Bartmer I, Bizet F, Home PD. New insulin glargine 300 units/mL versus glargine 100 units/mL in people with type 2 diabetes using basal and mealtime insulin: glucose control and hypoglycemia in a 6-month randomized controlled trial (EDITION 1). Diabetes Care. 2014;37(10):2755-62.</w:t>
      </w:r>
    </w:p>
    <w:p w14:paraId="6A3EB4B2" w14:textId="77777777" w:rsidR="00F450EC" w:rsidRPr="0049060C" w:rsidRDefault="005769F3" w:rsidP="0049060C">
      <w:pPr>
        <w:spacing w:after="80" w:line="360" w:lineRule="auto"/>
        <w:ind w:left="720" w:hanging="720"/>
        <w:jc w:val="both"/>
      </w:pPr>
      <w:r w:rsidRPr="0049060C">
        <w:t>[16] Philis-Tsimikas A, Charpentier G, Clauson P, Ravn GM, Roberts VL, Thorsteinsson B. Comparison of once-daily insulin detemir with NPH insulin added to a regimen of oral antidiabetic drugs in poorly controlled type 2 diabetes. Clin Ther. 2006;28(10):1569-81.</w:t>
      </w:r>
    </w:p>
    <w:p w14:paraId="02A6F140" w14:textId="77777777" w:rsidR="00F450EC" w:rsidRPr="0049060C" w:rsidRDefault="005769F3" w:rsidP="0049060C">
      <w:pPr>
        <w:spacing w:after="80" w:line="360" w:lineRule="auto"/>
        <w:ind w:left="720" w:hanging="720"/>
        <w:jc w:val="both"/>
      </w:pPr>
      <w:r w:rsidRPr="0049060C">
        <w:t>[17] Giugliano D, Maiorino MI, Bellastella G, Chiodini P, Ceriello A, Esposito K. Efficacy of insulin analogs in achieving the hemoglobin A1c target of &lt;7% in type 2 diabetes: meta-analysis of randomized controlled trials. Diabetes Care. 2011;34(2):510-7.</w:t>
      </w:r>
    </w:p>
    <w:p w14:paraId="5981DCE5" w14:textId="77777777" w:rsidR="00F450EC" w:rsidRPr="0049060C" w:rsidRDefault="005769F3" w:rsidP="0049060C">
      <w:pPr>
        <w:spacing w:after="80" w:line="360" w:lineRule="auto"/>
        <w:ind w:left="720" w:hanging="720"/>
        <w:jc w:val="both"/>
      </w:pPr>
      <w:r w:rsidRPr="0049060C">
        <w:t>[18] Garber AJ, Abrahamson MJ, Barzilay JI, Blonde L, Bloomgarden ZT, Bush MA, et al. Consensus statement by the American Association of Clinical Endocrinologists and American College of Endocrinology on the comprehensive type 2 diabetes management algorithm. Endocr Pract. 2017;23(2):207-38.</w:t>
      </w:r>
    </w:p>
    <w:p w14:paraId="66042352" w14:textId="77777777" w:rsidR="00F450EC" w:rsidRPr="0049060C" w:rsidRDefault="005769F3" w:rsidP="0049060C">
      <w:pPr>
        <w:spacing w:after="80" w:line="360" w:lineRule="auto"/>
        <w:ind w:left="720" w:hanging="720"/>
        <w:jc w:val="both"/>
      </w:pPr>
      <w:r w:rsidRPr="0049060C">
        <w:t>[19] Goto A, Arah OA, Goto M, Terauchi Y, Noda M. Severe hypoglycaemia and cardiovascular disease: systematic review and meta-analysis with bias analysis. BMJ. 2013;347:f4533.</w:t>
      </w:r>
    </w:p>
    <w:p w14:paraId="47CBE15F" w14:textId="77777777" w:rsidR="00F450EC" w:rsidRPr="0049060C" w:rsidRDefault="005769F3" w:rsidP="0049060C">
      <w:pPr>
        <w:spacing w:after="80" w:line="360" w:lineRule="auto"/>
        <w:ind w:left="720" w:hanging="720"/>
        <w:jc w:val="both"/>
      </w:pPr>
      <w:r w:rsidRPr="0049060C">
        <w:t>[20] Brod M, Nikolajsen A, Weatherall J, Pfeiffer KM. The economic burden of non-severe hypoglycemic events: a study of patients with type 2 diabetes. Value Health. 2011;14(5):702-8.</w:t>
      </w:r>
    </w:p>
    <w:p w14:paraId="7391D885" w14:textId="77777777" w:rsidR="00F450EC" w:rsidRPr="0049060C" w:rsidRDefault="005769F3" w:rsidP="0049060C">
      <w:pPr>
        <w:spacing w:after="80" w:line="360" w:lineRule="auto"/>
        <w:ind w:left="720" w:hanging="720"/>
        <w:jc w:val="both"/>
      </w:pPr>
      <w:r w:rsidRPr="0049060C">
        <w:t>[21] Hermansen K, Davies M, Derezinski T, Martinez Ravn G, Clauson P, Home P. A 26-week, randomized, parallel, treat-to-target trial comparing insulin detemir with NPH insulin as add-on therapy to oral glucose-lowering drugs in insulin-naive people with type 2 diabetes. Diabetes Care. 2006;29(6):1269-74.</w:t>
      </w:r>
    </w:p>
    <w:p w14:paraId="3D2C4C72" w14:textId="77777777" w:rsidR="00F450EC" w:rsidRPr="0049060C" w:rsidRDefault="005769F3" w:rsidP="0049060C">
      <w:pPr>
        <w:spacing w:after="80" w:line="360" w:lineRule="auto"/>
        <w:ind w:left="720" w:hanging="720"/>
        <w:jc w:val="both"/>
      </w:pPr>
      <w:r w:rsidRPr="0049060C">
        <w:t>[22] Pantalone KM, Misra-Hebert AD, Hobbs TM, Kong SX, Ji X, Ganguly R, et al. Clinical inertia in type 2 diabetes management: evidence from a large, real-world data set. Diabetes Care. 2018;41(7):e113-4.</w:t>
      </w:r>
    </w:p>
    <w:p w14:paraId="677D7B11" w14:textId="77777777" w:rsidR="00F450EC" w:rsidRPr="0049060C" w:rsidRDefault="005769F3" w:rsidP="0049060C">
      <w:pPr>
        <w:spacing w:after="80" w:line="360" w:lineRule="auto"/>
        <w:ind w:left="720" w:hanging="720"/>
        <w:jc w:val="both"/>
      </w:pPr>
      <w:r w:rsidRPr="0049060C">
        <w:t>[23] Beran D, Ewen M, Laing R. Constraints and challenges in access to insulin: a global perspective. Lancet Diabetes Endocrinol. 2016;4(3):275-85.</w:t>
      </w:r>
    </w:p>
    <w:p w14:paraId="53E72A38" w14:textId="77777777" w:rsidR="00F450EC" w:rsidRPr="0049060C" w:rsidRDefault="005769F3" w:rsidP="0049060C">
      <w:pPr>
        <w:spacing w:after="80" w:line="360" w:lineRule="auto"/>
        <w:ind w:left="720" w:hanging="720"/>
        <w:jc w:val="both"/>
      </w:pPr>
      <w:r w:rsidRPr="0049060C">
        <w:t>[24] Sinclair A, Dunning T, Rodriguez-Manas L. Diabetes in older people: new insights and remaining challenges. Lancet Diabetes Endocrinol. 2015;3(4):275-85.</w:t>
      </w:r>
    </w:p>
    <w:p w14:paraId="664B8786" w14:textId="77777777" w:rsidR="00F450EC" w:rsidRPr="0049060C" w:rsidRDefault="005769F3" w:rsidP="0049060C">
      <w:pPr>
        <w:spacing w:after="80" w:line="360" w:lineRule="auto"/>
        <w:ind w:left="720" w:hanging="720"/>
        <w:jc w:val="both"/>
      </w:pPr>
      <w:r w:rsidRPr="0049060C">
        <w:t>[25] Rubin RR, Peyrot M. Psychological issues and treatments for people with diabetes. J Clin Psychol. 2001;57(4):457-78.</w:t>
      </w:r>
    </w:p>
    <w:p w14:paraId="7A9B1012" w14:textId="77777777" w:rsidR="00F450EC" w:rsidRPr="0049060C" w:rsidRDefault="005769F3" w:rsidP="0049060C">
      <w:pPr>
        <w:spacing w:after="80" w:line="360" w:lineRule="auto"/>
        <w:ind w:left="720" w:hanging="720"/>
        <w:jc w:val="both"/>
      </w:pPr>
      <w:r w:rsidRPr="0049060C">
        <w:t>[26] Collins L, Costello RA. Glucagon-like peptide-1 receptor agonists. In: StatPearls [Internet]. Treasure Island (FL): StatPearls Publishing; 2024 Feb 29. Available from: https://www.ncbi.nlm.nih.gov/books/NBK551568/</w:t>
      </w:r>
    </w:p>
    <w:p w14:paraId="29C46E10" w14:textId="77777777" w:rsidR="00F450EC" w:rsidRPr="0049060C" w:rsidRDefault="005769F3" w:rsidP="0049060C">
      <w:pPr>
        <w:spacing w:after="80" w:line="360" w:lineRule="auto"/>
        <w:ind w:left="720" w:hanging="720"/>
        <w:jc w:val="both"/>
      </w:pPr>
      <w:r w:rsidRPr="0049060C">
        <w:t>[27] Kristensen SL, Rorth R, Jhund PS, Docherty KF, Sattar N, Preiss D, et al. Cardiovascular, mortality, and kidney outcomes with GLP-1 receptor agonists in patients with type 2 diabetes: a systematic review and meta-analysis of cardiovascular outcome trials. Lancet Diabetes Endocrinol. 2019;7(10):776-85.</w:t>
      </w:r>
    </w:p>
    <w:p w14:paraId="6FBF2876" w14:textId="77777777" w:rsidR="00F450EC" w:rsidRPr="0049060C" w:rsidRDefault="005769F3" w:rsidP="0049060C">
      <w:pPr>
        <w:spacing w:after="80" w:line="360" w:lineRule="auto"/>
        <w:ind w:left="720" w:hanging="720"/>
        <w:jc w:val="both"/>
      </w:pPr>
      <w:r w:rsidRPr="0049060C">
        <w:t>[28] Aroda VR, Rosenstock J, Terauchi Y, Altuntas Y, Lalic NM, Morales Villegas EC, et al. PIONEER 1: randomized clinical trial of the efficacy and safety of oral semaglutide monotherapy in comparison with placebo in patients with type 2 diabetes. Diabetes Care. 2019;42(9):1724-32.</w:t>
      </w:r>
    </w:p>
    <w:p w14:paraId="1380301B" w14:textId="77777777" w:rsidR="00F450EC" w:rsidRPr="0049060C" w:rsidRDefault="005769F3" w:rsidP="0049060C">
      <w:pPr>
        <w:spacing w:after="80" w:line="360" w:lineRule="auto"/>
        <w:ind w:left="720" w:hanging="720"/>
        <w:jc w:val="both"/>
      </w:pPr>
      <w:r w:rsidRPr="0049060C">
        <w:t>[29] Frias JP, Davies MJ, Rosenstock J, Perez Manghi FC, Fernandez Lando L, Bergman BK, et al. Tirzepatide versus semaglutide once weekly in patients with type 2 diabetes. N Engl J Med. 2021;385(6):503-15.</w:t>
      </w:r>
    </w:p>
    <w:p w14:paraId="37C22B64" w14:textId="77777777" w:rsidR="00F450EC" w:rsidRPr="0049060C" w:rsidRDefault="005769F3" w:rsidP="0049060C">
      <w:pPr>
        <w:spacing w:after="80" w:line="360" w:lineRule="auto"/>
        <w:ind w:left="720" w:hanging="720"/>
        <w:jc w:val="both"/>
      </w:pPr>
      <w:r w:rsidRPr="0049060C">
        <w:t>[30] Dahl D, Onishi Y, Norwood P, Huh R, Langslet G, Hovelmann U, et al. Effect of subcutaneous tirzepatide vs placebo added to titrated insulin glargine on glycemic control in patients with type 2 diabetes: the SURPASS-5 randomized clinical trial. JAMA. 2022;327(6):534-45.</w:t>
      </w:r>
    </w:p>
    <w:p w14:paraId="2F075BEB" w14:textId="77777777" w:rsidR="00F450EC" w:rsidRPr="0049060C" w:rsidRDefault="005769F3" w:rsidP="0049060C">
      <w:pPr>
        <w:spacing w:after="80" w:line="360" w:lineRule="auto"/>
        <w:ind w:left="720" w:hanging="720"/>
        <w:jc w:val="both"/>
      </w:pPr>
      <w:r w:rsidRPr="0049060C">
        <w:t>[31] Zelniker TA, Wiviott SD, Raz I, Im K, Goodrich EL, Bonaca MP, et al. SGLT2 inhibitors for primary and secondary prevention of cardiovascular and renal outcomes in type 2 diabetes: a systematic review and meta-analysis of cardiovascular outcome trials. Lancet. 2019;393(10166):31-39.</w:t>
      </w:r>
    </w:p>
    <w:p w14:paraId="485E0FE0" w14:textId="77777777" w:rsidR="00F450EC" w:rsidRPr="0049060C" w:rsidRDefault="005769F3" w:rsidP="0049060C">
      <w:pPr>
        <w:spacing w:after="80" w:line="360" w:lineRule="auto"/>
        <w:ind w:left="720" w:hanging="720"/>
        <w:jc w:val="both"/>
      </w:pPr>
      <w:r w:rsidRPr="0049060C">
        <w:t>[32] Blau JE, Tella SH, Taylor SI, Rother KI. Ketoacidosis associated with SGLT2 inhibitor treatment: analysis of FAERS data. Diabetes Metab Res Rev. 2017;33(8).</w:t>
      </w:r>
    </w:p>
    <w:p w14:paraId="5B93E57B" w14:textId="77777777" w:rsidR="00F450EC" w:rsidRPr="0049060C" w:rsidRDefault="005769F3" w:rsidP="0049060C">
      <w:pPr>
        <w:spacing w:after="80" w:line="360" w:lineRule="auto"/>
        <w:ind w:left="720" w:hanging="720"/>
        <w:jc w:val="both"/>
      </w:pPr>
      <w:r w:rsidRPr="0049060C">
        <w:t>[33] Aroda VR, Bailey TS, Cariou B, Kumar S, Lehmann LM, Rose L, et al. Effect of adding insulin degludec/liraglutide (IDegLira) versus continuing to optimize basal insulin glargine (U-100) in patients with uncontrolled type 2 diabetes. Diabetes Obes Metab. 2019;21(4):870-9.</w:t>
      </w:r>
    </w:p>
    <w:p w14:paraId="53D7891B" w14:textId="77777777" w:rsidR="00F450EC" w:rsidRPr="0049060C" w:rsidRDefault="005769F3" w:rsidP="0049060C">
      <w:pPr>
        <w:spacing w:after="80" w:line="360" w:lineRule="auto"/>
        <w:ind w:left="720" w:hanging="720"/>
        <w:jc w:val="both"/>
      </w:pPr>
      <w:r w:rsidRPr="0049060C">
        <w:t>[34] Buse JB, Vilsboll T, Thurman J, Blevins TC, Langbakke IH, Bottcher SG, et al. Contribution of liraglutide in the fixed-ratio combination of insulin degludec and liraglutide (IDegLira). Diabetes Care. 2014;37(11):2926-33.</w:t>
      </w:r>
    </w:p>
    <w:p w14:paraId="0EB3C075" w14:textId="77777777" w:rsidR="00F450EC" w:rsidRPr="0049060C" w:rsidRDefault="005769F3" w:rsidP="0049060C">
      <w:pPr>
        <w:spacing w:after="80" w:line="360" w:lineRule="auto"/>
        <w:ind w:left="720" w:hanging="720"/>
        <w:jc w:val="both"/>
      </w:pPr>
      <w:r w:rsidRPr="0049060C">
        <w:t>[35] Rosenstock J, Bain SC, Gowda A, Jodar E, Liang B, Lingvay I, et al. Weekly icodec versus daily glargine U100 in type 2 diabetes without previous insulin. N Engl J Med. 2023;389(4):297-308.</w:t>
      </w:r>
    </w:p>
    <w:p w14:paraId="20EAEE58" w14:textId="77777777" w:rsidR="00F450EC" w:rsidRPr="0049060C" w:rsidRDefault="005769F3" w:rsidP="0049060C">
      <w:pPr>
        <w:spacing w:after="80" w:line="360" w:lineRule="auto"/>
        <w:ind w:left="720" w:hanging="720"/>
        <w:jc w:val="both"/>
      </w:pPr>
      <w:r w:rsidRPr="0049060C">
        <w:t>[36] American Diabetes Association Professional Practice Committee. 9. Pharmacologic approaches to glycemic treatment: standards of care in diabetes 2024. Diabetes Care. 2024;47(Suppl 1):S158-S178.</w:t>
      </w:r>
    </w:p>
    <w:p w14:paraId="6FC67564" w14:textId="77777777" w:rsidR="00F450EC" w:rsidRPr="0049060C" w:rsidRDefault="005769F3" w:rsidP="0049060C">
      <w:pPr>
        <w:spacing w:after="80" w:line="360" w:lineRule="auto"/>
        <w:ind w:left="720" w:hanging="720"/>
        <w:jc w:val="both"/>
      </w:pPr>
      <w:r w:rsidRPr="0049060C">
        <w:t>[37] Davies M, Storms F, Shutler S, Bianchi-Biscay M, Gomis R. Improvement of glycemic control in subjects with poorly controlled type 2 diabetes: comparison of two treatment algorithms using insulin glargine. Diabetes Care. 2005;28(6):1282-8.</w:t>
      </w:r>
    </w:p>
    <w:p w14:paraId="2B926BD9" w14:textId="77777777" w:rsidR="00F450EC" w:rsidRPr="0049060C" w:rsidRDefault="005769F3" w:rsidP="0049060C">
      <w:pPr>
        <w:spacing w:after="80" w:line="360" w:lineRule="auto"/>
        <w:ind w:left="720" w:hanging="720"/>
        <w:jc w:val="both"/>
      </w:pPr>
      <w:r w:rsidRPr="0049060C">
        <w:t>[38] Wysham C, Bhargava A, Chaykin L, de la Rosa R, Handelsman Y, Troelsen LN, et al. Effect of insulin degludec vs insulin glargine U100 on hypoglycemia in patients with type 2 diabetes: the SWITCH 2 randomized clinical trial. JAMA. 2017;318(1):45-56.</w:t>
      </w:r>
    </w:p>
    <w:p w14:paraId="2B403AAD" w14:textId="77777777" w:rsidR="00F450EC" w:rsidRPr="0049060C" w:rsidRDefault="005769F3" w:rsidP="0049060C">
      <w:pPr>
        <w:spacing w:after="80" w:line="360" w:lineRule="auto"/>
        <w:ind w:left="720" w:hanging="720"/>
        <w:jc w:val="both"/>
      </w:pPr>
      <w:r w:rsidRPr="0049060C">
        <w:t>[39] Lipska KJ, Ross JS, Miao Y, Shah ND, Lee SJ, Steinman MA. Potential overtreatment of diabetes mellitus in older adults with tight glycemic control. JAMA Intern Med. 2015;175(3):356-62.</w:t>
      </w:r>
    </w:p>
    <w:p w14:paraId="5A17C654" w14:textId="77777777" w:rsidR="00F450EC" w:rsidRPr="0049060C" w:rsidRDefault="005769F3" w:rsidP="0049060C">
      <w:pPr>
        <w:spacing w:after="80" w:line="360" w:lineRule="auto"/>
        <w:ind w:left="720" w:hanging="720"/>
        <w:jc w:val="both"/>
      </w:pPr>
      <w:r w:rsidRPr="0049060C">
        <w:t>[40] Wulffele MG, Kooy A, de Zeeuw D, Stehouwer CD, Gansevoort RT. The effect of metformin on blood pressure, plasma cholesterol and triglycerides in type 2 diabetes mellitus: a systematic review. J Intern Med. 2004;256(1):1-14.</w:t>
      </w:r>
    </w:p>
    <w:p w14:paraId="5D20694B" w14:textId="77777777" w:rsidR="00F450EC" w:rsidRPr="0049060C" w:rsidRDefault="005769F3" w:rsidP="0049060C">
      <w:pPr>
        <w:spacing w:after="80" w:line="360" w:lineRule="auto"/>
        <w:ind w:left="720" w:hanging="720"/>
        <w:jc w:val="both"/>
      </w:pPr>
      <w:r w:rsidRPr="0049060C">
        <w:t>[41] Eng C, Kramer CK, Zinman B, Retnakaran R. Glucagon-like peptide-1 receptor agonist and basal insulin combination treatment for the management of type 2 diabetes: a systematic review and meta-analysis. Lancet. 2014;384(9961):2228-34.</w:t>
      </w:r>
    </w:p>
    <w:p w14:paraId="3F7447D9" w14:textId="77777777" w:rsidR="00F450EC" w:rsidRPr="0049060C" w:rsidRDefault="005769F3" w:rsidP="0049060C">
      <w:pPr>
        <w:spacing w:after="80" w:line="360" w:lineRule="auto"/>
        <w:ind w:left="720" w:hanging="720"/>
        <w:jc w:val="both"/>
      </w:pPr>
      <w:r w:rsidRPr="0049060C">
        <w:t>[42] Maran A, Boscari F, Fagarazzi C, Crepaldi MC, Vedovato M, Bonora BM, et al. Long-term effects of adding an SGLT-2 inhibitor to insulin therapy in patients with type 1 diabetes: an observational study and systematic review of real-world evidence. J Endocrinol Invest. 2025;48(8):1759-68.</w:t>
      </w:r>
    </w:p>
    <w:p w14:paraId="6AF5355C" w14:textId="77777777" w:rsidR="00F450EC" w:rsidRPr="0049060C" w:rsidRDefault="005769F3" w:rsidP="0049060C">
      <w:pPr>
        <w:spacing w:after="80" w:line="360" w:lineRule="auto"/>
        <w:ind w:left="720" w:hanging="720"/>
        <w:jc w:val="both"/>
      </w:pPr>
      <w:r w:rsidRPr="0049060C">
        <w:t>[43] Abdelhafiz AH, Rodriguez-Manas L, Morley JE, Sinclair AJ. Hypoglycemia in older people: a less well recognized risk factor for frailty. Aging Dis. 2015;6(2):156-67.</w:t>
      </w:r>
    </w:p>
    <w:p w14:paraId="5C0CE8FB" w14:textId="77777777" w:rsidR="00F450EC" w:rsidRPr="0049060C" w:rsidRDefault="005769F3" w:rsidP="0049060C">
      <w:pPr>
        <w:spacing w:after="80" w:line="360" w:lineRule="auto"/>
        <w:ind w:left="720" w:hanging="720"/>
        <w:jc w:val="both"/>
      </w:pPr>
      <w:r w:rsidRPr="0049060C">
        <w:t>[44] Nissen SE, Wolski K. Rosiglitazone revisited: an updated meta-analysis of risk for myocardial infarction and cardiovascular mortality. Arch Intern Med. 2010;170(14):1191-201.</w:t>
      </w:r>
    </w:p>
    <w:p w14:paraId="7652C803" w14:textId="77777777" w:rsidR="00F450EC" w:rsidRPr="0049060C" w:rsidRDefault="005769F3" w:rsidP="0049060C">
      <w:pPr>
        <w:spacing w:after="80" w:line="360" w:lineRule="auto"/>
        <w:ind w:left="720" w:hanging="720"/>
        <w:jc w:val="both"/>
      </w:pPr>
      <w:r w:rsidRPr="0049060C">
        <w:t>[45] ORIGIN Trial Investigators, Gerstein HC, Bosch J, Dagenais GR, Diaz R, Jung H, et al. Basal insulin and cardiovascular and other outcomes in dysglycemia. N Engl J Med. 2012;367(4):319-28.</w:t>
      </w:r>
    </w:p>
    <w:p w14:paraId="60D00B55" w14:textId="77777777" w:rsidR="00F450EC" w:rsidRPr="0049060C" w:rsidRDefault="005769F3" w:rsidP="0049060C">
      <w:pPr>
        <w:spacing w:after="80" w:line="360" w:lineRule="auto"/>
        <w:ind w:left="720" w:hanging="720"/>
        <w:jc w:val="both"/>
      </w:pPr>
      <w:r w:rsidRPr="0049060C">
        <w:t>[46] Moen MF, Zhan M, Hsu VD, Walker LD, Einhorn LM, Seliger SL, et al. Frequency of hypoglycemia and its significance in chronic kidney disease. Clin J Am Soc Nephrol. 2009;4(6):1121-7.</w:t>
      </w:r>
    </w:p>
    <w:p w14:paraId="284F999E" w14:textId="77777777" w:rsidR="00F450EC" w:rsidRPr="0049060C" w:rsidRDefault="005769F3" w:rsidP="0049060C">
      <w:pPr>
        <w:spacing w:after="80" w:line="360" w:lineRule="auto"/>
        <w:ind w:left="720" w:hanging="720"/>
        <w:jc w:val="both"/>
      </w:pPr>
      <w:r w:rsidRPr="0049060C">
        <w:t>[47] Perkovic V, Jardine MJ, Neal B, Bompoint S, Heerspink HJL, Charytan DM, et al. Canagliflozin and renal outcomes in type 2 diabetes and nephropathy. N Engl J Med. 2019;380(24):2295-306.</w:t>
      </w:r>
    </w:p>
    <w:p w14:paraId="10C4FECB" w14:textId="77777777" w:rsidR="00F450EC" w:rsidRPr="0049060C" w:rsidRDefault="005769F3" w:rsidP="0049060C">
      <w:pPr>
        <w:spacing w:after="80" w:line="360" w:lineRule="auto"/>
        <w:ind w:left="720" w:hanging="720"/>
        <w:jc w:val="both"/>
      </w:pPr>
      <w:r w:rsidRPr="0049060C">
        <w:t>[48] Wilding JPH, Batterham RL, Calanna S, Davies M, Van Gaal LF, Lingvay I, et al. Once-weekly semaglutide in adults with overweight or obesity. N Engl J Med. 2021;384(11):989-1002.</w:t>
      </w:r>
    </w:p>
    <w:p w14:paraId="706F74A8" w14:textId="77777777" w:rsidR="00F450EC" w:rsidRPr="0049060C" w:rsidRDefault="005769F3" w:rsidP="0049060C">
      <w:pPr>
        <w:spacing w:after="80" w:line="360" w:lineRule="auto"/>
        <w:ind w:left="720" w:hanging="720"/>
        <w:jc w:val="both"/>
      </w:pPr>
      <w:r w:rsidRPr="0049060C">
        <w:t>[49] Rubino F, Nathan DM, Eckel RH, Schauer PR, Alberti KG, Zimmet PZ, et al. Metabolic surgery in the treatment algorithm for type 2 diabetes: a joint statement by international diabetes organizations. Diabetes Care. 2016;39(6):861-77.</w:t>
      </w:r>
    </w:p>
    <w:p w14:paraId="7EDB32BC" w14:textId="77777777" w:rsidR="00F450EC" w:rsidRPr="0049060C" w:rsidRDefault="005769F3" w:rsidP="0049060C">
      <w:pPr>
        <w:spacing w:after="80" w:line="360" w:lineRule="auto"/>
        <w:ind w:left="720" w:hanging="720"/>
        <w:jc w:val="both"/>
      </w:pPr>
      <w:r w:rsidRPr="0049060C">
        <w:t>[50] Lim S, Nishimura R, Kesavadev J, Kong APS, McGill MJ, Ou HY, et al. Utility of continuous glucose monitoring in people with type 2 diabetes on insulin-based regimens in clinical practice: a case series and expert opinion. Diabetes Res Clin Pract. 2026;233:113054.</w:t>
      </w:r>
    </w:p>
    <w:p w14:paraId="3A36511B" w14:textId="77777777" w:rsidR="00F450EC" w:rsidRPr="0049060C" w:rsidRDefault="005769F3" w:rsidP="0049060C">
      <w:pPr>
        <w:spacing w:after="80" w:line="360" w:lineRule="auto"/>
        <w:ind w:left="720" w:hanging="720"/>
        <w:jc w:val="both"/>
      </w:pPr>
      <w:r w:rsidRPr="0049060C">
        <w:t>[51] Rosenfeld CR, Bohlen KJ, Torchio ML, Carver C, Martin AL, Yee AH, et al. Smart insulin pen with integrated continuous glucose monitoring: a randomized pilot study. Diabetes Technol Ther. 2020;22(7):531-41.</w:t>
      </w:r>
    </w:p>
    <w:p w14:paraId="50D2478F" w14:textId="77777777" w:rsidR="00F450EC" w:rsidRPr="0049060C" w:rsidRDefault="005769F3" w:rsidP="0049060C">
      <w:pPr>
        <w:spacing w:after="80" w:line="360" w:lineRule="auto"/>
        <w:ind w:left="720" w:hanging="720"/>
        <w:jc w:val="both"/>
      </w:pPr>
      <w:r w:rsidRPr="0049060C">
        <w:t>[52] Shan R, Sarkar S, Martin SS. Digital health technology and mobile devices for the management of diabetes mellitus: state of the art. Diabetologia. 2019;62(6):877-87.</w:t>
      </w:r>
    </w:p>
    <w:p w14:paraId="2E100F1E" w14:textId="77777777" w:rsidR="00F450EC" w:rsidRPr="0049060C" w:rsidRDefault="005769F3" w:rsidP="0049060C">
      <w:pPr>
        <w:spacing w:after="80" w:line="360" w:lineRule="auto"/>
        <w:ind w:left="720" w:hanging="720"/>
        <w:jc w:val="both"/>
      </w:pPr>
      <w:r w:rsidRPr="0049060C">
        <w:t>[53] Tankova T, Chakarova N. Evaluation of insulin treatment strategy and hypoglycaemia in insulin-treated patients with diabetes. Diabetes Res Clin Pract. 2013;101(3):304-11.</w:t>
      </w:r>
    </w:p>
    <w:p w14:paraId="3920C764" w14:textId="77777777" w:rsidR="00F450EC" w:rsidRPr="0049060C" w:rsidRDefault="005769F3" w:rsidP="0049060C">
      <w:pPr>
        <w:spacing w:after="80" w:line="360" w:lineRule="auto"/>
        <w:ind w:left="720" w:hanging="720"/>
        <w:jc w:val="both"/>
      </w:pPr>
      <w:r w:rsidRPr="0049060C">
        <w:t>[54] Xu D, Bhatt DL. Glucose-responsive insulin: a dream worth pursuing. Nat Rev Drug Discov. 2022;21(2):87-88.</w:t>
      </w:r>
    </w:p>
    <w:p w14:paraId="398E2AD5" w14:textId="77777777" w:rsidR="00F450EC" w:rsidRPr="0049060C" w:rsidRDefault="005769F3" w:rsidP="0049060C">
      <w:pPr>
        <w:spacing w:after="80" w:line="360" w:lineRule="auto"/>
        <w:ind w:left="720" w:hanging="720"/>
        <w:jc w:val="both"/>
      </w:pPr>
      <w:r w:rsidRPr="0049060C">
        <w:t>[55] Ahlqvist E, Storm P, Karajamaki A, Martinell M, Dorkhan M, Carlsson A, et al. Novel subgroups of adult-onset diabetes and their association with outcomes: a data-driven cluster analysis of six variables. Lancet Diabetes Endocrinol. 2018;6(5):361-9.</w:t>
      </w:r>
    </w:p>
    <w:p w14:paraId="1E0E0F9D" w14:textId="77777777" w:rsidR="00524C3D" w:rsidRPr="0049060C" w:rsidRDefault="0019440F" w:rsidP="0049060C">
      <w:pPr>
        <w:spacing w:after="160" w:line="360" w:lineRule="auto"/>
        <w:jc w:val="both"/>
      </w:pPr>
      <w:r w:rsidRPr="0049060C">
        <w:t xml:space="preserve">[56] Abioke UB, Baiden I, Okeoma OI, Partey-Newman V, Adewale TO, Onyekezini SO, Okwuowulu IL. Appetite regulation and gastric emptying of semaglutide in non-diabetic </w:t>
      </w:r>
      <w:r w:rsidRPr="0049060C">
        <w:t>obese adults: a systematic review. Epidemiol Health Data Insights. 2026. doi:10.63946/ehdi/18334.</w:t>
      </w:r>
    </w:p>
    <w:sectPr w:rsidR="00524C3D" w:rsidRPr="0049060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3581E" w14:textId="77777777" w:rsidR="0019440F" w:rsidRDefault="0019440F" w:rsidP="00B37A42">
      <w:r>
        <w:separator/>
      </w:r>
    </w:p>
  </w:endnote>
  <w:endnote w:type="continuationSeparator" w:id="0">
    <w:p w14:paraId="5D034C2F" w14:textId="77777777" w:rsidR="0019440F" w:rsidRDefault="0019440F" w:rsidP="00B37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7976A" w14:textId="77777777" w:rsidR="00B37A42" w:rsidRDefault="00B37A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A293A" w14:textId="77777777" w:rsidR="00B37A42" w:rsidRDefault="00B37A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E6413" w14:textId="77777777" w:rsidR="00B37A42" w:rsidRDefault="00B37A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E020A" w14:textId="77777777" w:rsidR="0019440F" w:rsidRDefault="0019440F" w:rsidP="00B37A42">
      <w:r>
        <w:separator/>
      </w:r>
    </w:p>
  </w:footnote>
  <w:footnote w:type="continuationSeparator" w:id="0">
    <w:p w14:paraId="7769CD1F" w14:textId="77777777" w:rsidR="0019440F" w:rsidRDefault="0019440F" w:rsidP="00B37A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88F52" w14:textId="77777777" w:rsidR="00B37A42" w:rsidRDefault="0019440F">
    <w:pPr>
      <w:pStyle w:val="Header"/>
    </w:pPr>
    <w:r>
      <w:rPr>
        <w:noProof/>
      </w:rPr>
      <w:pict w14:anchorId="300B76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338704"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8CC06" w14:textId="77777777" w:rsidR="00B37A42" w:rsidRDefault="0019440F">
    <w:pPr>
      <w:pStyle w:val="Header"/>
    </w:pPr>
    <w:r>
      <w:rPr>
        <w:noProof/>
      </w:rPr>
      <w:pict w14:anchorId="42CF9F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338705"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29A3D" w14:textId="77777777" w:rsidR="00B37A42" w:rsidRDefault="0019440F">
    <w:pPr>
      <w:pStyle w:val="Header"/>
    </w:pPr>
    <w:r>
      <w:rPr>
        <w:noProof/>
      </w:rPr>
      <w:pict w14:anchorId="3235CF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338703"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430FC6"/>
    <w:multiLevelType w:val="hybridMultilevel"/>
    <w:tmpl w:val="BD109914"/>
    <w:lvl w:ilvl="0" w:tplc="26E81F58">
      <w:start w:val="1"/>
      <w:numFmt w:val="bullet"/>
      <w:lvlText w:val="●"/>
      <w:lvlJc w:val="left"/>
      <w:pPr>
        <w:ind w:left="720" w:hanging="360"/>
      </w:pPr>
    </w:lvl>
    <w:lvl w:ilvl="1" w:tplc="D8689024">
      <w:start w:val="1"/>
      <w:numFmt w:val="bullet"/>
      <w:lvlText w:val="○"/>
      <w:lvlJc w:val="left"/>
      <w:pPr>
        <w:ind w:left="1440" w:hanging="360"/>
      </w:pPr>
    </w:lvl>
    <w:lvl w:ilvl="2" w:tplc="48868B90">
      <w:start w:val="1"/>
      <w:numFmt w:val="bullet"/>
      <w:lvlText w:val="■"/>
      <w:lvlJc w:val="left"/>
      <w:pPr>
        <w:ind w:left="2160" w:hanging="360"/>
      </w:pPr>
    </w:lvl>
    <w:lvl w:ilvl="3" w:tplc="7876CF3A">
      <w:start w:val="1"/>
      <w:numFmt w:val="bullet"/>
      <w:lvlText w:val="●"/>
      <w:lvlJc w:val="left"/>
      <w:pPr>
        <w:ind w:left="2880" w:hanging="360"/>
      </w:pPr>
    </w:lvl>
    <w:lvl w:ilvl="4" w:tplc="7F5212B8">
      <w:start w:val="1"/>
      <w:numFmt w:val="bullet"/>
      <w:lvlText w:val="○"/>
      <w:lvlJc w:val="left"/>
      <w:pPr>
        <w:ind w:left="3600" w:hanging="360"/>
      </w:pPr>
    </w:lvl>
    <w:lvl w:ilvl="5" w:tplc="96E67D24">
      <w:start w:val="1"/>
      <w:numFmt w:val="bullet"/>
      <w:lvlText w:val="■"/>
      <w:lvlJc w:val="left"/>
      <w:pPr>
        <w:ind w:left="4320" w:hanging="360"/>
      </w:pPr>
    </w:lvl>
    <w:lvl w:ilvl="6" w:tplc="56743696">
      <w:start w:val="1"/>
      <w:numFmt w:val="bullet"/>
      <w:lvlText w:val="●"/>
      <w:lvlJc w:val="left"/>
      <w:pPr>
        <w:ind w:left="5040" w:hanging="360"/>
      </w:pPr>
    </w:lvl>
    <w:lvl w:ilvl="7" w:tplc="8746F72E">
      <w:start w:val="1"/>
      <w:numFmt w:val="bullet"/>
      <w:lvlText w:val="●"/>
      <w:lvlJc w:val="left"/>
      <w:pPr>
        <w:ind w:left="5760" w:hanging="360"/>
      </w:pPr>
    </w:lvl>
    <w:lvl w:ilvl="8" w:tplc="5B7C037C">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0EC"/>
    <w:rsid w:val="000C5AD7"/>
    <w:rsid w:val="0019440F"/>
    <w:rsid w:val="00195CE1"/>
    <w:rsid w:val="002159CB"/>
    <w:rsid w:val="00255202"/>
    <w:rsid w:val="002A12CB"/>
    <w:rsid w:val="002D097C"/>
    <w:rsid w:val="002F25B2"/>
    <w:rsid w:val="00327EB3"/>
    <w:rsid w:val="003C3CD1"/>
    <w:rsid w:val="0041613B"/>
    <w:rsid w:val="00461AE3"/>
    <w:rsid w:val="0049060C"/>
    <w:rsid w:val="00495857"/>
    <w:rsid w:val="0049667F"/>
    <w:rsid w:val="00524C3D"/>
    <w:rsid w:val="005769F3"/>
    <w:rsid w:val="007F0E14"/>
    <w:rsid w:val="008F41B6"/>
    <w:rsid w:val="009C0287"/>
    <w:rsid w:val="00A62DD7"/>
    <w:rsid w:val="00B37A42"/>
    <w:rsid w:val="00BC41D8"/>
    <w:rsid w:val="00C92AEE"/>
    <w:rsid w:val="00DF4591"/>
    <w:rsid w:val="00F450EC"/>
    <w:rsid w:val="00F61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8DEE33"/>
  <w15:docId w15:val="{76AED03D-4277-4F2D-8408-6BB9DA295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20" w:after="160"/>
      <w:outlineLvl w:val="0"/>
    </w:pPr>
    <w:rPr>
      <w:b/>
      <w:bCs/>
      <w:sz w:val="28"/>
      <w:szCs w:val="28"/>
    </w:rPr>
  </w:style>
  <w:style w:type="paragraph" w:styleId="Heading2">
    <w:name w:val="heading 2"/>
    <w:uiPriority w:val="9"/>
    <w:unhideWhenUsed/>
    <w:qFormat/>
    <w:pPr>
      <w:spacing w:before="240" w:after="120"/>
      <w:outlineLvl w:val="1"/>
    </w:pPr>
    <w:rPr>
      <w:b/>
      <w:bCs/>
    </w:rPr>
  </w:style>
  <w:style w:type="paragraph" w:styleId="Heading3">
    <w:name w:val="heading 3"/>
    <w:uiPriority w:val="9"/>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character" w:styleId="Strong">
    <w:name w:val="Strong"/>
    <w:basedOn w:val="DefaultParagraphFont"/>
    <w:uiPriority w:val="22"/>
    <w:qFormat/>
    <w:rsid w:val="005769F3"/>
    <w:rPr>
      <w:b/>
      <w:bCs/>
    </w:rPr>
  </w:style>
  <w:style w:type="paragraph" w:styleId="NormalWeb">
    <w:name w:val="Normal (Web)"/>
    <w:basedOn w:val="Normal"/>
    <w:uiPriority w:val="99"/>
    <w:unhideWhenUsed/>
    <w:rsid w:val="00A62DD7"/>
    <w:pPr>
      <w:spacing w:before="100" w:beforeAutospacing="1" w:after="100" w:afterAutospacing="1"/>
    </w:pPr>
  </w:style>
  <w:style w:type="paragraph" w:styleId="Header">
    <w:name w:val="header"/>
    <w:basedOn w:val="Normal"/>
    <w:link w:val="HeaderChar"/>
    <w:uiPriority w:val="99"/>
    <w:unhideWhenUsed/>
    <w:rsid w:val="00B37A42"/>
    <w:pPr>
      <w:tabs>
        <w:tab w:val="center" w:pos="4680"/>
        <w:tab w:val="right" w:pos="9360"/>
      </w:tabs>
    </w:pPr>
  </w:style>
  <w:style w:type="character" w:customStyle="1" w:styleId="HeaderChar">
    <w:name w:val="Header Char"/>
    <w:basedOn w:val="DefaultParagraphFont"/>
    <w:link w:val="Header"/>
    <w:uiPriority w:val="99"/>
    <w:rsid w:val="00B37A42"/>
  </w:style>
  <w:style w:type="paragraph" w:styleId="Footer">
    <w:name w:val="footer"/>
    <w:basedOn w:val="Normal"/>
    <w:link w:val="FooterChar"/>
    <w:uiPriority w:val="99"/>
    <w:unhideWhenUsed/>
    <w:rsid w:val="00B37A42"/>
    <w:pPr>
      <w:tabs>
        <w:tab w:val="center" w:pos="4680"/>
        <w:tab w:val="right" w:pos="9360"/>
      </w:tabs>
    </w:pPr>
  </w:style>
  <w:style w:type="character" w:customStyle="1" w:styleId="FooterChar">
    <w:name w:val="Footer Char"/>
    <w:basedOn w:val="DefaultParagraphFont"/>
    <w:link w:val="Footer"/>
    <w:uiPriority w:val="99"/>
    <w:rsid w:val="00B37A42"/>
  </w:style>
  <w:style w:type="paragraph" w:styleId="NoSpacing">
    <w:name w:val="No Spacing"/>
    <w:uiPriority w:val="1"/>
    <w:qFormat/>
    <w:rsid w:val="00495857"/>
    <w:rPr>
      <w:rFonts w:asciiTheme="minorHAnsi" w:eastAsiaTheme="minorHAnsi" w:hAnsiTheme="minorHAnsi" w:cstheme="minorBidi"/>
      <w:sz w:val="22"/>
      <w:szCs w:val="22"/>
      <w:lang w:val="en-GB"/>
    </w:rPr>
  </w:style>
  <w:style w:type="character" w:customStyle="1" w:styleId="cursor-pointer">
    <w:name w:val="cursor-pointer"/>
    <w:basedOn w:val="DefaultParagraphFont"/>
    <w:rsid w:val="000C5A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6419">
      <w:bodyDiv w:val="1"/>
      <w:marLeft w:val="0"/>
      <w:marRight w:val="0"/>
      <w:marTop w:val="0"/>
      <w:marBottom w:val="0"/>
      <w:divBdr>
        <w:top w:val="none" w:sz="0" w:space="0" w:color="auto"/>
        <w:left w:val="none" w:sz="0" w:space="0" w:color="auto"/>
        <w:bottom w:val="none" w:sz="0" w:space="0" w:color="auto"/>
        <w:right w:val="none" w:sz="0" w:space="0" w:color="auto"/>
      </w:divBdr>
      <w:divsChild>
        <w:div w:id="171339357">
          <w:marLeft w:val="0"/>
          <w:marRight w:val="0"/>
          <w:marTop w:val="0"/>
          <w:marBottom w:val="0"/>
          <w:divBdr>
            <w:top w:val="none" w:sz="0" w:space="0" w:color="auto"/>
            <w:left w:val="none" w:sz="0" w:space="0" w:color="auto"/>
            <w:bottom w:val="none" w:sz="0" w:space="0" w:color="auto"/>
            <w:right w:val="none" w:sz="0" w:space="0" w:color="auto"/>
          </w:divBdr>
          <w:divsChild>
            <w:div w:id="2105761846">
              <w:marLeft w:val="0"/>
              <w:marRight w:val="0"/>
              <w:marTop w:val="0"/>
              <w:marBottom w:val="0"/>
              <w:divBdr>
                <w:top w:val="none" w:sz="0" w:space="0" w:color="auto"/>
                <w:left w:val="none" w:sz="0" w:space="0" w:color="auto"/>
                <w:bottom w:val="none" w:sz="0" w:space="0" w:color="auto"/>
                <w:right w:val="none" w:sz="0" w:space="0" w:color="auto"/>
              </w:divBdr>
              <w:divsChild>
                <w:div w:id="1145008713">
                  <w:marLeft w:val="0"/>
                  <w:marRight w:val="0"/>
                  <w:marTop w:val="0"/>
                  <w:marBottom w:val="0"/>
                  <w:divBdr>
                    <w:top w:val="none" w:sz="0" w:space="0" w:color="auto"/>
                    <w:left w:val="none" w:sz="0" w:space="0" w:color="auto"/>
                    <w:bottom w:val="none" w:sz="0" w:space="0" w:color="auto"/>
                    <w:right w:val="none" w:sz="0" w:space="0" w:color="auto"/>
                  </w:divBdr>
                  <w:divsChild>
                    <w:div w:id="469370579">
                      <w:marLeft w:val="0"/>
                      <w:marRight w:val="0"/>
                      <w:marTop w:val="0"/>
                      <w:marBottom w:val="0"/>
                      <w:divBdr>
                        <w:top w:val="none" w:sz="0" w:space="0" w:color="auto"/>
                        <w:left w:val="none" w:sz="0" w:space="0" w:color="auto"/>
                        <w:bottom w:val="none" w:sz="0" w:space="0" w:color="auto"/>
                        <w:right w:val="none" w:sz="0" w:space="0" w:color="auto"/>
                      </w:divBdr>
                      <w:divsChild>
                        <w:div w:id="252974112">
                          <w:marLeft w:val="0"/>
                          <w:marRight w:val="0"/>
                          <w:marTop w:val="0"/>
                          <w:marBottom w:val="0"/>
                          <w:divBdr>
                            <w:top w:val="none" w:sz="0" w:space="0" w:color="auto"/>
                            <w:left w:val="none" w:sz="0" w:space="0" w:color="auto"/>
                            <w:bottom w:val="none" w:sz="0" w:space="0" w:color="auto"/>
                            <w:right w:val="none" w:sz="0" w:space="0" w:color="auto"/>
                          </w:divBdr>
                          <w:divsChild>
                            <w:div w:id="1011375074">
                              <w:marLeft w:val="0"/>
                              <w:marRight w:val="0"/>
                              <w:marTop w:val="0"/>
                              <w:marBottom w:val="0"/>
                              <w:divBdr>
                                <w:top w:val="none" w:sz="0" w:space="0" w:color="auto"/>
                                <w:left w:val="none" w:sz="0" w:space="0" w:color="auto"/>
                                <w:bottom w:val="none" w:sz="0" w:space="0" w:color="auto"/>
                                <w:right w:val="none" w:sz="0" w:space="0" w:color="auto"/>
                              </w:divBdr>
                              <w:divsChild>
                                <w:div w:id="1263420799">
                                  <w:marLeft w:val="0"/>
                                  <w:marRight w:val="0"/>
                                  <w:marTop w:val="0"/>
                                  <w:marBottom w:val="0"/>
                                  <w:divBdr>
                                    <w:top w:val="none" w:sz="0" w:space="0" w:color="auto"/>
                                    <w:left w:val="none" w:sz="0" w:space="0" w:color="auto"/>
                                    <w:bottom w:val="none" w:sz="0" w:space="0" w:color="auto"/>
                                    <w:right w:val="none" w:sz="0" w:space="0" w:color="auto"/>
                                  </w:divBdr>
                                  <w:divsChild>
                                    <w:div w:id="854533585">
                                      <w:marLeft w:val="0"/>
                                      <w:marRight w:val="0"/>
                                      <w:marTop w:val="0"/>
                                      <w:marBottom w:val="0"/>
                                      <w:divBdr>
                                        <w:top w:val="none" w:sz="0" w:space="0" w:color="auto"/>
                                        <w:left w:val="none" w:sz="0" w:space="0" w:color="auto"/>
                                        <w:bottom w:val="none" w:sz="0" w:space="0" w:color="auto"/>
                                        <w:right w:val="none" w:sz="0" w:space="0" w:color="auto"/>
                                      </w:divBdr>
                                      <w:divsChild>
                                        <w:div w:id="7644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7949">
      <w:bodyDiv w:val="1"/>
      <w:marLeft w:val="0"/>
      <w:marRight w:val="0"/>
      <w:marTop w:val="0"/>
      <w:marBottom w:val="0"/>
      <w:divBdr>
        <w:top w:val="none" w:sz="0" w:space="0" w:color="auto"/>
        <w:left w:val="none" w:sz="0" w:space="0" w:color="auto"/>
        <w:bottom w:val="none" w:sz="0" w:space="0" w:color="auto"/>
        <w:right w:val="none" w:sz="0" w:space="0" w:color="auto"/>
      </w:divBdr>
    </w:div>
    <w:div w:id="221333747">
      <w:bodyDiv w:val="1"/>
      <w:marLeft w:val="0"/>
      <w:marRight w:val="0"/>
      <w:marTop w:val="0"/>
      <w:marBottom w:val="0"/>
      <w:divBdr>
        <w:top w:val="none" w:sz="0" w:space="0" w:color="auto"/>
        <w:left w:val="none" w:sz="0" w:space="0" w:color="auto"/>
        <w:bottom w:val="none" w:sz="0" w:space="0" w:color="auto"/>
        <w:right w:val="none" w:sz="0" w:space="0" w:color="auto"/>
      </w:divBdr>
      <w:divsChild>
        <w:div w:id="476534630">
          <w:marLeft w:val="0"/>
          <w:marRight w:val="0"/>
          <w:marTop w:val="0"/>
          <w:marBottom w:val="0"/>
          <w:divBdr>
            <w:top w:val="none" w:sz="0" w:space="0" w:color="auto"/>
            <w:left w:val="none" w:sz="0" w:space="0" w:color="auto"/>
            <w:bottom w:val="none" w:sz="0" w:space="0" w:color="auto"/>
            <w:right w:val="none" w:sz="0" w:space="0" w:color="auto"/>
          </w:divBdr>
          <w:divsChild>
            <w:div w:id="1568997657">
              <w:marLeft w:val="0"/>
              <w:marRight w:val="0"/>
              <w:marTop w:val="0"/>
              <w:marBottom w:val="0"/>
              <w:divBdr>
                <w:top w:val="none" w:sz="0" w:space="0" w:color="auto"/>
                <w:left w:val="none" w:sz="0" w:space="0" w:color="auto"/>
                <w:bottom w:val="none" w:sz="0" w:space="0" w:color="auto"/>
                <w:right w:val="none" w:sz="0" w:space="0" w:color="auto"/>
              </w:divBdr>
              <w:divsChild>
                <w:div w:id="1445154277">
                  <w:marLeft w:val="0"/>
                  <w:marRight w:val="0"/>
                  <w:marTop w:val="0"/>
                  <w:marBottom w:val="0"/>
                  <w:divBdr>
                    <w:top w:val="none" w:sz="0" w:space="0" w:color="auto"/>
                    <w:left w:val="none" w:sz="0" w:space="0" w:color="auto"/>
                    <w:bottom w:val="none" w:sz="0" w:space="0" w:color="auto"/>
                    <w:right w:val="none" w:sz="0" w:space="0" w:color="auto"/>
                  </w:divBdr>
                  <w:divsChild>
                    <w:div w:id="1007557112">
                      <w:marLeft w:val="0"/>
                      <w:marRight w:val="0"/>
                      <w:marTop w:val="0"/>
                      <w:marBottom w:val="0"/>
                      <w:divBdr>
                        <w:top w:val="none" w:sz="0" w:space="0" w:color="auto"/>
                        <w:left w:val="none" w:sz="0" w:space="0" w:color="auto"/>
                        <w:bottom w:val="none" w:sz="0" w:space="0" w:color="auto"/>
                        <w:right w:val="none" w:sz="0" w:space="0" w:color="auto"/>
                      </w:divBdr>
                      <w:divsChild>
                        <w:div w:id="220942910">
                          <w:marLeft w:val="0"/>
                          <w:marRight w:val="0"/>
                          <w:marTop w:val="0"/>
                          <w:marBottom w:val="0"/>
                          <w:divBdr>
                            <w:top w:val="none" w:sz="0" w:space="0" w:color="auto"/>
                            <w:left w:val="none" w:sz="0" w:space="0" w:color="auto"/>
                            <w:bottom w:val="none" w:sz="0" w:space="0" w:color="auto"/>
                            <w:right w:val="none" w:sz="0" w:space="0" w:color="auto"/>
                          </w:divBdr>
                          <w:divsChild>
                            <w:div w:id="601957756">
                              <w:marLeft w:val="0"/>
                              <w:marRight w:val="0"/>
                              <w:marTop w:val="0"/>
                              <w:marBottom w:val="0"/>
                              <w:divBdr>
                                <w:top w:val="none" w:sz="0" w:space="0" w:color="auto"/>
                                <w:left w:val="none" w:sz="0" w:space="0" w:color="auto"/>
                                <w:bottom w:val="none" w:sz="0" w:space="0" w:color="auto"/>
                                <w:right w:val="none" w:sz="0" w:space="0" w:color="auto"/>
                              </w:divBdr>
                              <w:divsChild>
                                <w:div w:id="1987316431">
                                  <w:marLeft w:val="0"/>
                                  <w:marRight w:val="0"/>
                                  <w:marTop w:val="0"/>
                                  <w:marBottom w:val="0"/>
                                  <w:divBdr>
                                    <w:top w:val="none" w:sz="0" w:space="0" w:color="auto"/>
                                    <w:left w:val="none" w:sz="0" w:space="0" w:color="auto"/>
                                    <w:bottom w:val="none" w:sz="0" w:space="0" w:color="auto"/>
                                    <w:right w:val="none" w:sz="0" w:space="0" w:color="auto"/>
                                  </w:divBdr>
                                  <w:divsChild>
                                    <w:div w:id="1871643614">
                                      <w:marLeft w:val="0"/>
                                      <w:marRight w:val="0"/>
                                      <w:marTop w:val="0"/>
                                      <w:marBottom w:val="0"/>
                                      <w:divBdr>
                                        <w:top w:val="none" w:sz="0" w:space="0" w:color="auto"/>
                                        <w:left w:val="none" w:sz="0" w:space="0" w:color="auto"/>
                                        <w:bottom w:val="none" w:sz="0" w:space="0" w:color="auto"/>
                                        <w:right w:val="none" w:sz="0" w:space="0" w:color="auto"/>
                                      </w:divBdr>
                                      <w:divsChild>
                                        <w:div w:id="148828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878297">
      <w:bodyDiv w:val="1"/>
      <w:marLeft w:val="0"/>
      <w:marRight w:val="0"/>
      <w:marTop w:val="0"/>
      <w:marBottom w:val="0"/>
      <w:divBdr>
        <w:top w:val="none" w:sz="0" w:space="0" w:color="auto"/>
        <w:left w:val="none" w:sz="0" w:space="0" w:color="auto"/>
        <w:bottom w:val="none" w:sz="0" w:space="0" w:color="auto"/>
        <w:right w:val="none" w:sz="0" w:space="0" w:color="auto"/>
      </w:divBdr>
    </w:div>
    <w:div w:id="469055670">
      <w:bodyDiv w:val="1"/>
      <w:marLeft w:val="0"/>
      <w:marRight w:val="0"/>
      <w:marTop w:val="0"/>
      <w:marBottom w:val="0"/>
      <w:divBdr>
        <w:top w:val="none" w:sz="0" w:space="0" w:color="auto"/>
        <w:left w:val="none" w:sz="0" w:space="0" w:color="auto"/>
        <w:bottom w:val="none" w:sz="0" w:space="0" w:color="auto"/>
        <w:right w:val="none" w:sz="0" w:space="0" w:color="auto"/>
      </w:divBdr>
      <w:divsChild>
        <w:div w:id="1516068621">
          <w:marLeft w:val="0"/>
          <w:marRight w:val="0"/>
          <w:marTop w:val="0"/>
          <w:marBottom w:val="0"/>
          <w:divBdr>
            <w:top w:val="none" w:sz="0" w:space="0" w:color="auto"/>
            <w:left w:val="none" w:sz="0" w:space="0" w:color="auto"/>
            <w:bottom w:val="none" w:sz="0" w:space="0" w:color="auto"/>
            <w:right w:val="none" w:sz="0" w:space="0" w:color="auto"/>
          </w:divBdr>
          <w:divsChild>
            <w:div w:id="339890200">
              <w:marLeft w:val="0"/>
              <w:marRight w:val="0"/>
              <w:marTop w:val="0"/>
              <w:marBottom w:val="0"/>
              <w:divBdr>
                <w:top w:val="none" w:sz="0" w:space="0" w:color="auto"/>
                <w:left w:val="none" w:sz="0" w:space="0" w:color="auto"/>
                <w:bottom w:val="none" w:sz="0" w:space="0" w:color="auto"/>
                <w:right w:val="none" w:sz="0" w:space="0" w:color="auto"/>
              </w:divBdr>
              <w:divsChild>
                <w:div w:id="152574051">
                  <w:marLeft w:val="0"/>
                  <w:marRight w:val="0"/>
                  <w:marTop w:val="0"/>
                  <w:marBottom w:val="0"/>
                  <w:divBdr>
                    <w:top w:val="none" w:sz="0" w:space="0" w:color="auto"/>
                    <w:left w:val="none" w:sz="0" w:space="0" w:color="auto"/>
                    <w:bottom w:val="none" w:sz="0" w:space="0" w:color="auto"/>
                    <w:right w:val="none" w:sz="0" w:space="0" w:color="auto"/>
                  </w:divBdr>
                  <w:divsChild>
                    <w:div w:id="65884132">
                      <w:marLeft w:val="0"/>
                      <w:marRight w:val="0"/>
                      <w:marTop w:val="0"/>
                      <w:marBottom w:val="0"/>
                      <w:divBdr>
                        <w:top w:val="none" w:sz="0" w:space="0" w:color="auto"/>
                        <w:left w:val="none" w:sz="0" w:space="0" w:color="auto"/>
                        <w:bottom w:val="none" w:sz="0" w:space="0" w:color="auto"/>
                        <w:right w:val="none" w:sz="0" w:space="0" w:color="auto"/>
                      </w:divBdr>
                      <w:divsChild>
                        <w:div w:id="1059984239">
                          <w:marLeft w:val="0"/>
                          <w:marRight w:val="0"/>
                          <w:marTop w:val="0"/>
                          <w:marBottom w:val="0"/>
                          <w:divBdr>
                            <w:top w:val="none" w:sz="0" w:space="0" w:color="auto"/>
                            <w:left w:val="none" w:sz="0" w:space="0" w:color="auto"/>
                            <w:bottom w:val="none" w:sz="0" w:space="0" w:color="auto"/>
                            <w:right w:val="none" w:sz="0" w:space="0" w:color="auto"/>
                          </w:divBdr>
                          <w:divsChild>
                            <w:div w:id="1780955442">
                              <w:marLeft w:val="0"/>
                              <w:marRight w:val="0"/>
                              <w:marTop w:val="0"/>
                              <w:marBottom w:val="0"/>
                              <w:divBdr>
                                <w:top w:val="none" w:sz="0" w:space="0" w:color="auto"/>
                                <w:left w:val="none" w:sz="0" w:space="0" w:color="auto"/>
                                <w:bottom w:val="none" w:sz="0" w:space="0" w:color="auto"/>
                                <w:right w:val="none" w:sz="0" w:space="0" w:color="auto"/>
                              </w:divBdr>
                              <w:divsChild>
                                <w:div w:id="593444284">
                                  <w:marLeft w:val="0"/>
                                  <w:marRight w:val="0"/>
                                  <w:marTop w:val="0"/>
                                  <w:marBottom w:val="0"/>
                                  <w:divBdr>
                                    <w:top w:val="none" w:sz="0" w:space="0" w:color="auto"/>
                                    <w:left w:val="none" w:sz="0" w:space="0" w:color="auto"/>
                                    <w:bottom w:val="none" w:sz="0" w:space="0" w:color="auto"/>
                                    <w:right w:val="none" w:sz="0" w:space="0" w:color="auto"/>
                                  </w:divBdr>
                                  <w:divsChild>
                                    <w:div w:id="698317827">
                                      <w:marLeft w:val="0"/>
                                      <w:marRight w:val="0"/>
                                      <w:marTop w:val="0"/>
                                      <w:marBottom w:val="0"/>
                                      <w:divBdr>
                                        <w:top w:val="none" w:sz="0" w:space="0" w:color="auto"/>
                                        <w:left w:val="none" w:sz="0" w:space="0" w:color="auto"/>
                                        <w:bottom w:val="none" w:sz="0" w:space="0" w:color="auto"/>
                                        <w:right w:val="none" w:sz="0" w:space="0" w:color="auto"/>
                                      </w:divBdr>
                                      <w:divsChild>
                                        <w:div w:id="549070748">
                                          <w:marLeft w:val="0"/>
                                          <w:marRight w:val="0"/>
                                          <w:marTop w:val="0"/>
                                          <w:marBottom w:val="0"/>
                                          <w:divBdr>
                                            <w:top w:val="none" w:sz="0" w:space="0" w:color="auto"/>
                                            <w:left w:val="none" w:sz="0" w:space="0" w:color="auto"/>
                                            <w:bottom w:val="none" w:sz="0" w:space="0" w:color="auto"/>
                                            <w:right w:val="none" w:sz="0" w:space="0" w:color="auto"/>
                                          </w:divBdr>
                                          <w:divsChild>
                                            <w:div w:id="144588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4173076">
      <w:bodyDiv w:val="1"/>
      <w:marLeft w:val="0"/>
      <w:marRight w:val="0"/>
      <w:marTop w:val="0"/>
      <w:marBottom w:val="0"/>
      <w:divBdr>
        <w:top w:val="none" w:sz="0" w:space="0" w:color="auto"/>
        <w:left w:val="none" w:sz="0" w:space="0" w:color="auto"/>
        <w:bottom w:val="none" w:sz="0" w:space="0" w:color="auto"/>
        <w:right w:val="none" w:sz="0" w:space="0" w:color="auto"/>
      </w:divBdr>
    </w:div>
    <w:div w:id="1953634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410</TotalTime>
  <Pages>31</Pages>
  <Words>9065</Words>
  <Characters>51676</Characters>
  <Application>Microsoft Office Word</Application>
  <DocSecurity>0</DocSecurity>
  <Lines>430</Lines>
  <Paragraphs>121</Paragraphs>
  <ScaleCrop>false</ScaleCrop>
  <HeadingPairs>
    <vt:vector size="4" baseType="variant">
      <vt:variant>
        <vt:lpstr>Title</vt:lpstr>
      </vt:variant>
      <vt:variant>
        <vt:i4>1</vt:i4>
      </vt:variant>
      <vt:variant>
        <vt:lpstr>Headings</vt:lpstr>
      </vt:variant>
      <vt:variant>
        <vt:i4>55</vt:i4>
      </vt:variant>
    </vt:vector>
  </HeadingPairs>
  <TitlesOfParts>
    <vt:vector size="56" baseType="lpstr">
      <vt:lpstr/>
      <vt:lpstr>Abstract</vt:lpstr>
      <vt:lpstr>1. Introduction</vt:lpstr>
      <vt:lpstr>2. Methodology</vt:lpstr>
      <vt:lpstr>    Literature Search Strategy</vt:lpstr>
      <vt:lpstr>    Inclusion Criteria</vt:lpstr>
      <vt:lpstr>    Exclusion Criteria</vt:lpstr>
      <vt:lpstr>    Article Selection and Review Process</vt:lpstr>
      <vt:lpstr>    Number of Articles Reviewed</vt:lpstr>
      <vt:lpstr>3. Pathophysiology and the Rationale for Insulin</vt:lpstr>
      <vt:lpstr/>
      <vt:lpstr/>
      <vt:lpstr>4. Indications for Insulin Therapy</vt:lpstr>
      <vt:lpstr/>
      <vt:lpstr/>
      <vt:lpstr>5. Conventional Insulin Regimens</vt:lpstr>
      <vt:lpstr>    5.1 Basal Insulin</vt:lpstr>
      <vt:lpstr>    5.2 Basal-Bolus Therapy</vt:lpstr>
      <vt:lpstr>    5.3 Premixed Insulin</vt:lpstr>
      <vt:lpstr>6. Challenges in Insulin Therapy</vt:lpstr>
      <vt:lpstr>7. Emerging Agents and Their Impact on Insulin Use</vt:lpstr>
      <vt:lpstr>    7.1 GLP-1 Receptor Agonists</vt:lpstr>
      <vt:lpstr>    7.2 Dual Incretin Therapies</vt:lpstr>
      <vt:lpstr>    7.3 SGLT2 Inhibitors</vt:lpstr>
      <vt:lpstr>    7.4 Fixed-Ratio Combination Products</vt:lpstr>
      <vt:lpstr>    7.5 Newer Basal Insulins</vt:lpstr>
      <vt:lpstr/>
      <vt:lpstr/>
      <vt:lpstr/>
      <vt:lpstr>        Table 1: Summary of Therapies and Technologies in Modern Type 2 Diabetes Managem</vt:lpstr>
      <vt:lpstr/>
      <vt:lpstr/>
      <vt:lpstr>8. Optimising Insulin in the Modern Era</vt:lpstr>
      <vt:lpstr>9. Combination Therapy Strategies</vt:lpstr>
      <vt:lpstr>    9.1 Insulin and Metformin</vt:lpstr>
      <vt:lpstr>    9.2 Insulin and GLP-1 Receptor Agonists</vt:lpstr>
      <vt:lpstr>    9.3 Insulin and SGLT2 Inhibitors</vt:lpstr>
      <vt:lpstr>10. Critical Discussion</vt:lpstr>
      <vt:lpstr>    10.1 Critical Comparison: Insulin and GLP-1 Receptor Agonists</vt:lpstr>
      <vt:lpstr>    10.2 Critical Comparison: Tirzepatide and Basal-Bolus Insulin</vt:lpstr>
      <vt:lpstr>    10.3 Critical Comparison: CGM and Traditional Glucose Monitoring</vt:lpstr>
      <vt:lpstr>    10.4 Cost, Accessibility, and Affordability in Low- and Middle-Income Countries</vt:lpstr>
      <vt:lpstr>    10.5 Long-Term Safety and Adherence Issues with Newer Therapies</vt:lpstr>
      <vt:lpstr>11. Special Populations</vt:lpstr>
      <vt:lpstr>    11.1 Elderly Patients</vt:lpstr>
      <vt:lpstr>    11.2 Cardiovascular Disease</vt:lpstr>
      <vt:lpstr>    11.3 Chronic Kidney Disease</vt:lpstr>
      <vt:lpstr>    11.4 Obesity</vt:lpstr>
      <vt:lpstr>12. Technology in Insulin Optimisation</vt:lpstr>
      <vt:lpstr>13. Practical Clinical Recommendations</vt:lpstr>
      <vt:lpstr>14. Future Directions</vt:lpstr>
      <vt:lpstr>15. Limitations</vt:lpstr>
      <vt:lpstr/>
      <vt:lpstr>16. Conclusion</vt:lpstr>
      <vt:lpstr>Declarations</vt:lpstr>
      <vt:lpstr>References</vt:lpstr>
    </vt:vector>
  </TitlesOfParts>
  <Company/>
  <LinksUpToDate>false</LinksUpToDate>
  <CharactersWithSpaces>60620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USER</cp:lastModifiedBy>
  <cp:revision>11</cp:revision>
  <dcterms:created xsi:type="dcterms:W3CDTF">2026-05-03T14:23:00Z</dcterms:created>
  <dcterms:modified xsi:type="dcterms:W3CDTF">2026-05-14T11:48:00Z</dcterms:modified>
</cp:coreProperties>
</file>