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0" w:line="240" w:lineRule="auto"/>
        <w:ind w:right="363"/>
        <w:jc w:val="center"/>
        <w:rPr>
          <w:rFonts w:ascii="Times New Roman" w:cs="Times New Roman" w:eastAsia="Times New Roman" w:hAnsi="Times New Roman"/>
          <w:b w:val="1"/>
          <w:bCs w:val="1"/>
          <w:sz w:val="28"/>
          <w:szCs w:val="28"/>
          <w:shd w:fill="ff9900" w:val="clear"/>
        </w:rPr>
      </w:pPr>
      <w:r w:rsidDel="00000000" w:rsidR="00000000" w:rsidRPr="00000000">
        <w:rPr>
          <w:rFonts w:ascii="Times New Roman" w:cs="Times New Roman" w:eastAsia="Times New Roman" w:hAnsi="Times New Roman"/>
          <w:b w:val="1"/>
          <w:bCs w:val="1"/>
          <w:sz w:val="28"/>
          <w:szCs w:val="28"/>
          <w:shd w:fill="ff9900" w:val="clear"/>
          <w:rtl w:val="0"/>
        </w:rPr>
        <w:t xml:space="preserve">Review Article</w:t>
      </w:r>
    </w:p>
    <w:p w:rsidR="00000000" w:rsidDel="00000000" w:rsidP="00000000" w:rsidRDefault="00000000" w:rsidRPr="00000000" w14:paraId="00000002">
      <w:pPr>
        <w:pStyle w:val="Heading1"/>
        <w:keepNext w:val="0"/>
        <w:keepLines w:val="0"/>
        <w:widowControl w:val="0"/>
        <w:spacing w:after="0" w:before="0" w:line="240" w:lineRule="auto"/>
        <w:ind w:right="363"/>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pStyle w:val="Heading1"/>
        <w:keepNext w:val="0"/>
        <w:keepLines w:val="0"/>
        <w:widowControl w:val="0"/>
        <w:spacing w:after="0" w:before="0" w:line="240" w:lineRule="auto"/>
        <w:ind w:right="363"/>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0" w:before="0" w:line="240" w:lineRule="auto"/>
        <w:ind w:right="363"/>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Pharmacogenomics Implementation in Rural and Medically Underserved Settings: A Scoping Review of Programs, Strategies, and Outcomes</w:t>
      </w:r>
    </w:p>
    <w:p w:rsidR="00000000" w:rsidDel="00000000" w:rsidP="00000000" w:rsidRDefault="00000000" w:rsidRPr="00000000" w14:paraId="00000005">
      <w:pPr>
        <w:widowControl w:val="0"/>
        <w:spacing w:before="119" w:line="240" w:lineRule="auto"/>
        <w:ind w:left="3" w:right="363" w:firstLine="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rPr/>
      </w:pPr>
      <w:bookmarkStart w:colFirst="0" w:colLast="0" w:name="_heading=h.ok1u8kurpukd" w:id="0"/>
      <w:bookmarkEnd w:id="0"/>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keepNext w:val="0"/>
        <w:keepLines w:val="0"/>
        <w:widowControl w:val="0"/>
        <w:spacing w:after="0" w:before="0" w:line="240" w:lineRule="auto"/>
        <w:rPr>
          <w:rFonts w:ascii="Times New Roman" w:cs="Times New Roman" w:eastAsia="Times New Roman" w:hAnsi="Times New Roman"/>
          <w:b w:val="1"/>
          <w:bCs w:val="1"/>
          <w:sz w:val="28"/>
          <w:szCs w:val="28"/>
        </w:rPr>
      </w:pPr>
      <w:bookmarkStart w:colFirst="0" w:colLast="0" w:name="_heading=h.4ltxnxks9jah" w:id="1"/>
      <w:bookmarkEnd w:id="1"/>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A">
      <w:pPr>
        <w:widowControl w:val="0"/>
        <w:spacing w:before="198"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Background: </w:t>
      </w:r>
      <w:r w:rsidDel="00000000" w:rsidR="00000000" w:rsidRPr="00000000">
        <w:rPr>
          <w:rFonts w:ascii="Times New Roman" w:cs="Times New Roman" w:eastAsia="Times New Roman" w:hAnsi="Times New Roman"/>
          <w:sz w:val="24"/>
          <w:szCs w:val="24"/>
          <w:rtl w:val="0"/>
        </w:rPr>
        <w:t xml:space="preserve">Pharmacogenomic (PGx) testing has the potential to improve medication safety and efficacy across a range of therapeutic areas, yet clinical implementation has been concentrated in urban academic medical centers. Rural and medically underserved populations face elevated adverse drug reaction risk and constrained healthcare access but have been relatively excluded from PGx implementation research. Recent growth in this literature warrants a comprehensive scoping review.</w:t>
      </w:r>
    </w:p>
    <w:p w:rsidR="00000000" w:rsidDel="00000000" w:rsidP="00000000" w:rsidRDefault="00000000" w:rsidRPr="00000000" w14:paraId="0000000B">
      <w:pPr>
        <w:widowControl w:val="0"/>
        <w:spacing w:before="200" w:line="360" w:lineRule="auto"/>
        <w:ind w:righ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 </w:t>
      </w:r>
      <w:r w:rsidDel="00000000" w:rsidR="00000000" w:rsidRPr="00000000">
        <w:rPr>
          <w:rFonts w:ascii="Times New Roman" w:cs="Times New Roman" w:eastAsia="Times New Roman" w:hAnsi="Times New Roman"/>
          <w:sz w:val="24"/>
          <w:szCs w:val="24"/>
          <w:rtl w:val="0"/>
        </w:rPr>
        <w:t xml:space="preserve">To map and characterize the published literature on PGx implementation in rural and medically underserved settings, identify implementation strategies and reported outcomes, and delineate evidence gaps that warrant future investigation.</w:t>
      </w:r>
    </w:p>
    <w:p w:rsidR="00000000" w:rsidDel="00000000" w:rsidP="00000000" w:rsidRDefault="00000000" w:rsidRPr="00000000" w14:paraId="0000000C">
      <w:pPr>
        <w:widowControl w:val="0"/>
        <w:spacing w:before="201" w:line="360" w:lineRule="auto"/>
        <w:ind w:right="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Methods: </w:t>
      </w:r>
      <w:r w:rsidDel="00000000" w:rsidR="00000000" w:rsidRPr="00000000">
        <w:rPr>
          <w:rFonts w:ascii="Times New Roman" w:cs="Times New Roman" w:eastAsia="Times New Roman" w:hAnsi="Times New Roman"/>
          <w:sz w:val="24"/>
          <w:szCs w:val="24"/>
          <w:rtl w:val="0"/>
        </w:rPr>
        <w:t xml:space="preserve">A scoping review was conducted following the Arksey and O'Malley framework and PRISMA-ScR reporting guidelines. Searches were conducted across PubMed, Dimensions ai and Frontiers databases for studies published from 2015 to the search date (March 30, 2026). Reference list screening of identified articles was also carried out in order to enhance the yield. Studies were included if they described a PGx implementation program, educational intervention, or feasibility assessment with a rural or medically underserved population component.  </w:t>
      </w:r>
    </w:p>
    <w:p w:rsidR="00000000" w:rsidDel="00000000" w:rsidP="00000000" w:rsidRDefault="00000000" w:rsidRPr="00000000" w14:paraId="0000000D">
      <w:pPr>
        <w:widowControl w:val="0"/>
        <w:spacing w:before="201" w:line="360" w:lineRule="auto"/>
        <w:ind w:right="3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Results: </w:t>
      </w:r>
      <w:r w:rsidDel="00000000" w:rsidR="00000000" w:rsidRPr="00000000">
        <w:rPr>
          <w:rFonts w:ascii="Times New Roman" w:cs="Times New Roman" w:eastAsia="Times New Roman" w:hAnsi="Times New Roman"/>
          <w:sz w:val="24"/>
          <w:szCs w:val="24"/>
          <w:rtl w:val="0"/>
        </w:rPr>
        <w:t xml:space="preserve">Eighteen studies published between 2015 and 2025 were included in this review. Studies were categorized into five thematic clusters: workforce education programs, pharmacist-led clinical service models, community-engaged implementation with Indigenous and tribal populations, Federally Qualified Health Center pilots, and informatics infrastructure assessments. Most studies reported feasibility and acceptability outcomes; few reported clinical endpoints such as adverse drug reaction reduction, medication adherence, or cost-effectiveness. </w:t>
      </w:r>
    </w:p>
    <w:p w:rsidR="00000000" w:rsidDel="00000000" w:rsidP="00000000" w:rsidRDefault="00000000" w:rsidRPr="00000000" w14:paraId="0000000E">
      <w:pPr>
        <w:widowControl w:val="0"/>
        <w:spacing w:before="201" w:line="360" w:lineRule="auto"/>
        <w:ind w:right="3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r w:rsidDel="00000000" w:rsidR="00000000" w:rsidRPr="00000000">
        <w:rPr>
          <w:rFonts w:ascii="Times New Roman" w:cs="Times New Roman" w:eastAsia="Times New Roman" w:hAnsi="Times New Roman"/>
          <w:sz w:val="24"/>
          <w:szCs w:val="24"/>
          <w:rtl w:val="0"/>
        </w:rPr>
        <w:t xml:space="preserve">Published literature on PGx implementation in rural and underserved populations is growing but remains dominated by feasibility and educational studies rather than outcomes-based clinical research. Key gaps include oncology-specific applications, infrastructure-tiered implementation models among others. Future research should prioritize outcomes-based evaluation and frameworks that account for the heterogeneity of rural healthcare infrastructure.</w:t>
      </w:r>
    </w:p>
    <w:p w:rsidR="00000000" w:rsidDel="00000000" w:rsidP="00000000" w:rsidRDefault="00000000" w:rsidRPr="00000000" w14:paraId="0000000F">
      <w:pPr>
        <w:widowControl w:val="0"/>
        <w:spacing w:before="202" w:line="360" w:lineRule="auto"/>
        <w:ind w:right="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Pharmacogenomics, Rural community, Health disparities, Pharmacist-led interventions, Community pharmacy, Precision medicine</w:t>
      </w:r>
    </w:p>
    <w:p w:rsidR="00000000" w:rsidDel="00000000" w:rsidP="00000000" w:rsidRDefault="00000000" w:rsidRPr="00000000" w14:paraId="00000010">
      <w:pPr>
        <w:widowControl w:val="0"/>
        <w:spacing w:before="202" w:line="360" w:lineRule="auto"/>
        <w:ind w:right="35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Style w:val="Heading1"/>
        <w:keepNext w:val="0"/>
        <w:keepLines w:val="0"/>
        <w:widowControl w:val="0"/>
        <w:tabs>
          <w:tab w:val="left" w:leader="none" w:pos="279"/>
        </w:tabs>
        <w:spacing w:after="0" w:before="0" w:line="240" w:lineRule="auto"/>
        <w:jc w:val="both"/>
        <w:rPr>
          <w:rFonts w:ascii="Times New Roman" w:cs="Times New Roman" w:eastAsia="Times New Roman" w:hAnsi="Times New Roman"/>
          <w:b w:val="1"/>
          <w:bCs w:val="1"/>
          <w:sz w:val="28"/>
          <w:szCs w:val="28"/>
        </w:rPr>
      </w:pPr>
      <w:bookmarkStart w:colFirst="0" w:colLast="0" w:name="_heading=h.2pm5d43o33jv" w:id="2"/>
      <w:bookmarkEnd w:id="2"/>
      <w:r w:rsidDel="00000000" w:rsidR="00000000" w:rsidRPr="00000000">
        <w:rPr>
          <w:rtl w:val="0"/>
        </w:rPr>
      </w:r>
    </w:p>
    <w:p w:rsidR="00000000" w:rsidDel="00000000" w:rsidP="00000000" w:rsidRDefault="00000000" w:rsidRPr="00000000" w14:paraId="00000012">
      <w:pPr>
        <w:pStyle w:val="Heading1"/>
        <w:keepNext w:val="0"/>
        <w:keepLines w:val="0"/>
        <w:widowControl w:val="0"/>
        <w:numPr>
          <w:ilvl w:val="0"/>
          <w:numId w:val="1"/>
        </w:numPr>
        <w:tabs>
          <w:tab w:val="left" w:leader="none" w:pos="279"/>
        </w:tabs>
        <w:spacing w:after="0" w:before="0" w:line="240" w:lineRule="auto"/>
        <w:ind w:left="720" w:hanging="360"/>
        <w:jc w:val="both"/>
        <w:rPr>
          <w:rFonts w:ascii="Times New Roman" w:cs="Times New Roman" w:eastAsia="Times New Roman" w:hAnsi="Times New Roman"/>
          <w:b w:val="1"/>
          <w:bCs w:val="1"/>
          <w:sz w:val="28"/>
          <w:szCs w:val="28"/>
        </w:rPr>
      </w:pPr>
      <w:bookmarkStart w:colFirst="0" w:colLast="0" w:name="_heading=h.12t9jr95k6cw" w:id="3"/>
      <w:bookmarkEnd w:id="3"/>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13">
      <w:pPr>
        <w:widowControl w:val="0"/>
        <w:spacing w:before="198" w:line="360" w:lineRule="auto"/>
        <w:ind w:right="3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Pharmacogenomics (PGx), the study of how genetic variation influences drug response, has produced an extensive evidence base for individualized medication therapy (Roden et al., 2019). The Clinical Pharmacogenetics Implementation Consortium (CPIC) has published more than 25 evidence-based guidelines covering over 100 gene-drug pairs (Clin. Pharmacogenetics Implement. Consort.(CPIC), n.d.; Donnelly et al., 2024) and the Food and Drug Administration has included pharmacogenomic information on the labeling of over 300 medications (Food and Drug Administration (FDA), 2026). Prospective studies have demonstrated that genotype-guided dosing reduces adverse drug reactions across multiple therapeutic domains (Swen et al., 2023). </w:t>
      </w:r>
    </w:p>
    <w:p w:rsidR="00000000" w:rsidDel="00000000" w:rsidP="00000000" w:rsidRDefault="00000000" w:rsidRPr="00000000" w14:paraId="00000014">
      <w:pPr>
        <w:widowControl w:val="0"/>
        <w:spacing w:before="198" w:line="360" w:lineRule="auto"/>
        <w:ind w:right="3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mature evidence base, clinical adoption of PGx has been uneven. Implementation has been concentrated in urban academic medical centers with dedicated pharmacogenomics services, electronic health record integration, and in-house genotyping infrastructure (Shugg et al., 2024; Díaz-Villamarín et al., 2025). Rural and medically underserved populations, who bear a disproportionate burden of adverse drug reactions, limited specialist access, and healthcare workforce shortages (Oleribe et al., 2019; Javed, 2025), have been largely excluded from PGx implementation efforts. This exclusion has potential to widen rather than narrow existing health disparities (Martin et al., 2019).</w:t>
      </w:r>
    </w:p>
    <w:p w:rsidR="00000000" w:rsidDel="00000000" w:rsidP="00000000" w:rsidRDefault="00000000" w:rsidRPr="00000000" w14:paraId="0000001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decade, a growing body of literature has begun to address PGx implementation specifically in rural and underserved populations. Programs have been described across multiple states and settings, including rural Minnesota (Brown et al., 2022), the upper Midwest through the Sanford Imagenetics system (Natasha Petry et al., 2019; Van Heukelom et al., 2023), rural and tribal communities in Montana (Morales et al., 2016; Leitch et al., 2022), rural primary care in North Carolina (Dressler et al., 2019), integrated behavioral health clinics in Texas (Alghamdi et al., 2025), and Federally Qualified Health Centers (FQHCs) in urban and rural contexts (Johnson et al., 2020; Cicali et al., 2019). However, this literature has not been systematically synthesized. Existing scoping and narrative reviews have focused on community pharmacy practice more broadly (Coumau et al., 2025), medically underserved populations without specific rural focus (Gawronski et al., 2025), or health disparities in PGx generally (Magavern et al., 2021). No published review has specifically mapped the PGx implementation literature at the intersection of rural and underserved settings.</w:t>
      </w:r>
    </w:p>
    <w:p w:rsidR="00000000" w:rsidDel="00000000" w:rsidP="00000000" w:rsidRDefault="00000000" w:rsidRPr="00000000" w14:paraId="0000001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scoping review addresses that gap. Following Arksey &amp; O’Malley (2005)  framework with refinements by Levac et al. (2010) and reporting in accordance with the PRISMA Extension for Scoping Reviews (PRISMA-ScR) guidelines, this review maps the published literature on PGx implementation in rural and medically underserved settings. The objectives are to: (1) characterize the types of studies that have been conducted; (2) describe the implementation strategies that have been employed; (3) summarize the outcomes that have been reported; and (4) identify evidence gaps that warrant future investigation.</w:t>
      </w:r>
    </w:p>
    <w:p w:rsidR="00000000" w:rsidDel="00000000" w:rsidP="00000000" w:rsidRDefault="00000000" w:rsidRPr="00000000" w14:paraId="0000001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numPr>
          <w:ilvl w:val="0"/>
          <w:numId w:val="1"/>
        </w:numPr>
        <w:spacing w:before="200" w:line="360" w:lineRule="auto"/>
        <w:ind w:left="720" w:right="357"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Methods</w:t>
      </w:r>
    </w:p>
    <w:p w:rsidR="00000000" w:rsidDel="00000000" w:rsidP="00000000" w:rsidRDefault="00000000" w:rsidRPr="00000000" w14:paraId="00000019">
      <w:pPr>
        <w:pStyle w:val="Heading2"/>
        <w:keepNext w:val="0"/>
        <w:keepLines w:val="0"/>
        <w:widowControl w:val="0"/>
        <w:tabs>
          <w:tab w:val="left" w:leader="none" w:pos="360"/>
        </w:tabs>
        <w:spacing w:after="0" w:before="277"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 Protocol and Reporting Framework</w:t>
      </w:r>
    </w:p>
    <w:p w:rsidR="00000000" w:rsidDel="00000000" w:rsidP="00000000" w:rsidRDefault="00000000" w:rsidRPr="00000000" w14:paraId="0000001A">
      <w:pPr>
        <w:widowControl w:val="0"/>
        <w:spacing w:before="180" w:line="360" w:lineRule="auto"/>
        <w:ind w:right="3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scoping review was conducted using the five-stage framework originally proposed by Arksey &amp; O’Malley (2005) with methodological refinements introduced by Levac et al. (2010). Reporting follows the PRISMA Extension for Scoping Reviews (PRISMA-ScR) checklist (Tricco et al., 2018). The review protocol was developed a priori but was not registered in an international prospective register; this limitation is discussed in Section 5.4.</w:t>
      </w:r>
    </w:p>
    <w:p w:rsidR="00000000" w:rsidDel="00000000" w:rsidP="00000000" w:rsidRDefault="00000000" w:rsidRPr="00000000" w14:paraId="0000001B">
      <w:pPr>
        <w:widowControl w:val="0"/>
        <w:spacing w:before="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Style w:val="Heading2"/>
        <w:keepNext w:val="0"/>
        <w:keepLines w:val="0"/>
        <w:widowControl w:val="0"/>
        <w:tabs>
          <w:tab w:val="left" w:leader="none" w:pos="360"/>
        </w:tabs>
        <w:spacing w:after="0" w:before="1"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2.2 Research Question</w:t>
      </w:r>
    </w:p>
    <w:p w:rsidR="00000000" w:rsidDel="00000000" w:rsidP="00000000" w:rsidRDefault="00000000" w:rsidRPr="00000000" w14:paraId="0000001D">
      <w:pPr>
        <w:widowControl w:val="0"/>
        <w:spacing w:before="180" w:line="360" w:lineRule="auto"/>
        <w:ind w:right="35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question guiding this review was: </w:t>
      </w:r>
      <w:r w:rsidDel="00000000" w:rsidR="00000000" w:rsidRPr="00000000">
        <w:rPr>
          <w:rFonts w:ascii="Times New Roman" w:cs="Times New Roman" w:eastAsia="Times New Roman" w:hAnsi="Times New Roman"/>
          <w:i w:val="1"/>
          <w:iCs w:val="1"/>
          <w:sz w:val="24"/>
          <w:szCs w:val="24"/>
          <w:rtl w:val="0"/>
        </w:rPr>
        <w:t xml:space="preserve">What is the scope, nature, and reported outcomes of published PGx implementation programs in rural and medically underserved healthcare settings?</w:t>
      </w:r>
    </w:p>
    <w:p w:rsidR="00000000" w:rsidDel="00000000" w:rsidP="00000000" w:rsidRDefault="00000000" w:rsidRPr="00000000" w14:paraId="0000001E">
      <w:pPr>
        <w:widowControl w:val="0"/>
        <w:spacing w:before="100" w:line="360" w:lineRule="auto"/>
        <w:ind w:right="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questions included: (a) What implementation strategies have been used? (b) What therapeutic areas and gene-drug pairs have been targeted? (c) What populations have been served?</w:t>
      </w:r>
    </w:p>
    <w:p w:rsidR="00000000" w:rsidDel="00000000" w:rsidP="00000000" w:rsidRDefault="00000000" w:rsidRPr="00000000" w14:paraId="0000001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What outcomes have been measured and reported? (e) What evidence gaps remain?</w:t>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bookmarkStart w:colFirst="0" w:colLast="0" w:name="_heading=h.tcc9nd8tb2q9" w:id="4"/>
      <w:bookmarkEnd w:id="4"/>
      <w:r w:rsidDel="00000000" w:rsidR="00000000" w:rsidRPr="00000000">
        <w:rPr>
          <w:rFonts w:ascii="Times New Roman" w:cs="Times New Roman" w:eastAsia="Times New Roman" w:hAnsi="Times New Roman"/>
          <w:b w:val="1"/>
          <w:bCs w:val="1"/>
          <w:sz w:val="24"/>
          <w:szCs w:val="24"/>
          <w:rtl w:val="0"/>
        </w:rPr>
        <w:t xml:space="preserve">2.3 Search Strategy</w:t>
      </w:r>
    </w:p>
    <w:p w:rsidR="00000000" w:rsidDel="00000000" w:rsidP="00000000" w:rsidRDefault="00000000" w:rsidRPr="00000000" w14:paraId="00000022">
      <w:pPr>
        <w:widowControl w:val="0"/>
        <w:spacing w:before="180"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Searches were conducted in PubMed, Dimensions ai, and Frontiers journal databases (Frontiers in Pharmacology, Frontiers in Genetics) on March 30, 2026. Searches were supplemented by hand-searching the reference lists of identified articles and relevant narrative reviews were screened for additional eligible studies. Search terms combined variations of pharmacogenomic terminology (such as pharmacogenomics, pharmacogenetics) with setting descriptors (rural, underserved, tribal, Indigenous, FQHC, federally qualified health center, medically underserved, health professional shortage area).   </w:t>
      </w:r>
    </w:p>
    <w:p w:rsidR="00000000" w:rsidDel="00000000" w:rsidP="00000000" w:rsidRDefault="00000000" w:rsidRPr="00000000" w14:paraId="00000023">
      <w:pPr>
        <w:widowControl w:val="0"/>
        <w:spacing w:before="180" w:line="360" w:lineRule="auto"/>
        <w:ind w:right="35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compiled search strings adopted in searching all the databases was: </w:t>
      </w:r>
      <w:r w:rsidDel="00000000" w:rsidR="00000000" w:rsidRPr="00000000">
        <w:rPr>
          <w:rFonts w:ascii="Times New Roman" w:cs="Times New Roman" w:eastAsia="Times New Roman" w:hAnsi="Times New Roman"/>
          <w:i w:val="1"/>
          <w:iCs w:val="1"/>
          <w:sz w:val="24"/>
          <w:szCs w:val="24"/>
          <w:rtl w:val="0"/>
        </w:rPr>
        <w:t xml:space="preserve">("pharmacogenomics" OR "pharmacogenetics" OR "genetic testing") AND ("rural health" OR "medically underserved populations" OR "rural healthcare" OR "tribal health" OR "Indigenous health" OR "community health centers" OR "FQHC" OR "Health Professional Shortage Areas") AND ("implementation" OR "service model" OR "clinical service" OR "workforce education" OR "telemedicine" OR "community engagement") AND ("outcomes" OR "adverse drug reactions" OR "medication adherence" OR "cost-effectiveness" OR "clinical efficacy"). </w:t>
      </w:r>
    </w:p>
    <w:p w:rsidR="00000000" w:rsidDel="00000000" w:rsidP="00000000" w:rsidRDefault="00000000" w:rsidRPr="00000000" w14:paraId="00000024">
      <w:pPr>
        <w:widowControl w:val="0"/>
        <w:spacing w:before="180" w:line="360" w:lineRule="auto"/>
        <w:ind w:right="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2.4 Eligibility Criteria</w:t>
      </w:r>
    </w:p>
    <w:p w:rsidR="00000000" w:rsidDel="00000000" w:rsidP="00000000" w:rsidRDefault="00000000" w:rsidRPr="00000000" w14:paraId="00000026">
      <w:pPr>
        <w:widowControl w:val="0"/>
        <w:spacing w:before="180" w:line="360" w:lineRule="auto"/>
        <w:ind w:right="35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Inclusion criteria: </w:t>
      </w:r>
      <w:r w:rsidDel="00000000" w:rsidR="00000000" w:rsidRPr="00000000">
        <w:rPr>
          <w:rFonts w:ascii="Times New Roman" w:cs="Times New Roman" w:eastAsia="Times New Roman" w:hAnsi="Times New Roman"/>
          <w:sz w:val="24"/>
          <w:szCs w:val="24"/>
          <w:rtl w:val="0"/>
        </w:rPr>
        <w:t xml:space="preserve">(1) Peer-reviewed articles or published implementation reports describing a PGx implementation program, clinical service, educational intervention, or feasibility study; (2) setting or population explicitly described as rural, medically underserved, Health Professional Shortage Area (HPSA), Medically Underserved Area (MUA), Medically Underserved Population (MUP), Indigenous or tribal, FQHC, or otherwise resource-limited; (3) published in English; (4) published from 2015 to the literature search date.</w:t>
      </w:r>
    </w:p>
    <w:p w:rsidR="00000000" w:rsidDel="00000000" w:rsidP="00000000" w:rsidRDefault="00000000" w:rsidRPr="00000000" w14:paraId="00000027">
      <w:pPr>
        <w:widowControl w:val="0"/>
        <w:spacing w:before="200" w:line="360" w:lineRule="auto"/>
        <w:ind w:right="3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Exclusion criteria: </w:t>
      </w:r>
      <w:r w:rsidDel="00000000" w:rsidR="00000000" w:rsidRPr="00000000">
        <w:rPr>
          <w:rFonts w:ascii="Times New Roman" w:cs="Times New Roman" w:eastAsia="Times New Roman" w:hAnsi="Times New Roman"/>
          <w:sz w:val="24"/>
          <w:szCs w:val="24"/>
          <w:rtl w:val="0"/>
        </w:rPr>
        <w:t xml:space="preserve">(1) Studies conducted exclusively in urban academic medical centers without rural or underserved population focus; (2) Studies neither published in English nor within 2015 and the literature search date (3) purely analytical or laboratory studies without an implementation component; (4) clinical guidelines themselves (these are referenced as background but not included as scoping review data); (5) editorials, commentaries, or opinion pieces without original implementation data or analysis; (6) conference abstracts without corresponding full-text publication.</w:t>
      </w:r>
    </w:p>
    <w:p w:rsidR="00000000" w:rsidDel="00000000" w:rsidP="00000000" w:rsidRDefault="00000000" w:rsidRPr="00000000" w14:paraId="00000028">
      <w:pPr>
        <w:widowControl w:val="0"/>
        <w:spacing w:before="200" w:line="360" w:lineRule="auto"/>
        <w:ind w:right="35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2"/>
        <w:keepNext w:val="0"/>
        <w:keepLines w:val="0"/>
        <w:widowControl w:val="0"/>
        <w:tabs>
          <w:tab w:val="left" w:leader="none" w:pos="360"/>
        </w:tabs>
        <w:spacing w:after="0" w:before="1" w:line="240" w:lineRule="auto"/>
        <w:jc w:val="both"/>
        <w:rPr>
          <w:rFonts w:ascii="Times New Roman" w:cs="Times New Roman" w:eastAsia="Times New Roman" w:hAnsi="Times New Roman"/>
          <w:b w:val="1"/>
          <w:bCs w:val="1"/>
          <w:sz w:val="24"/>
          <w:szCs w:val="24"/>
        </w:rPr>
      </w:pPr>
      <w:bookmarkStart w:colFirst="0" w:colLast="0" w:name="_heading=h.brfjhel5sujo" w:id="5"/>
      <w:bookmarkEnd w:id="5"/>
      <w:r w:rsidDel="00000000" w:rsidR="00000000" w:rsidRPr="00000000">
        <w:rPr>
          <w:rFonts w:ascii="Times New Roman" w:cs="Times New Roman" w:eastAsia="Times New Roman" w:hAnsi="Times New Roman"/>
          <w:b w:val="1"/>
          <w:bCs w:val="1"/>
          <w:sz w:val="24"/>
          <w:szCs w:val="24"/>
          <w:rtl w:val="0"/>
        </w:rPr>
        <w:t xml:space="preserve">2.5 Study Selection</w:t>
      </w:r>
    </w:p>
    <w:p w:rsidR="00000000" w:rsidDel="00000000" w:rsidP="00000000" w:rsidRDefault="00000000" w:rsidRPr="00000000" w14:paraId="0000002A">
      <w:pPr>
        <w:widowControl w:val="0"/>
        <w:spacing w:before="182"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duplicate articles were removed in a reference manager (Zotero) followed by Titles and abstracts screening. Next, the full-text articles were retrieved and assessed against the eligibility criteria, with reasons for exclusion documented.  Two reviewers handled the screening and study selection process and discrepancies were resolved through discussion.</w:t>
      </w:r>
    </w:p>
    <w:p w:rsidR="00000000" w:rsidDel="00000000" w:rsidP="00000000" w:rsidRDefault="00000000" w:rsidRPr="00000000" w14:paraId="0000002B">
      <w:pPr>
        <w:widowControl w:val="0"/>
        <w:spacing w:before="182"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an initial identification of 289 records from various databases and registers, 114 records were excluded through filters. 175 records were subjected to title and abstract screening and 149 records were removed. The full text of the remaining 26 reports were assessed for eligibility, with eight being excluded for not focusing on rural and medically underserved settings. Ultimately 18 studies were included in this review. The breakdown of the selection process is as presented in Figure 1. </w:t>
      </w:r>
    </w:p>
    <w:p w:rsidR="00000000" w:rsidDel="00000000" w:rsidP="00000000" w:rsidRDefault="00000000" w:rsidRPr="00000000" w14:paraId="0000002C">
      <w:pPr>
        <w:widowControl w:val="0"/>
        <w:spacing w:before="182"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6172200" cy="49784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72200" cy="4978400"/>
                    </a:xfrm>
                    <a:prstGeom prst="rect"/>
                    <a:ln/>
                  </pic:spPr>
                </pic:pic>
              </a:graphicData>
            </a:graphic>
          </wp:inline>
        </w:drawing>
      </w:r>
      <w:r w:rsidDel="00000000" w:rsidR="00000000" w:rsidRPr="00000000">
        <w:rPr>
          <w:rFonts w:ascii="Times New Roman" w:cs="Times New Roman" w:eastAsia="Times New Roman" w:hAnsi="Times New Roman"/>
          <w:b w:val="1"/>
          <w:bCs w:val="1"/>
          <w:sz w:val="24"/>
          <w:szCs w:val="24"/>
          <w:rtl w:val="0"/>
        </w:rPr>
        <w:t xml:space="preserve">Figure 1: Preferred Reporting Items for Systematic reviews and Meta-Analysis (PRISMA) flow diagram</w:t>
      </w:r>
      <w:r w:rsidDel="00000000" w:rsidR="00000000" w:rsidRPr="00000000">
        <w:rPr>
          <w:rtl w:val="0"/>
        </w:rPr>
      </w:r>
    </w:p>
    <w:p w:rsidR="00000000" w:rsidDel="00000000" w:rsidP="00000000" w:rsidRDefault="00000000" w:rsidRPr="00000000" w14:paraId="0000002D">
      <w:pPr>
        <w:widowControl w:val="0"/>
        <w:spacing w:before="182" w:line="360" w:lineRule="auto"/>
        <w:ind w:right="35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bookmarkStart w:colFirst="0" w:colLast="0" w:name="_heading=h.wlexivs9f8i2" w:id="6"/>
      <w:bookmarkEnd w:id="6"/>
      <w:r w:rsidDel="00000000" w:rsidR="00000000" w:rsidRPr="00000000">
        <w:rPr>
          <w:rFonts w:ascii="Times New Roman" w:cs="Times New Roman" w:eastAsia="Times New Roman" w:hAnsi="Times New Roman"/>
          <w:b w:val="1"/>
          <w:bCs w:val="1"/>
          <w:sz w:val="24"/>
          <w:szCs w:val="24"/>
          <w:rtl w:val="0"/>
        </w:rPr>
        <w:t xml:space="preserve">2.6 Data Extraction and Charting</w:t>
      </w:r>
    </w:p>
    <w:p w:rsidR="00000000" w:rsidDel="00000000" w:rsidP="00000000" w:rsidRDefault="00000000" w:rsidRPr="00000000" w14:paraId="0000002F">
      <w:pPr>
        <w:widowControl w:val="0"/>
        <w:spacing w:before="180"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data extraction form was developed to capture the following variables for each included study: first author and publication year; journal; country and state or region; study design (feasibility study, qualitative, descriptive report, quantitative outcomes, mixed methods); setting type (critical access hospital, FQHC, rural primary care clinic, community pharmacy, tribal health service, multi-state rural health system); population characteristics; therapeutic focus and specific gene-drug pairs addressed; implementation strategy; outcomes reported; and key findings.  </w:t>
      </w:r>
    </w:p>
    <w:p w:rsidR="00000000" w:rsidDel="00000000" w:rsidP="00000000" w:rsidRDefault="00000000" w:rsidRPr="00000000" w14:paraId="00000030">
      <w:pPr>
        <w:widowControl w:val="0"/>
        <w:spacing w:before="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Style w:val="Heading2"/>
        <w:keepNext w:val="0"/>
        <w:keepLines w:val="0"/>
        <w:widowControl w:val="0"/>
        <w:tabs>
          <w:tab w:val="left" w:leader="none" w:pos="360"/>
        </w:tabs>
        <w:spacing w:after="0" w:before="1" w:line="240" w:lineRule="auto"/>
        <w:jc w:val="both"/>
        <w:rPr>
          <w:rFonts w:ascii="Times New Roman" w:cs="Times New Roman" w:eastAsia="Times New Roman" w:hAnsi="Times New Roman"/>
          <w:b w:val="1"/>
          <w:bCs w:val="1"/>
          <w:sz w:val="24"/>
          <w:szCs w:val="24"/>
        </w:rPr>
      </w:pPr>
      <w:bookmarkStart w:colFirst="0" w:colLast="0" w:name="_heading=h.93s6zw18eeh0" w:id="7"/>
      <w:bookmarkEnd w:id="7"/>
      <w:r w:rsidDel="00000000" w:rsidR="00000000" w:rsidRPr="00000000">
        <w:rPr>
          <w:rFonts w:ascii="Times New Roman" w:cs="Times New Roman" w:eastAsia="Times New Roman" w:hAnsi="Times New Roman"/>
          <w:b w:val="1"/>
          <w:bCs w:val="1"/>
          <w:sz w:val="24"/>
          <w:szCs w:val="24"/>
          <w:rtl w:val="0"/>
        </w:rPr>
        <w:t xml:space="preserve">2.7 Synthesis Approach</w:t>
      </w:r>
    </w:p>
    <w:p w:rsidR="00000000" w:rsidDel="00000000" w:rsidP="00000000" w:rsidRDefault="00000000" w:rsidRPr="00000000" w14:paraId="00000032">
      <w:pPr>
        <w:widowControl w:val="0"/>
        <w:spacing w:before="180"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scoping review methodology, data were synthesized narratively based on the emerging themes from the included studies. Included studies were grouped into thematic clusters based on the predominant type of intervention or investigation. Within each cluster, the range of implementation strategies, populations served, and outcomes reported was summarized. Evidence gaps were identified across clusters and across the body of literature as a whole.</w:t>
      </w:r>
    </w:p>
    <w:p w:rsidR="00000000" w:rsidDel="00000000" w:rsidP="00000000" w:rsidRDefault="00000000" w:rsidRPr="00000000" w14:paraId="00000033">
      <w:pPr>
        <w:widowControl w:val="0"/>
        <w:spacing w:before="8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before="8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1"/>
        <w:keepNext w:val="0"/>
        <w:keepLines w:val="0"/>
        <w:widowControl w:val="0"/>
        <w:numPr>
          <w:ilvl w:val="0"/>
          <w:numId w:val="1"/>
        </w:numPr>
        <w:tabs>
          <w:tab w:val="left" w:leader="none" w:pos="279"/>
        </w:tabs>
        <w:spacing w:after="0" w:before="1" w:line="240" w:lineRule="auto"/>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Results</w:t>
      </w:r>
    </w:p>
    <w:p w:rsidR="00000000" w:rsidDel="00000000" w:rsidP="00000000" w:rsidRDefault="00000000" w:rsidRPr="00000000" w14:paraId="00000036">
      <w:pPr>
        <w:widowControl w:val="0"/>
        <w:spacing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Style w:val="Heading2"/>
        <w:keepNext w:val="0"/>
        <w:keepLines w:val="0"/>
        <w:widowControl w:val="0"/>
        <w:tabs>
          <w:tab w:val="left" w:leader="none" w:pos="360"/>
        </w:tabs>
        <w:spacing w:after="0" w:before="1" w:line="240" w:lineRule="auto"/>
        <w:jc w:val="both"/>
        <w:rPr>
          <w:rFonts w:ascii="Times New Roman" w:cs="Times New Roman" w:eastAsia="Times New Roman" w:hAnsi="Times New Roman"/>
          <w:b w:val="1"/>
          <w:bCs w:val="1"/>
          <w:sz w:val="24"/>
          <w:szCs w:val="24"/>
        </w:rPr>
      </w:pPr>
      <w:bookmarkStart w:colFirst="0" w:colLast="0" w:name="_heading=h.dxl1mgthpdc2" w:id="8"/>
      <w:bookmarkEnd w:id="8"/>
      <w:r w:rsidDel="00000000" w:rsidR="00000000" w:rsidRPr="00000000">
        <w:rPr>
          <w:rFonts w:ascii="Times New Roman" w:cs="Times New Roman" w:eastAsia="Times New Roman" w:hAnsi="Times New Roman"/>
          <w:b w:val="1"/>
          <w:bCs w:val="1"/>
          <w:sz w:val="24"/>
          <w:szCs w:val="24"/>
          <w:rtl w:val="0"/>
        </w:rPr>
        <w:t xml:space="preserve">3.1 Characteristics of Included Studies</w:t>
      </w:r>
    </w:p>
    <w:p w:rsidR="00000000" w:rsidDel="00000000" w:rsidP="00000000" w:rsidRDefault="00000000" w:rsidRPr="00000000" w14:paraId="00000038">
      <w:pPr>
        <w:widowControl w:val="0"/>
        <w:spacing w:before="182"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summarizes the characteristics of the 18 included studies. Study designs included feasibility pilots (n=6), qualitative interview-based studies (n=5), descriptive implementation reports (n=4), quantitative clinical outcomes studies (n=2), and narrative syntheses of implementation experience (n=1). The predominant setting types were rural primary care clinics and multi-state rural health systems, followed by tribal health services and FQHCs.</w:t>
      </w:r>
    </w:p>
    <w:p w:rsidR="00000000" w:rsidDel="00000000" w:rsidP="00000000" w:rsidRDefault="00000000" w:rsidRPr="00000000" w14:paraId="00000039">
      <w:pPr>
        <w:widowControl w:val="0"/>
        <w:spacing w:before="2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before="1"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Table 1. Characteristics of included studies (N=18)</w:t>
      </w:r>
    </w:p>
    <w:p w:rsidR="00000000" w:rsidDel="00000000" w:rsidP="00000000" w:rsidRDefault="00000000" w:rsidRPr="00000000" w14:paraId="0000003B">
      <w:pPr>
        <w:widowControl w:val="0"/>
        <w:spacing w:after="1" w:before="3" w:line="240" w:lineRule="auto"/>
        <w:rPr>
          <w:rFonts w:ascii="Times New Roman" w:cs="Times New Roman" w:eastAsia="Times New Roman" w:hAnsi="Times New Roman"/>
          <w:b w:val="1"/>
          <w:bCs w:val="1"/>
          <w:sz w:val="17"/>
          <w:szCs w:val="17"/>
        </w:rPr>
      </w:pPr>
      <w:r w:rsidDel="00000000" w:rsidR="00000000" w:rsidRPr="00000000">
        <w:rPr>
          <w:rtl w:val="0"/>
        </w:rPr>
      </w:r>
    </w:p>
    <w:tbl>
      <w:tblPr>
        <w:tblStyle w:val="Table1"/>
        <w:tblW w:w="9355.000000000002" w:type="dxa"/>
        <w:jc w:val="left"/>
        <w:tblInd w:w="10.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000"/>
      </w:tblPr>
      <w:tblGrid>
        <w:gridCol w:w="1870"/>
        <w:gridCol w:w="1871"/>
        <w:gridCol w:w="1873"/>
        <w:gridCol w:w="1870"/>
        <w:gridCol w:w="1871"/>
        <w:tblGridChange w:id="0">
          <w:tblGrid>
            <w:gridCol w:w="1870"/>
            <w:gridCol w:w="1871"/>
            <w:gridCol w:w="1873"/>
            <w:gridCol w:w="1870"/>
            <w:gridCol w:w="1871"/>
          </w:tblGrid>
        </w:tblGridChange>
      </w:tblGrid>
      <w:tr>
        <w:trPr>
          <w:cantSplit w:val="0"/>
          <w:trHeight w:val="325" w:hRule="atLeast"/>
          <w:tblHeader w:val="0"/>
        </w:trPr>
        <w:tc>
          <w:tcPr>
            <w:shd w:fill="e6e6e6" w:val="clear"/>
          </w:tcPr>
          <w:p w:rsidR="00000000" w:rsidDel="00000000" w:rsidP="00000000" w:rsidRDefault="00000000" w:rsidRPr="00000000" w14:paraId="0000003C">
            <w:pPr>
              <w:widowControl w:val="0"/>
              <w:spacing w:before="79" w:line="226" w:lineRule="auto"/>
              <w:ind w:left="119"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Author (Year)</w:t>
            </w:r>
          </w:p>
        </w:tc>
        <w:tc>
          <w:tcPr>
            <w:shd w:fill="e6e6e6" w:val="clear"/>
          </w:tcPr>
          <w:p w:rsidR="00000000" w:rsidDel="00000000" w:rsidP="00000000" w:rsidRDefault="00000000" w:rsidRPr="00000000" w14:paraId="0000003D">
            <w:pPr>
              <w:widowControl w:val="0"/>
              <w:spacing w:before="79" w:line="226" w:lineRule="auto"/>
              <w:ind w:left="12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Setting</w:t>
            </w:r>
          </w:p>
        </w:tc>
        <w:tc>
          <w:tcPr>
            <w:shd w:fill="e6e6e6" w:val="clear"/>
          </w:tcPr>
          <w:p w:rsidR="00000000" w:rsidDel="00000000" w:rsidP="00000000" w:rsidRDefault="00000000" w:rsidRPr="00000000" w14:paraId="0000003E">
            <w:pPr>
              <w:widowControl w:val="0"/>
              <w:spacing w:before="79" w:line="226" w:lineRule="auto"/>
              <w:ind w:left="12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Population/Focus</w:t>
            </w:r>
          </w:p>
        </w:tc>
        <w:tc>
          <w:tcPr>
            <w:shd w:fill="e6e6e6" w:val="clear"/>
          </w:tcPr>
          <w:p w:rsidR="00000000" w:rsidDel="00000000" w:rsidP="00000000" w:rsidRDefault="00000000" w:rsidRPr="00000000" w14:paraId="0000003F">
            <w:pPr>
              <w:widowControl w:val="0"/>
              <w:spacing w:before="79" w:line="226" w:lineRule="auto"/>
              <w:ind w:left="1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Design</w:t>
            </w:r>
          </w:p>
        </w:tc>
        <w:tc>
          <w:tcPr>
            <w:shd w:fill="e6e6e6" w:val="clear"/>
          </w:tcPr>
          <w:p w:rsidR="00000000" w:rsidDel="00000000" w:rsidP="00000000" w:rsidRDefault="00000000" w:rsidRPr="00000000" w14:paraId="00000040">
            <w:pPr>
              <w:widowControl w:val="0"/>
              <w:spacing w:before="79" w:line="226" w:lineRule="auto"/>
              <w:ind w:left="12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Key Outcomes</w:t>
            </w:r>
          </w:p>
        </w:tc>
      </w:tr>
      <w:tr>
        <w:trPr>
          <w:cantSplit w:val="0"/>
          <w:trHeight w:val="829" w:hRule="atLeast"/>
          <w:tblHeader w:val="0"/>
        </w:trPr>
        <w:tc>
          <w:tcPr/>
          <w:p w:rsidR="00000000" w:rsidDel="00000000" w:rsidP="00000000" w:rsidRDefault="00000000" w:rsidRPr="00000000" w14:paraId="00000041">
            <w:pPr>
              <w:widowControl w:val="0"/>
              <w:spacing w:before="78"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Dorfman et al. (2015)</w:t>
            </w:r>
          </w:p>
        </w:tc>
        <w:tc>
          <w:tcPr/>
          <w:p w:rsidR="00000000" w:rsidDel="00000000" w:rsidP="00000000" w:rsidRDefault="00000000" w:rsidRPr="00000000" w14:paraId="00000042">
            <w:pPr>
              <w:widowControl w:val="0"/>
              <w:spacing w:before="78" w:line="259" w:lineRule="auto"/>
              <w:ind w:left="121" w:right="7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Diverse practice settings beyond metro areas</w:t>
            </w:r>
          </w:p>
        </w:tc>
        <w:tc>
          <w:tcPr/>
          <w:p w:rsidR="00000000" w:rsidDel="00000000" w:rsidP="00000000" w:rsidRDefault="00000000" w:rsidRPr="00000000" w14:paraId="00000043">
            <w:pPr>
              <w:widowControl w:val="0"/>
              <w:spacing w:before="78" w:line="259"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General PGx implementation</w:t>
            </w:r>
          </w:p>
        </w:tc>
        <w:tc>
          <w:tcPr/>
          <w:p w:rsidR="00000000" w:rsidDel="00000000" w:rsidP="00000000" w:rsidRDefault="00000000" w:rsidRPr="00000000" w14:paraId="00000044">
            <w:pPr>
              <w:widowControl w:val="0"/>
              <w:spacing w:before="78"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Narrative analysis</w:t>
            </w:r>
          </w:p>
        </w:tc>
        <w:tc>
          <w:tcPr/>
          <w:p w:rsidR="00000000" w:rsidDel="00000000" w:rsidP="00000000" w:rsidRDefault="00000000" w:rsidRPr="00000000" w14:paraId="00000045">
            <w:pPr>
              <w:widowControl w:val="0"/>
              <w:spacing w:before="78" w:line="259" w:lineRule="auto"/>
              <w:ind w:left="120" w:right="2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Barriers and opportunities outside metros</w:t>
            </w:r>
          </w:p>
        </w:tc>
      </w:tr>
      <w:tr>
        <w:trPr>
          <w:cantSplit w:val="0"/>
          <w:trHeight w:val="835" w:hRule="atLeast"/>
          <w:tblHeader w:val="0"/>
        </w:trPr>
        <w:tc>
          <w:tcPr/>
          <w:p w:rsidR="00000000" w:rsidDel="00000000" w:rsidP="00000000" w:rsidRDefault="00000000" w:rsidRPr="00000000" w14:paraId="00000046">
            <w:pPr>
              <w:widowControl w:val="0"/>
              <w:spacing w:before="81"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Morales et al. (2016)</w:t>
            </w:r>
          </w:p>
        </w:tc>
        <w:tc>
          <w:tcPr/>
          <w:p w:rsidR="00000000" w:rsidDel="00000000" w:rsidP="00000000" w:rsidRDefault="00000000" w:rsidRPr="00000000" w14:paraId="00000047">
            <w:pPr>
              <w:widowControl w:val="0"/>
              <w:spacing w:before="81" w:line="259" w:lineRule="auto"/>
              <w:ind w:left="121" w:right="68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Tribal (CSKT, Montana)</w:t>
            </w:r>
          </w:p>
        </w:tc>
        <w:tc>
          <w:tcPr/>
          <w:p w:rsidR="00000000" w:rsidDel="00000000" w:rsidP="00000000" w:rsidRDefault="00000000" w:rsidRPr="00000000" w14:paraId="00000048">
            <w:pPr>
              <w:widowControl w:val="0"/>
              <w:spacing w:before="81" w:line="259" w:lineRule="auto"/>
              <w:ind w:left="121" w:right="22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Indigenous community</w:t>
            </w:r>
          </w:p>
        </w:tc>
        <w:tc>
          <w:tcPr/>
          <w:p w:rsidR="00000000" w:rsidDel="00000000" w:rsidP="00000000" w:rsidRDefault="00000000" w:rsidRPr="00000000" w14:paraId="00000049">
            <w:pPr>
              <w:widowControl w:val="0"/>
              <w:spacing w:before="81" w:line="259"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Community-engaged research</w:t>
            </w:r>
          </w:p>
        </w:tc>
        <w:tc>
          <w:tcPr/>
          <w:p w:rsidR="00000000" w:rsidDel="00000000" w:rsidP="00000000" w:rsidRDefault="00000000" w:rsidRPr="00000000" w14:paraId="0000004A">
            <w:pPr>
              <w:widowControl w:val="0"/>
              <w:spacing w:before="81" w:line="259" w:lineRule="auto"/>
              <w:ind w:left="120" w:right="2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Partnership framework for tribal PGx</w:t>
            </w:r>
          </w:p>
        </w:tc>
      </w:tr>
      <w:tr>
        <w:trPr>
          <w:cantSplit w:val="0"/>
          <w:trHeight w:val="607" w:hRule="atLeast"/>
          <w:tblHeader w:val="0"/>
        </w:trPr>
        <w:tc>
          <w:tcPr/>
          <w:p w:rsidR="00000000" w:rsidDel="00000000" w:rsidP="00000000" w:rsidRDefault="00000000" w:rsidRPr="00000000" w14:paraId="0000004B">
            <w:pPr>
              <w:widowControl w:val="0"/>
              <w:spacing w:before="79"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Dressler et al. (2019)</w:t>
            </w:r>
          </w:p>
        </w:tc>
        <w:tc>
          <w:tcPr/>
          <w:p w:rsidR="00000000" w:rsidDel="00000000" w:rsidP="00000000" w:rsidRDefault="00000000" w:rsidRPr="00000000" w14:paraId="0000004C">
            <w:pPr>
              <w:widowControl w:val="0"/>
              <w:spacing w:before="79" w:line="259" w:lineRule="auto"/>
              <w:ind w:left="121" w:right="14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Rural primary care, NC</w:t>
            </w:r>
          </w:p>
        </w:tc>
        <w:tc>
          <w:tcPr/>
          <w:p w:rsidR="00000000" w:rsidDel="00000000" w:rsidP="00000000" w:rsidRDefault="00000000" w:rsidRPr="00000000" w14:paraId="0000004D">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Mixed adult patients</w:t>
            </w:r>
          </w:p>
        </w:tc>
        <w:tc>
          <w:tcPr/>
          <w:p w:rsidR="00000000" w:rsidDel="00000000" w:rsidP="00000000" w:rsidRDefault="00000000" w:rsidRPr="00000000" w14:paraId="0000004E">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Feasibility pilot</w:t>
            </w:r>
          </w:p>
        </w:tc>
        <w:tc>
          <w:tcPr/>
          <w:p w:rsidR="00000000" w:rsidDel="00000000" w:rsidP="00000000" w:rsidRDefault="00000000" w:rsidRPr="00000000" w14:paraId="0000004F">
            <w:pPr>
              <w:widowControl w:val="0"/>
              <w:spacing w:before="79" w:line="259" w:lineRule="auto"/>
              <w:ind w:left="120" w:right="2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had actionable PGx variants</w:t>
            </w:r>
          </w:p>
        </w:tc>
      </w:tr>
      <w:tr>
        <w:trPr>
          <w:cantSplit w:val="0"/>
          <w:trHeight w:val="609" w:hRule="atLeast"/>
          <w:tblHeader w:val="0"/>
        </w:trPr>
        <w:tc>
          <w:tcPr/>
          <w:p w:rsidR="00000000" w:rsidDel="00000000" w:rsidP="00000000" w:rsidRDefault="00000000" w:rsidRPr="00000000" w14:paraId="00000050">
            <w:pPr>
              <w:widowControl w:val="0"/>
              <w:spacing w:before="81"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Frigon et al. (2019)</w:t>
            </w:r>
          </w:p>
        </w:tc>
        <w:tc>
          <w:tcPr/>
          <w:p w:rsidR="00000000" w:rsidDel="00000000" w:rsidP="00000000" w:rsidRDefault="00000000" w:rsidRPr="00000000" w14:paraId="00000051">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Primary care</w:t>
            </w:r>
          </w:p>
        </w:tc>
        <w:tc>
          <w:tcPr/>
          <w:p w:rsidR="00000000" w:rsidDel="00000000" w:rsidP="00000000" w:rsidRDefault="00000000" w:rsidRPr="00000000" w14:paraId="00000052">
            <w:pPr>
              <w:widowControl w:val="0"/>
              <w:spacing w:before="81" w:line="259" w:lineRule="auto"/>
              <w:ind w:left="121" w:right="22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Physicians, pharmacists, patients</w:t>
            </w:r>
          </w:p>
        </w:tc>
        <w:tc>
          <w:tcPr/>
          <w:p w:rsidR="00000000" w:rsidDel="00000000" w:rsidP="00000000" w:rsidRDefault="00000000" w:rsidRPr="00000000" w14:paraId="00000053">
            <w:pPr>
              <w:widowControl w:val="0"/>
              <w:spacing w:before="81"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Qualitative survey</w:t>
            </w:r>
          </w:p>
        </w:tc>
        <w:tc>
          <w:tcPr/>
          <w:p w:rsidR="00000000" w:rsidDel="00000000" w:rsidP="00000000" w:rsidRDefault="00000000" w:rsidRPr="00000000" w14:paraId="00000054">
            <w:pPr>
              <w:widowControl w:val="0"/>
              <w:spacing w:before="81" w:line="259"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Perceptions of PGx testing</w:t>
            </w:r>
          </w:p>
        </w:tc>
      </w:tr>
      <w:tr>
        <w:trPr>
          <w:cantSplit w:val="0"/>
          <w:trHeight w:val="607" w:hRule="atLeast"/>
          <w:tblHeader w:val="0"/>
        </w:trPr>
        <w:tc>
          <w:tcPr/>
          <w:p w:rsidR="00000000" w:rsidDel="00000000" w:rsidP="00000000" w:rsidRDefault="00000000" w:rsidRPr="00000000" w14:paraId="00000055">
            <w:pPr>
              <w:widowControl w:val="0"/>
              <w:spacing w:before="79" w:line="261" w:lineRule="auto"/>
              <w:ind w:left="119" w:right="5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Fohner et al. (2019)</w:t>
            </w:r>
          </w:p>
        </w:tc>
        <w:tc>
          <w:tcPr/>
          <w:p w:rsidR="00000000" w:rsidDel="00000000" w:rsidP="00000000" w:rsidRDefault="00000000" w:rsidRPr="00000000" w14:paraId="00000056">
            <w:pPr>
              <w:widowControl w:val="0"/>
              <w:spacing w:before="79" w:line="261" w:lineRule="auto"/>
              <w:ind w:left="121" w:right="71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Multiple, incl. rural/tribal</w:t>
            </w:r>
          </w:p>
        </w:tc>
        <w:tc>
          <w:tcPr/>
          <w:p w:rsidR="00000000" w:rsidDel="00000000" w:rsidP="00000000" w:rsidRDefault="00000000" w:rsidRPr="00000000" w14:paraId="00000057">
            <w:pPr>
              <w:widowControl w:val="0"/>
              <w:spacing w:before="79" w:line="261" w:lineRule="auto"/>
              <w:ind w:left="121" w:right="37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Democratizing precision medicine</w:t>
            </w:r>
          </w:p>
        </w:tc>
        <w:tc>
          <w:tcPr/>
          <w:p w:rsidR="00000000" w:rsidDel="00000000" w:rsidP="00000000" w:rsidRDefault="00000000" w:rsidRPr="00000000" w14:paraId="00000058">
            <w:pPr>
              <w:widowControl w:val="0"/>
              <w:spacing w:before="79" w:line="261" w:lineRule="auto"/>
              <w:ind w:left="120" w:right="8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Commentary-framework</w:t>
            </w:r>
          </w:p>
        </w:tc>
        <w:tc>
          <w:tcPr/>
          <w:p w:rsidR="00000000" w:rsidDel="00000000" w:rsidP="00000000" w:rsidRDefault="00000000" w:rsidRPr="00000000" w14:paraId="00000059">
            <w:pPr>
              <w:widowControl w:val="0"/>
              <w:spacing w:before="79" w:line="261" w:lineRule="auto"/>
              <w:ind w:left="120" w:right="11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Community engagement principles</w:t>
            </w:r>
          </w:p>
        </w:tc>
      </w:tr>
      <w:tr>
        <w:trPr>
          <w:cantSplit w:val="0"/>
          <w:trHeight w:val="609" w:hRule="atLeast"/>
          <w:tblHeader w:val="0"/>
        </w:trPr>
        <w:tc>
          <w:tcPr/>
          <w:p w:rsidR="00000000" w:rsidDel="00000000" w:rsidP="00000000" w:rsidRDefault="00000000" w:rsidRPr="00000000" w14:paraId="0000005A">
            <w:pPr>
              <w:widowControl w:val="0"/>
              <w:spacing w:before="81"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Shugg et al. (2020)</w:t>
            </w:r>
          </w:p>
        </w:tc>
        <w:tc>
          <w:tcPr/>
          <w:p w:rsidR="00000000" w:rsidDel="00000000" w:rsidP="00000000" w:rsidRDefault="00000000" w:rsidRPr="00000000" w14:paraId="0000005B">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FQHC (Chicago)</w:t>
            </w:r>
          </w:p>
        </w:tc>
        <w:tc>
          <w:tcPr/>
          <w:p w:rsidR="00000000" w:rsidDel="00000000" w:rsidP="00000000" w:rsidRDefault="00000000" w:rsidRPr="00000000" w14:paraId="0000005C">
            <w:pPr>
              <w:widowControl w:val="0"/>
              <w:spacing w:before="81" w:line="259" w:lineRule="auto"/>
              <w:ind w:left="121" w:right="13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Providers, community members</w:t>
            </w:r>
          </w:p>
        </w:tc>
        <w:tc>
          <w:tcPr/>
          <w:p w:rsidR="00000000" w:rsidDel="00000000" w:rsidP="00000000" w:rsidRDefault="00000000" w:rsidRPr="00000000" w14:paraId="0000005D">
            <w:pPr>
              <w:widowControl w:val="0"/>
              <w:spacing w:before="81"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Feasibility study</w:t>
            </w:r>
          </w:p>
        </w:tc>
        <w:tc>
          <w:tcPr/>
          <w:p w:rsidR="00000000" w:rsidDel="00000000" w:rsidP="00000000" w:rsidRDefault="00000000" w:rsidRPr="00000000" w14:paraId="0000005E">
            <w:pPr>
              <w:widowControl w:val="0"/>
              <w:spacing w:before="81" w:line="259" w:lineRule="auto"/>
              <w:ind w:left="120" w:right="1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Participatory genomic education</w:t>
            </w:r>
          </w:p>
        </w:tc>
      </w:tr>
      <w:tr>
        <w:trPr>
          <w:cantSplit w:val="0"/>
          <w:trHeight w:val="832" w:hRule="atLeast"/>
          <w:tblHeader w:val="0"/>
        </w:trPr>
        <w:tc>
          <w:tcPr/>
          <w:p w:rsidR="00000000" w:rsidDel="00000000" w:rsidP="00000000" w:rsidRDefault="00000000" w:rsidRPr="00000000" w14:paraId="0000005F">
            <w:pPr>
              <w:widowControl w:val="0"/>
              <w:spacing w:before="79"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Martin et al. (2022)</w:t>
            </w:r>
          </w:p>
        </w:tc>
        <w:tc>
          <w:tcPr/>
          <w:p w:rsidR="00000000" w:rsidDel="00000000" w:rsidP="00000000" w:rsidRDefault="00000000" w:rsidRPr="00000000" w14:paraId="00000060">
            <w:pPr>
              <w:widowControl w:val="0"/>
              <w:spacing w:before="79" w:line="261" w:lineRule="auto"/>
              <w:ind w:left="121" w:right="43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Colorado (clinical service)</w:t>
            </w:r>
          </w:p>
        </w:tc>
        <w:tc>
          <w:tcPr/>
          <w:p w:rsidR="00000000" w:rsidDel="00000000" w:rsidP="00000000" w:rsidRDefault="00000000" w:rsidRPr="00000000" w14:paraId="00000061">
            <w:pPr>
              <w:widowControl w:val="0"/>
              <w:spacing w:before="79" w:line="261" w:lineRule="auto"/>
              <w:ind w:left="121" w:right="22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Patients in PGx service</w:t>
            </w:r>
          </w:p>
        </w:tc>
        <w:tc>
          <w:tcPr/>
          <w:p w:rsidR="00000000" w:rsidDel="00000000" w:rsidP="00000000" w:rsidRDefault="00000000" w:rsidRPr="00000000" w14:paraId="00000062">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Qualitative</w:t>
            </w:r>
          </w:p>
        </w:tc>
        <w:tc>
          <w:tcPr/>
          <w:p w:rsidR="00000000" w:rsidDel="00000000" w:rsidP="00000000" w:rsidRDefault="00000000" w:rsidRPr="00000000" w14:paraId="00000063">
            <w:pPr>
              <w:widowControl w:val="0"/>
              <w:spacing w:before="79" w:line="259" w:lineRule="auto"/>
              <w:ind w:left="120" w:right="30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Patient perspectives on pharmacist-led PGx</w:t>
            </w:r>
          </w:p>
        </w:tc>
      </w:tr>
      <w:tr>
        <w:trPr>
          <w:cantSplit w:val="0"/>
          <w:trHeight w:val="610" w:hRule="atLeast"/>
          <w:tblHeader w:val="0"/>
        </w:trPr>
        <w:tc>
          <w:tcPr/>
          <w:p w:rsidR="00000000" w:rsidDel="00000000" w:rsidP="00000000" w:rsidRDefault="00000000" w:rsidRPr="00000000" w14:paraId="00000064">
            <w:pPr>
              <w:widowControl w:val="0"/>
              <w:spacing w:before="79" w:line="261"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Leitch et al (2022)</w:t>
            </w:r>
          </w:p>
        </w:tc>
        <w:tc>
          <w:tcPr/>
          <w:p w:rsidR="00000000" w:rsidDel="00000000" w:rsidP="00000000" w:rsidRDefault="00000000" w:rsidRPr="00000000" w14:paraId="00000065">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Rural/tribal Montana</w:t>
            </w:r>
          </w:p>
        </w:tc>
        <w:tc>
          <w:tcPr/>
          <w:p w:rsidR="00000000" w:rsidDel="00000000" w:rsidP="00000000" w:rsidRDefault="00000000" w:rsidRPr="00000000" w14:paraId="00000066">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partner sites</w:t>
            </w:r>
          </w:p>
        </w:tc>
        <w:tc>
          <w:tcPr/>
          <w:p w:rsidR="00000000" w:rsidDel="00000000" w:rsidP="00000000" w:rsidRDefault="00000000" w:rsidRPr="00000000" w14:paraId="00000067">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Mixed methods</w:t>
            </w:r>
          </w:p>
        </w:tc>
        <w:tc>
          <w:tcPr/>
          <w:p w:rsidR="00000000" w:rsidDel="00000000" w:rsidP="00000000" w:rsidRDefault="00000000" w:rsidRPr="00000000" w14:paraId="00000068">
            <w:pPr>
              <w:widowControl w:val="0"/>
              <w:spacing w:before="79" w:line="261" w:lineRule="auto"/>
              <w:ind w:left="120" w:right="28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Telehealth hub-and-spoke feasibility</w:t>
            </w:r>
          </w:p>
        </w:tc>
      </w:tr>
      <w:tr>
        <w:trPr>
          <w:cantSplit w:val="0"/>
          <w:trHeight w:val="607" w:hRule="atLeast"/>
          <w:tblHeader w:val="0"/>
        </w:trPr>
        <w:tc>
          <w:tcPr/>
          <w:p w:rsidR="00000000" w:rsidDel="00000000" w:rsidP="00000000" w:rsidRDefault="00000000" w:rsidRPr="00000000" w14:paraId="00000069">
            <w:pPr>
              <w:widowControl w:val="0"/>
              <w:spacing w:before="79" w:line="259" w:lineRule="auto"/>
              <w:ind w:left="119" w:right="5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Natasha Petry et al. (2019) </w:t>
            </w:r>
          </w:p>
        </w:tc>
        <w:tc>
          <w:tcPr/>
          <w:p w:rsidR="00000000" w:rsidDel="00000000" w:rsidP="00000000" w:rsidRDefault="00000000" w:rsidRPr="00000000" w14:paraId="0000006A">
            <w:pPr>
              <w:widowControl w:val="0"/>
              <w:spacing w:before="79" w:line="259" w:lineRule="auto"/>
              <w:ind w:left="121" w:right="17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Medically underserved (Florida)</w:t>
            </w:r>
          </w:p>
        </w:tc>
        <w:tc>
          <w:tcPr/>
          <w:p w:rsidR="00000000" w:rsidDel="00000000" w:rsidP="00000000" w:rsidRDefault="00000000" w:rsidRPr="00000000" w14:paraId="0000006B">
            <w:pPr>
              <w:widowControl w:val="0"/>
              <w:spacing w:before="79" w:line="259" w:lineRule="auto"/>
              <w:ind w:left="121" w:right="88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Community participants</w:t>
            </w:r>
          </w:p>
        </w:tc>
        <w:tc>
          <w:tcPr/>
          <w:p w:rsidR="00000000" w:rsidDel="00000000" w:rsidP="00000000" w:rsidRDefault="00000000" w:rsidRPr="00000000" w14:paraId="0000006C">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Qualitative</w:t>
            </w:r>
          </w:p>
        </w:tc>
        <w:tc>
          <w:tcPr/>
          <w:p w:rsidR="00000000" w:rsidDel="00000000" w:rsidP="00000000" w:rsidRDefault="00000000" w:rsidRPr="00000000" w14:paraId="0000006D">
            <w:pPr>
              <w:widowControl w:val="0"/>
              <w:spacing w:before="79" w:line="259"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Knowledge/attitudes regarding PGx</w:t>
            </w:r>
          </w:p>
        </w:tc>
      </w:tr>
      <w:tr>
        <w:trPr>
          <w:cantSplit w:val="0"/>
          <w:trHeight w:val="609" w:hRule="atLeast"/>
          <w:tblHeader w:val="0"/>
        </w:trPr>
        <w:tc>
          <w:tcPr/>
          <w:p w:rsidR="00000000" w:rsidDel="00000000" w:rsidP="00000000" w:rsidRDefault="00000000" w:rsidRPr="00000000" w14:paraId="0000006E">
            <w:pPr>
              <w:widowControl w:val="0"/>
              <w:spacing w:before="81"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Brown et al. (2023)</w:t>
            </w:r>
          </w:p>
        </w:tc>
        <w:tc>
          <w:tcPr/>
          <w:p w:rsidR="00000000" w:rsidDel="00000000" w:rsidP="00000000" w:rsidRDefault="00000000" w:rsidRPr="00000000" w14:paraId="0000006F">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Rural Minnesota</w:t>
            </w:r>
          </w:p>
        </w:tc>
        <w:tc>
          <w:tcPr/>
          <w:p w:rsidR="00000000" w:rsidDel="00000000" w:rsidP="00000000" w:rsidRDefault="00000000" w:rsidRPr="00000000" w14:paraId="00000070">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Pharmacists</w:t>
            </w:r>
          </w:p>
        </w:tc>
        <w:tc>
          <w:tcPr/>
          <w:p w:rsidR="00000000" w:rsidDel="00000000" w:rsidP="00000000" w:rsidRDefault="00000000" w:rsidRPr="00000000" w14:paraId="00000071">
            <w:pPr>
              <w:widowControl w:val="0"/>
              <w:spacing w:before="81" w:line="259" w:lineRule="auto"/>
              <w:ind w:left="120" w:right="8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Educational intervention</w:t>
            </w:r>
          </w:p>
        </w:tc>
        <w:tc>
          <w:tcPr/>
          <w:p w:rsidR="00000000" w:rsidDel="00000000" w:rsidP="00000000" w:rsidRDefault="00000000" w:rsidRPr="00000000" w14:paraId="00000072">
            <w:pPr>
              <w:widowControl w:val="0"/>
              <w:spacing w:before="81" w:line="259"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Improved PGx knowledge/confidence</w:t>
            </w:r>
          </w:p>
        </w:tc>
      </w:tr>
      <w:tr>
        <w:trPr>
          <w:cantSplit w:val="0"/>
          <w:trHeight w:val="606" w:hRule="atLeast"/>
          <w:tblHeader w:val="0"/>
        </w:trPr>
        <w:tc>
          <w:tcPr/>
          <w:p w:rsidR="00000000" w:rsidDel="00000000" w:rsidP="00000000" w:rsidRDefault="00000000" w:rsidRPr="00000000" w14:paraId="00000073">
            <w:pPr>
              <w:widowControl w:val="0"/>
              <w:spacing w:before="79" w:line="261" w:lineRule="auto"/>
              <w:ind w:left="119" w:right="21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Van Heukelom et al. (2023)</w:t>
            </w:r>
          </w:p>
        </w:tc>
        <w:tc>
          <w:tcPr/>
          <w:p w:rsidR="00000000" w:rsidDel="00000000" w:rsidP="00000000" w:rsidRDefault="00000000" w:rsidRPr="00000000" w14:paraId="00000074">
            <w:pPr>
              <w:widowControl w:val="0"/>
              <w:spacing w:before="79" w:line="261" w:lineRule="auto"/>
              <w:ind w:left="121" w:right="56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Multi-state rural (Sanford)</w:t>
            </w:r>
          </w:p>
        </w:tc>
        <w:tc>
          <w:tcPr/>
          <w:p w:rsidR="00000000" w:rsidDel="00000000" w:rsidP="00000000" w:rsidRDefault="00000000" w:rsidRPr="00000000" w14:paraId="00000075">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Mixed adult patients</w:t>
            </w:r>
          </w:p>
        </w:tc>
        <w:tc>
          <w:tcPr/>
          <w:p w:rsidR="00000000" w:rsidDel="00000000" w:rsidP="00000000" w:rsidRDefault="00000000" w:rsidRPr="00000000" w14:paraId="00000076">
            <w:pPr>
              <w:widowControl w:val="0"/>
              <w:spacing w:before="79" w:line="261"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Descriptive implementation</w:t>
            </w:r>
          </w:p>
        </w:tc>
        <w:tc>
          <w:tcPr/>
          <w:p w:rsidR="00000000" w:rsidDel="00000000" w:rsidP="00000000" w:rsidRDefault="00000000" w:rsidRPr="00000000" w14:paraId="00000077">
            <w:pPr>
              <w:widowControl w:val="0"/>
              <w:spacing w:before="79" w:line="261" w:lineRule="auto"/>
              <w:ind w:left="120" w:right="2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Evolution of multi-state PGx clinic</w:t>
            </w:r>
          </w:p>
        </w:tc>
      </w:tr>
      <w:tr>
        <w:trPr>
          <w:cantSplit w:val="0"/>
          <w:trHeight w:val="609" w:hRule="atLeast"/>
          <w:tblHeader w:val="0"/>
        </w:trPr>
        <w:tc>
          <w:tcPr/>
          <w:p w:rsidR="00000000" w:rsidDel="00000000" w:rsidP="00000000" w:rsidRDefault="00000000" w:rsidRPr="00000000" w14:paraId="00000078">
            <w:pPr>
              <w:widowControl w:val="0"/>
              <w:spacing w:before="81"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Claw et al. (2024)</w:t>
            </w:r>
          </w:p>
        </w:tc>
        <w:tc>
          <w:tcPr/>
          <w:p w:rsidR="00000000" w:rsidDel="00000000" w:rsidP="00000000" w:rsidRDefault="00000000" w:rsidRPr="00000000" w14:paraId="00000079">
            <w:pPr>
              <w:widowControl w:val="0"/>
              <w:spacing w:before="81" w:line="259" w:lineRule="auto"/>
              <w:ind w:left="121" w:right="7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Indigenous communities</w:t>
            </w:r>
          </w:p>
        </w:tc>
        <w:tc>
          <w:tcPr/>
          <w:p w:rsidR="00000000" w:rsidDel="00000000" w:rsidP="00000000" w:rsidRDefault="00000000" w:rsidRPr="00000000" w14:paraId="0000007A">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Tribal members</w:t>
            </w:r>
          </w:p>
        </w:tc>
        <w:tc>
          <w:tcPr/>
          <w:p w:rsidR="00000000" w:rsidDel="00000000" w:rsidP="00000000" w:rsidRDefault="00000000" w:rsidRPr="00000000" w14:paraId="0000007B">
            <w:pPr>
              <w:widowControl w:val="0"/>
              <w:spacing w:before="81"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Community-engaged</w:t>
            </w:r>
          </w:p>
        </w:tc>
        <w:tc>
          <w:tcPr/>
          <w:p w:rsidR="00000000" w:rsidDel="00000000" w:rsidP="00000000" w:rsidRDefault="00000000" w:rsidRPr="00000000" w14:paraId="0000007C">
            <w:pPr>
              <w:widowControl w:val="0"/>
              <w:spacing w:before="81" w:line="259" w:lineRule="auto"/>
              <w:ind w:left="120" w:right="3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Ethical frameworks for Indigenous PGx</w:t>
            </w:r>
          </w:p>
        </w:tc>
      </w:tr>
      <w:tr>
        <w:trPr>
          <w:cantSplit w:val="0"/>
          <w:trHeight w:val="609" w:hRule="atLeast"/>
          <w:tblHeader w:val="0"/>
        </w:trPr>
        <w:tc>
          <w:tcPr>
            <w:tcBorders>
              <w:top w:color="999999" w:space="0" w:sz="4" w:val="single"/>
              <w:bottom w:color="999999" w:space="0" w:sz="4" w:val="single"/>
              <w:right w:color="999999" w:space="0" w:sz="4" w:val="single"/>
            </w:tcBorders>
          </w:tcPr>
          <w:p w:rsidR="00000000" w:rsidDel="00000000" w:rsidP="00000000" w:rsidRDefault="00000000" w:rsidRPr="00000000" w14:paraId="0000007D">
            <w:pPr>
              <w:widowControl w:val="0"/>
              <w:spacing w:before="79" w:line="259"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Bosic-Reiniger et al. (2024) </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E">
            <w:pPr>
              <w:widowControl w:val="0"/>
              <w:spacing w:before="79" w:line="259" w:lineRule="auto"/>
              <w:ind w:left="121" w:right="145"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Resource-limited (CO/MT)</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7F">
            <w:pPr>
              <w:widowControl w:val="0"/>
              <w:spacing w:before="79" w:line="259" w:lineRule="auto"/>
              <w:ind w:left="121" w:right="55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Clinicians, informatics staff</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0">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Qualitative (CFIR)</w:t>
            </w:r>
          </w:p>
        </w:tc>
        <w:tc>
          <w:tcPr>
            <w:tcBorders>
              <w:top w:color="999999" w:space="0" w:sz="4" w:val="single"/>
              <w:left w:color="999999" w:space="0" w:sz="4" w:val="single"/>
              <w:bottom w:color="999999" w:space="0" w:sz="4" w:val="single"/>
            </w:tcBorders>
          </w:tcPr>
          <w:p w:rsidR="00000000" w:rsidDel="00000000" w:rsidP="00000000" w:rsidRDefault="00000000" w:rsidRPr="00000000" w14:paraId="00000081">
            <w:pPr>
              <w:widowControl w:val="0"/>
              <w:spacing w:before="79" w:line="259"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Informatics barriers to PGx in rural</w:t>
            </w:r>
          </w:p>
        </w:tc>
      </w:tr>
      <w:tr>
        <w:trPr>
          <w:cantSplit w:val="0"/>
          <w:trHeight w:val="609" w:hRule="atLeast"/>
          <w:tblHeader w:val="0"/>
        </w:trPr>
        <w:tc>
          <w:tcPr>
            <w:tcBorders>
              <w:top w:color="999999" w:space="0" w:sz="4" w:val="single"/>
              <w:bottom w:color="999999" w:space="0" w:sz="4" w:val="single"/>
              <w:right w:color="999999" w:space="0" w:sz="4" w:val="single"/>
            </w:tcBorders>
          </w:tcPr>
          <w:p w:rsidR="00000000" w:rsidDel="00000000" w:rsidP="00000000" w:rsidRDefault="00000000" w:rsidRPr="00000000" w14:paraId="00000082">
            <w:pPr>
              <w:widowControl w:val="0"/>
              <w:spacing w:before="81"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Petry et al. (2024)</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3">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Rural (Sanford)</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4">
            <w:pPr>
              <w:widowControl w:val="0"/>
              <w:spacing w:before="81"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Antidepressant users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5">
            <w:pPr>
              <w:widowControl w:val="0"/>
              <w:spacing w:before="81"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Clinical outcomes</w:t>
            </w:r>
          </w:p>
        </w:tc>
        <w:tc>
          <w:tcPr>
            <w:tcBorders>
              <w:top w:color="999999" w:space="0" w:sz="4" w:val="single"/>
              <w:left w:color="999999" w:space="0" w:sz="4" w:val="single"/>
              <w:bottom w:color="999999" w:space="0" w:sz="4" w:val="single"/>
            </w:tcBorders>
          </w:tcPr>
          <w:p w:rsidR="00000000" w:rsidDel="00000000" w:rsidP="00000000" w:rsidRDefault="00000000" w:rsidRPr="00000000" w14:paraId="00000086">
            <w:pPr>
              <w:widowControl w:val="0"/>
              <w:spacing w:before="81"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CYP2C19/CYP2D6</w:t>
            </w:r>
          </w:p>
          <w:p w:rsidR="00000000" w:rsidDel="00000000" w:rsidP="00000000" w:rsidRDefault="00000000" w:rsidRPr="00000000" w14:paraId="00000087">
            <w:pPr>
              <w:widowControl w:val="0"/>
              <w:spacing w:before="16" w:line="261" w:lineRule="auto"/>
              <w:ind w:left="120" w:right="36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impact on antidepressant care</w:t>
            </w:r>
          </w:p>
        </w:tc>
      </w:tr>
      <w:tr>
        <w:trPr>
          <w:cantSplit w:val="0"/>
          <w:trHeight w:val="609" w:hRule="atLeast"/>
          <w:tblHeader w:val="0"/>
        </w:trPr>
        <w:tc>
          <w:tcPr>
            <w:tcBorders>
              <w:top w:color="999999" w:space="0" w:sz="4" w:val="single"/>
              <w:bottom w:color="999999" w:space="0" w:sz="4" w:val="single"/>
              <w:right w:color="999999" w:space="0" w:sz="4" w:val="single"/>
            </w:tcBorders>
          </w:tcPr>
          <w:p w:rsidR="00000000" w:rsidDel="00000000" w:rsidP="00000000" w:rsidRDefault="00000000" w:rsidRPr="00000000" w14:paraId="00000088">
            <w:pPr>
              <w:widowControl w:val="0"/>
              <w:spacing w:before="81" w:line="259" w:lineRule="auto"/>
              <w:ind w:left="119" w:right="55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Alghamdi et al. (2025)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9">
            <w:pPr>
              <w:widowControl w:val="0"/>
              <w:spacing w:before="81" w:line="259" w:lineRule="auto"/>
              <w:ind w:left="121" w:right="46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Underserved IBH clinic (TX)</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A">
            <w:pPr>
              <w:widowControl w:val="0"/>
              <w:spacing w:before="81" w:line="259" w:lineRule="auto"/>
              <w:ind w:left="121" w:right="464"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Behavioral health patients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B">
            <w:pPr>
              <w:widowControl w:val="0"/>
              <w:spacing w:before="81"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Feasibility</w:t>
            </w:r>
          </w:p>
        </w:tc>
        <w:tc>
          <w:tcPr>
            <w:tcBorders>
              <w:top w:color="999999" w:space="0" w:sz="4" w:val="single"/>
              <w:left w:color="999999" w:space="0" w:sz="4" w:val="single"/>
              <w:bottom w:color="999999" w:space="0" w:sz="4" w:val="single"/>
            </w:tcBorders>
          </w:tcPr>
          <w:p w:rsidR="00000000" w:rsidDel="00000000" w:rsidP="00000000" w:rsidRDefault="00000000" w:rsidRPr="00000000" w14:paraId="0000008C">
            <w:pPr>
              <w:widowControl w:val="0"/>
              <w:spacing w:before="81" w:line="259" w:lineRule="auto"/>
              <w:ind w:left="120" w:righ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Multidisciplinary PGx service feasible</w:t>
            </w:r>
          </w:p>
        </w:tc>
      </w:tr>
      <w:tr>
        <w:trPr>
          <w:cantSplit w:val="0"/>
          <w:trHeight w:val="609" w:hRule="atLeast"/>
          <w:tblHeader w:val="0"/>
        </w:trPr>
        <w:tc>
          <w:tcPr>
            <w:tcBorders>
              <w:top w:color="999999" w:space="0" w:sz="4" w:val="single"/>
              <w:bottom w:color="999999" w:space="0" w:sz="4" w:val="single"/>
              <w:right w:color="999999" w:space="0" w:sz="4" w:val="single"/>
            </w:tcBorders>
          </w:tcPr>
          <w:p w:rsidR="00000000" w:rsidDel="00000000" w:rsidP="00000000" w:rsidRDefault="00000000" w:rsidRPr="00000000" w14:paraId="0000008D">
            <w:pPr>
              <w:widowControl w:val="0"/>
              <w:spacing w:before="79" w:line="261" w:lineRule="auto"/>
              <w:ind w:left="119" w:right="61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Silver et al. (2025)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E">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Rural Ontario</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8F">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General population</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0">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Model proposal</w:t>
            </w:r>
          </w:p>
        </w:tc>
        <w:tc>
          <w:tcPr>
            <w:tcBorders>
              <w:top w:color="999999" w:space="0" w:sz="4" w:val="single"/>
              <w:left w:color="999999" w:space="0" w:sz="4" w:val="single"/>
              <w:bottom w:color="999999" w:space="0" w:sz="4" w:val="single"/>
            </w:tcBorders>
          </w:tcPr>
          <w:p w:rsidR="00000000" w:rsidDel="00000000" w:rsidP="00000000" w:rsidRDefault="00000000" w:rsidRPr="00000000" w14:paraId="00000091">
            <w:pPr>
              <w:widowControl w:val="0"/>
              <w:spacing w:before="79" w:line="261"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Outreach-focused integration model</w:t>
            </w:r>
          </w:p>
        </w:tc>
      </w:tr>
      <w:tr>
        <w:trPr>
          <w:cantSplit w:val="0"/>
          <w:trHeight w:val="609" w:hRule="atLeast"/>
          <w:tblHeader w:val="0"/>
        </w:trPr>
        <w:tc>
          <w:tcPr>
            <w:tcBorders>
              <w:top w:color="999999" w:space="0" w:sz="4" w:val="single"/>
              <w:bottom w:color="999999" w:space="0" w:sz="4" w:val="single"/>
              <w:right w:color="999999" w:space="0" w:sz="4" w:val="single"/>
            </w:tcBorders>
          </w:tcPr>
          <w:p w:rsidR="00000000" w:rsidDel="00000000" w:rsidP="00000000" w:rsidRDefault="00000000" w:rsidRPr="00000000" w14:paraId="00000092">
            <w:pPr>
              <w:widowControl w:val="0"/>
              <w:spacing w:before="79"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Gawronski et al. (2025)</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3">
            <w:pPr>
              <w:widowControl w:val="0"/>
              <w:spacing w:before="79" w:line="261" w:lineRule="auto"/>
              <w:ind w:left="121" w:right="687"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Medically underserved (multiple)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4">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MUPs broadly</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095">
            <w:pPr>
              <w:widowControl w:val="0"/>
              <w:spacing w:before="79" w:line="240" w:lineRule="auto"/>
              <w:ind w:left="12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Narrative review</w:t>
            </w:r>
          </w:p>
        </w:tc>
        <w:tc>
          <w:tcPr>
            <w:tcBorders>
              <w:top w:color="999999" w:space="0" w:sz="4" w:val="single"/>
              <w:left w:color="999999" w:space="0" w:sz="4" w:val="single"/>
              <w:bottom w:color="999999" w:space="0" w:sz="4" w:val="single"/>
            </w:tcBorders>
          </w:tcPr>
          <w:p w:rsidR="00000000" w:rsidDel="00000000" w:rsidP="00000000" w:rsidRDefault="00000000" w:rsidRPr="00000000" w14:paraId="00000096">
            <w:pPr>
              <w:widowControl w:val="0"/>
              <w:spacing w:before="79" w:line="261" w:lineRule="auto"/>
              <w:ind w:left="120" w:right="49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Synthesis of underserved PGx literature</w:t>
            </w:r>
          </w:p>
        </w:tc>
      </w:tr>
      <w:tr>
        <w:trPr>
          <w:cantSplit w:val="0"/>
          <w:trHeight w:val="609" w:hRule="atLeast"/>
          <w:tblHeader w:val="0"/>
        </w:trPr>
        <w:tc>
          <w:tcPr>
            <w:tcBorders>
              <w:top w:color="999999" w:space="0" w:sz="4" w:val="single"/>
              <w:right w:color="999999" w:space="0" w:sz="4" w:val="single"/>
            </w:tcBorders>
          </w:tcPr>
          <w:p w:rsidR="00000000" w:rsidDel="00000000" w:rsidP="00000000" w:rsidRDefault="00000000" w:rsidRPr="00000000" w14:paraId="00000097">
            <w:pPr>
              <w:widowControl w:val="0"/>
              <w:spacing w:before="79" w:line="240" w:lineRule="auto"/>
              <w:ind w:left="11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Mohamed et al. (2026) </w:t>
            </w:r>
          </w:p>
        </w:tc>
        <w:tc>
          <w:tcPr>
            <w:tcBorders>
              <w:top w:color="999999" w:space="0" w:sz="4" w:val="single"/>
              <w:left w:color="999999" w:space="0" w:sz="4" w:val="single"/>
              <w:right w:color="999999" w:space="0" w:sz="4" w:val="single"/>
            </w:tcBorders>
          </w:tcPr>
          <w:p w:rsidR="00000000" w:rsidDel="00000000" w:rsidP="00000000" w:rsidRDefault="00000000" w:rsidRPr="00000000" w14:paraId="00000098">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Rural/underserved</w:t>
            </w:r>
          </w:p>
        </w:tc>
        <w:tc>
          <w:tcPr>
            <w:tcBorders>
              <w:top w:color="999999" w:space="0" w:sz="4" w:val="single"/>
              <w:left w:color="999999" w:space="0" w:sz="4" w:val="single"/>
              <w:right w:color="999999" w:space="0" w:sz="4" w:val="single"/>
            </w:tcBorders>
          </w:tcPr>
          <w:p w:rsidR="00000000" w:rsidDel="00000000" w:rsidP="00000000" w:rsidRDefault="00000000" w:rsidRPr="00000000" w14:paraId="00000099">
            <w:pPr>
              <w:widowControl w:val="0"/>
              <w:spacing w:before="79" w:line="240" w:lineRule="auto"/>
              <w:ind w:left="12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Working pharmacists</w:t>
            </w:r>
          </w:p>
        </w:tc>
        <w:tc>
          <w:tcPr>
            <w:tcBorders>
              <w:top w:color="999999" w:space="0" w:sz="4" w:val="single"/>
              <w:left w:color="999999" w:space="0" w:sz="4" w:val="single"/>
              <w:right w:color="999999" w:space="0" w:sz="4" w:val="single"/>
            </w:tcBorders>
          </w:tcPr>
          <w:p w:rsidR="00000000" w:rsidDel="00000000" w:rsidP="00000000" w:rsidRDefault="00000000" w:rsidRPr="00000000" w14:paraId="0000009A">
            <w:pPr>
              <w:widowControl w:val="0"/>
              <w:spacing w:before="79" w:line="259" w:lineRule="auto"/>
              <w:ind w:left="120" w:right="8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Educational intervention</w:t>
            </w:r>
          </w:p>
        </w:tc>
        <w:tc>
          <w:tcPr>
            <w:tcBorders>
              <w:top w:color="999999" w:space="0" w:sz="4" w:val="single"/>
              <w:left w:color="999999" w:space="0" w:sz="4" w:val="single"/>
            </w:tcBorders>
          </w:tcPr>
          <w:p w:rsidR="00000000" w:rsidDel="00000000" w:rsidP="00000000" w:rsidRDefault="00000000" w:rsidRPr="00000000" w14:paraId="0000009B">
            <w:pPr>
              <w:widowControl w:val="0"/>
              <w:spacing w:before="79" w:line="259" w:lineRule="auto"/>
              <w:ind w:left="120" w:right="11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PGx knowledge gains in rural workforce</w:t>
            </w:r>
          </w:p>
        </w:tc>
      </w:tr>
    </w:tbl>
    <w:p w:rsidR="00000000" w:rsidDel="00000000" w:rsidP="00000000" w:rsidRDefault="00000000" w:rsidRPr="00000000" w14:paraId="0000009C">
      <w:pPr>
        <w:widowControl w:val="0"/>
        <w:spacing w:before="79" w:line="259" w:lineRule="auto"/>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Thematic Clusters</w:t>
      </w:r>
    </w:p>
    <w:p w:rsidR="00000000" w:rsidDel="00000000" w:rsidP="00000000" w:rsidRDefault="00000000" w:rsidRPr="00000000" w14:paraId="0000009E">
      <w:pPr>
        <w:widowControl w:val="0"/>
        <w:spacing w:before="180" w:line="360" w:lineRule="auto"/>
        <w:ind w:right="3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18 included studies fell into five overlapping thematic clusters, each representing a distinct approach to rural and underserved PGx implementation.</w:t>
      </w:r>
    </w:p>
    <w:p w:rsidR="00000000" w:rsidDel="00000000" w:rsidP="00000000" w:rsidRDefault="00000000" w:rsidRPr="00000000" w14:paraId="0000009F">
      <w:pPr>
        <w:widowControl w:val="0"/>
        <w:spacing w:before="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Style w:val="Heading2"/>
        <w:keepNext w:val="0"/>
        <w:keepLines w:val="0"/>
        <w:widowControl w:val="0"/>
        <w:tabs>
          <w:tab w:val="left" w:leader="none" w:pos="54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3.2.1 Workforce Education Programs</w:t>
      </w:r>
    </w:p>
    <w:p w:rsidR="00000000" w:rsidDel="00000000" w:rsidP="00000000" w:rsidRDefault="00000000" w:rsidRPr="00000000" w14:paraId="000000A1">
      <w:pPr>
        <w:widowControl w:val="0"/>
        <w:spacing w:before="183" w:line="360" w:lineRule="auto"/>
        <w:ind w:right="3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studies described formal educational programs aimed at building PGx competency among healthcare workers in rural and underserved settings (Brown et al., 2022; Dorfman et al., 2015; Mohamed et al., 2026). Brown et al. (2022) developed and evaluated a PGx training program for pharmacists in rural Minnesota, demonstrating significant improvements in knowledge scores and self-reported confidence following the intervention. A 2026 follow-up expansion program similarly reported high impact on PGx knowledge among pharmacists in rural and underserved practice settings, with increased likelihood of implementation after training (Mohamed et al., 2026). These programs addressed a foundational barrier: the knowledge gap that prevents rural providers from ordering, interpreting, or acting on PGx results. However, educational outcomes do not directly measure patient-level clinical benefit.</w:t>
      </w:r>
    </w:p>
    <w:p w:rsidR="00000000" w:rsidDel="00000000" w:rsidP="00000000" w:rsidRDefault="00000000" w:rsidRPr="00000000" w14:paraId="000000A2">
      <w:pPr>
        <w:widowControl w:val="0"/>
        <w:spacing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keepNext w:val="0"/>
        <w:keepLines w:val="0"/>
        <w:widowControl w:val="0"/>
        <w:tabs>
          <w:tab w:val="left" w:leader="none" w:pos="540"/>
        </w:tabs>
        <w:spacing w:after="0" w:before="0" w:line="240" w:lineRule="auto"/>
        <w:jc w:val="both"/>
        <w:rPr>
          <w:rFonts w:ascii="Times New Roman" w:cs="Times New Roman" w:eastAsia="Times New Roman" w:hAnsi="Times New Roman"/>
          <w:b w:val="1"/>
          <w:bCs w:val="1"/>
          <w:sz w:val="24"/>
          <w:szCs w:val="24"/>
        </w:rPr>
      </w:pPr>
      <w:bookmarkStart w:colFirst="0" w:colLast="0" w:name="_heading=h.41axb8vinuwf" w:id="9"/>
      <w:bookmarkEnd w:id="9"/>
      <w:r w:rsidDel="00000000" w:rsidR="00000000" w:rsidRPr="00000000">
        <w:rPr>
          <w:rFonts w:ascii="Times New Roman" w:cs="Times New Roman" w:eastAsia="Times New Roman" w:hAnsi="Times New Roman"/>
          <w:b w:val="1"/>
          <w:bCs w:val="1"/>
          <w:sz w:val="24"/>
          <w:szCs w:val="24"/>
          <w:rtl w:val="0"/>
        </w:rPr>
        <w:t xml:space="preserve">3.2.2 Pharmacist-Led Clinical Service Models</w:t>
      </w:r>
    </w:p>
    <w:p w:rsidR="00000000" w:rsidDel="00000000" w:rsidP="00000000" w:rsidRDefault="00000000" w:rsidRPr="00000000" w14:paraId="000000A4">
      <w:pPr>
        <w:widowControl w:val="0"/>
        <w:spacing w:before="182"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studies described pharmacist-led PGx clinical services operating in rural or underserved settings including Van Heukelom et al. (2023) and Natasha Petry et al. (2019) studies. The Sanford Imagenetics program, operating across a multi-state rural health system in the upper Midwest, represents the largest-scale example, with descriptive reporting of clinical workflow, EHR integration, and patient volume (Van Heukelom et al., 2023). A 2024 outcomes analysis from Sanford reported the impact of CYP2C19 and CYP2D6 genotyping on antidepressant use in this rural population, one of the few included studies to report quantitative clinical outcomes (Petry et al., 2024). Alghamdi et al. (2025) study demonstrated feasibility of a multidisciplinary PGx service within an underserved integrated behavioral health clinic in Texas. Martin et al. (2022) reported patient perspectives on a pharmacist-provided clinical pharmacogenomics service in Colorado. These studies collectively establish that pharmacist-led models are feasible across diverse institutional settings.</w:t>
      </w:r>
    </w:p>
    <w:p w:rsidR="00000000" w:rsidDel="00000000" w:rsidP="00000000" w:rsidRDefault="00000000" w:rsidRPr="00000000" w14:paraId="000000A5">
      <w:pPr>
        <w:widowControl w:val="0"/>
        <w:spacing w:before="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Style w:val="Heading2"/>
        <w:keepNext w:val="0"/>
        <w:keepLines w:val="0"/>
        <w:widowControl w:val="0"/>
        <w:tabs>
          <w:tab w:val="left" w:leader="none" w:pos="54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3.2.3 Community-Engaged Implementation with Indigenous and Tribal Populations</w:t>
      </w:r>
    </w:p>
    <w:p w:rsidR="00000000" w:rsidDel="00000000" w:rsidP="00000000" w:rsidRDefault="00000000" w:rsidRPr="00000000" w14:paraId="000000A7">
      <w:pPr>
        <w:widowControl w:val="0"/>
        <w:spacing w:before="181" w:line="360" w:lineRule="auto"/>
        <w:ind w:right="35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studies addressed PGx implementation in Indigenous and tribal communities (Morales et al., 2016; Frigon et al., 2019; Frigon et al., 2019; Claw et al., 2024). Woodahl and colleagues at the University of Montana, in partnership with the Confederated Salish and Kootenai Tribes, have developed community-engaged research approaches grounded in tribal sovereignty and participatory principles (Morales et al., 2016; Fohner et al., 2019; Claw et al., 2024). A 2024 Nature Communications publication articulated a framework for implementing community-engaged pharmacogenomics in Indigenous communities, emphasizing the ethical and methodological considerations required (Claw et al., 2024). This cluster highlights a critical dimension of rural PGx implementation: meaningful engagement with communities historically excluded from genomic research requires more than geographic access; it requires relationship-based partnership and respect for community data sovereignty.</w:t>
      </w:r>
    </w:p>
    <w:p w:rsidR="00000000" w:rsidDel="00000000" w:rsidP="00000000" w:rsidRDefault="00000000" w:rsidRPr="00000000" w14:paraId="000000A8">
      <w:pPr>
        <w:widowControl w:val="0"/>
        <w:spacing w:before="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Style w:val="Heading2"/>
        <w:keepNext w:val="0"/>
        <w:keepLines w:val="0"/>
        <w:widowControl w:val="0"/>
        <w:tabs>
          <w:tab w:val="left" w:leader="none" w:pos="54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3.2.4 Federally Qualified Health Center and Primary Care Pilots</w:t>
      </w:r>
    </w:p>
    <w:p w:rsidR="00000000" w:rsidDel="00000000" w:rsidP="00000000" w:rsidRDefault="00000000" w:rsidRPr="00000000" w14:paraId="000000AA">
      <w:pPr>
        <w:widowControl w:val="0"/>
        <w:spacing w:before="180" w:line="360" w:lineRule="auto"/>
        <w:ind w:right="3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studies addressed PGx implementation in FQHCs or rural primary care (Dressler et al., 2019; Shugg et al., 2024; Gawronski et al., 2025). Dressler et al. conducted a pilot feasibility study in rural primary care practices in North Carolina, reporting that 30% of tested patients had polymorphisms relevant to their current medications (Dressler et al., 2019). A feasibility study in an FQHC affiliated with an academic medical center in Chicago demonstrated that participatory genomic testing and classroom education could effectively disseminate PGx concepts to providers and community members (Shugg et al., 2024). In Gawronski et al. (2025) narrative review the broader medically underserved PGx literature was synthesized, which includes overlap with the rural focus but extends to urban underserved populations.</w:t>
      </w:r>
    </w:p>
    <w:p w:rsidR="00000000" w:rsidDel="00000000" w:rsidP="00000000" w:rsidRDefault="00000000" w:rsidRPr="00000000" w14:paraId="000000AB">
      <w:pPr>
        <w:widowControl w:val="0"/>
        <w:spacing w:before="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Style w:val="Heading2"/>
        <w:keepNext w:val="0"/>
        <w:keepLines w:val="0"/>
        <w:widowControl w:val="0"/>
        <w:tabs>
          <w:tab w:val="left" w:leader="none" w:pos="540"/>
        </w:tabs>
        <w:spacing w:after="0" w:before="0" w:line="240" w:lineRule="auto"/>
        <w:jc w:val="both"/>
        <w:rPr>
          <w:rFonts w:ascii="Times New Roman" w:cs="Times New Roman" w:eastAsia="Times New Roman" w:hAnsi="Times New Roman"/>
          <w:b w:val="1"/>
          <w:bCs w:val="1"/>
          <w:sz w:val="24"/>
          <w:szCs w:val="24"/>
        </w:rPr>
      </w:pPr>
      <w:bookmarkStart w:colFirst="0" w:colLast="0" w:name="_heading=h.1ek3l41qx43a" w:id="10"/>
      <w:bookmarkEnd w:id="10"/>
      <w:r w:rsidDel="00000000" w:rsidR="00000000" w:rsidRPr="00000000">
        <w:rPr>
          <w:rFonts w:ascii="Times New Roman" w:cs="Times New Roman" w:eastAsia="Times New Roman" w:hAnsi="Times New Roman"/>
          <w:b w:val="1"/>
          <w:bCs w:val="1"/>
          <w:sz w:val="24"/>
          <w:szCs w:val="24"/>
          <w:rtl w:val="0"/>
        </w:rPr>
        <w:t xml:space="preserve">3.2.5 Informatics Infrastructure Assessments</w:t>
      </w:r>
    </w:p>
    <w:p w:rsidR="00000000" w:rsidDel="00000000" w:rsidP="00000000" w:rsidRDefault="00000000" w:rsidRPr="00000000" w14:paraId="000000AD">
      <w:pPr>
        <w:widowControl w:val="0"/>
        <w:spacing w:before="183" w:line="360" w:lineRule="auto"/>
        <w:ind w:right="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studies assessed the informatics infrastructure available to support PGx implementation in rural and resource-limited settings (Bosic-Reiniger et al., 2024; Fohner et al., 2019).  Bosic-Reiniger et al., using the Consolidated Framework for Implementation Research (CFIR), conducted qualitative interviews with clinicians and informatics personnel across resource-limited institutions in Colorado and Montana, identifying specific barriers in EHR infrastructure, PGx clinical decision support tools, and institutional resources. This work is particularly important because it quantifies a dimension of the implementation challenge that is often assumed but rarely measured.</w:t>
      </w:r>
    </w:p>
    <w:p w:rsidR="00000000" w:rsidDel="00000000" w:rsidP="00000000" w:rsidRDefault="00000000" w:rsidRPr="00000000" w14:paraId="000000AE">
      <w:pPr>
        <w:widowControl w:val="0"/>
        <w:spacing w:before="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Implementation Strategies</w:t>
      </w:r>
    </w:p>
    <w:p w:rsidR="00000000" w:rsidDel="00000000" w:rsidP="00000000" w:rsidRDefault="00000000" w:rsidRPr="00000000" w14:paraId="000000B0">
      <w:pPr>
        <w:widowControl w:val="0"/>
        <w:spacing w:before="180" w:line="360" w:lineRule="auto"/>
        <w:ind w:right="3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the 18 studies, several implementation strategies were identified. Telehealth-based pharmacist consultation appeared in multiple studies as a cross-cutting strategy for reaching geographically distant patients (Van Heukelom et al., 2023; Leitch et al., 2022; Morales et al., 2016). On-site clinical pharmacist services, EHR-integrated clinical decision support, mail-in or in-clinic specimen collection, and community-engaged educational programming were each represented. Notably, no included study described a mobile health clinic model for specimen collection, although one study proposed (and assigned low feasibility to) such a model in rural Ontario (Silver et al., 2025). No included study explicitly tiered or stratified implementation strategy by institutional infrastructure capacity; each program was designed for its specific institutional context.</w:t>
      </w:r>
    </w:p>
    <w:p w:rsidR="00000000" w:rsidDel="00000000" w:rsidP="00000000" w:rsidRDefault="00000000" w:rsidRPr="00000000" w14:paraId="000000B1">
      <w:pPr>
        <w:widowControl w:val="0"/>
        <w:spacing w:before="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3.4 Therapeutic Areas and Gene-Drug Pairs</w:t>
      </w:r>
    </w:p>
    <w:p w:rsidR="00000000" w:rsidDel="00000000" w:rsidP="00000000" w:rsidRDefault="00000000" w:rsidRPr="00000000" w14:paraId="000000B3">
      <w:pPr>
        <w:widowControl w:val="0"/>
        <w:spacing w:before="180"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therapeutic focus of the included studies was heavily weighted toward psychiatric medications (antidepressants, selective serotonin reuptake inhibitors, tricyclic antidepressants) and cardiovascular medications (clopidogrel, warfarin). Analgesic applications (codeine, nonsteroidal anti-inflammatory drugs) appeared in several studies. Oncology-specific applications were notably absent from the rural and underserved implementation literature; although oncology gene-drug pairs (DPYD, UGT1A1, TPMT, NUDT15) have robust CPIC guidelines, no included study focused specifically on their implementation in rural or community hospital cancer care.</w:t>
      </w:r>
    </w:p>
    <w:p w:rsidR="00000000" w:rsidDel="00000000" w:rsidP="00000000" w:rsidRDefault="00000000" w:rsidRPr="00000000" w14:paraId="000000B4">
      <w:pPr>
        <w:widowControl w:val="0"/>
        <w:spacing w:before="4"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bookmarkStart w:colFirst="0" w:colLast="0" w:name="_heading=h.16aez6y4bono" w:id="11"/>
      <w:bookmarkEnd w:id="11"/>
      <w:r w:rsidDel="00000000" w:rsidR="00000000" w:rsidRPr="00000000">
        <w:rPr>
          <w:rFonts w:ascii="Times New Roman" w:cs="Times New Roman" w:eastAsia="Times New Roman" w:hAnsi="Times New Roman"/>
          <w:b w:val="1"/>
          <w:bCs w:val="1"/>
          <w:sz w:val="24"/>
          <w:szCs w:val="24"/>
          <w:rtl w:val="0"/>
        </w:rPr>
        <w:t xml:space="preserve">3.5 Outcomes Reported</w:t>
      </w:r>
    </w:p>
    <w:p w:rsidR="00000000" w:rsidDel="00000000" w:rsidP="00000000" w:rsidRDefault="00000000" w:rsidRPr="00000000" w14:paraId="000000B6">
      <w:pPr>
        <w:widowControl w:val="0"/>
        <w:spacing w:before="180"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Outcomes reported across the included studies were predominantly process and perception measures rather than patient-level clinical outcomes. Frequently reported outcomes included: pharmacist or provider knowledge scores before and after education (5 studies); qualitative themes from interviews with patients, providers, or community members (6 studies); feasibility metrics such as patient enrollment, test completion, and result return (5 studies); and descriptive clinical service metrics such as number of patients served or consults performed (4 studies).</w:t>
      </w:r>
    </w:p>
    <w:p w:rsidR="00000000" w:rsidDel="00000000" w:rsidP="00000000" w:rsidRDefault="00000000" w:rsidRPr="00000000" w14:paraId="000000B7">
      <w:pPr>
        <w:widowControl w:val="0"/>
        <w:spacing w:before="199"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Clinical outcomes directly attributable to PGx-guided prescribing, such as adverse drug reaction rates, hospitalization rates, medication adherence, or treatment response, were reported in only two of the 18 included studies (Dressler et al., 2019; Petry et al., 2024). Cost-effectiveness or economic outcomes specific to rural or underserved implementation were not reported in any included study. This represents a substantial evidence gap.</w:t>
      </w:r>
    </w:p>
    <w:p w:rsidR="00000000" w:rsidDel="00000000" w:rsidP="00000000" w:rsidRDefault="00000000" w:rsidRPr="00000000" w14:paraId="000000B8">
      <w:pPr>
        <w:widowControl w:val="0"/>
        <w:spacing w:before="199" w:line="360" w:lineRule="auto"/>
        <w:ind w:right="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Style w:val="Heading1"/>
        <w:keepNext w:val="0"/>
        <w:keepLines w:val="0"/>
        <w:widowControl w:val="0"/>
        <w:numPr>
          <w:ilvl w:val="0"/>
          <w:numId w:val="1"/>
        </w:numPr>
        <w:tabs>
          <w:tab w:val="left" w:leader="none" w:pos="279"/>
        </w:tabs>
        <w:spacing w:after="0" w:before="0" w:line="240" w:lineRule="auto"/>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Discussion</w:t>
      </w:r>
    </w:p>
    <w:p w:rsidR="00000000" w:rsidDel="00000000" w:rsidP="00000000" w:rsidRDefault="00000000" w:rsidRPr="00000000" w14:paraId="000000BA">
      <w:pPr>
        <w:pStyle w:val="Heading2"/>
        <w:keepNext w:val="0"/>
        <w:keepLines w:val="0"/>
        <w:widowControl w:val="0"/>
        <w:tabs>
          <w:tab w:val="left" w:leader="none" w:pos="360"/>
        </w:tabs>
        <w:spacing w:after="0" w:before="277"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 Summary of Key Findings</w:t>
      </w:r>
    </w:p>
    <w:p w:rsidR="00000000" w:rsidDel="00000000" w:rsidP="00000000" w:rsidRDefault="00000000" w:rsidRPr="00000000" w14:paraId="000000BB">
      <w:pPr>
        <w:widowControl w:val="0"/>
        <w:spacing w:before="183"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scoping review identified 18 studies describing PGx implementation in rural and medically underserved settings over the past decade. The literature is growing, geographically diverse, and methodologically heterogeneous. Workforce education, pharmacist-led clinical services, community-engaged implementation in Indigenous communities, FQHC pilots, and informatics infrastructure assessments each represent active areas of investigation. Telehealth has emerged as a cross-cutting implementation strategy, and pharmacists have been positioned as the clinical leads in most described programs.</w:t>
      </w:r>
    </w:p>
    <w:p w:rsidR="00000000" w:rsidDel="00000000" w:rsidP="00000000" w:rsidRDefault="00000000" w:rsidRPr="00000000" w14:paraId="000000BC">
      <w:pPr>
        <w:widowControl w:val="0"/>
        <w:spacing w:before="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bookmarkStart w:colFirst="0" w:colLast="0" w:name="_heading=h.jbup9bh3f06e" w:id="12"/>
      <w:bookmarkEnd w:id="12"/>
      <w:r w:rsidDel="00000000" w:rsidR="00000000" w:rsidRPr="00000000">
        <w:rPr>
          <w:rFonts w:ascii="Times New Roman" w:cs="Times New Roman" w:eastAsia="Times New Roman" w:hAnsi="Times New Roman"/>
          <w:b w:val="1"/>
          <w:bCs w:val="1"/>
          <w:sz w:val="24"/>
          <w:szCs w:val="24"/>
          <w:rtl w:val="0"/>
        </w:rPr>
        <w:t xml:space="preserve">4.2 Key Evidence Gaps</w:t>
      </w:r>
    </w:p>
    <w:p w:rsidR="00000000" w:rsidDel="00000000" w:rsidP="00000000" w:rsidRDefault="00000000" w:rsidRPr="00000000" w14:paraId="000000BE">
      <w:pPr>
        <w:widowControl w:val="0"/>
        <w:spacing w:before="182"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growth, the literature has important gaps.</w:t>
      </w:r>
    </w:p>
    <w:p w:rsidR="00000000" w:rsidDel="00000000" w:rsidP="00000000" w:rsidRDefault="00000000" w:rsidRPr="00000000" w14:paraId="000000BF">
      <w:pPr>
        <w:widowControl w:val="0"/>
        <w:spacing w:before="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widowControl w:val="0"/>
        <w:spacing w:line="360" w:lineRule="auto"/>
        <w:ind w:right="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Gap 1: Clinical and economic outcomes. </w:t>
      </w:r>
      <w:r w:rsidDel="00000000" w:rsidR="00000000" w:rsidRPr="00000000">
        <w:rPr>
          <w:rFonts w:ascii="Times New Roman" w:cs="Times New Roman" w:eastAsia="Times New Roman" w:hAnsi="Times New Roman"/>
          <w:sz w:val="24"/>
          <w:szCs w:val="24"/>
          <w:rtl w:val="0"/>
        </w:rPr>
        <w:t xml:space="preserve">Only two of the 18 studies reported patient-level clinical outcomes directly attributable to PGx-guided prescribing, and none reported cost-effectiveness specific to rural or underserved implementation. The field has established feasibility; it has not established clinical benefit at the population level. Future research should prioritize prospective outcomes studies with defined clinical endpoints (adverse drug reaction rates, hospitalizations, medication adherence, disease-specific outcomes) and economic analyses.</w:t>
      </w:r>
    </w:p>
    <w:p w:rsidR="00000000" w:rsidDel="00000000" w:rsidP="00000000" w:rsidRDefault="00000000" w:rsidRPr="00000000" w14:paraId="000000C1">
      <w:pPr>
        <w:widowControl w:val="0"/>
        <w:spacing w:before="203" w:line="360" w:lineRule="auto"/>
        <w:ind w:right="3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Gap 2: Oncology applications. </w:t>
      </w:r>
      <w:r w:rsidDel="00000000" w:rsidR="00000000" w:rsidRPr="00000000">
        <w:rPr>
          <w:rFonts w:ascii="Times New Roman" w:cs="Times New Roman" w:eastAsia="Times New Roman" w:hAnsi="Times New Roman"/>
          <w:sz w:val="24"/>
          <w:szCs w:val="24"/>
          <w:rtl w:val="0"/>
        </w:rPr>
        <w:t xml:space="preserve">Oncology-specific PGx implementation in rural and community hospital settings is notably absent from the literature. Given that fluoropyrimidines, irinotecan, and thiopurines have CPIC guidelines with among the strongest evidence in all of pharmacogenomics (Amstutz et al., 2018; Relling et al., 2019; Henricks et al., 2018), and that rural cancer patients receiving chemotherapy without PGx testing face preventable life-threatening toxicity, this gap has direct patient safety implications. Implementation research focused on oncology PGx in community settings is an urgent priority.</w:t>
      </w:r>
    </w:p>
    <w:p w:rsidR="00000000" w:rsidDel="00000000" w:rsidP="00000000" w:rsidRDefault="00000000" w:rsidRPr="00000000" w14:paraId="000000C2">
      <w:pPr>
        <w:widowControl w:val="0"/>
        <w:spacing w:before="203" w:line="360" w:lineRule="auto"/>
        <w:ind w:right="3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Gap 3: Infrastructure-tiered implementation frameworks. </w:t>
      </w:r>
      <w:r w:rsidDel="00000000" w:rsidR="00000000" w:rsidRPr="00000000">
        <w:rPr>
          <w:rFonts w:ascii="Times New Roman" w:cs="Times New Roman" w:eastAsia="Times New Roman" w:hAnsi="Times New Roman"/>
          <w:sz w:val="24"/>
          <w:szCs w:val="24"/>
          <w:rtl w:val="0"/>
        </w:rPr>
        <w:t xml:space="preserve">No included study explicitly matched implementation strategy to institutional infrastructure capacity. The rural healthcare landscape spans a wide range of institutional types, from critical access hospitals with no laboratory services to community hospitals with basic EHR capability to communities with no fixed healthcare facility. A single implementation model cannot serve all three. Frameworks that tier implementation strategy to institutional capacity remain to be developed and evaluated.</w:t>
      </w:r>
    </w:p>
    <w:p w:rsidR="00000000" w:rsidDel="00000000" w:rsidP="00000000" w:rsidRDefault="00000000" w:rsidRPr="00000000" w14:paraId="000000C3">
      <w:pPr>
        <w:widowControl w:val="0"/>
        <w:spacing w:before="200" w:line="360" w:lineRule="auto"/>
        <w:ind w:right="35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Gap 4: Communities without fixed healthcare access. </w:t>
      </w:r>
      <w:r w:rsidDel="00000000" w:rsidR="00000000" w:rsidRPr="00000000">
        <w:rPr>
          <w:rFonts w:ascii="Times New Roman" w:cs="Times New Roman" w:eastAsia="Times New Roman" w:hAnsi="Times New Roman"/>
          <w:sz w:val="24"/>
          <w:szCs w:val="24"/>
          <w:rtl w:val="0"/>
        </w:rPr>
        <w:t xml:space="preserve">The included studies overwhelmingly describe implementation within existing clinics and health systems. Communities without a fixed healthcare facility, relying on periodic outreach or traveling hours to the nearest clinic, are largely absent from the literature. Mobile health clinic models for PGx specimen collection were proposed in one study but assigned low feasibility without further development (Silver et al., 2025). Research evaluating mobile and outreach-based PGx delivery in truly underserved geographies represents a meaningful gap.</w:t>
      </w:r>
    </w:p>
    <w:p w:rsidR="00000000" w:rsidDel="00000000" w:rsidP="00000000" w:rsidRDefault="00000000" w:rsidRPr="00000000" w14:paraId="000000C4">
      <w:pPr>
        <w:widowControl w:val="0"/>
        <w:spacing w:before="201" w:line="360" w:lineRule="auto"/>
        <w:ind w:right="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Gap 5: Preemptive testing in community settings. </w:t>
      </w:r>
      <w:r w:rsidDel="00000000" w:rsidR="00000000" w:rsidRPr="00000000">
        <w:rPr>
          <w:rFonts w:ascii="Times New Roman" w:cs="Times New Roman" w:eastAsia="Times New Roman" w:hAnsi="Times New Roman"/>
          <w:sz w:val="24"/>
          <w:szCs w:val="24"/>
          <w:rtl w:val="0"/>
        </w:rPr>
        <w:t xml:space="preserve">Preemptive PGx testing, in which a panel of actionable genes is tested proactively rather than reactively, has been established in several academic centers (Dunnenberger et al., 2015; Luzum et al., 2017). Whether preemptive testing is feasible and beneficial in rural and community hospital settings, where the patient population may be more transient and the medication trajectory less predictable, has not been directly investigated.</w:t>
      </w:r>
    </w:p>
    <w:p w:rsidR="00000000" w:rsidDel="00000000" w:rsidP="00000000" w:rsidRDefault="00000000" w:rsidRPr="00000000" w14:paraId="000000C5">
      <w:pPr>
        <w:widowControl w:val="0"/>
        <w:spacing w:before="3"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Style w:val="Heading2"/>
        <w:keepNext w:val="0"/>
        <w:keepLines w:val="0"/>
        <w:widowControl w:val="0"/>
        <w:tabs>
          <w:tab w:val="left" w:leader="none" w:pos="360"/>
        </w:tabs>
        <w:spacing w:after="0" w:before="0" w:line="240" w:lineRule="auto"/>
        <w:jc w:val="both"/>
        <w:rPr>
          <w:rFonts w:ascii="Times New Roman" w:cs="Times New Roman" w:eastAsia="Times New Roman" w:hAnsi="Times New Roman"/>
          <w:b w:val="1"/>
          <w:bCs w:val="1"/>
          <w:sz w:val="24"/>
          <w:szCs w:val="24"/>
        </w:rPr>
      </w:pPr>
      <w:bookmarkStart w:colFirst="0" w:colLast="0" w:name="_heading=h.c9rzj9v8powy" w:id="13"/>
      <w:bookmarkEnd w:id="13"/>
      <w:r w:rsidDel="00000000" w:rsidR="00000000" w:rsidRPr="00000000">
        <w:rPr>
          <w:rFonts w:ascii="Times New Roman" w:cs="Times New Roman" w:eastAsia="Times New Roman" w:hAnsi="Times New Roman"/>
          <w:b w:val="1"/>
          <w:bCs w:val="1"/>
          <w:sz w:val="24"/>
          <w:szCs w:val="24"/>
          <w:rtl w:val="0"/>
        </w:rPr>
        <w:t xml:space="preserve">4.3 Implications for Practice and Policy</w:t>
      </w:r>
    </w:p>
    <w:p w:rsidR="00000000" w:rsidDel="00000000" w:rsidP="00000000" w:rsidRDefault="00000000" w:rsidRPr="00000000" w14:paraId="000000C7">
      <w:pPr>
        <w:widowControl w:val="0"/>
        <w:spacing w:before="181" w:line="360" w:lineRule="auto"/>
        <w:ind w:right="35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practical implications emerge from this review. First, the feasibility of PGx implementation in rural and underserved settings has been established sufficiently that future programs need not reinvent the case for implementation; they can build on documented models. Second, pharmacists are positioned as the natural implementation leads across diverse settings, consistent with their training in pharmacokinetics and drug metabolism and their accessibility in rural communities (Brown et al., 2022; Alghamdi et al., 2025; Martin et al., 2019). Third, telehealth infrastructure is not optional; it is integral to reaching geographically dispersed patients and providers. Fourth, community engagement is essential, not merely desirable, particularly when serving Indigenous, tribal, and historically marginalized populations (Fohner et al., 2019; Claw et al., 2024).</w:t>
      </w:r>
    </w:p>
    <w:p w:rsidR="00000000" w:rsidDel="00000000" w:rsidP="00000000" w:rsidRDefault="00000000" w:rsidRPr="00000000" w14:paraId="000000C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policy perspective, the concentration of PGx testing infrastructure in urban academic centers represents a geographic distribution that mirrors, and compounds, existing healthcare access disparities. Policy mechanisms to incentivize PGx implementation at critical access hospitals, FQHCs, and tribal health services, including coverage expansion, infrastructure grants, and workforce development funding, could address this distribution.</w:t>
      </w:r>
    </w:p>
    <w:p w:rsidR="00000000" w:rsidDel="00000000" w:rsidP="00000000" w:rsidRDefault="00000000" w:rsidRPr="00000000" w14:paraId="000000C9">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4.4 Limitations</w:t>
      </w:r>
    </w:p>
    <w:p w:rsidR="00000000" w:rsidDel="00000000" w:rsidP="00000000" w:rsidRDefault="00000000" w:rsidRPr="00000000" w14:paraId="000000CA">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scoping review has several limitations that warrant disclosure.  First, database searches were limited to PubMed, Dimensions ai and Frontiers databases, and reference list screening, which may have resulted in incomplete identification of relevant studies, particularly those published in nursing or health services research journals. Second, the review was not prospectively registered, although the protocol was developed a priori. Third, conference abstracts without corresponding full-text publication were excluded, which may have omitted some emerging work. Fourth, the therapeutic area classification was based on self-report in included studies, which may have underrepresented some implementation efforts that did not describe their therapeutic focus explicitly.</w:t>
      </w:r>
    </w:p>
    <w:p w:rsidR="00000000" w:rsidDel="00000000" w:rsidP="00000000" w:rsidRDefault="00000000" w:rsidRPr="00000000" w14:paraId="000000CB">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limitations, this review provides the first synthesis specifically focused on PGx implementation at the intersection of rural and medically underserved settings, offering a foundation for future systematic reviews and informing implementation research and practice.</w:t>
      </w:r>
    </w:p>
    <w:p w:rsidR="00000000" w:rsidDel="00000000" w:rsidP="00000000" w:rsidRDefault="00000000" w:rsidRPr="00000000" w14:paraId="000000C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widowControl w:val="0"/>
        <w:numPr>
          <w:ilvl w:val="0"/>
          <w:numId w:val="1"/>
        </w:numPr>
        <w:spacing w:after="240" w:before="240" w:line="360" w:lineRule="auto"/>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C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Published literature on PGx implementation in rural and medically underserved settings has grown substantially over the past decade, with 18 studies identified in this scoping review. Workforce education programs, pharmacist-led clinical services, community-engaged implementation with Indigenous populations, FQHC pilots, and informatics infrastructure assessments represent active</w:t>
      </w:r>
    </w:p>
    <w:p w:rsidR="00000000" w:rsidDel="00000000" w:rsidP="00000000" w:rsidRDefault="00000000" w:rsidRPr="00000000" w14:paraId="000000C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complementary lines of investigation. Pharmacists have emerged as the clinical implementation leads across diverse settings, and telehealth has become a cross-cutting enabling technology.</w:t>
      </w:r>
    </w:p>
    <w:p w:rsidR="00000000" w:rsidDel="00000000" w:rsidP="00000000" w:rsidRDefault="00000000" w:rsidRPr="00000000" w14:paraId="000000D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evidence gaps include patient-level clinical outcomes, cost-effectiveness analyses, oncology-specific applications, infrastructure-tiered implementation frameworks, and programs serving communities without fixed healthcare facilities. Addressing these gaps will require prospective outcomes-based research, implementation frameworks that account for the heterogeneity of rural healthcare infrastructure, and sustained investment in the workforce, informatics, and policy conditions that make PGx accessible to all patients regardless of where they receive care.</w:t>
      </w:r>
    </w:p>
    <w:p w:rsidR="00000000" w:rsidDel="00000000" w:rsidP="00000000" w:rsidRDefault="00000000" w:rsidRPr="00000000" w14:paraId="000000D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evidence base for pharmacogenomic-guided prescribing is mature. The evidence base for delivering that benefit equitably across rural and underserved America is growing but incomplete. Closing that evidence-to-practice gap is a precision medicine priority with direct implications for health equity.</w:t>
      </w:r>
    </w:p>
    <w:p w:rsidR="00000000" w:rsidDel="00000000" w:rsidP="00000000" w:rsidRDefault="00000000" w:rsidRPr="00000000" w14:paraId="000000D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Competing Interests:</w:t>
      </w:r>
      <w:r w:rsidDel="00000000" w:rsidR="00000000" w:rsidRPr="00000000">
        <w:rPr>
          <w:rFonts w:ascii="Times New Roman" w:cs="Times New Roman" w:eastAsia="Times New Roman" w:hAnsi="Times New Roman"/>
          <w:sz w:val="24"/>
          <w:szCs w:val="24"/>
          <w:rtl w:val="0"/>
        </w:rPr>
        <w:t xml:space="preserve"> All the authors declare that they have no conflict of interest.</w:t>
      </w:r>
    </w:p>
    <w:p w:rsidR="00000000" w:rsidDel="00000000" w:rsidP="00000000" w:rsidRDefault="00000000" w:rsidRPr="00000000" w14:paraId="000000D4">
      <w:pPr>
        <w:shd w:fill="fcfcfc" w:val="clear"/>
        <w:spacing w:after="100" w:line="36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Ethics approval and consent to participate:</w:t>
      </w:r>
      <w:r w:rsidDel="00000000" w:rsidR="00000000" w:rsidRPr="00000000">
        <w:rPr>
          <w:rFonts w:ascii="Times New Roman" w:cs="Times New Roman" w:eastAsia="Times New Roman" w:hAnsi="Times New Roman"/>
          <w:color w:val="333333"/>
          <w:sz w:val="24"/>
          <w:szCs w:val="24"/>
          <w:rtl w:val="0"/>
        </w:rPr>
        <w:t xml:space="preserve"> Not applicable</w:t>
      </w:r>
    </w:p>
    <w:p w:rsidR="00000000" w:rsidDel="00000000" w:rsidP="00000000" w:rsidRDefault="00000000" w:rsidRPr="00000000" w14:paraId="000000D5">
      <w:pPr>
        <w:shd w:fill="fcfcfc" w:val="clear"/>
        <w:spacing w:after="100" w:line="360" w:lineRule="auto"/>
        <w:rPr>
          <w:rFonts w:ascii="Times New Roman" w:cs="Times New Roman" w:eastAsia="Times New Roman" w:hAnsi="Times New Roman"/>
          <w:b w:val="1"/>
          <w:bCs w:val="1"/>
          <w:color w:val="333333"/>
          <w:sz w:val="24"/>
          <w:szCs w:val="24"/>
        </w:rPr>
      </w:pPr>
      <w:r w:rsidDel="00000000" w:rsidR="00000000" w:rsidRPr="00000000">
        <w:rPr>
          <w:rFonts w:ascii="Times New Roman" w:cs="Times New Roman" w:eastAsia="Times New Roman" w:hAnsi="Times New Roman"/>
          <w:b w:val="1"/>
          <w:bCs w:val="1"/>
          <w:color w:val="333333"/>
          <w:sz w:val="24"/>
          <w:szCs w:val="24"/>
          <w:rtl w:val="0"/>
        </w:rPr>
        <w:t xml:space="preserve">Consent for publication: </w:t>
      </w:r>
      <w:r w:rsidDel="00000000" w:rsidR="00000000" w:rsidRPr="00000000">
        <w:rPr>
          <w:rFonts w:ascii="Times New Roman" w:cs="Times New Roman" w:eastAsia="Times New Roman" w:hAnsi="Times New Roman"/>
          <w:color w:val="333333"/>
          <w:sz w:val="24"/>
          <w:szCs w:val="24"/>
          <w:rtl w:val="0"/>
        </w:rPr>
        <w:t xml:space="preserve">Not applicable</w:t>
      </w:r>
      <w:r w:rsidDel="00000000" w:rsidR="00000000" w:rsidRPr="00000000">
        <w:rPr>
          <w:rtl w:val="0"/>
        </w:rPr>
      </w:r>
    </w:p>
    <w:p w:rsidR="00000000" w:rsidDel="00000000" w:rsidP="00000000" w:rsidRDefault="00000000" w:rsidRPr="00000000" w14:paraId="000000D6">
      <w:pPr>
        <w:shd w:fill="fcfcfc" w:val="clear"/>
        <w:spacing w:after="100" w:line="36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bCs w:val="1"/>
          <w:color w:val="333333"/>
          <w:sz w:val="24"/>
          <w:szCs w:val="24"/>
          <w:highlight w:val="white"/>
          <w:rtl w:val="0"/>
        </w:rPr>
        <w:t xml:space="preserve">Availability of data and material: </w:t>
      </w:r>
      <w:r w:rsidDel="00000000" w:rsidR="00000000" w:rsidRPr="00000000">
        <w:rPr>
          <w:rFonts w:ascii="Times New Roman" w:cs="Times New Roman" w:eastAsia="Times New Roman" w:hAnsi="Times New Roman"/>
          <w:color w:val="333333"/>
          <w:sz w:val="24"/>
          <w:szCs w:val="24"/>
          <w:highlight w:val="white"/>
          <w:rtl w:val="0"/>
        </w:rPr>
        <w:t xml:space="preserve">All the resources consulted in the review are provided in the reference section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iCs w:val="0"/>
          <w:smallCaps w:val="0"/>
          <w:strike w:val="0"/>
          <w:color w:val="000000"/>
          <w:sz w:val="24"/>
          <w:szCs w:val="24"/>
          <w:highlight w:val="white"/>
          <w:u w:val="none"/>
          <w:vertAlign w:val="baseline"/>
        </w:rPr>
      </w:pPr>
      <w:bookmarkStart w:colFirst="0" w:colLast="0" w:name="_heading=h.dcfylcpj5ei1" w:id="14"/>
      <w:bookmarkEnd w:id="14"/>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none"/>
          <w:vertAlign w:val="baseline"/>
          <w:rtl w:val="0"/>
        </w:rPr>
        <w:t xml:space="preserve">Disclaimer (Artificial intelligence)</w:t>
      </w:r>
      <w:r w:rsidDel="00000000" w:rsidR="00000000" w:rsidRPr="00000000">
        <w:rPr>
          <w:rFonts w:ascii="Times New Roman" w:cs="Times New Roman" w:eastAsia="Times New Roman" w:hAnsi="Times New Roman"/>
          <w:b w:val="1"/>
          <w:bCs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0"/>
          <w:iCs w:val="0"/>
          <w:smallCaps w:val="0"/>
          <w:strike w:val="0"/>
          <w:color w:val="000000"/>
          <w:sz w:val="24"/>
          <w:szCs w:val="24"/>
          <w:highlight w:val="white"/>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D9">
      <w:pPr>
        <w:spacing w:after="240" w:before="240" w:lineRule="auto"/>
        <w:jc w:val="both"/>
        <w:rPr>
          <w:rFonts w:ascii="Times New Roman" w:cs="Times New Roman" w:eastAsia="Times New Roman" w:hAnsi="Times New Roman"/>
          <w:sz w:val="24"/>
          <w:szCs w:val="24"/>
        </w:rPr>
      </w:pPr>
      <w:bookmarkStart w:colFirst="0" w:colLast="0" w:name="_heading=h.v5co3jc1sbik" w:id="15"/>
      <w:bookmarkEnd w:id="15"/>
      <w:r w:rsidDel="00000000" w:rsidR="00000000" w:rsidRPr="00000000">
        <w:rPr>
          <w:rtl w:val="0"/>
        </w:rPr>
      </w:r>
    </w:p>
    <w:p w:rsidR="00000000" w:rsidDel="00000000" w:rsidP="00000000" w:rsidRDefault="00000000" w:rsidRPr="00000000" w14:paraId="000000DA">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widowControl w:val="0"/>
        <w:numPr>
          <w:ilvl w:val="0"/>
          <w:numId w:val="1"/>
        </w:numPr>
        <w:spacing w:after="240" w:before="240" w:line="360" w:lineRule="auto"/>
        <w:ind w:left="720" w:hanging="3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DC">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Alghamdi, B. M., Rogers, S., Roberman, S., Williamson, M., &amp; Panahi, L. (2025). Implementation and integration of a multidisciplinary pharmacogenomics service in an underserved integrated behavioral health clinic. </w:t>
      </w:r>
      <w:r w:rsidDel="00000000" w:rsidR="00000000" w:rsidRPr="00000000">
        <w:rPr>
          <w:rFonts w:ascii="Times New Roman" w:cs="Times New Roman" w:eastAsia="Times New Roman" w:hAnsi="Times New Roman"/>
          <w:i w:val="1"/>
          <w:iCs w:val="1"/>
          <w:sz w:val="24"/>
          <w:szCs w:val="24"/>
          <w:rtl w:val="0"/>
        </w:rPr>
        <w:t xml:space="preserve">Frontiers in Pharmacology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1594032.</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https://doi.org/10.3389/fphar.2025.1594032</w:t>
        </w:r>
      </w:hyperlink>
      <w:r w:rsidDel="00000000" w:rsidR="00000000" w:rsidRPr="00000000">
        <w:rPr>
          <w:rtl w:val="0"/>
        </w:rPr>
      </w:r>
    </w:p>
    <w:p w:rsidR="00000000" w:rsidDel="00000000" w:rsidP="00000000" w:rsidRDefault="00000000" w:rsidRPr="00000000" w14:paraId="000000DD">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Amstutz, U., Henricks, L. M., Offer, S. M., Barbarino, J., Schellens, J. H. M., Swen, J. J., Klein, T. E., McLeod, H. L., Caudle, K. E., Diasio, R. B., &amp; Schwab, M. (2018). Clinical Pharmacogenetics Implementation Consortium (CPIC) Guideline for Dihydropyrimidine Dehydrogenase Genotype and Fluoropyrimidine Dosing: 2017 Update. </w:t>
      </w:r>
      <w:r w:rsidDel="00000000" w:rsidR="00000000" w:rsidRPr="00000000">
        <w:rPr>
          <w:rFonts w:ascii="Times New Roman" w:cs="Times New Roman" w:eastAsia="Times New Roman" w:hAnsi="Times New Roman"/>
          <w:i w:val="1"/>
          <w:iCs w:val="1"/>
          <w:sz w:val="24"/>
          <w:szCs w:val="24"/>
          <w:rtl w:val="0"/>
        </w:rPr>
        <w:t xml:space="preserve">Clinical Pharmacology and Therapeutics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103</w:t>
      </w:r>
      <w:r w:rsidDel="00000000" w:rsidR="00000000" w:rsidRPr="00000000">
        <w:rPr>
          <w:rFonts w:ascii="Times New Roman" w:cs="Times New Roman" w:eastAsia="Times New Roman" w:hAnsi="Times New Roman"/>
          <w:sz w:val="24"/>
          <w:szCs w:val="24"/>
          <w:rtl w:val="0"/>
        </w:rPr>
        <w:t xml:space="preserve">(2), 210–216.</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https://doi.org/10.1002/cpt.911</w:t>
        </w:r>
      </w:hyperlink>
      <w:r w:rsidDel="00000000" w:rsidR="00000000" w:rsidRPr="00000000">
        <w:rPr>
          <w:rtl w:val="0"/>
        </w:rPr>
      </w:r>
    </w:p>
    <w:p w:rsidR="00000000" w:rsidDel="00000000" w:rsidP="00000000" w:rsidRDefault="00000000" w:rsidRPr="00000000" w14:paraId="000000DE">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Arksey, H., &amp; O’Malley, L. (2005). Scoping studies: Towards a methodological framework. </w:t>
      </w:r>
      <w:r w:rsidDel="00000000" w:rsidR="00000000" w:rsidRPr="00000000">
        <w:rPr>
          <w:rFonts w:ascii="Times New Roman" w:cs="Times New Roman" w:eastAsia="Times New Roman" w:hAnsi="Times New Roman"/>
          <w:i w:val="1"/>
          <w:iCs w:val="1"/>
          <w:sz w:val="24"/>
          <w:szCs w:val="24"/>
          <w:rtl w:val="0"/>
        </w:rPr>
        <w:t xml:space="preserve">International Journal of Social Research Methodology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 19–32.</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u w:val="single"/>
            <w:rtl w:val="0"/>
          </w:rPr>
          <w:t xml:space="preserve">https://doi.org/10.1080/1364557032000119616</w:t>
        </w:r>
      </w:hyperlink>
      <w:r w:rsidDel="00000000" w:rsidR="00000000" w:rsidRPr="00000000">
        <w:rPr>
          <w:rtl w:val="0"/>
        </w:rPr>
      </w:r>
    </w:p>
    <w:p w:rsidR="00000000" w:rsidDel="00000000" w:rsidP="00000000" w:rsidRDefault="00000000" w:rsidRPr="00000000" w14:paraId="000000DF">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Bosic-Reiniger, J., Martin, J. L., Brown, K. E., Anderson, H. D., Blackburn, H., Kao, D. P., Trinkley, K. E., Woodahl, E. L., &amp; Aquilante, C. L. (2024). Barriers and facilitators of the use of clinical informatics resources to facilitate pharmacogenomic implementation in resource-limited settings. </w:t>
      </w:r>
      <w:r w:rsidDel="00000000" w:rsidR="00000000" w:rsidRPr="00000000">
        <w:rPr>
          <w:rFonts w:ascii="Times New Roman" w:cs="Times New Roman" w:eastAsia="Times New Roman" w:hAnsi="Times New Roman"/>
          <w:i w:val="1"/>
          <w:iCs w:val="1"/>
          <w:sz w:val="24"/>
          <w:szCs w:val="24"/>
          <w:rtl w:val="0"/>
        </w:rPr>
        <w:t xml:space="preserve">JAMIA Open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(4), ooae101.</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u w:val="single"/>
            <w:rtl w:val="0"/>
          </w:rPr>
          <w:t xml:space="preserve">https://doi.org/10.1093/jamiaopen/ooae101</w:t>
        </w:r>
      </w:hyperlink>
      <w:r w:rsidDel="00000000" w:rsidR="00000000" w:rsidRPr="00000000">
        <w:rPr>
          <w:rtl w:val="0"/>
        </w:rPr>
      </w:r>
    </w:p>
    <w:p w:rsidR="00000000" w:rsidDel="00000000" w:rsidP="00000000" w:rsidRDefault="00000000" w:rsidRPr="00000000" w14:paraId="000000E0">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Brown, J. T., McGonagle, E., Seifert, R., Speedie, M., &amp; Jacobson, P. A. (2023). Addressing disparities in pharmacogenomics through rural and underserved workforce education. </w:t>
      </w:r>
      <w:r w:rsidDel="00000000" w:rsidR="00000000" w:rsidRPr="00000000">
        <w:rPr>
          <w:rFonts w:ascii="Times New Roman" w:cs="Times New Roman" w:eastAsia="Times New Roman" w:hAnsi="Times New Roman"/>
          <w:i w:val="1"/>
          <w:iCs w:val="1"/>
          <w:sz w:val="24"/>
          <w:szCs w:val="24"/>
          <w:rtl w:val="0"/>
        </w:rPr>
        <w:t xml:space="preserve">Frontiers in Genetics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1082985.</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u w:val="single"/>
            <w:rtl w:val="0"/>
          </w:rPr>
          <w:t xml:space="preserve">https://doi.org/10.3389/fgene.2022.1082985</w:t>
        </w:r>
      </w:hyperlink>
      <w:r w:rsidDel="00000000" w:rsidR="00000000" w:rsidRPr="00000000">
        <w:rPr>
          <w:rtl w:val="0"/>
        </w:rPr>
      </w:r>
    </w:p>
    <w:p w:rsidR="00000000" w:rsidDel="00000000" w:rsidP="00000000" w:rsidRDefault="00000000" w:rsidRPr="00000000" w14:paraId="000000E1">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Cicali, E. J., Weitzel, K. W., Elsey, A. R., Orlando, F. A., Vinson, M., Mosley, S., Smith, D. M., Davis, R., Drum, L., Estores, D., Franciosi, J. P., Hagen, M. G., Jerkins, G. J., Mercado, E. S., Nainaparampil, J., Padron, A., Rosenberg, E. I., Wright, A., Schmidt, S. O., … Johnson, J. A. (2019). Challenges and lessons learned from clinical pharmacogenetic implementation of multiple gene-drug pairs across ambulatory care settings. </w:t>
      </w:r>
      <w:r w:rsidDel="00000000" w:rsidR="00000000" w:rsidRPr="00000000">
        <w:rPr>
          <w:rFonts w:ascii="Times New Roman" w:cs="Times New Roman" w:eastAsia="Times New Roman" w:hAnsi="Times New Roman"/>
          <w:i w:val="1"/>
          <w:iCs w:val="1"/>
          <w:sz w:val="24"/>
          <w:szCs w:val="24"/>
          <w:rtl w:val="0"/>
        </w:rPr>
        <w:t xml:space="preserve">Genetics in Medicine: Official Journal of the American College of Medical Genetics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(10), 2264–2274.</w:t>
      </w:r>
      <w:hyperlink r:id="rId18">
        <w:r w:rsidDel="00000000" w:rsidR="00000000" w:rsidRPr="00000000">
          <w:rPr>
            <w:rFonts w:ascii="Times New Roman" w:cs="Times New Roman" w:eastAsia="Times New Roman" w:hAnsi="Times New Roman"/>
            <w:sz w:val="24"/>
            <w:szCs w:val="24"/>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https://doi.org/10.1038/s41436-019-0500-7</w:t>
        </w:r>
      </w:hyperlink>
      <w:r w:rsidDel="00000000" w:rsidR="00000000" w:rsidRPr="00000000">
        <w:rPr>
          <w:rtl w:val="0"/>
        </w:rPr>
      </w:r>
    </w:p>
    <w:p w:rsidR="00000000" w:rsidDel="00000000" w:rsidP="00000000" w:rsidRDefault="00000000" w:rsidRPr="00000000" w14:paraId="000000E2">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Claw, K. G., Dorr, C. R., &amp; Woodahl, E. L. (2024). Implementing community-engaged pharmacogenomics in Indigenous communities. </w:t>
      </w:r>
      <w:r w:rsidDel="00000000" w:rsidR="00000000" w:rsidRPr="00000000">
        <w:rPr>
          <w:rFonts w:ascii="Times New Roman" w:cs="Times New Roman" w:eastAsia="Times New Roman" w:hAnsi="Times New Roman"/>
          <w:i w:val="1"/>
          <w:iCs w:val="1"/>
          <w:sz w:val="24"/>
          <w:szCs w:val="24"/>
          <w:rtl w:val="0"/>
        </w:rPr>
        <w:t xml:space="preserve">Nature Communications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(1), 920.</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https://doi.org/10.1038/s41467-024-45032-5</w:t>
        </w:r>
      </w:hyperlink>
      <w:r w:rsidDel="00000000" w:rsidR="00000000" w:rsidRPr="00000000">
        <w:rPr>
          <w:rtl w:val="0"/>
        </w:rPr>
      </w:r>
    </w:p>
    <w:p w:rsidR="00000000" w:rsidDel="00000000" w:rsidP="00000000" w:rsidRDefault="00000000" w:rsidRPr="00000000" w14:paraId="000000E3">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Clin. Pharmacogenetics Implement. Consort.(CPIC). (n.d.). </w:t>
      </w:r>
      <w:r w:rsidDel="00000000" w:rsidR="00000000" w:rsidRPr="00000000">
        <w:rPr>
          <w:rFonts w:ascii="Times New Roman" w:cs="Times New Roman" w:eastAsia="Times New Roman" w:hAnsi="Times New Roman"/>
          <w:i w:val="1"/>
          <w:iCs w:val="1"/>
          <w:sz w:val="24"/>
          <w:szCs w:val="24"/>
          <w:rtl w:val="0"/>
        </w:rPr>
        <w:t xml:space="preserve">CPIC Genes-Drugs</w:t>
      </w:r>
      <w:r w:rsidDel="00000000" w:rsidR="00000000" w:rsidRPr="00000000">
        <w:rPr>
          <w:rFonts w:ascii="Times New Roman" w:cs="Times New Roman" w:eastAsia="Times New Roman" w:hAnsi="Times New Roman"/>
          <w:sz w:val="24"/>
          <w:szCs w:val="24"/>
          <w:rtl w:val="0"/>
        </w:rPr>
        <w:t xml:space="preserve">. ClinPGx. Retrieved March 21, 2026, from</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https://www.clinpgx.org/cpic/pairs</w:t>
        </w:r>
      </w:hyperlink>
      <w:r w:rsidDel="00000000" w:rsidR="00000000" w:rsidRPr="00000000">
        <w:rPr>
          <w:rtl w:val="0"/>
        </w:rPr>
      </w:r>
    </w:p>
    <w:p w:rsidR="00000000" w:rsidDel="00000000" w:rsidP="00000000" w:rsidRDefault="00000000" w:rsidRPr="00000000" w14:paraId="000000E4">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Coumau, A., Coumau, C., &amp; Csajka, C. (2025). Implementing pharmacogenetic testing in community pharmacy practice: A scoping review. </w:t>
      </w:r>
      <w:r w:rsidDel="00000000" w:rsidR="00000000" w:rsidRPr="00000000">
        <w:rPr>
          <w:rFonts w:ascii="Times New Roman" w:cs="Times New Roman" w:eastAsia="Times New Roman" w:hAnsi="Times New Roman"/>
          <w:i w:val="1"/>
          <w:iCs w:val="1"/>
          <w:sz w:val="24"/>
          <w:szCs w:val="24"/>
          <w:rtl w:val="0"/>
        </w:rPr>
        <w:t xml:space="preserve">Frontiers in Pharmacology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w:t>
      </w:r>
      <w:hyperlink r:id="rId24">
        <w:r w:rsidDel="00000000" w:rsidR="00000000" w:rsidRPr="00000000">
          <w:rPr>
            <w:rFonts w:ascii="Times New Roman" w:cs="Times New Roman" w:eastAsia="Times New Roman" w:hAnsi="Times New Roman"/>
            <w:sz w:val="24"/>
            <w:szCs w:val="24"/>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https://doi.org/10.3389/fphar.2025.1659875</w:t>
        </w:r>
      </w:hyperlink>
      <w:r w:rsidDel="00000000" w:rsidR="00000000" w:rsidRPr="00000000">
        <w:rPr>
          <w:rtl w:val="0"/>
        </w:rPr>
      </w:r>
    </w:p>
    <w:p w:rsidR="00000000" w:rsidDel="00000000" w:rsidP="00000000" w:rsidRDefault="00000000" w:rsidRPr="00000000" w14:paraId="000000E5">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Díaz-Villamarín, X., Martínez-Pérez, M., Nieto-Sánchez, M. T., Fernández-Varón, E., Torres-García, A., Blancas, I., Cabeza-Barrera, J., &amp; Morón, R. (2025). Clinical Pharmacogenetics: Results After Implementation of Preemptive Tests in Daily Routine. </w:t>
      </w:r>
      <w:r w:rsidDel="00000000" w:rsidR="00000000" w:rsidRPr="00000000">
        <w:rPr>
          <w:rFonts w:ascii="Times New Roman" w:cs="Times New Roman" w:eastAsia="Times New Roman" w:hAnsi="Times New Roman"/>
          <w:i w:val="1"/>
          <w:iCs w:val="1"/>
          <w:sz w:val="24"/>
          <w:szCs w:val="24"/>
          <w:rtl w:val="0"/>
        </w:rPr>
        <w:t xml:space="preserve">Journal of Personalized Medicine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(6).</w:t>
      </w:r>
      <w:hyperlink r:id="rId26">
        <w:r w:rsidDel="00000000" w:rsidR="00000000" w:rsidRPr="00000000">
          <w:rPr>
            <w:rFonts w:ascii="Times New Roman" w:cs="Times New Roman" w:eastAsia="Times New Roman" w:hAnsi="Times New Roman"/>
            <w:sz w:val="24"/>
            <w:szCs w:val="24"/>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https://doi.org/10.3390/jpm15060245</w:t>
        </w:r>
      </w:hyperlink>
      <w:r w:rsidDel="00000000" w:rsidR="00000000" w:rsidRPr="00000000">
        <w:rPr>
          <w:rtl w:val="0"/>
        </w:rPr>
      </w:r>
    </w:p>
    <w:p w:rsidR="00000000" w:rsidDel="00000000" w:rsidP="00000000" w:rsidRDefault="00000000" w:rsidRPr="00000000" w14:paraId="000000E6">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Donnelly, R. S., Cavallari, L. H., McCune, J. S., Trofe-Clark, J., Formea, C. M., Hoffecker, G., Csere, M. M., Anderson, K. C., Bhat, S., Mosley, S. A., Ma, Q., Ferdock, A., Hoffman, J. M., Hicks, J. K., &amp; Caudle, K. E. (2024). Decoding Pharmacogenomic Test Interpretation and Application to Patient Care. </w:t>
      </w:r>
      <w:r w:rsidDel="00000000" w:rsidR="00000000" w:rsidRPr="00000000">
        <w:rPr>
          <w:rFonts w:ascii="Times New Roman" w:cs="Times New Roman" w:eastAsia="Times New Roman" w:hAnsi="Times New Roman"/>
          <w:i w:val="1"/>
          <w:iCs w:val="1"/>
          <w:sz w:val="24"/>
          <w:szCs w:val="24"/>
          <w:rtl w:val="0"/>
        </w:rPr>
        <w:t xml:space="preserve">Journal of the American College of Clinical Pharmacy : JACCP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(6), 581–588.</w:t>
      </w:r>
      <w:hyperlink r:id="rId28">
        <w:r w:rsidDel="00000000" w:rsidR="00000000" w:rsidRPr="00000000">
          <w:rPr>
            <w:rFonts w:ascii="Times New Roman" w:cs="Times New Roman" w:eastAsia="Times New Roman" w:hAnsi="Times New Roman"/>
            <w:sz w:val="24"/>
            <w:szCs w:val="24"/>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https://doi.org/10.1002/jac5.1958</w:t>
        </w:r>
      </w:hyperlink>
      <w:r w:rsidDel="00000000" w:rsidR="00000000" w:rsidRPr="00000000">
        <w:rPr>
          <w:rtl w:val="0"/>
        </w:rPr>
      </w:r>
    </w:p>
    <w:p w:rsidR="00000000" w:rsidDel="00000000" w:rsidP="00000000" w:rsidRDefault="00000000" w:rsidRPr="00000000" w14:paraId="000000E7">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Dorfman, E. H., Trinidad, S. B., Morales, C. T., Howlett, K., Burke, W., &amp; Woodahl, E. L. (2015). Pharmacogenomics in diverse practice settings: Implementation beyond major metropolitan areas. </w:t>
      </w:r>
      <w:r w:rsidDel="00000000" w:rsidR="00000000" w:rsidRPr="00000000">
        <w:rPr>
          <w:rFonts w:ascii="Times New Roman" w:cs="Times New Roman" w:eastAsia="Times New Roman" w:hAnsi="Times New Roman"/>
          <w:i w:val="1"/>
          <w:iCs w:val="1"/>
          <w:sz w:val="24"/>
          <w:szCs w:val="24"/>
          <w:rtl w:val="0"/>
        </w:rPr>
        <w:t xml:space="preserve">Pharmacogenomics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(3), 227–237.</w:t>
      </w:r>
      <w:hyperlink r:id="rId30">
        <w:r w:rsidDel="00000000" w:rsidR="00000000" w:rsidRPr="00000000">
          <w:rPr>
            <w:rFonts w:ascii="Times New Roman" w:cs="Times New Roman" w:eastAsia="Times New Roman" w:hAnsi="Times New Roman"/>
            <w:sz w:val="24"/>
            <w:szCs w:val="24"/>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https://doi.org/10.2217/pgs.14.174</w:t>
        </w:r>
      </w:hyperlink>
      <w:r w:rsidDel="00000000" w:rsidR="00000000" w:rsidRPr="00000000">
        <w:rPr>
          <w:rtl w:val="0"/>
        </w:rPr>
      </w:r>
    </w:p>
    <w:p w:rsidR="00000000" w:rsidDel="00000000" w:rsidP="00000000" w:rsidRDefault="00000000" w:rsidRPr="00000000" w14:paraId="000000E8">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Dressler, L. G., Bell, G. C., Abernathy, P. M., Ruch, K., &amp; Denslow, S. (2019). Implementing pharmacogenetic testing in rural primary care practices: A pilot feasibility study. </w:t>
      </w:r>
      <w:r w:rsidDel="00000000" w:rsidR="00000000" w:rsidRPr="00000000">
        <w:rPr>
          <w:rFonts w:ascii="Times New Roman" w:cs="Times New Roman" w:eastAsia="Times New Roman" w:hAnsi="Times New Roman"/>
          <w:i w:val="1"/>
          <w:iCs w:val="1"/>
          <w:sz w:val="24"/>
          <w:szCs w:val="24"/>
          <w:rtl w:val="0"/>
        </w:rPr>
        <w:t xml:space="preserve">Pharmacogenomics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(6), 433–446.</w:t>
      </w:r>
      <w:hyperlink r:id="rId32">
        <w:r w:rsidDel="00000000" w:rsidR="00000000" w:rsidRPr="00000000">
          <w:rPr>
            <w:rFonts w:ascii="Times New Roman" w:cs="Times New Roman" w:eastAsia="Times New Roman" w:hAnsi="Times New Roman"/>
            <w:sz w:val="24"/>
            <w:szCs w:val="24"/>
            <w:rtl w:val="0"/>
          </w:rPr>
          <w:t xml:space="preserve"> </w:t>
        </w:r>
      </w:hyperlink>
      <w:hyperlink r:id="rId33">
        <w:r w:rsidDel="00000000" w:rsidR="00000000" w:rsidRPr="00000000">
          <w:rPr>
            <w:rFonts w:ascii="Times New Roman" w:cs="Times New Roman" w:eastAsia="Times New Roman" w:hAnsi="Times New Roman"/>
            <w:color w:val="1155cc"/>
            <w:sz w:val="24"/>
            <w:szCs w:val="24"/>
            <w:u w:val="single"/>
            <w:rtl w:val="0"/>
          </w:rPr>
          <w:t xml:space="preserve">https://doi.org/10.2217/pgs-2018-0200</w:t>
        </w:r>
      </w:hyperlink>
      <w:r w:rsidDel="00000000" w:rsidR="00000000" w:rsidRPr="00000000">
        <w:rPr>
          <w:rtl w:val="0"/>
        </w:rPr>
      </w:r>
    </w:p>
    <w:p w:rsidR="00000000" w:rsidDel="00000000" w:rsidP="00000000" w:rsidRDefault="00000000" w:rsidRPr="00000000" w14:paraId="000000E9">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Dunnenberger, H. M., Crews, K. R., Hoffman, J. M., Caudle, K. E., Broeckel, U., Howard, S. C., Hunkler, R. J., Klein, T. E., Evans, W. E., &amp; Relling, M. V. (2015). Preemptive Clinical Pharmacogenetics Implementation: Current programs in five United States medical centers. </w:t>
      </w:r>
      <w:r w:rsidDel="00000000" w:rsidR="00000000" w:rsidRPr="00000000">
        <w:rPr>
          <w:rFonts w:ascii="Times New Roman" w:cs="Times New Roman" w:eastAsia="Times New Roman" w:hAnsi="Times New Roman"/>
          <w:i w:val="1"/>
          <w:iCs w:val="1"/>
          <w:sz w:val="24"/>
          <w:szCs w:val="24"/>
          <w:rtl w:val="0"/>
        </w:rPr>
        <w:t xml:space="preserve">Annual Review of Pharmacology and Toxicology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89–106.</w:t>
      </w:r>
      <w:hyperlink r:id="rId34">
        <w:r w:rsidDel="00000000" w:rsidR="00000000" w:rsidRPr="00000000">
          <w:rPr>
            <w:rFonts w:ascii="Times New Roman" w:cs="Times New Roman" w:eastAsia="Times New Roman" w:hAnsi="Times New Roman"/>
            <w:sz w:val="24"/>
            <w:szCs w:val="24"/>
            <w:rtl w:val="0"/>
          </w:rPr>
          <w:t xml:space="preserve"> </w:t>
        </w:r>
      </w:hyperlink>
      <w:hyperlink r:id="rId35">
        <w:r w:rsidDel="00000000" w:rsidR="00000000" w:rsidRPr="00000000">
          <w:rPr>
            <w:rFonts w:ascii="Times New Roman" w:cs="Times New Roman" w:eastAsia="Times New Roman" w:hAnsi="Times New Roman"/>
            <w:color w:val="1155cc"/>
            <w:sz w:val="24"/>
            <w:szCs w:val="24"/>
            <w:u w:val="single"/>
            <w:rtl w:val="0"/>
          </w:rPr>
          <w:t xml:space="preserve">https://doi.org/10.1146/annurev-pharmtox-010814-124835</w:t>
        </w:r>
      </w:hyperlink>
      <w:r w:rsidDel="00000000" w:rsidR="00000000" w:rsidRPr="00000000">
        <w:rPr>
          <w:rtl w:val="0"/>
        </w:rPr>
      </w:r>
    </w:p>
    <w:p w:rsidR="00000000" w:rsidDel="00000000" w:rsidP="00000000" w:rsidRDefault="00000000" w:rsidRPr="00000000" w14:paraId="000000EA">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Fohner, A. E., Killam, S. R., Volk, K. G., &amp; Woodahl, E. L. (2022). Advancing equity in the promise of pharmacogenomics. In </w:t>
      </w:r>
      <w:r w:rsidDel="00000000" w:rsidR="00000000" w:rsidRPr="00000000">
        <w:rPr>
          <w:rFonts w:ascii="Times New Roman" w:cs="Times New Roman" w:eastAsia="Times New Roman" w:hAnsi="Times New Roman"/>
          <w:i w:val="1"/>
          <w:iCs w:val="1"/>
          <w:sz w:val="24"/>
          <w:szCs w:val="24"/>
          <w:rtl w:val="0"/>
        </w:rPr>
        <w:t xml:space="preserve">Clinical Decision Support for Pharmacogenomic Precision Medicine</w:t>
      </w:r>
      <w:r w:rsidDel="00000000" w:rsidR="00000000" w:rsidRPr="00000000">
        <w:rPr>
          <w:rFonts w:ascii="Times New Roman" w:cs="Times New Roman" w:eastAsia="Times New Roman" w:hAnsi="Times New Roman"/>
          <w:sz w:val="24"/>
          <w:szCs w:val="24"/>
          <w:rtl w:val="0"/>
        </w:rPr>
        <w:t xml:space="preserve"> (pp. 85–106). Academic Press.</w:t>
      </w:r>
      <w:hyperlink r:id="rId36">
        <w:r w:rsidDel="00000000" w:rsidR="00000000" w:rsidRPr="00000000">
          <w:rPr>
            <w:rFonts w:ascii="Times New Roman" w:cs="Times New Roman" w:eastAsia="Times New Roman" w:hAnsi="Times New Roman"/>
            <w:sz w:val="24"/>
            <w:szCs w:val="24"/>
            <w:rtl w:val="0"/>
          </w:rPr>
          <w:t xml:space="preserve"> </w:t>
        </w:r>
      </w:hyperlink>
      <w:hyperlink r:id="rId37">
        <w:r w:rsidDel="00000000" w:rsidR="00000000" w:rsidRPr="00000000">
          <w:rPr>
            <w:rFonts w:ascii="Times New Roman" w:cs="Times New Roman" w:eastAsia="Times New Roman" w:hAnsi="Times New Roman"/>
            <w:color w:val="1155cc"/>
            <w:sz w:val="24"/>
            <w:szCs w:val="24"/>
            <w:u w:val="single"/>
            <w:rtl w:val="0"/>
          </w:rPr>
          <w:t xml:space="preserve">https://doi.org/10.1016/B978-0-12-824453-1.00011-7</w:t>
        </w:r>
      </w:hyperlink>
      <w:r w:rsidDel="00000000" w:rsidR="00000000" w:rsidRPr="00000000">
        <w:rPr>
          <w:rtl w:val="0"/>
        </w:rPr>
      </w:r>
    </w:p>
    <w:p w:rsidR="00000000" w:rsidDel="00000000" w:rsidP="00000000" w:rsidRDefault="00000000" w:rsidRPr="00000000" w14:paraId="000000EB">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Fohner, A. E., Volk, K. G., &amp; Woodahl, E. L. (2019). Democratizing Precision Medicine Through Community Engagement. </w:t>
      </w:r>
      <w:r w:rsidDel="00000000" w:rsidR="00000000" w:rsidRPr="00000000">
        <w:rPr>
          <w:rFonts w:ascii="Times New Roman" w:cs="Times New Roman" w:eastAsia="Times New Roman" w:hAnsi="Times New Roman"/>
          <w:i w:val="1"/>
          <w:iCs w:val="1"/>
          <w:sz w:val="24"/>
          <w:szCs w:val="24"/>
          <w:rtl w:val="0"/>
        </w:rPr>
        <w:t xml:space="preserve">Clinical Pharmacology and Therapeutics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106</w:t>
      </w:r>
      <w:r w:rsidDel="00000000" w:rsidR="00000000" w:rsidRPr="00000000">
        <w:rPr>
          <w:rFonts w:ascii="Times New Roman" w:cs="Times New Roman" w:eastAsia="Times New Roman" w:hAnsi="Times New Roman"/>
          <w:sz w:val="24"/>
          <w:szCs w:val="24"/>
          <w:rtl w:val="0"/>
        </w:rPr>
        <w:t xml:space="preserve">(3), 488–490.</w:t>
      </w:r>
      <w:hyperlink r:id="rId38">
        <w:r w:rsidDel="00000000" w:rsidR="00000000" w:rsidRPr="00000000">
          <w:rPr>
            <w:rFonts w:ascii="Times New Roman" w:cs="Times New Roman" w:eastAsia="Times New Roman" w:hAnsi="Times New Roman"/>
            <w:sz w:val="24"/>
            <w:szCs w:val="24"/>
            <w:rtl w:val="0"/>
          </w:rPr>
          <w:t xml:space="preserve"> </w:t>
        </w:r>
      </w:hyperlink>
      <w:hyperlink r:id="rId39">
        <w:r w:rsidDel="00000000" w:rsidR="00000000" w:rsidRPr="00000000">
          <w:rPr>
            <w:rFonts w:ascii="Times New Roman" w:cs="Times New Roman" w:eastAsia="Times New Roman" w:hAnsi="Times New Roman"/>
            <w:color w:val="1155cc"/>
            <w:sz w:val="24"/>
            <w:szCs w:val="24"/>
            <w:u w:val="single"/>
            <w:rtl w:val="0"/>
          </w:rPr>
          <w:t xml:space="preserve">https://doi.org/10.1002/cpt.1508</w:t>
        </w:r>
      </w:hyperlink>
      <w:r w:rsidDel="00000000" w:rsidR="00000000" w:rsidRPr="00000000">
        <w:rPr>
          <w:rtl w:val="0"/>
        </w:rPr>
      </w:r>
    </w:p>
    <w:p w:rsidR="00000000" w:rsidDel="00000000" w:rsidP="00000000" w:rsidRDefault="00000000" w:rsidRPr="00000000" w14:paraId="000000EC">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Food and Drug Administration (FDA). (2026). Table of Pharmacogenomic Biomarkers in Drug Labeling. </w:t>
      </w:r>
      <w:r w:rsidDel="00000000" w:rsidR="00000000" w:rsidRPr="00000000">
        <w:rPr>
          <w:rFonts w:ascii="Times New Roman" w:cs="Times New Roman" w:eastAsia="Times New Roman" w:hAnsi="Times New Roman"/>
          <w:i w:val="1"/>
          <w:iCs w:val="1"/>
          <w:sz w:val="24"/>
          <w:szCs w:val="24"/>
          <w:rtl w:val="0"/>
        </w:rPr>
        <w:t xml:space="preserve">FDA</w:t>
      </w:r>
      <w:r w:rsidDel="00000000" w:rsidR="00000000" w:rsidRPr="00000000">
        <w:rPr>
          <w:rFonts w:ascii="Times New Roman" w:cs="Times New Roman" w:eastAsia="Times New Roman" w:hAnsi="Times New Roman"/>
          <w:sz w:val="24"/>
          <w:szCs w:val="24"/>
          <w:rtl w:val="0"/>
        </w:rPr>
        <w:t xml:space="preserve">.</w:t>
      </w:r>
      <w:hyperlink r:id="rId40">
        <w:r w:rsidDel="00000000" w:rsidR="00000000" w:rsidRPr="00000000">
          <w:rPr>
            <w:rFonts w:ascii="Times New Roman" w:cs="Times New Roman" w:eastAsia="Times New Roman" w:hAnsi="Times New Roman"/>
            <w:sz w:val="24"/>
            <w:szCs w:val="24"/>
            <w:rtl w:val="0"/>
          </w:rPr>
          <w:t xml:space="preserve"> </w:t>
        </w:r>
      </w:hyperlink>
      <w:hyperlink r:id="rId41">
        <w:r w:rsidDel="00000000" w:rsidR="00000000" w:rsidRPr="00000000">
          <w:rPr>
            <w:rFonts w:ascii="Times New Roman" w:cs="Times New Roman" w:eastAsia="Times New Roman" w:hAnsi="Times New Roman"/>
            <w:color w:val="1155cc"/>
            <w:sz w:val="24"/>
            <w:szCs w:val="24"/>
            <w:u w:val="single"/>
            <w:rtl w:val="0"/>
          </w:rPr>
          <w:t xml:space="preserve">https://www.fda.gov/drugs/science-and-research-drugs/table-pharmacogenomic-biomarkers-drug-labeling</w:t>
        </w:r>
      </w:hyperlink>
      <w:r w:rsidDel="00000000" w:rsidR="00000000" w:rsidRPr="00000000">
        <w:rPr>
          <w:rtl w:val="0"/>
        </w:rPr>
      </w:r>
    </w:p>
    <w:p w:rsidR="00000000" w:rsidDel="00000000" w:rsidP="00000000" w:rsidRDefault="00000000" w:rsidRPr="00000000" w14:paraId="000000ED">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Frigon, M.-P., Blackburn, M.-È., Dubois-Bouchard, C., Gagnon, A.-L., Tardif, S., &amp; Tremblay, K. (2019). Pharmacogenetic Testing in Primary Care Practice: Opinions of Physicians, Pharmacists and Patients. </w:t>
      </w:r>
      <w:r w:rsidDel="00000000" w:rsidR="00000000" w:rsidRPr="00000000">
        <w:rPr>
          <w:rFonts w:ascii="Times New Roman" w:cs="Times New Roman" w:eastAsia="Times New Roman" w:hAnsi="Times New Roman"/>
          <w:i w:val="1"/>
          <w:iCs w:val="1"/>
          <w:sz w:val="24"/>
          <w:szCs w:val="24"/>
          <w:rtl w:val="0"/>
        </w:rPr>
        <w:t xml:space="preserve">Pharmacogenomics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(8), 589–598.</w:t>
      </w:r>
      <w:hyperlink r:id="rId42">
        <w:r w:rsidDel="00000000" w:rsidR="00000000" w:rsidRPr="00000000">
          <w:rPr>
            <w:rFonts w:ascii="Times New Roman" w:cs="Times New Roman" w:eastAsia="Times New Roman" w:hAnsi="Times New Roman"/>
            <w:sz w:val="24"/>
            <w:szCs w:val="24"/>
            <w:rtl w:val="0"/>
          </w:rPr>
          <w:t xml:space="preserve"> </w:t>
        </w:r>
      </w:hyperlink>
      <w:hyperlink r:id="rId43">
        <w:r w:rsidDel="00000000" w:rsidR="00000000" w:rsidRPr="00000000">
          <w:rPr>
            <w:rFonts w:ascii="Times New Roman" w:cs="Times New Roman" w:eastAsia="Times New Roman" w:hAnsi="Times New Roman"/>
            <w:color w:val="1155cc"/>
            <w:sz w:val="24"/>
            <w:szCs w:val="24"/>
            <w:u w:val="single"/>
            <w:rtl w:val="0"/>
          </w:rPr>
          <w:t xml:space="preserve">https://doi.org/10.2217/pgs-2019-0004</w:t>
        </w:r>
      </w:hyperlink>
      <w:r w:rsidDel="00000000" w:rsidR="00000000" w:rsidRPr="00000000">
        <w:rPr>
          <w:rtl w:val="0"/>
        </w:rPr>
      </w:r>
    </w:p>
    <w:p w:rsidR="00000000" w:rsidDel="00000000" w:rsidP="00000000" w:rsidRDefault="00000000" w:rsidRPr="00000000" w14:paraId="000000EE">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Gawronski, B. E., Fofanova, I., Miranda, A. M., Malave, J. G., &amp; Duarte, J. D. (2025). Implementation of clinical pharmacogenetic testing in medically underserved patients: A narrative review. </w:t>
      </w:r>
      <w:r w:rsidDel="00000000" w:rsidR="00000000" w:rsidRPr="00000000">
        <w:rPr>
          <w:rFonts w:ascii="Times New Roman" w:cs="Times New Roman" w:eastAsia="Times New Roman" w:hAnsi="Times New Roman"/>
          <w:i w:val="1"/>
          <w:iCs w:val="1"/>
          <w:sz w:val="24"/>
          <w:szCs w:val="24"/>
          <w:rtl w:val="0"/>
        </w:rPr>
        <w:t xml:space="preserve">Pharmacogenomics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(3–4), 107–119.</w:t>
      </w:r>
      <w:hyperlink r:id="rId44">
        <w:r w:rsidDel="00000000" w:rsidR="00000000" w:rsidRPr="00000000">
          <w:rPr>
            <w:rFonts w:ascii="Times New Roman" w:cs="Times New Roman" w:eastAsia="Times New Roman" w:hAnsi="Times New Roman"/>
            <w:sz w:val="24"/>
            <w:szCs w:val="24"/>
            <w:rtl w:val="0"/>
          </w:rPr>
          <w:t xml:space="preserve"> </w:t>
        </w:r>
      </w:hyperlink>
      <w:hyperlink r:id="rId45">
        <w:r w:rsidDel="00000000" w:rsidR="00000000" w:rsidRPr="00000000">
          <w:rPr>
            <w:rFonts w:ascii="Times New Roman" w:cs="Times New Roman" w:eastAsia="Times New Roman" w:hAnsi="Times New Roman"/>
            <w:color w:val="1155cc"/>
            <w:sz w:val="24"/>
            <w:szCs w:val="24"/>
            <w:u w:val="single"/>
            <w:rtl w:val="0"/>
          </w:rPr>
          <w:t xml:space="preserve">https://doi.org/10.1080/14622416.2025.2490461</w:t>
        </w:r>
      </w:hyperlink>
      <w:r w:rsidDel="00000000" w:rsidR="00000000" w:rsidRPr="00000000">
        <w:rPr>
          <w:rtl w:val="0"/>
        </w:rPr>
      </w:r>
    </w:p>
    <w:p w:rsidR="00000000" w:rsidDel="00000000" w:rsidP="00000000" w:rsidRDefault="00000000" w:rsidRPr="00000000" w14:paraId="000000EF">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Henricks, L. M., Lunenburg, C. A. T. C., de Man, F. M., Meulendijks, D., Frederix, G. W. J., Kienhuis, E., Creemers, G.-J., Baars, A., Dezentjé, V. O., Imholz, A. L. T., Jeurissen, F. J. F., Portielje, J. E. A., Jansen, R. L. H., Hamberg, P., Ten Tije, A. J., Droogendijk, H. J., Koopman, M., Nieboer, P., van de Poel, M. H. W., … Schellens, J. H. M. (2018). DPYD genotype-guided dose individualisation of fluoropyrimidine therapy in patients with cancer: A prospective safety analysis. </w:t>
      </w:r>
      <w:r w:rsidDel="00000000" w:rsidR="00000000" w:rsidRPr="00000000">
        <w:rPr>
          <w:rFonts w:ascii="Times New Roman" w:cs="Times New Roman" w:eastAsia="Times New Roman" w:hAnsi="Times New Roman"/>
          <w:i w:val="1"/>
          <w:iCs w:val="1"/>
          <w:sz w:val="24"/>
          <w:szCs w:val="24"/>
          <w:rtl w:val="0"/>
        </w:rPr>
        <w:t xml:space="preserve">The Lancet. Oncology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(11), 1459–1467.</w:t>
      </w:r>
      <w:hyperlink r:id="rId46">
        <w:r w:rsidDel="00000000" w:rsidR="00000000" w:rsidRPr="00000000">
          <w:rPr>
            <w:rFonts w:ascii="Times New Roman" w:cs="Times New Roman" w:eastAsia="Times New Roman" w:hAnsi="Times New Roman"/>
            <w:sz w:val="24"/>
            <w:szCs w:val="24"/>
            <w:rtl w:val="0"/>
          </w:rPr>
          <w:t xml:space="preserve"> </w:t>
        </w:r>
      </w:hyperlink>
      <w:hyperlink r:id="rId47">
        <w:r w:rsidDel="00000000" w:rsidR="00000000" w:rsidRPr="00000000">
          <w:rPr>
            <w:rFonts w:ascii="Times New Roman" w:cs="Times New Roman" w:eastAsia="Times New Roman" w:hAnsi="Times New Roman"/>
            <w:color w:val="1155cc"/>
            <w:sz w:val="24"/>
            <w:szCs w:val="24"/>
            <w:u w:val="single"/>
            <w:rtl w:val="0"/>
          </w:rPr>
          <w:t xml:space="preserve">https://doi.org/10.1016/S1470-2045(18)30686-7</w:t>
        </w:r>
      </w:hyperlink>
      <w:r w:rsidDel="00000000" w:rsidR="00000000" w:rsidRPr="00000000">
        <w:rPr>
          <w:rtl w:val="0"/>
        </w:rPr>
      </w:r>
    </w:p>
    <w:p w:rsidR="00000000" w:rsidDel="00000000" w:rsidP="00000000" w:rsidRDefault="00000000" w:rsidRPr="00000000" w14:paraId="000000F0">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Javed, A. (2025). Bridging the Health Care Gap in Rural Populations: Challenges, Innovations, and Solutions. </w:t>
      </w:r>
      <w:r w:rsidDel="00000000" w:rsidR="00000000" w:rsidRPr="00000000">
        <w:rPr>
          <w:rFonts w:ascii="Times New Roman" w:cs="Times New Roman" w:eastAsia="Times New Roman" w:hAnsi="Times New Roman"/>
          <w:i w:val="1"/>
          <w:iCs w:val="1"/>
          <w:sz w:val="24"/>
          <w:szCs w:val="24"/>
          <w:rtl w:val="0"/>
        </w:rPr>
        <w:t xml:space="preserve">The American Journal of Medicine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138</w:t>
      </w:r>
      <w:r w:rsidDel="00000000" w:rsidR="00000000" w:rsidRPr="00000000">
        <w:rPr>
          <w:rFonts w:ascii="Times New Roman" w:cs="Times New Roman" w:eastAsia="Times New Roman" w:hAnsi="Times New Roman"/>
          <w:sz w:val="24"/>
          <w:szCs w:val="24"/>
          <w:rtl w:val="0"/>
        </w:rPr>
        <w:t xml:space="preserve">(5), 761–762.</w:t>
      </w:r>
      <w:hyperlink r:id="rId48">
        <w:r w:rsidDel="00000000" w:rsidR="00000000" w:rsidRPr="00000000">
          <w:rPr>
            <w:rFonts w:ascii="Times New Roman" w:cs="Times New Roman" w:eastAsia="Times New Roman" w:hAnsi="Times New Roman"/>
            <w:sz w:val="24"/>
            <w:szCs w:val="24"/>
            <w:rtl w:val="0"/>
          </w:rPr>
          <w:t xml:space="preserve"> </w:t>
        </w:r>
      </w:hyperlink>
      <w:hyperlink r:id="rId49">
        <w:r w:rsidDel="00000000" w:rsidR="00000000" w:rsidRPr="00000000">
          <w:rPr>
            <w:rFonts w:ascii="Times New Roman" w:cs="Times New Roman" w:eastAsia="Times New Roman" w:hAnsi="Times New Roman"/>
            <w:color w:val="1155cc"/>
            <w:sz w:val="24"/>
            <w:szCs w:val="24"/>
            <w:u w:val="single"/>
            <w:rtl w:val="0"/>
          </w:rPr>
          <w:t xml:space="preserve">https://doi.org/10.1016/j.amjmed.2025.01.008</w:t>
        </w:r>
      </w:hyperlink>
      <w:r w:rsidDel="00000000" w:rsidR="00000000" w:rsidRPr="00000000">
        <w:rPr>
          <w:rtl w:val="0"/>
        </w:rPr>
      </w:r>
    </w:p>
    <w:p w:rsidR="00000000" w:rsidDel="00000000" w:rsidP="00000000" w:rsidRDefault="00000000" w:rsidRPr="00000000" w14:paraId="000000F1">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Johnson, A., Broughton, S., Aponte-Soto, L., Watson, K., Pinto, C. D. G., Empey, P., Reis, S., Winn, R., &amp; Massart, M. (2020). Participatory Genomic Testing Can Effectively Disseminate Cardiovascular Pharmacogenomics Concepts within Federally Qualified Health Centers: A Feasibility Study. </w:t>
      </w:r>
      <w:r w:rsidDel="00000000" w:rsidR="00000000" w:rsidRPr="00000000">
        <w:rPr>
          <w:rFonts w:ascii="Times New Roman" w:cs="Times New Roman" w:eastAsia="Times New Roman" w:hAnsi="Times New Roman"/>
          <w:i w:val="1"/>
          <w:iCs w:val="1"/>
          <w:sz w:val="24"/>
          <w:szCs w:val="24"/>
          <w:rtl w:val="0"/>
        </w:rPr>
        <w:t xml:space="preserve">Ethnicity &amp; Disease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30</w:t>
      </w:r>
      <w:r w:rsidDel="00000000" w:rsidR="00000000" w:rsidRPr="00000000">
        <w:rPr>
          <w:rFonts w:ascii="Times New Roman" w:cs="Times New Roman" w:eastAsia="Times New Roman" w:hAnsi="Times New Roman"/>
          <w:sz w:val="24"/>
          <w:szCs w:val="24"/>
          <w:rtl w:val="0"/>
        </w:rPr>
        <w:t xml:space="preserve">(Suppl 1), 167–176.</w:t>
      </w:r>
      <w:hyperlink r:id="rId50">
        <w:r w:rsidDel="00000000" w:rsidR="00000000" w:rsidRPr="00000000">
          <w:rPr>
            <w:rFonts w:ascii="Times New Roman" w:cs="Times New Roman" w:eastAsia="Times New Roman" w:hAnsi="Times New Roman"/>
            <w:sz w:val="24"/>
            <w:szCs w:val="24"/>
            <w:rtl w:val="0"/>
          </w:rPr>
          <w:t xml:space="preserve"> </w:t>
        </w:r>
      </w:hyperlink>
      <w:hyperlink r:id="rId51">
        <w:r w:rsidDel="00000000" w:rsidR="00000000" w:rsidRPr="00000000">
          <w:rPr>
            <w:rFonts w:ascii="Times New Roman" w:cs="Times New Roman" w:eastAsia="Times New Roman" w:hAnsi="Times New Roman"/>
            <w:color w:val="1155cc"/>
            <w:sz w:val="24"/>
            <w:szCs w:val="24"/>
            <w:u w:val="single"/>
            <w:rtl w:val="0"/>
          </w:rPr>
          <w:t xml:space="preserve">https://doi.org/10.18865/ed.30.S1.167</w:t>
        </w:r>
      </w:hyperlink>
      <w:r w:rsidDel="00000000" w:rsidR="00000000" w:rsidRPr="00000000">
        <w:rPr>
          <w:rtl w:val="0"/>
        </w:rPr>
      </w:r>
    </w:p>
    <w:p w:rsidR="00000000" w:rsidDel="00000000" w:rsidP="00000000" w:rsidRDefault="00000000" w:rsidRPr="00000000" w14:paraId="000000F2">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Leitch, T. M., Killam, S. R., Brown, K. E., Katseanes, K. C., George, K. M., Schwanke, C., Loveland, J., Elias, A. F., Haney, K., Krebsbach, K., Muzquiz, L. I., Trinidad, S. B., &amp; Woodahl, E. L. (2022). Ensuring equity: Pharmacogenetic implementation in rural and tribal communities. </w:t>
      </w:r>
      <w:r w:rsidDel="00000000" w:rsidR="00000000" w:rsidRPr="00000000">
        <w:rPr>
          <w:rFonts w:ascii="Times New Roman" w:cs="Times New Roman" w:eastAsia="Times New Roman" w:hAnsi="Times New Roman"/>
          <w:i w:val="1"/>
          <w:iCs w:val="1"/>
          <w:sz w:val="24"/>
          <w:szCs w:val="24"/>
          <w:rtl w:val="0"/>
        </w:rPr>
        <w:t xml:space="preserve">Frontiers in Pharmacology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953142.</w:t>
      </w:r>
      <w:hyperlink r:id="rId52">
        <w:r w:rsidDel="00000000" w:rsidR="00000000" w:rsidRPr="00000000">
          <w:rPr>
            <w:rFonts w:ascii="Times New Roman" w:cs="Times New Roman" w:eastAsia="Times New Roman" w:hAnsi="Times New Roman"/>
            <w:sz w:val="24"/>
            <w:szCs w:val="24"/>
            <w:rtl w:val="0"/>
          </w:rPr>
          <w:t xml:space="preserve"> </w:t>
        </w:r>
      </w:hyperlink>
      <w:hyperlink r:id="rId53">
        <w:r w:rsidDel="00000000" w:rsidR="00000000" w:rsidRPr="00000000">
          <w:rPr>
            <w:rFonts w:ascii="Times New Roman" w:cs="Times New Roman" w:eastAsia="Times New Roman" w:hAnsi="Times New Roman"/>
            <w:color w:val="1155cc"/>
            <w:sz w:val="24"/>
            <w:szCs w:val="24"/>
            <w:u w:val="single"/>
            <w:rtl w:val="0"/>
          </w:rPr>
          <w:t xml:space="preserve">https://doi.org/10.3389/fphar.2022.953142</w:t>
        </w:r>
      </w:hyperlink>
      <w:r w:rsidDel="00000000" w:rsidR="00000000" w:rsidRPr="00000000">
        <w:rPr>
          <w:rtl w:val="0"/>
        </w:rPr>
      </w:r>
    </w:p>
    <w:p w:rsidR="00000000" w:rsidDel="00000000" w:rsidP="00000000" w:rsidRDefault="00000000" w:rsidRPr="00000000" w14:paraId="000000F3">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Levac, D., Colquhoun, H., &amp; O’Brien, K. K. (2010). Scoping studies: Advancing the methodology. </w:t>
      </w:r>
      <w:r w:rsidDel="00000000" w:rsidR="00000000" w:rsidRPr="00000000">
        <w:rPr>
          <w:rFonts w:ascii="Times New Roman" w:cs="Times New Roman" w:eastAsia="Times New Roman" w:hAnsi="Times New Roman"/>
          <w:i w:val="1"/>
          <w:iCs w:val="1"/>
          <w:sz w:val="24"/>
          <w:szCs w:val="24"/>
          <w:rtl w:val="0"/>
        </w:rPr>
        <w:t xml:space="preserve">Implementation Science: 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69.</w:t>
      </w:r>
      <w:hyperlink r:id="rId54">
        <w:r w:rsidDel="00000000" w:rsidR="00000000" w:rsidRPr="00000000">
          <w:rPr>
            <w:rFonts w:ascii="Times New Roman" w:cs="Times New Roman" w:eastAsia="Times New Roman" w:hAnsi="Times New Roman"/>
            <w:sz w:val="24"/>
            <w:szCs w:val="24"/>
            <w:rtl w:val="0"/>
          </w:rPr>
          <w:t xml:space="preserve"> </w:t>
        </w:r>
      </w:hyperlink>
      <w:hyperlink r:id="rId55">
        <w:r w:rsidDel="00000000" w:rsidR="00000000" w:rsidRPr="00000000">
          <w:rPr>
            <w:rFonts w:ascii="Times New Roman" w:cs="Times New Roman" w:eastAsia="Times New Roman" w:hAnsi="Times New Roman"/>
            <w:color w:val="1155cc"/>
            <w:sz w:val="24"/>
            <w:szCs w:val="24"/>
            <w:u w:val="single"/>
            <w:rtl w:val="0"/>
          </w:rPr>
          <w:t xml:space="preserve">https://doi.org/10.1186/1748-5908-5-69</w:t>
        </w:r>
      </w:hyperlink>
      <w:r w:rsidDel="00000000" w:rsidR="00000000" w:rsidRPr="00000000">
        <w:rPr>
          <w:rtl w:val="0"/>
        </w:rPr>
      </w:r>
    </w:p>
    <w:p w:rsidR="00000000" w:rsidDel="00000000" w:rsidP="00000000" w:rsidRDefault="00000000" w:rsidRPr="00000000" w14:paraId="000000F4">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Luzum, J. A., Pakyz, R. E., Elsey, A. R., Haidar, C. E., Peterson, J. F., Whirl-Carrillo, M., Handelman, S. K., Palmer, K., Pulley, J. M., Beller, M., Schildcrout, J. S., Field, J. R., Weitzel, K. W., Cooper-DeHoff, R. M., Cavallari, L. H., O’Donnell, P. H., Altman, R. B., Pereira, N., Ratain, M. J., … Freimuth, R. R. (2017). </w:t>
      </w:r>
      <w:r w:rsidDel="00000000" w:rsidR="00000000" w:rsidRPr="00000000">
        <w:rPr>
          <w:rFonts w:ascii="Times New Roman" w:cs="Times New Roman" w:eastAsia="Times New Roman" w:hAnsi="Times New Roman"/>
          <w:i w:val="1"/>
          <w:iCs w:val="1"/>
          <w:sz w:val="24"/>
          <w:szCs w:val="24"/>
          <w:rtl w:val="0"/>
        </w:rPr>
        <w:t xml:space="preserve">The Pharmacogenomics Research Network Translational Pharmacogenetics Program: Outcomes and Metrics of Pharmacogenetic Implementations Across Diverse Healthcare Systems</w:t>
      </w:r>
      <w:r w:rsidDel="00000000" w:rsidR="00000000" w:rsidRPr="00000000">
        <w:rPr>
          <w:rFonts w:ascii="Times New Roman" w:cs="Times New Roman" w:eastAsia="Times New Roman" w:hAnsi="Times New Roman"/>
          <w:sz w:val="24"/>
          <w:szCs w:val="24"/>
          <w:rtl w:val="0"/>
        </w:rPr>
        <w:t xml:space="preserve">.</w:t>
      </w:r>
      <w:hyperlink r:id="rId56">
        <w:r w:rsidDel="00000000" w:rsidR="00000000" w:rsidRPr="00000000">
          <w:rPr>
            <w:rFonts w:ascii="Times New Roman" w:cs="Times New Roman" w:eastAsia="Times New Roman" w:hAnsi="Times New Roman"/>
            <w:sz w:val="24"/>
            <w:szCs w:val="24"/>
            <w:rtl w:val="0"/>
          </w:rPr>
          <w:t xml:space="preserve"> </w:t>
        </w:r>
      </w:hyperlink>
      <w:hyperlink r:id="rId57">
        <w:r w:rsidDel="00000000" w:rsidR="00000000" w:rsidRPr="00000000">
          <w:rPr>
            <w:rFonts w:ascii="Times New Roman" w:cs="Times New Roman" w:eastAsia="Times New Roman" w:hAnsi="Times New Roman"/>
            <w:color w:val="1155cc"/>
            <w:sz w:val="24"/>
            <w:szCs w:val="24"/>
            <w:u w:val="single"/>
            <w:rtl w:val="0"/>
          </w:rPr>
          <w:t xml:space="preserve">https://doi.org/10.1002/cpt.630</w:t>
        </w:r>
      </w:hyperlink>
      <w:r w:rsidDel="00000000" w:rsidR="00000000" w:rsidRPr="00000000">
        <w:rPr>
          <w:rtl w:val="0"/>
        </w:rPr>
      </w:r>
    </w:p>
    <w:p w:rsidR="00000000" w:rsidDel="00000000" w:rsidP="00000000" w:rsidRDefault="00000000" w:rsidRPr="00000000" w14:paraId="000000F5">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Magavern, E. F., Kaski, J. C., Turner, R. M., Janmohamed, A., Borry, P., &amp; Pirmohamed, M. (2021). The Interface of Therapeutics and Genomics in Cardiovascular Medicine. </w:t>
      </w:r>
      <w:r w:rsidDel="00000000" w:rsidR="00000000" w:rsidRPr="00000000">
        <w:rPr>
          <w:rFonts w:ascii="Times New Roman" w:cs="Times New Roman" w:eastAsia="Times New Roman" w:hAnsi="Times New Roman"/>
          <w:i w:val="1"/>
          <w:iCs w:val="1"/>
          <w:sz w:val="24"/>
          <w:szCs w:val="24"/>
          <w:rtl w:val="0"/>
        </w:rPr>
        <w:t xml:space="preserve">Cardiovascular Drugs and Therapy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(3), 663–676.</w:t>
      </w:r>
      <w:hyperlink r:id="rId58">
        <w:r w:rsidDel="00000000" w:rsidR="00000000" w:rsidRPr="00000000">
          <w:rPr>
            <w:rFonts w:ascii="Times New Roman" w:cs="Times New Roman" w:eastAsia="Times New Roman" w:hAnsi="Times New Roman"/>
            <w:sz w:val="24"/>
            <w:szCs w:val="24"/>
            <w:rtl w:val="0"/>
          </w:rPr>
          <w:t xml:space="preserve"> </w:t>
        </w:r>
      </w:hyperlink>
      <w:hyperlink r:id="rId59">
        <w:r w:rsidDel="00000000" w:rsidR="00000000" w:rsidRPr="00000000">
          <w:rPr>
            <w:rFonts w:ascii="Times New Roman" w:cs="Times New Roman" w:eastAsia="Times New Roman" w:hAnsi="Times New Roman"/>
            <w:color w:val="1155cc"/>
            <w:sz w:val="24"/>
            <w:szCs w:val="24"/>
            <w:u w:val="single"/>
            <w:rtl w:val="0"/>
          </w:rPr>
          <w:t xml:space="preserve">https://doi.org/10.1007/s10557-021-07149-3</w:t>
        </w:r>
      </w:hyperlink>
      <w:r w:rsidDel="00000000" w:rsidR="00000000" w:rsidRPr="00000000">
        <w:rPr>
          <w:rtl w:val="0"/>
        </w:rPr>
      </w:r>
    </w:p>
    <w:p w:rsidR="00000000" w:rsidDel="00000000" w:rsidP="00000000" w:rsidRDefault="00000000" w:rsidRPr="00000000" w14:paraId="000000F6">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Martin, A. R., Kanai, M., Kamatani, Y., Okada, Y., Neale, B. M., &amp; Daly, M. J. (2019). Clinical use of current polygenic risk scores may exacerbate health disparities. </w:t>
      </w:r>
      <w:r w:rsidDel="00000000" w:rsidR="00000000" w:rsidRPr="00000000">
        <w:rPr>
          <w:rFonts w:ascii="Times New Roman" w:cs="Times New Roman" w:eastAsia="Times New Roman" w:hAnsi="Times New Roman"/>
          <w:i w:val="1"/>
          <w:iCs w:val="1"/>
          <w:sz w:val="24"/>
          <w:szCs w:val="24"/>
          <w:rtl w:val="0"/>
        </w:rPr>
        <w:t xml:space="preserve">Nature Genetics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(4), 584–591.</w:t>
      </w:r>
      <w:hyperlink r:id="rId60">
        <w:r w:rsidDel="00000000" w:rsidR="00000000" w:rsidRPr="00000000">
          <w:rPr>
            <w:rFonts w:ascii="Times New Roman" w:cs="Times New Roman" w:eastAsia="Times New Roman" w:hAnsi="Times New Roman"/>
            <w:sz w:val="24"/>
            <w:szCs w:val="24"/>
            <w:rtl w:val="0"/>
          </w:rPr>
          <w:t xml:space="preserve"> </w:t>
        </w:r>
      </w:hyperlink>
      <w:hyperlink r:id="rId61">
        <w:r w:rsidDel="00000000" w:rsidR="00000000" w:rsidRPr="00000000">
          <w:rPr>
            <w:rFonts w:ascii="Times New Roman" w:cs="Times New Roman" w:eastAsia="Times New Roman" w:hAnsi="Times New Roman"/>
            <w:color w:val="1155cc"/>
            <w:sz w:val="24"/>
            <w:szCs w:val="24"/>
            <w:u w:val="single"/>
            <w:rtl w:val="0"/>
          </w:rPr>
          <w:t xml:space="preserve">https://doi.org/10.1038/s41588-019-0379-x</w:t>
        </w:r>
      </w:hyperlink>
      <w:r w:rsidDel="00000000" w:rsidR="00000000" w:rsidRPr="00000000">
        <w:rPr>
          <w:rtl w:val="0"/>
        </w:rPr>
      </w:r>
    </w:p>
    <w:p w:rsidR="00000000" w:rsidDel="00000000" w:rsidP="00000000" w:rsidRDefault="00000000" w:rsidRPr="00000000" w14:paraId="000000F7">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Martin, J. L., Lee, Y. M., Corbin, L. W., Colson, R., &amp; Aquilante, C. L. (2022). Patients’ perspectives of a pharmacist-provided clinical pharmacogenomics service. </w:t>
      </w:r>
      <w:r w:rsidDel="00000000" w:rsidR="00000000" w:rsidRPr="00000000">
        <w:rPr>
          <w:rFonts w:ascii="Times New Roman" w:cs="Times New Roman" w:eastAsia="Times New Roman" w:hAnsi="Times New Roman"/>
          <w:i w:val="1"/>
          <w:iCs w:val="1"/>
          <w:sz w:val="24"/>
          <w:szCs w:val="24"/>
          <w:rtl w:val="0"/>
        </w:rPr>
        <w:t xml:space="preserve">Pharmacogenomics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(8), 463–474.</w:t>
      </w:r>
      <w:hyperlink r:id="rId62">
        <w:r w:rsidDel="00000000" w:rsidR="00000000" w:rsidRPr="00000000">
          <w:rPr>
            <w:rFonts w:ascii="Times New Roman" w:cs="Times New Roman" w:eastAsia="Times New Roman" w:hAnsi="Times New Roman"/>
            <w:sz w:val="24"/>
            <w:szCs w:val="24"/>
            <w:rtl w:val="0"/>
          </w:rPr>
          <w:t xml:space="preserve"> </w:t>
        </w:r>
      </w:hyperlink>
      <w:hyperlink r:id="rId63">
        <w:r w:rsidDel="00000000" w:rsidR="00000000" w:rsidRPr="00000000">
          <w:rPr>
            <w:rFonts w:ascii="Times New Roman" w:cs="Times New Roman" w:eastAsia="Times New Roman" w:hAnsi="Times New Roman"/>
            <w:color w:val="1155cc"/>
            <w:sz w:val="24"/>
            <w:szCs w:val="24"/>
            <w:u w:val="single"/>
            <w:rtl w:val="0"/>
          </w:rPr>
          <w:t xml:space="preserve">https://doi.org/10.2217/pgs-2022-0013</w:t>
        </w:r>
      </w:hyperlink>
      <w:r w:rsidDel="00000000" w:rsidR="00000000" w:rsidRPr="00000000">
        <w:rPr>
          <w:rtl w:val="0"/>
        </w:rPr>
      </w:r>
    </w:p>
    <w:p w:rsidR="00000000" w:rsidDel="00000000" w:rsidP="00000000" w:rsidRDefault="00000000" w:rsidRPr="00000000" w14:paraId="000000F8">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Mohamed, M., Jacobson, P. A., Johnson, A., &amp; Brown, J. T. (2026). Pharmacist workforce training in pharmacogenomics with a focus on rural and underserved areas. </w:t>
      </w:r>
      <w:r w:rsidDel="00000000" w:rsidR="00000000" w:rsidRPr="00000000">
        <w:rPr>
          <w:rFonts w:ascii="Times New Roman" w:cs="Times New Roman" w:eastAsia="Times New Roman" w:hAnsi="Times New Roman"/>
          <w:i w:val="1"/>
          <w:iCs w:val="1"/>
          <w:sz w:val="24"/>
          <w:szCs w:val="24"/>
          <w:rtl w:val="0"/>
        </w:rPr>
        <w:t xml:space="preserve">Frontiers in Genetics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w:t>
      </w:r>
      <w:hyperlink r:id="rId64">
        <w:r w:rsidDel="00000000" w:rsidR="00000000" w:rsidRPr="00000000">
          <w:rPr>
            <w:rFonts w:ascii="Times New Roman" w:cs="Times New Roman" w:eastAsia="Times New Roman" w:hAnsi="Times New Roman"/>
            <w:sz w:val="24"/>
            <w:szCs w:val="24"/>
            <w:rtl w:val="0"/>
          </w:rPr>
          <w:t xml:space="preserve"> </w:t>
        </w:r>
      </w:hyperlink>
      <w:hyperlink r:id="rId65">
        <w:r w:rsidDel="00000000" w:rsidR="00000000" w:rsidRPr="00000000">
          <w:rPr>
            <w:rFonts w:ascii="Times New Roman" w:cs="Times New Roman" w:eastAsia="Times New Roman" w:hAnsi="Times New Roman"/>
            <w:color w:val="1155cc"/>
            <w:sz w:val="24"/>
            <w:szCs w:val="24"/>
            <w:u w:val="single"/>
            <w:rtl w:val="0"/>
          </w:rPr>
          <w:t xml:space="preserve">https://doi.org/10.3389/fgene.2026.1794122</w:t>
        </w:r>
      </w:hyperlink>
      <w:r w:rsidDel="00000000" w:rsidR="00000000" w:rsidRPr="00000000">
        <w:rPr>
          <w:rtl w:val="0"/>
        </w:rPr>
      </w:r>
    </w:p>
    <w:p w:rsidR="00000000" w:rsidDel="00000000" w:rsidP="00000000" w:rsidRDefault="00000000" w:rsidRPr="00000000" w14:paraId="000000F9">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Morales, C. T., Muzquiz, L. I., Howlett, K., Azure, B., Bodnar, B., Finley, V., Incashola, T., Mathias, C., Laukes, C., Beatty, P., Burke, W., Pershouse, M. A., Putnam, E. A., Trinidad, S. B., James, R., &amp; Woodahl, E. L. (2016). Partnership with the Confederated Salish and Kootenai Tribes: Establishing an Advisory Committee for Pharmacogenetic Research. </w:t>
      </w:r>
      <w:r w:rsidDel="00000000" w:rsidR="00000000" w:rsidRPr="00000000">
        <w:rPr>
          <w:rFonts w:ascii="Times New Roman" w:cs="Times New Roman" w:eastAsia="Times New Roman" w:hAnsi="Times New Roman"/>
          <w:i w:val="1"/>
          <w:iCs w:val="1"/>
          <w:sz w:val="24"/>
          <w:szCs w:val="24"/>
          <w:rtl w:val="0"/>
        </w:rPr>
        <w:t xml:space="preserve">Progress in Community Health Partnerships : Research, Education, and Action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 173–183.</w:t>
      </w:r>
      <w:hyperlink r:id="rId66">
        <w:r w:rsidDel="00000000" w:rsidR="00000000" w:rsidRPr="00000000">
          <w:rPr>
            <w:rFonts w:ascii="Times New Roman" w:cs="Times New Roman" w:eastAsia="Times New Roman" w:hAnsi="Times New Roman"/>
            <w:sz w:val="24"/>
            <w:szCs w:val="24"/>
            <w:rtl w:val="0"/>
          </w:rPr>
          <w:t xml:space="preserve"> </w:t>
        </w:r>
      </w:hyperlink>
      <w:hyperlink r:id="rId67">
        <w:r w:rsidDel="00000000" w:rsidR="00000000" w:rsidRPr="00000000">
          <w:rPr>
            <w:rFonts w:ascii="Times New Roman" w:cs="Times New Roman" w:eastAsia="Times New Roman" w:hAnsi="Times New Roman"/>
            <w:color w:val="1155cc"/>
            <w:sz w:val="24"/>
            <w:szCs w:val="24"/>
            <w:u w:val="single"/>
            <w:rtl w:val="0"/>
          </w:rPr>
          <w:t xml:space="preserve">https://doi.org/10.1353/cpr.2016.0035</w:t>
        </w:r>
      </w:hyperlink>
      <w:r w:rsidDel="00000000" w:rsidR="00000000" w:rsidRPr="00000000">
        <w:rPr>
          <w:rtl w:val="0"/>
        </w:rPr>
      </w:r>
    </w:p>
    <w:p w:rsidR="00000000" w:rsidDel="00000000" w:rsidP="00000000" w:rsidRDefault="00000000" w:rsidRPr="00000000" w14:paraId="000000FA">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Natasha Petry, null, Baye, J., Aifaoui, A., Wilke, R. A., Lupu, R. A., Savageau, J., Gapp, B., Massmann, A., Hahn, D., Hajek, C., &amp; Schultz, A. (2019). Implementation of wide-scale pharmacogenetic testing in primary care. </w:t>
      </w:r>
      <w:r w:rsidDel="00000000" w:rsidR="00000000" w:rsidRPr="00000000">
        <w:rPr>
          <w:rFonts w:ascii="Times New Roman" w:cs="Times New Roman" w:eastAsia="Times New Roman" w:hAnsi="Times New Roman"/>
          <w:i w:val="1"/>
          <w:iCs w:val="1"/>
          <w:sz w:val="24"/>
          <w:szCs w:val="24"/>
          <w:rtl w:val="0"/>
        </w:rPr>
        <w:t xml:space="preserve">Pharmacogenomics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(12), 903–913.</w:t>
      </w:r>
      <w:hyperlink r:id="rId68">
        <w:r w:rsidDel="00000000" w:rsidR="00000000" w:rsidRPr="00000000">
          <w:rPr>
            <w:rFonts w:ascii="Times New Roman" w:cs="Times New Roman" w:eastAsia="Times New Roman" w:hAnsi="Times New Roman"/>
            <w:sz w:val="24"/>
            <w:szCs w:val="24"/>
            <w:rtl w:val="0"/>
          </w:rPr>
          <w:t xml:space="preserve"> </w:t>
        </w:r>
      </w:hyperlink>
      <w:hyperlink r:id="rId69">
        <w:r w:rsidDel="00000000" w:rsidR="00000000" w:rsidRPr="00000000">
          <w:rPr>
            <w:rFonts w:ascii="Times New Roman" w:cs="Times New Roman" w:eastAsia="Times New Roman" w:hAnsi="Times New Roman"/>
            <w:color w:val="1155cc"/>
            <w:sz w:val="24"/>
            <w:szCs w:val="24"/>
            <w:u w:val="single"/>
            <w:rtl w:val="0"/>
          </w:rPr>
          <w:t xml:space="preserve">https://doi.org/10.2217/pgs-2019-0043</w:t>
        </w:r>
      </w:hyperlink>
      <w:r w:rsidDel="00000000" w:rsidR="00000000" w:rsidRPr="00000000">
        <w:rPr>
          <w:rtl w:val="0"/>
        </w:rPr>
      </w:r>
    </w:p>
    <w:p w:rsidR="00000000" w:rsidDel="00000000" w:rsidP="00000000" w:rsidRDefault="00000000" w:rsidRPr="00000000" w14:paraId="000000FB">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Oleribe, O. O., Momoh, J., Uzochukwu, B. S., Mbofana, F., Adebiyi, A., Barbera, T., Williams, R., &amp; Taylor-Robinson, S. D. (2019). Identifying Key Challenges Facing Healthcare Systems In Africa And Potential Solutions. </w:t>
      </w:r>
      <w:r w:rsidDel="00000000" w:rsidR="00000000" w:rsidRPr="00000000">
        <w:rPr>
          <w:rFonts w:ascii="Times New Roman" w:cs="Times New Roman" w:eastAsia="Times New Roman" w:hAnsi="Times New Roman"/>
          <w:i w:val="1"/>
          <w:iCs w:val="1"/>
          <w:sz w:val="24"/>
          <w:szCs w:val="24"/>
          <w:rtl w:val="0"/>
        </w:rPr>
        <w:t xml:space="preserve">International Journal of General Medicine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395–403.</w:t>
      </w:r>
      <w:hyperlink r:id="rId70">
        <w:r w:rsidDel="00000000" w:rsidR="00000000" w:rsidRPr="00000000">
          <w:rPr>
            <w:rFonts w:ascii="Times New Roman" w:cs="Times New Roman" w:eastAsia="Times New Roman" w:hAnsi="Times New Roman"/>
            <w:sz w:val="24"/>
            <w:szCs w:val="24"/>
            <w:rtl w:val="0"/>
          </w:rPr>
          <w:t xml:space="preserve"> </w:t>
        </w:r>
      </w:hyperlink>
      <w:hyperlink r:id="rId71">
        <w:r w:rsidDel="00000000" w:rsidR="00000000" w:rsidRPr="00000000">
          <w:rPr>
            <w:rFonts w:ascii="Times New Roman" w:cs="Times New Roman" w:eastAsia="Times New Roman" w:hAnsi="Times New Roman"/>
            <w:color w:val="1155cc"/>
            <w:sz w:val="24"/>
            <w:szCs w:val="24"/>
            <w:u w:val="single"/>
            <w:rtl w:val="0"/>
          </w:rPr>
          <w:t xml:space="preserve">https://doi.org/10.2147/IJGM.S223882</w:t>
        </w:r>
      </w:hyperlink>
      <w:r w:rsidDel="00000000" w:rsidR="00000000" w:rsidRPr="00000000">
        <w:rPr>
          <w:rtl w:val="0"/>
        </w:rPr>
      </w:r>
    </w:p>
    <w:p w:rsidR="00000000" w:rsidDel="00000000" w:rsidP="00000000" w:rsidRDefault="00000000" w:rsidRPr="00000000" w14:paraId="000000FC">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Petry, N. J., Van Heukelom, J., Schultz, A. J., Jacobsen, K., Baye, J. F., Mills, S., Figueroa, D. M., &amp; Massmann, A. (2024). Implementation of CYP2C19 and CYP2D6 genotyping to guide antidepressant use in a large rural health system. </w:t>
      </w:r>
      <w:r w:rsidDel="00000000" w:rsidR="00000000" w:rsidRPr="00000000">
        <w:rPr>
          <w:rFonts w:ascii="Times New Roman" w:cs="Times New Roman" w:eastAsia="Times New Roman" w:hAnsi="Times New Roman"/>
          <w:i w:val="1"/>
          <w:iCs w:val="1"/>
          <w:sz w:val="24"/>
          <w:szCs w:val="24"/>
          <w:rtl w:val="0"/>
        </w:rPr>
        <w:t xml:space="preserve">American Journal of Health-System Pharmacy: AJHP: Official Journal of the American Society of Health-System Pharmacists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81</w:t>
      </w:r>
      <w:r w:rsidDel="00000000" w:rsidR="00000000" w:rsidRPr="00000000">
        <w:rPr>
          <w:rFonts w:ascii="Times New Roman" w:cs="Times New Roman" w:eastAsia="Times New Roman" w:hAnsi="Times New Roman"/>
          <w:sz w:val="24"/>
          <w:szCs w:val="24"/>
          <w:rtl w:val="0"/>
        </w:rPr>
        <w:t xml:space="preserve">(16), 723–732.</w:t>
      </w:r>
      <w:hyperlink r:id="rId72">
        <w:r w:rsidDel="00000000" w:rsidR="00000000" w:rsidRPr="00000000">
          <w:rPr>
            <w:rFonts w:ascii="Times New Roman" w:cs="Times New Roman" w:eastAsia="Times New Roman" w:hAnsi="Times New Roman"/>
            <w:sz w:val="24"/>
            <w:szCs w:val="24"/>
            <w:rtl w:val="0"/>
          </w:rPr>
          <w:t xml:space="preserve"> </w:t>
        </w:r>
      </w:hyperlink>
      <w:hyperlink r:id="rId73">
        <w:r w:rsidDel="00000000" w:rsidR="00000000" w:rsidRPr="00000000">
          <w:rPr>
            <w:rFonts w:ascii="Times New Roman" w:cs="Times New Roman" w:eastAsia="Times New Roman" w:hAnsi="Times New Roman"/>
            <w:color w:val="1155cc"/>
            <w:sz w:val="24"/>
            <w:szCs w:val="24"/>
            <w:u w:val="single"/>
            <w:rtl w:val="0"/>
          </w:rPr>
          <w:t xml:space="preserve">https://doi.org/10.1093/ajhp/zxae083</w:t>
        </w:r>
      </w:hyperlink>
      <w:r w:rsidDel="00000000" w:rsidR="00000000" w:rsidRPr="00000000">
        <w:rPr>
          <w:rtl w:val="0"/>
        </w:rPr>
      </w:r>
    </w:p>
    <w:p w:rsidR="00000000" w:rsidDel="00000000" w:rsidP="00000000" w:rsidRDefault="00000000" w:rsidRPr="00000000" w14:paraId="000000FD">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Relling, M. V., Schwab, M., Whirl-Carrillo, M., Suarez-Kurtz, G., Pui, C.-H., Stein, C. M., Moyer, A. M., Evans, W. E., Klein, T. E., Antillon-Klussmann, F. G., Caudle, K. E., Kato, M., Yeoh, A. E. J., Schmiegelow, K., &amp; Yang, J. J. (2019). Clinical Pharmacogenetics Implementation Consortium Guideline for Thiopurine Dosing Based on TPMT and NUDT15 Genotypes: 2018 Update. </w:t>
      </w:r>
      <w:r w:rsidDel="00000000" w:rsidR="00000000" w:rsidRPr="00000000">
        <w:rPr>
          <w:rFonts w:ascii="Times New Roman" w:cs="Times New Roman" w:eastAsia="Times New Roman" w:hAnsi="Times New Roman"/>
          <w:i w:val="1"/>
          <w:iCs w:val="1"/>
          <w:sz w:val="24"/>
          <w:szCs w:val="24"/>
          <w:rtl w:val="0"/>
        </w:rPr>
        <w:t xml:space="preserve">Clinical Pharmacology and Therapeutics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(5), 1095–1105.</w:t>
      </w:r>
      <w:hyperlink r:id="rId74">
        <w:r w:rsidDel="00000000" w:rsidR="00000000" w:rsidRPr="00000000">
          <w:rPr>
            <w:rFonts w:ascii="Times New Roman" w:cs="Times New Roman" w:eastAsia="Times New Roman" w:hAnsi="Times New Roman"/>
            <w:sz w:val="24"/>
            <w:szCs w:val="24"/>
            <w:rtl w:val="0"/>
          </w:rPr>
          <w:t xml:space="preserve"> </w:t>
        </w:r>
      </w:hyperlink>
      <w:hyperlink r:id="rId75">
        <w:r w:rsidDel="00000000" w:rsidR="00000000" w:rsidRPr="00000000">
          <w:rPr>
            <w:rFonts w:ascii="Times New Roman" w:cs="Times New Roman" w:eastAsia="Times New Roman" w:hAnsi="Times New Roman"/>
            <w:color w:val="1155cc"/>
            <w:sz w:val="24"/>
            <w:szCs w:val="24"/>
            <w:u w:val="single"/>
            <w:rtl w:val="0"/>
          </w:rPr>
          <w:t xml:space="preserve">https://doi.org/10.1002/cpt.1304</w:t>
        </w:r>
      </w:hyperlink>
      <w:r w:rsidDel="00000000" w:rsidR="00000000" w:rsidRPr="00000000">
        <w:rPr>
          <w:rtl w:val="0"/>
        </w:rPr>
      </w:r>
    </w:p>
    <w:p w:rsidR="00000000" w:rsidDel="00000000" w:rsidP="00000000" w:rsidRDefault="00000000" w:rsidRPr="00000000" w14:paraId="000000FE">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Roden, D. M., McLeod, H. L., Relling, M. V., Williams, M. S., Mensah, G. A., Peterson, J. F., &amp; Van Driest, S. L. (2019). Pharmacogenomics. </w:t>
      </w:r>
      <w:r w:rsidDel="00000000" w:rsidR="00000000" w:rsidRPr="00000000">
        <w:rPr>
          <w:rFonts w:ascii="Times New Roman" w:cs="Times New Roman" w:eastAsia="Times New Roman" w:hAnsi="Times New Roman"/>
          <w:i w:val="1"/>
          <w:iCs w:val="1"/>
          <w:sz w:val="24"/>
          <w:szCs w:val="24"/>
          <w:rtl w:val="0"/>
        </w:rPr>
        <w:t xml:space="preserve">Lancet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394</w:t>
      </w:r>
      <w:r w:rsidDel="00000000" w:rsidR="00000000" w:rsidRPr="00000000">
        <w:rPr>
          <w:rFonts w:ascii="Times New Roman" w:cs="Times New Roman" w:eastAsia="Times New Roman" w:hAnsi="Times New Roman"/>
          <w:sz w:val="24"/>
          <w:szCs w:val="24"/>
          <w:rtl w:val="0"/>
        </w:rPr>
        <w:t xml:space="preserve">(10197), 521–532.</w:t>
      </w:r>
      <w:hyperlink r:id="rId76">
        <w:r w:rsidDel="00000000" w:rsidR="00000000" w:rsidRPr="00000000">
          <w:rPr>
            <w:rFonts w:ascii="Times New Roman" w:cs="Times New Roman" w:eastAsia="Times New Roman" w:hAnsi="Times New Roman"/>
            <w:sz w:val="24"/>
            <w:szCs w:val="24"/>
            <w:rtl w:val="0"/>
          </w:rPr>
          <w:t xml:space="preserve"> </w:t>
        </w:r>
      </w:hyperlink>
      <w:hyperlink r:id="rId77">
        <w:r w:rsidDel="00000000" w:rsidR="00000000" w:rsidRPr="00000000">
          <w:rPr>
            <w:rFonts w:ascii="Times New Roman" w:cs="Times New Roman" w:eastAsia="Times New Roman" w:hAnsi="Times New Roman"/>
            <w:color w:val="1155cc"/>
            <w:sz w:val="24"/>
            <w:szCs w:val="24"/>
            <w:u w:val="single"/>
            <w:rtl w:val="0"/>
          </w:rPr>
          <w:t xml:space="preserve">https://doi.org/10.1016/S0140-6736(19)31276-0</w:t>
        </w:r>
      </w:hyperlink>
      <w:r w:rsidDel="00000000" w:rsidR="00000000" w:rsidRPr="00000000">
        <w:rPr>
          <w:rtl w:val="0"/>
        </w:rPr>
      </w:r>
    </w:p>
    <w:p w:rsidR="00000000" w:rsidDel="00000000" w:rsidP="00000000" w:rsidRDefault="00000000" w:rsidRPr="00000000" w14:paraId="000000FF">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Shugg, T., Tillman, E. M., Breman, A. M., Hodge, J. C., McDonald, C. A., Ly, R. C., Rowe, E. J., Osei, W., Smith, T. B., Schwartz, P. H., Callaghan, J. T., Pratt, V. M., Lynch, S., Eadon, M. T., &amp; Skaar, T. C. (2024). Development of a Multifaceted Program for Pharmacogenetics Adoption at an Academic Medical Center: Practical Considerations and Lessons Learned. </w:t>
      </w:r>
      <w:r w:rsidDel="00000000" w:rsidR="00000000" w:rsidRPr="00000000">
        <w:rPr>
          <w:rFonts w:ascii="Times New Roman" w:cs="Times New Roman" w:eastAsia="Times New Roman" w:hAnsi="Times New Roman"/>
          <w:i w:val="1"/>
          <w:iCs w:val="1"/>
          <w:sz w:val="24"/>
          <w:szCs w:val="24"/>
          <w:rtl w:val="0"/>
        </w:rPr>
        <w:t xml:space="preserve">Clinical Pharmacology and Therapeutics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116</w:t>
      </w:r>
      <w:r w:rsidDel="00000000" w:rsidR="00000000" w:rsidRPr="00000000">
        <w:rPr>
          <w:rFonts w:ascii="Times New Roman" w:cs="Times New Roman" w:eastAsia="Times New Roman" w:hAnsi="Times New Roman"/>
          <w:sz w:val="24"/>
          <w:szCs w:val="24"/>
          <w:rtl w:val="0"/>
        </w:rPr>
        <w:t xml:space="preserve">(4), 914–931.</w:t>
      </w:r>
      <w:hyperlink r:id="rId78">
        <w:r w:rsidDel="00000000" w:rsidR="00000000" w:rsidRPr="00000000">
          <w:rPr>
            <w:rFonts w:ascii="Times New Roman" w:cs="Times New Roman" w:eastAsia="Times New Roman" w:hAnsi="Times New Roman"/>
            <w:sz w:val="24"/>
            <w:szCs w:val="24"/>
            <w:rtl w:val="0"/>
          </w:rPr>
          <w:t xml:space="preserve"> </w:t>
        </w:r>
      </w:hyperlink>
      <w:hyperlink r:id="rId79">
        <w:r w:rsidDel="00000000" w:rsidR="00000000" w:rsidRPr="00000000">
          <w:rPr>
            <w:rFonts w:ascii="Times New Roman" w:cs="Times New Roman" w:eastAsia="Times New Roman" w:hAnsi="Times New Roman"/>
            <w:color w:val="1155cc"/>
            <w:sz w:val="24"/>
            <w:szCs w:val="24"/>
            <w:u w:val="single"/>
            <w:rtl w:val="0"/>
          </w:rPr>
          <w:t xml:space="preserve">https://doi.org/10.1002/cpt.3402</w:t>
        </w:r>
      </w:hyperlink>
      <w:r w:rsidDel="00000000" w:rsidR="00000000" w:rsidRPr="00000000">
        <w:rPr>
          <w:rtl w:val="0"/>
        </w:rPr>
      </w:r>
    </w:p>
    <w:p w:rsidR="00000000" w:rsidDel="00000000" w:rsidP="00000000" w:rsidRDefault="00000000" w:rsidRPr="00000000" w14:paraId="00000100">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Silver, J., Forman, E., Barrett, D., Sibalija, J., &amp; Kim, R. (2025). Enhancing Rural Healthcare Accessibility: A Model for Pharmacogenomics Adoption via an Outreach-Focused Integration Strategy. </w:t>
      </w:r>
      <w:r w:rsidDel="00000000" w:rsidR="00000000" w:rsidRPr="00000000">
        <w:rPr>
          <w:rFonts w:ascii="Times New Roman" w:cs="Times New Roman" w:eastAsia="Times New Roman" w:hAnsi="Times New Roman"/>
          <w:i w:val="1"/>
          <w:iCs w:val="1"/>
          <w:sz w:val="24"/>
          <w:szCs w:val="24"/>
          <w:rtl w:val="0"/>
        </w:rPr>
        <w:t xml:space="preserve">Journal of Personalized Medicine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(3).</w:t>
      </w:r>
      <w:hyperlink r:id="rId80">
        <w:r w:rsidDel="00000000" w:rsidR="00000000" w:rsidRPr="00000000">
          <w:rPr>
            <w:rFonts w:ascii="Times New Roman" w:cs="Times New Roman" w:eastAsia="Times New Roman" w:hAnsi="Times New Roman"/>
            <w:sz w:val="24"/>
            <w:szCs w:val="24"/>
            <w:rtl w:val="0"/>
          </w:rPr>
          <w:t xml:space="preserve"> </w:t>
        </w:r>
      </w:hyperlink>
      <w:hyperlink r:id="rId81">
        <w:r w:rsidDel="00000000" w:rsidR="00000000" w:rsidRPr="00000000">
          <w:rPr>
            <w:rFonts w:ascii="Times New Roman" w:cs="Times New Roman" w:eastAsia="Times New Roman" w:hAnsi="Times New Roman"/>
            <w:color w:val="1155cc"/>
            <w:sz w:val="24"/>
            <w:szCs w:val="24"/>
            <w:u w:val="single"/>
            <w:rtl w:val="0"/>
          </w:rPr>
          <w:t xml:space="preserve">https://doi.org/10.3390/jpm15030110</w:t>
        </w:r>
      </w:hyperlink>
      <w:r w:rsidDel="00000000" w:rsidR="00000000" w:rsidRPr="00000000">
        <w:rPr>
          <w:rtl w:val="0"/>
        </w:rPr>
      </w:r>
    </w:p>
    <w:p w:rsidR="00000000" w:rsidDel="00000000" w:rsidP="00000000" w:rsidRDefault="00000000" w:rsidRPr="00000000" w14:paraId="00000101">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Swen, J. J., van der Wouden, C. H., Manson, L. E., Abdullah-Koolmees, H., Blagec, K., Blagus, T., Böhringer, S., Cambon-Thomsen, A., Cecchin, E., Cheung, K.-C., Deneer, V. H., Dupui, M., Ingelman-Sundberg, M., Jonsson, S., Joefield-Roka, C., Just, K. S., Karlsson, M. O., Konta, L., Koopmann, R., … Ubiquitous Pharmacogenomics Consortium. (2023). A 12-gene pharmacogenetic panel to prevent adverse drug reactions: An open-label, multicentre, controlled, cluster-randomised crossover implementation study. </w:t>
      </w:r>
      <w:r w:rsidDel="00000000" w:rsidR="00000000" w:rsidRPr="00000000">
        <w:rPr>
          <w:rFonts w:ascii="Times New Roman" w:cs="Times New Roman" w:eastAsia="Times New Roman" w:hAnsi="Times New Roman"/>
          <w:i w:val="1"/>
          <w:iCs w:val="1"/>
          <w:sz w:val="24"/>
          <w:szCs w:val="24"/>
          <w:rtl w:val="0"/>
        </w:rPr>
        <w:t xml:space="preserve">Lancet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401</w:t>
      </w:r>
      <w:r w:rsidDel="00000000" w:rsidR="00000000" w:rsidRPr="00000000">
        <w:rPr>
          <w:rFonts w:ascii="Times New Roman" w:cs="Times New Roman" w:eastAsia="Times New Roman" w:hAnsi="Times New Roman"/>
          <w:sz w:val="24"/>
          <w:szCs w:val="24"/>
          <w:rtl w:val="0"/>
        </w:rPr>
        <w:t xml:space="preserve">(10374), 347–356.</w:t>
      </w:r>
      <w:hyperlink r:id="rId82">
        <w:r w:rsidDel="00000000" w:rsidR="00000000" w:rsidRPr="00000000">
          <w:rPr>
            <w:rFonts w:ascii="Times New Roman" w:cs="Times New Roman" w:eastAsia="Times New Roman" w:hAnsi="Times New Roman"/>
            <w:sz w:val="24"/>
            <w:szCs w:val="24"/>
            <w:rtl w:val="0"/>
          </w:rPr>
          <w:t xml:space="preserve"> </w:t>
        </w:r>
      </w:hyperlink>
      <w:hyperlink r:id="rId83">
        <w:r w:rsidDel="00000000" w:rsidR="00000000" w:rsidRPr="00000000">
          <w:rPr>
            <w:rFonts w:ascii="Times New Roman" w:cs="Times New Roman" w:eastAsia="Times New Roman" w:hAnsi="Times New Roman"/>
            <w:color w:val="1155cc"/>
            <w:sz w:val="24"/>
            <w:szCs w:val="24"/>
            <w:u w:val="single"/>
            <w:rtl w:val="0"/>
          </w:rPr>
          <w:t xml:space="preserve">https://doi.org/10.1016/S0140-6736(22)01841-4</w:t>
        </w:r>
      </w:hyperlink>
      <w:r w:rsidDel="00000000" w:rsidR="00000000" w:rsidRPr="00000000">
        <w:rPr>
          <w:rtl w:val="0"/>
        </w:rPr>
      </w:r>
    </w:p>
    <w:p w:rsidR="00000000" w:rsidDel="00000000" w:rsidP="00000000" w:rsidRDefault="00000000" w:rsidRPr="00000000" w14:paraId="00000102">
      <w:pPr>
        <w:widowControl w:val="0"/>
        <w:spacing w:after="240" w:before="240" w:line="360" w:lineRule="auto"/>
        <w:ind w:left="880" w:hanging="44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Tricco, A. C., Lillie, E., Zarin, W., O’Brien, K. K., Colquhoun, H., Levac, D., Moher, D., Peters, M. D. J., Horsley, T., Weeks, L., Hempel, S., Akl, E. A., Chang, C., McGowan, J., Stewart, L., Hartling, L., Aldcroft, A., Wilson, M. G., Garritty, C., … Straus, S. E. (2018). PRISMA Extension for Scoping Reviews (PRISMA-ScR): Checklist and Explanation. </w:t>
      </w:r>
      <w:r w:rsidDel="00000000" w:rsidR="00000000" w:rsidRPr="00000000">
        <w:rPr>
          <w:rFonts w:ascii="Times New Roman" w:cs="Times New Roman" w:eastAsia="Times New Roman" w:hAnsi="Times New Roman"/>
          <w:i w:val="1"/>
          <w:iCs w:val="1"/>
          <w:sz w:val="24"/>
          <w:szCs w:val="24"/>
          <w:rtl w:val="0"/>
        </w:rPr>
        <w:t xml:space="preserve">Annals of Internal Medicine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169</w:t>
      </w:r>
      <w:r w:rsidDel="00000000" w:rsidR="00000000" w:rsidRPr="00000000">
        <w:rPr>
          <w:rFonts w:ascii="Times New Roman" w:cs="Times New Roman" w:eastAsia="Times New Roman" w:hAnsi="Times New Roman"/>
          <w:sz w:val="24"/>
          <w:szCs w:val="24"/>
          <w:rtl w:val="0"/>
        </w:rPr>
        <w:t xml:space="preserve">(7), 467–473.</w:t>
      </w:r>
      <w:hyperlink r:id="rId84">
        <w:r w:rsidDel="00000000" w:rsidR="00000000" w:rsidRPr="00000000">
          <w:rPr>
            <w:rFonts w:ascii="Times New Roman" w:cs="Times New Roman" w:eastAsia="Times New Roman" w:hAnsi="Times New Roman"/>
            <w:sz w:val="24"/>
            <w:szCs w:val="24"/>
            <w:rtl w:val="0"/>
          </w:rPr>
          <w:t xml:space="preserve"> </w:t>
        </w:r>
      </w:hyperlink>
      <w:hyperlink r:id="rId85">
        <w:r w:rsidDel="00000000" w:rsidR="00000000" w:rsidRPr="00000000">
          <w:rPr>
            <w:rFonts w:ascii="Times New Roman" w:cs="Times New Roman" w:eastAsia="Times New Roman" w:hAnsi="Times New Roman"/>
            <w:color w:val="1155cc"/>
            <w:sz w:val="24"/>
            <w:szCs w:val="24"/>
            <w:u w:val="single"/>
            <w:rtl w:val="0"/>
          </w:rPr>
          <w:t xml:space="preserve">https://doi.org/10.7326/M18-0850</w:t>
        </w:r>
      </w:hyperlink>
      <w:r w:rsidDel="00000000" w:rsidR="00000000" w:rsidRPr="00000000">
        <w:rPr>
          <w:rtl w:val="0"/>
        </w:rPr>
      </w:r>
    </w:p>
    <w:p w:rsidR="00000000" w:rsidDel="00000000" w:rsidP="00000000" w:rsidRDefault="00000000" w:rsidRPr="00000000" w14:paraId="00000103">
      <w:pPr>
        <w:widowControl w:val="0"/>
        <w:spacing w:after="240" w:before="240" w:line="480" w:lineRule="auto"/>
        <w:ind w:left="880" w:hanging="440"/>
        <w:jc w:val="both"/>
        <w:rPr>
          <w:rFonts w:ascii="Times New Roman" w:cs="Times New Roman" w:eastAsia="Times New Roman" w:hAnsi="Times New Roman"/>
          <w:i w:val="1"/>
          <w:iCs w:val="1"/>
          <w:sz w:val="24"/>
          <w:szCs w:val="24"/>
        </w:rPr>
        <w:sectPr>
          <w:headerReference r:id="rId86" w:type="default"/>
          <w:headerReference r:id="rId87" w:type="first"/>
          <w:headerReference r:id="rId88" w:type="even"/>
          <w:footerReference r:id="rId89" w:type="default"/>
          <w:footerReference r:id="rId90" w:type="first"/>
          <w:footerReference r:id="rId91" w:type="even"/>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Van Heukelom, J., Morgan, J., Massmann, A., Jacobsen, K., Petry, N. J., Baye, J. F., Frear, S., &amp; Schultz, A. (2023). Evolution of pharmacogenomic services and implementation of a multi-state pharmacogenomics clinic across a large rural healthcare system. </w:t>
      </w:r>
      <w:r w:rsidDel="00000000" w:rsidR="00000000" w:rsidRPr="00000000">
        <w:rPr>
          <w:rFonts w:ascii="Times New Roman" w:cs="Times New Roman" w:eastAsia="Times New Roman" w:hAnsi="Times New Roman"/>
          <w:i w:val="1"/>
          <w:iCs w:val="1"/>
          <w:sz w:val="24"/>
          <w:szCs w:val="24"/>
          <w:rtl w:val="0"/>
        </w:rPr>
        <w:t xml:space="preserve">Frontiers in Pharmacology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1274165.</w:t>
      </w:r>
      <w:hyperlink r:id="rId92">
        <w:r w:rsidDel="00000000" w:rsidR="00000000" w:rsidRPr="00000000">
          <w:rPr>
            <w:rFonts w:ascii="Times New Roman" w:cs="Times New Roman" w:eastAsia="Times New Roman" w:hAnsi="Times New Roman"/>
            <w:sz w:val="24"/>
            <w:szCs w:val="24"/>
            <w:rtl w:val="0"/>
          </w:rPr>
          <w:t xml:space="preserve"> </w:t>
        </w:r>
      </w:hyperlink>
      <w:hyperlink r:id="rId93">
        <w:r w:rsidDel="00000000" w:rsidR="00000000" w:rsidRPr="00000000">
          <w:rPr>
            <w:rFonts w:ascii="Times New Roman" w:cs="Times New Roman" w:eastAsia="Times New Roman" w:hAnsi="Times New Roman"/>
            <w:color w:val="1155cc"/>
            <w:sz w:val="24"/>
            <w:szCs w:val="24"/>
            <w:u w:val="single"/>
            <w:rtl w:val="0"/>
          </w:rPr>
          <w:t xml:space="preserve">https://doi.org/10.3389/fphar.2023.1274165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04">
      <w:pPr>
        <w:widowControl w:val="0"/>
        <w:spacing w:before="14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widowControl w:val="0"/>
        <w:spacing w:before="86"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spacing w:before="200" w:line="360" w:lineRule="auto"/>
        <w:ind w:right="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widowControl w:val="0"/>
        <w:spacing w:before="202" w:line="360" w:lineRule="auto"/>
        <w:ind w:right="359"/>
        <w:jc w:val="both"/>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900" w:top="1320" w:left="1440" w:right="1080" w:header="715" w:footer="7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3"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pict>
        <v:shape id="PowerPlusWaterMarkObject1"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PowerPlusWaterMarkObject2" style="position:absolute;width:592.85pt;height:66.9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fda.gov/drugs/science-and-research-drugs/table-pharmacogenomic-biomarkers-drug-labeling" TargetMode="External"/><Relationship Id="rId84" Type="http://schemas.openxmlformats.org/officeDocument/2006/relationships/hyperlink" Target="https://doi.org/10.7326/M18-0850" TargetMode="External"/><Relationship Id="rId83" Type="http://schemas.openxmlformats.org/officeDocument/2006/relationships/hyperlink" Target="https://doi.org/10.1016/S0140-6736(22)01841-4" TargetMode="External"/><Relationship Id="rId42" Type="http://schemas.openxmlformats.org/officeDocument/2006/relationships/hyperlink" Target="https://doi.org/10.2217/pgs-2019-0004" TargetMode="External"/><Relationship Id="rId86" Type="http://schemas.openxmlformats.org/officeDocument/2006/relationships/header" Target="header2.xml"/><Relationship Id="rId41" Type="http://schemas.openxmlformats.org/officeDocument/2006/relationships/hyperlink" Target="https://www.fda.gov/drugs/science-and-research-drugs/table-pharmacogenomic-biomarkers-drug-labeling" TargetMode="External"/><Relationship Id="rId85" Type="http://schemas.openxmlformats.org/officeDocument/2006/relationships/hyperlink" Target="https://doi.org/10.7326/M18-0850" TargetMode="External"/><Relationship Id="rId44" Type="http://schemas.openxmlformats.org/officeDocument/2006/relationships/hyperlink" Target="https://doi.org/10.1080/14622416.2025.2490461" TargetMode="External"/><Relationship Id="rId88" Type="http://schemas.openxmlformats.org/officeDocument/2006/relationships/header" Target="header1.xml"/><Relationship Id="rId43" Type="http://schemas.openxmlformats.org/officeDocument/2006/relationships/hyperlink" Target="https://doi.org/10.2217/pgs-2019-0004" TargetMode="External"/><Relationship Id="rId87" Type="http://schemas.openxmlformats.org/officeDocument/2006/relationships/header" Target="header3.xml"/><Relationship Id="rId46" Type="http://schemas.openxmlformats.org/officeDocument/2006/relationships/hyperlink" Target="https://doi.org/10.1016/S1470-2045(18)30686-7" TargetMode="External"/><Relationship Id="rId45" Type="http://schemas.openxmlformats.org/officeDocument/2006/relationships/hyperlink" Target="https://doi.org/10.1080/14622416.2025.2490461" TargetMode="External"/><Relationship Id="rId89" Type="http://schemas.openxmlformats.org/officeDocument/2006/relationships/footer" Target="footer2.xml"/><Relationship Id="rId80" Type="http://schemas.openxmlformats.org/officeDocument/2006/relationships/hyperlink" Target="https://doi.org/10.3390/jpm15030110" TargetMode="External"/><Relationship Id="rId82" Type="http://schemas.openxmlformats.org/officeDocument/2006/relationships/hyperlink" Target="https://doi.org/10.1016/S0140-6736(22)01841-4" TargetMode="External"/><Relationship Id="rId81" Type="http://schemas.openxmlformats.org/officeDocument/2006/relationships/hyperlink" Target="https://doi.org/10.3390/jpm150301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89/fphar.2025.1594032" TargetMode="External"/><Relationship Id="rId48" Type="http://schemas.openxmlformats.org/officeDocument/2006/relationships/hyperlink" Target="https://doi.org/10.1016/j.amjmed.2025.01.008" TargetMode="External"/><Relationship Id="rId47" Type="http://schemas.openxmlformats.org/officeDocument/2006/relationships/hyperlink" Target="https://doi.org/10.1016/S1470-2045(18)30686-7" TargetMode="External"/><Relationship Id="rId49" Type="http://schemas.openxmlformats.org/officeDocument/2006/relationships/hyperlink" Target="https://doi.org/10.1016/j.amjmed.2025.01.00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3389/fphar.2025.1594032" TargetMode="External"/><Relationship Id="rId73" Type="http://schemas.openxmlformats.org/officeDocument/2006/relationships/hyperlink" Target="https://doi.org/10.1093/ajhp/zxae083" TargetMode="External"/><Relationship Id="rId72" Type="http://schemas.openxmlformats.org/officeDocument/2006/relationships/hyperlink" Target="https://doi.org/10.1093/ajhp/zxae083" TargetMode="External"/><Relationship Id="rId31" Type="http://schemas.openxmlformats.org/officeDocument/2006/relationships/hyperlink" Target="https://doi.org/10.2217/pgs.14.174" TargetMode="External"/><Relationship Id="rId75" Type="http://schemas.openxmlformats.org/officeDocument/2006/relationships/hyperlink" Target="https://doi.org/10.1002/cpt.1304" TargetMode="External"/><Relationship Id="rId30" Type="http://schemas.openxmlformats.org/officeDocument/2006/relationships/hyperlink" Target="https://doi.org/10.2217/pgs.14.174" TargetMode="External"/><Relationship Id="rId74" Type="http://schemas.openxmlformats.org/officeDocument/2006/relationships/hyperlink" Target="https://doi.org/10.1002/cpt.1304" TargetMode="External"/><Relationship Id="rId33" Type="http://schemas.openxmlformats.org/officeDocument/2006/relationships/hyperlink" Target="https://doi.org/10.2217/pgs-2018-0200" TargetMode="External"/><Relationship Id="rId77" Type="http://schemas.openxmlformats.org/officeDocument/2006/relationships/hyperlink" Target="https://doi.org/10.1016/S0140-6736(19)31276-0" TargetMode="External"/><Relationship Id="rId32" Type="http://schemas.openxmlformats.org/officeDocument/2006/relationships/hyperlink" Target="https://doi.org/10.2217/pgs-2018-0200" TargetMode="External"/><Relationship Id="rId76" Type="http://schemas.openxmlformats.org/officeDocument/2006/relationships/hyperlink" Target="https://doi.org/10.1016/S0140-6736(19)31276-0" TargetMode="External"/><Relationship Id="rId35" Type="http://schemas.openxmlformats.org/officeDocument/2006/relationships/hyperlink" Target="https://doi.org/10.1146/annurev-pharmtox-010814-124835" TargetMode="External"/><Relationship Id="rId79" Type="http://schemas.openxmlformats.org/officeDocument/2006/relationships/hyperlink" Target="https://doi.org/10.1002/cpt.3402" TargetMode="External"/><Relationship Id="rId34" Type="http://schemas.openxmlformats.org/officeDocument/2006/relationships/hyperlink" Target="https://doi.org/10.1146/annurev-pharmtox-010814-124835" TargetMode="External"/><Relationship Id="rId78" Type="http://schemas.openxmlformats.org/officeDocument/2006/relationships/hyperlink" Target="https://doi.org/10.1002/cpt.3402" TargetMode="External"/><Relationship Id="rId71" Type="http://schemas.openxmlformats.org/officeDocument/2006/relationships/hyperlink" Target="https://doi.org/10.2147/IJGM.S223882" TargetMode="External"/><Relationship Id="rId70" Type="http://schemas.openxmlformats.org/officeDocument/2006/relationships/hyperlink" Target="https://doi.org/10.2147/IJGM.S223882" TargetMode="External"/><Relationship Id="rId37" Type="http://schemas.openxmlformats.org/officeDocument/2006/relationships/hyperlink" Target="https://doi.org/10.1016/B978-0-12-824453-1.00011-7" TargetMode="External"/><Relationship Id="rId36" Type="http://schemas.openxmlformats.org/officeDocument/2006/relationships/hyperlink" Target="https://doi.org/10.1016/B978-0-12-824453-1.00011-7" TargetMode="External"/><Relationship Id="rId39" Type="http://schemas.openxmlformats.org/officeDocument/2006/relationships/hyperlink" Target="https://doi.org/10.1002/cpt.1508" TargetMode="External"/><Relationship Id="rId38" Type="http://schemas.openxmlformats.org/officeDocument/2006/relationships/hyperlink" Target="https://doi.org/10.1002/cpt.1508" TargetMode="External"/><Relationship Id="rId62" Type="http://schemas.openxmlformats.org/officeDocument/2006/relationships/hyperlink" Target="https://doi.org/10.2217/pgs-2022-0013" TargetMode="External"/><Relationship Id="rId61" Type="http://schemas.openxmlformats.org/officeDocument/2006/relationships/hyperlink" Target="https://doi.org/10.1038/s41588-019-0379-x" TargetMode="External"/><Relationship Id="rId20" Type="http://schemas.openxmlformats.org/officeDocument/2006/relationships/hyperlink" Target="https://doi.org/10.1038/s41467-024-45032-5" TargetMode="External"/><Relationship Id="rId64" Type="http://schemas.openxmlformats.org/officeDocument/2006/relationships/hyperlink" Target="https://doi.org/10.3389/fgene.2026.1794122" TargetMode="External"/><Relationship Id="rId63" Type="http://schemas.openxmlformats.org/officeDocument/2006/relationships/hyperlink" Target="https://doi.org/10.2217/pgs-2022-0013" TargetMode="External"/><Relationship Id="rId22" Type="http://schemas.openxmlformats.org/officeDocument/2006/relationships/hyperlink" Target="https://www.clinpgx.org/cpic/pairs" TargetMode="External"/><Relationship Id="rId66" Type="http://schemas.openxmlformats.org/officeDocument/2006/relationships/hyperlink" Target="https://doi.org/10.1353/cpr.2016.0035" TargetMode="External"/><Relationship Id="rId21" Type="http://schemas.openxmlformats.org/officeDocument/2006/relationships/hyperlink" Target="https://doi.org/10.1038/s41467-024-45032-5" TargetMode="External"/><Relationship Id="rId65" Type="http://schemas.openxmlformats.org/officeDocument/2006/relationships/hyperlink" Target="https://doi.org/10.3389/fgene.2026.1794122" TargetMode="External"/><Relationship Id="rId24" Type="http://schemas.openxmlformats.org/officeDocument/2006/relationships/hyperlink" Target="https://doi.org/10.3389/fphar.2025.1659875" TargetMode="External"/><Relationship Id="rId68" Type="http://schemas.openxmlformats.org/officeDocument/2006/relationships/hyperlink" Target="https://doi.org/10.2217/pgs-2019-0043" TargetMode="External"/><Relationship Id="rId23" Type="http://schemas.openxmlformats.org/officeDocument/2006/relationships/hyperlink" Target="https://www.clinpgx.org/cpic/pairs" TargetMode="External"/><Relationship Id="rId67" Type="http://schemas.openxmlformats.org/officeDocument/2006/relationships/hyperlink" Target="https://doi.org/10.1353/cpr.2016.0035" TargetMode="External"/><Relationship Id="rId60" Type="http://schemas.openxmlformats.org/officeDocument/2006/relationships/hyperlink" Target="https://doi.org/10.1038/s41588-019-0379-x" TargetMode="External"/><Relationship Id="rId26" Type="http://schemas.openxmlformats.org/officeDocument/2006/relationships/hyperlink" Target="https://doi.org/10.3390/jpm15060245" TargetMode="External"/><Relationship Id="rId25" Type="http://schemas.openxmlformats.org/officeDocument/2006/relationships/hyperlink" Target="https://doi.org/10.3389/fphar.2025.1659875" TargetMode="External"/><Relationship Id="rId69" Type="http://schemas.openxmlformats.org/officeDocument/2006/relationships/hyperlink" Target="https://doi.org/10.2217/pgs-2019-0043" TargetMode="External"/><Relationship Id="rId28" Type="http://schemas.openxmlformats.org/officeDocument/2006/relationships/hyperlink" Target="https://doi.org/10.1002/jac5.1958" TargetMode="External"/><Relationship Id="rId27" Type="http://schemas.openxmlformats.org/officeDocument/2006/relationships/hyperlink" Target="https://doi.org/10.3390/jpm15060245" TargetMode="External"/><Relationship Id="rId29" Type="http://schemas.openxmlformats.org/officeDocument/2006/relationships/hyperlink" Target="https://doi.org/10.1002/jac5.1958" TargetMode="External"/><Relationship Id="rId51" Type="http://schemas.openxmlformats.org/officeDocument/2006/relationships/hyperlink" Target="https://doi.org/10.18865/ed.30.S1.167" TargetMode="External"/><Relationship Id="rId50" Type="http://schemas.openxmlformats.org/officeDocument/2006/relationships/hyperlink" Target="https://doi.org/10.18865/ed.30.S1.167" TargetMode="External"/><Relationship Id="rId53" Type="http://schemas.openxmlformats.org/officeDocument/2006/relationships/hyperlink" Target="https://doi.org/10.3389/fphar.2022.953142" TargetMode="External"/><Relationship Id="rId52" Type="http://schemas.openxmlformats.org/officeDocument/2006/relationships/hyperlink" Target="https://doi.org/10.3389/fphar.2022.953142" TargetMode="External"/><Relationship Id="rId11" Type="http://schemas.openxmlformats.org/officeDocument/2006/relationships/hyperlink" Target="https://doi.org/10.1002/cpt.911" TargetMode="External"/><Relationship Id="rId55" Type="http://schemas.openxmlformats.org/officeDocument/2006/relationships/hyperlink" Target="https://doi.org/10.1186/1748-5908-5-69" TargetMode="External"/><Relationship Id="rId10" Type="http://schemas.openxmlformats.org/officeDocument/2006/relationships/hyperlink" Target="https://doi.org/10.1002/cpt.911" TargetMode="External"/><Relationship Id="rId54" Type="http://schemas.openxmlformats.org/officeDocument/2006/relationships/hyperlink" Target="https://doi.org/10.1186/1748-5908-5-69" TargetMode="External"/><Relationship Id="rId13" Type="http://schemas.openxmlformats.org/officeDocument/2006/relationships/hyperlink" Target="https://doi.org/10.1080/1364557032000119616" TargetMode="External"/><Relationship Id="rId57" Type="http://schemas.openxmlformats.org/officeDocument/2006/relationships/hyperlink" Target="https://doi.org/10.1002/cpt.630" TargetMode="External"/><Relationship Id="rId12" Type="http://schemas.openxmlformats.org/officeDocument/2006/relationships/hyperlink" Target="https://doi.org/10.1080/1364557032000119616" TargetMode="External"/><Relationship Id="rId56" Type="http://schemas.openxmlformats.org/officeDocument/2006/relationships/hyperlink" Target="https://doi.org/10.1002/cpt.630" TargetMode="External"/><Relationship Id="rId91" Type="http://schemas.openxmlformats.org/officeDocument/2006/relationships/footer" Target="footer1.xml"/><Relationship Id="rId90" Type="http://schemas.openxmlformats.org/officeDocument/2006/relationships/footer" Target="footer3.xml"/><Relationship Id="rId93" Type="http://schemas.openxmlformats.org/officeDocument/2006/relationships/hyperlink" Target="https://doi.org/10.3389/fphar.2023.1274165" TargetMode="External"/><Relationship Id="rId92" Type="http://schemas.openxmlformats.org/officeDocument/2006/relationships/hyperlink" Target="https://doi.org/10.3389/fphar.2023.1274165" TargetMode="External"/><Relationship Id="rId15" Type="http://schemas.openxmlformats.org/officeDocument/2006/relationships/hyperlink" Target="https://doi.org/10.1093/jamiaopen/ooae101" TargetMode="External"/><Relationship Id="rId59" Type="http://schemas.openxmlformats.org/officeDocument/2006/relationships/hyperlink" Target="https://doi.org/10.1007/s10557-021-07149-3" TargetMode="External"/><Relationship Id="rId14" Type="http://schemas.openxmlformats.org/officeDocument/2006/relationships/hyperlink" Target="https://doi.org/10.1093/jamiaopen/ooae101" TargetMode="External"/><Relationship Id="rId58" Type="http://schemas.openxmlformats.org/officeDocument/2006/relationships/hyperlink" Target="https://doi.org/10.1007/s10557-021-07149-3" TargetMode="External"/><Relationship Id="rId17" Type="http://schemas.openxmlformats.org/officeDocument/2006/relationships/hyperlink" Target="https://doi.org/10.3389/fgene.2022.1082985" TargetMode="External"/><Relationship Id="rId16" Type="http://schemas.openxmlformats.org/officeDocument/2006/relationships/hyperlink" Target="https://doi.org/10.3389/fgene.2022.1082985" TargetMode="External"/><Relationship Id="rId19" Type="http://schemas.openxmlformats.org/officeDocument/2006/relationships/hyperlink" Target="https://doi.org/10.1038/s41436-019-0500-7" TargetMode="External"/><Relationship Id="rId18" Type="http://schemas.openxmlformats.org/officeDocument/2006/relationships/hyperlink" Target="https://doi.org/10.1038/s41436-019-05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mBAT6TDW7zPoNt859QS2EJASA==">CgMxLjAyDmgub2sxdThrdXJwdWtkMg5oLjRsdHhueGtzOWphaDIOaC4ycG01ZDQzbzMzanYyDmguMTJ0OWpyOTVrNmN3Mg5oLnRjYzluZDh0YjJxOTIOaC5icmZqaGVsNXN1am8yDmgud2xleGl2czlmOGkyMg5oLjkzczZ6dzE4ZWVoMDIOaC5keGwxbWd0aHBkYzIyDmguNDFheGI4dmludXdmMg5oLjFlazNsNDFxeDQzYTIOaC4xNmFlejZ5NGJvbm8yDmguamJ1cDliaDNmMDZlMg5oLmM5cnpqOXY4cG93eTIOaC5kY2Z5bGNwajVlaTEyDmgudjVjbzNqYzFzYmlrOAByITFjR19KZDVza0ZQdy12UzBZMHMyVWx3UFpxbzU4VkI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