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9006E" w14:textId="77777777" w:rsidR="00CF057A" w:rsidRPr="00194A86" w:rsidRDefault="00CF057A" w:rsidP="00E5753E">
      <w:pPr>
        <w:pStyle w:val="Title"/>
        <w:ind w:firstLine="720"/>
        <w:jc w:val="both"/>
        <w:rPr>
          <w:rFonts w:ascii="Arial" w:hAnsi="Arial" w:cs="Arial"/>
          <w:bCs/>
          <w:i/>
          <w:iCs/>
          <w:u w:val="single"/>
        </w:rPr>
      </w:pPr>
      <w:r w:rsidRPr="00194A86">
        <w:rPr>
          <w:rFonts w:ascii="Arial" w:hAnsi="Arial" w:cs="Arial"/>
          <w:bCs/>
          <w:i/>
          <w:iCs/>
          <w:u w:val="single"/>
        </w:rPr>
        <w:t>Original Research Article</w:t>
      </w:r>
    </w:p>
    <w:p w14:paraId="1A4828B5" w14:textId="77777777" w:rsidR="00754C9A" w:rsidRPr="00194A86" w:rsidRDefault="00754C9A" w:rsidP="00441B6F">
      <w:pPr>
        <w:pStyle w:val="Title"/>
        <w:spacing w:after="0"/>
        <w:jc w:val="both"/>
        <w:rPr>
          <w:rFonts w:ascii="Arial" w:hAnsi="Arial" w:cs="Arial"/>
        </w:rPr>
      </w:pPr>
    </w:p>
    <w:p w14:paraId="5D4E5ED3" w14:textId="6572AAB9" w:rsidR="00163BC4" w:rsidRDefault="00B418F5" w:rsidP="00441B6F">
      <w:pPr>
        <w:pStyle w:val="Author"/>
        <w:spacing w:line="240" w:lineRule="auto"/>
        <w:rPr>
          <w:rFonts w:ascii="Arial" w:hAnsi="Arial" w:cs="Arial"/>
          <w:bCs/>
          <w:iCs/>
          <w:kern w:val="28"/>
          <w:sz w:val="36"/>
        </w:rPr>
      </w:pPr>
      <w:r w:rsidRPr="00B418F5">
        <w:rPr>
          <w:rFonts w:ascii="Arial" w:hAnsi="Arial" w:cs="Arial"/>
          <w:bCs/>
          <w:iCs/>
          <w:kern w:val="28"/>
          <w:sz w:val="36"/>
        </w:rPr>
        <w:t>The Effect of Good Corporate Governance Mechanisms and Earnings Quality on Non-Performing Loans: Evidence from Indonesian Banking Companies</w:t>
      </w:r>
      <w:r w:rsidR="00231920" w:rsidRPr="00194A86">
        <w:rPr>
          <w:rFonts w:ascii="Arial" w:hAnsi="Arial" w:cs="Arial"/>
          <w:bCs/>
          <w:iCs/>
          <w:kern w:val="28"/>
          <w:sz w:val="36"/>
        </w:rPr>
        <w:t xml:space="preserve"> </w:t>
      </w:r>
    </w:p>
    <w:p w14:paraId="081BCDB7" w14:textId="77777777" w:rsidR="00D20E8B" w:rsidRPr="00194A86" w:rsidRDefault="00D20E8B" w:rsidP="00441B6F">
      <w:pPr>
        <w:pStyle w:val="Author"/>
        <w:spacing w:line="240" w:lineRule="auto"/>
        <w:rPr>
          <w:rFonts w:ascii="Arial" w:hAnsi="Arial" w:cs="Arial"/>
          <w:bCs/>
          <w:iCs/>
          <w:kern w:val="28"/>
          <w:sz w:val="36"/>
        </w:rPr>
      </w:pPr>
    </w:p>
    <w:p w14:paraId="2298B1E6" w14:textId="77777777" w:rsidR="00A258C3" w:rsidRPr="00194A86" w:rsidRDefault="00A258C3" w:rsidP="00441B6F">
      <w:pPr>
        <w:pStyle w:val="Author"/>
        <w:spacing w:line="240" w:lineRule="auto"/>
        <w:jc w:val="both"/>
        <w:rPr>
          <w:rFonts w:ascii="Arial" w:hAnsi="Arial" w:cs="Arial"/>
          <w:sz w:val="36"/>
        </w:rPr>
      </w:pPr>
    </w:p>
    <w:p w14:paraId="19E1B965" w14:textId="77777777" w:rsidR="0055713C" w:rsidRDefault="0055713C" w:rsidP="0033570E">
      <w:pPr>
        <w:pStyle w:val="Footer"/>
      </w:pPr>
    </w:p>
    <w:p w14:paraId="1489C4E2" w14:textId="77777777" w:rsidR="0055713C" w:rsidRDefault="0055713C" w:rsidP="0033570E">
      <w:pPr>
        <w:pStyle w:val="Footer"/>
      </w:pPr>
    </w:p>
    <w:p w14:paraId="773BC762" w14:textId="77777777" w:rsidR="0055713C" w:rsidRDefault="0055713C" w:rsidP="0033570E">
      <w:pPr>
        <w:pStyle w:val="Footer"/>
      </w:pPr>
    </w:p>
    <w:p w14:paraId="4600A5C2" w14:textId="77777777" w:rsidR="0055713C" w:rsidRDefault="0055713C" w:rsidP="0033570E">
      <w:pPr>
        <w:pStyle w:val="Footer"/>
      </w:pPr>
    </w:p>
    <w:p w14:paraId="3FEA445D" w14:textId="77777777" w:rsidR="0055713C" w:rsidRDefault="0055713C" w:rsidP="0033570E">
      <w:pPr>
        <w:pStyle w:val="Footer"/>
      </w:pPr>
    </w:p>
    <w:p w14:paraId="4A9D2E88" w14:textId="77777777" w:rsidR="0055713C" w:rsidRDefault="0055713C" w:rsidP="0033570E">
      <w:pPr>
        <w:pStyle w:val="Footer"/>
      </w:pPr>
    </w:p>
    <w:p w14:paraId="59635760" w14:textId="77777777" w:rsidR="0055713C" w:rsidRDefault="0055713C" w:rsidP="0033570E">
      <w:pPr>
        <w:pStyle w:val="Footer"/>
      </w:pPr>
    </w:p>
    <w:p w14:paraId="6D9CBFBF" w14:textId="77777777" w:rsidR="0055713C" w:rsidRDefault="0055713C" w:rsidP="0033570E">
      <w:pPr>
        <w:pStyle w:val="Footer"/>
      </w:pPr>
    </w:p>
    <w:p w14:paraId="6DE06FFB" w14:textId="77777777" w:rsidR="0055713C" w:rsidRDefault="0055713C" w:rsidP="0033570E">
      <w:pPr>
        <w:pStyle w:val="Footer"/>
      </w:pPr>
    </w:p>
    <w:p w14:paraId="3DF29C0E" w14:textId="3174EE23" w:rsidR="0033570E" w:rsidRPr="00194A86" w:rsidRDefault="0033570E" w:rsidP="0033570E">
      <w:pPr>
        <w:pStyle w:val="Footer"/>
      </w:pPr>
      <w:r w:rsidRPr="00194A86">
        <w:t xml:space="preserve"> </w:t>
      </w:r>
    </w:p>
    <w:p w14:paraId="16282205" w14:textId="77777777" w:rsidR="0033570E" w:rsidRPr="00194A86" w:rsidRDefault="0033570E" w:rsidP="0033570E">
      <w:pPr>
        <w:pStyle w:val="Affiliation"/>
        <w:jc w:val="both"/>
        <w:rPr>
          <w:rFonts w:ascii="Arial" w:hAnsi="Arial" w:cs="Arial"/>
        </w:rPr>
      </w:pPr>
    </w:p>
    <w:p w14:paraId="0C9D20CE" w14:textId="77777777" w:rsidR="0033570E" w:rsidRPr="00194A86" w:rsidRDefault="0033570E" w:rsidP="00441B6F">
      <w:pPr>
        <w:pStyle w:val="Affiliation"/>
        <w:spacing w:after="0" w:line="240" w:lineRule="auto"/>
        <w:jc w:val="both"/>
        <w:rPr>
          <w:rFonts w:ascii="Arial" w:hAnsi="Arial" w:cs="Arial"/>
        </w:rPr>
      </w:pPr>
    </w:p>
    <w:p w14:paraId="7E2EF68A" w14:textId="77777777" w:rsidR="00B01FCD" w:rsidRPr="00194A86" w:rsidRDefault="00F55BF5" w:rsidP="00441B6F">
      <w:pPr>
        <w:pStyle w:val="Copyright"/>
        <w:spacing w:after="0" w:line="240" w:lineRule="auto"/>
        <w:jc w:val="both"/>
        <w:rPr>
          <w:rFonts w:ascii="Arial" w:hAnsi="Arial" w:cs="Arial"/>
        </w:rPr>
        <w:sectPr w:rsidR="00B01FCD" w:rsidRPr="00194A86" w:rsidSect="008B2E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31FD3A3">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sidRPr="00194A86">
        <w:rPr>
          <w:rFonts w:ascii="Arial" w:hAnsi="Arial" w:cs="Arial"/>
        </w:rPr>
        <w:t>.</w:t>
      </w:r>
    </w:p>
    <w:p w14:paraId="6AB51420" w14:textId="32EA86B6" w:rsidR="00B01FCD" w:rsidRPr="00194A86" w:rsidRDefault="00B01FCD" w:rsidP="00441B6F">
      <w:pPr>
        <w:pStyle w:val="AbstHead"/>
        <w:spacing w:after="0"/>
        <w:jc w:val="both"/>
        <w:rPr>
          <w:rFonts w:ascii="Arial" w:hAnsi="Arial" w:cs="Arial"/>
        </w:rPr>
      </w:pPr>
      <w:r w:rsidRPr="00194A86">
        <w:rPr>
          <w:rFonts w:ascii="Arial" w:hAnsi="Arial" w:cs="Arial"/>
        </w:rPr>
        <w:t>ABSTRACT</w:t>
      </w:r>
      <w:r w:rsidR="0066510A" w:rsidRPr="00194A86">
        <w:rPr>
          <w:rFonts w:ascii="Arial" w:hAnsi="Arial" w:cs="Arial"/>
        </w:rPr>
        <w:t xml:space="preserve"> </w:t>
      </w:r>
    </w:p>
    <w:p w14:paraId="3FD2038A" w14:textId="77777777" w:rsidR="00790ADA" w:rsidRPr="00194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94A86" w14:paraId="061E32DF" w14:textId="77777777" w:rsidTr="001E44FE">
        <w:tc>
          <w:tcPr>
            <w:tcW w:w="9576" w:type="dxa"/>
            <w:shd w:val="clear" w:color="auto" w:fill="F2F2F2"/>
          </w:tcPr>
          <w:p w14:paraId="28C327EF" w14:textId="58942771"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Aims:</w:t>
            </w:r>
            <w:r w:rsidRPr="00194A86">
              <w:rPr>
                <w:rFonts w:ascii="Arial" w:eastAsia="Calibri" w:hAnsi="Arial" w:cs="Arial"/>
                <w:b/>
                <w:szCs w:val="22"/>
                <w:lang w:val="en-ID"/>
              </w:rPr>
              <w:t xml:space="preserve"> </w:t>
            </w:r>
            <w:r w:rsidRPr="00194A86">
              <w:rPr>
                <w:rFonts w:ascii="Arial" w:eastAsia="Calibri" w:hAnsi="Arial" w:cs="Arial"/>
                <w:bCs/>
                <w:szCs w:val="22"/>
                <w:lang w:val="en-ID"/>
              </w:rPr>
              <w:t>This study aims to examine the effect of Good Corporate Governance (GCG) mechanisms and earning</w:t>
            </w:r>
            <w:r w:rsidR="00E3693F">
              <w:rPr>
                <w:rFonts w:ascii="Arial" w:eastAsia="Calibri" w:hAnsi="Arial" w:cs="Arial"/>
                <w:bCs/>
                <w:szCs w:val="22"/>
                <w:lang w:val="en-ID"/>
              </w:rPr>
              <w:t>s</w:t>
            </w:r>
            <w:r w:rsidRPr="00194A86">
              <w:rPr>
                <w:rFonts w:ascii="Arial" w:eastAsia="Calibri" w:hAnsi="Arial" w:cs="Arial"/>
                <w:bCs/>
                <w:szCs w:val="22"/>
                <w:lang w:val="en-ID"/>
              </w:rPr>
              <w:t xml:space="preserve"> quality on Non-Performing Loan (NPL) in banking companies listed on the Indonesia Stock Exchange (IDX) during the 2020–2024 period.</w:t>
            </w:r>
          </w:p>
          <w:p w14:paraId="61DFBAC3" w14:textId="77777777"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Cs/>
                <w:szCs w:val="22"/>
                <w:lang w:val="en-ID"/>
              </w:rPr>
              <w:t>Study Design: This study employed a quantitative research design using panel data regression analysis.</w:t>
            </w:r>
          </w:p>
          <w:p w14:paraId="5F0CBADB" w14:textId="4A8FDBDE"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Place and Duration of Study:</w:t>
            </w:r>
            <w:r w:rsidRPr="00194A86">
              <w:rPr>
                <w:rFonts w:ascii="Arial" w:eastAsia="Calibri" w:hAnsi="Arial" w:cs="Arial"/>
                <w:b/>
                <w:szCs w:val="22"/>
                <w:lang w:val="en-ID"/>
              </w:rPr>
              <w:t xml:space="preserve"> </w:t>
            </w:r>
            <w:r w:rsidR="00E02BAE" w:rsidRPr="00E02BAE">
              <w:rPr>
                <w:rFonts w:ascii="Arial" w:eastAsia="Calibri" w:hAnsi="Arial" w:cs="Arial"/>
                <w:bCs/>
                <w:szCs w:val="22"/>
                <w:lang w:val="en-ID"/>
              </w:rPr>
              <w:t xml:space="preserve">The study used panel data from </w:t>
            </w:r>
            <w:r w:rsidR="00EF1B45">
              <w:rPr>
                <w:rFonts w:ascii="Arial" w:eastAsia="Calibri" w:hAnsi="Arial" w:cs="Arial"/>
                <w:bCs/>
                <w:szCs w:val="22"/>
                <w:lang w:val="en-ID"/>
              </w:rPr>
              <w:t>43</w:t>
            </w:r>
            <w:r w:rsidR="00E02BAE" w:rsidRPr="00E02BAE">
              <w:rPr>
                <w:rFonts w:ascii="Arial" w:eastAsia="Calibri" w:hAnsi="Arial" w:cs="Arial"/>
                <w:bCs/>
                <w:szCs w:val="22"/>
                <w:lang w:val="en-ID"/>
              </w:rPr>
              <w:t xml:space="preserve"> banking companies listed on the Indonesia Stock Exchange (IDX) during </w:t>
            </w:r>
            <w:r w:rsidR="00007588">
              <w:rPr>
                <w:rFonts w:ascii="Arial" w:eastAsia="Calibri" w:hAnsi="Arial" w:cs="Arial"/>
                <w:bCs/>
                <w:szCs w:val="22"/>
                <w:lang w:val="en-ID"/>
              </w:rPr>
              <w:t>2020</w:t>
            </w:r>
            <w:r w:rsidR="00E02BAE" w:rsidRPr="00E02BAE">
              <w:rPr>
                <w:rFonts w:ascii="Arial" w:eastAsia="Calibri" w:hAnsi="Arial" w:cs="Arial"/>
                <w:bCs/>
                <w:szCs w:val="22"/>
                <w:lang w:val="en-ID"/>
              </w:rPr>
              <w:t xml:space="preserve">–2024, resulting in </w:t>
            </w:r>
            <w:r w:rsidR="0036244A">
              <w:rPr>
                <w:rFonts w:ascii="Arial" w:eastAsia="Calibri" w:hAnsi="Arial" w:cs="Arial"/>
                <w:bCs/>
                <w:szCs w:val="22"/>
                <w:lang w:val="en-ID"/>
              </w:rPr>
              <w:t>215</w:t>
            </w:r>
            <w:r w:rsidR="00E02BAE" w:rsidRPr="00E02BAE">
              <w:rPr>
                <w:rFonts w:ascii="Arial" w:eastAsia="Calibri" w:hAnsi="Arial" w:cs="Arial"/>
                <w:bCs/>
                <w:szCs w:val="22"/>
                <w:lang w:val="en-ID"/>
              </w:rPr>
              <w:t xml:space="preserve"> firm-year observations.</w:t>
            </w:r>
          </w:p>
          <w:p w14:paraId="0669529B" w14:textId="1EF6C2AA"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Methodology:</w:t>
            </w:r>
            <w:r w:rsidRPr="00194A86">
              <w:rPr>
                <w:rFonts w:ascii="Arial" w:eastAsia="Calibri" w:hAnsi="Arial" w:cs="Arial"/>
                <w:b/>
                <w:szCs w:val="22"/>
                <w:lang w:val="en-ID"/>
              </w:rPr>
              <w:t xml:space="preserve"> </w:t>
            </w:r>
            <w:r w:rsidRPr="00194A86">
              <w:rPr>
                <w:rFonts w:ascii="Arial" w:eastAsia="Calibri" w:hAnsi="Arial" w:cs="Arial"/>
                <w:bCs/>
                <w:szCs w:val="22"/>
                <w:lang w:val="en-ID"/>
              </w:rPr>
              <w:t>This study used secondary data obtained from the annual reports and financial statements of banking companies listed on the Indonesia Stock Exchange (IDX). The sample was selected using purposive sampling techniques based on predetermined criteria. The independent variables consisted of institutional ownership, independent commissioners, gender diversity, and earning</w:t>
            </w:r>
            <w:r w:rsidR="00021994">
              <w:rPr>
                <w:rFonts w:ascii="Arial" w:eastAsia="Calibri" w:hAnsi="Arial" w:cs="Arial"/>
                <w:bCs/>
                <w:szCs w:val="22"/>
                <w:lang w:val="en-ID"/>
              </w:rPr>
              <w:t>s</w:t>
            </w:r>
            <w:r w:rsidRPr="00194A86">
              <w:rPr>
                <w:rFonts w:ascii="Arial" w:eastAsia="Calibri" w:hAnsi="Arial" w:cs="Arial"/>
                <w:bCs/>
                <w:szCs w:val="22"/>
                <w:lang w:val="en-ID"/>
              </w:rPr>
              <w:t xml:space="preserve"> quality, while Non-Performing Loan (NPL) served as the dependent variable. Panel data regression analysis with the Random Effect Model (REM) was applied to test the relationship between the variables. The study was grounded in agency theory and stakeholder theory to explain the role of corporate governance and earnings integrity in controlling credit risk.</w:t>
            </w:r>
          </w:p>
          <w:p w14:paraId="1192BF21" w14:textId="1D5F2AE0" w:rsidR="00833DBA" w:rsidRPr="00194A86" w:rsidRDefault="00833DBA" w:rsidP="00833DBA">
            <w:pPr>
              <w:pStyle w:val="Body"/>
              <w:spacing w:after="0"/>
              <w:rPr>
                <w:rFonts w:ascii="Arial" w:eastAsia="Calibri" w:hAnsi="Arial" w:cs="Arial"/>
                <w:b/>
                <w:szCs w:val="22"/>
                <w:lang w:val="en-ID"/>
              </w:rPr>
            </w:pPr>
            <w:r w:rsidRPr="00194A86">
              <w:rPr>
                <w:rFonts w:ascii="Arial" w:eastAsia="Calibri" w:hAnsi="Arial" w:cs="Arial"/>
                <w:b/>
                <w:bCs/>
                <w:szCs w:val="22"/>
                <w:lang w:val="en-ID"/>
              </w:rPr>
              <w:t>Results:</w:t>
            </w:r>
            <w:r w:rsidRPr="00194A86">
              <w:rPr>
                <w:rFonts w:ascii="Arial" w:eastAsia="Calibri" w:hAnsi="Arial" w:cs="Arial"/>
                <w:b/>
                <w:szCs w:val="22"/>
                <w:lang w:val="en-ID"/>
              </w:rPr>
              <w:t xml:space="preserve"> </w:t>
            </w:r>
            <w:r w:rsidR="00D20E8B">
              <w:t xml:space="preserve">The findings show that institutional ownership, independent commissioners, and gender diversity have negative but statistically insignificant effects on Non-Performing Loan (NPL). Meanwhile, earnings quality has a significant positive effect on NPL. These results </w:t>
            </w:r>
            <w:r w:rsidR="00D20E8B">
              <w:lastRenderedPageBreak/>
              <w:t>indicate that the Good Corporate Governance mechanisms examined in this study have not been effective in significantly reducing credit risk, while earnings quality demonstrates a significant relationship with NPL in Indonesian banking companies.</w:t>
            </w:r>
          </w:p>
          <w:p w14:paraId="4FA4F37F" w14:textId="2303086B" w:rsidR="00505F06" w:rsidRPr="00194A86" w:rsidRDefault="00833DBA" w:rsidP="00441B6F">
            <w:pPr>
              <w:pStyle w:val="Body"/>
              <w:spacing w:after="0"/>
              <w:rPr>
                <w:rFonts w:ascii="Arial" w:eastAsia="Calibri" w:hAnsi="Arial" w:cs="Arial"/>
                <w:b/>
                <w:szCs w:val="22"/>
                <w:lang w:val="en-ID"/>
              </w:rPr>
            </w:pPr>
            <w:r w:rsidRPr="00194A86">
              <w:rPr>
                <w:rFonts w:ascii="Arial" w:eastAsia="Calibri" w:hAnsi="Arial" w:cs="Arial"/>
                <w:b/>
                <w:bCs/>
                <w:szCs w:val="22"/>
                <w:lang w:val="en-ID"/>
              </w:rPr>
              <w:t>Conclusion:</w:t>
            </w:r>
            <w:r w:rsidRPr="00194A86">
              <w:rPr>
                <w:rFonts w:ascii="Arial" w:eastAsia="Calibri" w:hAnsi="Arial" w:cs="Arial"/>
                <w:b/>
                <w:szCs w:val="22"/>
                <w:lang w:val="en-ID"/>
              </w:rPr>
              <w:t xml:space="preserve"> </w:t>
            </w:r>
            <w:r w:rsidRPr="00194A86">
              <w:rPr>
                <w:rFonts w:ascii="Arial" w:eastAsia="Calibri" w:hAnsi="Arial" w:cs="Arial"/>
                <w:bCs/>
                <w:szCs w:val="22"/>
                <w:lang w:val="en-ID"/>
              </w:rPr>
              <w:t>Good Corporate Governance mechanisms and earning</w:t>
            </w:r>
            <w:r w:rsidR="00D00CEA">
              <w:rPr>
                <w:rFonts w:ascii="Arial" w:eastAsia="Calibri" w:hAnsi="Arial" w:cs="Arial"/>
                <w:bCs/>
                <w:szCs w:val="22"/>
                <w:lang w:val="en-ID"/>
              </w:rPr>
              <w:t>s</w:t>
            </w:r>
            <w:r w:rsidRPr="00194A86">
              <w:rPr>
                <w:rFonts w:ascii="Arial" w:eastAsia="Calibri" w:hAnsi="Arial" w:cs="Arial"/>
                <w:bCs/>
                <w:szCs w:val="22"/>
                <w:lang w:val="en-ID"/>
              </w:rPr>
              <w:t xml:space="preserve"> quality play an important role in reducing Non-Performing Loan (NPL) levels in Indonesian banking companies. Stronger governance structures and higher-quality earnings can improve monitoring effectiveness, support prudent decision-making, and enhance banking financial stability. These findings provide empirical evidence for regulators, investors, and banking management regarding the importance of governance quality and earnings integrity in credit risk management.</w:t>
            </w:r>
          </w:p>
        </w:tc>
      </w:tr>
    </w:tbl>
    <w:p w14:paraId="4F923F6C" w14:textId="77777777" w:rsidR="00636EB2" w:rsidRPr="00194A86" w:rsidRDefault="00636EB2" w:rsidP="00441B6F">
      <w:pPr>
        <w:pStyle w:val="Body"/>
        <w:spacing w:after="0"/>
        <w:rPr>
          <w:rFonts w:ascii="Arial" w:hAnsi="Arial" w:cs="Arial"/>
          <w:i/>
        </w:rPr>
      </w:pPr>
    </w:p>
    <w:p w14:paraId="3897E4BB" w14:textId="46B9F251" w:rsidR="00A24E7E" w:rsidRPr="00194A86" w:rsidRDefault="00A24E7E" w:rsidP="00441B6F">
      <w:pPr>
        <w:pStyle w:val="Body"/>
        <w:spacing w:after="0"/>
        <w:rPr>
          <w:rFonts w:ascii="Arial" w:hAnsi="Arial" w:cs="Arial"/>
          <w:i/>
        </w:rPr>
      </w:pPr>
      <w:r w:rsidRPr="00194A86">
        <w:rPr>
          <w:rFonts w:ascii="Arial" w:hAnsi="Arial" w:cs="Arial"/>
          <w:i/>
        </w:rPr>
        <w:t xml:space="preserve">Keywords: </w:t>
      </w:r>
      <w:r w:rsidR="009C455C" w:rsidRPr="00194A86">
        <w:rPr>
          <w:rFonts w:ascii="Arial" w:hAnsi="Arial" w:cs="Arial"/>
          <w:i/>
        </w:rPr>
        <w:t>Non-Performing Loan, Good Corporate Governance, Earning</w:t>
      </w:r>
      <w:r w:rsidR="00E3693F">
        <w:rPr>
          <w:rFonts w:ascii="Arial" w:hAnsi="Arial" w:cs="Arial"/>
          <w:i/>
        </w:rPr>
        <w:t>s</w:t>
      </w:r>
      <w:r w:rsidR="009C455C" w:rsidRPr="00194A86">
        <w:rPr>
          <w:rFonts w:ascii="Arial" w:hAnsi="Arial" w:cs="Arial"/>
          <w:i/>
        </w:rPr>
        <w:t xml:space="preserve"> Quality, Institutional Ownership, Gender Diversity</w:t>
      </w:r>
      <w:r w:rsidR="00DD09CC" w:rsidRPr="00194A86">
        <w:rPr>
          <w:rFonts w:ascii="Arial" w:hAnsi="Arial" w:cs="Arial"/>
          <w:i/>
        </w:rPr>
        <w:t>, Independent Commissioners</w:t>
      </w:r>
    </w:p>
    <w:p w14:paraId="362EB340" w14:textId="77777777" w:rsidR="00790ADA" w:rsidRPr="00194A86" w:rsidRDefault="00790ADA" w:rsidP="00441B6F">
      <w:pPr>
        <w:pStyle w:val="Body"/>
        <w:spacing w:after="0"/>
        <w:rPr>
          <w:rFonts w:ascii="Arial" w:hAnsi="Arial" w:cs="Arial"/>
          <w:i/>
        </w:rPr>
      </w:pPr>
    </w:p>
    <w:p w14:paraId="4E65F6F7" w14:textId="77777777" w:rsidR="00505F06" w:rsidRPr="00194A86" w:rsidRDefault="00505F06" w:rsidP="00441B6F">
      <w:pPr>
        <w:pStyle w:val="Body"/>
        <w:spacing w:after="0"/>
        <w:rPr>
          <w:rFonts w:ascii="Arial" w:hAnsi="Arial" w:cs="Arial"/>
          <w:i/>
        </w:rPr>
      </w:pPr>
    </w:p>
    <w:p w14:paraId="38C03580" w14:textId="79373643" w:rsidR="007F7B32" w:rsidRPr="00194A86" w:rsidRDefault="00902823" w:rsidP="00441B6F">
      <w:pPr>
        <w:pStyle w:val="AbstHead"/>
        <w:spacing w:after="0"/>
        <w:jc w:val="both"/>
        <w:rPr>
          <w:rFonts w:ascii="Arial" w:hAnsi="Arial" w:cs="Arial"/>
        </w:rPr>
      </w:pPr>
      <w:r w:rsidRPr="00194A86">
        <w:rPr>
          <w:rFonts w:ascii="Arial" w:hAnsi="Arial" w:cs="Arial"/>
        </w:rPr>
        <w:t xml:space="preserve">1. </w:t>
      </w:r>
      <w:r w:rsidR="00B01FCD" w:rsidRPr="00194A86">
        <w:rPr>
          <w:rFonts w:ascii="Arial" w:hAnsi="Arial" w:cs="Arial"/>
        </w:rPr>
        <w:t>INTRODUCTION</w:t>
      </w:r>
      <w:r w:rsidR="007F7B32" w:rsidRPr="00194A86">
        <w:rPr>
          <w:rFonts w:ascii="Arial" w:hAnsi="Arial" w:cs="Arial"/>
        </w:rPr>
        <w:t xml:space="preserve"> </w:t>
      </w:r>
    </w:p>
    <w:p w14:paraId="40D14C30" w14:textId="77777777" w:rsidR="00790ADA" w:rsidRPr="00194A86" w:rsidRDefault="00790ADA" w:rsidP="00441B6F">
      <w:pPr>
        <w:pStyle w:val="AbstHead"/>
        <w:spacing w:after="0"/>
        <w:jc w:val="both"/>
        <w:rPr>
          <w:rFonts w:ascii="Arial" w:hAnsi="Arial" w:cs="Arial"/>
        </w:rPr>
      </w:pPr>
    </w:p>
    <w:p w14:paraId="64BE85DF" w14:textId="77777777" w:rsidR="002410B5" w:rsidRPr="00194A86" w:rsidRDefault="002410B5" w:rsidP="002410B5">
      <w:pPr>
        <w:pStyle w:val="Body"/>
        <w:rPr>
          <w:rFonts w:ascii="Arial" w:hAnsi="Arial" w:cs="Arial"/>
        </w:rPr>
      </w:pPr>
      <w:r w:rsidRPr="00194A86">
        <w:rPr>
          <w:rFonts w:ascii="Arial" w:hAnsi="Arial" w:cs="Arial"/>
        </w:rPr>
        <w:t>Corporate governance has become one of the main concerns in the global economic environment due to rapid technological development, dynamic capital markets, and increasing demands for transparency and accountability. Corporate governance refers to the structures, processes, and mechanisms used to direct and control a company in order to protect stakeholders’ interests and ensure high-quality financial reporting (Tricker &amp; Tricker, 2019). Effective corporate governance helps companies adapt to different regulatory systems and business cultures while maintaining sustainable business practices worldwide. According to Asogwa et al. (2019), corporate governance plays an essential role in ensuring the quality of financial statements. Similarly, Kaihatu et al. (2004) explain that corporate governance functions as a system that regulates and controls companies to create added value for stakeholders through transparency, accountability, responsibility, independence, and fairness. Weak implementation of good corporate governance has contributed to major corporate failures such as Enron, WorldCom, Barings, HIH, and One-Tel, while the 1997 Asian financial crisis in countries including Indonesia, Thailand, Korea, and Malaysia was also linked to poor governance practices and inadequate oversight mechanisms (Syakhroza, 2005; Tjager, 2003).</w:t>
      </w:r>
    </w:p>
    <w:p w14:paraId="562C1A3F" w14:textId="77777777" w:rsidR="002410B5" w:rsidRPr="00194A86" w:rsidRDefault="002410B5" w:rsidP="002410B5">
      <w:pPr>
        <w:pStyle w:val="Body"/>
        <w:rPr>
          <w:rFonts w:ascii="Arial" w:hAnsi="Arial" w:cs="Arial"/>
        </w:rPr>
      </w:pPr>
      <w:r w:rsidRPr="00194A86">
        <w:rPr>
          <w:rFonts w:ascii="Arial" w:hAnsi="Arial" w:cs="Arial"/>
        </w:rPr>
        <w:t>In Southeast Asia, weak corporate governance is characterized by concentrated ownership structures, the dominance of insider shareholders, weak financial sector governance, ineffective internal controls, and limited legal protection for minority shareholders (Suprayitno, 2016). These weaknesses increase the possibility of managerial fraud, poor strategic decisions, and ineffective monitoring by boards of directors. In the banking industry, good corporate governance is particularly important because banks function as financial intermediaries that manage public funds and facilitate economic transactions. Effective governance enables banks to improve operational efficiency, manage risks prudently, and strengthen public trust. Good corporate governance also serves as the foundation for risk management, strategic decision-making, and the prevention of conflicts of interest. One of the most important indicators used to assess banking performance and risk management is the Non-Performing Loan (NPL) ratio. According to the International Monetary Fund, NPL refers to loans with principal or interest payments overdue for 90 days or more, while the World Bank defines NPL as the ratio of problematic loans to total loan portfolios. High NPL levels reduce profitability, increase liquidity risk, and threaten banking solvency (Mingaleva et al., 2022). Therefore, strong governance mechanisms are essential for controlling credit risk and maintaining financial stability.</w:t>
      </w:r>
    </w:p>
    <w:p w14:paraId="26672FCC" w14:textId="77777777" w:rsidR="00570ED2" w:rsidRPr="00194A86" w:rsidRDefault="00570ED2" w:rsidP="00570ED2">
      <w:pPr>
        <w:pStyle w:val="Body"/>
        <w:rPr>
          <w:rFonts w:ascii="Arial" w:hAnsi="Arial" w:cs="Arial"/>
        </w:rPr>
      </w:pPr>
      <w:r w:rsidRPr="00194A86">
        <w:rPr>
          <w:rFonts w:ascii="Arial" w:hAnsi="Arial" w:cs="Arial"/>
        </w:rPr>
        <w:lastRenderedPageBreak/>
        <w:t>Empirical evidence from Asia shows that NPL remains a major issue in the banking sector. Although NPL ratios in many Asian countries have remained relatively stable after the COVID-19 pandemic, the total volume of NPLs in Asia exceeded USD 700 billion in 2024, with East Asia contributing around 74% of total NPLs (IPAF, 2024). Southeast Asian countries exhibit varying conditions, where Singapore and Malaysia demonstrate improvements in asset quality, while Vietnam and Cambodia continue to experience rising NPLs due to aggressive credit expansion and weak supervision. Indonesia shows relatively stable NPL levels of around 2%; however, the banking sector remains vulnerable to macroeconomic pressures, inflation, interest rate fluctuations, and post-pandemic restructuring policies. The seriousness of credit risk problems in Indonesia is reflected in the bankruptcy of ten Rural Banks (BPR) during 2024 due to increasing bad loans and deteriorating financial conditions. OJK data also indicate that the NPL ratio of commercial banks fluctuated from 1.833 in 2021 to 2.155 by May 2025, signaling persistent credit risk challenges within the Indonesian banking industry (OJK, 2025). High NPL levels force banks to allocate larger loan loss provisions, reduce profitability, and weaken earnings quality.</w:t>
      </w:r>
    </w:p>
    <w:p w14:paraId="308DDFE6" w14:textId="77777777" w:rsidR="00570ED2" w:rsidRPr="00194A86" w:rsidRDefault="00570ED2" w:rsidP="00570ED2">
      <w:pPr>
        <w:keepNext/>
        <w:spacing w:line="360" w:lineRule="auto"/>
      </w:pPr>
      <w:r w:rsidRPr="00194A86">
        <w:fldChar w:fldCharType="begin"/>
      </w:r>
      <w:r w:rsidRPr="00194A86">
        <w:instrText xml:space="preserve"> INCLUDEPICTURE "https://ipafasia.org/uploads/images/npl/npl-table-2025b.PNG" \* MERGEFORMATINET </w:instrText>
      </w:r>
      <w:r w:rsidRPr="00194A86">
        <w:fldChar w:fldCharType="separate"/>
      </w:r>
      <w:r w:rsidRPr="00194A86">
        <w:rPr>
          <w:noProof/>
        </w:rPr>
        <w:drawing>
          <wp:inline distT="0" distB="0" distL="0" distR="0" wp14:anchorId="7E753502" wp14:editId="73B054C6">
            <wp:extent cx="5039995" cy="2489835"/>
            <wp:effectExtent l="0" t="0" r="1905" b="0"/>
            <wp:docPr id="1197112939" name="Picture 18" descr="npl-table-20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table-2025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489835"/>
                    </a:xfrm>
                    <a:prstGeom prst="rect">
                      <a:avLst/>
                    </a:prstGeom>
                    <a:noFill/>
                    <a:ln>
                      <a:noFill/>
                    </a:ln>
                  </pic:spPr>
                </pic:pic>
              </a:graphicData>
            </a:graphic>
          </wp:inline>
        </w:drawing>
      </w:r>
      <w:r w:rsidRPr="00194A86">
        <w:fldChar w:fldCharType="end"/>
      </w:r>
    </w:p>
    <w:p w14:paraId="4DD3440F" w14:textId="0D84FB78" w:rsidR="00570ED2" w:rsidRPr="00194A86" w:rsidRDefault="00570ED2" w:rsidP="00570ED2">
      <w:pPr>
        <w:pStyle w:val="Caption"/>
        <w:jc w:val="center"/>
        <w:rPr>
          <w:rFonts w:ascii="Arial" w:eastAsia="Times New Roman" w:hAnsi="Arial" w:cs="Arial"/>
          <w:i w:val="0"/>
          <w:iCs w:val="0"/>
          <w:color w:val="auto"/>
          <w:kern w:val="0"/>
          <w:sz w:val="20"/>
          <w:szCs w:val="20"/>
          <w:lang w:val="en-US"/>
        </w:rPr>
      </w:pPr>
      <w:bookmarkStart w:id="0" w:name="_Toc228949795"/>
      <w:r w:rsidRPr="00194A86">
        <w:rPr>
          <w:rFonts w:ascii="Arial" w:eastAsia="Times New Roman" w:hAnsi="Arial" w:cs="Arial"/>
          <w:b/>
          <w:bCs/>
          <w:i w:val="0"/>
          <w:iCs w:val="0"/>
          <w:color w:val="auto"/>
          <w:kern w:val="0"/>
          <w:sz w:val="20"/>
          <w:szCs w:val="20"/>
          <w:lang w:val="en-US"/>
        </w:rPr>
        <w:t>Figure 1.</w:t>
      </w:r>
      <w:r w:rsidRPr="00194A86">
        <w:rPr>
          <w:rFonts w:ascii="Arial" w:eastAsia="Times New Roman" w:hAnsi="Arial" w:cs="Arial"/>
          <w:i w:val="0"/>
          <w:iCs w:val="0"/>
          <w:color w:val="auto"/>
          <w:kern w:val="0"/>
          <w:sz w:val="20"/>
          <w:szCs w:val="20"/>
          <w:lang w:val="en-US"/>
        </w:rPr>
        <w:t xml:space="preserve"> Asia Non-Performing Loan (NPL) 2021-2024</w:t>
      </w:r>
      <w:bookmarkEnd w:id="0"/>
    </w:p>
    <w:p w14:paraId="4EC81934" w14:textId="77777777" w:rsidR="002410B5" w:rsidRPr="00194A86" w:rsidRDefault="002410B5" w:rsidP="002410B5">
      <w:pPr>
        <w:pStyle w:val="Body"/>
        <w:rPr>
          <w:rFonts w:ascii="Arial" w:hAnsi="Arial" w:cs="Arial"/>
        </w:rPr>
      </w:pPr>
      <w:r w:rsidRPr="00194A86">
        <w:rPr>
          <w:rFonts w:ascii="Arial" w:hAnsi="Arial" w:cs="Arial"/>
        </w:rPr>
        <w:t>Besides corporate governance, earnings quality is another important factor associated with banking stability and credit risk. Schipper and Vincent (2003) define earnings quality as the relevance and reliability of reported earnings for economic decision-making. High-quality earnings reflect actual financial performance, are supported by real cash flows, and are free from manipulation. However, in the banking sector, earnings quality can be distorted through earnings management practices, particularly through discretionary loan loss provisions. Kanagaretnam et al. (2014) found that banks with high NPL levels tend to have lower earnings quality because managers use loan loss provisions to smooth income. Similarly, Zou and Li (2014) reported a significant negative relationship between NPL and earnings quality, indicating that higher problematic loans reduce the reliability of reported earnings. Previous studies also show inconsistent findings regarding the influence of governance mechanisms such as audit committees, independent commissioners, and board diversity on banking performance and risk (Ahmed et al., 2021; Shabbir et al., 2024; Bui &amp; Krajcsák, 2023). These inconsistencies suggest the need for further investigation, especially in the Indonesian banking context.</w:t>
      </w:r>
    </w:p>
    <w:p w14:paraId="39F327BF" w14:textId="41BBA823" w:rsidR="00790ADA" w:rsidRPr="00194A86" w:rsidRDefault="002410B5" w:rsidP="002410B5">
      <w:pPr>
        <w:pStyle w:val="Body"/>
        <w:spacing w:after="0"/>
        <w:rPr>
          <w:rFonts w:ascii="Arial" w:hAnsi="Arial" w:cs="Arial"/>
        </w:rPr>
      </w:pPr>
      <w:r w:rsidRPr="00194A86">
        <w:rPr>
          <w:rFonts w:ascii="Arial" w:hAnsi="Arial" w:cs="Arial"/>
        </w:rPr>
        <w:t xml:space="preserve">Although many studies have examined the relationship between corporate governance and financial performance, research specifically investigating the influence of good corporate </w:t>
      </w:r>
      <w:r w:rsidRPr="00194A86">
        <w:rPr>
          <w:rFonts w:ascii="Arial" w:hAnsi="Arial" w:cs="Arial"/>
        </w:rPr>
        <w:lastRenderedPageBreak/>
        <w:t>governance and earnings quality on Non-Performing Loan in Indonesian banking companies remains limited. Most previous studies were conducted in countries such as Pakistan, Nepal, Ghana, and Vietnam, making their findings difficult to generalize to Indonesia’s banking environment. Furthermore, the relationship between governance mechanisms, earnings quality, and NPL is complex because it is influenced by internal factors such as risk management and financial performance, as well as external factors including inflation, interest rates, and economic growth (Koju et al., 2018; Tanasković &amp; Jandrić, 2015). Therefore, this study aims to analyze the effect of good corporate governance and earnings quality on Non-Performing Loan in banking companies listed on the Indonesia Stock Exchange. This research is expected to provide empirical evidence regarding the importance of governance quality and reliable earnings information in controlling credit risk and maintaining the stability of the Indonesian banking sector.</w:t>
      </w:r>
    </w:p>
    <w:p w14:paraId="2AB31AFF" w14:textId="77777777" w:rsidR="002410B5" w:rsidRPr="00194A86" w:rsidRDefault="002410B5" w:rsidP="002410B5">
      <w:pPr>
        <w:pStyle w:val="Body"/>
        <w:spacing w:after="0"/>
        <w:rPr>
          <w:rFonts w:ascii="Arial" w:hAnsi="Arial" w:cs="Arial"/>
        </w:rPr>
      </w:pPr>
    </w:p>
    <w:p w14:paraId="04426D3F" w14:textId="77777777" w:rsidR="00570ED2" w:rsidRPr="00194A86" w:rsidRDefault="00570ED2">
      <w:pPr>
        <w:rPr>
          <w:rFonts w:ascii="Arial" w:hAnsi="Arial" w:cs="Arial"/>
          <w:b/>
          <w:caps/>
          <w:sz w:val="22"/>
        </w:rPr>
      </w:pPr>
      <w:r w:rsidRPr="00194A86">
        <w:rPr>
          <w:rFonts w:ascii="Arial" w:hAnsi="Arial" w:cs="Arial"/>
        </w:rPr>
        <w:br w:type="page"/>
      </w:r>
    </w:p>
    <w:p w14:paraId="4048ACFE" w14:textId="31F6CF61" w:rsidR="007F7B32" w:rsidRPr="00194A86" w:rsidRDefault="00902823" w:rsidP="00441B6F">
      <w:pPr>
        <w:pStyle w:val="AbstHead"/>
        <w:spacing w:after="0"/>
        <w:jc w:val="both"/>
        <w:rPr>
          <w:rFonts w:ascii="Arial" w:hAnsi="Arial" w:cs="Arial"/>
        </w:rPr>
      </w:pPr>
      <w:r w:rsidRPr="00194A86">
        <w:rPr>
          <w:rFonts w:ascii="Arial" w:hAnsi="Arial" w:cs="Arial"/>
        </w:rPr>
        <w:lastRenderedPageBreak/>
        <w:t xml:space="preserve">2. </w:t>
      </w:r>
      <w:r w:rsidR="005D39F2">
        <w:rPr>
          <w:rFonts w:ascii="Arial" w:hAnsi="Arial" w:cs="Arial"/>
        </w:rPr>
        <w:t>LITERATURE REVIEW</w:t>
      </w:r>
      <w:r w:rsidR="007F7B32" w:rsidRPr="00194A86">
        <w:rPr>
          <w:rFonts w:ascii="Arial" w:hAnsi="Arial" w:cs="Arial"/>
        </w:rPr>
        <w:t xml:space="preserve"> </w:t>
      </w:r>
    </w:p>
    <w:p w14:paraId="3F21679D" w14:textId="77777777" w:rsidR="00790ADA" w:rsidRPr="00194A86" w:rsidRDefault="00790ADA" w:rsidP="00441B6F">
      <w:pPr>
        <w:pStyle w:val="AbstHead"/>
        <w:spacing w:after="0"/>
        <w:jc w:val="both"/>
        <w:rPr>
          <w:rFonts w:ascii="Arial" w:hAnsi="Arial" w:cs="Arial"/>
        </w:rPr>
      </w:pPr>
    </w:p>
    <w:p w14:paraId="762DDA6B" w14:textId="758729F3" w:rsidR="009F4428" w:rsidRPr="00194A86" w:rsidRDefault="00D138C3" w:rsidP="00441B6F">
      <w:pPr>
        <w:pStyle w:val="Body"/>
        <w:spacing w:after="0"/>
        <w:rPr>
          <w:rFonts w:ascii="Arial" w:hAnsi="Arial" w:cs="Arial"/>
          <w:b/>
          <w:caps/>
          <w:sz w:val="22"/>
        </w:rPr>
      </w:pPr>
      <w:r w:rsidRPr="00194A86">
        <w:rPr>
          <w:rFonts w:ascii="Arial" w:hAnsi="Arial" w:cs="Arial"/>
          <w:b/>
          <w:sz w:val="22"/>
        </w:rPr>
        <w:t>2.1 Literature Review</w:t>
      </w:r>
      <w:r w:rsidR="00416CE9" w:rsidRPr="00194A86">
        <w:rPr>
          <w:rFonts w:ascii="Arial" w:hAnsi="Arial" w:cs="Arial"/>
          <w:b/>
          <w:sz w:val="22"/>
        </w:rPr>
        <w:t xml:space="preserve">, </w:t>
      </w:r>
      <w:r w:rsidRPr="00194A86">
        <w:rPr>
          <w:rFonts w:ascii="Arial" w:hAnsi="Arial" w:cs="Arial"/>
          <w:b/>
          <w:sz w:val="22"/>
        </w:rPr>
        <w:t>Hypothesis Development</w:t>
      </w:r>
      <w:r w:rsidR="00416CE9" w:rsidRPr="00194A86">
        <w:rPr>
          <w:rFonts w:ascii="Arial" w:hAnsi="Arial" w:cs="Arial"/>
          <w:b/>
          <w:sz w:val="22"/>
        </w:rPr>
        <w:t>, and Research Framework</w:t>
      </w:r>
    </w:p>
    <w:p w14:paraId="339D3AB0" w14:textId="77777777" w:rsidR="009F4428" w:rsidRPr="00194A86" w:rsidRDefault="009F4428" w:rsidP="00441B6F">
      <w:pPr>
        <w:pStyle w:val="Body"/>
        <w:spacing w:after="0"/>
        <w:rPr>
          <w:rFonts w:ascii="Arial" w:hAnsi="Arial" w:cs="Arial"/>
        </w:rPr>
      </w:pPr>
    </w:p>
    <w:p w14:paraId="2DDD3956" w14:textId="77777777" w:rsidR="009F4428" w:rsidRPr="00194A86" w:rsidRDefault="009F4428" w:rsidP="009F4428">
      <w:pPr>
        <w:pStyle w:val="Body"/>
        <w:rPr>
          <w:rFonts w:ascii="Arial" w:hAnsi="Arial" w:cs="Arial"/>
        </w:rPr>
      </w:pPr>
      <w:r w:rsidRPr="00194A86">
        <w:rPr>
          <w:rFonts w:ascii="Arial" w:hAnsi="Arial" w:cs="Arial"/>
        </w:rPr>
        <w:t>Institutional ownership is considered an important mechanism of corporate governance because it strengthens monitoring functions and reduces agency conflicts within companies (Tran et al., 2020). Institutional investors possess greater resources, expertise, and incentives to effectively supervise management decisions, including those related to credit risk management in banking institutions (Azzah, 2021; Liu et al., 2019). Higher institutional ownership is expected to improve managerial oversight and reduce opportunistic behavior that may increase Non-Performing Loans (NPL) (Darsani &amp; Sukartha, 2021; Saona et al., 2020). Previous studies support this argument, with Tarchouna et al. (2022) finding that concentrated ownership negatively affects NPL by improving credit decision quality and limiting excessive risk-taking. Similarly, Shehzad et al. (2010) showed that concentrated ownership significantly reduces NPLs through stronger monitoring, while Elyasiani and Jia (2010) and Cornett et al. (2007) emphasized that institutional ownership improves asset quality and risk management practices in banks. Therefore, this study proposes that institutional ownership negatively affects Non-Performing Loans in banking companies.</w:t>
      </w:r>
    </w:p>
    <w:p w14:paraId="1AED6F89" w14:textId="3440FD6D" w:rsidR="009F4428" w:rsidRDefault="009F4428" w:rsidP="009F4428">
      <w:pPr>
        <w:pStyle w:val="Body"/>
        <w:rPr>
          <w:rFonts w:ascii="Arial" w:hAnsi="Arial" w:cs="Arial"/>
        </w:rPr>
      </w:pPr>
      <w:r w:rsidRPr="00194A86">
        <w:rPr>
          <w:rFonts w:ascii="Arial" w:hAnsi="Arial" w:cs="Arial"/>
        </w:rPr>
        <w:t>Independent commissioners also play a crucial role in ensuring the implementation of good corporate governance principles. Independent commissioners function as neutral supervisors who oversee management activities, mediate conflicts, and provide recommendations to improve company performance (Shivdasani &amp; Zenner, 2004). A greater proportion of independent commissioners is expected to strengthen governance quality and improve the effectiveness of credit allocation decisions, thereby reducing NPL. Prior research supports this relationship. Shabbir and Wisdom (2020) found that board independence positively influences company efficiency and enhances risk control mechanisms. Sulistiani and Tjahjadi (2022) also reported that independent boards significantly improve financial decision quality, while Zarefar and Narsa (2023) confirmed that board and audit committee characteristics contribute to better corporate performance through stronger monitoring functions. In the banking context, Tarchouna et al. (2022) demonstrated that independent directors negatively affect NPLs by enhancing transparency and credit supervision. Similarly, Sadaa et al. (2022), Khan et al. (2020), Peni and Vähämaa (2012), and Setiawan (2009) emphasized that stronger board independence improves monitoring effectiveness and reduces problematic loans. Thus, this study hypothesizes that independent commissioners negatively influence Non-Performing Loans in banking companies.</w:t>
      </w:r>
    </w:p>
    <w:p w14:paraId="3C46FDFD" w14:textId="0A8AA004" w:rsidR="0055067A" w:rsidRDefault="0055067A" w:rsidP="009F4428">
      <w:pPr>
        <w:pStyle w:val="Body"/>
        <w:rPr>
          <w:rFonts w:ascii="Arial" w:hAnsi="Arial" w:cs="Arial"/>
        </w:rPr>
      </w:pPr>
    </w:p>
    <w:p w14:paraId="03296969" w14:textId="66BD9E36" w:rsidR="0055067A" w:rsidRDefault="0055067A" w:rsidP="009F4428">
      <w:pPr>
        <w:pStyle w:val="Body"/>
        <w:rPr>
          <w:rFonts w:ascii="Arial" w:hAnsi="Arial" w:cs="Arial"/>
        </w:rPr>
      </w:pPr>
    </w:p>
    <w:p w14:paraId="136B58E3" w14:textId="183DA9B9" w:rsidR="0055067A" w:rsidRDefault="0055067A" w:rsidP="009F4428">
      <w:pPr>
        <w:pStyle w:val="Body"/>
        <w:rPr>
          <w:rFonts w:ascii="Arial" w:hAnsi="Arial" w:cs="Arial"/>
        </w:rPr>
      </w:pPr>
    </w:p>
    <w:p w14:paraId="10A4ECF6" w14:textId="2223492C" w:rsidR="0055067A" w:rsidRDefault="0055067A" w:rsidP="009F4428">
      <w:pPr>
        <w:pStyle w:val="Body"/>
        <w:rPr>
          <w:rFonts w:ascii="Arial" w:hAnsi="Arial" w:cs="Arial"/>
        </w:rPr>
      </w:pPr>
    </w:p>
    <w:p w14:paraId="3EBAF27A" w14:textId="24F515D4" w:rsidR="0055067A" w:rsidRDefault="0055067A" w:rsidP="009F4428">
      <w:pPr>
        <w:pStyle w:val="Body"/>
        <w:rPr>
          <w:rFonts w:ascii="Arial" w:hAnsi="Arial" w:cs="Arial"/>
        </w:rPr>
      </w:pPr>
    </w:p>
    <w:p w14:paraId="695321E2" w14:textId="3547B9F6" w:rsidR="0055067A" w:rsidRDefault="0055067A" w:rsidP="009F4428">
      <w:pPr>
        <w:pStyle w:val="Body"/>
        <w:rPr>
          <w:rFonts w:ascii="Arial" w:hAnsi="Arial" w:cs="Arial"/>
        </w:rPr>
      </w:pPr>
    </w:p>
    <w:p w14:paraId="1BB5EA8F" w14:textId="2CF441C6" w:rsidR="0055067A" w:rsidRDefault="0055067A" w:rsidP="009F4428">
      <w:pPr>
        <w:pStyle w:val="Body"/>
        <w:rPr>
          <w:rFonts w:ascii="Arial" w:hAnsi="Arial" w:cs="Arial"/>
        </w:rPr>
      </w:pPr>
    </w:p>
    <w:p w14:paraId="318C09E5" w14:textId="77777777" w:rsidR="0055067A" w:rsidRDefault="0055067A" w:rsidP="009F4428">
      <w:pPr>
        <w:pStyle w:val="Body"/>
        <w:rPr>
          <w:rFonts w:ascii="Arial" w:hAnsi="Arial" w:cs="Arial"/>
        </w:rPr>
      </w:pPr>
    </w:p>
    <w:p w14:paraId="4B075CBC" w14:textId="157E9CDB" w:rsidR="00194A86" w:rsidRPr="00194A86" w:rsidRDefault="00194A86" w:rsidP="009F4428">
      <w:pPr>
        <w:pStyle w:val="Body"/>
        <w:rPr>
          <w:rFonts w:ascii="Arial" w:hAnsi="Arial" w:cs="Arial"/>
        </w:rPr>
      </w:pPr>
      <w:r>
        <w:rPr>
          <w:rFonts w:ascii="Arial" w:hAnsi="Arial" w:cs="Arial"/>
        </w:rPr>
        <w:lastRenderedPageBreak/>
        <w:t xml:space="preserve">Fig 2 : </w:t>
      </w:r>
      <w:r w:rsidR="00BB47A5" w:rsidRPr="00194A86">
        <w:rPr>
          <w:rFonts w:ascii="Arial" w:hAnsi="Arial" w:cs="Arial"/>
          <w:b/>
          <w:sz w:val="22"/>
        </w:rPr>
        <w:t>Research Framework</w:t>
      </w:r>
      <w:r w:rsidR="00BB47A5">
        <w:rPr>
          <w:rFonts w:ascii="Arial" w:hAnsi="Arial" w:cs="Arial"/>
          <w:b/>
          <w:sz w:val="22"/>
        </w:rPr>
        <w:t xml:space="preserve"> of the Study </w:t>
      </w:r>
    </w:p>
    <w:p w14:paraId="1E623D1A" w14:textId="4AE6E728" w:rsidR="00416CE9" w:rsidRPr="00194A86" w:rsidRDefault="00416CE9" w:rsidP="00416CE9">
      <w:pPr>
        <w:pStyle w:val="Body"/>
        <w:jc w:val="center"/>
        <w:rPr>
          <w:rFonts w:ascii="Arial" w:hAnsi="Arial" w:cs="Arial"/>
        </w:rPr>
      </w:pPr>
      <w:r w:rsidRPr="00194A86">
        <w:rPr>
          <w:rFonts w:ascii="Arial" w:hAnsi="Arial" w:cs="Arial"/>
          <w:noProof/>
        </w:rPr>
        <w:drawing>
          <wp:inline distT="0" distB="0" distL="0" distR="0" wp14:anchorId="173EBD01" wp14:editId="13CE4A8E">
            <wp:extent cx="3914525" cy="2170444"/>
            <wp:effectExtent l="0" t="0" r="0" b="0"/>
            <wp:docPr id="54435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9093" name="Picture 5443590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2530" cy="2174882"/>
                    </a:xfrm>
                    <a:prstGeom prst="rect">
                      <a:avLst/>
                    </a:prstGeom>
                  </pic:spPr>
                </pic:pic>
              </a:graphicData>
            </a:graphic>
          </wp:inline>
        </w:drawing>
      </w:r>
    </w:p>
    <w:p w14:paraId="21DCA5B3" w14:textId="77777777" w:rsidR="009F4428" w:rsidRPr="00194A86" w:rsidRDefault="009F4428" w:rsidP="009F4428">
      <w:pPr>
        <w:pStyle w:val="Body"/>
        <w:rPr>
          <w:rFonts w:ascii="Arial" w:hAnsi="Arial" w:cs="Arial"/>
        </w:rPr>
      </w:pPr>
      <w:r w:rsidRPr="00194A86">
        <w:rPr>
          <w:rFonts w:ascii="Arial" w:hAnsi="Arial" w:cs="Arial"/>
        </w:rPr>
        <w:t>Gender diversity within boards of directors and commissioners reflects the inclusion of different perspectives and decision-making approaches in corporate governance. In the banking industry, which is highly sensitive to credit risk, gender diversity is believed to encourage more prudent and comprehensive decision-making processes (Allen et al., 2016). Ahmed et al. (2024) found that gender diversity within audit committees positively affects financial performance by strengthening supervisory effectiveness. Likewise, Shabbir and Wisdom (2020) argued that gender-diverse boards improve company efficiency and the quality of risk management. Ararat et al. (2010) further explained that female representation on boards enhances monitoring effectiveness, particularly in financial institutions. Gul et al. (2013) also found that companies with higher gender diversity tend to have stronger oversight quality and lower financial risk. In the banking sector, Palvia et al. (2015) showed that banks with more women in managerial positions maintain more conservative loan portfolios and lower NPL levels, while Berger et al. (2014) found that gender diversity reduces financial risk exposure. However, Gulamhussen and Fonte Santa (2015) noted that the impact of gender diversity may vary depending on cultural, regulatory, and institutional contexts. Therefore, this study proposes that gender diversity negatively affects Non-Performing Loans in banking companies.</w:t>
      </w:r>
    </w:p>
    <w:p w14:paraId="2046ED2E" w14:textId="763368EC" w:rsidR="009F4428" w:rsidRDefault="009F4428" w:rsidP="009F4428">
      <w:pPr>
        <w:pStyle w:val="Body"/>
        <w:spacing w:after="0"/>
        <w:rPr>
          <w:rFonts w:ascii="Arial" w:hAnsi="Arial" w:cs="Arial"/>
        </w:rPr>
      </w:pPr>
      <w:r w:rsidRPr="00194A86">
        <w:rPr>
          <w:rFonts w:ascii="Arial" w:hAnsi="Arial" w:cs="Arial"/>
        </w:rPr>
        <w:t xml:space="preserve">Earnings quality reflects the extent to which reported earnings represent the company’s actual economic performance. In the banking sector, earnings quality is commonly measured using discretionary loan loss provisions (DLLP), which reflect the subjective component of loan loss provisions that managers may manipulate for earnings management. Aggressive use of DLLP may reduce transparency and obscure the true level of credit risk within banks (Kanagaretnam et al., 2014). Hussain et al. (2022) found that earnings management significantly affects financial misstatements, indicating distortions in financial reporting quality. Similarly, Beatty et al. (1995) argued that banks engaging in opportunistic DLLP practices tend to accumulate higher NPL because reported earnings fail to reflect actual credit risk conditions. Lower earnings quality, therefore, increases the possibility of problematic loans and weakens banking stability. Based on these arguments, this study hypothesizes that earnings quality positively affects Non-Performing Loan in banking companies. </w:t>
      </w:r>
    </w:p>
    <w:p w14:paraId="2D4D2F74" w14:textId="05224997" w:rsidR="0083546C" w:rsidRDefault="0083546C" w:rsidP="009F4428">
      <w:pPr>
        <w:pStyle w:val="Body"/>
        <w:spacing w:after="0"/>
        <w:rPr>
          <w:rFonts w:ascii="Arial" w:hAnsi="Arial" w:cs="Arial"/>
        </w:rPr>
      </w:pPr>
    </w:p>
    <w:p w14:paraId="0F6DCE2C" w14:textId="028B16D3" w:rsidR="0083546C" w:rsidRDefault="0083546C" w:rsidP="009F4428">
      <w:pPr>
        <w:pStyle w:val="Body"/>
        <w:spacing w:after="0"/>
        <w:rPr>
          <w:rFonts w:ascii="Arial" w:hAnsi="Arial" w:cs="Arial"/>
        </w:rPr>
      </w:pPr>
    </w:p>
    <w:p w14:paraId="2CF74FE8" w14:textId="77777777" w:rsidR="0083546C" w:rsidRPr="00194A86" w:rsidRDefault="0083546C" w:rsidP="009F4428">
      <w:pPr>
        <w:pStyle w:val="Body"/>
        <w:spacing w:after="0"/>
        <w:rPr>
          <w:rFonts w:ascii="Arial" w:hAnsi="Arial" w:cs="Arial"/>
        </w:rPr>
      </w:pPr>
    </w:p>
    <w:p w14:paraId="149D6107" w14:textId="77777777" w:rsidR="009F4428" w:rsidRPr="00194A86" w:rsidRDefault="009F4428" w:rsidP="009F4428">
      <w:pPr>
        <w:pStyle w:val="Body"/>
        <w:spacing w:after="0"/>
        <w:rPr>
          <w:rFonts w:ascii="Arial" w:hAnsi="Arial" w:cs="Arial"/>
        </w:rPr>
      </w:pPr>
    </w:p>
    <w:p w14:paraId="02ED1B53" w14:textId="7CC6B10E" w:rsidR="00835BAA" w:rsidRDefault="00835BAA" w:rsidP="00D138C3">
      <w:pPr>
        <w:pStyle w:val="Body"/>
        <w:rPr>
          <w:rFonts w:ascii="Arial" w:hAnsi="Arial" w:cs="Arial"/>
          <w:b/>
          <w:sz w:val="22"/>
        </w:rPr>
      </w:pPr>
      <w:r>
        <w:rPr>
          <w:rFonts w:ascii="Arial" w:hAnsi="Arial" w:cs="Arial"/>
          <w:b/>
          <w:sz w:val="22"/>
        </w:rPr>
        <w:lastRenderedPageBreak/>
        <w:t>3. METHODOLOGY</w:t>
      </w:r>
    </w:p>
    <w:p w14:paraId="27D23146" w14:textId="3C9655D2" w:rsidR="00D138C3" w:rsidRPr="00194A86" w:rsidRDefault="00835BAA" w:rsidP="00D138C3">
      <w:pPr>
        <w:pStyle w:val="Body"/>
        <w:rPr>
          <w:rFonts w:ascii="Arial" w:hAnsi="Arial" w:cs="Arial"/>
          <w:b/>
          <w:caps/>
          <w:sz w:val="22"/>
        </w:rPr>
      </w:pPr>
      <w:r>
        <w:rPr>
          <w:rFonts w:ascii="Arial" w:hAnsi="Arial" w:cs="Arial"/>
          <w:b/>
          <w:sz w:val="22"/>
        </w:rPr>
        <w:t>3.1</w:t>
      </w:r>
      <w:r w:rsidR="00D138C3" w:rsidRPr="00194A86">
        <w:rPr>
          <w:rFonts w:ascii="Arial" w:hAnsi="Arial" w:cs="Arial"/>
          <w:b/>
          <w:sz w:val="22"/>
        </w:rPr>
        <w:t xml:space="preserve"> Population and Sample</w:t>
      </w:r>
    </w:p>
    <w:p w14:paraId="3200EC2D" w14:textId="2762F8B0" w:rsidR="00D138C3" w:rsidRPr="00194A86" w:rsidRDefault="00535B2D" w:rsidP="00C8627A">
      <w:pPr>
        <w:pStyle w:val="Body"/>
        <w:spacing w:after="0"/>
        <w:rPr>
          <w:rFonts w:ascii="Arial" w:hAnsi="Arial" w:cs="Arial"/>
        </w:rPr>
      </w:pPr>
      <w:r w:rsidRPr="00194A86">
        <w:rPr>
          <w:rFonts w:ascii="Arial" w:hAnsi="Arial" w:cs="Arial"/>
        </w:rPr>
        <w:t xml:space="preserve">The population of this study consists of banking companies listed on the Indonesia Stock Exchange (IDX) during the </w:t>
      </w:r>
      <w:r w:rsidR="00D71558">
        <w:rPr>
          <w:rFonts w:ascii="Arial" w:hAnsi="Arial" w:cs="Arial"/>
        </w:rPr>
        <w:t>2020</w:t>
      </w:r>
      <w:r w:rsidRPr="00194A86">
        <w:rPr>
          <w:rFonts w:ascii="Arial" w:hAnsi="Arial" w:cs="Arial"/>
        </w:rPr>
        <w:t>–2024 period. Based on IDX data, there are 47 banking companies included in the population. This study applies purposive sampling techniques, which select samples based on specific criteria (Sugiyono, 2017). The criteria include: banking companies listed on the IDX during 2022–2024, companies publishing audited annual financial reports ending on December 31, availability of complete data related to Good Corporate Governance, Earning</w:t>
      </w:r>
      <w:r w:rsidR="00E3693F">
        <w:rPr>
          <w:rFonts w:ascii="Arial" w:hAnsi="Arial" w:cs="Arial"/>
        </w:rPr>
        <w:t>s</w:t>
      </w:r>
      <w:r w:rsidRPr="00194A86">
        <w:rPr>
          <w:rFonts w:ascii="Arial" w:hAnsi="Arial" w:cs="Arial"/>
        </w:rPr>
        <w:t xml:space="preserve"> Quality, Non-Performing Loan, and Size variables, and companies presenting financial statements in Indonesian Rupiah. Based on these criteria, 47 banking companies were selected as the research sample.</w:t>
      </w:r>
      <w:r w:rsidR="00D138C3" w:rsidRPr="00194A86">
        <w:rPr>
          <w:rFonts w:ascii="Arial" w:hAnsi="Arial" w:cs="Arial"/>
        </w:rPr>
        <w:t xml:space="preserve"> </w:t>
      </w:r>
    </w:p>
    <w:p w14:paraId="6BE1FD23" w14:textId="77777777" w:rsidR="00D138C3" w:rsidRPr="00194A86" w:rsidRDefault="00D138C3" w:rsidP="00D138C3">
      <w:pPr>
        <w:pStyle w:val="Body"/>
        <w:spacing w:after="0"/>
        <w:rPr>
          <w:rFonts w:ascii="Arial" w:hAnsi="Arial" w:cs="Arial"/>
        </w:rPr>
      </w:pPr>
    </w:p>
    <w:p w14:paraId="5CE2FA83" w14:textId="25DDC0B0" w:rsidR="00535B2D" w:rsidRPr="00194A86" w:rsidRDefault="00835BAA" w:rsidP="00D138C3">
      <w:pPr>
        <w:pStyle w:val="Body"/>
        <w:rPr>
          <w:rFonts w:ascii="Arial" w:hAnsi="Arial" w:cs="Arial"/>
          <w:b/>
          <w:sz w:val="22"/>
        </w:rPr>
      </w:pPr>
      <w:r>
        <w:rPr>
          <w:rFonts w:ascii="Arial" w:hAnsi="Arial" w:cs="Arial"/>
          <w:b/>
          <w:sz w:val="22"/>
        </w:rPr>
        <w:t>3.2</w:t>
      </w:r>
      <w:r w:rsidR="00D138C3" w:rsidRPr="00194A86">
        <w:rPr>
          <w:rFonts w:ascii="Arial" w:hAnsi="Arial" w:cs="Arial"/>
          <w:b/>
          <w:sz w:val="22"/>
        </w:rPr>
        <w:t xml:space="preserve"> </w:t>
      </w:r>
      <w:r w:rsidR="00535B2D" w:rsidRPr="00194A86">
        <w:rPr>
          <w:rFonts w:ascii="Arial" w:hAnsi="Arial" w:cs="Arial"/>
          <w:b/>
          <w:sz w:val="22"/>
        </w:rPr>
        <w:t>Data Used and Data Resource</w:t>
      </w:r>
    </w:p>
    <w:p w14:paraId="4C098D68" w14:textId="0639AF30" w:rsidR="00535B2D" w:rsidRPr="00194A86" w:rsidRDefault="00BC4D6A" w:rsidP="00D138C3">
      <w:pPr>
        <w:pStyle w:val="Body"/>
        <w:rPr>
          <w:rFonts w:ascii="Arial" w:hAnsi="Arial" w:cs="Arial"/>
          <w:bCs/>
        </w:rPr>
      </w:pPr>
      <w:r w:rsidRPr="00194A86">
        <w:rPr>
          <w:rFonts w:ascii="Arial" w:hAnsi="Arial" w:cs="Arial"/>
          <w:bCs/>
        </w:rPr>
        <w:t>This study uses secondary data obtained from audited annual reports and financial statements of banking companies listed on the Indonesia Stock Exchange (IDX) during the 2022–2024 period. The data were collected from the official IDX website of the Indonesia Stock Exchange (IDX) and from each company’s published annual reports and financial disclosures. The data collection method used in this study is a documentation study. Data were collected by reviewing and recording documents related to the research variables through browsing the Indonesia Stock Exchange (IDX) website and company annual reports. In addition, this study uses library research by reviewing accounting journals, management journals, books, and other relevant literature on Good Corporate Governance, Earning</w:t>
      </w:r>
      <w:r w:rsidR="00E3693F">
        <w:rPr>
          <w:rFonts w:ascii="Arial" w:hAnsi="Arial" w:cs="Arial"/>
          <w:bCs/>
        </w:rPr>
        <w:t>s</w:t>
      </w:r>
      <w:r w:rsidRPr="00194A86">
        <w:rPr>
          <w:rFonts w:ascii="Arial" w:hAnsi="Arial" w:cs="Arial"/>
          <w:bCs/>
        </w:rPr>
        <w:t xml:space="preserve"> Quality, and Non-Performing Loan. Secondary data, including financial statements, company reports, and other supporting information, were collected to support the research analysis.</w:t>
      </w:r>
    </w:p>
    <w:p w14:paraId="45B90D44" w14:textId="0C865E5C" w:rsidR="00D138C3" w:rsidRPr="00194A86" w:rsidRDefault="00835BAA" w:rsidP="00D138C3">
      <w:pPr>
        <w:pStyle w:val="Body"/>
        <w:rPr>
          <w:rFonts w:ascii="Arial" w:hAnsi="Arial" w:cs="Arial"/>
          <w:b/>
          <w:caps/>
          <w:sz w:val="22"/>
        </w:rPr>
      </w:pPr>
      <w:r>
        <w:rPr>
          <w:rFonts w:ascii="Arial" w:hAnsi="Arial" w:cs="Arial"/>
          <w:b/>
          <w:sz w:val="22"/>
        </w:rPr>
        <w:t>3.3</w:t>
      </w:r>
      <w:r w:rsidR="00535B2D" w:rsidRPr="00194A86">
        <w:rPr>
          <w:rFonts w:ascii="Arial" w:hAnsi="Arial" w:cs="Arial"/>
          <w:b/>
          <w:sz w:val="22"/>
        </w:rPr>
        <w:t xml:space="preserve"> </w:t>
      </w:r>
      <w:r w:rsidR="00D138C3" w:rsidRPr="00194A86">
        <w:rPr>
          <w:rFonts w:ascii="Arial" w:hAnsi="Arial" w:cs="Arial"/>
          <w:b/>
          <w:sz w:val="22"/>
        </w:rPr>
        <w:t>Operational Definitions of Variables</w:t>
      </w:r>
    </w:p>
    <w:p w14:paraId="6A6F26BE" w14:textId="6E028ACB" w:rsidR="00FB0161" w:rsidRPr="00194A86" w:rsidRDefault="00FB0161" w:rsidP="00FB0161">
      <w:pPr>
        <w:pStyle w:val="Body"/>
        <w:rPr>
          <w:rFonts w:ascii="Arial" w:hAnsi="Arial" w:cs="Arial"/>
        </w:rPr>
      </w:pPr>
      <w:r w:rsidRPr="00194A86">
        <w:rPr>
          <w:rFonts w:ascii="Arial" w:hAnsi="Arial" w:cs="Arial"/>
        </w:rPr>
        <w:t>Independent variables in this study consist of institutional ownership, independent commissioners, gender diversity, and earning</w:t>
      </w:r>
      <w:r w:rsidR="00E3693F">
        <w:rPr>
          <w:rFonts w:ascii="Arial" w:hAnsi="Arial" w:cs="Arial"/>
        </w:rPr>
        <w:t>s</w:t>
      </w:r>
      <w:r w:rsidRPr="00194A86">
        <w:rPr>
          <w:rFonts w:ascii="Arial" w:hAnsi="Arial" w:cs="Arial"/>
        </w:rPr>
        <w:t xml:space="preserve"> quality. According to Sekaran and Bougie (2016), independent variables are variables that influence dependent variables positively or negatively. Institutional ownership is measured by the percentage of shares owned by institutional investors to total outstanding shares (Hadiansyah et al., 2022; Kartika &amp; Nurhayati, 2018). Independent commissioners are measured by the proportion of independent commissioners to the total board of commissioners, following OJK Regulation No. 33/POJK.04/2014 and Masriani et al. (2022). Gender diversity is measured by the percentage of female board members to total board members (Carter et al., 2003; Hakimah et al., 2019).</w:t>
      </w:r>
    </w:p>
    <w:p w14:paraId="5A1559C1" w14:textId="72937D16" w:rsidR="00D138C3" w:rsidRDefault="00FB0161" w:rsidP="00FB0161">
      <w:pPr>
        <w:pStyle w:val="Body"/>
        <w:spacing w:after="0"/>
        <w:rPr>
          <w:rFonts w:ascii="Arial" w:hAnsi="Arial" w:cs="Arial"/>
        </w:rPr>
      </w:pPr>
      <w:r w:rsidRPr="00194A86">
        <w:rPr>
          <w:rFonts w:ascii="Arial" w:hAnsi="Arial" w:cs="Arial"/>
        </w:rPr>
        <w:t>Earning</w:t>
      </w:r>
      <w:r w:rsidR="00E3693F">
        <w:rPr>
          <w:rFonts w:ascii="Arial" w:hAnsi="Arial" w:cs="Arial"/>
        </w:rPr>
        <w:t>s</w:t>
      </w:r>
      <w:r w:rsidRPr="00194A86">
        <w:rPr>
          <w:rFonts w:ascii="Arial" w:hAnsi="Arial" w:cs="Arial"/>
        </w:rPr>
        <w:t xml:space="preserve"> quality is measured using the Beaver and Engel (1996) model through discretionary accruals (DAit), as applied by Oktayanti and Murtanto (2016). The model calculates non-discretionary accruals (NDAit) based on total accruals, charge-offs, loans, non-performing assets, and changes in non-performing assets. Higher discretionary accrual values indicate lower earnings quality. Meanwhile, the dependent variable in this study is Non-Performing Loan (NPL), measured by the ratio of non-performing loans to total loans (Priatna, 2017). According to Sekaran and Bougie (2016), the dependent variable is the primary variable observed and explained in the research.</w:t>
      </w:r>
      <w:r w:rsidR="00D138C3" w:rsidRPr="00194A86">
        <w:rPr>
          <w:rFonts w:ascii="Arial" w:hAnsi="Arial" w:cs="Arial"/>
        </w:rPr>
        <w:t xml:space="preserve"> </w:t>
      </w:r>
    </w:p>
    <w:p w14:paraId="08EBD467" w14:textId="5A402937" w:rsidR="008C027E" w:rsidRDefault="008C027E" w:rsidP="00FB0161">
      <w:pPr>
        <w:pStyle w:val="Body"/>
        <w:spacing w:after="0"/>
        <w:rPr>
          <w:rFonts w:ascii="Arial" w:hAnsi="Arial" w:cs="Arial"/>
        </w:rPr>
      </w:pPr>
    </w:p>
    <w:p w14:paraId="6A7A0CDA" w14:textId="674BFA48" w:rsidR="008C027E" w:rsidRDefault="008C027E" w:rsidP="00FB0161">
      <w:pPr>
        <w:pStyle w:val="Body"/>
        <w:spacing w:after="0"/>
        <w:rPr>
          <w:rFonts w:ascii="Arial" w:hAnsi="Arial" w:cs="Arial"/>
        </w:rPr>
      </w:pPr>
    </w:p>
    <w:p w14:paraId="68CD9C5B" w14:textId="32F44718" w:rsidR="008C027E" w:rsidRDefault="008C027E" w:rsidP="00FB0161">
      <w:pPr>
        <w:pStyle w:val="Body"/>
        <w:spacing w:after="0"/>
        <w:rPr>
          <w:rFonts w:ascii="Arial" w:hAnsi="Arial" w:cs="Arial"/>
        </w:rPr>
      </w:pPr>
    </w:p>
    <w:p w14:paraId="60583D1B" w14:textId="342D2966" w:rsidR="008C027E" w:rsidRDefault="008C027E" w:rsidP="00FB0161">
      <w:pPr>
        <w:pStyle w:val="Body"/>
        <w:spacing w:after="0"/>
        <w:rPr>
          <w:rFonts w:ascii="Arial" w:hAnsi="Arial" w:cs="Arial"/>
        </w:rPr>
      </w:pPr>
    </w:p>
    <w:p w14:paraId="4399F9CF" w14:textId="77777777" w:rsidR="008C027E" w:rsidRPr="00194A86" w:rsidRDefault="008C027E" w:rsidP="00FB0161">
      <w:pPr>
        <w:pStyle w:val="Body"/>
        <w:spacing w:after="0"/>
        <w:rPr>
          <w:rFonts w:ascii="Arial" w:hAnsi="Arial" w:cs="Arial"/>
        </w:rPr>
      </w:pPr>
    </w:p>
    <w:p w14:paraId="2677C8AB" w14:textId="77777777" w:rsidR="00D138C3" w:rsidRDefault="00D138C3" w:rsidP="00D138C3">
      <w:pPr>
        <w:pStyle w:val="Body"/>
        <w:spacing w:after="0"/>
        <w:rPr>
          <w:rFonts w:ascii="Arial" w:hAnsi="Arial" w:cs="Arial"/>
        </w:rPr>
      </w:pPr>
    </w:p>
    <w:p w14:paraId="34D3F3EA" w14:textId="05ECCE50" w:rsidR="00194A86" w:rsidRDefault="00194A86" w:rsidP="00D138C3">
      <w:pPr>
        <w:pStyle w:val="Body"/>
        <w:spacing w:after="0"/>
        <w:rPr>
          <w:rFonts w:ascii="Arial" w:hAnsi="Arial" w:cs="Arial"/>
        </w:rPr>
      </w:pPr>
      <w:r>
        <w:rPr>
          <w:rFonts w:ascii="Arial" w:hAnsi="Arial" w:cs="Arial"/>
        </w:rPr>
        <w:t xml:space="preserve">Table 1: </w:t>
      </w:r>
      <w:r w:rsidR="003B6E45">
        <w:rPr>
          <w:rFonts w:ascii="Arial" w:hAnsi="Arial" w:cs="Arial"/>
        </w:rPr>
        <w:t xml:space="preserve">Formulas of Dependent and Independent Variables </w:t>
      </w:r>
    </w:p>
    <w:p w14:paraId="68B37DB2" w14:textId="77777777" w:rsidR="0072275E" w:rsidRPr="00194A86" w:rsidRDefault="0072275E" w:rsidP="00D138C3">
      <w:pPr>
        <w:pStyle w:val="Body"/>
        <w:spacing w:after="0"/>
        <w:rPr>
          <w:rFonts w:ascii="Arial" w:hAnsi="Arial" w:cs="Arial"/>
        </w:rPr>
      </w:pPr>
    </w:p>
    <w:p w14:paraId="506375EB" w14:textId="5D63A681" w:rsidR="00946E30" w:rsidRPr="00194A86" w:rsidRDefault="00946E30" w:rsidP="00D138C3">
      <w:pPr>
        <w:pStyle w:val="Body"/>
        <w:spacing w:after="0"/>
        <w:rPr>
          <w:rFonts w:ascii="Arial" w:hAnsi="Arial" w:cs="Arial"/>
        </w:rPr>
      </w:pPr>
      <w:r w:rsidRPr="00194A86">
        <w:rPr>
          <w:rFonts w:ascii="Arial" w:hAnsi="Arial" w:cs="Arial"/>
          <w:noProof/>
        </w:rPr>
        <w:drawing>
          <wp:inline distT="0" distB="0" distL="0" distR="0" wp14:anchorId="52F77BA7" wp14:editId="125E9023">
            <wp:extent cx="5211241" cy="3366197"/>
            <wp:effectExtent l="0" t="0" r="0" b="0"/>
            <wp:docPr id="207446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8703" name="Picture 2074468703"/>
                    <pic:cNvPicPr/>
                  </pic:nvPicPr>
                  <pic:blipFill rotWithShape="1">
                    <a:blip r:embed="rId16" cstate="print">
                      <a:extLst>
                        <a:ext uri="{28A0092B-C50C-407E-A947-70E740481C1C}">
                          <a14:useLocalDpi xmlns:a14="http://schemas.microsoft.com/office/drawing/2010/main" val="0"/>
                        </a:ext>
                      </a:extLst>
                    </a:blip>
                    <a:srcRect t="7165" b="7098"/>
                    <a:stretch>
                      <a:fillRect/>
                    </a:stretch>
                  </pic:blipFill>
                  <pic:spPr bwMode="auto">
                    <a:xfrm>
                      <a:off x="0" y="0"/>
                      <a:ext cx="5212080" cy="3366739"/>
                    </a:xfrm>
                    <a:prstGeom prst="rect">
                      <a:avLst/>
                    </a:prstGeom>
                    <a:ln>
                      <a:noFill/>
                    </a:ln>
                    <a:extLst>
                      <a:ext uri="{53640926-AAD7-44D8-BBD7-CCE9431645EC}">
                        <a14:shadowObscured xmlns:a14="http://schemas.microsoft.com/office/drawing/2010/main"/>
                      </a:ext>
                    </a:extLst>
                  </pic:spPr>
                </pic:pic>
              </a:graphicData>
            </a:graphic>
          </wp:inline>
        </w:drawing>
      </w:r>
    </w:p>
    <w:p w14:paraId="3179DF57" w14:textId="77777777" w:rsidR="00946E30" w:rsidRPr="00194A86" w:rsidRDefault="00946E30" w:rsidP="00D138C3">
      <w:pPr>
        <w:pStyle w:val="Body"/>
        <w:rPr>
          <w:rFonts w:ascii="Arial" w:hAnsi="Arial" w:cs="Arial"/>
          <w:b/>
          <w:sz w:val="22"/>
        </w:rPr>
      </w:pPr>
    </w:p>
    <w:p w14:paraId="34E28163" w14:textId="77777777" w:rsidR="00F3017D" w:rsidRDefault="00F3017D" w:rsidP="00F3017D">
      <w:pPr>
        <w:rPr>
          <w:rFonts w:ascii="Arial" w:hAnsi="Arial" w:cs="Arial"/>
          <w:b/>
          <w:sz w:val="22"/>
        </w:rPr>
      </w:pPr>
    </w:p>
    <w:p w14:paraId="5114F114" w14:textId="1F77BE93" w:rsidR="00AA74E0" w:rsidRDefault="00835BAA" w:rsidP="00F3017D">
      <w:pPr>
        <w:rPr>
          <w:rFonts w:ascii="Arial" w:hAnsi="Arial" w:cs="Arial"/>
          <w:b/>
          <w:sz w:val="22"/>
        </w:rPr>
      </w:pPr>
      <w:r>
        <w:rPr>
          <w:rFonts w:ascii="Arial" w:hAnsi="Arial" w:cs="Arial"/>
          <w:b/>
          <w:sz w:val="22"/>
        </w:rPr>
        <w:t>3.4</w:t>
      </w:r>
      <w:r w:rsidR="00D138C3" w:rsidRPr="00194A86">
        <w:rPr>
          <w:rFonts w:ascii="Arial" w:hAnsi="Arial" w:cs="Arial"/>
          <w:b/>
          <w:sz w:val="22"/>
        </w:rPr>
        <w:t xml:space="preserve"> Data Analysis Methods</w:t>
      </w:r>
    </w:p>
    <w:p w14:paraId="0D2ED92F" w14:textId="77777777" w:rsidR="00F3017D" w:rsidRPr="00194A86" w:rsidRDefault="00F3017D" w:rsidP="00F3017D">
      <w:pPr>
        <w:rPr>
          <w:rFonts w:ascii="Arial" w:hAnsi="Arial" w:cs="Arial"/>
          <w:b/>
          <w:sz w:val="22"/>
        </w:rPr>
      </w:pPr>
    </w:p>
    <w:p w14:paraId="59BD35DC" w14:textId="77777777" w:rsidR="007C5487" w:rsidRPr="00194A86" w:rsidRDefault="007C5487" w:rsidP="007C5487">
      <w:pPr>
        <w:pStyle w:val="Body"/>
        <w:rPr>
          <w:rFonts w:ascii="Arial" w:hAnsi="Arial" w:cs="Arial"/>
          <w:lang w:val="en-ID"/>
        </w:rPr>
      </w:pPr>
      <w:r w:rsidRPr="00194A86">
        <w:rPr>
          <w:rFonts w:ascii="Arial" w:hAnsi="Arial" w:cs="Arial"/>
          <w:lang w:val="en-ID"/>
        </w:rPr>
        <w:t>This study employs statistical data analysis using a multiple linear regression model with panel data analysis processed through Stata 17 software. Multiple regression analysis is used to examine the effect of independent variables on the dependent variable. Descriptive statistical analysis is applied to provide an overview of the research data through mean, standard deviation, variance, maximum, minimum, kurtosis, and skewness values (Ghozali, 2016). According to Sekaran and Bougie (2016), mean and standard deviation are the most commonly used descriptive statistics for interval and ratio scale data. In addition, classical assumption tests are conducted, including multicollinearity and heteroscedasticity tests. Multicollinearity is tested using the Variance Inflation Factor (VIF), where VIF values below 10 and tolerance values above 0.10 indicate the absence of multicollinearity. Meanwhile, heteroscedasticity is tested using the Breusch–Pagan test or White test, where a probability value greater than 0.05 indicates no heteroscedasticity problem.</w:t>
      </w:r>
    </w:p>
    <w:p w14:paraId="58BDF52B" w14:textId="7AA034DB" w:rsidR="007C5487" w:rsidRPr="00194A86" w:rsidRDefault="007C5487" w:rsidP="007C5487">
      <w:pPr>
        <w:pStyle w:val="Body"/>
        <w:rPr>
          <w:rFonts w:ascii="Arial" w:hAnsi="Arial" w:cs="Arial"/>
          <w:lang w:val="en-ID"/>
        </w:rPr>
      </w:pPr>
      <w:r w:rsidRPr="00194A86">
        <w:rPr>
          <w:rFonts w:ascii="Arial" w:hAnsi="Arial" w:cs="Arial"/>
          <w:lang w:val="en-ID"/>
        </w:rPr>
        <w:t xml:space="preserve">Since this study uses panel data, model selection tests are conducted to determine the most appropriate regression model among the Common Effect Model (CEM), Fixed Effect Model (FEM), and Random Effect Model (REM). The Chow test is used to compare CEM and FEM, the Lagrange Multiplier test compares CEM and REM, and the Hausman test determines whether FEM or REM is more suitable. Hypothesis testing is then carried out using the coefficient of determination (R²), t-test, and regression analysis. The coefficient of determination measures the ability of independent variables to explain variations in the dependent variable, with Adjusted R² commonly used in regression models. The t-test </w:t>
      </w:r>
      <w:r w:rsidRPr="00194A86">
        <w:rPr>
          <w:rFonts w:ascii="Arial" w:hAnsi="Arial" w:cs="Arial"/>
          <w:lang w:val="en-ID"/>
        </w:rPr>
        <w:lastRenderedPageBreak/>
        <w:t xml:space="preserve">evaluates the partial significance of each independent variable, where probability values below 0.05 indicate significant effects. The panel regression model used in this study is: </w:t>
      </w:r>
      <m:oMath>
        <m:r>
          <w:rPr>
            <w:rFonts w:ascii="Cambria Math" w:hAnsi="Cambria Math" w:cs="Arial"/>
            <w:lang w:val="en-ID"/>
          </w:rPr>
          <m:t>NP</m:t>
        </m:r>
        <m:sSub>
          <m:sSubPr>
            <m:ctrlPr>
              <w:rPr>
                <w:rFonts w:ascii="Cambria Math" w:hAnsi="Cambria Math" w:cs="Arial"/>
                <w:lang w:val="en-ID"/>
              </w:rPr>
            </m:ctrlPr>
          </m:sSubPr>
          <m:e>
            <m:r>
              <w:rPr>
                <w:rFonts w:ascii="Cambria Math" w:hAnsi="Cambria Math" w:cs="Arial"/>
                <w:lang w:val="en-ID"/>
              </w:rPr>
              <m:t>L</m:t>
            </m:r>
          </m:e>
          <m:sub>
            <m:r>
              <w:rPr>
                <w:rFonts w:ascii="Cambria Math" w:hAnsi="Cambria Math" w:cs="Arial"/>
                <w:lang w:val="en-ID"/>
              </w:rPr>
              <m:t>it</m:t>
            </m:r>
          </m:sub>
        </m:sSub>
        <m:r>
          <w:rPr>
            <w:rFonts w:ascii="Cambria Math" w:hAnsi="Cambria Math" w:cs="Arial"/>
            <w:lang w:val="en-ID"/>
          </w:rPr>
          <m:t>=a+</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1</m:t>
            </m:r>
          </m:sub>
        </m:sSub>
        <m:r>
          <w:rPr>
            <w:rFonts w:ascii="Cambria Math" w:hAnsi="Cambria Math" w:cs="Arial"/>
            <w:lang w:val="en-ID"/>
          </w:rPr>
          <m:t>K</m:t>
        </m:r>
        <m:sSub>
          <m:sSubPr>
            <m:ctrlPr>
              <w:rPr>
                <w:rFonts w:ascii="Cambria Math" w:hAnsi="Cambria Math" w:cs="Arial"/>
                <w:lang w:val="en-ID"/>
              </w:rPr>
            </m:ctrlPr>
          </m:sSubPr>
          <m:e>
            <m:r>
              <w:rPr>
                <w:rFonts w:ascii="Cambria Math" w:hAnsi="Cambria Math" w:cs="Arial"/>
                <w:lang w:val="en-ID"/>
              </w:rPr>
              <m:t>I</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2</m:t>
            </m:r>
          </m:sub>
        </m:sSub>
        <m:r>
          <w:rPr>
            <w:rFonts w:ascii="Cambria Math" w:hAnsi="Cambria Math" w:cs="Arial"/>
            <w:lang w:val="en-ID"/>
          </w:rPr>
          <m:t>KIN</m:t>
        </m:r>
        <m:sSub>
          <m:sSubPr>
            <m:ctrlPr>
              <w:rPr>
                <w:rFonts w:ascii="Cambria Math" w:hAnsi="Cambria Math" w:cs="Arial"/>
                <w:lang w:val="en-ID"/>
              </w:rPr>
            </m:ctrlPr>
          </m:sSubPr>
          <m:e>
            <m:r>
              <w:rPr>
                <w:rFonts w:ascii="Cambria Math" w:hAnsi="Cambria Math" w:cs="Arial"/>
                <w:lang w:val="en-ID"/>
              </w:rPr>
              <m:t>D</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3</m:t>
            </m:r>
          </m:sub>
        </m:sSub>
        <m:r>
          <w:rPr>
            <w:rFonts w:ascii="Cambria Math" w:hAnsi="Cambria Math" w:cs="Arial"/>
            <w:lang w:val="en-ID"/>
          </w:rPr>
          <m:t>G</m:t>
        </m:r>
        <m:sSub>
          <m:sSubPr>
            <m:ctrlPr>
              <w:rPr>
                <w:rFonts w:ascii="Cambria Math" w:hAnsi="Cambria Math" w:cs="Arial"/>
                <w:lang w:val="en-ID"/>
              </w:rPr>
            </m:ctrlPr>
          </m:sSubPr>
          <m:e>
            <m:r>
              <w:rPr>
                <w:rFonts w:ascii="Cambria Math" w:hAnsi="Cambria Math" w:cs="Arial"/>
                <w:lang w:val="en-ID"/>
              </w:rPr>
              <m:t>D</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4</m:t>
            </m:r>
          </m:sub>
        </m:sSub>
        <m:r>
          <m:rPr>
            <m:sty m:val="p"/>
          </m:rPr>
          <w:rPr>
            <w:rFonts w:ascii="Cambria Math" w:hAnsi="Cambria Math" w:cs="Arial"/>
            <w:lang w:val="en-ID"/>
          </w:rPr>
          <m:t>E</m:t>
        </m:r>
        <m:sSub>
          <m:sSubPr>
            <m:ctrlPr>
              <w:rPr>
                <w:rFonts w:ascii="Cambria Math" w:hAnsi="Cambria Math" w:cs="Arial"/>
                <w:lang w:val="en-ID"/>
              </w:rPr>
            </m:ctrlPr>
          </m:sSubPr>
          <m:e>
            <m:r>
              <w:rPr>
                <w:rFonts w:ascii="Cambria Math" w:hAnsi="Cambria Math" w:cs="Arial"/>
                <w:lang w:val="en-ID"/>
              </w:rPr>
              <m:t>Q</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e</m:t>
            </m:r>
          </m:e>
          <m:sub>
            <m:r>
              <w:rPr>
                <w:rFonts w:ascii="Cambria Math" w:hAnsi="Cambria Math" w:cs="Arial"/>
                <w:lang w:val="en-ID"/>
              </w:rPr>
              <m:t>it</m:t>
            </m:r>
          </m:sub>
        </m:sSub>
      </m:oMath>
      <w:r w:rsidRPr="00194A86">
        <w:rPr>
          <w:rFonts w:ascii="Arial" w:hAnsi="Arial" w:cs="Arial"/>
          <w:lang w:val="en-ID"/>
        </w:rPr>
        <w:t>where NPL represents Non-Performing Loan, KI represents Institutional Ownership, KIND represents Independent Commissioners, GD represents Gender Diversity, and EQ represents Earnings Quality.</w:t>
      </w:r>
    </w:p>
    <w:p w14:paraId="2ABD6F55" w14:textId="13A7BD82" w:rsidR="00902823" w:rsidRPr="00194A86" w:rsidRDefault="00835BAA" w:rsidP="00441B6F">
      <w:pPr>
        <w:pStyle w:val="Head1"/>
        <w:spacing w:after="0"/>
        <w:jc w:val="both"/>
        <w:rPr>
          <w:rFonts w:ascii="Arial" w:hAnsi="Arial" w:cs="Arial"/>
        </w:rPr>
      </w:pPr>
      <w:r>
        <w:rPr>
          <w:rFonts w:ascii="Arial" w:hAnsi="Arial" w:cs="Arial"/>
        </w:rPr>
        <w:t>4</w:t>
      </w:r>
      <w:r w:rsidR="00902823" w:rsidRPr="00194A86">
        <w:rPr>
          <w:rFonts w:ascii="Arial" w:hAnsi="Arial" w:cs="Arial"/>
        </w:rPr>
        <w:t xml:space="preserve">. </w:t>
      </w:r>
      <w:r w:rsidR="00000F8F" w:rsidRPr="00194A86">
        <w:rPr>
          <w:rFonts w:ascii="Arial" w:hAnsi="Arial" w:cs="Arial"/>
        </w:rPr>
        <w:t>results and discussion</w:t>
      </w:r>
    </w:p>
    <w:p w14:paraId="4064D7F6" w14:textId="77777777" w:rsidR="00790ADA" w:rsidRPr="00194A86" w:rsidRDefault="00790ADA" w:rsidP="00441B6F">
      <w:pPr>
        <w:pStyle w:val="Head1"/>
        <w:spacing w:after="0"/>
        <w:jc w:val="both"/>
        <w:rPr>
          <w:rFonts w:ascii="Arial" w:hAnsi="Arial" w:cs="Arial"/>
        </w:rPr>
      </w:pPr>
    </w:p>
    <w:p w14:paraId="7A24D024" w14:textId="0F99A04F" w:rsidR="00081219" w:rsidRPr="00194A86" w:rsidRDefault="00835BAA" w:rsidP="00081219">
      <w:pPr>
        <w:pStyle w:val="Body"/>
        <w:rPr>
          <w:rFonts w:ascii="Arial" w:hAnsi="Arial" w:cs="Arial"/>
          <w:b/>
          <w:sz w:val="22"/>
        </w:rPr>
      </w:pPr>
      <w:r>
        <w:rPr>
          <w:rFonts w:ascii="Arial" w:hAnsi="Arial" w:cs="Arial"/>
          <w:b/>
          <w:sz w:val="22"/>
        </w:rPr>
        <w:t>4</w:t>
      </w:r>
      <w:r w:rsidR="00081219" w:rsidRPr="00194A86">
        <w:rPr>
          <w:rFonts w:ascii="Arial" w:hAnsi="Arial" w:cs="Arial"/>
          <w:b/>
          <w:sz w:val="22"/>
        </w:rPr>
        <w:t>.1 Descriptive Statistics</w:t>
      </w:r>
    </w:p>
    <w:p w14:paraId="177CB2EF" w14:textId="589381FA" w:rsidR="00727B32" w:rsidRDefault="00727B32" w:rsidP="00727B32">
      <w:pPr>
        <w:pStyle w:val="Body"/>
        <w:rPr>
          <w:rFonts w:ascii="Arial" w:hAnsi="Arial" w:cs="Arial"/>
        </w:rPr>
      </w:pPr>
      <w:r w:rsidRPr="00194A86">
        <w:rPr>
          <w:rFonts w:ascii="Arial" w:hAnsi="Arial" w:cs="Arial"/>
        </w:rPr>
        <w:t xml:space="preserve">Based on the descriptive statistical analysis, the Non-Performing Loan (NPL) variable has an average value of 1.203 with a standard deviation of 1.196, indicating that the average level of problematic loans in banking companies remains relatively low and categorized as “very healthy” according to Bank Indonesia regulations. However, the maximum value of 5.13 indicates that several banks still face relatively high credit risk pressures. Some banks, such as ARTO and BACA, consistently recorded 0% NPL during several observation periods, reflecting strong credit risk management, selective lending policies, and effective monitoring systems. Nevertheless, a zero NPL value should also be interpreted carefully because it may reflect credit restructuring practices or limited credit exposure. Institutional ownership shows a relatively high mean value of 57.148, indicating that most banking companies are dominated by institutional investors. </w:t>
      </w:r>
    </w:p>
    <w:p w14:paraId="76A49ECB" w14:textId="2C33D1F1" w:rsidR="00194A86" w:rsidRPr="003D7F93" w:rsidRDefault="00194A86" w:rsidP="00727B32">
      <w:pPr>
        <w:pStyle w:val="Body"/>
        <w:rPr>
          <w:rFonts w:ascii="Arial" w:hAnsi="Arial" w:cs="Arial"/>
          <w:b/>
          <w:bCs/>
        </w:rPr>
      </w:pPr>
      <w:r>
        <w:rPr>
          <w:rFonts w:ascii="Arial" w:hAnsi="Arial" w:cs="Arial"/>
        </w:rPr>
        <w:t xml:space="preserve">Table 2: </w:t>
      </w:r>
      <w:r w:rsidR="00E23308" w:rsidRPr="003D7F93">
        <w:rPr>
          <w:rFonts w:ascii="Arial" w:hAnsi="Arial" w:cs="Arial"/>
          <w:b/>
          <w:bCs/>
        </w:rPr>
        <w:t>Descriptive statistical analysis</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828"/>
        <w:gridCol w:w="1017"/>
        <w:gridCol w:w="784"/>
        <w:gridCol w:w="717"/>
      </w:tblGrid>
      <w:tr w:rsidR="00C72BBB" w:rsidRPr="00194A86" w14:paraId="3158CA92" w14:textId="77777777" w:rsidTr="00C72BBB">
        <w:trPr>
          <w:jc w:val="center"/>
        </w:trPr>
        <w:tc>
          <w:tcPr>
            <w:tcW w:w="0" w:type="auto"/>
            <w:hideMark/>
          </w:tcPr>
          <w:p w14:paraId="731686A4"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Variable</w:t>
            </w:r>
          </w:p>
        </w:tc>
        <w:tc>
          <w:tcPr>
            <w:tcW w:w="0" w:type="auto"/>
            <w:hideMark/>
          </w:tcPr>
          <w:p w14:paraId="42383C03"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Mean</w:t>
            </w:r>
          </w:p>
        </w:tc>
        <w:tc>
          <w:tcPr>
            <w:tcW w:w="0" w:type="auto"/>
            <w:hideMark/>
          </w:tcPr>
          <w:p w14:paraId="0263114A"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Std. Dev</w:t>
            </w:r>
          </w:p>
        </w:tc>
        <w:tc>
          <w:tcPr>
            <w:tcW w:w="0" w:type="auto"/>
            <w:hideMark/>
          </w:tcPr>
          <w:p w14:paraId="2D9B0153"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Min</w:t>
            </w:r>
          </w:p>
        </w:tc>
        <w:tc>
          <w:tcPr>
            <w:tcW w:w="0" w:type="auto"/>
            <w:hideMark/>
          </w:tcPr>
          <w:p w14:paraId="2E8EA4E6"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Max</w:t>
            </w:r>
          </w:p>
        </w:tc>
      </w:tr>
      <w:tr w:rsidR="00C72BBB" w:rsidRPr="00194A86" w14:paraId="425AA7AF" w14:textId="77777777" w:rsidTr="00C72BBB">
        <w:trPr>
          <w:jc w:val="center"/>
        </w:trPr>
        <w:tc>
          <w:tcPr>
            <w:tcW w:w="0" w:type="auto"/>
            <w:hideMark/>
          </w:tcPr>
          <w:p w14:paraId="366013AA" w14:textId="77777777" w:rsidR="00C72BBB" w:rsidRPr="00194A86" w:rsidRDefault="00C72BBB" w:rsidP="00C72BBB">
            <w:pPr>
              <w:rPr>
                <w:rFonts w:ascii="Arial" w:hAnsi="Arial" w:cs="Arial"/>
                <w:lang w:val="en-ID"/>
              </w:rPr>
            </w:pPr>
            <w:r w:rsidRPr="00194A86">
              <w:rPr>
                <w:rFonts w:ascii="Arial" w:hAnsi="Arial" w:cs="Arial"/>
                <w:lang w:val="en-ID"/>
              </w:rPr>
              <w:t>Non-Performing Loan (NPL)</w:t>
            </w:r>
          </w:p>
        </w:tc>
        <w:tc>
          <w:tcPr>
            <w:tcW w:w="0" w:type="auto"/>
            <w:hideMark/>
          </w:tcPr>
          <w:p w14:paraId="1EDF2552" w14:textId="77777777" w:rsidR="00C72BBB" w:rsidRPr="00194A86" w:rsidRDefault="00C72BBB" w:rsidP="00C72BBB">
            <w:pPr>
              <w:rPr>
                <w:rFonts w:ascii="Arial" w:hAnsi="Arial" w:cs="Arial"/>
                <w:lang w:val="en-ID"/>
              </w:rPr>
            </w:pPr>
            <w:r w:rsidRPr="00194A86">
              <w:rPr>
                <w:rFonts w:ascii="Arial" w:hAnsi="Arial" w:cs="Arial"/>
                <w:lang w:val="en-ID"/>
              </w:rPr>
              <w:t>1.203</w:t>
            </w:r>
          </w:p>
        </w:tc>
        <w:tc>
          <w:tcPr>
            <w:tcW w:w="0" w:type="auto"/>
            <w:hideMark/>
          </w:tcPr>
          <w:p w14:paraId="71A775FB" w14:textId="77777777" w:rsidR="00C72BBB" w:rsidRPr="00194A86" w:rsidRDefault="00C72BBB" w:rsidP="00C72BBB">
            <w:pPr>
              <w:rPr>
                <w:rFonts w:ascii="Arial" w:hAnsi="Arial" w:cs="Arial"/>
                <w:lang w:val="en-ID"/>
              </w:rPr>
            </w:pPr>
            <w:r w:rsidRPr="00194A86">
              <w:rPr>
                <w:rFonts w:ascii="Arial" w:hAnsi="Arial" w:cs="Arial"/>
                <w:lang w:val="en-ID"/>
              </w:rPr>
              <w:t>1.196</w:t>
            </w:r>
          </w:p>
        </w:tc>
        <w:tc>
          <w:tcPr>
            <w:tcW w:w="0" w:type="auto"/>
            <w:hideMark/>
          </w:tcPr>
          <w:p w14:paraId="40660B0E"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25C2EF14" w14:textId="77777777" w:rsidR="00C72BBB" w:rsidRPr="00194A86" w:rsidRDefault="00C72BBB" w:rsidP="00C72BBB">
            <w:pPr>
              <w:rPr>
                <w:rFonts w:ascii="Arial" w:hAnsi="Arial" w:cs="Arial"/>
                <w:lang w:val="en-ID"/>
              </w:rPr>
            </w:pPr>
            <w:r w:rsidRPr="00194A86">
              <w:rPr>
                <w:rFonts w:ascii="Arial" w:hAnsi="Arial" w:cs="Arial"/>
                <w:lang w:val="en-ID"/>
              </w:rPr>
              <w:t>5.13</w:t>
            </w:r>
          </w:p>
        </w:tc>
      </w:tr>
      <w:tr w:rsidR="00C72BBB" w:rsidRPr="00194A86" w14:paraId="62C27DC4" w14:textId="77777777" w:rsidTr="00C72BBB">
        <w:trPr>
          <w:jc w:val="center"/>
        </w:trPr>
        <w:tc>
          <w:tcPr>
            <w:tcW w:w="0" w:type="auto"/>
            <w:hideMark/>
          </w:tcPr>
          <w:p w14:paraId="2ADFC11D" w14:textId="77777777" w:rsidR="00C72BBB" w:rsidRPr="00194A86" w:rsidRDefault="00C72BBB" w:rsidP="00C72BBB">
            <w:pPr>
              <w:rPr>
                <w:rFonts w:ascii="Arial" w:hAnsi="Arial" w:cs="Arial"/>
                <w:lang w:val="en-ID"/>
              </w:rPr>
            </w:pPr>
            <w:r w:rsidRPr="00194A86">
              <w:rPr>
                <w:rFonts w:ascii="Arial" w:hAnsi="Arial" w:cs="Arial"/>
                <w:lang w:val="en-ID"/>
              </w:rPr>
              <w:t>Institutional Ownership</w:t>
            </w:r>
          </w:p>
        </w:tc>
        <w:tc>
          <w:tcPr>
            <w:tcW w:w="0" w:type="auto"/>
            <w:hideMark/>
          </w:tcPr>
          <w:p w14:paraId="65003586" w14:textId="77777777" w:rsidR="00C72BBB" w:rsidRPr="00194A86" w:rsidRDefault="00C72BBB" w:rsidP="00C72BBB">
            <w:pPr>
              <w:rPr>
                <w:rFonts w:ascii="Arial" w:hAnsi="Arial" w:cs="Arial"/>
                <w:lang w:val="en-ID"/>
              </w:rPr>
            </w:pPr>
            <w:r w:rsidRPr="00194A86">
              <w:rPr>
                <w:rFonts w:ascii="Arial" w:hAnsi="Arial" w:cs="Arial"/>
                <w:lang w:val="en-ID"/>
              </w:rPr>
              <w:t>57.148</w:t>
            </w:r>
          </w:p>
        </w:tc>
        <w:tc>
          <w:tcPr>
            <w:tcW w:w="0" w:type="auto"/>
            <w:hideMark/>
          </w:tcPr>
          <w:p w14:paraId="5412342A" w14:textId="77777777" w:rsidR="00C72BBB" w:rsidRPr="00194A86" w:rsidRDefault="00C72BBB" w:rsidP="00C72BBB">
            <w:pPr>
              <w:rPr>
                <w:rFonts w:ascii="Arial" w:hAnsi="Arial" w:cs="Arial"/>
                <w:lang w:val="en-ID"/>
              </w:rPr>
            </w:pPr>
            <w:r w:rsidRPr="00194A86">
              <w:rPr>
                <w:rFonts w:ascii="Arial" w:hAnsi="Arial" w:cs="Arial"/>
                <w:lang w:val="en-ID"/>
              </w:rPr>
              <w:t>13.291</w:t>
            </w:r>
          </w:p>
        </w:tc>
        <w:tc>
          <w:tcPr>
            <w:tcW w:w="0" w:type="auto"/>
            <w:hideMark/>
          </w:tcPr>
          <w:p w14:paraId="59680AF8"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0779B286" w14:textId="77777777" w:rsidR="00C72BBB" w:rsidRPr="00194A86" w:rsidRDefault="00C72BBB" w:rsidP="00C72BBB">
            <w:pPr>
              <w:rPr>
                <w:rFonts w:ascii="Arial" w:hAnsi="Arial" w:cs="Arial"/>
                <w:lang w:val="en-ID"/>
              </w:rPr>
            </w:pPr>
            <w:r w:rsidRPr="00194A86">
              <w:rPr>
                <w:rFonts w:ascii="Arial" w:hAnsi="Arial" w:cs="Arial"/>
                <w:lang w:val="en-ID"/>
              </w:rPr>
              <w:t>100</w:t>
            </w:r>
          </w:p>
        </w:tc>
      </w:tr>
      <w:tr w:rsidR="00C72BBB" w:rsidRPr="00194A86" w14:paraId="01E90619" w14:textId="77777777" w:rsidTr="00C72BBB">
        <w:trPr>
          <w:jc w:val="center"/>
        </w:trPr>
        <w:tc>
          <w:tcPr>
            <w:tcW w:w="0" w:type="auto"/>
            <w:hideMark/>
          </w:tcPr>
          <w:p w14:paraId="5A5FC628" w14:textId="77777777" w:rsidR="00C72BBB" w:rsidRPr="00194A86" w:rsidRDefault="00C72BBB" w:rsidP="00C72BBB">
            <w:pPr>
              <w:rPr>
                <w:rFonts w:ascii="Arial" w:hAnsi="Arial" w:cs="Arial"/>
                <w:lang w:val="en-ID"/>
              </w:rPr>
            </w:pPr>
            <w:r w:rsidRPr="00194A86">
              <w:rPr>
                <w:rFonts w:ascii="Arial" w:hAnsi="Arial" w:cs="Arial"/>
                <w:lang w:val="en-ID"/>
              </w:rPr>
              <w:t>Independent Commissioners</w:t>
            </w:r>
          </w:p>
        </w:tc>
        <w:tc>
          <w:tcPr>
            <w:tcW w:w="0" w:type="auto"/>
            <w:hideMark/>
          </w:tcPr>
          <w:p w14:paraId="2741D356" w14:textId="77777777" w:rsidR="00C72BBB" w:rsidRPr="00194A86" w:rsidRDefault="00C72BBB" w:rsidP="00C72BBB">
            <w:pPr>
              <w:rPr>
                <w:rFonts w:ascii="Arial" w:hAnsi="Arial" w:cs="Arial"/>
                <w:lang w:val="en-ID"/>
              </w:rPr>
            </w:pPr>
            <w:r w:rsidRPr="00194A86">
              <w:rPr>
                <w:rFonts w:ascii="Arial" w:hAnsi="Arial" w:cs="Arial"/>
                <w:lang w:val="en-ID"/>
              </w:rPr>
              <w:t>88.660</w:t>
            </w:r>
          </w:p>
        </w:tc>
        <w:tc>
          <w:tcPr>
            <w:tcW w:w="0" w:type="auto"/>
            <w:hideMark/>
          </w:tcPr>
          <w:p w14:paraId="235545D0" w14:textId="77777777" w:rsidR="00C72BBB" w:rsidRPr="00194A86" w:rsidRDefault="00C72BBB" w:rsidP="00C72BBB">
            <w:pPr>
              <w:rPr>
                <w:rFonts w:ascii="Arial" w:hAnsi="Arial" w:cs="Arial"/>
                <w:lang w:val="en-ID"/>
              </w:rPr>
            </w:pPr>
            <w:r w:rsidRPr="00194A86">
              <w:rPr>
                <w:rFonts w:ascii="Arial" w:hAnsi="Arial" w:cs="Arial"/>
                <w:lang w:val="en-ID"/>
              </w:rPr>
              <w:t>13.153</w:t>
            </w:r>
          </w:p>
        </w:tc>
        <w:tc>
          <w:tcPr>
            <w:tcW w:w="0" w:type="auto"/>
            <w:hideMark/>
          </w:tcPr>
          <w:p w14:paraId="1963FF8D"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2C4F8689" w14:textId="77777777" w:rsidR="00C72BBB" w:rsidRPr="00194A86" w:rsidRDefault="00C72BBB" w:rsidP="00C72BBB">
            <w:pPr>
              <w:rPr>
                <w:rFonts w:ascii="Arial" w:hAnsi="Arial" w:cs="Arial"/>
                <w:lang w:val="en-ID"/>
              </w:rPr>
            </w:pPr>
            <w:r w:rsidRPr="00194A86">
              <w:rPr>
                <w:rFonts w:ascii="Arial" w:hAnsi="Arial" w:cs="Arial"/>
                <w:lang w:val="en-ID"/>
              </w:rPr>
              <w:t>100</w:t>
            </w:r>
          </w:p>
        </w:tc>
      </w:tr>
      <w:tr w:rsidR="00C72BBB" w:rsidRPr="00194A86" w14:paraId="098C08FD" w14:textId="77777777" w:rsidTr="00C72BBB">
        <w:trPr>
          <w:jc w:val="center"/>
        </w:trPr>
        <w:tc>
          <w:tcPr>
            <w:tcW w:w="0" w:type="auto"/>
            <w:hideMark/>
          </w:tcPr>
          <w:p w14:paraId="639B95C4" w14:textId="77777777" w:rsidR="00C72BBB" w:rsidRPr="00194A86" w:rsidRDefault="00C72BBB" w:rsidP="00C72BBB">
            <w:pPr>
              <w:rPr>
                <w:rFonts w:ascii="Arial" w:hAnsi="Arial" w:cs="Arial"/>
                <w:lang w:val="en-ID"/>
              </w:rPr>
            </w:pPr>
            <w:r w:rsidRPr="00194A86">
              <w:rPr>
                <w:rFonts w:ascii="Arial" w:hAnsi="Arial" w:cs="Arial"/>
                <w:lang w:val="en-ID"/>
              </w:rPr>
              <w:t>Gender Diversity</w:t>
            </w:r>
          </w:p>
        </w:tc>
        <w:tc>
          <w:tcPr>
            <w:tcW w:w="0" w:type="auto"/>
            <w:hideMark/>
          </w:tcPr>
          <w:p w14:paraId="62CD723F" w14:textId="77777777" w:rsidR="00C72BBB" w:rsidRPr="00194A86" w:rsidRDefault="00C72BBB" w:rsidP="00C72BBB">
            <w:pPr>
              <w:rPr>
                <w:rFonts w:ascii="Arial" w:hAnsi="Arial" w:cs="Arial"/>
                <w:lang w:val="en-ID"/>
              </w:rPr>
            </w:pPr>
            <w:r w:rsidRPr="00194A86">
              <w:rPr>
                <w:rFonts w:ascii="Arial" w:hAnsi="Arial" w:cs="Arial"/>
                <w:lang w:val="en-ID"/>
              </w:rPr>
              <w:t>15.208</w:t>
            </w:r>
          </w:p>
        </w:tc>
        <w:tc>
          <w:tcPr>
            <w:tcW w:w="0" w:type="auto"/>
            <w:hideMark/>
          </w:tcPr>
          <w:p w14:paraId="7EA4B6E5" w14:textId="77777777" w:rsidR="00C72BBB" w:rsidRPr="00194A86" w:rsidRDefault="00C72BBB" w:rsidP="00C72BBB">
            <w:pPr>
              <w:rPr>
                <w:rFonts w:ascii="Arial" w:hAnsi="Arial" w:cs="Arial"/>
                <w:lang w:val="en-ID"/>
              </w:rPr>
            </w:pPr>
            <w:r w:rsidRPr="00194A86">
              <w:rPr>
                <w:rFonts w:ascii="Arial" w:hAnsi="Arial" w:cs="Arial"/>
                <w:lang w:val="en-ID"/>
              </w:rPr>
              <w:t>16.699</w:t>
            </w:r>
          </w:p>
        </w:tc>
        <w:tc>
          <w:tcPr>
            <w:tcW w:w="0" w:type="auto"/>
            <w:hideMark/>
          </w:tcPr>
          <w:p w14:paraId="1009717F"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5553C3D1" w14:textId="77777777" w:rsidR="00C72BBB" w:rsidRPr="00194A86" w:rsidRDefault="00C72BBB" w:rsidP="00C72BBB">
            <w:pPr>
              <w:rPr>
                <w:rFonts w:ascii="Arial" w:hAnsi="Arial" w:cs="Arial"/>
                <w:lang w:val="en-ID"/>
              </w:rPr>
            </w:pPr>
            <w:r w:rsidRPr="00194A86">
              <w:rPr>
                <w:rFonts w:ascii="Arial" w:hAnsi="Arial" w:cs="Arial"/>
                <w:lang w:val="en-ID"/>
              </w:rPr>
              <w:t>66.66</w:t>
            </w:r>
          </w:p>
        </w:tc>
      </w:tr>
      <w:tr w:rsidR="00C72BBB" w:rsidRPr="00194A86" w14:paraId="644CDA35" w14:textId="77777777" w:rsidTr="00C72BBB">
        <w:trPr>
          <w:jc w:val="center"/>
        </w:trPr>
        <w:tc>
          <w:tcPr>
            <w:tcW w:w="0" w:type="auto"/>
            <w:hideMark/>
          </w:tcPr>
          <w:p w14:paraId="5C418024" w14:textId="77777777" w:rsidR="00C72BBB" w:rsidRPr="00194A86" w:rsidRDefault="00C72BBB" w:rsidP="00C72BBB">
            <w:pPr>
              <w:rPr>
                <w:rFonts w:ascii="Arial" w:hAnsi="Arial" w:cs="Arial"/>
                <w:lang w:val="en-ID"/>
              </w:rPr>
            </w:pPr>
            <w:r w:rsidRPr="00194A86">
              <w:rPr>
                <w:rFonts w:ascii="Arial" w:hAnsi="Arial" w:cs="Arial"/>
                <w:lang w:val="en-ID"/>
              </w:rPr>
              <w:t>Earnings Quality</w:t>
            </w:r>
          </w:p>
        </w:tc>
        <w:tc>
          <w:tcPr>
            <w:tcW w:w="0" w:type="auto"/>
            <w:hideMark/>
          </w:tcPr>
          <w:p w14:paraId="57DDC1B0" w14:textId="77777777" w:rsidR="00C72BBB" w:rsidRPr="00194A86" w:rsidRDefault="00C72BBB" w:rsidP="00C72BBB">
            <w:pPr>
              <w:rPr>
                <w:rFonts w:ascii="Arial" w:hAnsi="Arial" w:cs="Arial"/>
                <w:lang w:val="en-ID"/>
              </w:rPr>
            </w:pPr>
            <w:r w:rsidRPr="00194A86">
              <w:rPr>
                <w:rFonts w:ascii="Arial" w:hAnsi="Arial" w:cs="Arial"/>
                <w:lang w:val="en-ID"/>
              </w:rPr>
              <w:t>0.742</w:t>
            </w:r>
          </w:p>
        </w:tc>
        <w:tc>
          <w:tcPr>
            <w:tcW w:w="0" w:type="auto"/>
            <w:hideMark/>
          </w:tcPr>
          <w:p w14:paraId="715C6A41" w14:textId="77777777" w:rsidR="00C72BBB" w:rsidRPr="00194A86" w:rsidRDefault="00C72BBB" w:rsidP="00C72BBB">
            <w:pPr>
              <w:rPr>
                <w:rFonts w:ascii="Arial" w:hAnsi="Arial" w:cs="Arial"/>
                <w:lang w:val="en-ID"/>
              </w:rPr>
            </w:pPr>
            <w:r w:rsidRPr="00194A86">
              <w:rPr>
                <w:rFonts w:ascii="Arial" w:hAnsi="Arial" w:cs="Arial"/>
                <w:lang w:val="en-ID"/>
              </w:rPr>
              <w:t>0.550</w:t>
            </w:r>
          </w:p>
        </w:tc>
        <w:tc>
          <w:tcPr>
            <w:tcW w:w="0" w:type="auto"/>
            <w:hideMark/>
          </w:tcPr>
          <w:p w14:paraId="01654058" w14:textId="77777777" w:rsidR="00C72BBB" w:rsidRPr="00194A86" w:rsidRDefault="00C72BBB" w:rsidP="00C72BBB">
            <w:pPr>
              <w:rPr>
                <w:rFonts w:ascii="Arial" w:hAnsi="Arial" w:cs="Arial"/>
                <w:lang w:val="en-ID"/>
              </w:rPr>
            </w:pPr>
            <w:r w:rsidRPr="00194A86">
              <w:rPr>
                <w:rFonts w:ascii="Arial" w:hAnsi="Arial" w:cs="Arial"/>
                <w:lang w:val="en-ID"/>
              </w:rPr>
              <w:t>-1.903</w:t>
            </w:r>
          </w:p>
        </w:tc>
        <w:tc>
          <w:tcPr>
            <w:tcW w:w="0" w:type="auto"/>
            <w:hideMark/>
          </w:tcPr>
          <w:p w14:paraId="246225B2" w14:textId="77777777" w:rsidR="00C72BBB" w:rsidRPr="00194A86" w:rsidRDefault="00C72BBB" w:rsidP="00C72BBB">
            <w:pPr>
              <w:rPr>
                <w:rFonts w:ascii="Arial" w:hAnsi="Arial" w:cs="Arial"/>
                <w:lang w:val="en-ID"/>
              </w:rPr>
            </w:pPr>
            <w:r w:rsidRPr="00194A86">
              <w:rPr>
                <w:rFonts w:ascii="Arial" w:hAnsi="Arial" w:cs="Arial"/>
                <w:lang w:val="en-ID"/>
              </w:rPr>
              <w:t>3.301</w:t>
            </w:r>
          </w:p>
        </w:tc>
      </w:tr>
    </w:tbl>
    <w:p w14:paraId="1B285057" w14:textId="77777777" w:rsidR="00C72BBB" w:rsidRPr="00194A86" w:rsidRDefault="00C72BBB" w:rsidP="00727B32">
      <w:pPr>
        <w:pStyle w:val="Body"/>
        <w:spacing w:after="0"/>
        <w:rPr>
          <w:rFonts w:ascii="Arial" w:hAnsi="Arial" w:cs="Arial"/>
        </w:rPr>
      </w:pPr>
    </w:p>
    <w:p w14:paraId="44845646" w14:textId="371426FC" w:rsidR="00AE601C" w:rsidRPr="00194A86" w:rsidRDefault="00727B32" w:rsidP="00727B32">
      <w:pPr>
        <w:pStyle w:val="Body"/>
        <w:spacing w:after="0"/>
        <w:rPr>
          <w:rFonts w:ascii="Arial" w:hAnsi="Arial" w:cs="Arial"/>
        </w:rPr>
      </w:pPr>
      <w:r w:rsidRPr="00194A86">
        <w:rPr>
          <w:rFonts w:ascii="Arial" w:hAnsi="Arial" w:cs="Arial"/>
        </w:rPr>
        <w:t>The independent commissioner variable has a high average value of 88.660, indicating that most banks have implemented strong governance structures emphasizing independent oversight. However, there are still companies such as AMAR with no independent commissioners, which does not comply with OJK regulations requiring at least 30% independent commissioners. Gender Diversity shows an average value of only 15.208 with a relatively high standard deviation of 16.699, indicating uneven female representation across banking boards. Seventeen banking companies had no female directors, while only three companies had female representation exceeding 50%. This finding suggests that inclusiveness in banking leadership remains limited. Meanwhile, Earnings Quality measured through discretionary accruals has a mean value of 0.742 with a minimum value of -1.903 and a maximum value of 3.301, indicating considerable variation among banks. Smaller discretionary accrual values indicate better earnings quality and lower earnings management practices. Several banks showed negative values, reflecting operational pressure and unstable earnings quality, while BACA recorded the highest earnings quality during the observation period. Overall, the variation in earnings quality reflects differences in business models, loan provisioning policies, asset quality, and profit management strategies across banking companies.</w:t>
      </w:r>
    </w:p>
    <w:p w14:paraId="3591E5CF" w14:textId="77777777" w:rsidR="00570ED2" w:rsidRPr="00194A86" w:rsidRDefault="00570ED2" w:rsidP="00727B32">
      <w:pPr>
        <w:pStyle w:val="Body"/>
        <w:spacing w:after="0"/>
        <w:rPr>
          <w:rFonts w:ascii="Arial" w:hAnsi="Arial" w:cs="Arial"/>
        </w:rPr>
      </w:pPr>
    </w:p>
    <w:p w14:paraId="7151F069" w14:textId="08A61B00" w:rsidR="00081219" w:rsidRPr="00194A86" w:rsidRDefault="00835BAA" w:rsidP="00081219">
      <w:pPr>
        <w:pStyle w:val="Body"/>
        <w:rPr>
          <w:rFonts w:ascii="Arial" w:hAnsi="Arial" w:cs="Arial"/>
          <w:b/>
          <w:caps/>
          <w:sz w:val="22"/>
        </w:rPr>
      </w:pPr>
      <w:r>
        <w:rPr>
          <w:rFonts w:ascii="Arial" w:hAnsi="Arial" w:cs="Arial"/>
          <w:b/>
          <w:sz w:val="22"/>
        </w:rPr>
        <w:t>4</w:t>
      </w:r>
      <w:r w:rsidR="00081219" w:rsidRPr="00194A86">
        <w:rPr>
          <w:rFonts w:ascii="Arial" w:hAnsi="Arial" w:cs="Arial"/>
          <w:b/>
          <w:sz w:val="22"/>
        </w:rPr>
        <w:t>.2 Panel Data Regression Model Selection</w:t>
      </w:r>
    </w:p>
    <w:p w14:paraId="422F1F0D" w14:textId="53D861F7" w:rsidR="00AE601C" w:rsidRPr="00194A86" w:rsidRDefault="006238FE" w:rsidP="00AE601C">
      <w:pPr>
        <w:pStyle w:val="Body"/>
        <w:spacing w:after="0"/>
        <w:rPr>
          <w:rFonts w:ascii="Arial" w:hAnsi="Arial" w:cs="Arial"/>
        </w:rPr>
      </w:pPr>
      <w:r w:rsidRPr="00194A86">
        <w:rPr>
          <w:rFonts w:ascii="Arial" w:hAnsi="Arial" w:cs="Arial"/>
        </w:rPr>
        <w:lastRenderedPageBreak/>
        <w:t xml:space="preserve">Panel data regression model selection in this study was conducted using the Chow test, Lagrange Multiplier (LM) test, and Hausman test based on </w:t>
      </w:r>
      <w:r w:rsidR="00AA33D4">
        <w:rPr>
          <w:rFonts w:ascii="Arial" w:hAnsi="Arial" w:cs="Arial"/>
        </w:rPr>
        <w:t>215</w:t>
      </w:r>
      <w:r w:rsidRPr="00194A86">
        <w:rPr>
          <w:rFonts w:ascii="Arial" w:hAnsi="Arial" w:cs="Arial"/>
        </w:rPr>
        <w:t xml:space="preserve"> observations from 43 banking companies. The Chow test produced a Prob &gt; F value of 0.3545, which is greater than 0.05, indicating that the Common Effect Model (CEM) was preferred over the Fixed Effect Model (FEM). Furthermore, the Lagrange Multiplier test showed a Prob &gt; Chi² value of 0.0000, which is below 0.05, indicating that the Random Effect Model (REM) was more appropriate than the Common Effect Model. The Hausman test also produced a Prob &gt; chi² value of 0.2783, which is greater than 0.05, meaning that the null hypothesis could not be rejected and the Random Effect Model was preferred over the Fixed Effect Model. Therefore, the Random Effect Model was selected as the most appropriate panel regression model for this study.</w:t>
      </w:r>
    </w:p>
    <w:p w14:paraId="24C713D6" w14:textId="77777777" w:rsidR="00AE601C" w:rsidRPr="00194A86" w:rsidRDefault="00AE601C" w:rsidP="00AE601C">
      <w:pPr>
        <w:pStyle w:val="Body"/>
        <w:spacing w:after="0"/>
        <w:rPr>
          <w:rFonts w:ascii="Arial" w:hAnsi="Arial" w:cs="Arial"/>
        </w:rPr>
      </w:pPr>
    </w:p>
    <w:p w14:paraId="6F80D0C5" w14:textId="63E765A3" w:rsidR="00081219" w:rsidRPr="00194A86" w:rsidRDefault="00835BAA" w:rsidP="00081219">
      <w:pPr>
        <w:pStyle w:val="Body"/>
        <w:rPr>
          <w:rFonts w:ascii="Arial" w:hAnsi="Arial" w:cs="Arial"/>
          <w:b/>
          <w:caps/>
          <w:sz w:val="22"/>
        </w:rPr>
      </w:pPr>
      <w:r>
        <w:rPr>
          <w:rFonts w:ascii="Arial" w:hAnsi="Arial" w:cs="Arial"/>
          <w:b/>
          <w:sz w:val="22"/>
        </w:rPr>
        <w:t>4</w:t>
      </w:r>
      <w:r w:rsidR="00081219" w:rsidRPr="00194A86">
        <w:rPr>
          <w:rFonts w:ascii="Arial" w:hAnsi="Arial" w:cs="Arial"/>
          <w:b/>
          <w:sz w:val="22"/>
        </w:rPr>
        <w:t>.3 Classical Assumption Test</w:t>
      </w:r>
    </w:p>
    <w:p w14:paraId="6D87BC77" w14:textId="4B7424B6" w:rsidR="00AE601C" w:rsidRPr="00194A86" w:rsidRDefault="004F76AF" w:rsidP="00AE601C">
      <w:pPr>
        <w:pStyle w:val="Body"/>
        <w:spacing w:after="0"/>
        <w:rPr>
          <w:rFonts w:ascii="Arial" w:hAnsi="Arial" w:cs="Arial"/>
        </w:rPr>
      </w:pPr>
      <w:r w:rsidRPr="00194A86">
        <w:rPr>
          <w:rFonts w:ascii="Arial" w:hAnsi="Arial" w:cs="Arial"/>
        </w:rPr>
        <w:t>Classical assumption tests in this study consist of multicollinearity and heteroscedasticity tests. The multicollinearity test was conducted using the Variance Inflation Factor (VIF) and tolerance values to determine whether strong correlations existed among the independent variables. The results show that all variables have very low VIF values, namely independent commissioners (1.02), institutional ownership (1.02), gender diversity (1.00), and earnings quality (1.00), with a mean VIF of 1.01. In addition, tolerance values ranged from 0.97 to 0.99, indicating that the regression model is free from multicollinearity problems. Furthermore, the heteroscedasticity test using White’s Test produced a Prob &gt; chi² value of 0.0653, which is greater than 0.05, indicating that the model does not experience heteroscedasticity. The Cameron &amp; Trivedi decomposition of IM-test also confirmed the absence of significant heteroscedasticity, meaning that the regression model satisfies the homoskedasticity assumption and is appropriate for further analysis.</w:t>
      </w:r>
    </w:p>
    <w:p w14:paraId="0B56160C" w14:textId="77777777" w:rsidR="00AE601C" w:rsidRPr="00194A86" w:rsidRDefault="00AE601C" w:rsidP="00AE601C">
      <w:pPr>
        <w:pStyle w:val="Body"/>
        <w:spacing w:after="0"/>
        <w:rPr>
          <w:rFonts w:ascii="Arial" w:hAnsi="Arial" w:cs="Arial"/>
        </w:rPr>
      </w:pPr>
    </w:p>
    <w:p w14:paraId="3BD613AC" w14:textId="21C1DE7E" w:rsidR="00081219" w:rsidRPr="00194A86" w:rsidRDefault="00835BAA" w:rsidP="00081219">
      <w:pPr>
        <w:pStyle w:val="Body"/>
        <w:rPr>
          <w:rFonts w:ascii="Arial" w:hAnsi="Arial" w:cs="Arial"/>
          <w:b/>
          <w:caps/>
          <w:sz w:val="22"/>
        </w:rPr>
      </w:pPr>
      <w:r>
        <w:rPr>
          <w:rFonts w:ascii="Arial" w:hAnsi="Arial" w:cs="Arial"/>
          <w:b/>
          <w:sz w:val="22"/>
        </w:rPr>
        <w:t>4</w:t>
      </w:r>
      <w:r w:rsidR="00081219" w:rsidRPr="00194A86">
        <w:rPr>
          <w:rFonts w:ascii="Arial" w:hAnsi="Arial" w:cs="Arial"/>
          <w:b/>
          <w:sz w:val="22"/>
        </w:rPr>
        <w:t xml:space="preserve">.4 Coefficient </w:t>
      </w:r>
      <w:r w:rsidR="00CD1D60" w:rsidRPr="00194A86">
        <w:rPr>
          <w:rFonts w:ascii="Arial" w:hAnsi="Arial" w:cs="Arial"/>
          <w:b/>
          <w:sz w:val="22"/>
        </w:rPr>
        <w:t>of</w:t>
      </w:r>
      <w:r w:rsidR="00081219" w:rsidRPr="00194A86">
        <w:rPr>
          <w:rFonts w:ascii="Arial" w:hAnsi="Arial" w:cs="Arial"/>
          <w:b/>
          <w:sz w:val="22"/>
        </w:rPr>
        <w:t xml:space="preserve"> Determination Test</w:t>
      </w:r>
    </w:p>
    <w:p w14:paraId="28833DA2" w14:textId="3BDABB08" w:rsidR="00AE601C" w:rsidRPr="00194A86" w:rsidRDefault="00CD1D60" w:rsidP="00AE601C">
      <w:pPr>
        <w:pStyle w:val="Body"/>
        <w:spacing w:after="0"/>
        <w:rPr>
          <w:rFonts w:ascii="Arial" w:hAnsi="Arial" w:cs="Arial"/>
        </w:rPr>
      </w:pPr>
      <w:r w:rsidRPr="00194A86">
        <w:rPr>
          <w:rFonts w:ascii="Arial" w:hAnsi="Arial" w:cs="Arial"/>
        </w:rPr>
        <w:t>Based on the Random Effect Model estimation, the R-squared value obtained is 0.0247, indicating that the independent variables in this study explain only 2.47% of the variation in Non-Performing Loan (NPL), while the remaining 97.53% is influenced by other factors outside the model. These factors include internal bank aspects such as risk management (Abd. Majid, 2015; Nurasisah &amp; As’ad, 2022), corporate governance quality (Nurianah et al., 2025; Nurkhin et al., 2024), and financial performance (Ozili, 2019), as well as external factors including macroeconomic conditions (Wijaya, 2019), interest rates and exchange rates (Tanasković &amp; Jandrić, 2015), inflation, and economic stability (S. Ahmed et al., 2021; Koju et al., 2018). The relatively low R-squared value also reflects limited data variation, particularly in gender diversity, the short observation period, and the relatively homogeneous characteristics of Indonesian banking companies and regulations.</w:t>
      </w:r>
    </w:p>
    <w:p w14:paraId="4DE033D0" w14:textId="77777777" w:rsidR="00AE601C" w:rsidRPr="00194A86" w:rsidRDefault="00AE601C" w:rsidP="00AE601C">
      <w:pPr>
        <w:pStyle w:val="Body"/>
        <w:spacing w:after="0"/>
        <w:rPr>
          <w:rFonts w:ascii="Arial" w:hAnsi="Arial" w:cs="Arial"/>
        </w:rPr>
      </w:pPr>
    </w:p>
    <w:p w14:paraId="1EBD7BF0" w14:textId="6C575A90" w:rsidR="00081219" w:rsidRPr="00194A86" w:rsidRDefault="00835BAA" w:rsidP="00081219">
      <w:pPr>
        <w:pStyle w:val="Body"/>
        <w:rPr>
          <w:rFonts w:ascii="Arial" w:hAnsi="Arial" w:cs="Arial"/>
          <w:b/>
          <w:caps/>
          <w:sz w:val="22"/>
        </w:rPr>
      </w:pPr>
      <w:r>
        <w:rPr>
          <w:rFonts w:ascii="Arial" w:hAnsi="Arial" w:cs="Arial"/>
          <w:b/>
          <w:sz w:val="22"/>
        </w:rPr>
        <w:t>4</w:t>
      </w:r>
      <w:r w:rsidR="00081219" w:rsidRPr="00194A86">
        <w:rPr>
          <w:rFonts w:ascii="Arial" w:hAnsi="Arial" w:cs="Arial"/>
          <w:b/>
          <w:sz w:val="22"/>
        </w:rPr>
        <w:t>.5 Random Effects Model Regression Analysis</w:t>
      </w:r>
    </w:p>
    <w:p w14:paraId="6068F12B" w14:textId="594EA754" w:rsidR="00AE601C" w:rsidRDefault="00290871" w:rsidP="00AE601C">
      <w:pPr>
        <w:pStyle w:val="Body"/>
        <w:spacing w:after="0"/>
        <w:rPr>
          <w:rFonts w:ascii="Arial" w:hAnsi="Arial" w:cs="Arial"/>
        </w:rPr>
      </w:pPr>
      <w:r w:rsidRPr="00194A86">
        <w:rPr>
          <w:rFonts w:ascii="Arial" w:hAnsi="Arial" w:cs="Arial"/>
        </w:rPr>
        <w:t xml:space="preserve">The Random Effect Model (REM) regression results indicate that institutional ownership, independent commissioners, and gender diversity have negative but insignificant effects on Non-Performing Loan (NPL), with probability values above 0.05. These findings suggest that corporate governance mechanisms in this study do not directly influence banking credit risk management. Institutional investors and independent commissioners may focus more on strategic oversight and regulatory compliance, while gender diversity has not yet significantly influenced credit risk control within banking companies. In contrast, earnings quality shows a positive and significant effect on NPL, with a coefficient of 0.003 and a probability value of 0.000. This result indicates that earnings quality, particularly discretionary accrual practices, </w:t>
      </w:r>
      <w:r w:rsidRPr="00194A86">
        <w:rPr>
          <w:rFonts w:ascii="Arial" w:hAnsi="Arial" w:cs="Arial"/>
        </w:rPr>
        <w:lastRenderedPageBreak/>
        <w:t>is significantly associated with problematic loans and may reflect hidden credit risk conditions in banking companies.</w:t>
      </w:r>
    </w:p>
    <w:p w14:paraId="397637C1" w14:textId="0745B2B8" w:rsidR="00F3017D" w:rsidRDefault="00F3017D" w:rsidP="00AE601C">
      <w:pPr>
        <w:pStyle w:val="Body"/>
        <w:spacing w:after="0"/>
        <w:rPr>
          <w:rFonts w:ascii="Arial" w:hAnsi="Arial" w:cs="Arial"/>
        </w:rPr>
      </w:pPr>
    </w:p>
    <w:p w14:paraId="17E5FAE3" w14:textId="77777777" w:rsidR="00F3017D" w:rsidRDefault="00F3017D" w:rsidP="00AE601C">
      <w:pPr>
        <w:pStyle w:val="Body"/>
        <w:spacing w:after="0"/>
        <w:rPr>
          <w:rFonts w:ascii="Arial" w:hAnsi="Arial" w:cs="Arial"/>
        </w:rPr>
      </w:pPr>
    </w:p>
    <w:p w14:paraId="7D312B1F" w14:textId="42229C92" w:rsidR="00194A86" w:rsidRPr="00194A86" w:rsidRDefault="00194A86" w:rsidP="00AE601C">
      <w:pPr>
        <w:pStyle w:val="Body"/>
        <w:spacing w:after="0"/>
        <w:rPr>
          <w:rFonts w:ascii="Arial" w:hAnsi="Arial" w:cs="Arial"/>
        </w:rPr>
      </w:pPr>
      <w:r>
        <w:rPr>
          <w:rFonts w:ascii="Arial" w:hAnsi="Arial" w:cs="Arial"/>
        </w:rPr>
        <w:t xml:space="preserve">Table 3 : </w:t>
      </w:r>
      <w:r w:rsidR="00E23308" w:rsidRPr="00E23308">
        <w:rPr>
          <w:rFonts w:ascii="Arial" w:hAnsi="Arial" w:cs="Arial"/>
          <w:b/>
        </w:rPr>
        <w:t>Regression Analysis</w:t>
      </w:r>
    </w:p>
    <w:p w14:paraId="01C89B15" w14:textId="77777777" w:rsidR="00290871" w:rsidRPr="00194A86" w:rsidRDefault="00290871" w:rsidP="00AE601C">
      <w:pPr>
        <w:pStyle w:val="Body"/>
        <w:spacing w:after="0"/>
        <w:rPr>
          <w:rFonts w:ascii="Arial" w:hAnsi="Arial" w:cs="Arial"/>
        </w:rPr>
      </w:pP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250"/>
        <w:gridCol w:w="1139"/>
        <w:gridCol w:w="728"/>
        <w:gridCol w:w="1506"/>
      </w:tblGrid>
      <w:tr w:rsidR="00290871" w:rsidRPr="00194A86" w14:paraId="1CFA11D7" w14:textId="77777777" w:rsidTr="00290871">
        <w:trPr>
          <w:jc w:val="center"/>
        </w:trPr>
        <w:tc>
          <w:tcPr>
            <w:tcW w:w="0" w:type="auto"/>
            <w:hideMark/>
          </w:tcPr>
          <w:p w14:paraId="13F4922F"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Variable</w:t>
            </w:r>
          </w:p>
        </w:tc>
        <w:tc>
          <w:tcPr>
            <w:tcW w:w="0" w:type="auto"/>
            <w:hideMark/>
          </w:tcPr>
          <w:p w14:paraId="2898C51B"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Coefficient</w:t>
            </w:r>
          </w:p>
        </w:tc>
        <w:tc>
          <w:tcPr>
            <w:tcW w:w="0" w:type="auto"/>
            <w:hideMark/>
          </w:tcPr>
          <w:p w14:paraId="07CE60D9"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Std. Error</w:t>
            </w:r>
          </w:p>
        </w:tc>
        <w:tc>
          <w:tcPr>
            <w:tcW w:w="0" w:type="auto"/>
            <w:hideMark/>
          </w:tcPr>
          <w:p w14:paraId="1366159D"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Prob.</w:t>
            </w:r>
          </w:p>
        </w:tc>
        <w:tc>
          <w:tcPr>
            <w:tcW w:w="0" w:type="auto"/>
            <w:hideMark/>
          </w:tcPr>
          <w:p w14:paraId="4E57E507"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Description</w:t>
            </w:r>
          </w:p>
        </w:tc>
      </w:tr>
      <w:tr w:rsidR="00290871" w:rsidRPr="00194A86" w14:paraId="5D296562" w14:textId="77777777" w:rsidTr="00290871">
        <w:trPr>
          <w:jc w:val="center"/>
        </w:trPr>
        <w:tc>
          <w:tcPr>
            <w:tcW w:w="0" w:type="auto"/>
            <w:hideMark/>
          </w:tcPr>
          <w:p w14:paraId="408B25D8" w14:textId="77777777" w:rsidR="00290871" w:rsidRPr="00194A86" w:rsidRDefault="00290871" w:rsidP="00290871">
            <w:pPr>
              <w:rPr>
                <w:rFonts w:ascii="Arial" w:hAnsi="Arial" w:cs="Arial"/>
                <w:lang w:val="en-ID"/>
              </w:rPr>
            </w:pPr>
            <w:r w:rsidRPr="00194A86">
              <w:rPr>
                <w:rFonts w:ascii="Arial" w:hAnsi="Arial" w:cs="Arial"/>
                <w:lang w:val="en-ID"/>
              </w:rPr>
              <w:t>Institutional Ownership (X1)</w:t>
            </w:r>
          </w:p>
        </w:tc>
        <w:tc>
          <w:tcPr>
            <w:tcW w:w="0" w:type="auto"/>
            <w:hideMark/>
          </w:tcPr>
          <w:p w14:paraId="3537A6E9"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330B1183"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4AAB9266" w14:textId="77777777" w:rsidR="00290871" w:rsidRPr="00194A86" w:rsidRDefault="00290871" w:rsidP="00290871">
            <w:pPr>
              <w:jc w:val="center"/>
              <w:rPr>
                <w:rFonts w:ascii="Arial" w:hAnsi="Arial" w:cs="Arial"/>
                <w:lang w:val="en-ID"/>
              </w:rPr>
            </w:pPr>
            <w:r w:rsidRPr="00194A86">
              <w:rPr>
                <w:rFonts w:ascii="Arial" w:hAnsi="Arial" w:cs="Arial"/>
                <w:lang w:val="en-ID"/>
              </w:rPr>
              <w:t>0.130</w:t>
            </w:r>
          </w:p>
        </w:tc>
        <w:tc>
          <w:tcPr>
            <w:tcW w:w="0" w:type="auto"/>
            <w:hideMark/>
          </w:tcPr>
          <w:p w14:paraId="331C3BA8"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1FAA990B" w14:textId="77777777" w:rsidTr="00290871">
        <w:trPr>
          <w:jc w:val="center"/>
        </w:trPr>
        <w:tc>
          <w:tcPr>
            <w:tcW w:w="0" w:type="auto"/>
            <w:hideMark/>
          </w:tcPr>
          <w:p w14:paraId="18235A23" w14:textId="77777777" w:rsidR="00290871" w:rsidRPr="00194A86" w:rsidRDefault="00290871" w:rsidP="00290871">
            <w:pPr>
              <w:rPr>
                <w:rFonts w:ascii="Arial" w:hAnsi="Arial" w:cs="Arial"/>
                <w:lang w:val="en-ID"/>
              </w:rPr>
            </w:pPr>
            <w:r w:rsidRPr="00194A86">
              <w:rPr>
                <w:rFonts w:ascii="Arial" w:hAnsi="Arial" w:cs="Arial"/>
                <w:lang w:val="en-ID"/>
              </w:rPr>
              <w:t>Independent Commissioners (X2)</w:t>
            </w:r>
          </w:p>
        </w:tc>
        <w:tc>
          <w:tcPr>
            <w:tcW w:w="0" w:type="auto"/>
            <w:hideMark/>
          </w:tcPr>
          <w:p w14:paraId="1F45BC05"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514AD459"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3EC12D94" w14:textId="77777777" w:rsidR="00290871" w:rsidRPr="00194A86" w:rsidRDefault="00290871" w:rsidP="00290871">
            <w:pPr>
              <w:jc w:val="center"/>
              <w:rPr>
                <w:rFonts w:ascii="Arial" w:hAnsi="Arial" w:cs="Arial"/>
                <w:lang w:val="en-ID"/>
              </w:rPr>
            </w:pPr>
            <w:r w:rsidRPr="00194A86">
              <w:rPr>
                <w:rFonts w:ascii="Arial" w:hAnsi="Arial" w:cs="Arial"/>
                <w:lang w:val="en-ID"/>
              </w:rPr>
              <w:t>0.480</w:t>
            </w:r>
          </w:p>
        </w:tc>
        <w:tc>
          <w:tcPr>
            <w:tcW w:w="0" w:type="auto"/>
            <w:hideMark/>
          </w:tcPr>
          <w:p w14:paraId="13FE590A"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043B0618" w14:textId="77777777" w:rsidTr="00290871">
        <w:trPr>
          <w:jc w:val="center"/>
        </w:trPr>
        <w:tc>
          <w:tcPr>
            <w:tcW w:w="0" w:type="auto"/>
            <w:hideMark/>
          </w:tcPr>
          <w:p w14:paraId="6EBE0E9D" w14:textId="77777777" w:rsidR="00290871" w:rsidRPr="00194A86" w:rsidRDefault="00290871" w:rsidP="00290871">
            <w:pPr>
              <w:rPr>
                <w:rFonts w:ascii="Arial" w:hAnsi="Arial" w:cs="Arial"/>
                <w:lang w:val="en-ID"/>
              </w:rPr>
            </w:pPr>
            <w:r w:rsidRPr="00194A86">
              <w:rPr>
                <w:rFonts w:ascii="Arial" w:hAnsi="Arial" w:cs="Arial"/>
                <w:lang w:val="en-ID"/>
              </w:rPr>
              <w:t>Gender Diversity (X3)</w:t>
            </w:r>
          </w:p>
        </w:tc>
        <w:tc>
          <w:tcPr>
            <w:tcW w:w="0" w:type="auto"/>
            <w:hideMark/>
          </w:tcPr>
          <w:p w14:paraId="0C439227"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174A920D"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22D1B2D3" w14:textId="77777777" w:rsidR="00290871" w:rsidRPr="00194A86" w:rsidRDefault="00290871" w:rsidP="00290871">
            <w:pPr>
              <w:jc w:val="center"/>
              <w:rPr>
                <w:rFonts w:ascii="Arial" w:hAnsi="Arial" w:cs="Arial"/>
                <w:lang w:val="en-ID"/>
              </w:rPr>
            </w:pPr>
            <w:r w:rsidRPr="00194A86">
              <w:rPr>
                <w:rFonts w:ascii="Arial" w:hAnsi="Arial" w:cs="Arial"/>
                <w:lang w:val="en-ID"/>
              </w:rPr>
              <w:t>0.444</w:t>
            </w:r>
          </w:p>
        </w:tc>
        <w:tc>
          <w:tcPr>
            <w:tcW w:w="0" w:type="auto"/>
            <w:hideMark/>
          </w:tcPr>
          <w:p w14:paraId="61C601AC"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04040780" w14:textId="77777777" w:rsidTr="00290871">
        <w:trPr>
          <w:jc w:val="center"/>
        </w:trPr>
        <w:tc>
          <w:tcPr>
            <w:tcW w:w="0" w:type="auto"/>
            <w:hideMark/>
          </w:tcPr>
          <w:p w14:paraId="67657BB1" w14:textId="77777777" w:rsidR="00290871" w:rsidRPr="00194A86" w:rsidRDefault="00290871" w:rsidP="00290871">
            <w:pPr>
              <w:rPr>
                <w:rFonts w:ascii="Arial" w:hAnsi="Arial" w:cs="Arial"/>
                <w:lang w:val="en-ID"/>
              </w:rPr>
            </w:pPr>
            <w:r w:rsidRPr="00194A86">
              <w:rPr>
                <w:rFonts w:ascii="Arial" w:hAnsi="Arial" w:cs="Arial"/>
                <w:lang w:val="en-ID"/>
              </w:rPr>
              <w:t>Earnings Quality (X4)</w:t>
            </w:r>
          </w:p>
        </w:tc>
        <w:tc>
          <w:tcPr>
            <w:tcW w:w="0" w:type="auto"/>
            <w:hideMark/>
          </w:tcPr>
          <w:p w14:paraId="3B471F40" w14:textId="77777777" w:rsidR="00290871" w:rsidRPr="00194A86" w:rsidRDefault="00290871" w:rsidP="00290871">
            <w:pPr>
              <w:jc w:val="center"/>
              <w:rPr>
                <w:rFonts w:ascii="Arial" w:hAnsi="Arial" w:cs="Arial"/>
                <w:lang w:val="en-ID"/>
              </w:rPr>
            </w:pPr>
            <w:r w:rsidRPr="00194A86">
              <w:rPr>
                <w:rFonts w:ascii="Arial" w:hAnsi="Arial" w:cs="Arial"/>
                <w:lang w:val="en-ID"/>
              </w:rPr>
              <w:t>0.003</w:t>
            </w:r>
          </w:p>
        </w:tc>
        <w:tc>
          <w:tcPr>
            <w:tcW w:w="0" w:type="auto"/>
            <w:hideMark/>
          </w:tcPr>
          <w:p w14:paraId="3286ADF2" w14:textId="77777777" w:rsidR="00290871" w:rsidRPr="00194A86" w:rsidRDefault="00290871" w:rsidP="00290871">
            <w:pPr>
              <w:jc w:val="center"/>
              <w:rPr>
                <w:rFonts w:ascii="Arial" w:hAnsi="Arial" w:cs="Arial"/>
                <w:lang w:val="en-ID"/>
              </w:rPr>
            </w:pPr>
            <w:r w:rsidRPr="00194A86">
              <w:rPr>
                <w:rFonts w:ascii="Arial" w:hAnsi="Arial" w:cs="Arial"/>
                <w:lang w:val="en-ID"/>
              </w:rPr>
              <w:t>0.0006</w:t>
            </w:r>
          </w:p>
        </w:tc>
        <w:tc>
          <w:tcPr>
            <w:tcW w:w="0" w:type="auto"/>
            <w:hideMark/>
          </w:tcPr>
          <w:p w14:paraId="73CBF2A1" w14:textId="77777777" w:rsidR="00290871" w:rsidRPr="00194A86" w:rsidRDefault="00290871" w:rsidP="00290871">
            <w:pPr>
              <w:jc w:val="center"/>
              <w:rPr>
                <w:rFonts w:ascii="Arial" w:hAnsi="Arial" w:cs="Arial"/>
                <w:lang w:val="en-ID"/>
              </w:rPr>
            </w:pPr>
            <w:r w:rsidRPr="00194A86">
              <w:rPr>
                <w:rFonts w:ascii="Arial" w:hAnsi="Arial" w:cs="Arial"/>
                <w:lang w:val="en-ID"/>
              </w:rPr>
              <w:t>0.000</w:t>
            </w:r>
          </w:p>
        </w:tc>
        <w:tc>
          <w:tcPr>
            <w:tcW w:w="0" w:type="auto"/>
            <w:hideMark/>
          </w:tcPr>
          <w:p w14:paraId="722802E5" w14:textId="77777777" w:rsidR="00290871" w:rsidRPr="00194A86" w:rsidRDefault="00290871" w:rsidP="00290871">
            <w:pPr>
              <w:jc w:val="center"/>
              <w:rPr>
                <w:rFonts w:ascii="Arial" w:hAnsi="Arial" w:cs="Arial"/>
                <w:lang w:val="en-ID"/>
              </w:rPr>
            </w:pPr>
            <w:r w:rsidRPr="00194A86">
              <w:rPr>
                <w:rFonts w:ascii="Arial" w:hAnsi="Arial" w:cs="Arial"/>
                <w:lang w:val="en-ID"/>
              </w:rPr>
              <w:t>Significant</w:t>
            </w:r>
          </w:p>
        </w:tc>
      </w:tr>
    </w:tbl>
    <w:p w14:paraId="53A110AC" w14:textId="77777777" w:rsidR="00290871" w:rsidRPr="00194A86" w:rsidRDefault="00290871" w:rsidP="00AE601C">
      <w:pPr>
        <w:pStyle w:val="Body"/>
        <w:spacing w:after="0"/>
        <w:rPr>
          <w:rFonts w:ascii="Arial" w:hAnsi="Arial" w:cs="Arial"/>
        </w:rPr>
      </w:pPr>
    </w:p>
    <w:p w14:paraId="34F8DDA2" w14:textId="77777777" w:rsidR="00AE601C" w:rsidRPr="00194A86" w:rsidRDefault="00AE601C" w:rsidP="00AE601C">
      <w:pPr>
        <w:pStyle w:val="Body"/>
        <w:spacing w:after="0"/>
        <w:rPr>
          <w:rFonts w:ascii="Arial" w:hAnsi="Arial" w:cs="Arial"/>
        </w:rPr>
      </w:pPr>
    </w:p>
    <w:p w14:paraId="6648607B" w14:textId="4A6881E1" w:rsidR="00081219" w:rsidRPr="00194A86" w:rsidRDefault="00835BAA" w:rsidP="00081219">
      <w:pPr>
        <w:pStyle w:val="Body"/>
        <w:rPr>
          <w:rFonts w:ascii="Arial" w:hAnsi="Arial" w:cs="Arial"/>
          <w:b/>
          <w:caps/>
          <w:sz w:val="22"/>
        </w:rPr>
      </w:pPr>
      <w:r>
        <w:rPr>
          <w:rFonts w:ascii="Arial" w:hAnsi="Arial" w:cs="Arial"/>
          <w:b/>
          <w:sz w:val="22"/>
        </w:rPr>
        <w:t>4</w:t>
      </w:r>
      <w:r w:rsidR="00081219" w:rsidRPr="00194A86">
        <w:rPr>
          <w:rFonts w:ascii="Arial" w:hAnsi="Arial" w:cs="Arial"/>
          <w:b/>
          <w:sz w:val="22"/>
        </w:rPr>
        <w:t xml:space="preserve">.6 Effect </w:t>
      </w:r>
      <w:r w:rsidR="00891863" w:rsidRPr="00194A86">
        <w:rPr>
          <w:rFonts w:ascii="Arial" w:hAnsi="Arial" w:cs="Arial"/>
          <w:b/>
          <w:sz w:val="22"/>
        </w:rPr>
        <w:t>of</w:t>
      </w:r>
      <w:r w:rsidR="00081219" w:rsidRPr="00194A86">
        <w:rPr>
          <w:rFonts w:ascii="Arial" w:hAnsi="Arial" w:cs="Arial"/>
          <w:b/>
          <w:sz w:val="22"/>
        </w:rPr>
        <w:t xml:space="preserve"> Institutional Ownership </w:t>
      </w:r>
      <w:r w:rsidR="00891863" w:rsidRPr="00194A86">
        <w:rPr>
          <w:rFonts w:ascii="Arial" w:hAnsi="Arial" w:cs="Arial"/>
          <w:b/>
          <w:sz w:val="22"/>
        </w:rPr>
        <w:t>o</w:t>
      </w:r>
      <w:r w:rsidR="00081219" w:rsidRPr="00194A86">
        <w:rPr>
          <w:rFonts w:ascii="Arial" w:hAnsi="Arial" w:cs="Arial"/>
          <w:b/>
          <w:sz w:val="22"/>
        </w:rPr>
        <w:t xml:space="preserve">n </w:t>
      </w:r>
      <w:r w:rsidR="00891863" w:rsidRPr="00194A86">
        <w:rPr>
          <w:rFonts w:ascii="Arial" w:hAnsi="Arial" w:cs="Arial"/>
          <w:b/>
          <w:sz w:val="22"/>
        </w:rPr>
        <w:t>NPL</w:t>
      </w:r>
    </w:p>
    <w:p w14:paraId="4BD5848B" w14:textId="77777777" w:rsidR="00AE2B83" w:rsidRPr="00194A86" w:rsidRDefault="00AE2B83" w:rsidP="00AE2B83">
      <w:pPr>
        <w:pStyle w:val="Body"/>
        <w:rPr>
          <w:rFonts w:ascii="Arial" w:hAnsi="Arial" w:cs="Arial"/>
        </w:rPr>
      </w:pPr>
      <w:r w:rsidRPr="00194A86">
        <w:rPr>
          <w:rFonts w:ascii="Arial" w:hAnsi="Arial" w:cs="Arial"/>
        </w:rPr>
        <w:t>The regression results indicate that institutional ownership does not have a significant effect on Non-Performing Loan (NPL), thereby failing to support the first hypothesis (H1). From the perspective of agency theory, institutional ownership is an important corporate governance mechanism that can reduce agency conflicts by strengthening monitoring of management activities (Jensen &amp; Meckling, 1976; Liu et al., 2019; Tran et al., 2020). Institutional investors are generally believed to possess greater resources, expertise, and incentives to supervise management decisions, thereby reducing opportunistic behavior and excessive credit risk (Darsani &amp; Sukartha, 2021; Ivanova, 2017; Johnson et al., 2010; Saona et al., 2020). Previous studies by Tarchouna et al. (2022), Shehzad et al. (2010), Sadaa et al. (2022), Cornett et al. (2007), and Elyasiani and Jia (2010) also found that institutional ownership contributes to stronger monitoring and lower NPL levels through improved risk management and credit supervision.</w:t>
      </w:r>
    </w:p>
    <w:p w14:paraId="3DA004D1" w14:textId="594AAE19" w:rsidR="00AE601C" w:rsidRPr="00194A86" w:rsidRDefault="00AE2B83" w:rsidP="00AE2B83">
      <w:pPr>
        <w:pStyle w:val="Body"/>
        <w:spacing w:after="0"/>
        <w:rPr>
          <w:rFonts w:ascii="Arial" w:hAnsi="Arial" w:cs="Arial"/>
        </w:rPr>
      </w:pPr>
      <w:r w:rsidRPr="00194A86">
        <w:rPr>
          <w:rFonts w:ascii="Arial" w:hAnsi="Arial" w:cs="Arial"/>
        </w:rPr>
        <w:t>However, this study finds that institutional ownership has not significantly influenced NPL in Indonesian banking companies. According to Wulandari (2026), institutional investors may prioritize broader objectives, such as financial system stability, rather than aggressive NPL management. In addition, the distribution of institutional ownership in this study is relatively concentrated, with approximately 84% of observations falling within the medium category (33.33%–66.67%), resulting in limited variation across companies. This limited variation may weaken the statistical relationship between institutional ownership and NPL. Furthermore, the banking industry is subject to strict supervision by financial authorities such as the Financial Services Authority (OJK) and Bank Indonesia, particularly regarding risk management and asset quality control (Rohmah et al., 2025). Consequently, credit policies and risk management practices are more directly determined by operational management systems within banks rather than by institutional shareholders alone (Handriano, 2018).</w:t>
      </w:r>
    </w:p>
    <w:p w14:paraId="3EE58EAE" w14:textId="77777777" w:rsidR="00AE601C" w:rsidRPr="00194A86" w:rsidRDefault="00AE601C" w:rsidP="00AE601C">
      <w:pPr>
        <w:pStyle w:val="Body"/>
        <w:spacing w:after="0"/>
        <w:rPr>
          <w:rFonts w:ascii="Arial" w:hAnsi="Arial" w:cs="Arial"/>
        </w:rPr>
      </w:pPr>
    </w:p>
    <w:p w14:paraId="01AA34AA" w14:textId="35B302E3" w:rsidR="00081219" w:rsidRPr="00194A86" w:rsidRDefault="00835BAA" w:rsidP="00891863">
      <w:pPr>
        <w:pStyle w:val="Body"/>
        <w:rPr>
          <w:rFonts w:ascii="Arial" w:hAnsi="Arial" w:cs="Arial"/>
          <w:b/>
          <w:caps/>
          <w:sz w:val="22"/>
        </w:rPr>
      </w:pPr>
      <w:r>
        <w:rPr>
          <w:rFonts w:ascii="Arial" w:hAnsi="Arial" w:cs="Arial"/>
          <w:b/>
          <w:sz w:val="22"/>
        </w:rPr>
        <w:t>4</w:t>
      </w:r>
      <w:r w:rsidR="00081219" w:rsidRPr="00194A86">
        <w:rPr>
          <w:rFonts w:ascii="Arial" w:hAnsi="Arial" w:cs="Arial"/>
          <w:b/>
          <w:sz w:val="22"/>
        </w:rPr>
        <w:t xml:space="preserve">.7 Effect </w:t>
      </w:r>
      <w:r w:rsidR="00891863" w:rsidRPr="00194A86">
        <w:rPr>
          <w:rFonts w:ascii="Arial" w:hAnsi="Arial" w:cs="Arial"/>
          <w:b/>
          <w:sz w:val="22"/>
        </w:rPr>
        <w:t>of</w:t>
      </w:r>
      <w:r w:rsidR="00081219" w:rsidRPr="00194A86">
        <w:rPr>
          <w:rFonts w:ascii="Arial" w:hAnsi="Arial" w:cs="Arial"/>
          <w:b/>
          <w:sz w:val="22"/>
        </w:rPr>
        <w:t xml:space="preserve"> Independent Commissioners </w:t>
      </w:r>
      <w:r w:rsidR="00891863" w:rsidRPr="00194A86">
        <w:rPr>
          <w:rFonts w:ascii="Arial" w:hAnsi="Arial" w:cs="Arial"/>
          <w:b/>
          <w:sz w:val="22"/>
        </w:rPr>
        <w:t>on NPL</w:t>
      </w:r>
    </w:p>
    <w:p w14:paraId="23F0BCB7" w14:textId="77777777" w:rsidR="008E6780" w:rsidRPr="00194A86" w:rsidRDefault="008E6780" w:rsidP="008E6780">
      <w:pPr>
        <w:pStyle w:val="Body"/>
        <w:rPr>
          <w:rFonts w:ascii="Arial" w:hAnsi="Arial" w:cs="Arial"/>
        </w:rPr>
      </w:pPr>
      <w:r w:rsidRPr="00194A86">
        <w:rPr>
          <w:rFonts w:ascii="Arial" w:hAnsi="Arial" w:cs="Arial"/>
        </w:rPr>
        <w:t xml:space="preserve">The regression analysis results show that independent commissioners do not have a significant effect on Non-Performing Loan (NPL), meaning that the second hypothesis (H2) is not supported. From the perspective of agency theory, conflicts of interest between management (agents) and shareholders (principals) may create opportunistic behavior that harms the company (Jensen &amp; Meckling, 1976). Therefore, independent commissioners are expected to function as an important corporate governance mechanism by strengthening monitoring, maintaining objectivity in decision-making, and reducing information asymmetry (Azizah et al., 2025; Puspitawati et al., 2019). Previous studies by Damanik and Purnamasari (2022), Oktavia et al. (2025), and Amaliyah and Herwiyanti (2019) argue that independent commissioners improve oversight quality and governance effectiveness. </w:t>
      </w:r>
      <w:r w:rsidRPr="00194A86">
        <w:rPr>
          <w:rFonts w:ascii="Arial" w:hAnsi="Arial" w:cs="Arial"/>
        </w:rPr>
        <w:lastRenderedPageBreak/>
        <w:t>Furthermore, Shabbir and Wisdom (2020), Sulistiani and Tjahjadi (2022), and Zarefar and Narsa (2023) found that board independence contributes positively to company efficiency, financial decision quality, and monitoring effectiveness. Studies by Tarchouna et al. (2022), Sadaa et al. (2022), Khan et al. (2020), Peni and Vähämaa (2012), Setiawan (2009), Aisyah (2024), and Vähämaa and Peni (2010) also suggest that independent commissioners can reduce credit risk and improve loan supervision.</w:t>
      </w:r>
    </w:p>
    <w:p w14:paraId="4775528B" w14:textId="2778A1C9" w:rsidR="00AE601C" w:rsidRPr="00194A86" w:rsidRDefault="008E6780" w:rsidP="008E6780">
      <w:pPr>
        <w:pStyle w:val="Body"/>
        <w:spacing w:after="0"/>
        <w:rPr>
          <w:rFonts w:ascii="Arial" w:hAnsi="Arial" w:cs="Arial"/>
        </w:rPr>
      </w:pPr>
      <w:r w:rsidRPr="00194A86">
        <w:rPr>
          <w:rFonts w:ascii="Arial" w:hAnsi="Arial" w:cs="Arial"/>
        </w:rPr>
        <w:t>However, the findings of this study indicate that independent commissioners have not significantly influenced NPL in Indonesian banking companies. One explanation is that the role of independent commissioners is generally limited to strategic supervision rather than direct involvement in operational credit management (Damanik &amp; Purnamasari, 2022). In addition, most banking companies in the sample already have very high proportions of independent commissioners, with 85% of observations categorized as high (&gt;75%) and an average proportion of 88.66%. This limited variation weakens the ability of the variable to explain differences in NPL across companies. Moreover, most banks have already complied with or exceeded OJK Regulation No. 55/POJK.03/2016, which requires at least 50% independent commissioners, making board independence more of a regulatory compliance mechanism than a distinguishing governance factor. In practice, credit approval and risk management decisions are primarily handled by operational management and risk management units rather than independent commissioners directly (Naili &amp; Lahrichi, 2022). Strict supervision by regulators such as the Financial Services Authority (OJK) also reduces the direct influence of independent commissioners on banking credit risk.</w:t>
      </w:r>
    </w:p>
    <w:p w14:paraId="7AEC757C" w14:textId="77777777" w:rsidR="00AE601C" w:rsidRPr="00194A86" w:rsidRDefault="00AE601C" w:rsidP="00AE601C">
      <w:pPr>
        <w:pStyle w:val="Body"/>
        <w:spacing w:after="0"/>
        <w:rPr>
          <w:rFonts w:ascii="Arial" w:hAnsi="Arial" w:cs="Arial"/>
        </w:rPr>
      </w:pPr>
    </w:p>
    <w:p w14:paraId="79B31966" w14:textId="41056F67" w:rsidR="00081219" w:rsidRPr="00194A86" w:rsidRDefault="00835BAA" w:rsidP="00891863">
      <w:pPr>
        <w:pStyle w:val="Body"/>
        <w:rPr>
          <w:rFonts w:ascii="Arial" w:hAnsi="Arial" w:cs="Arial"/>
          <w:b/>
          <w:caps/>
          <w:sz w:val="22"/>
        </w:rPr>
      </w:pPr>
      <w:r>
        <w:rPr>
          <w:rFonts w:ascii="Arial" w:hAnsi="Arial" w:cs="Arial"/>
          <w:b/>
          <w:sz w:val="22"/>
        </w:rPr>
        <w:t>4</w:t>
      </w:r>
      <w:r w:rsidR="00081219" w:rsidRPr="00194A86">
        <w:rPr>
          <w:rFonts w:ascii="Arial" w:hAnsi="Arial" w:cs="Arial"/>
          <w:b/>
          <w:sz w:val="22"/>
        </w:rPr>
        <w:t xml:space="preserve">.8 Effect </w:t>
      </w:r>
      <w:r w:rsidR="00891863" w:rsidRPr="00194A86">
        <w:rPr>
          <w:rFonts w:ascii="Arial" w:hAnsi="Arial" w:cs="Arial"/>
          <w:b/>
          <w:sz w:val="22"/>
        </w:rPr>
        <w:t>of</w:t>
      </w:r>
      <w:r w:rsidR="00081219" w:rsidRPr="00194A86">
        <w:rPr>
          <w:rFonts w:ascii="Arial" w:hAnsi="Arial" w:cs="Arial"/>
          <w:b/>
          <w:sz w:val="22"/>
        </w:rPr>
        <w:t xml:space="preserve"> Gender Diversity </w:t>
      </w:r>
      <w:r w:rsidR="00891863" w:rsidRPr="00194A86">
        <w:rPr>
          <w:rFonts w:ascii="Arial" w:hAnsi="Arial" w:cs="Arial"/>
          <w:b/>
          <w:sz w:val="22"/>
        </w:rPr>
        <w:t>on NPL</w:t>
      </w:r>
    </w:p>
    <w:p w14:paraId="1F96B709" w14:textId="77777777" w:rsidR="00DB13AD" w:rsidRPr="00194A86" w:rsidRDefault="00DB13AD" w:rsidP="00DB13AD">
      <w:pPr>
        <w:pStyle w:val="Body"/>
        <w:rPr>
          <w:rFonts w:ascii="Arial" w:hAnsi="Arial" w:cs="Arial"/>
        </w:rPr>
      </w:pPr>
      <w:r w:rsidRPr="00194A86">
        <w:rPr>
          <w:rFonts w:ascii="Arial" w:hAnsi="Arial" w:cs="Arial"/>
        </w:rPr>
        <w:t>The regression analysis results indicate that Gender Diversity does not have a significant effect on Non-Performing Loan (NPL), meaning that the third hypothesis (H3) is not supported. According to agency theory, conflicts between management (agents) and shareholders (principals) can be reduced through effective monitoring mechanisms, including board diversity (Jensen &amp; Meckling, 1976). Gender diversity is expected to enrich perspectives in decision-making, improve monitoring quality, and strengthen transparency and accountability within companies. Previous studies by Martínez-Jimenez et al. (2020), Rao and Tilt (2015), and García-Izquierdo et al. (2018) suggest that gender-diverse boards improve governance quality and decision-making effectiveness. Ahmed et al. (2024) and Shabbir and Wisdom (2020) also found that female representation in boards and audit committees positively influences company efficiency and financial performance. Furthermore, Ararat et al. (2010), Gul et al. (2013), Palvia et al. (2015), and Berger et al. (2014) reported that female participation in leadership positions can strengthen supervision and reduce financial risk, including problematic loans.</w:t>
      </w:r>
    </w:p>
    <w:p w14:paraId="3B56DCEB" w14:textId="4BE46A4B" w:rsidR="00AE601C" w:rsidRDefault="00DB13AD" w:rsidP="00DB13AD">
      <w:pPr>
        <w:pStyle w:val="Body"/>
        <w:spacing w:after="0"/>
        <w:rPr>
          <w:rFonts w:ascii="Arial" w:hAnsi="Arial" w:cs="Arial"/>
        </w:rPr>
      </w:pPr>
      <w:r w:rsidRPr="00194A86">
        <w:rPr>
          <w:rFonts w:ascii="Arial" w:hAnsi="Arial" w:cs="Arial"/>
        </w:rPr>
        <w:t xml:space="preserve">However, this study finds that gender diversity has not significantly influenced NPL in Indonesian banking companies. The descriptive statistics show that Gender Diversity has a relatively low average value of 15.208 with a standard deviation of 16.699, indicating that female representation on banking boards remains limited and uneven. Several companies recorded no female directors at all, while only a few companies, such as DNAR, MASB, and BBHI, had female board representation exceeding 66%. In addition, only 17 out of 43 banking companies in the sample had female board members during the observation period. This low representation suggests that women’s involvement in strategic decision-making is still limited. In some cases, female representation may also be symbolic rather than substantive, serving mainly as compliance with governance expectations rather than active participation in risk management (Gregory-Smith &amp; Main, 2023). These findings are consistent with Gulamhussen and Fonte Santa (2015), who argued that the effect of gender </w:t>
      </w:r>
      <w:r w:rsidRPr="00194A86">
        <w:rPr>
          <w:rFonts w:ascii="Arial" w:hAnsi="Arial" w:cs="Arial"/>
        </w:rPr>
        <w:lastRenderedPageBreak/>
        <w:t>diversity on banking risk is often insignificant in developing countries because women’s participation in boards is not yet fully integrated into strategic corporate decisions.</w:t>
      </w:r>
    </w:p>
    <w:p w14:paraId="0E6608C1" w14:textId="44E1AB8B" w:rsidR="00AE601C" w:rsidRPr="00194A86" w:rsidRDefault="00AE601C" w:rsidP="00AE601C">
      <w:pPr>
        <w:pStyle w:val="Body"/>
        <w:spacing w:after="0"/>
        <w:rPr>
          <w:rFonts w:ascii="Arial" w:hAnsi="Arial" w:cs="Arial"/>
        </w:rPr>
      </w:pPr>
    </w:p>
    <w:p w14:paraId="61C5B624" w14:textId="0972D5C1" w:rsidR="00081219" w:rsidRPr="00194A86" w:rsidRDefault="00835BAA" w:rsidP="00081219">
      <w:pPr>
        <w:pStyle w:val="Body"/>
        <w:rPr>
          <w:rFonts w:ascii="Arial" w:hAnsi="Arial" w:cs="Arial"/>
          <w:b/>
          <w:sz w:val="22"/>
        </w:rPr>
      </w:pPr>
      <w:r>
        <w:rPr>
          <w:rFonts w:ascii="Arial" w:hAnsi="Arial" w:cs="Arial"/>
          <w:b/>
          <w:sz w:val="22"/>
        </w:rPr>
        <w:t>4</w:t>
      </w:r>
      <w:r w:rsidR="00081219" w:rsidRPr="00194A86">
        <w:rPr>
          <w:rFonts w:ascii="Arial" w:hAnsi="Arial" w:cs="Arial"/>
          <w:b/>
          <w:sz w:val="22"/>
        </w:rPr>
        <w:t xml:space="preserve">.9 Effect </w:t>
      </w:r>
      <w:r w:rsidR="00891863" w:rsidRPr="00194A86">
        <w:rPr>
          <w:rFonts w:ascii="Arial" w:hAnsi="Arial" w:cs="Arial"/>
          <w:b/>
          <w:sz w:val="22"/>
        </w:rPr>
        <w:t>o</w:t>
      </w:r>
      <w:r w:rsidR="00081219" w:rsidRPr="00194A86">
        <w:rPr>
          <w:rFonts w:ascii="Arial" w:hAnsi="Arial" w:cs="Arial"/>
          <w:b/>
          <w:sz w:val="22"/>
        </w:rPr>
        <w:t xml:space="preserve">f Earnings Quality </w:t>
      </w:r>
      <w:r w:rsidR="00891863" w:rsidRPr="00194A86">
        <w:rPr>
          <w:rFonts w:ascii="Arial" w:hAnsi="Arial" w:cs="Arial"/>
          <w:b/>
          <w:sz w:val="22"/>
        </w:rPr>
        <w:t xml:space="preserve">on NPL </w:t>
      </w:r>
    </w:p>
    <w:p w14:paraId="1FAB57FD" w14:textId="77777777" w:rsidR="0094032B" w:rsidRPr="0094032B" w:rsidRDefault="0094032B" w:rsidP="0094032B">
      <w:pPr>
        <w:pStyle w:val="Body"/>
        <w:rPr>
          <w:rFonts w:ascii="Arial" w:hAnsi="Arial" w:cs="Arial"/>
        </w:rPr>
      </w:pPr>
      <w:r w:rsidRPr="0094032B">
        <w:rPr>
          <w:rFonts w:ascii="Arial" w:hAnsi="Arial" w:cs="Arial"/>
        </w:rPr>
        <w:t>The regression analysis results indicate that earnings quality has a positive and significant effect on Non-Performing Loans (NPL), meaning that the fourth hypothesis (H4) is supported. From the perspective of agency theory, information asymmetry between management (agents) and shareholders (principals) may encourage opportunistic managerial behavior, including earnings manipulation through accounting policies (Jensen &amp; Meckling, 1976). According to Schipper and Vincent (2003), earnings quality reflects the extent to which reported earnings represent the company’s actual economic condition and provide reliable information for decision-making. In the banking sector, earnings quality is commonly measured using discretionary loan loss provisions (DLLP), where management has flexibility in determining loan loss reserves. Opportunistic use of DLLP for income smoothing or concealing potential credit losses may reduce financial reporting transparency and obscure the actual level of credit risk (Kanagaretnam et al., 2014). As a result, poor earnings quality may contribute to higher levels of problematic loans over time.</w:t>
      </w:r>
    </w:p>
    <w:p w14:paraId="77BDC82A" w14:textId="3A914FD4" w:rsidR="00B95236" w:rsidRPr="00194A86" w:rsidRDefault="0094032B" w:rsidP="0094032B">
      <w:pPr>
        <w:pStyle w:val="Body"/>
        <w:rPr>
          <w:rFonts w:ascii="Arial" w:hAnsi="Arial" w:cs="Arial"/>
        </w:rPr>
      </w:pPr>
      <w:r w:rsidRPr="0094032B">
        <w:rPr>
          <w:rFonts w:ascii="Arial" w:hAnsi="Arial" w:cs="Arial"/>
        </w:rPr>
        <w:t>The findings of this study are consistent with Beatty et al. (1995), who reported that banks using loan loss provisions opportunistically tend to experience higher NPL levels because such practices hide the true condition of loan portfolios. In addition, research by Bushman and Williams (2012) found that discretionary loan loss provisioning practices that reduce transparency can weaken market discipline and increase bank risk-taking behavior, ultimately contributing to deteriorating loan quality and higher credit risk in the banking sector. Furthermore, according to Antova (2025), poor earnings quality may conceal the actual risks embedded in loan portfolios, thereby weakening banks’ ability to anticipate future credit problems and increasing the likelihood of rising NPL levels.</w:t>
      </w:r>
      <w:r>
        <w:rPr>
          <w:rFonts w:ascii="Arial" w:hAnsi="Arial" w:cs="Arial"/>
        </w:rPr>
        <w:t xml:space="preserve"> </w:t>
      </w:r>
      <w:r w:rsidRPr="0094032B">
        <w:rPr>
          <w:rFonts w:ascii="Arial" w:hAnsi="Arial" w:cs="Arial"/>
        </w:rPr>
        <w:t>The descriptive distribution of earnings quality in this study also shows substantial variation, ranging from approximately -1.90 to 3.30, indicating considerable differences in earnings quality among banking companies. This variation allows earnings quality to explain changes in NPL more effectively compared to other governance variables. Furthermore, Banna et al. (2018) argued that better-quality earnings are associated with stronger income generation and healthier loan quality. Therefore, this study confirms that earnings quality is an important indicator of financial health in the banking sector and plays a significant role in reflecting banks’ credit risk conditions and the potential occurrence of Non-Performing Loans.</w:t>
      </w:r>
    </w:p>
    <w:p w14:paraId="46B4DE41" w14:textId="77777777" w:rsidR="00790ADA" w:rsidRPr="00194A86" w:rsidRDefault="00790ADA" w:rsidP="00441B6F">
      <w:pPr>
        <w:pStyle w:val="Body"/>
        <w:spacing w:after="0"/>
        <w:rPr>
          <w:rFonts w:ascii="Arial" w:hAnsi="Arial" w:cs="Arial"/>
        </w:rPr>
      </w:pPr>
    </w:p>
    <w:p w14:paraId="7C5788C6" w14:textId="3CAC2180" w:rsidR="00B01FCD" w:rsidRPr="00194A86" w:rsidRDefault="00835BAA" w:rsidP="00441B6F">
      <w:pPr>
        <w:pStyle w:val="ConcHead"/>
        <w:spacing w:after="0"/>
        <w:jc w:val="both"/>
        <w:rPr>
          <w:rFonts w:ascii="Arial" w:hAnsi="Arial" w:cs="Arial"/>
        </w:rPr>
      </w:pPr>
      <w:r>
        <w:rPr>
          <w:rFonts w:ascii="Arial" w:hAnsi="Arial" w:cs="Arial"/>
        </w:rPr>
        <w:t>5</w:t>
      </w:r>
      <w:r w:rsidR="00000F8F" w:rsidRPr="00194A86">
        <w:rPr>
          <w:rFonts w:ascii="Arial" w:hAnsi="Arial" w:cs="Arial"/>
        </w:rPr>
        <w:t xml:space="preserve">. </w:t>
      </w:r>
      <w:r w:rsidR="00B01FCD" w:rsidRPr="00194A86">
        <w:rPr>
          <w:rFonts w:ascii="Arial" w:hAnsi="Arial" w:cs="Arial"/>
        </w:rPr>
        <w:t>Conclusion</w:t>
      </w:r>
    </w:p>
    <w:p w14:paraId="45271E79" w14:textId="77777777" w:rsidR="00790ADA" w:rsidRPr="00194A86" w:rsidRDefault="00790ADA" w:rsidP="00441B6F">
      <w:pPr>
        <w:pStyle w:val="ConcHead"/>
        <w:spacing w:after="0"/>
        <w:jc w:val="both"/>
        <w:rPr>
          <w:rFonts w:ascii="Arial" w:hAnsi="Arial" w:cs="Arial"/>
        </w:rPr>
      </w:pPr>
    </w:p>
    <w:p w14:paraId="50072016" w14:textId="1D972433" w:rsidR="006E41F2" w:rsidRPr="006E41F2" w:rsidRDefault="006E41F2" w:rsidP="006E41F2">
      <w:pPr>
        <w:pStyle w:val="Body"/>
        <w:rPr>
          <w:rFonts w:ascii="Arial" w:hAnsi="Arial" w:cs="Arial"/>
        </w:rPr>
      </w:pPr>
      <w:r w:rsidRPr="006E41F2">
        <w:rPr>
          <w:rFonts w:ascii="Arial" w:hAnsi="Arial" w:cs="Arial"/>
        </w:rPr>
        <w:t xml:space="preserve">Based on the results of the analysis and discussion, this study provides several important findings regarding the factors affecting Non-Performing Loan (NPL) in banking companies listed on the Indonesia Stock Exchange (IDX) during </w:t>
      </w:r>
      <w:r>
        <w:rPr>
          <w:rFonts w:ascii="Arial" w:hAnsi="Arial" w:cs="Arial"/>
        </w:rPr>
        <w:t>2020</w:t>
      </w:r>
      <w:r w:rsidRPr="006E41F2">
        <w:rPr>
          <w:rFonts w:ascii="Arial" w:hAnsi="Arial" w:cs="Arial"/>
        </w:rPr>
        <w:t xml:space="preserve">–2024. Descriptive statistical analysis shows that the average NPL value of banking companies was 1.203 with a standard deviation of 1.196, indicating that the average level of problematic loans in Indonesian banking companies remains relatively low and falls within the “very healthy” category according to Bank Indonesia regulations. Nevertheless, the maximum NPL value of 5.13 indicates that several banks still experienced relatively high credit risk pressures during the observation period. In addition, institutional ownership recorded a relatively high average value of 57.148, while independent commissioners showed an average value of 88.660, reflecting that most banking companies have implemented relatively strong governance structures. However, gender diversity remained relatively low, with an average value of only 15.208, indicating limited female representation in banking leadership. Meanwhile, earnings </w:t>
      </w:r>
      <w:r w:rsidRPr="006E41F2">
        <w:rPr>
          <w:rFonts w:ascii="Arial" w:hAnsi="Arial" w:cs="Arial"/>
        </w:rPr>
        <w:lastRenderedPageBreak/>
        <w:t>quality showed considerable variation with a mean value of 0.742, suggesting differences in earnings management practices and financial reporting quality among banks.</w:t>
      </w:r>
    </w:p>
    <w:p w14:paraId="50F0A952" w14:textId="77777777" w:rsidR="006E41F2" w:rsidRPr="006E41F2" w:rsidRDefault="006E41F2" w:rsidP="006E41F2">
      <w:pPr>
        <w:pStyle w:val="Body"/>
        <w:rPr>
          <w:rFonts w:ascii="Arial" w:hAnsi="Arial" w:cs="Arial"/>
        </w:rPr>
      </w:pPr>
      <w:r w:rsidRPr="006E41F2">
        <w:rPr>
          <w:rFonts w:ascii="Arial" w:hAnsi="Arial" w:cs="Arial"/>
        </w:rPr>
        <w:t>The regression analysis results indicate that institutional ownership has no significant effect on Non-Performing Loan (NPL), suggesting that the presence of institutional investors has not directly influenced credit risk control because banking risk management is more strongly affected by internal management policies and regulatory supervision. Similarly, independent commissioners were also found to have no significant effect on NPL, indicating that their role tends to focus more on strategic oversight rather than direct involvement in operational credit risk management. Gender diversity likewise showed no significant effect on NPL, which may be attributed to the relatively low proportion of women on corporate boards and their still limited involvement in strategic decision-making within banking companies. In contrast, earnings quality was found to have a positive and significant effect on NPL, indicating that lower-quality earnings and opportunistic discretionary accrual practices may obscure actual credit risk conditions and contribute to higher levels of problematic loans in the long run.</w:t>
      </w:r>
    </w:p>
    <w:p w14:paraId="08C8DC41" w14:textId="1F01C0A1" w:rsidR="00B01FCD" w:rsidRPr="00194A86" w:rsidRDefault="006E41F2" w:rsidP="006E41F2">
      <w:pPr>
        <w:pStyle w:val="Body"/>
        <w:spacing w:after="0"/>
        <w:rPr>
          <w:rFonts w:ascii="Arial" w:hAnsi="Arial" w:cs="Arial"/>
        </w:rPr>
      </w:pPr>
      <w:r w:rsidRPr="006E41F2">
        <w:rPr>
          <w:rFonts w:ascii="Arial" w:hAnsi="Arial" w:cs="Arial"/>
        </w:rPr>
        <w:t>This study also provides several recommendations and acknowledges certain limitations. Banking companies are expected to strengthen the implementation of good corporate governance and improve earnings quality through transparency, prudence, and consistency between accounting earnings and operational performance. Regulators and supervisory authorities are encouraged to enhance policies related to financial reporting quality to ensure reliable and transparent banking information. Future researchers are recommended to use alternative earnings quality measurements, such as earnings persistence, earnings smoothness, accrual quality, and cash flow ratios, while also incorporating additional variables including bank size, profitability, liquidity, capital adequacy, operational efficiency, inflation, interest rates, and economic growth. Nevertheless, this study has several limitations, including the uneven distribution of gender diversity data, limited corporate governance proxies, and the relatively low explanatory power of the regression model in explaining variations in Non-Performing Loan.</w:t>
      </w:r>
    </w:p>
    <w:p w14:paraId="1CB66A5B" w14:textId="77777777" w:rsidR="00790ADA" w:rsidRPr="00194A86" w:rsidRDefault="00790ADA" w:rsidP="00441B6F">
      <w:pPr>
        <w:pStyle w:val="Body"/>
        <w:spacing w:after="0"/>
        <w:rPr>
          <w:rFonts w:ascii="Arial" w:hAnsi="Arial" w:cs="Arial"/>
        </w:rPr>
      </w:pPr>
    </w:p>
    <w:p w14:paraId="2FFB9210" w14:textId="77777777" w:rsidR="004245F5" w:rsidRPr="00194A86" w:rsidRDefault="004245F5" w:rsidP="004245F5"/>
    <w:p w14:paraId="5A21A022" w14:textId="77777777" w:rsidR="004245F5" w:rsidRDefault="004245F5" w:rsidP="00441B6F">
      <w:pPr>
        <w:pStyle w:val="ReferHead"/>
        <w:spacing w:after="0"/>
        <w:jc w:val="both"/>
        <w:rPr>
          <w:rFonts w:ascii="Arial" w:hAnsi="Arial" w:cs="Arial"/>
          <w:b w:val="0"/>
          <w:caps w:val="0"/>
          <w:sz w:val="20"/>
        </w:rPr>
      </w:pPr>
    </w:p>
    <w:p w14:paraId="1FD81F3B" w14:textId="77777777" w:rsidR="00E5753E" w:rsidRPr="00005ED1" w:rsidRDefault="00E5753E" w:rsidP="00E5753E">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132DFE4" w14:textId="77777777" w:rsidR="00E5753E" w:rsidRPr="00005ED1" w:rsidRDefault="00E5753E" w:rsidP="00E5753E">
      <w:pPr>
        <w:pStyle w:val="NoSpacing"/>
        <w:rPr>
          <w:rFonts w:ascii="Arial" w:hAnsi="Arial" w:cs="Arial"/>
          <w:highlight w:val="yellow"/>
        </w:rPr>
      </w:pPr>
    </w:p>
    <w:p w14:paraId="57C41647" w14:textId="77777777" w:rsidR="00E5753E" w:rsidRPr="00005ED1" w:rsidRDefault="00E5753E" w:rsidP="00E5753E">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18978394" w14:textId="77777777" w:rsidR="00E5753E" w:rsidRDefault="00E5753E" w:rsidP="00E5753E">
      <w:pPr>
        <w:pStyle w:val="NoSpacing"/>
        <w:rPr>
          <w:rFonts w:ascii="Arial" w:hAnsi="Arial" w:cs="Arial"/>
        </w:rPr>
      </w:pPr>
    </w:p>
    <w:p w14:paraId="079F79D2" w14:textId="77777777" w:rsidR="00E5753E" w:rsidRDefault="00E5753E" w:rsidP="00E5753E">
      <w:pPr>
        <w:pStyle w:val="NoSpacing"/>
        <w:rPr>
          <w:rFonts w:ascii="Arial" w:hAnsi="Arial" w:cs="Arial"/>
        </w:rPr>
      </w:pPr>
    </w:p>
    <w:p w14:paraId="0C11117C" w14:textId="77777777" w:rsidR="00E5753E" w:rsidRPr="001F6457" w:rsidRDefault="00E5753E" w:rsidP="00E5753E">
      <w:pPr>
        <w:pStyle w:val="NoSpacing"/>
        <w:rPr>
          <w:rFonts w:ascii="Arial" w:hAnsi="Arial" w:cs="Arial"/>
          <w:lang w:val="en-GB"/>
        </w:rPr>
      </w:pPr>
    </w:p>
    <w:p w14:paraId="03967071" w14:textId="77777777" w:rsidR="00E5753E" w:rsidRPr="00194A86" w:rsidRDefault="00E5753E" w:rsidP="00441B6F">
      <w:pPr>
        <w:pStyle w:val="ReferHead"/>
        <w:spacing w:after="0"/>
        <w:jc w:val="both"/>
        <w:rPr>
          <w:rFonts w:ascii="Arial" w:hAnsi="Arial" w:cs="Arial"/>
          <w:b w:val="0"/>
          <w:caps w:val="0"/>
          <w:sz w:val="20"/>
        </w:rPr>
      </w:pPr>
    </w:p>
    <w:p w14:paraId="2566485A" w14:textId="77777777" w:rsidR="00860000" w:rsidRPr="00194A86" w:rsidRDefault="00860000" w:rsidP="00441B6F">
      <w:pPr>
        <w:pStyle w:val="ReferHead"/>
        <w:spacing w:after="0"/>
        <w:jc w:val="both"/>
        <w:rPr>
          <w:rFonts w:ascii="Arial" w:hAnsi="Arial" w:cs="Arial"/>
        </w:rPr>
      </w:pPr>
    </w:p>
    <w:p w14:paraId="5FF2625C" w14:textId="77777777" w:rsidR="00B01FCD" w:rsidRPr="00194A86" w:rsidRDefault="00B01FCD" w:rsidP="00441B6F">
      <w:pPr>
        <w:pStyle w:val="ReferHead"/>
        <w:spacing w:after="0"/>
        <w:jc w:val="both"/>
        <w:rPr>
          <w:rFonts w:ascii="Arial" w:hAnsi="Arial" w:cs="Arial"/>
        </w:rPr>
      </w:pPr>
      <w:r w:rsidRPr="00194A86">
        <w:rPr>
          <w:rFonts w:ascii="Arial" w:hAnsi="Arial" w:cs="Arial"/>
        </w:rPr>
        <w:t>References</w:t>
      </w:r>
    </w:p>
    <w:p w14:paraId="70B45011" w14:textId="77777777" w:rsidR="00790ADA" w:rsidRPr="00194A86" w:rsidRDefault="00790ADA" w:rsidP="00441B6F">
      <w:pPr>
        <w:pStyle w:val="ReferHead"/>
        <w:spacing w:after="0"/>
        <w:jc w:val="both"/>
        <w:rPr>
          <w:rFonts w:ascii="Arial" w:hAnsi="Arial" w:cs="Arial"/>
        </w:rPr>
      </w:pPr>
    </w:p>
    <w:p w14:paraId="3B830F6C" w14:textId="77777777" w:rsidR="00D40730" w:rsidRPr="00D40730" w:rsidRDefault="00D40730" w:rsidP="00D40730">
      <w:pPr>
        <w:pStyle w:val="Body"/>
        <w:ind w:left="709" w:hanging="709"/>
        <w:rPr>
          <w:rFonts w:ascii="Arial" w:hAnsi="Arial" w:cs="Arial"/>
        </w:rPr>
      </w:pPr>
      <w:r w:rsidRPr="00D40730">
        <w:rPr>
          <w:rFonts w:ascii="Arial" w:hAnsi="Arial" w:cs="Arial"/>
        </w:rPr>
        <w:t>Abd. Majid, M. S. (2015). THE INFLUENCE OF RISK MANAGEMENT IMPLEMENTATION ON THE FINANCIAL PERFORMANCE OF BANKS LISTED ON THE INDONESIA STOCK EXCHANGE. https://doi.org/10.13140/RG.2.1.3589.4882</w:t>
      </w:r>
    </w:p>
    <w:p w14:paraId="2DF3890A"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Ahmed, M. M. A., Hassan, D. K. A. E. S. A., &amp; Magar, N. H. A. (2026). The moderating role of board gender diversity on the relationship between audit committee characteristics and financial performance: Evidence from Egypt. Journal of Financial </w:t>
      </w:r>
      <w:r w:rsidRPr="00D40730">
        <w:rPr>
          <w:rFonts w:ascii="Arial" w:hAnsi="Arial" w:cs="Arial"/>
        </w:rPr>
        <w:lastRenderedPageBreak/>
        <w:t>Reporting and Accounting, 24(2), 1114–1141. https://doi.org/10.1108/JFRA-12-2023-0746</w:t>
      </w:r>
    </w:p>
    <w:p w14:paraId="72DD0033" w14:textId="77777777" w:rsidR="00D40730" w:rsidRPr="00D40730" w:rsidRDefault="00D40730" w:rsidP="00D40730">
      <w:pPr>
        <w:pStyle w:val="Body"/>
        <w:ind w:left="709" w:hanging="709"/>
        <w:rPr>
          <w:rFonts w:ascii="Arial" w:hAnsi="Arial" w:cs="Arial"/>
        </w:rPr>
      </w:pPr>
      <w:r w:rsidRPr="00D40730">
        <w:rPr>
          <w:rFonts w:ascii="Arial" w:hAnsi="Arial" w:cs="Arial"/>
        </w:rPr>
        <w:t>Ahmed, S., Majeed, M., Thalassinos, E., &amp; Thalassinos, Y. (2021). The Impact of Bank Specific and Macro-Economic Factors on Non-Performing Loans in the Banking Sector: Evidence from an Emerging Economy. Journal of Risk and Financial Management, 14(5), 217. https://doi.org/10.3390/jrfm14050217</w:t>
      </w:r>
    </w:p>
    <w:p w14:paraId="235D8DE1" w14:textId="77777777" w:rsidR="00D40730" w:rsidRPr="00D40730" w:rsidRDefault="00D40730" w:rsidP="00D40730">
      <w:pPr>
        <w:pStyle w:val="Body"/>
        <w:ind w:left="709" w:hanging="709"/>
        <w:rPr>
          <w:rFonts w:ascii="Arial" w:hAnsi="Arial" w:cs="Arial"/>
        </w:rPr>
      </w:pPr>
      <w:r w:rsidRPr="00D40730">
        <w:rPr>
          <w:rFonts w:ascii="Arial" w:hAnsi="Arial" w:cs="Arial"/>
        </w:rPr>
        <w:t>Aisyah, N. (2024). The Role of Good Corporate Governance in Enhancing the Quality of Earnings in Manufacturing Companies. JACTA: Journal of Accounting and Tax, 3(1), 23–29. https://doi.org/10.58738/jacta.v3i1.962</w:t>
      </w:r>
    </w:p>
    <w:p w14:paraId="5718B333" w14:textId="77777777" w:rsidR="00D40730" w:rsidRPr="00D40730" w:rsidRDefault="00D40730" w:rsidP="00D40730">
      <w:pPr>
        <w:pStyle w:val="Body"/>
        <w:ind w:left="709" w:hanging="709"/>
        <w:rPr>
          <w:rFonts w:ascii="Arial" w:hAnsi="Arial" w:cs="Arial"/>
        </w:rPr>
      </w:pPr>
      <w:r w:rsidRPr="00D40730">
        <w:rPr>
          <w:rFonts w:ascii="Arial" w:hAnsi="Arial" w:cs="Arial"/>
        </w:rPr>
        <w:t>Allen, F., Goldstein, I., Jagtiani, J., &amp; Lang, W. W. (2016). Enhancing Prudential Standards in Financial Regulations. Journal of Financial Services Research, 49(2), 133–149. https://doi.org/10.1007/s10693-016-0253-2</w:t>
      </w:r>
    </w:p>
    <w:p w14:paraId="699F89C9" w14:textId="77777777" w:rsidR="00D40730" w:rsidRPr="00D40730" w:rsidRDefault="00D40730" w:rsidP="00D40730">
      <w:pPr>
        <w:pStyle w:val="Body"/>
        <w:ind w:left="709" w:hanging="709"/>
        <w:rPr>
          <w:rFonts w:ascii="Arial" w:hAnsi="Arial" w:cs="Arial"/>
        </w:rPr>
      </w:pPr>
      <w:r w:rsidRPr="00D40730">
        <w:rPr>
          <w:rFonts w:ascii="Arial" w:hAnsi="Arial" w:cs="Arial"/>
        </w:rPr>
        <w:t>Amaliyah, F., &amp; Herwiyanti, E. (2019). THE INFLUENCE OF INSTITUTIONAL OWNERSHIP, INDEPENDENT BOARD OF COMMISSIONERS, AND AUDIT COMMITTEE ON FIRM VALUE IN THE MINING SECTOR. Jurnal Akuntansi, 9, 187–200. https://doi.org/10.33369/j.akuntansi.9.3.187-200</w:t>
      </w:r>
    </w:p>
    <w:p w14:paraId="074901BA" w14:textId="77777777" w:rsidR="000A72EB" w:rsidRPr="000A72EB" w:rsidRDefault="000A72EB" w:rsidP="000A72EB">
      <w:pPr>
        <w:pStyle w:val="Body"/>
        <w:ind w:left="709" w:hanging="709"/>
        <w:rPr>
          <w:rFonts w:ascii="Arial" w:hAnsi="Arial" w:cs="Arial"/>
          <w:lang w:val="en-ID"/>
        </w:rPr>
      </w:pPr>
      <w:r w:rsidRPr="000A72EB">
        <w:rPr>
          <w:rFonts w:ascii="Arial" w:hAnsi="Arial" w:cs="Arial"/>
          <w:lang w:val="en-ID"/>
        </w:rPr>
        <w:t xml:space="preserve">Antova, I. (2025). Banking sector concentration, profitability and non-performing loans: Evidence from 93 countries. </w:t>
      </w:r>
      <w:r w:rsidRPr="000A72EB">
        <w:rPr>
          <w:rFonts w:ascii="Arial" w:hAnsi="Arial" w:cs="Arial"/>
          <w:i/>
          <w:iCs/>
          <w:lang w:val="en-ID"/>
        </w:rPr>
        <w:t>Journal of Economics, Law and Society, 2</w:t>
      </w:r>
      <w:r w:rsidRPr="000A72EB">
        <w:rPr>
          <w:rFonts w:ascii="Arial" w:hAnsi="Arial" w:cs="Arial"/>
          <w:lang w:val="en-ID"/>
        </w:rPr>
        <w:t xml:space="preserve">(2), 39–57. https://doi.org/10.70009/jels.2025.2.2.3 </w:t>
      </w:r>
    </w:p>
    <w:p w14:paraId="2875D131" w14:textId="3B65CBC1" w:rsidR="00D40730" w:rsidRPr="00D40730" w:rsidRDefault="00D40730" w:rsidP="00D40730">
      <w:pPr>
        <w:pStyle w:val="Body"/>
        <w:ind w:left="709" w:hanging="709"/>
        <w:rPr>
          <w:rFonts w:ascii="Arial" w:hAnsi="Arial" w:cs="Arial"/>
        </w:rPr>
      </w:pPr>
      <w:r w:rsidRPr="00D40730">
        <w:rPr>
          <w:rFonts w:ascii="Arial" w:hAnsi="Arial" w:cs="Arial"/>
        </w:rPr>
        <w:t>Ararat, M., Aksu, M. H., &amp; Tansel Cetin, A. (2010). The Impact of Board Diversity on Boards’ Monitoring Intensity and Firm Performance: Evidence from the Istanbul Stock Exchange (SSRN Scholarly Paper 1572283). https://doi.org/10.2139/ssrn.1572283</w:t>
      </w:r>
    </w:p>
    <w:p w14:paraId="4AE7113A" w14:textId="77777777" w:rsidR="00D40730" w:rsidRPr="00D40730" w:rsidRDefault="00D40730" w:rsidP="00D40730">
      <w:pPr>
        <w:pStyle w:val="Body"/>
        <w:ind w:left="709" w:hanging="709"/>
        <w:rPr>
          <w:rFonts w:ascii="Arial" w:hAnsi="Arial" w:cs="Arial"/>
        </w:rPr>
      </w:pPr>
      <w:r w:rsidRPr="00D40730">
        <w:rPr>
          <w:rFonts w:ascii="Arial" w:hAnsi="Arial" w:cs="Arial"/>
        </w:rPr>
        <w:t>Asogwa, C. I., Ofoegbu, G. N., Nnam, J. I., &amp; Chukwunwike, O. D. (2019). Effect of corporate governance board leadership models and attributes on earnings quality of quoted nigerian companies. Cogent Business &amp; Management, 6(1), 1683124. https://doi.org/10.1080/23311975.2019.1683124</w:t>
      </w:r>
    </w:p>
    <w:p w14:paraId="1D8CC267" w14:textId="77777777" w:rsidR="00D40730" w:rsidRPr="00D40730" w:rsidRDefault="00D40730" w:rsidP="00D40730">
      <w:pPr>
        <w:pStyle w:val="Body"/>
        <w:ind w:left="709" w:hanging="709"/>
        <w:rPr>
          <w:rFonts w:ascii="Arial" w:hAnsi="Arial" w:cs="Arial"/>
        </w:rPr>
      </w:pPr>
      <w:r w:rsidRPr="00D40730">
        <w:rPr>
          <w:rFonts w:ascii="Arial" w:hAnsi="Arial" w:cs="Arial"/>
        </w:rPr>
        <w:t>Azizah, N., Azhari, N., &amp; Robain, W. (2025). The Influence of the Independent Board of Commissioners on the Implementation of Good Corporate Governance. Journal on Pustaka Cendekia Informatika, 3(1), 31–36. https://doi.org/10.70292/pctif.v3i1.40</w:t>
      </w:r>
    </w:p>
    <w:p w14:paraId="3C0AA536" w14:textId="77777777" w:rsidR="00D40730" w:rsidRPr="00D40730" w:rsidRDefault="00D40730" w:rsidP="00D40730">
      <w:pPr>
        <w:pStyle w:val="Body"/>
        <w:ind w:left="709" w:hanging="709"/>
        <w:rPr>
          <w:rFonts w:ascii="Arial" w:hAnsi="Arial" w:cs="Arial"/>
        </w:rPr>
      </w:pPr>
      <w:r w:rsidRPr="00D40730">
        <w:rPr>
          <w:rFonts w:ascii="Arial" w:hAnsi="Arial" w:cs="Arial"/>
        </w:rPr>
        <w:t>Banna, H., Ahmad, R., &amp; Koh, E. (2018). How does total quality management influence the loan quality of the bank? Total Quality Management and Business Excellence, 29, 287–300. https://doi.org/10.1080/14783363.2016.1180954</w:t>
      </w:r>
    </w:p>
    <w:p w14:paraId="7F70E081" w14:textId="77777777" w:rsidR="00D40730" w:rsidRPr="00D40730" w:rsidRDefault="00D40730" w:rsidP="00D40730">
      <w:pPr>
        <w:pStyle w:val="Body"/>
        <w:ind w:left="709" w:hanging="709"/>
        <w:rPr>
          <w:rFonts w:ascii="Arial" w:hAnsi="Arial" w:cs="Arial"/>
        </w:rPr>
      </w:pPr>
      <w:r w:rsidRPr="00D40730">
        <w:rPr>
          <w:rFonts w:ascii="Arial" w:hAnsi="Arial" w:cs="Arial"/>
        </w:rPr>
        <w:t>Beatty, A., Chamberlain, S., &amp; Magliolo, J. (1995). Managing Financial Reports Of Commercial Banks—The Influence Of Taxes, Regulatory Capital, And Earnings. Journal of Accounting Research, 33, 231–261.</w:t>
      </w:r>
    </w:p>
    <w:p w14:paraId="2861B78A" w14:textId="77777777" w:rsidR="00D40730" w:rsidRPr="00D40730" w:rsidRDefault="00D40730" w:rsidP="00D40730">
      <w:pPr>
        <w:pStyle w:val="Body"/>
        <w:ind w:left="709" w:hanging="709"/>
        <w:rPr>
          <w:rFonts w:ascii="Arial" w:hAnsi="Arial" w:cs="Arial"/>
        </w:rPr>
      </w:pPr>
      <w:r w:rsidRPr="00D40730">
        <w:rPr>
          <w:rFonts w:ascii="Arial" w:hAnsi="Arial" w:cs="Arial"/>
        </w:rPr>
        <w:t>Beaver, W. H., &amp; Engel, E. E. (1996). Discretionary behavior with respect to allowances for loan losses and the behavior of security prices. Journal of Accounting and Economics, Conference Issue on Contemporary Financial Reporting Issues, 22(1), 177–206. https://doi.org/10.1016/S0165-4101(96)00428-4</w:t>
      </w:r>
    </w:p>
    <w:p w14:paraId="47CAFA94" w14:textId="77777777" w:rsidR="00D40730" w:rsidRPr="00D40730" w:rsidRDefault="00D40730" w:rsidP="00D40730">
      <w:pPr>
        <w:pStyle w:val="Body"/>
        <w:ind w:left="709" w:hanging="709"/>
        <w:rPr>
          <w:rFonts w:ascii="Arial" w:hAnsi="Arial" w:cs="Arial"/>
        </w:rPr>
      </w:pPr>
      <w:r w:rsidRPr="00D40730">
        <w:rPr>
          <w:rFonts w:ascii="Arial" w:hAnsi="Arial" w:cs="Arial"/>
        </w:rPr>
        <w:t>Berger, A. N., Kick, T., &amp; Schaeck, K. (2014). Executive board composition and bank risk taking. Journal of Corporate Finance, 28(C), 48–65.</w:t>
      </w:r>
    </w:p>
    <w:p w14:paraId="50FBEA9D"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Bui, H., &amp; Krajcsák, Z. (2023). The impacts of corporate governance on firms' performance: From theories and approaches to empirical findings. Journal of Financial Regulation and Compliance, 32(1), 18–46. https://doi.org/10.1108/JFRC-01-2023-0012</w:t>
      </w:r>
    </w:p>
    <w:p w14:paraId="4EDCBEF2" w14:textId="2731F8EF" w:rsidR="00416062" w:rsidRDefault="00416062" w:rsidP="00D40730">
      <w:pPr>
        <w:pStyle w:val="Body"/>
        <w:ind w:left="709" w:hanging="709"/>
        <w:rPr>
          <w:rFonts w:ascii="Arial" w:hAnsi="Arial" w:cs="Arial"/>
        </w:rPr>
      </w:pPr>
      <w:r w:rsidRPr="00416062">
        <w:rPr>
          <w:rFonts w:ascii="Arial" w:hAnsi="Arial" w:cs="Arial"/>
        </w:rPr>
        <w:t xml:space="preserve">Bushman, R. M., &amp; Williams, C. D. (2012). Accounting discretion, loan loss provisioning, and discipline of banks’ risk-taking. </w:t>
      </w:r>
      <w:r w:rsidRPr="00416062">
        <w:rPr>
          <w:rFonts w:ascii="Arial" w:hAnsi="Arial" w:cs="Arial"/>
          <w:i/>
          <w:iCs/>
        </w:rPr>
        <w:t>Journal of Accounting and Economics, 54</w:t>
      </w:r>
      <w:r w:rsidRPr="00416062">
        <w:rPr>
          <w:rFonts w:ascii="Arial" w:hAnsi="Arial" w:cs="Arial"/>
        </w:rPr>
        <w:t xml:space="preserve">(1), 1–18. </w:t>
      </w:r>
      <w:hyperlink r:id="rId17" w:history="1">
        <w:r w:rsidRPr="00B803A0">
          <w:rPr>
            <w:rStyle w:val="Hyperlink"/>
            <w:rFonts w:ascii="Arial" w:hAnsi="Arial" w:cs="Arial"/>
          </w:rPr>
          <w:t>https://doi.org/10.1016/j.jacceco.2012.04.002</w:t>
        </w:r>
      </w:hyperlink>
    </w:p>
    <w:p w14:paraId="6B64639F" w14:textId="38F29F79" w:rsidR="00D40730" w:rsidRPr="00D40730" w:rsidRDefault="00D40730" w:rsidP="00D40730">
      <w:pPr>
        <w:pStyle w:val="Body"/>
        <w:ind w:left="709" w:hanging="709"/>
        <w:rPr>
          <w:rFonts w:ascii="Arial" w:hAnsi="Arial" w:cs="Arial"/>
        </w:rPr>
      </w:pPr>
      <w:r w:rsidRPr="00D40730">
        <w:rPr>
          <w:rFonts w:ascii="Arial" w:hAnsi="Arial" w:cs="Arial"/>
        </w:rPr>
        <w:t>Carter, D. A., Simkins, B. J., &amp; Simpson, W. G. (2003). Corporate Governance, Board Diversity, and Firm Value. The Financial Review, 38(1), 33–53. https://doi.org/10.1111/1540-6288.00034</w:t>
      </w:r>
    </w:p>
    <w:p w14:paraId="054EBBC2" w14:textId="77777777" w:rsidR="00D40730" w:rsidRPr="00D40730" w:rsidRDefault="00D40730" w:rsidP="00D40730">
      <w:pPr>
        <w:pStyle w:val="Body"/>
        <w:ind w:left="709" w:hanging="709"/>
        <w:rPr>
          <w:rFonts w:ascii="Arial" w:hAnsi="Arial" w:cs="Arial"/>
        </w:rPr>
      </w:pPr>
      <w:r w:rsidRPr="00D40730">
        <w:rPr>
          <w:rFonts w:ascii="Arial" w:hAnsi="Arial" w:cs="Arial"/>
        </w:rPr>
        <w:t>Cornett, M. M., Marcus, A., Saunders, A., &amp; Tehranian, H. (2007). The impact of institutional ownership on corporate operating performance. Journal of Banking &amp; Finance, 31(6), 1771–1794.</w:t>
      </w:r>
    </w:p>
    <w:p w14:paraId="3885B1A8" w14:textId="77777777" w:rsidR="00D40730" w:rsidRPr="00D40730" w:rsidRDefault="00D40730" w:rsidP="00D40730">
      <w:pPr>
        <w:pStyle w:val="Body"/>
        <w:ind w:left="709" w:hanging="709"/>
        <w:rPr>
          <w:rFonts w:ascii="Arial" w:hAnsi="Arial" w:cs="Arial"/>
        </w:rPr>
      </w:pPr>
      <w:r w:rsidRPr="00D40730">
        <w:rPr>
          <w:rFonts w:ascii="Arial" w:hAnsi="Arial" w:cs="Arial"/>
        </w:rPr>
        <w:t>Damanik, E., &amp; Purnamasari, A. (2022). The Influence of the Proportion of Independent Commissioners and Audit Committees on Corporate Financial Performance (A Study of Food and Beverage Companies Listed on the IDX, 2017–2021). JOURNAL INTELEKTUAL, 1, 23–34. https://doi.org/10.61635/jin.v1i1.73</w:t>
      </w:r>
    </w:p>
    <w:p w14:paraId="7BFD4C00" w14:textId="77777777" w:rsidR="00D40730" w:rsidRPr="00D40730" w:rsidRDefault="00D40730" w:rsidP="00D40730">
      <w:pPr>
        <w:pStyle w:val="Body"/>
        <w:ind w:left="709" w:hanging="709"/>
        <w:rPr>
          <w:rFonts w:ascii="Arial" w:hAnsi="Arial" w:cs="Arial"/>
        </w:rPr>
      </w:pPr>
      <w:r w:rsidRPr="00D40730">
        <w:rPr>
          <w:rFonts w:ascii="Arial" w:hAnsi="Arial" w:cs="Arial"/>
        </w:rPr>
        <w:t>Darsani, P. A., &amp; Sukartha, I. M. (2021). The Effect of Institutional Ownership, Profitability, Leverage and Capital Intensity Ratio on Tax Avoidance.</w:t>
      </w:r>
    </w:p>
    <w:p w14:paraId="3F599143" w14:textId="77777777" w:rsidR="00D40730" w:rsidRPr="00D40730" w:rsidRDefault="00D40730" w:rsidP="00D40730">
      <w:pPr>
        <w:pStyle w:val="Body"/>
        <w:ind w:left="709" w:hanging="709"/>
        <w:rPr>
          <w:rFonts w:ascii="Arial" w:hAnsi="Arial" w:cs="Arial"/>
        </w:rPr>
      </w:pPr>
      <w:r w:rsidRPr="00D40730">
        <w:rPr>
          <w:rFonts w:ascii="Arial" w:hAnsi="Arial" w:cs="Arial"/>
        </w:rPr>
        <w:t>Elyasiani, E., &amp; Jia, J. (2010). Distribution of institutional ownership and corporate firm performance. Journal of Banking &amp; Finance, 34(3), 606–620. https://doi.org/10.1016/j.jbankfin.2009.08.018</w:t>
      </w:r>
    </w:p>
    <w:p w14:paraId="6A269B84" w14:textId="77777777" w:rsidR="00D40730" w:rsidRPr="00D40730" w:rsidRDefault="00D40730" w:rsidP="00D40730">
      <w:pPr>
        <w:pStyle w:val="Body"/>
        <w:ind w:left="709" w:hanging="709"/>
        <w:rPr>
          <w:rFonts w:ascii="Arial" w:hAnsi="Arial" w:cs="Arial"/>
        </w:rPr>
      </w:pPr>
      <w:r w:rsidRPr="00D40730">
        <w:rPr>
          <w:rFonts w:ascii="Arial" w:hAnsi="Arial" w:cs="Arial"/>
        </w:rPr>
        <w:t>García-Izquierdo, A. L., Fernández-Méndez, C., &amp; Arrondo-García, R. (2018). Gender Diversity on Boards of Directors and Remuneration Committees: The Influence on Listed Companies in Spain. Frontiers in Psychology, 9, 1351. https://doi.org/10.3389/fpsyg.2018.01351</w:t>
      </w:r>
    </w:p>
    <w:p w14:paraId="66291189" w14:textId="77777777" w:rsidR="00D40730" w:rsidRPr="00D40730" w:rsidRDefault="00D40730" w:rsidP="00D40730">
      <w:pPr>
        <w:pStyle w:val="Body"/>
        <w:ind w:left="709" w:hanging="709"/>
        <w:rPr>
          <w:rFonts w:ascii="Arial" w:hAnsi="Arial" w:cs="Arial"/>
        </w:rPr>
      </w:pPr>
      <w:r w:rsidRPr="00D40730">
        <w:rPr>
          <w:rFonts w:ascii="Arial" w:hAnsi="Arial" w:cs="Arial"/>
        </w:rPr>
        <w:t>Ghozali, I. (2016). Application of Multivariate Analysis Using IBM SPSS 23 (8th Ed.). Diponegoro University Press.</w:t>
      </w:r>
    </w:p>
    <w:p w14:paraId="509294E7" w14:textId="77777777" w:rsidR="00D40730" w:rsidRPr="00D40730" w:rsidRDefault="00D40730" w:rsidP="00D40730">
      <w:pPr>
        <w:pStyle w:val="Body"/>
        <w:ind w:left="709" w:hanging="709"/>
        <w:rPr>
          <w:rFonts w:ascii="Arial" w:hAnsi="Arial" w:cs="Arial"/>
        </w:rPr>
      </w:pPr>
      <w:r w:rsidRPr="00D40730">
        <w:rPr>
          <w:rFonts w:ascii="Arial" w:hAnsi="Arial" w:cs="Arial"/>
        </w:rPr>
        <w:t>Gregory-Smith, I., &amp; Main, B. (2023). The Symbolic Management of Women on Company Boards: Evidence Using the UK Davies Review. British Journal of Management, 35, 228–242. https://doi.org/10.1111/1467-8551.12713</w:t>
      </w:r>
    </w:p>
    <w:p w14:paraId="4E2E78E1" w14:textId="77777777" w:rsidR="00D40730" w:rsidRPr="00D40730" w:rsidRDefault="00D40730" w:rsidP="00D40730">
      <w:pPr>
        <w:pStyle w:val="Body"/>
        <w:ind w:left="709" w:hanging="709"/>
        <w:rPr>
          <w:rFonts w:ascii="Arial" w:hAnsi="Arial" w:cs="Arial"/>
        </w:rPr>
      </w:pPr>
      <w:r w:rsidRPr="00D40730">
        <w:rPr>
          <w:rFonts w:ascii="Arial" w:hAnsi="Arial" w:cs="Arial"/>
        </w:rPr>
        <w:t>Gul, F. A., Hutchinson, M. R., &amp; Lai, K. M. Y. (2013). Gender-diverse boards and properties of analyst earnings forecasts. Accounting Horizons, 27(3), 511–538. https://doi.org/10.2308/acch-50486</w:t>
      </w:r>
    </w:p>
    <w:p w14:paraId="67E0405A" w14:textId="77777777" w:rsidR="00D40730" w:rsidRPr="00D40730" w:rsidRDefault="00D40730" w:rsidP="00D40730">
      <w:pPr>
        <w:pStyle w:val="Body"/>
        <w:ind w:left="709" w:hanging="709"/>
        <w:rPr>
          <w:rFonts w:ascii="Arial" w:hAnsi="Arial" w:cs="Arial"/>
        </w:rPr>
      </w:pPr>
      <w:r w:rsidRPr="00D40730">
        <w:rPr>
          <w:rFonts w:ascii="Arial" w:hAnsi="Arial" w:cs="Arial"/>
        </w:rPr>
        <w:t>Gulamhussen, M., &amp; Fonte Santa, S. (2015). Female directors in bank boardrooms and their influence on performance and risk-taking. Global Finance Journal, 28. https://doi.org/10.1016/j.gfj.2015.11.002</w:t>
      </w:r>
    </w:p>
    <w:p w14:paraId="2111BD20"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Hadiansyah, R., Cahyaningtyas, S. R., &amp; Waskito, I. (2022). THE INFLUENCE OF MANAGERIAL OWNERSHIP AND INSTITUTIONAL OWNERSHIP ON FIRM </w:t>
      </w:r>
      <w:r w:rsidRPr="00D40730">
        <w:rPr>
          <w:rFonts w:ascii="Arial" w:hAnsi="Arial" w:cs="Arial"/>
        </w:rPr>
        <w:lastRenderedPageBreak/>
        <w:t>VALUE (An Empirical Study on Banking Sector Companies Listed on the Indonesia Stock Exchange, 2017–2021). Jurnal Riset Mahasiswa Akuntansi, 2(4), 656–670. https://doi.org/10.29303/risma.v2i4.353</w:t>
      </w:r>
    </w:p>
    <w:p w14:paraId="409134D7" w14:textId="77777777" w:rsidR="00D40730" w:rsidRPr="00D40730" w:rsidRDefault="00D40730" w:rsidP="00D40730">
      <w:pPr>
        <w:pStyle w:val="Body"/>
        <w:ind w:left="709" w:hanging="709"/>
        <w:rPr>
          <w:rFonts w:ascii="Arial" w:hAnsi="Arial" w:cs="Arial"/>
        </w:rPr>
      </w:pPr>
      <w:r w:rsidRPr="00D40730">
        <w:rPr>
          <w:rFonts w:ascii="Arial" w:hAnsi="Arial" w:cs="Arial"/>
        </w:rPr>
        <w:t>Hakimah, Y., Pratama, I., Fitri, H., Ganatri, M., &amp; Sulbahri, R. (2019). Impact of Intrinsic Corporate Governance on Financial Performance of Indonesian SMEs.</w:t>
      </w:r>
    </w:p>
    <w:p w14:paraId="1DA4E922" w14:textId="77777777" w:rsidR="00D40730" w:rsidRPr="00D40730" w:rsidRDefault="00D40730" w:rsidP="00D40730">
      <w:pPr>
        <w:pStyle w:val="Body"/>
        <w:ind w:left="709" w:hanging="709"/>
        <w:rPr>
          <w:rFonts w:ascii="Arial" w:hAnsi="Arial" w:cs="Arial"/>
        </w:rPr>
      </w:pPr>
      <w:r w:rsidRPr="00D40730">
        <w:rPr>
          <w:rFonts w:ascii="Arial" w:hAnsi="Arial" w:cs="Arial"/>
        </w:rPr>
        <w:t>Handriano, R. (2018). ANALYSIS OF CREDIT DISBURSEMENT PROCEDURES IN EFFORTS TO MITIGATE NON-PERFORMING LOAN RISK AT STATE-OWNED BANKS IN BANJARMASIN CITY. Dinamika Ekonomi: Jurnal Ekonomi dan Bisnis, 11(2), 230–244.</w:t>
      </w:r>
    </w:p>
    <w:p w14:paraId="5A908CB3" w14:textId="77777777" w:rsidR="00D40730" w:rsidRPr="00D40730" w:rsidRDefault="00D40730" w:rsidP="00D40730">
      <w:pPr>
        <w:pStyle w:val="Body"/>
        <w:ind w:left="709" w:hanging="709"/>
        <w:rPr>
          <w:rFonts w:ascii="Arial" w:hAnsi="Arial" w:cs="Arial"/>
        </w:rPr>
      </w:pPr>
      <w:r w:rsidRPr="00D40730">
        <w:rPr>
          <w:rFonts w:ascii="Arial" w:hAnsi="Arial" w:cs="Arial"/>
        </w:rPr>
        <w:t>Hussain, M. J., Tian, ​​G., Ayaz, M., &amp; Zhang, X. (2022). The Impact of Directors’ Foreign Experience on Environmental Information Disclosure: Evidence from Heavily Polluting Chinese Firms. Asia-Pacific Journal of Financial Studies, n/a(n/a). https://doi.org/10.1111/ajfs.12372</w:t>
      </w:r>
    </w:p>
    <w:p w14:paraId="76729693" w14:textId="77777777" w:rsidR="00D40730" w:rsidRPr="00D40730" w:rsidRDefault="00D40730" w:rsidP="00D40730">
      <w:pPr>
        <w:pStyle w:val="Body"/>
        <w:ind w:left="709" w:hanging="709"/>
        <w:rPr>
          <w:rFonts w:ascii="Arial" w:hAnsi="Arial" w:cs="Arial"/>
        </w:rPr>
      </w:pPr>
      <w:r w:rsidRPr="00D40730">
        <w:rPr>
          <w:rFonts w:ascii="Arial" w:hAnsi="Arial" w:cs="Arial"/>
        </w:rPr>
        <w:t>IPAF. (2024). NPL Data. https://ipafasia.org/news-and-data/npl-data&amp;rid=1</w:t>
      </w:r>
    </w:p>
    <w:p w14:paraId="250786A8" w14:textId="77777777" w:rsidR="00D40730" w:rsidRPr="00D40730" w:rsidRDefault="00D40730" w:rsidP="00D40730">
      <w:pPr>
        <w:pStyle w:val="Body"/>
        <w:ind w:left="709" w:hanging="709"/>
        <w:rPr>
          <w:rFonts w:ascii="Arial" w:hAnsi="Arial" w:cs="Arial"/>
        </w:rPr>
      </w:pPr>
      <w:r w:rsidRPr="00D40730">
        <w:rPr>
          <w:rFonts w:ascii="Arial" w:hAnsi="Arial" w:cs="Arial"/>
        </w:rPr>
        <w:t>Islami, D., &amp; Wulandari, A. (2023). The Influence of GCG, Capital Structure, and Leverage on the Financial Performance of Mining Companies. Nominal Barometer Riset Akuntansi Dan Manajemen, 12, 254–268. https://doi.org/10.21831/nominal.v12i2.60207</w:t>
      </w:r>
    </w:p>
    <w:p w14:paraId="2CC59B3F" w14:textId="77777777" w:rsidR="00D40730" w:rsidRPr="00D40730" w:rsidRDefault="00D40730" w:rsidP="00D40730">
      <w:pPr>
        <w:pStyle w:val="Body"/>
        <w:ind w:left="709" w:hanging="709"/>
        <w:rPr>
          <w:rFonts w:ascii="Arial" w:hAnsi="Arial" w:cs="Arial"/>
        </w:rPr>
      </w:pPr>
      <w:r w:rsidRPr="00D40730">
        <w:rPr>
          <w:rFonts w:ascii="Arial" w:hAnsi="Arial" w:cs="Arial"/>
        </w:rPr>
        <w:t>Ivanova, M. R. (2017). Institutional investors as stewards of the corporation: Exploring the challenges to the monitoring hypothesis. Business Ethics: A European Review, 26(2), 175–188. https://doi.org/10.1111/beer.12142</w:t>
      </w:r>
    </w:p>
    <w:p w14:paraId="33E18CEA" w14:textId="77777777" w:rsidR="00D40730" w:rsidRPr="00D40730" w:rsidRDefault="00D40730" w:rsidP="00D40730">
      <w:pPr>
        <w:pStyle w:val="Body"/>
        <w:ind w:left="709" w:hanging="709"/>
        <w:rPr>
          <w:rFonts w:ascii="Arial" w:hAnsi="Arial" w:cs="Arial"/>
        </w:rPr>
      </w:pPr>
      <w:r w:rsidRPr="00D40730">
        <w:rPr>
          <w:rFonts w:ascii="Arial" w:hAnsi="Arial" w:cs="Arial"/>
        </w:rPr>
        <w:t>Jensen, M. C., &amp; Meckling, W. H. (1976). Theory of the firm: Managerial behavior, agency costs and ownership structure. Journal of Financial Economics, 3(4), 305–360. https://doi.org/10.1016/0304-405X(76)90026-X</w:t>
      </w:r>
    </w:p>
    <w:p w14:paraId="6EE7BC5B" w14:textId="77777777" w:rsidR="00D40730" w:rsidRPr="00D40730" w:rsidRDefault="00D40730" w:rsidP="00D40730">
      <w:pPr>
        <w:pStyle w:val="Body"/>
        <w:ind w:left="709" w:hanging="709"/>
        <w:rPr>
          <w:rFonts w:ascii="Arial" w:hAnsi="Arial" w:cs="Arial"/>
        </w:rPr>
      </w:pPr>
      <w:r w:rsidRPr="00D40730">
        <w:rPr>
          <w:rFonts w:ascii="Arial" w:hAnsi="Arial" w:cs="Arial"/>
        </w:rPr>
        <w:t>Johnson, R. A., Schnatterly, K., Johnson, S. G., &amp; Chiu, S.-C. (2010). Institutional Investors and Institutional Environment: A Comparative Analysis and Review. Journal of Management Studies, 47(8), 1590–1613.</w:t>
      </w:r>
    </w:p>
    <w:p w14:paraId="4B31D69C" w14:textId="77777777" w:rsidR="00D40730" w:rsidRPr="00D40730" w:rsidRDefault="00D40730" w:rsidP="00D40730">
      <w:pPr>
        <w:pStyle w:val="Body"/>
        <w:ind w:left="709" w:hanging="709"/>
        <w:rPr>
          <w:rFonts w:ascii="Arial" w:hAnsi="Arial" w:cs="Arial"/>
        </w:rPr>
      </w:pPr>
      <w:r w:rsidRPr="00D40730">
        <w:rPr>
          <w:rFonts w:ascii="Arial" w:hAnsi="Arial" w:cs="Arial"/>
        </w:rPr>
        <w:t>Kaihatu, D. T. S., Daengs, D. A., &amp; Indrianto, A. T. L. (2004). Complaint Management. Penerbit Andi.</w:t>
      </w:r>
    </w:p>
    <w:p w14:paraId="5202F9B5" w14:textId="77777777" w:rsidR="00D40730" w:rsidRPr="00D40730" w:rsidRDefault="00D40730" w:rsidP="00D40730">
      <w:pPr>
        <w:pStyle w:val="Body"/>
        <w:ind w:left="709" w:hanging="709"/>
        <w:rPr>
          <w:rFonts w:ascii="Arial" w:hAnsi="Arial" w:cs="Arial"/>
        </w:rPr>
      </w:pPr>
      <w:r w:rsidRPr="00D40730">
        <w:rPr>
          <w:rFonts w:ascii="Arial" w:hAnsi="Arial" w:cs="Arial"/>
        </w:rPr>
        <w:t>Kanagaretnam, K., Lim, C. Y., &amp; Lobo, G. J. (2014). Effects of international institutional factors on earnings quality of banks. Journal of Banking &amp; Finance, 39, 87–106. https://doi.org/10.1016/j.jbankfin.2013.11.005</w:t>
      </w:r>
    </w:p>
    <w:p w14:paraId="57328931" w14:textId="77777777" w:rsidR="00D40730" w:rsidRPr="00D40730" w:rsidRDefault="00D40730" w:rsidP="00D40730">
      <w:pPr>
        <w:pStyle w:val="Body"/>
        <w:ind w:left="709" w:hanging="709"/>
        <w:rPr>
          <w:rFonts w:ascii="Arial" w:hAnsi="Arial" w:cs="Arial"/>
        </w:rPr>
      </w:pPr>
      <w:r w:rsidRPr="00D40730">
        <w:rPr>
          <w:rFonts w:ascii="Arial" w:hAnsi="Arial" w:cs="Arial"/>
        </w:rPr>
        <w:t>Kartika, A., &amp; Nurhayati, I. (2018). Determinants of financial report integrity: Empirical study of manufacturing companies in Indonesia. https://www.unisbank.ac.id/ojs/index.php/sendi_u/article/view/6063?PageSpeed=noscript</w:t>
      </w:r>
    </w:p>
    <w:p w14:paraId="48C600FB" w14:textId="77777777" w:rsidR="00D40730" w:rsidRPr="00D40730" w:rsidRDefault="00D40730" w:rsidP="00D40730">
      <w:pPr>
        <w:pStyle w:val="Body"/>
        <w:ind w:left="709" w:hanging="709"/>
        <w:rPr>
          <w:rFonts w:ascii="Arial" w:hAnsi="Arial" w:cs="Arial"/>
        </w:rPr>
      </w:pPr>
      <w:r w:rsidRPr="00D40730">
        <w:rPr>
          <w:rFonts w:ascii="Arial" w:hAnsi="Arial" w:cs="Arial"/>
        </w:rPr>
        <w:t>Khan, M. A., Siddique, A., &amp; Sarwar, Z. (2020). Determinants of non-Performing loans in the banking sector in developing countries. Asian Journal of Accounting Research, 5(1), 135–145. https://doi.org/10.1108/AJAR-10-2019-0080</w:t>
      </w:r>
    </w:p>
    <w:p w14:paraId="6F207167"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Koju, L., Koju, R., &amp; Wang, S. (2018). Macroeconomic and Bank-Specific Determinants of Non-Performing Loans: Evidence from Nepalese Banking System. Journal of Central Banking Theory and Practice, 7(3), 111–138. https://doi.org/10.2478/jcbtp-2018-0026</w:t>
      </w:r>
    </w:p>
    <w:p w14:paraId="4AAB5C8D" w14:textId="77777777" w:rsidR="00D40730" w:rsidRPr="00D40730" w:rsidRDefault="00D40730" w:rsidP="00D40730">
      <w:pPr>
        <w:pStyle w:val="Body"/>
        <w:ind w:left="709" w:hanging="709"/>
        <w:rPr>
          <w:rFonts w:ascii="Arial" w:hAnsi="Arial" w:cs="Arial"/>
        </w:rPr>
      </w:pPr>
      <w:r w:rsidRPr="00D40730">
        <w:rPr>
          <w:rFonts w:ascii="Arial" w:hAnsi="Arial" w:cs="Arial"/>
        </w:rPr>
        <w:t>Liu, Y., Brahma, S., &amp; Boateng, A. (2019). Impact of ownership structure and ownership concentration on credit risk of Chinese commercial banks. International Journal of Managerial Finance, 16(2), 253–272. https://doi.org/10.1108/IJMF-03-2019-0094</w:t>
      </w:r>
    </w:p>
    <w:p w14:paraId="2B0A68DD" w14:textId="77777777" w:rsidR="00D40730" w:rsidRPr="00D40730" w:rsidRDefault="00D40730" w:rsidP="00D40730">
      <w:pPr>
        <w:pStyle w:val="Body"/>
        <w:ind w:left="709" w:hanging="709"/>
        <w:rPr>
          <w:rFonts w:ascii="Arial" w:hAnsi="Arial" w:cs="Arial"/>
        </w:rPr>
      </w:pPr>
      <w:r w:rsidRPr="00D40730">
        <w:rPr>
          <w:rFonts w:ascii="Arial" w:hAnsi="Arial" w:cs="Arial"/>
        </w:rPr>
        <w:t>Masriani, I., Setiawan, R., &amp; Wibowo, W. (2022). EFFECT OF THE NUMBER OF COMMISSIONERS AND PROPORTION OF INDEPENDENT COMMISSIONERS ON PUBLIC COMPANY PERFORMANCE. Eksis: Jurnal Riset Ekonomi Dan Bisnis, 17(1), 105–124. https://doi.org/10.26533/eksis.v17i1.988</w:t>
      </w:r>
    </w:p>
    <w:p w14:paraId="49659F61" w14:textId="77777777" w:rsidR="00D40730" w:rsidRPr="00D40730" w:rsidRDefault="00D40730" w:rsidP="00D40730">
      <w:pPr>
        <w:pStyle w:val="Body"/>
        <w:ind w:left="709" w:hanging="709"/>
        <w:rPr>
          <w:rFonts w:ascii="Arial" w:hAnsi="Arial" w:cs="Arial"/>
        </w:rPr>
      </w:pPr>
      <w:r w:rsidRPr="00D40730">
        <w:rPr>
          <w:rFonts w:ascii="Arial" w:hAnsi="Arial" w:cs="Arial"/>
        </w:rPr>
        <w:t>Maula, D., Manurung, A., Widjanarko, W., Khan, M. A., &amp; Fikri, A. (2024). The Influence of Non-Performing Loans, Good Corporate Governance, and Risk on Banking Performance, with the Loan-to-Deposit Ratio as an Intervening Variable. JURNAL ECONOMINA, 3, 344–361. https://doi.org/10.55681/economina.v3i2.1213</w:t>
      </w:r>
    </w:p>
    <w:p w14:paraId="5AA035D0" w14:textId="77777777" w:rsidR="00D40730" w:rsidRPr="00D40730" w:rsidRDefault="00D40730" w:rsidP="00D40730">
      <w:pPr>
        <w:pStyle w:val="Body"/>
        <w:ind w:left="709" w:hanging="709"/>
        <w:rPr>
          <w:rFonts w:ascii="Arial" w:hAnsi="Arial" w:cs="Arial"/>
        </w:rPr>
      </w:pPr>
      <w:r w:rsidRPr="00D40730">
        <w:rPr>
          <w:rFonts w:ascii="Arial" w:hAnsi="Arial" w:cs="Arial"/>
        </w:rPr>
        <w:t>Mingaleva, Z., Shironina, E., Lobova, E., Olenev, V., Plyusnina, L., &amp; Oborina, A. (2022). Organizational Culture Management as an Element of Innovative and Sustainable Development of Enterprises. Sustainability, 14, 6289. https://doi.org/10.3390/su14106289</w:t>
      </w:r>
    </w:p>
    <w:p w14:paraId="4F3D43C7" w14:textId="77777777" w:rsidR="00D40730" w:rsidRPr="00D40730" w:rsidRDefault="00D40730" w:rsidP="00D40730">
      <w:pPr>
        <w:pStyle w:val="Body"/>
        <w:ind w:left="709" w:hanging="709"/>
        <w:rPr>
          <w:rFonts w:ascii="Arial" w:hAnsi="Arial" w:cs="Arial"/>
        </w:rPr>
      </w:pPr>
      <w:r w:rsidRPr="00D40730">
        <w:rPr>
          <w:rFonts w:ascii="Arial" w:hAnsi="Arial" w:cs="Arial"/>
        </w:rPr>
        <w:t>Naili, M., &amp; Lahrichi, Y. (2022). Banks’ credit risk, systematic determinants and specific factors: Recent evidence from emerging markets. Heliyon, 8(2), e08960. https://doi.org/10.1016/j.heliyon.2022.e08960</w:t>
      </w:r>
    </w:p>
    <w:p w14:paraId="7C5E139D" w14:textId="77777777" w:rsidR="00D40730" w:rsidRPr="00D40730" w:rsidRDefault="00D40730" w:rsidP="00D40730">
      <w:pPr>
        <w:pStyle w:val="Body"/>
        <w:ind w:left="709" w:hanging="709"/>
        <w:rPr>
          <w:rFonts w:ascii="Arial" w:hAnsi="Arial" w:cs="Arial"/>
        </w:rPr>
      </w:pPr>
      <w:r w:rsidRPr="00D40730">
        <w:rPr>
          <w:rFonts w:ascii="Arial" w:hAnsi="Arial" w:cs="Arial"/>
        </w:rPr>
        <w:t>Nurasisah, N., &amp; As’ad, A. (2022). Analysis of the Banking Risk Management Process in Controlling Credit Risk. Amkop Management Accounting Review (AMAR), 2(2), 32–39. https://doi.org/10.37531/amar.v2i2.437</w:t>
      </w:r>
    </w:p>
    <w:p w14:paraId="70EB1077" w14:textId="4958AC7D" w:rsidR="00D40730" w:rsidRPr="00D40730" w:rsidRDefault="00D40730" w:rsidP="00D40730">
      <w:pPr>
        <w:pStyle w:val="Body"/>
        <w:ind w:left="709" w:hanging="709"/>
        <w:rPr>
          <w:rFonts w:ascii="Arial" w:hAnsi="Arial" w:cs="Arial"/>
        </w:rPr>
      </w:pPr>
      <w:r w:rsidRPr="00D40730">
        <w:rPr>
          <w:rFonts w:ascii="Arial" w:hAnsi="Arial" w:cs="Arial"/>
        </w:rPr>
        <w:t>Nurianah, Sucipto, B., &amp; Arahima, I. (2025). Good Corporate Governance and Bank Capitalization: The Role of Risk Management in the Pre-COVID Era. JAD: Jurnal Riset Akuntansi &amp; Keuangan Dewantara, 8(2), 117–127. https://doi.org/10.26</w:t>
      </w:r>
      <w:r w:rsidRPr="00D40730">
        <w:t xml:space="preserve"> </w:t>
      </w:r>
      <w:r w:rsidRPr="00D40730">
        <w:rPr>
          <w:rFonts w:ascii="Arial" w:hAnsi="Arial" w:cs="Arial"/>
        </w:rPr>
        <w:t>533/jad.v8i2.1537</w:t>
      </w:r>
    </w:p>
    <w:p w14:paraId="04E3A8BC" w14:textId="77777777" w:rsidR="00D40730" w:rsidRPr="00D40730" w:rsidRDefault="00D40730" w:rsidP="00D40730">
      <w:pPr>
        <w:pStyle w:val="Body"/>
        <w:ind w:left="709" w:hanging="709"/>
        <w:rPr>
          <w:rFonts w:ascii="Arial" w:hAnsi="Arial" w:cs="Arial"/>
        </w:rPr>
      </w:pPr>
      <w:r w:rsidRPr="00D40730">
        <w:rPr>
          <w:rFonts w:ascii="Arial" w:hAnsi="Arial" w:cs="Arial"/>
        </w:rPr>
        <w:t>Nurkhin, A., Fachrurrozie, Kania Widiatami, A., Yoga Baswara, S., &amp; Wiradendi Wolor, C. (2024). Does governance affect non-Performing loans? Empirical evidence of Indonesian banks. Banks and Bank Systems, 19(4), 58–69. https://doi.org/10.21511/bbs.19(4).2024.05</w:t>
      </w:r>
    </w:p>
    <w:p w14:paraId="2CCCDF62" w14:textId="77777777" w:rsidR="00D40730" w:rsidRPr="00D40730" w:rsidRDefault="00D40730" w:rsidP="00D40730">
      <w:pPr>
        <w:pStyle w:val="Body"/>
        <w:ind w:left="709" w:hanging="709"/>
        <w:rPr>
          <w:rFonts w:ascii="Arial" w:hAnsi="Arial" w:cs="Arial"/>
        </w:rPr>
      </w:pPr>
      <w:r w:rsidRPr="00D40730">
        <w:rPr>
          <w:rFonts w:ascii="Arial" w:hAnsi="Arial" w:cs="Arial"/>
        </w:rPr>
        <w:t>OJK. (2025). Indonesian Banking Statistics. https://www.ojk.go.id/id/kanal/perbankan/data-dan-statistik/statistik-perbankan-indonesia</w:t>
      </w:r>
    </w:p>
    <w:p w14:paraId="4AA27716" w14:textId="77777777" w:rsidR="00D40730" w:rsidRPr="00D40730" w:rsidRDefault="00D40730" w:rsidP="00D40730">
      <w:pPr>
        <w:pStyle w:val="Body"/>
        <w:ind w:left="709" w:hanging="709"/>
        <w:rPr>
          <w:rFonts w:ascii="Arial" w:hAnsi="Arial" w:cs="Arial"/>
        </w:rPr>
      </w:pPr>
      <w:r w:rsidRPr="00D40730">
        <w:rPr>
          <w:rFonts w:ascii="Arial" w:hAnsi="Arial" w:cs="Arial"/>
        </w:rPr>
        <w:t>Oktavia, L., Salsabilla, H., &amp; Mukharomah, A. (2025). Optimizing the Role of the Board of Commissioners in Enhancing Corporate Performance. Jurnal Ilmiah Wahana Pendidikan, 11(6.B), 103–114.</w:t>
      </w:r>
    </w:p>
    <w:p w14:paraId="55BF6194" w14:textId="77777777" w:rsidR="00D40730" w:rsidRPr="00D40730" w:rsidRDefault="00D40730" w:rsidP="00D40730">
      <w:pPr>
        <w:pStyle w:val="Body"/>
        <w:ind w:left="709" w:hanging="709"/>
        <w:rPr>
          <w:rFonts w:ascii="Arial" w:hAnsi="Arial" w:cs="Arial"/>
        </w:rPr>
      </w:pPr>
      <w:r w:rsidRPr="00D40730">
        <w:rPr>
          <w:rFonts w:ascii="Arial" w:hAnsi="Arial" w:cs="Arial"/>
        </w:rPr>
        <w:t>Oktayanti, N., &amp; Murtanto, M. (2016). ANALYSIS OF THE INFLUENCE OF BANK HEALTH LEVELS ON EARNINGS QUALITY USING A RISK-BASED APPROACH IN STATE-OWNED BANKS IN INDONESIA. Jurnal Akuntansi Trisakti, 3, 1. https://doi.org/10.25105/jat.v3i1.4912</w:t>
      </w:r>
    </w:p>
    <w:p w14:paraId="2A0F5BC2"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Ozili, P. K. (2019). Non-Performing loans and financial development: New evidence. The Journal of Risk Finance, 20(1), 59–81. https://doi.org/10.1108/JRF-07-2017-0112</w:t>
      </w:r>
    </w:p>
    <w:p w14:paraId="2A3FF805" w14:textId="77777777" w:rsidR="00D40730" w:rsidRPr="00D40730" w:rsidRDefault="00D40730" w:rsidP="00D40730">
      <w:pPr>
        <w:pStyle w:val="Body"/>
        <w:ind w:left="709" w:hanging="709"/>
        <w:rPr>
          <w:rFonts w:ascii="Arial" w:hAnsi="Arial" w:cs="Arial"/>
        </w:rPr>
      </w:pPr>
      <w:r w:rsidRPr="00D40730">
        <w:rPr>
          <w:rFonts w:ascii="Arial" w:hAnsi="Arial" w:cs="Arial"/>
        </w:rPr>
        <w:t>Palvia, A., Vähämaa, E., &amp; Vähämaa, S. (2015). Are Female CEOs and Chairwomen More Conservative and Risk Averse? Evidence from the Banking Industry During the Financial Crisis. Journal of Business Ethics, 131(3), 577–594.</w:t>
      </w:r>
    </w:p>
    <w:p w14:paraId="731AA9C9" w14:textId="77777777" w:rsidR="00D40730" w:rsidRPr="00D40730" w:rsidRDefault="00D40730" w:rsidP="00D40730">
      <w:pPr>
        <w:pStyle w:val="Body"/>
        <w:ind w:left="709" w:hanging="709"/>
        <w:rPr>
          <w:rFonts w:ascii="Arial" w:hAnsi="Arial" w:cs="Arial"/>
        </w:rPr>
      </w:pPr>
      <w:r w:rsidRPr="00D40730">
        <w:rPr>
          <w:rFonts w:ascii="Arial" w:hAnsi="Arial" w:cs="Arial"/>
        </w:rPr>
        <w:t>Peni, E., &amp; Vähämaa, S. (2012). Did Good Corporate Governance Improve Bank Performance during the Financial Crisis? Journal of Financial Services Research, 41(1), 19–35.</w:t>
      </w:r>
    </w:p>
    <w:p w14:paraId="60F07948" w14:textId="77777777" w:rsidR="00D40730" w:rsidRPr="00D40730" w:rsidRDefault="00D40730" w:rsidP="00D40730">
      <w:pPr>
        <w:pStyle w:val="Body"/>
        <w:ind w:left="709" w:hanging="709"/>
        <w:rPr>
          <w:rFonts w:ascii="Arial" w:hAnsi="Arial" w:cs="Arial"/>
        </w:rPr>
      </w:pPr>
      <w:r w:rsidRPr="00D40730">
        <w:rPr>
          <w:rFonts w:ascii="Arial" w:hAnsi="Arial" w:cs="Arial"/>
        </w:rPr>
        <w:t>Priatna, H. (2017). Non-Performing Loans (NPLs) as a Bank Risk in Credit Provision. AKURAT | Jurnal Ilmiah Akuntansi FE UNIBBA, 8(1), 22–33.</w:t>
      </w:r>
    </w:p>
    <w:p w14:paraId="0469A357" w14:textId="77777777" w:rsidR="00D40730" w:rsidRPr="00D40730" w:rsidRDefault="00D40730" w:rsidP="00D40730">
      <w:pPr>
        <w:pStyle w:val="Body"/>
        <w:ind w:left="709" w:hanging="709"/>
        <w:rPr>
          <w:rFonts w:ascii="Arial" w:hAnsi="Arial" w:cs="Arial"/>
        </w:rPr>
      </w:pPr>
      <w:r w:rsidRPr="00D40730">
        <w:rPr>
          <w:rFonts w:ascii="Arial" w:hAnsi="Arial" w:cs="Arial"/>
        </w:rPr>
        <w:t>Puspitawati, N., Suryandari, N., &amp; Susandya, A. P. G. B. A. (2019, December 20). The Influence of Earnings Growth and Good Corporate Governance Mechanisms on Earnings Quality. https://www.semanticscholar.org/paper/PENGARUH-PERTUMBUHAN-LABA-DAN-MEKANISME-GOOD-LABA-Puspitawati-Suryandari/6798fea8fef84e0225cc031880e1b312b2fa9cd2</w:t>
      </w:r>
    </w:p>
    <w:p w14:paraId="63ABEE76" w14:textId="77777777" w:rsidR="00D40730" w:rsidRPr="00D40730" w:rsidRDefault="00D40730" w:rsidP="00D40730">
      <w:pPr>
        <w:pStyle w:val="Body"/>
        <w:ind w:left="709" w:hanging="709"/>
        <w:rPr>
          <w:rFonts w:ascii="Arial" w:hAnsi="Arial" w:cs="Arial"/>
        </w:rPr>
      </w:pPr>
      <w:r w:rsidRPr="00D40730">
        <w:rPr>
          <w:rFonts w:ascii="Arial" w:hAnsi="Arial" w:cs="Arial"/>
        </w:rPr>
        <w:t>Rao, K., &amp; Tilt, C. (2015). Board Composition and Corporate Social Responsibility: The Role of Diversity, Gender, Strategy and Decision Making. Journal of Business Ethics, 138. https://doi.org/10.1007/s10551-015-2613-5</w:t>
      </w:r>
    </w:p>
    <w:p w14:paraId="55E80500" w14:textId="77777777" w:rsidR="00D40730" w:rsidRPr="00D40730" w:rsidRDefault="00D40730" w:rsidP="00D40730">
      <w:pPr>
        <w:pStyle w:val="Body"/>
        <w:ind w:left="709" w:hanging="709"/>
        <w:rPr>
          <w:rFonts w:ascii="Arial" w:hAnsi="Arial" w:cs="Arial"/>
        </w:rPr>
      </w:pPr>
      <w:r w:rsidRPr="00D40730">
        <w:rPr>
          <w:rFonts w:ascii="Arial" w:hAnsi="Arial" w:cs="Arial"/>
        </w:rPr>
        <w:t>Rimardhani, H., Hidayat, R. R., &amp; Dwiatmanto. (2016). The Influence of Good Corporate Governance Mechanisms on Corporate Profitability (A Study on State-Owned Enterprises Listed on the IDX, 2012–2014). Jurnal Administrasi Bisnis, 31(1), 167–175.</w:t>
      </w:r>
    </w:p>
    <w:p w14:paraId="4114AC90" w14:textId="77777777" w:rsidR="00D40730" w:rsidRPr="00D40730" w:rsidRDefault="00D40730" w:rsidP="00D40730">
      <w:pPr>
        <w:pStyle w:val="Body"/>
        <w:ind w:left="709" w:hanging="709"/>
        <w:rPr>
          <w:rFonts w:ascii="Arial" w:hAnsi="Arial" w:cs="Arial"/>
        </w:rPr>
      </w:pPr>
      <w:r w:rsidRPr="00D40730">
        <w:rPr>
          <w:rFonts w:ascii="Arial" w:hAnsi="Arial" w:cs="Arial"/>
        </w:rPr>
        <w:t>Rohmah, U., Hasanah, N. A., &amp; Astuti, R. P. (2025). Banking Regulation and Supervision by the Financial Services Authority. Menulis: Jurnal Penelitian Nusantara, 1(5), 314–319.</w:t>
      </w:r>
    </w:p>
    <w:p w14:paraId="512CE8CD" w14:textId="77777777" w:rsidR="00D40730" w:rsidRPr="00D40730" w:rsidRDefault="00D40730" w:rsidP="00D40730">
      <w:pPr>
        <w:pStyle w:val="Body"/>
        <w:ind w:left="709" w:hanging="709"/>
        <w:rPr>
          <w:rFonts w:ascii="Arial" w:hAnsi="Arial" w:cs="Arial"/>
        </w:rPr>
      </w:pPr>
      <w:r w:rsidRPr="00D40730">
        <w:rPr>
          <w:rFonts w:ascii="Arial" w:hAnsi="Arial" w:cs="Arial"/>
        </w:rPr>
        <w:t>Sadaa, A. M., Ganesan, Y., &amp; Yet, C. E. (2022). The Effect of Ownership Structure on the Non-Performing Loans in Iraqi Banks. GATR Journal of Finance and Banking Review, 7(1), 86–97. https://doi.org/10.35609/jfbr.2022.7.1(6)</w:t>
      </w:r>
    </w:p>
    <w:p w14:paraId="42EBEE2B" w14:textId="77777777" w:rsidR="00D40730" w:rsidRPr="00D40730" w:rsidRDefault="00D40730" w:rsidP="00D40730">
      <w:pPr>
        <w:pStyle w:val="Body"/>
        <w:ind w:left="709" w:hanging="709"/>
        <w:rPr>
          <w:rFonts w:ascii="Arial" w:hAnsi="Arial" w:cs="Arial"/>
        </w:rPr>
      </w:pPr>
      <w:r w:rsidRPr="00D40730">
        <w:rPr>
          <w:rFonts w:ascii="Arial" w:hAnsi="Arial" w:cs="Arial"/>
        </w:rPr>
        <w:t>Saona, P., Muro, L., &amp; Alvarado, M. (2020). How do the ownership structure and board of directors’ features impact earnings management? The Spanish case. Journal of International Financial Management &amp; Accounting, 31(1), 98–133. https://doi.org/10.1111/jifm.12114</w:t>
      </w:r>
    </w:p>
    <w:p w14:paraId="701CBE76" w14:textId="77777777" w:rsidR="00D40730" w:rsidRPr="00D40730" w:rsidRDefault="00D40730" w:rsidP="00D40730">
      <w:pPr>
        <w:pStyle w:val="Body"/>
        <w:ind w:left="709" w:hanging="709"/>
        <w:rPr>
          <w:rFonts w:ascii="Arial" w:hAnsi="Arial" w:cs="Arial"/>
        </w:rPr>
      </w:pPr>
      <w:r w:rsidRPr="00D40730">
        <w:rPr>
          <w:rFonts w:ascii="Arial" w:hAnsi="Arial" w:cs="Arial"/>
        </w:rPr>
        <w:t>Schipper, K., &amp; Vincent, L. (2003). Earnings Quality. Accounting Horizons, 17, 97–110. https://doi.org/10.2308/acch.2003.17.s-1.97</w:t>
      </w:r>
    </w:p>
    <w:p w14:paraId="19C3A2B7" w14:textId="77777777" w:rsidR="00D40730" w:rsidRPr="00D40730" w:rsidRDefault="00D40730" w:rsidP="00D40730">
      <w:pPr>
        <w:pStyle w:val="Body"/>
        <w:ind w:left="709" w:hanging="709"/>
        <w:rPr>
          <w:rFonts w:ascii="Arial" w:hAnsi="Arial" w:cs="Arial"/>
        </w:rPr>
      </w:pPr>
      <w:r w:rsidRPr="00D40730">
        <w:rPr>
          <w:rFonts w:ascii="Arial" w:hAnsi="Arial" w:cs="Arial"/>
        </w:rPr>
        <w:t>Sekaran, U., &amp; Bougie, R. (2016). Research Methods For Business: A Skill Building Approach. John Wiley &amp; Sons.</w:t>
      </w:r>
    </w:p>
    <w:p w14:paraId="0146050D" w14:textId="77777777" w:rsidR="00D40730" w:rsidRPr="00D40730" w:rsidRDefault="00D40730" w:rsidP="00D40730">
      <w:pPr>
        <w:pStyle w:val="Body"/>
        <w:ind w:left="709" w:hanging="709"/>
        <w:rPr>
          <w:rFonts w:ascii="Arial" w:hAnsi="Arial" w:cs="Arial"/>
        </w:rPr>
      </w:pPr>
      <w:r w:rsidRPr="00D40730">
        <w:rPr>
          <w:rFonts w:ascii="Arial" w:hAnsi="Arial" w:cs="Arial"/>
        </w:rPr>
        <w:t>Setiawan, T. (2009). ANALYSIS OF THE INFLUENCE OF GOOD CORPORATE GOVERNANCE MECHANISMS ON EARNINGS MANAGEMENT PRACTICES IN MANUFACTURING COMPANIES LISTED ON THE INDONESIA STOCK EXCHANGE FOR THE PERIOD 2005-2007. Jurnal Akuntansi Kontemporer, 1(2). https://doi.org/10.33508/jako.v1i2.428</w:t>
      </w:r>
    </w:p>
    <w:p w14:paraId="763C6A88"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Shabbir, M. F., Danial Aslam, H., Oon, E. Y. N., &amp; Amin, A. (2024). Optimizing corporate governance: Unraveling the interplay of board structure and firm efficiency. Cogent Economics &amp; Finance, 12(1), 2396034. https://doi.org/10.1080/23322039.2024.2396034</w:t>
      </w:r>
    </w:p>
    <w:p w14:paraId="06CFE70F" w14:textId="77777777" w:rsidR="00D40730" w:rsidRPr="00D40730" w:rsidRDefault="00D40730" w:rsidP="00D40730">
      <w:pPr>
        <w:pStyle w:val="Body"/>
        <w:ind w:left="709" w:hanging="709"/>
        <w:rPr>
          <w:rFonts w:ascii="Arial" w:hAnsi="Arial" w:cs="Arial"/>
        </w:rPr>
      </w:pPr>
      <w:r w:rsidRPr="00D40730">
        <w:rPr>
          <w:rFonts w:ascii="Arial" w:hAnsi="Arial" w:cs="Arial"/>
        </w:rPr>
        <w:t>Shabbir, M. S., &amp; Wisdom, O. (2020). The relationship between corporate social responsibility, environmental investments and financial performance: Evidence from manufacturing companies. Environmental Science and Pollution Research, 27(32), 39946–39957. https://doi.org/10.1007/s11356-020-10217-0</w:t>
      </w:r>
    </w:p>
    <w:p w14:paraId="70DFEF02" w14:textId="77777777" w:rsidR="00D40730" w:rsidRPr="00D40730" w:rsidRDefault="00D40730" w:rsidP="00D40730">
      <w:pPr>
        <w:pStyle w:val="Body"/>
        <w:ind w:left="709" w:hanging="709"/>
        <w:rPr>
          <w:rFonts w:ascii="Arial" w:hAnsi="Arial" w:cs="Arial"/>
        </w:rPr>
      </w:pPr>
      <w:r w:rsidRPr="00D40730">
        <w:rPr>
          <w:rFonts w:ascii="Arial" w:hAnsi="Arial" w:cs="Arial"/>
        </w:rPr>
        <w:t>Shehzad, C. T., De Haan, J., &amp; Scholtens, B. (2010). The impact of bank ownership concentration on impaired loans and capital adequacy. Journal of Banking &amp; Finance, 34(2), 399–408. https://doi.org/10.1016/j.jbankfin.2009.08.007</w:t>
      </w:r>
    </w:p>
    <w:p w14:paraId="59E10148" w14:textId="77777777" w:rsidR="00D40730" w:rsidRPr="00D40730" w:rsidRDefault="00D40730" w:rsidP="00D40730">
      <w:pPr>
        <w:pStyle w:val="Body"/>
        <w:ind w:left="709" w:hanging="709"/>
        <w:rPr>
          <w:rFonts w:ascii="Arial" w:hAnsi="Arial" w:cs="Arial"/>
        </w:rPr>
      </w:pPr>
      <w:r w:rsidRPr="00D40730">
        <w:rPr>
          <w:rFonts w:ascii="Arial" w:hAnsi="Arial" w:cs="Arial"/>
        </w:rPr>
        <w:t>Shivdasani, A., &amp; Zenner, M. (2004). Best Practices in Corporate Governance: What Two Decades of Research Reveal. Journal of Applied Corporate Finance, 16(2–3), 29–41. https://doi.org/10.1111/j.1745-6622.2004.tb00536.x</w:t>
      </w:r>
    </w:p>
    <w:p w14:paraId="27FB142E" w14:textId="77777777" w:rsidR="00D40730" w:rsidRPr="00D40730" w:rsidRDefault="00D40730" w:rsidP="00D40730">
      <w:pPr>
        <w:pStyle w:val="Body"/>
        <w:ind w:left="709" w:hanging="709"/>
        <w:rPr>
          <w:rFonts w:ascii="Arial" w:hAnsi="Arial" w:cs="Arial"/>
        </w:rPr>
      </w:pPr>
      <w:r w:rsidRPr="00D40730">
        <w:rPr>
          <w:rFonts w:ascii="Arial" w:hAnsi="Arial" w:cs="Arial"/>
        </w:rPr>
        <w:t>Sugiyono. (2017). Business research methods: Quantitative, qualitative, combined, and R&amp;D approaches. Alphabeta CV. https://cvalfabeta.com/product/metode-penelitian-kuantitatif-kualitatif-dan-rd-mpkk/</w:t>
      </w:r>
    </w:p>
    <w:p w14:paraId="6641E733" w14:textId="77777777" w:rsidR="00D40730" w:rsidRPr="00D40730" w:rsidRDefault="00D40730" w:rsidP="00D40730">
      <w:pPr>
        <w:pStyle w:val="Body"/>
        <w:ind w:left="709" w:hanging="709"/>
        <w:rPr>
          <w:rFonts w:ascii="Arial" w:hAnsi="Arial" w:cs="Arial"/>
        </w:rPr>
      </w:pPr>
      <w:r w:rsidRPr="00D40730">
        <w:rPr>
          <w:rFonts w:ascii="Arial" w:hAnsi="Arial" w:cs="Arial"/>
        </w:rPr>
        <w:t>Sulistiani, D., &amp; Tjahjadi, B. (2022). Does financial performance mediate the effect of good corporate governance on Indonesian ṣukūk rating? Journal of King Abdulaziz University: Islamic Economics, 35(2), 97–114.</w:t>
      </w:r>
    </w:p>
    <w:p w14:paraId="3F7FBF63" w14:textId="40E2696A" w:rsidR="00D40730" w:rsidRPr="00D40730" w:rsidRDefault="00D40730" w:rsidP="00D40730">
      <w:pPr>
        <w:pStyle w:val="Body"/>
        <w:ind w:left="709" w:hanging="709"/>
        <w:rPr>
          <w:rFonts w:ascii="Arial" w:hAnsi="Arial" w:cs="Arial"/>
        </w:rPr>
      </w:pPr>
      <w:r w:rsidRPr="00D40730">
        <w:rPr>
          <w:rFonts w:ascii="Arial" w:hAnsi="Arial" w:cs="Arial"/>
        </w:rPr>
        <w:t>Suprayitno, G., &amp; All, E. (2016). Commitment to Upholding Good Corporate Governance (Second Edition). The Indones</w:t>
      </w:r>
      <w:r w:rsidRPr="00D40730">
        <w:t xml:space="preserve"> </w:t>
      </w:r>
      <w:r w:rsidRPr="00D40730">
        <w:rPr>
          <w:rFonts w:ascii="Arial" w:hAnsi="Arial" w:cs="Arial"/>
        </w:rPr>
        <w:t>...ian Institute for Corporate Governance. https://openlibrary.telkomuniversity.ac.id/pustaka/115916/komitmen-menegakkan-good-corporate-governance-cetakan-kedua.html</w:t>
      </w:r>
    </w:p>
    <w:p w14:paraId="22DE08FE" w14:textId="77777777" w:rsidR="00D40730" w:rsidRPr="00D40730" w:rsidRDefault="00D40730" w:rsidP="00D40730">
      <w:pPr>
        <w:pStyle w:val="Body"/>
        <w:ind w:left="709" w:hanging="709"/>
        <w:rPr>
          <w:rFonts w:ascii="Arial" w:hAnsi="Arial" w:cs="Arial"/>
        </w:rPr>
      </w:pPr>
      <w:r w:rsidRPr="00D40730">
        <w:rPr>
          <w:rFonts w:ascii="Arial" w:hAnsi="Arial" w:cs="Arial"/>
        </w:rPr>
        <w:t>Syakhroza, A. (2005). Corporate Governance: History and Development, Theory, Models, and Governance Systems, and Their Application in State-Owned Enterprises (BUMN): Inaugural Address upon Appointment as Permanent Professor in the Field of Accounting at the Faculty of Economics, University of Indonesia, Depok, March 5, 2005. Faculty of Economics, University of Indonesia.</w:t>
      </w:r>
    </w:p>
    <w:p w14:paraId="3B0BAB73" w14:textId="77777777" w:rsidR="00D40730" w:rsidRPr="00D40730" w:rsidRDefault="00D40730" w:rsidP="00D40730">
      <w:pPr>
        <w:pStyle w:val="Body"/>
        <w:ind w:left="709" w:hanging="709"/>
        <w:rPr>
          <w:rFonts w:ascii="Arial" w:hAnsi="Arial" w:cs="Arial"/>
        </w:rPr>
      </w:pPr>
      <w:r w:rsidRPr="00D40730">
        <w:rPr>
          <w:rFonts w:ascii="Arial" w:hAnsi="Arial" w:cs="Arial"/>
        </w:rPr>
        <w:t>Tanasković, S., &amp; Jandrić, M. (2015). Macroeconomic and Institutional Determinants of Non-Performing Loans. Journal of Central Banking Theory and Practice, 4(1), 47–62. https://doi.org/10.1515/jcbtp-2015-0004</w:t>
      </w:r>
    </w:p>
    <w:p w14:paraId="49BD36F0" w14:textId="77777777" w:rsidR="00D40730" w:rsidRPr="00D40730" w:rsidRDefault="00D40730" w:rsidP="00D40730">
      <w:pPr>
        <w:pStyle w:val="Body"/>
        <w:ind w:left="709" w:hanging="709"/>
        <w:rPr>
          <w:rFonts w:ascii="Arial" w:hAnsi="Arial" w:cs="Arial"/>
        </w:rPr>
      </w:pPr>
      <w:r w:rsidRPr="00D40730">
        <w:rPr>
          <w:rFonts w:ascii="Arial" w:hAnsi="Arial" w:cs="Arial"/>
        </w:rPr>
        <w:t>Tarchouna, A., Jarraya, B., &amp; Bouri, A. (2022). Do board characteristics and ownership structure matter for bank non-Performing loans? Empirical evidence from US commercial banks. Journal of Management and Governance, 26(2), 479–518. https://doi.org/10.1007/s10997-020-09558-2</w:t>
      </w:r>
    </w:p>
    <w:p w14:paraId="7AF17F0F" w14:textId="77777777" w:rsidR="00D40730" w:rsidRPr="00D40730" w:rsidRDefault="00D40730" w:rsidP="00D40730">
      <w:pPr>
        <w:pStyle w:val="Body"/>
        <w:ind w:left="709" w:hanging="709"/>
        <w:rPr>
          <w:rFonts w:ascii="Arial" w:hAnsi="Arial" w:cs="Arial"/>
        </w:rPr>
      </w:pPr>
      <w:r w:rsidRPr="00D40730">
        <w:rPr>
          <w:rFonts w:ascii="Arial" w:hAnsi="Arial" w:cs="Arial"/>
        </w:rPr>
        <w:t>Tjager, I. N. (2003). Corporate Governance: Challenges and Opportunities for the Indonesian Business Community. Prenhallindo.</w:t>
      </w:r>
    </w:p>
    <w:p w14:paraId="1DA4558B" w14:textId="77777777" w:rsidR="00D40730" w:rsidRPr="00D40730" w:rsidRDefault="00D40730" w:rsidP="00D40730">
      <w:pPr>
        <w:pStyle w:val="Body"/>
        <w:ind w:left="709" w:hanging="709"/>
        <w:rPr>
          <w:rFonts w:ascii="Arial" w:hAnsi="Arial" w:cs="Arial"/>
        </w:rPr>
      </w:pPr>
      <w:r w:rsidRPr="00D40730">
        <w:rPr>
          <w:rFonts w:ascii="Arial" w:hAnsi="Arial" w:cs="Arial"/>
        </w:rPr>
        <w:t>Tran, D. V., Hassan, M. K., Girerd-Potin, I., &amp; Louvet, P. (2020). Activity Strategies, Agency Problems, and Bank Risk. Journal of Financial Research, 43(3), 575–613. https://doi.org/10.1111/jfir.12216</w:t>
      </w:r>
    </w:p>
    <w:p w14:paraId="447268F9"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Tricker, B., &amp; Tricker, R. I. (2019). Corporate Governance: Principles, Policies, and Practices. Oxford University Press. Vähämaa, S., &amp; Peni, E. (2010). Female executives and earnings management. Managerial Finance, 36, 629–645. https://doi.org/10.1108/03074351011050343</w:t>
      </w:r>
    </w:p>
    <w:p w14:paraId="7431EA20" w14:textId="77777777" w:rsidR="00D40730" w:rsidRPr="00D40730" w:rsidRDefault="00D40730" w:rsidP="00D40730">
      <w:pPr>
        <w:pStyle w:val="Body"/>
        <w:ind w:left="709" w:hanging="709"/>
        <w:rPr>
          <w:rFonts w:ascii="Arial" w:hAnsi="Arial" w:cs="Arial"/>
        </w:rPr>
      </w:pPr>
      <w:r w:rsidRPr="00D40730">
        <w:rPr>
          <w:rFonts w:ascii="Arial" w:hAnsi="Arial" w:cs="Arial"/>
        </w:rPr>
        <w:t>Wijaya, R. S. (2019). The Influence of Macroeconomic Factors on Non-Performing Loans in Commercial Banks in Indonesia. OECONOMICUS Journal of Economics, 4(1), 36–48. https://doi.org/10.15642/oje.2019.4.1.36-48</w:t>
      </w:r>
    </w:p>
    <w:p w14:paraId="39EFCD61" w14:textId="77777777" w:rsidR="00D40730" w:rsidRPr="00D40730" w:rsidRDefault="00D40730" w:rsidP="00D40730">
      <w:pPr>
        <w:pStyle w:val="Body"/>
        <w:ind w:left="709" w:hanging="709"/>
        <w:rPr>
          <w:rFonts w:ascii="Arial" w:hAnsi="Arial" w:cs="Arial"/>
        </w:rPr>
      </w:pPr>
      <w:r w:rsidRPr="00D40730">
        <w:rPr>
          <w:rFonts w:ascii="Arial" w:hAnsi="Arial" w:cs="Arial"/>
        </w:rPr>
        <w:t>Wulandari, I. (2026). Managerial Ownership and Institutional Ownership on Corporate Financial Performance in the Banking Sub-Sector Listed on the Indonesia Stock Exchange.</w:t>
      </w:r>
    </w:p>
    <w:p w14:paraId="3FA6D08A" w14:textId="77777777" w:rsidR="00D40730" w:rsidRPr="00D40730" w:rsidRDefault="00D40730" w:rsidP="00D40730">
      <w:pPr>
        <w:pStyle w:val="Body"/>
        <w:ind w:left="709" w:hanging="709"/>
        <w:rPr>
          <w:rFonts w:ascii="Arial" w:hAnsi="Arial" w:cs="Arial"/>
        </w:rPr>
      </w:pPr>
      <w:r w:rsidRPr="00D40730">
        <w:rPr>
          <w:rFonts w:ascii="Arial" w:hAnsi="Arial" w:cs="Arial"/>
        </w:rPr>
        <w:t>Zarefar, A., &amp; Narsa, I. M. (2023). Do corporate governance drive firm performance? Evidence from Indonesia. Gestão &amp; Produção, 30, e7322. https://doi.org/10.1590/1806-9649-2022v29e7322</w:t>
      </w:r>
    </w:p>
    <w:p w14:paraId="13208640" w14:textId="7D9B10DA" w:rsidR="00AC401E" w:rsidRDefault="00D40730" w:rsidP="00D40730">
      <w:pPr>
        <w:pStyle w:val="Body"/>
        <w:spacing w:after="0"/>
        <w:ind w:left="709" w:hanging="709"/>
        <w:rPr>
          <w:rFonts w:ascii="Arial" w:hAnsi="Arial" w:cs="Arial"/>
        </w:rPr>
      </w:pPr>
      <w:r w:rsidRPr="00D40730">
        <w:rPr>
          <w:rFonts w:ascii="Arial" w:hAnsi="Arial" w:cs="Arial"/>
        </w:rPr>
        <w:t>Zou, Y., &amp; Li, F. (2014). The Impact of Credit Risk Management on Profitability of Commercial Banks: A Study of Europe. https://urn.kb.se/resolve?urn=urn:nbn:se:umu:diva-92799</w:t>
      </w:r>
    </w:p>
    <w:sectPr w:rsidR="00AC401E" w:rsidSect="008B2E5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30827" w14:textId="77777777" w:rsidR="00F55BF5" w:rsidRDefault="00F55BF5" w:rsidP="00C37E61">
      <w:r>
        <w:separator/>
      </w:r>
    </w:p>
  </w:endnote>
  <w:endnote w:type="continuationSeparator" w:id="0">
    <w:p w14:paraId="4BC8349C" w14:textId="77777777" w:rsidR="00F55BF5" w:rsidRDefault="00F55BF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6C57" w14:textId="77777777" w:rsidR="00D71C3C" w:rsidRDefault="00D71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326B" w14:textId="77777777" w:rsidR="00D71C3C" w:rsidRDefault="00D71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B0C3" w14:textId="77777777" w:rsidR="009E048A" w:rsidRDefault="009E048A">
    <w:pPr>
      <w:pStyle w:val="Footer"/>
      <w:rPr>
        <w:rFonts w:ascii="Arial" w:hAnsi="Arial" w:cs="Arial"/>
        <w:sz w:val="16"/>
      </w:rPr>
    </w:pPr>
  </w:p>
  <w:p w14:paraId="4330FCD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6068F8" w14:textId="77777777" w:rsidR="009E048A" w:rsidRDefault="009E048A">
    <w:pPr>
      <w:pStyle w:val="Footer"/>
      <w:rPr>
        <w:rFonts w:ascii="Arial" w:hAnsi="Arial" w:cs="Arial"/>
        <w:sz w:val="16"/>
      </w:rPr>
    </w:pPr>
  </w:p>
  <w:p w14:paraId="12A7DA06" w14:textId="5F6C2664"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74CF6" w14:textId="77777777" w:rsidR="00F55BF5" w:rsidRDefault="00F55BF5" w:rsidP="00C37E61">
      <w:r>
        <w:separator/>
      </w:r>
    </w:p>
  </w:footnote>
  <w:footnote w:type="continuationSeparator" w:id="0">
    <w:p w14:paraId="6997A5D3" w14:textId="77777777" w:rsidR="00F55BF5" w:rsidRDefault="00F55BF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F2C0" w14:textId="43C2D3BC" w:rsidR="00D71C3C" w:rsidRDefault="00F55BF5">
    <w:pPr>
      <w:pStyle w:val="Header"/>
    </w:pPr>
    <w:r>
      <w:rPr>
        <w:noProof/>
      </w:rPr>
      <w:pict w14:anchorId="4581B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1" o:spid="_x0000_s1027"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195A" w14:textId="657A7E46" w:rsidR="00D71C3C" w:rsidRDefault="00F55BF5">
    <w:pPr>
      <w:pStyle w:val="Header"/>
    </w:pPr>
    <w:r>
      <w:rPr>
        <w:noProof/>
      </w:rPr>
      <w:pict w14:anchorId="31899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2" o:spid="_x0000_s1026"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B63B" w14:textId="5DDCA993" w:rsidR="00296529" w:rsidRPr="00296529" w:rsidRDefault="00F55BF5" w:rsidP="00296529">
    <w:pPr>
      <w:ind w:left="2160"/>
      <w:jc w:val="center"/>
      <w:rPr>
        <w:rFonts w:ascii="Times New Roman" w:eastAsia="Calibri" w:hAnsi="Times New Roman"/>
        <w:i/>
        <w:sz w:val="18"/>
        <w:szCs w:val="22"/>
      </w:rPr>
    </w:pPr>
    <w:r>
      <w:rPr>
        <w:noProof/>
      </w:rPr>
      <w:pict w14:anchorId="162DD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0" o:spid="_x0000_s1025"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7A0C8D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454D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B066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F068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BA571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CC6D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0639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4165178">
    <w:abstractNumId w:val="15"/>
  </w:num>
  <w:num w:numId="3" w16cid:durableId="1053777320">
    <w:abstractNumId w:val="23"/>
  </w:num>
  <w:num w:numId="4" w16cid:durableId="31576534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14407331">
    <w:abstractNumId w:val="7"/>
  </w:num>
  <w:num w:numId="6" w16cid:durableId="1990863992">
    <w:abstractNumId w:val="6"/>
  </w:num>
  <w:num w:numId="7" w16cid:durableId="1984119645">
    <w:abstractNumId w:val="1"/>
  </w:num>
  <w:num w:numId="8" w16cid:durableId="545485114">
    <w:abstractNumId w:val="12"/>
  </w:num>
  <w:num w:numId="9" w16cid:durableId="1328820452">
    <w:abstractNumId w:val="25"/>
  </w:num>
  <w:num w:numId="10" w16cid:durableId="1878739650">
    <w:abstractNumId w:val="2"/>
  </w:num>
  <w:num w:numId="11" w16cid:durableId="368651590">
    <w:abstractNumId w:val="18"/>
  </w:num>
  <w:num w:numId="12" w16cid:durableId="234366113">
    <w:abstractNumId w:val="3"/>
  </w:num>
  <w:num w:numId="13" w16cid:durableId="1333946940">
    <w:abstractNumId w:val="17"/>
  </w:num>
  <w:num w:numId="14" w16cid:durableId="1190797888">
    <w:abstractNumId w:val="8"/>
  </w:num>
  <w:num w:numId="15" w16cid:durableId="1481576700">
    <w:abstractNumId w:val="21"/>
  </w:num>
  <w:num w:numId="16" w16cid:durableId="1147163299">
    <w:abstractNumId w:val="5"/>
  </w:num>
  <w:num w:numId="17" w16cid:durableId="23755452">
    <w:abstractNumId w:val="22"/>
  </w:num>
  <w:num w:numId="18" w16cid:durableId="1714160209">
    <w:abstractNumId w:val="14"/>
  </w:num>
  <w:num w:numId="19" w16cid:durableId="1667122822">
    <w:abstractNumId w:val="28"/>
  </w:num>
  <w:num w:numId="20" w16cid:durableId="978801166">
    <w:abstractNumId w:val="11"/>
  </w:num>
  <w:num w:numId="21" w16cid:durableId="35351524">
    <w:abstractNumId w:val="9"/>
  </w:num>
  <w:num w:numId="22" w16cid:durableId="2004774290">
    <w:abstractNumId w:val="13"/>
  </w:num>
  <w:num w:numId="23" w16cid:durableId="1341351276">
    <w:abstractNumId w:val="19"/>
  </w:num>
  <w:num w:numId="24" w16cid:durableId="1087072129">
    <w:abstractNumId w:val="26"/>
  </w:num>
  <w:num w:numId="25" w16cid:durableId="513763585">
    <w:abstractNumId w:val="4"/>
  </w:num>
  <w:num w:numId="26" w16cid:durableId="1006054552">
    <w:abstractNumId w:val="16"/>
  </w:num>
  <w:num w:numId="27" w16cid:durableId="1753426471">
    <w:abstractNumId w:val="20"/>
  </w:num>
  <w:num w:numId="28" w16cid:durableId="854610146">
    <w:abstractNumId w:val="27"/>
  </w:num>
  <w:num w:numId="29" w16cid:durableId="1237397379">
    <w:abstractNumId w:val="24"/>
  </w:num>
  <w:num w:numId="30" w16cid:durableId="1986205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Y2MjIyNzIztLAwNzRR0lEKTi0uzszPAykwrAUA/NWXNiwAAAA="/>
  </w:docVars>
  <w:rsids>
    <w:rsidRoot w:val="00AA6219"/>
    <w:rsid w:val="00000F8F"/>
    <w:rsid w:val="00007588"/>
    <w:rsid w:val="00021994"/>
    <w:rsid w:val="00030174"/>
    <w:rsid w:val="0004579C"/>
    <w:rsid w:val="000623CC"/>
    <w:rsid w:val="00081219"/>
    <w:rsid w:val="000A47FA"/>
    <w:rsid w:val="000A65D3"/>
    <w:rsid w:val="000A72EB"/>
    <w:rsid w:val="000B1E33"/>
    <w:rsid w:val="000C746C"/>
    <w:rsid w:val="000D689F"/>
    <w:rsid w:val="000E7B7B"/>
    <w:rsid w:val="000E7D62"/>
    <w:rsid w:val="00103357"/>
    <w:rsid w:val="00123C9F"/>
    <w:rsid w:val="00126190"/>
    <w:rsid w:val="00130F17"/>
    <w:rsid w:val="001320BF"/>
    <w:rsid w:val="00163BC4"/>
    <w:rsid w:val="00172D3A"/>
    <w:rsid w:val="00191062"/>
    <w:rsid w:val="00192B72"/>
    <w:rsid w:val="00194A86"/>
    <w:rsid w:val="00197747"/>
    <w:rsid w:val="001A29D8"/>
    <w:rsid w:val="001A5CAA"/>
    <w:rsid w:val="001B0427"/>
    <w:rsid w:val="001D3A51"/>
    <w:rsid w:val="001D6423"/>
    <w:rsid w:val="001E10D2"/>
    <w:rsid w:val="001E25B4"/>
    <w:rsid w:val="001E3F07"/>
    <w:rsid w:val="001E44FE"/>
    <w:rsid w:val="001E531F"/>
    <w:rsid w:val="001F6364"/>
    <w:rsid w:val="00200595"/>
    <w:rsid w:val="00204835"/>
    <w:rsid w:val="00210804"/>
    <w:rsid w:val="00231920"/>
    <w:rsid w:val="0023195C"/>
    <w:rsid w:val="00231A5B"/>
    <w:rsid w:val="002410B5"/>
    <w:rsid w:val="0024282C"/>
    <w:rsid w:val="0024405C"/>
    <w:rsid w:val="002460DC"/>
    <w:rsid w:val="00250985"/>
    <w:rsid w:val="002556F6"/>
    <w:rsid w:val="00272D68"/>
    <w:rsid w:val="002740DF"/>
    <w:rsid w:val="00283105"/>
    <w:rsid w:val="00284C4C"/>
    <w:rsid w:val="00287E68"/>
    <w:rsid w:val="00290871"/>
    <w:rsid w:val="00296529"/>
    <w:rsid w:val="002B27FB"/>
    <w:rsid w:val="002B685A"/>
    <w:rsid w:val="002C57D2"/>
    <w:rsid w:val="002D752F"/>
    <w:rsid w:val="002E0D56"/>
    <w:rsid w:val="002E5617"/>
    <w:rsid w:val="0030250A"/>
    <w:rsid w:val="00314151"/>
    <w:rsid w:val="00315186"/>
    <w:rsid w:val="00320A4F"/>
    <w:rsid w:val="0033343E"/>
    <w:rsid w:val="0033570E"/>
    <w:rsid w:val="003512C2"/>
    <w:rsid w:val="0036244A"/>
    <w:rsid w:val="00371FB6"/>
    <w:rsid w:val="00375189"/>
    <w:rsid w:val="003763C1"/>
    <w:rsid w:val="00376BBE"/>
    <w:rsid w:val="0039224F"/>
    <w:rsid w:val="003A43A4"/>
    <w:rsid w:val="003A7E18"/>
    <w:rsid w:val="003A7FE2"/>
    <w:rsid w:val="003B6E45"/>
    <w:rsid w:val="003C4C86"/>
    <w:rsid w:val="003C6258"/>
    <w:rsid w:val="003D7F93"/>
    <w:rsid w:val="003E2904"/>
    <w:rsid w:val="00401927"/>
    <w:rsid w:val="0041027F"/>
    <w:rsid w:val="0041239B"/>
    <w:rsid w:val="00412475"/>
    <w:rsid w:val="00416062"/>
    <w:rsid w:val="00416CE9"/>
    <w:rsid w:val="00423789"/>
    <w:rsid w:val="004245F5"/>
    <w:rsid w:val="00440F43"/>
    <w:rsid w:val="00441B6F"/>
    <w:rsid w:val="00446221"/>
    <w:rsid w:val="00450E62"/>
    <w:rsid w:val="004539DB"/>
    <w:rsid w:val="00471A80"/>
    <w:rsid w:val="004D305E"/>
    <w:rsid w:val="004D4277"/>
    <w:rsid w:val="004F76AF"/>
    <w:rsid w:val="00502516"/>
    <w:rsid w:val="00505F06"/>
    <w:rsid w:val="00506828"/>
    <w:rsid w:val="0053056E"/>
    <w:rsid w:val="00535B2D"/>
    <w:rsid w:val="0055067A"/>
    <w:rsid w:val="00554FDA"/>
    <w:rsid w:val="0055713C"/>
    <w:rsid w:val="00570ED2"/>
    <w:rsid w:val="0057561F"/>
    <w:rsid w:val="005C784C"/>
    <w:rsid w:val="005D1157"/>
    <w:rsid w:val="005D17F6"/>
    <w:rsid w:val="005D39F2"/>
    <w:rsid w:val="005E5539"/>
    <w:rsid w:val="005E779C"/>
    <w:rsid w:val="005F28B8"/>
    <w:rsid w:val="00602BF5"/>
    <w:rsid w:val="006145F9"/>
    <w:rsid w:val="00617FDD"/>
    <w:rsid w:val="00622083"/>
    <w:rsid w:val="0062235F"/>
    <w:rsid w:val="006238FE"/>
    <w:rsid w:val="00626B19"/>
    <w:rsid w:val="00633614"/>
    <w:rsid w:val="00633F68"/>
    <w:rsid w:val="00636C1A"/>
    <w:rsid w:val="00636EB2"/>
    <w:rsid w:val="006375B8"/>
    <w:rsid w:val="006460F7"/>
    <w:rsid w:val="0066510A"/>
    <w:rsid w:val="00673F9F"/>
    <w:rsid w:val="006849AE"/>
    <w:rsid w:val="00686953"/>
    <w:rsid w:val="00687DEA"/>
    <w:rsid w:val="00687E67"/>
    <w:rsid w:val="006967F7"/>
    <w:rsid w:val="006A250C"/>
    <w:rsid w:val="006B21D3"/>
    <w:rsid w:val="006B57D0"/>
    <w:rsid w:val="006C0AB8"/>
    <w:rsid w:val="006D30FF"/>
    <w:rsid w:val="006D6940"/>
    <w:rsid w:val="006D71A8"/>
    <w:rsid w:val="006D762E"/>
    <w:rsid w:val="006E41F2"/>
    <w:rsid w:val="006E564E"/>
    <w:rsid w:val="006F11EC"/>
    <w:rsid w:val="0070082C"/>
    <w:rsid w:val="0072275E"/>
    <w:rsid w:val="00727B32"/>
    <w:rsid w:val="007369E6"/>
    <w:rsid w:val="00741D7C"/>
    <w:rsid w:val="00746E59"/>
    <w:rsid w:val="00754C9A"/>
    <w:rsid w:val="0075599A"/>
    <w:rsid w:val="00761D52"/>
    <w:rsid w:val="0077749E"/>
    <w:rsid w:val="00787A43"/>
    <w:rsid w:val="00790ADA"/>
    <w:rsid w:val="00790C45"/>
    <w:rsid w:val="007A4E0E"/>
    <w:rsid w:val="007C5487"/>
    <w:rsid w:val="007C5BAD"/>
    <w:rsid w:val="007D2288"/>
    <w:rsid w:val="007D37B3"/>
    <w:rsid w:val="007E088F"/>
    <w:rsid w:val="007F7B32"/>
    <w:rsid w:val="00804BC2"/>
    <w:rsid w:val="0081431A"/>
    <w:rsid w:val="0083216F"/>
    <w:rsid w:val="00833DBA"/>
    <w:rsid w:val="0083546C"/>
    <w:rsid w:val="00835BAA"/>
    <w:rsid w:val="00860000"/>
    <w:rsid w:val="00863BD3"/>
    <w:rsid w:val="008641ED"/>
    <w:rsid w:val="00866D66"/>
    <w:rsid w:val="008671C6"/>
    <w:rsid w:val="00875803"/>
    <w:rsid w:val="00891863"/>
    <w:rsid w:val="008B2E5A"/>
    <w:rsid w:val="008B459E"/>
    <w:rsid w:val="008C027E"/>
    <w:rsid w:val="008E13AE"/>
    <w:rsid w:val="008E1506"/>
    <w:rsid w:val="008E6780"/>
    <w:rsid w:val="008E710C"/>
    <w:rsid w:val="008F69D6"/>
    <w:rsid w:val="00902823"/>
    <w:rsid w:val="00915CA6"/>
    <w:rsid w:val="00927834"/>
    <w:rsid w:val="0094032B"/>
    <w:rsid w:val="0094299B"/>
    <w:rsid w:val="00946E30"/>
    <w:rsid w:val="009500A6"/>
    <w:rsid w:val="00956637"/>
    <w:rsid w:val="00957C18"/>
    <w:rsid w:val="009659BA"/>
    <w:rsid w:val="0098056D"/>
    <w:rsid w:val="00983040"/>
    <w:rsid w:val="00986016"/>
    <w:rsid w:val="00992912"/>
    <w:rsid w:val="009B3FB9"/>
    <w:rsid w:val="009C2465"/>
    <w:rsid w:val="009C455C"/>
    <w:rsid w:val="009D35A0"/>
    <w:rsid w:val="009D7EB7"/>
    <w:rsid w:val="009E048A"/>
    <w:rsid w:val="009E08E9"/>
    <w:rsid w:val="009E1F54"/>
    <w:rsid w:val="009E3DB9"/>
    <w:rsid w:val="009E6E35"/>
    <w:rsid w:val="009F0EDA"/>
    <w:rsid w:val="009F4428"/>
    <w:rsid w:val="00A03B96"/>
    <w:rsid w:val="00A05B19"/>
    <w:rsid w:val="00A1134E"/>
    <w:rsid w:val="00A24E7E"/>
    <w:rsid w:val="00A258C3"/>
    <w:rsid w:val="00A26B58"/>
    <w:rsid w:val="00A347C0"/>
    <w:rsid w:val="00A51431"/>
    <w:rsid w:val="00A539AD"/>
    <w:rsid w:val="00A668FA"/>
    <w:rsid w:val="00A94063"/>
    <w:rsid w:val="00AA33D4"/>
    <w:rsid w:val="00AA6219"/>
    <w:rsid w:val="00AA74E0"/>
    <w:rsid w:val="00AB703F"/>
    <w:rsid w:val="00AC401E"/>
    <w:rsid w:val="00AC68D4"/>
    <w:rsid w:val="00AC6BB8"/>
    <w:rsid w:val="00AE008F"/>
    <w:rsid w:val="00AE2B83"/>
    <w:rsid w:val="00AE601C"/>
    <w:rsid w:val="00AF360C"/>
    <w:rsid w:val="00B01FCD"/>
    <w:rsid w:val="00B07A0E"/>
    <w:rsid w:val="00B11B12"/>
    <w:rsid w:val="00B1776C"/>
    <w:rsid w:val="00B418F5"/>
    <w:rsid w:val="00B442EC"/>
    <w:rsid w:val="00B52583"/>
    <w:rsid w:val="00B52896"/>
    <w:rsid w:val="00B73E00"/>
    <w:rsid w:val="00B95236"/>
    <w:rsid w:val="00B96BD9"/>
    <w:rsid w:val="00BA1B01"/>
    <w:rsid w:val="00BA2641"/>
    <w:rsid w:val="00BB3048"/>
    <w:rsid w:val="00BB37AA"/>
    <w:rsid w:val="00BB47A5"/>
    <w:rsid w:val="00BB5299"/>
    <w:rsid w:val="00BC4D6A"/>
    <w:rsid w:val="00BC53A0"/>
    <w:rsid w:val="00BC566A"/>
    <w:rsid w:val="00BD6E4A"/>
    <w:rsid w:val="00BE62AD"/>
    <w:rsid w:val="00BF121F"/>
    <w:rsid w:val="00BF1F80"/>
    <w:rsid w:val="00C166EF"/>
    <w:rsid w:val="00C17EB0"/>
    <w:rsid w:val="00C27F5F"/>
    <w:rsid w:val="00C30A0F"/>
    <w:rsid w:val="00C37E61"/>
    <w:rsid w:val="00C62A3D"/>
    <w:rsid w:val="00C70F1B"/>
    <w:rsid w:val="00C71A47"/>
    <w:rsid w:val="00C72BBB"/>
    <w:rsid w:val="00C7464C"/>
    <w:rsid w:val="00C74BED"/>
    <w:rsid w:val="00C85588"/>
    <w:rsid w:val="00C8627A"/>
    <w:rsid w:val="00C95315"/>
    <w:rsid w:val="00CD1D60"/>
    <w:rsid w:val="00CD4D35"/>
    <w:rsid w:val="00CD6755"/>
    <w:rsid w:val="00CD6856"/>
    <w:rsid w:val="00CE0089"/>
    <w:rsid w:val="00CE793C"/>
    <w:rsid w:val="00CF057A"/>
    <w:rsid w:val="00CF193C"/>
    <w:rsid w:val="00D00CEA"/>
    <w:rsid w:val="00D138C3"/>
    <w:rsid w:val="00D173F1"/>
    <w:rsid w:val="00D20933"/>
    <w:rsid w:val="00D20E8B"/>
    <w:rsid w:val="00D34EE8"/>
    <w:rsid w:val="00D40730"/>
    <w:rsid w:val="00D601EB"/>
    <w:rsid w:val="00D71558"/>
    <w:rsid w:val="00D71C3C"/>
    <w:rsid w:val="00D74CB0"/>
    <w:rsid w:val="00D8295D"/>
    <w:rsid w:val="00DB13AD"/>
    <w:rsid w:val="00DC2A65"/>
    <w:rsid w:val="00DD09CC"/>
    <w:rsid w:val="00DE15F0"/>
    <w:rsid w:val="00DE5663"/>
    <w:rsid w:val="00DE78AA"/>
    <w:rsid w:val="00E00525"/>
    <w:rsid w:val="00E02BAE"/>
    <w:rsid w:val="00E03F65"/>
    <w:rsid w:val="00E053D0"/>
    <w:rsid w:val="00E15994"/>
    <w:rsid w:val="00E23308"/>
    <w:rsid w:val="00E3114E"/>
    <w:rsid w:val="00E31A70"/>
    <w:rsid w:val="00E35B02"/>
    <w:rsid w:val="00E3693F"/>
    <w:rsid w:val="00E46793"/>
    <w:rsid w:val="00E5753E"/>
    <w:rsid w:val="00E66496"/>
    <w:rsid w:val="00E66B35"/>
    <w:rsid w:val="00E66E10"/>
    <w:rsid w:val="00E769F6"/>
    <w:rsid w:val="00E8407C"/>
    <w:rsid w:val="00E84F3C"/>
    <w:rsid w:val="00E95AB4"/>
    <w:rsid w:val="00EA012C"/>
    <w:rsid w:val="00EC6A55"/>
    <w:rsid w:val="00ED0288"/>
    <w:rsid w:val="00EE52CB"/>
    <w:rsid w:val="00EF1B45"/>
    <w:rsid w:val="00EF581D"/>
    <w:rsid w:val="00EF7FD8"/>
    <w:rsid w:val="00F01651"/>
    <w:rsid w:val="00F06F59"/>
    <w:rsid w:val="00F17988"/>
    <w:rsid w:val="00F3017D"/>
    <w:rsid w:val="00F3573E"/>
    <w:rsid w:val="00F469F0"/>
    <w:rsid w:val="00F53273"/>
    <w:rsid w:val="00F55BF5"/>
    <w:rsid w:val="00F755E4"/>
    <w:rsid w:val="00F77D02"/>
    <w:rsid w:val="00FB0161"/>
    <w:rsid w:val="00FB3A86"/>
    <w:rsid w:val="00FC0C71"/>
    <w:rsid w:val="00FC4A9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E504B2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0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C72B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semiHidden/>
    <w:rsid w:val="00AC401E"/>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AC401E"/>
  </w:style>
  <w:style w:type="paragraph" w:styleId="Caption">
    <w:name w:val="caption"/>
    <w:basedOn w:val="Normal"/>
    <w:next w:val="Normal"/>
    <w:uiPriority w:val="35"/>
    <w:unhideWhenUsed/>
    <w:qFormat/>
    <w:rsid w:val="00570ED2"/>
    <w:pPr>
      <w:spacing w:after="200"/>
    </w:pPr>
    <w:rPr>
      <w:rFonts w:asciiTheme="minorHAnsi" w:eastAsiaTheme="minorHAnsi" w:hAnsiTheme="minorHAnsi" w:cstheme="minorBidi"/>
      <w:i/>
      <w:iCs/>
      <w:color w:val="1F497D" w:themeColor="text2"/>
      <w:kern w:val="2"/>
      <w:sz w:val="18"/>
      <w:szCs w:val="18"/>
      <w:lang w:val="id-ID"/>
    </w:rPr>
  </w:style>
  <w:style w:type="paragraph" w:styleId="NoSpacing">
    <w:name w:val="No Spacing"/>
    <w:uiPriority w:val="1"/>
    <w:qFormat/>
    <w:rsid w:val="00E5753E"/>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acceco.2012.04.002"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A96A1-6D20-4CF6-B935-42F6FEE0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61</TotalTime>
  <Pages>21</Pages>
  <Words>8860</Words>
  <Characters>50504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59246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DFW</cp:lastModifiedBy>
  <cp:revision>177</cp:revision>
  <cp:lastPrinted>1999-07-06T11:00:00Z</cp:lastPrinted>
  <dcterms:created xsi:type="dcterms:W3CDTF">2014-10-25T14:34:00Z</dcterms:created>
  <dcterms:modified xsi:type="dcterms:W3CDTF">2026-05-20T10:20:00Z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4601469d-88fe-4b11-b8c0-9cbd12c8f53e</vt:lpwstr>
  </property>
</Properties>
</file>