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D51E" w14:textId="77777777" w:rsidR="0090468B" w:rsidRPr="0090468B" w:rsidRDefault="0090468B" w:rsidP="0090468B">
      <w:pPr>
        <w:pStyle w:val="Title"/>
        <w:jc w:val="both"/>
        <w:rPr>
          <w:rFonts w:ascii="Arial" w:hAnsi="Arial" w:cs="Arial"/>
          <w:bCs/>
          <w:i/>
          <w:iCs/>
          <w:u w:val="single"/>
        </w:rPr>
      </w:pPr>
      <w:r w:rsidRPr="0090468B">
        <w:rPr>
          <w:rFonts w:ascii="Arial" w:hAnsi="Arial" w:cs="Arial"/>
          <w:bCs/>
          <w:i/>
          <w:iCs/>
          <w:u w:val="single"/>
        </w:rPr>
        <w:t>Original Research Article</w:t>
      </w:r>
    </w:p>
    <w:p w14:paraId="10E8BE18" w14:textId="77777777" w:rsidR="00754C9A" w:rsidRDefault="00754C9A" w:rsidP="00441B6F">
      <w:pPr>
        <w:pStyle w:val="Title"/>
        <w:spacing w:after="0"/>
        <w:jc w:val="both"/>
        <w:rPr>
          <w:rFonts w:ascii="Arial" w:hAnsi="Arial" w:cs="Arial"/>
        </w:rPr>
      </w:pPr>
    </w:p>
    <w:p w14:paraId="4BD15BB6" w14:textId="19636B71" w:rsidR="00163BC4" w:rsidRPr="00163BC4" w:rsidRDefault="001A30DA" w:rsidP="00441B6F">
      <w:pPr>
        <w:pStyle w:val="Author"/>
        <w:spacing w:line="240" w:lineRule="auto"/>
        <w:rPr>
          <w:rFonts w:ascii="Arial" w:hAnsi="Arial" w:cs="Arial"/>
          <w:bCs/>
          <w:iCs/>
          <w:kern w:val="28"/>
          <w:sz w:val="36"/>
        </w:rPr>
      </w:pPr>
      <w:r w:rsidRPr="001A30DA">
        <w:rPr>
          <w:rFonts w:ascii="Arial" w:hAnsi="Arial" w:cs="Arial"/>
          <w:bCs/>
          <w:iCs/>
          <w:kern w:val="28"/>
          <w:sz w:val="36"/>
        </w:rPr>
        <w:t>The Effect of Environmental, Social, and Governance (ESG) Disclosure on the Earnings Response Coefficient (ERC) with Firm Size as a Moderating Variable</w:t>
      </w:r>
    </w:p>
    <w:p w14:paraId="39B8296A" w14:textId="77777777" w:rsidR="00A258C3" w:rsidRPr="00790ADA" w:rsidRDefault="00A258C3" w:rsidP="00441B6F">
      <w:pPr>
        <w:pStyle w:val="Author"/>
        <w:spacing w:line="240" w:lineRule="auto"/>
        <w:jc w:val="both"/>
        <w:rPr>
          <w:rFonts w:ascii="Arial" w:hAnsi="Arial" w:cs="Arial"/>
          <w:sz w:val="36"/>
        </w:rPr>
      </w:pPr>
    </w:p>
    <w:p w14:paraId="570009C4" w14:textId="77777777" w:rsidR="00081C48" w:rsidRDefault="00081C48" w:rsidP="00441B6F">
      <w:pPr>
        <w:pStyle w:val="Affiliation"/>
        <w:spacing w:after="0" w:line="240" w:lineRule="auto"/>
        <w:jc w:val="both"/>
        <w:rPr>
          <w:rFonts w:ascii="Arial" w:hAnsi="Arial" w:cs="Arial"/>
        </w:rPr>
      </w:pPr>
    </w:p>
    <w:p w14:paraId="7181A631" w14:textId="77777777" w:rsidR="002C57D2" w:rsidRPr="00FB3A86" w:rsidRDefault="002C57D2" w:rsidP="00441B6F">
      <w:pPr>
        <w:pStyle w:val="Affiliation"/>
        <w:spacing w:after="0" w:line="240" w:lineRule="auto"/>
        <w:jc w:val="both"/>
        <w:rPr>
          <w:rFonts w:ascii="Arial" w:hAnsi="Arial" w:cs="Arial"/>
        </w:rPr>
      </w:pPr>
    </w:p>
    <w:p w14:paraId="15D19779" w14:textId="77777777" w:rsidR="00B01FCD" w:rsidRPr="00FB3A86" w:rsidRDefault="0071580F" w:rsidP="00441B6F">
      <w:pPr>
        <w:pStyle w:val="Copyright"/>
        <w:spacing w:after="0" w:line="240" w:lineRule="auto"/>
        <w:jc w:val="both"/>
        <w:rPr>
          <w:rFonts w:ascii="Arial" w:hAnsi="Arial" w:cs="Arial"/>
        </w:rPr>
        <w:sectPr w:rsidR="00B01FCD" w:rsidRPr="00FB3A86" w:rsidSect="000D53D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A1C7EAE">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24ACB621" w14:textId="653CCFF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D3DA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4BC047E" w14:textId="77777777" w:rsidTr="00EA0C47">
        <w:trPr>
          <w:trHeight w:val="5185"/>
        </w:trPr>
        <w:tc>
          <w:tcPr>
            <w:tcW w:w="9576" w:type="dxa"/>
            <w:shd w:val="clear" w:color="auto" w:fill="F2F2F2"/>
          </w:tcPr>
          <w:p w14:paraId="71661838" w14:textId="1B4A997C" w:rsidR="00505F06" w:rsidRPr="00EA0C47" w:rsidRDefault="00EA0C47" w:rsidP="00EA0C47">
            <w:pPr>
              <w:pStyle w:val="Body"/>
              <w:spacing w:after="0"/>
              <w:rPr>
                <w:rFonts w:ascii="Arial" w:eastAsia="Calibri" w:hAnsi="Arial" w:cs="Arial"/>
                <w:szCs w:val="22"/>
                <w:lang w:val="en-ID"/>
              </w:rPr>
            </w:pPr>
            <w:r w:rsidRPr="00EA0C47">
              <w:rPr>
                <w:rFonts w:ascii="Arial" w:eastAsia="Calibri" w:hAnsi="Arial" w:cs="Arial"/>
                <w:b/>
                <w:bCs/>
                <w:szCs w:val="22"/>
                <w:lang w:val="en-ID"/>
              </w:rPr>
              <w:t>Aims:</w:t>
            </w:r>
            <w:r w:rsidRPr="00EA0C47">
              <w:rPr>
                <w:rFonts w:ascii="Arial" w:eastAsia="Calibri" w:hAnsi="Arial" w:cs="Arial"/>
                <w:szCs w:val="22"/>
                <w:lang w:val="en-ID"/>
              </w:rPr>
              <w:t xml:space="preserve"> This study aims to examine the effect of Environmental, Social, and Governance (ESG) disclosure on the Earnings Response Coefficient (ERC), and to investigate whether firm size moderates that relationship among banking sector companies listed on the Indonesia Stock Exchange.</w:t>
            </w:r>
            <w:r>
              <w:rPr>
                <w:rFonts w:ascii="Arial" w:eastAsia="Calibri" w:hAnsi="Arial" w:cs="Arial"/>
                <w:szCs w:val="22"/>
                <w:lang w:val="en-ID"/>
              </w:rPr>
              <w:t xml:space="preserve"> </w:t>
            </w:r>
            <w:r w:rsidRPr="00EA0C47">
              <w:rPr>
                <w:rFonts w:ascii="Arial" w:eastAsia="Calibri" w:hAnsi="Arial" w:cs="Arial"/>
                <w:b/>
                <w:bCs/>
                <w:szCs w:val="22"/>
                <w:lang w:val="en-ID"/>
              </w:rPr>
              <w:t>Study Design:</w:t>
            </w:r>
            <w:r w:rsidRPr="00EA0C47">
              <w:rPr>
                <w:rFonts w:ascii="Arial" w:eastAsia="Calibri" w:hAnsi="Arial" w:cs="Arial"/>
                <w:szCs w:val="22"/>
                <w:lang w:val="en-ID"/>
              </w:rPr>
              <w:t xml:space="preserve"> Quantitative research with a moderated regression analysis approach.</w:t>
            </w:r>
            <w:r>
              <w:rPr>
                <w:rFonts w:ascii="Arial" w:eastAsia="Calibri" w:hAnsi="Arial" w:cs="Arial"/>
                <w:szCs w:val="22"/>
                <w:lang w:val="en-ID"/>
              </w:rPr>
              <w:t xml:space="preserve"> </w:t>
            </w:r>
            <w:r w:rsidRPr="00EA0C47">
              <w:rPr>
                <w:rFonts w:ascii="Arial" w:eastAsia="Calibri" w:hAnsi="Arial" w:cs="Arial"/>
                <w:b/>
                <w:bCs/>
                <w:szCs w:val="22"/>
                <w:lang w:val="en-ID"/>
              </w:rPr>
              <w:t xml:space="preserve">Place and Duration of Study: </w:t>
            </w:r>
            <w:r w:rsidRPr="00EA0C47">
              <w:rPr>
                <w:rFonts w:ascii="Arial" w:eastAsia="Calibri" w:hAnsi="Arial" w:cs="Arial"/>
                <w:szCs w:val="22"/>
                <w:lang w:val="en-ID"/>
              </w:rPr>
              <w:t>Banking sector companies listed on the Indonesia Stock Exchange (IDX), Indonesia, covering the period from 2020 to 2024.</w:t>
            </w:r>
            <w:r>
              <w:rPr>
                <w:rFonts w:ascii="Arial" w:eastAsia="Calibri" w:hAnsi="Arial" w:cs="Arial"/>
                <w:szCs w:val="22"/>
                <w:lang w:val="en-ID"/>
              </w:rPr>
              <w:t xml:space="preserve"> </w:t>
            </w:r>
            <w:r w:rsidRPr="00EA0C47">
              <w:rPr>
                <w:rFonts w:ascii="Arial" w:eastAsia="Calibri" w:hAnsi="Arial" w:cs="Arial"/>
                <w:b/>
                <w:bCs/>
                <w:szCs w:val="22"/>
                <w:lang w:val="en-ID"/>
              </w:rPr>
              <w:t>Methodology:</w:t>
            </w:r>
            <w:r w:rsidRPr="00EA0C47">
              <w:rPr>
                <w:rFonts w:ascii="Arial" w:eastAsia="Calibri" w:hAnsi="Arial" w:cs="Arial"/>
                <w:szCs w:val="22"/>
                <w:lang w:val="en-ID"/>
              </w:rPr>
              <w:t xml:space="preserve"> The sample was selected using purposive sampling, resulting in 20 banking companies and 96 firm-year observations after removing outliers. Secondary data were obtained from audited annual reports and sustainability reports. Data were analyzed using hierarchical moderated regression analysis with IBM SPSS 30.0, preceded by classical assumption tests.</w:t>
            </w:r>
            <w:r>
              <w:rPr>
                <w:rFonts w:ascii="Arial" w:eastAsia="Calibri" w:hAnsi="Arial" w:cs="Arial"/>
                <w:szCs w:val="22"/>
                <w:lang w:val="en-ID"/>
              </w:rPr>
              <w:t xml:space="preserve"> </w:t>
            </w:r>
            <w:r w:rsidRPr="00EA0C47">
              <w:rPr>
                <w:rFonts w:ascii="Arial" w:eastAsia="Calibri" w:hAnsi="Arial" w:cs="Arial"/>
                <w:b/>
                <w:bCs/>
                <w:szCs w:val="22"/>
                <w:lang w:val="en-ID"/>
              </w:rPr>
              <w:t>Results:</w:t>
            </w:r>
            <w:r w:rsidRPr="00EA0C47">
              <w:rPr>
                <w:rFonts w:ascii="Arial" w:eastAsia="Calibri" w:hAnsi="Arial" w:cs="Arial"/>
                <w:szCs w:val="22"/>
                <w:lang w:val="en-ID"/>
              </w:rPr>
              <w:t xml:space="preserve"> The results show that environmental disclosure (</w:t>
            </w:r>
            <w:r w:rsidRPr="00EA0C47">
              <w:rPr>
                <w:rFonts w:ascii="Arial" w:eastAsia="Calibri" w:hAnsi="Arial" w:cs="Arial"/>
                <w:i/>
                <w:iCs/>
                <w:szCs w:val="22"/>
                <w:lang w:val="en-ID"/>
              </w:rPr>
              <w:t>β</w:t>
            </w:r>
            <w:r w:rsidRPr="00EA0C47">
              <w:rPr>
                <w:rFonts w:ascii="Arial" w:eastAsia="Calibri" w:hAnsi="Arial" w:cs="Arial"/>
                <w:szCs w:val="22"/>
                <w:lang w:val="en-ID"/>
              </w:rPr>
              <w:t xml:space="preserve"> = −0.121; </w:t>
            </w:r>
            <w:r w:rsidRPr="00EA0C47">
              <w:rPr>
                <w:rFonts w:ascii="Arial" w:eastAsia="Calibri" w:hAnsi="Arial" w:cs="Arial"/>
                <w:i/>
                <w:iCs/>
                <w:szCs w:val="22"/>
                <w:lang w:val="en-ID"/>
              </w:rPr>
              <w:t>p</w:t>
            </w:r>
            <w:r w:rsidRPr="00EA0C47">
              <w:rPr>
                <w:rFonts w:ascii="Arial" w:eastAsia="Calibri" w:hAnsi="Arial" w:cs="Arial"/>
                <w:szCs w:val="22"/>
                <w:lang w:val="en-ID"/>
              </w:rPr>
              <w:t xml:space="preserve"> = 0.038) and social disclosure (</w:t>
            </w:r>
            <w:r w:rsidRPr="00EA0C47">
              <w:rPr>
                <w:rFonts w:ascii="Arial" w:eastAsia="Calibri" w:hAnsi="Arial" w:cs="Arial"/>
                <w:i/>
                <w:iCs/>
                <w:szCs w:val="22"/>
                <w:lang w:val="en-ID"/>
              </w:rPr>
              <w:t>β</w:t>
            </w:r>
            <w:r w:rsidRPr="00EA0C47">
              <w:rPr>
                <w:rFonts w:ascii="Arial" w:eastAsia="Calibri" w:hAnsi="Arial" w:cs="Arial"/>
                <w:szCs w:val="22"/>
                <w:lang w:val="en-ID"/>
              </w:rPr>
              <w:t xml:space="preserve"> = −0.122; </w:t>
            </w:r>
            <w:r w:rsidRPr="00EA0C47">
              <w:rPr>
                <w:rFonts w:ascii="Arial" w:eastAsia="Calibri" w:hAnsi="Arial" w:cs="Arial"/>
                <w:i/>
                <w:iCs/>
                <w:szCs w:val="22"/>
                <w:lang w:val="en-ID"/>
              </w:rPr>
              <w:t>p</w:t>
            </w:r>
            <w:r w:rsidRPr="00EA0C47">
              <w:rPr>
                <w:rFonts w:ascii="Arial" w:eastAsia="Calibri" w:hAnsi="Arial" w:cs="Arial"/>
                <w:szCs w:val="22"/>
                <w:lang w:val="en-ID"/>
              </w:rPr>
              <w:t xml:space="preserve"> = 0.013) have a significant negative effect on ERC, while governance disclosure (</w:t>
            </w:r>
            <w:r w:rsidRPr="00EA0C47">
              <w:rPr>
                <w:rFonts w:ascii="Arial" w:eastAsia="Calibri" w:hAnsi="Arial" w:cs="Arial"/>
                <w:i/>
                <w:iCs/>
                <w:szCs w:val="22"/>
                <w:lang w:val="en-ID"/>
              </w:rPr>
              <w:t>β</w:t>
            </w:r>
            <w:r w:rsidRPr="00EA0C47">
              <w:rPr>
                <w:rFonts w:ascii="Arial" w:eastAsia="Calibri" w:hAnsi="Arial" w:cs="Arial"/>
                <w:szCs w:val="22"/>
                <w:lang w:val="en-ID"/>
              </w:rPr>
              <w:t xml:space="preserve"> = −0.020; </w:t>
            </w:r>
            <w:r w:rsidRPr="00EA0C47">
              <w:rPr>
                <w:rFonts w:ascii="Arial" w:eastAsia="Calibri" w:hAnsi="Arial" w:cs="Arial"/>
                <w:i/>
                <w:iCs/>
                <w:szCs w:val="22"/>
                <w:lang w:val="en-ID"/>
              </w:rPr>
              <w:t>p</w:t>
            </w:r>
            <w:r w:rsidRPr="00EA0C47">
              <w:rPr>
                <w:rFonts w:ascii="Arial" w:eastAsia="Calibri" w:hAnsi="Arial" w:cs="Arial"/>
                <w:szCs w:val="22"/>
                <w:lang w:val="en-ID"/>
              </w:rPr>
              <w:t xml:space="preserve"> = 0.719) has no significant effect. Firm size significantly and positively moderates the effect of environmental disclosure (</w:t>
            </w:r>
            <w:r w:rsidRPr="00EA0C47">
              <w:rPr>
                <w:rFonts w:ascii="Arial" w:eastAsia="Calibri" w:hAnsi="Arial" w:cs="Arial"/>
                <w:i/>
                <w:iCs/>
                <w:szCs w:val="22"/>
                <w:lang w:val="en-ID"/>
              </w:rPr>
              <w:t>β</w:t>
            </w:r>
            <w:r w:rsidRPr="00EA0C47">
              <w:rPr>
                <w:rFonts w:ascii="Arial" w:eastAsia="Calibri" w:hAnsi="Arial" w:cs="Arial"/>
                <w:szCs w:val="22"/>
                <w:lang w:val="en-ID"/>
              </w:rPr>
              <w:t xml:space="preserve"> = 0.274; </w:t>
            </w:r>
            <w:r w:rsidRPr="00EA0C47">
              <w:rPr>
                <w:rFonts w:ascii="Arial" w:eastAsia="Calibri" w:hAnsi="Arial" w:cs="Arial"/>
                <w:i/>
                <w:iCs/>
                <w:szCs w:val="22"/>
                <w:lang w:val="en-ID"/>
              </w:rPr>
              <w:t>p</w:t>
            </w:r>
            <w:r w:rsidRPr="00EA0C47">
              <w:rPr>
                <w:rFonts w:ascii="Arial" w:eastAsia="Calibri" w:hAnsi="Arial" w:cs="Arial"/>
                <w:szCs w:val="22"/>
                <w:lang w:val="en-ID"/>
              </w:rPr>
              <w:t xml:space="preserve"> = 0.002) and social disclosure (</w:t>
            </w:r>
            <w:r w:rsidRPr="00EA0C47">
              <w:rPr>
                <w:rFonts w:ascii="Arial" w:eastAsia="Calibri" w:hAnsi="Arial" w:cs="Arial"/>
                <w:i/>
                <w:iCs/>
                <w:szCs w:val="22"/>
                <w:lang w:val="en-ID"/>
              </w:rPr>
              <w:t>β</w:t>
            </w:r>
            <w:r w:rsidRPr="00EA0C47">
              <w:rPr>
                <w:rFonts w:ascii="Arial" w:eastAsia="Calibri" w:hAnsi="Arial" w:cs="Arial"/>
                <w:szCs w:val="22"/>
                <w:lang w:val="en-ID"/>
              </w:rPr>
              <w:t xml:space="preserve"> = 0.182; </w:t>
            </w:r>
            <w:r w:rsidRPr="00EA0C47">
              <w:rPr>
                <w:rFonts w:ascii="Arial" w:eastAsia="Calibri" w:hAnsi="Arial" w:cs="Arial"/>
                <w:i/>
                <w:iCs/>
                <w:szCs w:val="22"/>
                <w:lang w:val="en-ID"/>
              </w:rPr>
              <w:t>p</w:t>
            </w:r>
            <w:r w:rsidRPr="00EA0C47">
              <w:rPr>
                <w:rFonts w:ascii="Arial" w:eastAsia="Calibri" w:hAnsi="Arial" w:cs="Arial"/>
                <w:szCs w:val="22"/>
                <w:lang w:val="en-ID"/>
              </w:rPr>
              <w:t xml:space="preserve"> = 0.014) on ERC, but does not significantly moderate the effect of governance disclosure (</w:t>
            </w:r>
            <w:r w:rsidRPr="00EA0C47">
              <w:rPr>
                <w:rFonts w:ascii="Arial" w:eastAsia="Calibri" w:hAnsi="Arial" w:cs="Arial"/>
                <w:i/>
                <w:iCs/>
                <w:szCs w:val="22"/>
                <w:lang w:val="en-ID"/>
              </w:rPr>
              <w:t>β</w:t>
            </w:r>
            <w:r w:rsidRPr="00EA0C47">
              <w:rPr>
                <w:rFonts w:ascii="Arial" w:eastAsia="Calibri" w:hAnsi="Arial" w:cs="Arial"/>
                <w:szCs w:val="22"/>
                <w:lang w:val="en-ID"/>
              </w:rPr>
              <w:t xml:space="preserve"> = −0.011; </w:t>
            </w:r>
            <w:r w:rsidRPr="00EA0C47">
              <w:rPr>
                <w:rFonts w:ascii="Arial" w:eastAsia="Calibri" w:hAnsi="Arial" w:cs="Arial"/>
                <w:i/>
                <w:iCs/>
                <w:szCs w:val="22"/>
                <w:lang w:val="en-ID"/>
              </w:rPr>
              <w:t>p</w:t>
            </w:r>
            <w:r w:rsidRPr="00EA0C47">
              <w:rPr>
                <w:rFonts w:ascii="Arial" w:eastAsia="Calibri" w:hAnsi="Arial" w:cs="Arial"/>
                <w:szCs w:val="22"/>
                <w:lang w:val="en-ID"/>
              </w:rPr>
              <w:t xml:space="preserve"> = 0.903). The overall model is statistically significant (</w:t>
            </w:r>
            <w:r w:rsidRPr="00EA0C47">
              <w:rPr>
                <w:rFonts w:ascii="Arial" w:eastAsia="Calibri" w:hAnsi="Arial" w:cs="Arial"/>
                <w:i/>
                <w:iCs/>
                <w:szCs w:val="22"/>
                <w:lang w:val="en-ID"/>
              </w:rPr>
              <w:t>F</w:t>
            </w:r>
            <w:r w:rsidRPr="00EA0C47">
              <w:rPr>
                <w:rFonts w:ascii="Arial" w:eastAsia="Calibri" w:hAnsi="Arial" w:cs="Arial"/>
                <w:szCs w:val="22"/>
                <w:lang w:val="en-ID"/>
              </w:rPr>
              <w:t xml:space="preserve"> = 2.596; </w:t>
            </w:r>
            <w:r w:rsidRPr="00EA0C47">
              <w:rPr>
                <w:rFonts w:ascii="Arial" w:eastAsia="Calibri" w:hAnsi="Arial" w:cs="Arial"/>
                <w:i/>
                <w:iCs/>
                <w:szCs w:val="22"/>
                <w:lang w:val="en-ID"/>
              </w:rPr>
              <w:t>p</w:t>
            </w:r>
            <w:r w:rsidRPr="00EA0C47">
              <w:rPr>
                <w:rFonts w:ascii="Arial" w:eastAsia="Calibri" w:hAnsi="Arial" w:cs="Arial"/>
                <w:szCs w:val="22"/>
                <w:lang w:val="en-ID"/>
              </w:rPr>
              <w:t xml:space="preserve"> = 0.007), with </w:t>
            </w:r>
            <w:r w:rsidRPr="00EA0C47">
              <w:rPr>
                <w:rFonts w:ascii="Arial" w:eastAsia="Calibri" w:hAnsi="Arial" w:cs="Arial"/>
                <w:i/>
                <w:iCs/>
                <w:szCs w:val="22"/>
                <w:lang w:val="en-ID"/>
              </w:rPr>
              <w:t>R²</w:t>
            </w:r>
            <w:r w:rsidRPr="00EA0C47">
              <w:rPr>
                <w:rFonts w:ascii="Arial" w:eastAsia="Calibri" w:hAnsi="Arial" w:cs="Arial"/>
                <w:szCs w:val="22"/>
                <w:lang w:val="en-ID"/>
              </w:rPr>
              <w:t xml:space="preserve"> = 0.254 and Adjusted </w:t>
            </w:r>
            <w:r w:rsidRPr="00EA0C47">
              <w:rPr>
                <w:rFonts w:ascii="Arial" w:eastAsia="Calibri" w:hAnsi="Arial" w:cs="Arial"/>
                <w:i/>
                <w:iCs/>
                <w:szCs w:val="22"/>
                <w:lang w:val="en-ID"/>
              </w:rPr>
              <w:t>R²</w:t>
            </w:r>
            <w:r w:rsidRPr="00EA0C47">
              <w:rPr>
                <w:rFonts w:ascii="Arial" w:eastAsia="Calibri" w:hAnsi="Arial" w:cs="Arial"/>
                <w:szCs w:val="22"/>
                <w:lang w:val="en-ID"/>
              </w:rPr>
              <w:t xml:space="preserve"> = 0.156.</w:t>
            </w:r>
            <w:r>
              <w:rPr>
                <w:rFonts w:ascii="Arial" w:eastAsia="Calibri" w:hAnsi="Arial" w:cs="Arial"/>
                <w:szCs w:val="22"/>
                <w:lang w:val="en-ID"/>
              </w:rPr>
              <w:t xml:space="preserve"> </w:t>
            </w:r>
            <w:r w:rsidRPr="00EA0C47">
              <w:rPr>
                <w:rFonts w:ascii="Arial" w:eastAsia="Calibri" w:hAnsi="Arial" w:cs="Arial"/>
                <w:b/>
                <w:bCs/>
                <w:szCs w:val="22"/>
                <w:lang w:val="en-ID"/>
              </w:rPr>
              <w:t>Conclusion:</w:t>
            </w:r>
            <w:r w:rsidRPr="00EA0C47">
              <w:rPr>
                <w:rFonts w:ascii="Arial" w:eastAsia="Calibri" w:hAnsi="Arial" w:cs="Arial"/>
                <w:szCs w:val="22"/>
                <w:lang w:val="en-ID"/>
              </w:rPr>
              <w:t xml:space="preserve"> ESG disclosure alone does not consistently strengthen market reactions to earnings information; however, firm size plays a significant amplifying role in the relationship between environmental and social disclosure and ERC. Larger banking firms produce more credible and visible ESG signals, enhancing investor sensitivity to earnings. Governance disclosure, being largely standardized across Indonesian banks, does not serve as a differentiating signal for investors.</w:t>
            </w:r>
            <w:r w:rsidR="006B43E3">
              <w:rPr>
                <w:rFonts w:ascii="Arial" w:eastAsia="Calibri" w:hAnsi="Arial" w:cs="Arial"/>
                <w:szCs w:val="22"/>
                <w:lang w:val="en-ID"/>
              </w:rPr>
              <w:t xml:space="preserve"> </w:t>
            </w:r>
            <w:r w:rsidR="006B43E3" w:rsidRPr="006B43E3">
              <w:rPr>
                <w:rFonts w:ascii="Arial" w:eastAsia="Calibri" w:hAnsi="Arial" w:cs="Arial"/>
                <w:b/>
                <w:bCs/>
                <w:szCs w:val="22"/>
                <w:lang w:val="en-ID"/>
              </w:rPr>
              <w:t>Limitations:</w:t>
            </w:r>
            <w:r w:rsidR="006B43E3">
              <w:rPr>
                <w:rFonts w:ascii="Arial" w:eastAsia="Calibri" w:hAnsi="Arial" w:cs="Arial"/>
                <w:szCs w:val="22"/>
                <w:lang w:val="en-ID"/>
              </w:rPr>
              <w:t xml:space="preserve"> </w:t>
            </w:r>
            <w:r w:rsidR="006B43E3" w:rsidRPr="006B43E3">
              <w:rPr>
                <w:rFonts w:ascii="Arial" w:eastAsia="Calibri" w:hAnsi="Arial" w:cs="Arial"/>
                <w:szCs w:val="22"/>
                <w:lang w:val="en-ID"/>
              </w:rPr>
              <w:t>This study is limited to banking sector companies listed on the Indonesia Stock Exchange during the 2020–2024 period, which may restrict the generalizability of the findings to other industries and time horizons.</w:t>
            </w:r>
          </w:p>
        </w:tc>
      </w:tr>
    </w:tbl>
    <w:p w14:paraId="6C05420B" w14:textId="77777777" w:rsidR="00636EB2" w:rsidRDefault="00636EB2" w:rsidP="00441B6F">
      <w:pPr>
        <w:pStyle w:val="Body"/>
        <w:spacing w:after="0"/>
        <w:rPr>
          <w:rFonts w:ascii="Arial" w:hAnsi="Arial" w:cs="Arial"/>
          <w:i/>
        </w:rPr>
      </w:pPr>
    </w:p>
    <w:p w14:paraId="20C38BF8" w14:textId="051DF0E6" w:rsidR="00A24E7E" w:rsidRDefault="00A24E7E" w:rsidP="00441B6F">
      <w:pPr>
        <w:pStyle w:val="Body"/>
        <w:spacing w:after="0"/>
        <w:rPr>
          <w:rFonts w:ascii="Arial" w:hAnsi="Arial" w:cs="Arial"/>
          <w:i/>
        </w:rPr>
      </w:pPr>
      <w:r>
        <w:rPr>
          <w:rFonts w:ascii="Arial" w:hAnsi="Arial" w:cs="Arial"/>
          <w:i/>
        </w:rPr>
        <w:t xml:space="preserve">Keywords: </w:t>
      </w:r>
      <w:r w:rsidR="00C34DE4" w:rsidRPr="00C34DE4">
        <w:rPr>
          <w:rFonts w:ascii="Arial" w:hAnsi="Arial" w:cs="Arial"/>
          <w:i/>
        </w:rPr>
        <w:t>ESG disclosure, Earnings Response Coefficient (ERC), firm size, banking sector, Indonesia Stock Exchange</w:t>
      </w:r>
    </w:p>
    <w:p w14:paraId="08DD7932" w14:textId="77777777" w:rsidR="00790ADA" w:rsidRDefault="00790ADA" w:rsidP="00441B6F">
      <w:pPr>
        <w:pStyle w:val="Body"/>
        <w:spacing w:after="0"/>
        <w:rPr>
          <w:rFonts w:ascii="Arial" w:hAnsi="Arial" w:cs="Arial"/>
          <w:i/>
        </w:rPr>
      </w:pPr>
    </w:p>
    <w:p w14:paraId="5C8CFED9" w14:textId="77777777" w:rsidR="0024282C" w:rsidRDefault="0024282C" w:rsidP="00441B6F">
      <w:pPr>
        <w:pStyle w:val="Body"/>
        <w:spacing w:after="0"/>
        <w:rPr>
          <w:rFonts w:ascii="Arial" w:hAnsi="Arial" w:cs="Arial"/>
          <w:i/>
          <w:sz w:val="18"/>
        </w:rPr>
      </w:pPr>
    </w:p>
    <w:p w14:paraId="7D788481" w14:textId="08A65D6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380544F" w14:textId="77777777" w:rsidR="00790ADA" w:rsidRPr="00FB3A86" w:rsidRDefault="00790ADA" w:rsidP="00441B6F">
      <w:pPr>
        <w:pStyle w:val="AbstHead"/>
        <w:spacing w:after="0"/>
        <w:jc w:val="both"/>
        <w:rPr>
          <w:rFonts w:ascii="Arial" w:hAnsi="Arial" w:cs="Arial"/>
        </w:rPr>
      </w:pPr>
    </w:p>
    <w:p w14:paraId="473DC42F" w14:textId="4CD04F24" w:rsidR="00BF331E" w:rsidRPr="00BF331E" w:rsidRDefault="00BF331E" w:rsidP="00BF331E">
      <w:pPr>
        <w:pStyle w:val="Body"/>
        <w:rPr>
          <w:rFonts w:ascii="Arial" w:hAnsi="Arial" w:cs="Arial"/>
          <w:sz w:val="22"/>
          <w:szCs w:val="22"/>
          <w:lang w:val="en-ID"/>
        </w:rPr>
      </w:pPr>
      <w:r w:rsidRPr="00BF331E">
        <w:rPr>
          <w:rFonts w:ascii="Arial" w:hAnsi="Arial" w:cs="Arial"/>
          <w:sz w:val="22"/>
          <w:szCs w:val="22"/>
          <w:lang w:val="en-ID"/>
        </w:rPr>
        <w:t xml:space="preserve">The Earnings Response Coefficient (ERC) is an important indicator used to measure how strongly investors respond to earnings information released by </w:t>
      </w:r>
      <w:r w:rsidRPr="00BF331E">
        <w:rPr>
          <w:rFonts w:ascii="Arial" w:hAnsi="Arial" w:cs="Arial"/>
          <w:sz w:val="22"/>
          <w:szCs w:val="22"/>
          <w:lang w:val="en-ID"/>
        </w:rPr>
        <w:lastRenderedPageBreak/>
        <w:t>companies. ERC reflects the sensitivity of abnormal stock returns to unexpected earnings and serves as a proxy for earnings quality and the value relevance of accounting information. According to William R. Scott (2015), a higher ERC indicates that investors perceive reported earnings as more credible and informative for decision-making. Therefore, understanding the factors influencing ERC has become an important issue in accounting and capital market research, particularly in emerging markets such as Indonesia. In practice, investor responses to earnings announcements vary across companies and industries. Empirical evidence from major Indonesian banking companies, such as Bank Mandiri and Bank Negara Indonesia, demonstrates fluctuations in stock prices before and after financial report announcements, indicating differing market reactions to earnings information. These variations suggest that financial information alone may not fully explain investor behavior, as investors increasingly consider non-financial information when evaluating corporate performance and sustainability (Handi et al., 2021).</w:t>
      </w:r>
    </w:p>
    <w:p w14:paraId="279C0DC0" w14:textId="77777777" w:rsidR="00BF331E" w:rsidRPr="00BF331E" w:rsidRDefault="00BF331E" w:rsidP="00BF331E">
      <w:pPr>
        <w:pStyle w:val="Body"/>
        <w:rPr>
          <w:rFonts w:ascii="Arial" w:hAnsi="Arial" w:cs="Arial"/>
          <w:sz w:val="22"/>
          <w:szCs w:val="22"/>
          <w:lang w:val="en-ID"/>
        </w:rPr>
      </w:pPr>
      <w:r w:rsidRPr="00BF331E">
        <w:rPr>
          <w:rFonts w:ascii="Arial" w:hAnsi="Arial" w:cs="Arial"/>
          <w:sz w:val="22"/>
          <w:szCs w:val="22"/>
          <w:lang w:val="en-ID"/>
        </w:rPr>
        <w:t>One non-financial factor that has recently gained significant attention is Environmental, Social, and Governance (ESG) disclosure. The idea of sustainable finance has received considerable global attention, especially regarding the integration of ESG considerations into investment decisions. The Organisation for Economic Co-operation and Development explains that sustainable finance incorporates environmental, social, and governance considerations into investment decisions to support long-term sustainable economic activities (Boffo &amp; Patalano, 2020). Furthermore, Gunnar Friede et al. (2015) define ESG as a set of environmental, social, and governance criteria used to evaluate the sustainability and ethical impact of corporate activities and investments.</w:t>
      </w:r>
    </w:p>
    <w:p w14:paraId="27633CE5" w14:textId="2F41E8ED" w:rsidR="00BF331E" w:rsidRPr="00BF331E" w:rsidRDefault="00BF331E" w:rsidP="00BF331E">
      <w:pPr>
        <w:pStyle w:val="Body"/>
        <w:rPr>
          <w:rFonts w:ascii="Arial" w:hAnsi="Arial" w:cs="Arial"/>
          <w:sz w:val="22"/>
          <w:szCs w:val="22"/>
          <w:lang w:val="en-ID"/>
        </w:rPr>
      </w:pPr>
      <w:r w:rsidRPr="00BF331E">
        <w:rPr>
          <w:rFonts w:ascii="Arial" w:hAnsi="Arial" w:cs="Arial"/>
          <w:sz w:val="22"/>
          <w:szCs w:val="22"/>
          <w:lang w:val="en-ID"/>
        </w:rPr>
        <w:t>In Indonesia, the importance of ESG has increased following the government’s commitment to achieving the United Nations Sustainable Development Goals (SDGs) by 2030. This commitment emphasizes poverty reduction, environmental sustainability, and social welfare, encouraging companies to adopt sustainable business practices and improve transparency through ESG reporting (Noviarianti, 2020; Pratama &amp; Robinson, 2024). As a result, ESG disclosure has become increasingly relevant in influencing investor perceptions and market reactions toward corporate earnings information. The increasing importance of ESG is also reflected in corporate reporting practices in Indonesia. A report by PricewaterhouseCoopers (2023) shows that 88% of companies listed in Indonesia published sustainability reports in 2022, with a 36% increase in disclosures related to the responsibilities of the board of directors compared to the previous year. This growth is among the highest in the Asia-Pacific region and reflects stronger corporate commitments toward transparency and accountability. Major banking institutions, including Bank Rakyat Indonesia and Bank Central Asia, have also shown improvements in ESG performance and ratings in 2024, indicating that Indonesian companies are progressively aligning their strategies with ESG principles to strengthen competitiveness and corporate reputation.</w:t>
      </w:r>
    </w:p>
    <w:p w14:paraId="6B6D71C1" w14:textId="02B4CF97" w:rsidR="00BF331E" w:rsidRPr="00BF331E" w:rsidRDefault="00BF331E" w:rsidP="00BF331E">
      <w:pPr>
        <w:pStyle w:val="Body"/>
        <w:rPr>
          <w:rFonts w:ascii="Arial" w:hAnsi="Arial" w:cs="Arial"/>
          <w:sz w:val="22"/>
          <w:szCs w:val="22"/>
          <w:lang w:val="en-ID"/>
        </w:rPr>
      </w:pPr>
      <w:r w:rsidRPr="00BF331E">
        <w:rPr>
          <w:rFonts w:ascii="Arial" w:hAnsi="Arial" w:cs="Arial"/>
          <w:sz w:val="22"/>
          <w:szCs w:val="22"/>
          <w:lang w:val="en-ID"/>
        </w:rPr>
        <w:t xml:space="preserve">However, despite these developments, the overall level of ESG disclosure in Indonesia remains relatively low. Data from the Indonesia Stock Exchange in collaboration with Morningstar Sustainalytics (2024) indicate that ESG disclosure among Indonesian companies is only 28.12%, suggesting that many firms still have </w:t>
      </w:r>
      <w:r w:rsidRPr="00BF331E">
        <w:rPr>
          <w:rFonts w:ascii="Arial" w:hAnsi="Arial" w:cs="Arial"/>
          <w:sz w:val="22"/>
          <w:szCs w:val="22"/>
          <w:lang w:val="en-ID"/>
        </w:rPr>
        <w:lastRenderedPageBreak/>
        <w:t>not implemented comprehensive ESG reporting practices. This condition raises important questions regarding whether ESG disclosure truly influences investor responses to earnings information, as reflected in ERC. Theoretically, ESG disclosure is expected to strengthen ERC by increasing transparency, reducing information asymmetry, and improving investor confidence. Companies that consistently disclose ESG information may be perceived as more responsible and sustainable, leading investors to respond more positively to earnings announcements. Nevertheless, the relationship between ESG disclosure and ERC may depend on firm-specific characteristics, particularly firm size.</w:t>
      </w:r>
    </w:p>
    <w:p w14:paraId="60B1EC93" w14:textId="77777777" w:rsidR="00BF331E" w:rsidRPr="00BF331E" w:rsidRDefault="00BF331E" w:rsidP="00BF331E">
      <w:pPr>
        <w:pStyle w:val="Body"/>
        <w:rPr>
          <w:rFonts w:ascii="Arial" w:hAnsi="Arial" w:cs="Arial"/>
          <w:sz w:val="22"/>
          <w:szCs w:val="22"/>
          <w:lang w:val="en-ID"/>
        </w:rPr>
      </w:pPr>
      <w:r w:rsidRPr="00BF331E">
        <w:rPr>
          <w:rFonts w:ascii="Arial" w:hAnsi="Arial" w:cs="Arial"/>
          <w:sz w:val="22"/>
          <w:szCs w:val="22"/>
          <w:lang w:val="en-ID"/>
        </w:rPr>
        <w:t>Firm size is considered an important moderating factor because larger firms generally possess greater resources to implement ESG initiatives and communicate them effectively to stakeholders (Wijayanti et al., 2020). Larger firms also tend to face greater public scrutiny and reputational pressure (Antonio et al., 2019). However, the role of firm size remains inconclusive. While large firms may enhance the credibility and visibility of ESG disclosures, they may also engage in symbolic reporting or greenwashing practices that reduce investor trust (Orlitzky, 2001; Capelle-Blancard &amp; Petit, 2019). According to Joshua D. Margolis Orlitzky (2001), firm size can function as a confounding variable influencing the relationship between corporate social responsibility and financial performance. Therefore, firm size may either strengthen or weaken the relationship between ESG disclosure and ERC.</w:t>
      </w:r>
    </w:p>
    <w:p w14:paraId="3D25827F" w14:textId="77777777" w:rsidR="006462DA" w:rsidRDefault="00902823" w:rsidP="00441B6F">
      <w:pPr>
        <w:pStyle w:val="AbstHead"/>
        <w:spacing w:after="0"/>
        <w:jc w:val="both"/>
        <w:rPr>
          <w:rFonts w:ascii="Arial" w:hAnsi="Arial" w:cs="Arial"/>
        </w:rPr>
      </w:pPr>
      <w:r>
        <w:rPr>
          <w:rFonts w:ascii="Arial" w:hAnsi="Arial" w:cs="Arial"/>
        </w:rPr>
        <w:t xml:space="preserve">2. </w:t>
      </w:r>
      <w:r w:rsidR="006462DA">
        <w:rPr>
          <w:rFonts w:ascii="Arial" w:hAnsi="Arial" w:cs="Arial"/>
        </w:rPr>
        <w:t xml:space="preserve">Literature review and hypothesis development </w:t>
      </w:r>
    </w:p>
    <w:p w14:paraId="642105E7" w14:textId="77777777" w:rsidR="006462DA" w:rsidRDefault="006462DA" w:rsidP="00441B6F">
      <w:pPr>
        <w:pStyle w:val="AbstHead"/>
        <w:spacing w:after="0"/>
        <w:jc w:val="both"/>
        <w:rPr>
          <w:rFonts w:ascii="Arial" w:hAnsi="Arial" w:cs="Arial"/>
        </w:rPr>
      </w:pPr>
    </w:p>
    <w:p w14:paraId="409036F1" w14:textId="06AAAC89" w:rsidR="00B4373F" w:rsidRPr="00B4373F" w:rsidRDefault="00B4373F" w:rsidP="00B4373F">
      <w:pPr>
        <w:pStyle w:val="Body"/>
        <w:rPr>
          <w:rFonts w:ascii="Arial" w:hAnsi="Arial" w:cs="Arial"/>
          <w:bCs/>
          <w:sz w:val="22"/>
        </w:rPr>
      </w:pPr>
      <w:r w:rsidRPr="00B4373F">
        <w:rPr>
          <w:rFonts w:ascii="Arial" w:hAnsi="Arial" w:cs="Arial"/>
          <w:bCs/>
          <w:sz w:val="22"/>
        </w:rPr>
        <w:t>Signaling theory emphasizes the importance of communication in conditions where companies and investors face information asymmetry, with firms acting as signal senders and investors as signal receivers who interpret the disclosed information (Connelly et al., 2011). Within this perspective, Environmental, Social, and Governance (ESG) disclosures provide signals regarding management quality, risk management capability, and long-term sustainability orientation. Environmental disclosures, such as energy efficiency initiatives, waste management practices, and carbon emission reduction efforts, may reduce uncertainty and influence investor perceptions regarding the quality and sustainability of corporate earnings. According to the Efficient Market Hypothesis proposed by Eugene F. Fama (1970), publicly available information is rapidly incorporated into stock prices. Therefore, environmental disclosures may affect how investors respond to earnings information, which is reflected in the Earnings Response Coefficient (ERC).</w:t>
      </w:r>
      <w:r>
        <w:rPr>
          <w:rFonts w:ascii="Arial" w:hAnsi="Arial" w:cs="Arial"/>
          <w:bCs/>
          <w:sz w:val="22"/>
        </w:rPr>
        <w:t xml:space="preserve"> </w:t>
      </w:r>
      <w:r w:rsidRPr="00B4373F">
        <w:rPr>
          <w:rFonts w:ascii="Arial" w:hAnsi="Arial" w:cs="Arial"/>
          <w:bCs/>
          <w:sz w:val="22"/>
        </w:rPr>
        <w:t>However, the influence of environmental disclosure on ERC may not always be positive. While broader environmental disclosure can increase transparency and investor confidence, investors may also perceive environmental initiatives as costly activities that potentially reduce short-term profitability and future earnings prospects. As a result, extensive environmental disclosure may either strengthen or weaken market reactions to earnings announcements. Previous studies provide mixed findings regarding the relationship between environmental disclosure and ERC (Baskoro et al., 2021; Kim et al., 2022; Sudaryati et al., 2020).</w:t>
      </w:r>
    </w:p>
    <w:p w14:paraId="3157C9A4" w14:textId="77777777" w:rsidR="00B4373F" w:rsidRPr="00B4373F" w:rsidRDefault="00B4373F" w:rsidP="00B4373F">
      <w:pPr>
        <w:pStyle w:val="Body"/>
        <w:rPr>
          <w:rFonts w:ascii="Arial" w:hAnsi="Arial" w:cs="Arial"/>
          <w:bCs/>
          <w:sz w:val="22"/>
        </w:rPr>
      </w:pPr>
      <w:r w:rsidRPr="00B4373F">
        <w:rPr>
          <w:rFonts w:ascii="Arial" w:hAnsi="Arial" w:cs="Arial"/>
          <w:bCs/>
          <w:sz w:val="22"/>
        </w:rPr>
        <w:t xml:space="preserve">Similarly, social disclosures reflect a company’s ethical responsibility, stakeholder engagement, employee relations, and corporate reputation, all of which may influence investor assessments. According to Wang et al. (2023), firms with strong </w:t>
      </w:r>
      <w:r w:rsidRPr="00B4373F">
        <w:rPr>
          <w:rFonts w:ascii="Arial" w:hAnsi="Arial" w:cs="Arial"/>
          <w:bCs/>
          <w:sz w:val="22"/>
        </w:rPr>
        <w:lastRenderedPageBreak/>
        <w:t>social performance tend to attract greater investor attention and market interest. Social disclosures also reduce information asymmetry by providing information beyond conventional financial statements (Connelly et al., 2011) and signaling commitment to corporate responsibility and sustainability (Prihatiningrum, 2020; Sudaryati et al., 2020). In addition, ESG-related information, particularly social aspects, may generate market reactions because it complements financial information (Capelle-Blancard &amp; Petit, 2019).</w:t>
      </w:r>
    </w:p>
    <w:p w14:paraId="4F01DBDB" w14:textId="360ADBBB" w:rsidR="00B4373F" w:rsidRPr="00B4373F" w:rsidRDefault="00B4373F" w:rsidP="00B4373F">
      <w:pPr>
        <w:pStyle w:val="Body"/>
        <w:rPr>
          <w:rFonts w:ascii="Arial" w:hAnsi="Arial" w:cs="Arial"/>
          <w:bCs/>
          <w:sz w:val="22"/>
        </w:rPr>
      </w:pPr>
      <w:r w:rsidRPr="00B4373F">
        <w:rPr>
          <w:rFonts w:ascii="Arial" w:hAnsi="Arial" w:cs="Arial"/>
          <w:bCs/>
          <w:sz w:val="22"/>
        </w:rPr>
        <w:t>Nevertheless, investors may interpret extensive social disclosure differently. Social initiatives may be viewed as increasing operational costs and diverting company resources from profit-generating activities, thereby reducing the perceived informativeness of earnings. Consequently, social disclosure may either positively or negatively affect ERC depending on how investors evaluate the economic implications of such disclosures.</w:t>
      </w:r>
      <w:r>
        <w:rPr>
          <w:rFonts w:ascii="Arial" w:hAnsi="Arial" w:cs="Arial"/>
          <w:bCs/>
          <w:sz w:val="22"/>
        </w:rPr>
        <w:t xml:space="preserve"> </w:t>
      </w:r>
      <w:r w:rsidRPr="00B4373F">
        <w:rPr>
          <w:rFonts w:ascii="Arial" w:hAnsi="Arial" w:cs="Arial"/>
          <w:bCs/>
          <w:sz w:val="22"/>
        </w:rPr>
        <w:t>Governance disclosures represent transparency, accountability, and the effectiveness of internal control systems within firms. Strong governance practices can reduce agency conflicts and improve the credibility of financial reporting, which may strengthen investor confidence in reported earnings (Prihatiningrum, 2020; Kim et al., 2022). In efficient markets, governance-related information is expected to be reflected in stock prices relatively quickly (Fama, 1970). However, in highly regulated industries such as banking, governance practices may already follow standardized regulatory requirements, limiting their ability to differentiate firms in the eyes of investors. Therefore, governance disclosure may have varying effects on ERC.</w:t>
      </w:r>
    </w:p>
    <w:p w14:paraId="02E25797" w14:textId="0EF12474" w:rsidR="006462DA" w:rsidRPr="009E2A1D" w:rsidRDefault="00B4373F" w:rsidP="00B4373F">
      <w:pPr>
        <w:pStyle w:val="Body"/>
        <w:rPr>
          <w:rFonts w:ascii="Arial" w:hAnsi="Arial" w:cs="Arial"/>
          <w:bCs/>
          <w:sz w:val="22"/>
        </w:rPr>
      </w:pPr>
      <w:r w:rsidRPr="00B4373F">
        <w:rPr>
          <w:rFonts w:ascii="Arial" w:hAnsi="Arial" w:cs="Arial"/>
          <w:bCs/>
          <w:sz w:val="22"/>
        </w:rPr>
        <w:t>Firm size also plays an important moderating role in the relationship between ESG disclosure and ERC. Larger firms generally possess greater resources, visibility, and reputational pressures, enabling them to implement ESG initiatives more effectively and communicate them more credibly (Orlitzky, 2001; Wijayanti et al., 2020). Consequently, ESG disclosures by larger firms may attract greater investor attention and analyst coverage, thereby strengthening market reactions to earnings information. Conversely, larger firms may also face higher public scrutiny and greater skepticism regarding symbolic ESG reporting or greenwashing practices (Capelle-Blancard &amp; Petit, 2019). Therefore, firm size may either strengthen or weaken the relationship between ESG disclosure and ERC, depending on how investors perceive the credibility and economic implications of ESG activities.</w:t>
      </w:r>
    </w:p>
    <w:p w14:paraId="0DE22115" w14:textId="7D8234F3" w:rsidR="007F7B32" w:rsidRDefault="006462DA" w:rsidP="00441B6F">
      <w:pPr>
        <w:pStyle w:val="AbstHead"/>
        <w:spacing w:after="0"/>
        <w:jc w:val="both"/>
        <w:rPr>
          <w:rFonts w:ascii="Arial" w:hAnsi="Arial" w:cs="Arial"/>
        </w:rPr>
      </w:pPr>
      <w:r>
        <w:rPr>
          <w:rFonts w:ascii="Arial" w:hAnsi="Arial" w:cs="Arial"/>
        </w:rPr>
        <w:t xml:space="preserve">3. </w:t>
      </w:r>
      <w:r w:rsidR="006B57D0">
        <w:rPr>
          <w:rFonts w:ascii="Arial" w:hAnsi="Arial" w:cs="Arial"/>
        </w:rPr>
        <w:t>methodology</w:t>
      </w:r>
      <w:r w:rsidR="007F7B32">
        <w:rPr>
          <w:rFonts w:ascii="Arial" w:hAnsi="Arial" w:cs="Arial"/>
        </w:rPr>
        <w:t xml:space="preserve"> </w:t>
      </w:r>
    </w:p>
    <w:p w14:paraId="371BD4FB" w14:textId="77777777" w:rsidR="00790ADA" w:rsidRPr="00FB3A86" w:rsidRDefault="00790ADA" w:rsidP="00441B6F">
      <w:pPr>
        <w:pStyle w:val="AbstHead"/>
        <w:spacing w:after="0"/>
        <w:jc w:val="both"/>
        <w:rPr>
          <w:rFonts w:ascii="Arial" w:hAnsi="Arial" w:cs="Arial"/>
        </w:rPr>
      </w:pPr>
    </w:p>
    <w:p w14:paraId="026A19F2" w14:textId="0709CF9D" w:rsidR="00D06EF3" w:rsidRDefault="006462DA" w:rsidP="00D06EF3">
      <w:pPr>
        <w:pStyle w:val="Body"/>
        <w:rPr>
          <w:rFonts w:ascii="Arial" w:hAnsi="Arial" w:cs="Arial"/>
          <w:b/>
          <w:sz w:val="22"/>
        </w:rPr>
      </w:pPr>
      <w:r>
        <w:rPr>
          <w:rFonts w:ascii="Arial" w:hAnsi="Arial" w:cs="Arial"/>
          <w:b/>
          <w:sz w:val="22"/>
        </w:rPr>
        <w:t>3</w:t>
      </w:r>
      <w:r w:rsidR="00D06EF3" w:rsidRPr="00D06EF3">
        <w:rPr>
          <w:rFonts w:ascii="Arial" w:hAnsi="Arial" w:cs="Arial"/>
          <w:b/>
          <w:sz w:val="22"/>
        </w:rPr>
        <w:t xml:space="preserve">.1 Population </w:t>
      </w:r>
      <w:r w:rsidR="009E2A1D" w:rsidRPr="00D06EF3">
        <w:rPr>
          <w:rFonts w:ascii="Arial" w:hAnsi="Arial" w:cs="Arial"/>
          <w:b/>
          <w:sz w:val="22"/>
        </w:rPr>
        <w:t>and</w:t>
      </w:r>
      <w:r w:rsidR="00D06EF3" w:rsidRPr="00D06EF3">
        <w:rPr>
          <w:rFonts w:ascii="Arial" w:hAnsi="Arial" w:cs="Arial"/>
          <w:b/>
          <w:sz w:val="22"/>
        </w:rPr>
        <w:t xml:space="preserve"> Sample</w:t>
      </w:r>
    </w:p>
    <w:p w14:paraId="3ACD0424" w14:textId="6F299F46" w:rsidR="009E2A1D" w:rsidRPr="00BF331E" w:rsidRDefault="009E2A1D" w:rsidP="00D06EF3">
      <w:pPr>
        <w:pStyle w:val="Body"/>
        <w:rPr>
          <w:rFonts w:ascii="Arial" w:hAnsi="Arial" w:cs="Arial"/>
          <w:sz w:val="22"/>
          <w:szCs w:val="22"/>
        </w:rPr>
      </w:pPr>
      <w:r w:rsidRPr="00BF331E">
        <w:rPr>
          <w:rFonts w:ascii="Arial" w:hAnsi="Arial" w:cs="Arial"/>
          <w:sz w:val="22"/>
          <w:szCs w:val="22"/>
        </w:rPr>
        <w:t xml:space="preserve">The study's population consists of banking sector firms that are listed on the Indonesia Stock Exchange from 2020 to 2024. The sample is selected using a purposive sampling technique, where companies are chosen according to specific criteria to guarantee data relevance and consistency. These criteria including the companies that remain consistently listed and provide accessible annual reports throughout the 2020–2024 timeframe on the official IDX website or their individual corporate sites; companies that offer complete information regarding Environmental, Social, and Governance (ESG) variables as well as firm size; and companies that </w:t>
      </w:r>
      <w:r w:rsidRPr="00BF331E">
        <w:rPr>
          <w:rFonts w:ascii="Arial" w:hAnsi="Arial" w:cs="Arial"/>
          <w:sz w:val="22"/>
          <w:szCs w:val="22"/>
        </w:rPr>
        <w:lastRenderedPageBreak/>
        <w:t>do not undergo mergers, acquisitions, or sector reclassification during the observation period, to maintain data stability and comparability.</w:t>
      </w:r>
    </w:p>
    <w:p w14:paraId="3B71FA2F" w14:textId="3C264FF5" w:rsidR="00D06EF3" w:rsidRDefault="006462DA" w:rsidP="00D06EF3">
      <w:pPr>
        <w:pStyle w:val="Body"/>
        <w:rPr>
          <w:rFonts w:ascii="Arial" w:hAnsi="Arial" w:cs="Arial"/>
          <w:b/>
          <w:sz w:val="22"/>
        </w:rPr>
      </w:pPr>
      <w:r>
        <w:rPr>
          <w:rFonts w:ascii="Arial" w:hAnsi="Arial" w:cs="Arial"/>
          <w:b/>
          <w:sz w:val="22"/>
        </w:rPr>
        <w:t>3</w:t>
      </w:r>
      <w:r w:rsidR="00D06EF3" w:rsidRPr="00D06EF3">
        <w:rPr>
          <w:rFonts w:ascii="Arial" w:hAnsi="Arial" w:cs="Arial"/>
          <w:b/>
          <w:sz w:val="22"/>
        </w:rPr>
        <w:t xml:space="preserve">.2 Data Types </w:t>
      </w:r>
      <w:r w:rsidR="009E2A1D" w:rsidRPr="00D06EF3">
        <w:rPr>
          <w:rFonts w:ascii="Arial" w:hAnsi="Arial" w:cs="Arial"/>
          <w:b/>
          <w:sz w:val="22"/>
        </w:rPr>
        <w:t>and</w:t>
      </w:r>
      <w:r w:rsidR="00D06EF3" w:rsidRPr="00D06EF3">
        <w:rPr>
          <w:rFonts w:ascii="Arial" w:hAnsi="Arial" w:cs="Arial"/>
          <w:b/>
          <w:sz w:val="22"/>
        </w:rPr>
        <w:t xml:space="preserve"> Sources</w:t>
      </w:r>
    </w:p>
    <w:p w14:paraId="723736A2" w14:textId="7ED291EA" w:rsidR="009E2A1D" w:rsidRPr="00BF331E" w:rsidRDefault="009E2A1D" w:rsidP="00D06EF3">
      <w:pPr>
        <w:pStyle w:val="Body"/>
        <w:rPr>
          <w:rFonts w:ascii="Arial" w:hAnsi="Arial" w:cs="Arial"/>
          <w:sz w:val="22"/>
          <w:szCs w:val="22"/>
        </w:rPr>
      </w:pPr>
      <w:r w:rsidRPr="00BF331E">
        <w:rPr>
          <w:rFonts w:ascii="Arial" w:hAnsi="Arial" w:cs="Arial"/>
          <w:sz w:val="22"/>
          <w:szCs w:val="22"/>
        </w:rPr>
        <w:t>This research leverages secondary data sourced from the audited annual and sustainability reports of companies spanning the years 2020 to 2024, which are accessed via the official websites of the respective firms, along with additional materials such as journals, research articles, books, and pertinent online sources. The data collection approach used in this study involves documentation, where the researcher methodically compiles and examines data from existing documents to ensure the accuracy and credibility of the information utilized in the research.</w:t>
      </w:r>
    </w:p>
    <w:p w14:paraId="1E97A96E" w14:textId="08280D19" w:rsidR="00D06EF3" w:rsidRDefault="006462DA" w:rsidP="00D06EF3">
      <w:pPr>
        <w:pStyle w:val="Body"/>
        <w:rPr>
          <w:rFonts w:ascii="Arial" w:hAnsi="Arial" w:cs="Arial"/>
          <w:b/>
          <w:sz w:val="22"/>
        </w:rPr>
      </w:pPr>
      <w:r>
        <w:rPr>
          <w:rFonts w:ascii="Arial" w:hAnsi="Arial" w:cs="Arial"/>
          <w:b/>
          <w:sz w:val="22"/>
        </w:rPr>
        <w:t>3</w:t>
      </w:r>
      <w:r w:rsidR="009E2A1D">
        <w:rPr>
          <w:rFonts w:ascii="Arial" w:hAnsi="Arial" w:cs="Arial"/>
          <w:b/>
          <w:sz w:val="22"/>
        </w:rPr>
        <w:t>.</w:t>
      </w:r>
      <w:r>
        <w:rPr>
          <w:rFonts w:ascii="Arial" w:hAnsi="Arial" w:cs="Arial"/>
          <w:b/>
          <w:sz w:val="22"/>
        </w:rPr>
        <w:t>3</w:t>
      </w:r>
      <w:r w:rsidR="009E2A1D">
        <w:rPr>
          <w:rFonts w:ascii="Arial" w:hAnsi="Arial" w:cs="Arial"/>
          <w:b/>
          <w:sz w:val="22"/>
        </w:rPr>
        <w:t xml:space="preserve"> </w:t>
      </w:r>
      <w:r w:rsidR="00D06EF3" w:rsidRPr="00D06EF3">
        <w:rPr>
          <w:rFonts w:ascii="Arial" w:hAnsi="Arial" w:cs="Arial"/>
          <w:b/>
          <w:sz w:val="22"/>
        </w:rPr>
        <w:t xml:space="preserve">Variables </w:t>
      </w:r>
      <w:r w:rsidR="009E2A1D" w:rsidRPr="00D06EF3">
        <w:rPr>
          <w:rFonts w:ascii="Arial" w:hAnsi="Arial" w:cs="Arial"/>
          <w:b/>
          <w:sz w:val="22"/>
        </w:rPr>
        <w:t>and</w:t>
      </w:r>
      <w:r w:rsidR="00D06EF3" w:rsidRPr="00D06EF3">
        <w:rPr>
          <w:rFonts w:ascii="Arial" w:hAnsi="Arial" w:cs="Arial"/>
          <w:b/>
          <w:sz w:val="22"/>
        </w:rPr>
        <w:t xml:space="preserve"> Operational Definitions</w:t>
      </w:r>
    </w:p>
    <w:p w14:paraId="20090AFE" w14:textId="77777777" w:rsidR="00554E02" w:rsidRPr="00554E02" w:rsidRDefault="00554E02" w:rsidP="00554E02">
      <w:pPr>
        <w:pStyle w:val="Body"/>
        <w:rPr>
          <w:rFonts w:ascii="Arial" w:hAnsi="Arial" w:cs="Arial"/>
          <w:bCs/>
          <w:sz w:val="22"/>
        </w:rPr>
      </w:pPr>
      <w:r w:rsidRPr="00554E02">
        <w:rPr>
          <w:rFonts w:ascii="Arial" w:hAnsi="Arial" w:cs="Arial"/>
          <w:bCs/>
          <w:sz w:val="22"/>
        </w:rPr>
        <w:t>The dependent variable for this research is the Earnings Response Coefficient (ERC), which quantifies the extent of market reaction to earnings announcements made by a company. As stated by William R. Scott (2015), the ERC indicates how significantly stock returns react to unexpected earnings, while Subramanyam (2020) describes it as the responsiveness of stock returns to earnings announcements. In this analysis, ERC is derived from the regression coefficient (β) that exists between Cumulative Abnormal Return (CAR) and Unexpected Earnings (UE), in accordance with Liu (2024). CAR is calculated by employing an event study methodology with a focused window of three days prior to and three days following the earnings announcement (t-3 to t+3), which captures short-term market responses through abnormal returns, defined as the discrepancy between actual returns and expected returns. On the other hand, UE is evaluated as the change in earnings per share (EPS) from the previous period, adjusted for the prior stock price. The ERC is subsequently estimated using a regression model that connects CAR and UE, where the slope coefficient indicates the intensity of the market's response to earnings information.</w:t>
      </w:r>
    </w:p>
    <w:p w14:paraId="54066EDF" w14:textId="77777777" w:rsidR="00554E02" w:rsidRPr="00554E02" w:rsidRDefault="00554E02" w:rsidP="00554E02">
      <w:pPr>
        <w:pStyle w:val="Body"/>
        <w:rPr>
          <w:rFonts w:ascii="Arial" w:hAnsi="Arial" w:cs="Arial"/>
          <w:bCs/>
          <w:sz w:val="22"/>
        </w:rPr>
      </w:pPr>
      <w:r w:rsidRPr="00554E02">
        <w:rPr>
          <w:rFonts w:ascii="Arial" w:hAnsi="Arial" w:cs="Arial"/>
          <w:bCs/>
          <w:sz w:val="22"/>
        </w:rPr>
        <w:t>The independent variables in this research comprise Environmental, Social, and Governance (ESG) disclosures, which are considered distinct dimensions rather than a composite measure. ESG signifies non-financial metrics employed to assess corporate sustainability performance alongside its financial implications (Friede et al., 2015). The assessment of ESG disclosure aligns with the guidelines provided by the Global Reporting Initiative (2021) and is implemented based on Aydogmus et al. (2022), utilizing a disclosure index approach. Environmental disclosure (ENV) gathers information concerning energy consumption, emissions, waste management, and environmental initiatives. Social disclosure (SOC) encompasses elements such as labor practices, occupational health and safety, diversity, and human rights. Governance disclosure (GOV) involves aspects like transparency, board structure, ethics in business, and internal control frameworks. Each dimension is quantified as the portion of disclosed items in relation to the total GRI index, using a non-repetitive scoring method whereby each item is counted only once, irrespective of its recurrence in multiple reports.</w:t>
      </w:r>
    </w:p>
    <w:p w14:paraId="6FBABAA6" w14:textId="2467A295" w:rsidR="00554E02" w:rsidRPr="00554E02" w:rsidRDefault="00554E02" w:rsidP="00554E02">
      <w:pPr>
        <w:pStyle w:val="Body"/>
        <w:rPr>
          <w:rFonts w:ascii="Arial" w:hAnsi="Arial" w:cs="Arial"/>
          <w:bCs/>
          <w:sz w:val="22"/>
        </w:rPr>
      </w:pPr>
      <w:r w:rsidRPr="00554E02">
        <w:rPr>
          <w:rFonts w:ascii="Arial" w:hAnsi="Arial" w:cs="Arial"/>
          <w:bCs/>
          <w:sz w:val="22"/>
        </w:rPr>
        <w:lastRenderedPageBreak/>
        <w:t>The moderating variable in this research is firm size, which reflects the magnitude of a company’s operations and available resources. As indicated by Eugene F. Brigham and Joel F. Houston (2019), firm size can be evaluated through indicators such as total assets, sales, or market capitalization. Larger firms typically have more financial, human, and technological resources, allowing them to more effectively implement and transparently disclose ESG practices. Consequently, ESG disclosures from larger companies are viewed as more credible and verifiable by investors, thereby heightening market sensitivity to this information. This perspective aligns with the views of Orlitzky (2001) and Wijayanti et al. (2020), who argue that firm size moderates the relationship between ESG and financial performance. For the purpose of this research, firm size is represented by the natural logarithm of total assets, following Liu et al. (2024), to account for variations in operational scale within the regression model.</w:t>
      </w:r>
    </w:p>
    <w:p w14:paraId="354FD196" w14:textId="279443B3" w:rsidR="00D06EF3" w:rsidRPr="00D06EF3" w:rsidRDefault="006462DA" w:rsidP="00D06EF3">
      <w:pPr>
        <w:pStyle w:val="Body"/>
        <w:rPr>
          <w:rFonts w:ascii="Arial" w:hAnsi="Arial" w:cs="Arial"/>
          <w:b/>
          <w:sz w:val="22"/>
        </w:rPr>
      </w:pPr>
      <w:r>
        <w:rPr>
          <w:rFonts w:ascii="Arial" w:hAnsi="Arial" w:cs="Arial"/>
          <w:b/>
          <w:sz w:val="22"/>
        </w:rPr>
        <w:t>3</w:t>
      </w:r>
      <w:r w:rsidR="00D06EF3" w:rsidRPr="00D06EF3">
        <w:rPr>
          <w:rFonts w:ascii="Arial" w:hAnsi="Arial" w:cs="Arial"/>
          <w:b/>
          <w:sz w:val="22"/>
        </w:rPr>
        <w:t>.</w:t>
      </w:r>
      <w:r>
        <w:rPr>
          <w:rFonts w:ascii="Arial" w:hAnsi="Arial" w:cs="Arial"/>
          <w:b/>
          <w:sz w:val="22"/>
        </w:rPr>
        <w:t>4</w:t>
      </w:r>
      <w:r w:rsidR="00D06EF3" w:rsidRPr="00D06EF3">
        <w:rPr>
          <w:rFonts w:ascii="Arial" w:hAnsi="Arial" w:cs="Arial"/>
          <w:b/>
          <w:sz w:val="22"/>
        </w:rPr>
        <w:t xml:space="preserve"> Analysis Methods </w:t>
      </w:r>
    </w:p>
    <w:p w14:paraId="5AB485DC" w14:textId="77777777" w:rsidR="00A74007" w:rsidRDefault="00A74007" w:rsidP="00D06EF3">
      <w:pPr>
        <w:pStyle w:val="Body"/>
        <w:spacing w:after="0"/>
        <w:rPr>
          <w:rFonts w:ascii="Arial" w:hAnsi="Arial" w:cs="Arial"/>
        </w:rPr>
      </w:pPr>
      <w:r w:rsidRPr="00A74007">
        <w:rPr>
          <w:rFonts w:ascii="Arial" w:hAnsi="Arial" w:cs="Arial"/>
        </w:rPr>
        <w:t xml:space="preserve">The data analysis in this study begins with descriptive statistics to summarize the characteristics of variables using measures such as mean, median, maximum, and minimum (Sugiyono, 2013). This is followed by classical assumption tests, including normality (using probability plots and Kolmogorov–Smirnov), multicollinearity (tolerance ≤ 0.10; VIF ≥ 10), heteroskedasticity (scatterplot), and autocorrelation (Durbin–Watson), to ensure unbiased regression results (Ghozali, 2013). Model feasibility is tested using the F-test with a 5% significance level, while the coefficient of determination (R²) evaluates the explanatory power of the model (Ghozali, 2013). Multiple linear regression is applied to examine the relationships between ESG, firm size, and ERC. </w:t>
      </w:r>
    </w:p>
    <w:p w14:paraId="2BFB89A6" w14:textId="77777777" w:rsidR="00A74007" w:rsidRDefault="00A74007" w:rsidP="00D06EF3">
      <w:pPr>
        <w:pStyle w:val="Body"/>
        <w:spacing w:after="0"/>
        <w:rPr>
          <w:rFonts w:ascii="Arial" w:hAnsi="Arial" w:cs="Arial"/>
        </w:rPr>
      </w:pPr>
    </w:p>
    <w:p w14:paraId="74B1D673" w14:textId="68C1A9A4" w:rsidR="00A74007" w:rsidRDefault="00A74007" w:rsidP="00A74007">
      <w:pPr>
        <w:pStyle w:val="Body"/>
        <w:spacing w:after="0"/>
        <w:jc w:val="center"/>
        <w:rPr>
          <w:rFonts w:ascii="Arial" w:hAnsi="Arial" w:cs="Arial"/>
        </w:rPr>
      </w:pPr>
      <w:r w:rsidRPr="00A74007">
        <w:rPr>
          <w:rFonts w:ascii="Arial" w:hAnsi="Arial" w:cs="Arial"/>
        </w:rPr>
        <w:t>The baseline model is: CAR = α + β1UE + β2Env + β3(UE×Env) + β4Soc + β5(UE×Soc) + β6Gov + β7(UE×Gov) + ε, while the moderated model is: CAR = α + β1UE + β2Env + β3(UE×Env) + β4Soc + β5(UE×Soc) + β6Gov + β7(UE×Gov) + β8(UE×Env×Size) + β9(UE×Soc×Size) + β10(UE×Gov×Size) + ε.</w:t>
      </w:r>
    </w:p>
    <w:p w14:paraId="57D958C7" w14:textId="77777777" w:rsidR="00790ADA" w:rsidRPr="00FB3A86" w:rsidRDefault="00790ADA" w:rsidP="00441B6F">
      <w:pPr>
        <w:pStyle w:val="Body"/>
        <w:spacing w:after="0"/>
        <w:rPr>
          <w:rFonts w:ascii="Arial" w:hAnsi="Arial" w:cs="Arial"/>
        </w:rPr>
      </w:pPr>
    </w:p>
    <w:p w14:paraId="482FA422" w14:textId="5F530C19" w:rsidR="00902823" w:rsidRDefault="006462DA"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66B87E05" w14:textId="77777777" w:rsidR="00790ADA" w:rsidRPr="00FB3A86" w:rsidRDefault="00790ADA" w:rsidP="00441B6F">
      <w:pPr>
        <w:pStyle w:val="Head1"/>
        <w:spacing w:after="0"/>
        <w:jc w:val="both"/>
        <w:rPr>
          <w:rFonts w:ascii="Arial" w:hAnsi="Arial" w:cs="Arial"/>
        </w:rPr>
      </w:pPr>
    </w:p>
    <w:p w14:paraId="015F29A1" w14:textId="06082EAE" w:rsidR="00D6400C" w:rsidRDefault="006462DA" w:rsidP="00D6400C">
      <w:pPr>
        <w:pStyle w:val="Body"/>
        <w:rPr>
          <w:rFonts w:ascii="Arial" w:hAnsi="Arial" w:cs="Arial"/>
          <w:b/>
          <w:sz w:val="22"/>
        </w:rPr>
      </w:pPr>
      <w:r>
        <w:rPr>
          <w:rFonts w:ascii="Arial" w:hAnsi="Arial" w:cs="Arial"/>
          <w:b/>
          <w:sz w:val="22"/>
        </w:rPr>
        <w:t>4</w:t>
      </w:r>
      <w:r w:rsidR="00D6400C">
        <w:rPr>
          <w:rFonts w:ascii="Arial" w:hAnsi="Arial" w:cs="Arial"/>
          <w:b/>
          <w:sz w:val="22"/>
        </w:rPr>
        <w:t xml:space="preserve">.1 </w:t>
      </w:r>
      <w:r w:rsidR="00D6400C" w:rsidRPr="00D6400C">
        <w:rPr>
          <w:rFonts w:ascii="Arial" w:hAnsi="Arial" w:cs="Arial"/>
          <w:b/>
          <w:sz w:val="22"/>
        </w:rPr>
        <w:t>Descriptive Statistics</w:t>
      </w:r>
    </w:p>
    <w:p w14:paraId="15224321" w14:textId="77777777" w:rsidR="00D6400C" w:rsidRDefault="00D6400C" w:rsidP="00D6400C">
      <w:pPr>
        <w:pStyle w:val="Body"/>
        <w:rPr>
          <w:rFonts w:ascii="Arial" w:hAnsi="Arial" w:cs="Arial"/>
          <w:bCs/>
          <w:sz w:val="22"/>
        </w:rPr>
      </w:pPr>
      <w:r w:rsidRPr="00D6400C">
        <w:rPr>
          <w:rFonts w:ascii="Arial" w:hAnsi="Arial" w:cs="Arial"/>
          <w:bCs/>
          <w:sz w:val="22"/>
        </w:rPr>
        <w:t xml:space="preserve">The information utilized in this research consists of secondary data gathered from annual reports, sustainability reports, and stock market information from the Indonesia Stock Exchange, as well as the official websites of the respective companies. The dataset encompasses total assets, Earnings per Share (EPS), stock closing prices, and Environmental, Social, and Governance (ESG) disclosures. The sample includes all banking sector companies listed on the IDX from 2020 to 2024, with purposive sampling used for selection. Following specific criteria, 20 companies were chosen, leading to 100 firm-year observations, which were later reduced to 96 after removing 4 outliers. These companies form a consistent sample with complete ESG and financial data, thereby ensuring the analysis's reliability. </w:t>
      </w:r>
    </w:p>
    <w:p w14:paraId="362AEC90" w14:textId="27C22B47" w:rsidR="000C1988" w:rsidRDefault="000C1988" w:rsidP="00D6400C">
      <w:pPr>
        <w:pStyle w:val="Body"/>
        <w:rPr>
          <w:rFonts w:ascii="Arial" w:hAnsi="Arial" w:cs="Arial"/>
          <w:bCs/>
          <w:sz w:val="22"/>
        </w:rPr>
      </w:pPr>
      <w:r w:rsidRPr="00D6400C">
        <w:rPr>
          <w:rFonts w:ascii="Arial" w:hAnsi="Arial" w:cs="Arial"/>
          <w:bCs/>
          <w:sz w:val="22"/>
        </w:rPr>
        <w:t xml:space="preserve">Descriptive statistics are employed to provide an overview of the research variables, including minimum, maximum, mean, and standard deviation values. The findings reveal that the average CAR is relatively low (0.014), indicating that, on average, the </w:t>
      </w:r>
      <w:r w:rsidRPr="00D6400C">
        <w:rPr>
          <w:rFonts w:ascii="Arial" w:hAnsi="Arial" w:cs="Arial"/>
          <w:bCs/>
          <w:sz w:val="22"/>
        </w:rPr>
        <w:lastRenderedPageBreak/>
        <w:t>market's response to earnings announcements within the banking sector is modest, although the broad range of minimum and maximum values shows significant variability among firms.</w:t>
      </w:r>
    </w:p>
    <w:p w14:paraId="18970AA6" w14:textId="3F080299" w:rsidR="00D6400C" w:rsidRDefault="00D6400C" w:rsidP="00D6400C">
      <w:pPr>
        <w:pStyle w:val="Body"/>
        <w:jc w:val="center"/>
        <w:rPr>
          <w:rFonts w:ascii="Arial" w:hAnsi="Arial" w:cs="Arial"/>
          <w:bCs/>
          <w:sz w:val="22"/>
        </w:rPr>
      </w:pPr>
      <w:r w:rsidRPr="00D6400C">
        <w:rPr>
          <w:rFonts w:ascii="Arial" w:hAnsi="Arial" w:cs="Arial"/>
          <w:b/>
          <w:sz w:val="22"/>
        </w:rPr>
        <w:t>Table 1.</w:t>
      </w:r>
      <w:r>
        <w:rPr>
          <w:rFonts w:ascii="Arial" w:hAnsi="Arial" w:cs="Arial"/>
          <w:bCs/>
          <w:sz w:val="22"/>
        </w:rPr>
        <w:t xml:space="preserve"> Descriptive Statistics</w:t>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207"/>
        <w:gridCol w:w="1231"/>
        <w:gridCol w:w="1379"/>
        <w:gridCol w:w="1683"/>
      </w:tblGrid>
      <w:tr w:rsidR="00D6400C" w:rsidRPr="00D6400C" w14:paraId="6DD48E77" w14:textId="77777777" w:rsidTr="00D6400C">
        <w:trPr>
          <w:jc w:val="center"/>
        </w:trPr>
        <w:tc>
          <w:tcPr>
            <w:tcW w:w="0" w:type="auto"/>
            <w:hideMark/>
          </w:tcPr>
          <w:p w14:paraId="33A57504" w14:textId="77777777" w:rsidR="00D6400C" w:rsidRPr="00D6400C" w:rsidRDefault="00D6400C" w:rsidP="00D6400C">
            <w:pPr>
              <w:jc w:val="center"/>
              <w:rPr>
                <w:rFonts w:ascii="Arial" w:hAnsi="Arial" w:cs="Arial"/>
                <w:b/>
                <w:sz w:val="22"/>
              </w:rPr>
            </w:pPr>
            <w:r w:rsidRPr="00D6400C">
              <w:rPr>
                <w:rFonts w:ascii="Arial" w:hAnsi="Arial" w:cs="Arial"/>
                <w:b/>
                <w:sz w:val="22"/>
              </w:rPr>
              <w:t>Variable</w:t>
            </w:r>
          </w:p>
        </w:tc>
        <w:tc>
          <w:tcPr>
            <w:tcW w:w="0" w:type="auto"/>
            <w:hideMark/>
          </w:tcPr>
          <w:p w14:paraId="6D86E11C" w14:textId="77777777" w:rsidR="00D6400C" w:rsidRPr="00D6400C" w:rsidRDefault="00D6400C" w:rsidP="00D6400C">
            <w:pPr>
              <w:jc w:val="center"/>
              <w:rPr>
                <w:rFonts w:ascii="Arial" w:hAnsi="Arial" w:cs="Arial"/>
                <w:b/>
                <w:sz w:val="22"/>
              </w:rPr>
            </w:pPr>
            <w:r w:rsidRPr="00D6400C">
              <w:rPr>
                <w:rFonts w:ascii="Arial" w:hAnsi="Arial" w:cs="Arial"/>
                <w:b/>
                <w:sz w:val="22"/>
              </w:rPr>
              <w:t>Minimum</w:t>
            </w:r>
          </w:p>
        </w:tc>
        <w:tc>
          <w:tcPr>
            <w:tcW w:w="0" w:type="auto"/>
            <w:hideMark/>
          </w:tcPr>
          <w:p w14:paraId="6A76D406" w14:textId="77777777" w:rsidR="00D6400C" w:rsidRPr="00D6400C" w:rsidRDefault="00D6400C" w:rsidP="00D6400C">
            <w:pPr>
              <w:jc w:val="center"/>
              <w:rPr>
                <w:rFonts w:ascii="Arial" w:hAnsi="Arial" w:cs="Arial"/>
                <w:b/>
                <w:sz w:val="22"/>
              </w:rPr>
            </w:pPr>
            <w:r w:rsidRPr="00D6400C">
              <w:rPr>
                <w:rFonts w:ascii="Arial" w:hAnsi="Arial" w:cs="Arial"/>
                <w:b/>
                <w:sz w:val="22"/>
              </w:rPr>
              <w:t>Maximum</w:t>
            </w:r>
          </w:p>
        </w:tc>
        <w:tc>
          <w:tcPr>
            <w:tcW w:w="0" w:type="auto"/>
            <w:hideMark/>
          </w:tcPr>
          <w:p w14:paraId="6BB0D6C0" w14:textId="77777777" w:rsidR="00D6400C" w:rsidRPr="00D6400C" w:rsidRDefault="00D6400C" w:rsidP="00D6400C">
            <w:pPr>
              <w:jc w:val="center"/>
              <w:rPr>
                <w:rFonts w:ascii="Arial" w:hAnsi="Arial" w:cs="Arial"/>
                <w:b/>
                <w:sz w:val="22"/>
              </w:rPr>
            </w:pPr>
            <w:r w:rsidRPr="00D6400C">
              <w:rPr>
                <w:rFonts w:ascii="Arial" w:hAnsi="Arial" w:cs="Arial"/>
                <w:b/>
                <w:sz w:val="22"/>
              </w:rPr>
              <w:t>Mean</w:t>
            </w:r>
          </w:p>
        </w:tc>
        <w:tc>
          <w:tcPr>
            <w:tcW w:w="0" w:type="auto"/>
            <w:hideMark/>
          </w:tcPr>
          <w:p w14:paraId="7A2B6527" w14:textId="77777777" w:rsidR="00D6400C" w:rsidRPr="00D6400C" w:rsidRDefault="00D6400C" w:rsidP="00D6400C">
            <w:pPr>
              <w:jc w:val="center"/>
              <w:rPr>
                <w:rFonts w:ascii="Arial" w:hAnsi="Arial" w:cs="Arial"/>
                <w:b/>
                <w:sz w:val="22"/>
              </w:rPr>
            </w:pPr>
            <w:r w:rsidRPr="00D6400C">
              <w:rPr>
                <w:rFonts w:ascii="Arial" w:hAnsi="Arial" w:cs="Arial"/>
                <w:b/>
                <w:sz w:val="22"/>
              </w:rPr>
              <w:t>Std. Deviation</w:t>
            </w:r>
          </w:p>
        </w:tc>
      </w:tr>
      <w:tr w:rsidR="00D6400C" w:rsidRPr="00D6400C" w14:paraId="2816DE4E" w14:textId="77777777" w:rsidTr="00D6400C">
        <w:trPr>
          <w:jc w:val="center"/>
        </w:trPr>
        <w:tc>
          <w:tcPr>
            <w:tcW w:w="0" w:type="auto"/>
            <w:hideMark/>
          </w:tcPr>
          <w:p w14:paraId="0E6A4A78" w14:textId="77777777" w:rsidR="00D6400C" w:rsidRPr="00D6400C" w:rsidRDefault="00D6400C" w:rsidP="00D6400C">
            <w:pPr>
              <w:rPr>
                <w:rFonts w:ascii="Arial" w:hAnsi="Arial" w:cs="Arial"/>
                <w:bCs/>
                <w:sz w:val="22"/>
              </w:rPr>
            </w:pPr>
            <w:r w:rsidRPr="00D6400C">
              <w:rPr>
                <w:rFonts w:ascii="Arial" w:hAnsi="Arial" w:cs="Arial"/>
                <w:bCs/>
                <w:sz w:val="22"/>
              </w:rPr>
              <w:t>CAR</w:t>
            </w:r>
          </w:p>
        </w:tc>
        <w:tc>
          <w:tcPr>
            <w:tcW w:w="0" w:type="auto"/>
            <w:hideMark/>
          </w:tcPr>
          <w:p w14:paraId="1EB78BFA" w14:textId="77777777" w:rsidR="00D6400C" w:rsidRPr="00D6400C" w:rsidRDefault="00D6400C" w:rsidP="00D6400C">
            <w:pPr>
              <w:rPr>
                <w:rFonts w:ascii="Arial" w:hAnsi="Arial" w:cs="Arial"/>
                <w:bCs/>
                <w:sz w:val="22"/>
              </w:rPr>
            </w:pPr>
            <w:r w:rsidRPr="00D6400C">
              <w:rPr>
                <w:rFonts w:ascii="Arial" w:hAnsi="Arial" w:cs="Arial"/>
                <w:bCs/>
                <w:sz w:val="22"/>
              </w:rPr>
              <w:t>-0.192280</w:t>
            </w:r>
          </w:p>
        </w:tc>
        <w:tc>
          <w:tcPr>
            <w:tcW w:w="0" w:type="auto"/>
            <w:hideMark/>
          </w:tcPr>
          <w:p w14:paraId="0281BA02" w14:textId="77777777" w:rsidR="00D6400C" w:rsidRPr="00D6400C" w:rsidRDefault="00D6400C" w:rsidP="00D6400C">
            <w:pPr>
              <w:rPr>
                <w:rFonts w:ascii="Arial" w:hAnsi="Arial" w:cs="Arial"/>
                <w:bCs/>
                <w:sz w:val="22"/>
              </w:rPr>
            </w:pPr>
            <w:r w:rsidRPr="00D6400C">
              <w:rPr>
                <w:rFonts w:ascii="Arial" w:hAnsi="Arial" w:cs="Arial"/>
                <w:bCs/>
                <w:sz w:val="22"/>
              </w:rPr>
              <w:t>0.976435</w:t>
            </w:r>
          </w:p>
        </w:tc>
        <w:tc>
          <w:tcPr>
            <w:tcW w:w="0" w:type="auto"/>
            <w:hideMark/>
          </w:tcPr>
          <w:p w14:paraId="45C99D71" w14:textId="77777777" w:rsidR="00D6400C" w:rsidRPr="00D6400C" w:rsidRDefault="00D6400C" w:rsidP="00D6400C">
            <w:pPr>
              <w:rPr>
                <w:rFonts w:ascii="Arial" w:hAnsi="Arial" w:cs="Arial"/>
                <w:bCs/>
                <w:sz w:val="22"/>
              </w:rPr>
            </w:pPr>
            <w:r w:rsidRPr="00D6400C">
              <w:rPr>
                <w:rFonts w:ascii="Arial" w:hAnsi="Arial" w:cs="Arial"/>
                <w:bCs/>
                <w:sz w:val="22"/>
              </w:rPr>
              <w:t>0.01453035</w:t>
            </w:r>
          </w:p>
        </w:tc>
        <w:tc>
          <w:tcPr>
            <w:tcW w:w="0" w:type="auto"/>
            <w:hideMark/>
          </w:tcPr>
          <w:p w14:paraId="62A9D32A" w14:textId="77777777" w:rsidR="00D6400C" w:rsidRPr="00D6400C" w:rsidRDefault="00D6400C" w:rsidP="00D6400C">
            <w:pPr>
              <w:rPr>
                <w:rFonts w:ascii="Arial" w:hAnsi="Arial" w:cs="Arial"/>
                <w:bCs/>
                <w:sz w:val="22"/>
              </w:rPr>
            </w:pPr>
            <w:r w:rsidRPr="00D6400C">
              <w:rPr>
                <w:rFonts w:ascii="Arial" w:hAnsi="Arial" w:cs="Arial"/>
                <w:bCs/>
                <w:sz w:val="22"/>
              </w:rPr>
              <w:t>0.108682616</w:t>
            </w:r>
          </w:p>
        </w:tc>
      </w:tr>
      <w:tr w:rsidR="00D6400C" w:rsidRPr="00D6400C" w14:paraId="6590AC38" w14:textId="77777777" w:rsidTr="00D6400C">
        <w:trPr>
          <w:jc w:val="center"/>
        </w:trPr>
        <w:tc>
          <w:tcPr>
            <w:tcW w:w="0" w:type="auto"/>
            <w:hideMark/>
          </w:tcPr>
          <w:p w14:paraId="105B2D55" w14:textId="77777777" w:rsidR="00D6400C" w:rsidRPr="00D6400C" w:rsidRDefault="00D6400C" w:rsidP="00D6400C">
            <w:pPr>
              <w:rPr>
                <w:rFonts w:ascii="Arial" w:hAnsi="Arial" w:cs="Arial"/>
                <w:bCs/>
                <w:sz w:val="22"/>
              </w:rPr>
            </w:pPr>
            <w:r w:rsidRPr="00D6400C">
              <w:rPr>
                <w:rFonts w:ascii="Arial" w:hAnsi="Arial" w:cs="Arial"/>
                <w:bCs/>
                <w:sz w:val="22"/>
              </w:rPr>
              <w:t>UE</w:t>
            </w:r>
          </w:p>
        </w:tc>
        <w:tc>
          <w:tcPr>
            <w:tcW w:w="0" w:type="auto"/>
            <w:hideMark/>
          </w:tcPr>
          <w:p w14:paraId="14E6C4F0" w14:textId="77777777" w:rsidR="00D6400C" w:rsidRPr="00D6400C" w:rsidRDefault="00D6400C" w:rsidP="00D6400C">
            <w:pPr>
              <w:rPr>
                <w:rFonts w:ascii="Arial" w:hAnsi="Arial" w:cs="Arial"/>
                <w:bCs/>
                <w:sz w:val="22"/>
              </w:rPr>
            </w:pPr>
            <w:r w:rsidRPr="00D6400C">
              <w:rPr>
                <w:rFonts w:ascii="Arial" w:hAnsi="Arial" w:cs="Arial"/>
                <w:bCs/>
                <w:sz w:val="22"/>
              </w:rPr>
              <w:t>-0.217240</w:t>
            </w:r>
          </w:p>
        </w:tc>
        <w:tc>
          <w:tcPr>
            <w:tcW w:w="0" w:type="auto"/>
            <w:hideMark/>
          </w:tcPr>
          <w:p w14:paraId="741DE15C" w14:textId="77777777" w:rsidR="00D6400C" w:rsidRPr="00D6400C" w:rsidRDefault="00D6400C" w:rsidP="00D6400C">
            <w:pPr>
              <w:rPr>
                <w:rFonts w:ascii="Arial" w:hAnsi="Arial" w:cs="Arial"/>
                <w:bCs/>
                <w:sz w:val="22"/>
              </w:rPr>
            </w:pPr>
            <w:r w:rsidRPr="00D6400C">
              <w:rPr>
                <w:rFonts w:ascii="Arial" w:hAnsi="Arial" w:cs="Arial"/>
                <w:bCs/>
                <w:sz w:val="22"/>
              </w:rPr>
              <w:t>0.102600</w:t>
            </w:r>
          </w:p>
        </w:tc>
        <w:tc>
          <w:tcPr>
            <w:tcW w:w="0" w:type="auto"/>
            <w:hideMark/>
          </w:tcPr>
          <w:p w14:paraId="395B6CC6" w14:textId="77777777" w:rsidR="00D6400C" w:rsidRPr="00D6400C" w:rsidRDefault="00D6400C" w:rsidP="00D6400C">
            <w:pPr>
              <w:rPr>
                <w:rFonts w:ascii="Arial" w:hAnsi="Arial" w:cs="Arial"/>
                <w:bCs/>
                <w:sz w:val="22"/>
              </w:rPr>
            </w:pPr>
            <w:r w:rsidRPr="00D6400C">
              <w:rPr>
                <w:rFonts w:ascii="Arial" w:hAnsi="Arial" w:cs="Arial"/>
                <w:bCs/>
                <w:sz w:val="22"/>
              </w:rPr>
              <w:t>0.00467072</w:t>
            </w:r>
          </w:p>
        </w:tc>
        <w:tc>
          <w:tcPr>
            <w:tcW w:w="0" w:type="auto"/>
            <w:hideMark/>
          </w:tcPr>
          <w:p w14:paraId="0368C66B" w14:textId="77777777" w:rsidR="00D6400C" w:rsidRPr="00D6400C" w:rsidRDefault="00D6400C" w:rsidP="00D6400C">
            <w:pPr>
              <w:rPr>
                <w:rFonts w:ascii="Arial" w:hAnsi="Arial" w:cs="Arial"/>
                <w:bCs/>
                <w:sz w:val="22"/>
              </w:rPr>
            </w:pPr>
            <w:r w:rsidRPr="00D6400C">
              <w:rPr>
                <w:rFonts w:ascii="Arial" w:hAnsi="Arial" w:cs="Arial"/>
                <w:bCs/>
                <w:sz w:val="22"/>
              </w:rPr>
              <w:t>0.038731542</w:t>
            </w:r>
          </w:p>
        </w:tc>
      </w:tr>
      <w:tr w:rsidR="00D6400C" w:rsidRPr="00D6400C" w14:paraId="00E628B1" w14:textId="77777777" w:rsidTr="00D6400C">
        <w:trPr>
          <w:jc w:val="center"/>
        </w:trPr>
        <w:tc>
          <w:tcPr>
            <w:tcW w:w="0" w:type="auto"/>
            <w:hideMark/>
          </w:tcPr>
          <w:p w14:paraId="7A2BC6C4" w14:textId="77777777" w:rsidR="00D6400C" w:rsidRPr="00D6400C" w:rsidRDefault="00D6400C" w:rsidP="00D6400C">
            <w:pPr>
              <w:rPr>
                <w:rFonts w:ascii="Arial" w:hAnsi="Arial" w:cs="Arial"/>
                <w:bCs/>
                <w:sz w:val="22"/>
              </w:rPr>
            </w:pPr>
            <w:r w:rsidRPr="00D6400C">
              <w:rPr>
                <w:rFonts w:ascii="Arial" w:hAnsi="Arial" w:cs="Arial"/>
                <w:bCs/>
                <w:sz w:val="22"/>
              </w:rPr>
              <w:t>ENV</w:t>
            </w:r>
          </w:p>
        </w:tc>
        <w:tc>
          <w:tcPr>
            <w:tcW w:w="0" w:type="auto"/>
            <w:hideMark/>
          </w:tcPr>
          <w:p w14:paraId="7C755904" w14:textId="77777777" w:rsidR="00D6400C" w:rsidRPr="00D6400C" w:rsidRDefault="00D6400C" w:rsidP="00D6400C">
            <w:pPr>
              <w:rPr>
                <w:rFonts w:ascii="Arial" w:hAnsi="Arial" w:cs="Arial"/>
                <w:bCs/>
                <w:sz w:val="22"/>
              </w:rPr>
            </w:pPr>
            <w:r w:rsidRPr="00D6400C">
              <w:rPr>
                <w:rFonts w:ascii="Arial" w:hAnsi="Arial" w:cs="Arial"/>
                <w:bCs/>
                <w:sz w:val="22"/>
              </w:rPr>
              <w:t>0.000000</w:t>
            </w:r>
          </w:p>
        </w:tc>
        <w:tc>
          <w:tcPr>
            <w:tcW w:w="0" w:type="auto"/>
            <w:hideMark/>
          </w:tcPr>
          <w:p w14:paraId="3CE4EC68" w14:textId="77777777" w:rsidR="00D6400C" w:rsidRPr="00D6400C" w:rsidRDefault="00D6400C" w:rsidP="00D6400C">
            <w:pPr>
              <w:rPr>
                <w:rFonts w:ascii="Arial" w:hAnsi="Arial" w:cs="Arial"/>
                <w:bCs/>
                <w:sz w:val="22"/>
              </w:rPr>
            </w:pPr>
            <w:r w:rsidRPr="00D6400C">
              <w:rPr>
                <w:rFonts w:ascii="Arial" w:hAnsi="Arial" w:cs="Arial"/>
                <w:bCs/>
                <w:sz w:val="22"/>
              </w:rPr>
              <w:t>1.000000</w:t>
            </w:r>
          </w:p>
        </w:tc>
        <w:tc>
          <w:tcPr>
            <w:tcW w:w="0" w:type="auto"/>
            <w:hideMark/>
          </w:tcPr>
          <w:p w14:paraId="354E38A9" w14:textId="77777777" w:rsidR="00D6400C" w:rsidRPr="00D6400C" w:rsidRDefault="00D6400C" w:rsidP="00D6400C">
            <w:pPr>
              <w:rPr>
                <w:rFonts w:ascii="Arial" w:hAnsi="Arial" w:cs="Arial"/>
                <w:bCs/>
                <w:sz w:val="22"/>
              </w:rPr>
            </w:pPr>
            <w:r w:rsidRPr="00D6400C">
              <w:rPr>
                <w:rFonts w:ascii="Arial" w:hAnsi="Arial" w:cs="Arial"/>
                <w:bCs/>
                <w:sz w:val="22"/>
              </w:rPr>
              <w:t>0.42320818</w:t>
            </w:r>
          </w:p>
        </w:tc>
        <w:tc>
          <w:tcPr>
            <w:tcW w:w="0" w:type="auto"/>
            <w:hideMark/>
          </w:tcPr>
          <w:p w14:paraId="14E06DEF" w14:textId="77777777" w:rsidR="00D6400C" w:rsidRPr="00D6400C" w:rsidRDefault="00D6400C" w:rsidP="00D6400C">
            <w:pPr>
              <w:rPr>
                <w:rFonts w:ascii="Arial" w:hAnsi="Arial" w:cs="Arial"/>
                <w:bCs/>
                <w:sz w:val="22"/>
              </w:rPr>
            </w:pPr>
            <w:r w:rsidRPr="00D6400C">
              <w:rPr>
                <w:rFonts w:ascii="Arial" w:hAnsi="Arial" w:cs="Arial"/>
                <w:bCs/>
                <w:sz w:val="22"/>
              </w:rPr>
              <w:t>0.246005244</w:t>
            </w:r>
          </w:p>
        </w:tc>
      </w:tr>
      <w:tr w:rsidR="00D6400C" w:rsidRPr="00D6400C" w14:paraId="54D2D850" w14:textId="77777777" w:rsidTr="00D6400C">
        <w:trPr>
          <w:jc w:val="center"/>
        </w:trPr>
        <w:tc>
          <w:tcPr>
            <w:tcW w:w="0" w:type="auto"/>
            <w:hideMark/>
          </w:tcPr>
          <w:p w14:paraId="18B3D0FD" w14:textId="77777777" w:rsidR="00D6400C" w:rsidRPr="00D6400C" w:rsidRDefault="00D6400C" w:rsidP="00D6400C">
            <w:pPr>
              <w:rPr>
                <w:rFonts w:ascii="Arial" w:hAnsi="Arial" w:cs="Arial"/>
                <w:bCs/>
                <w:sz w:val="22"/>
              </w:rPr>
            </w:pPr>
            <w:r w:rsidRPr="00D6400C">
              <w:rPr>
                <w:rFonts w:ascii="Arial" w:hAnsi="Arial" w:cs="Arial"/>
                <w:bCs/>
                <w:sz w:val="22"/>
              </w:rPr>
              <w:t>SOC</w:t>
            </w:r>
          </w:p>
        </w:tc>
        <w:tc>
          <w:tcPr>
            <w:tcW w:w="0" w:type="auto"/>
            <w:hideMark/>
          </w:tcPr>
          <w:p w14:paraId="456546B6" w14:textId="77777777" w:rsidR="00D6400C" w:rsidRPr="00D6400C" w:rsidRDefault="00D6400C" w:rsidP="00D6400C">
            <w:pPr>
              <w:rPr>
                <w:rFonts w:ascii="Arial" w:hAnsi="Arial" w:cs="Arial"/>
                <w:bCs/>
                <w:sz w:val="22"/>
              </w:rPr>
            </w:pPr>
            <w:r w:rsidRPr="00D6400C">
              <w:rPr>
                <w:rFonts w:ascii="Arial" w:hAnsi="Arial" w:cs="Arial"/>
                <w:bCs/>
                <w:sz w:val="22"/>
              </w:rPr>
              <w:t>0.083333</w:t>
            </w:r>
          </w:p>
        </w:tc>
        <w:tc>
          <w:tcPr>
            <w:tcW w:w="0" w:type="auto"/>
            <w:hideMark/>
          </w:tcPr>
          <w:p w14:paraId="5956A06D" w14:textId="77777777" w:rsidR="00D6400C" w:rsidRPr="00D6400C" w:rsidRDefault="00D6400C" w:rsidP="00D6400C">
            <w:pPr>
              <w:rPr>
                <w:rFonts w:ascii="Arial" w:hAnsi="Arial" w:cs="Arial"/>
                <w:bCs/>
                <w:sz w:val="22"/>
              </w:rPr>
            </w:pPr>
            <w:r w:rsidRPr="00D6400C">
              <w:rPr>
                <w:rFonts w:ascii="Arial" w:hAnsi="Arial" w:cs="Arial"/>
                <w:bCs/>
                <w:sz w:val="22"/>
              </w:rPr>
              <w:t>1.000000</w:t>
            </w:r>
          </w:p>
        </w:tc>
        <w:tc>
          <w:tcPr>
            <w:tcW w:w="0" w:type="auto"/>
            <w:hideMark/>
          </w:tcPr>
          <w:p w14:paraId="6B5551D5" w14:textId="77777777" w:rsidR="00D6400C" w:rsidRPr="00D6400C" w:rsidRDefault="00D6400C" w:rsidP="00D6400C">
            <w:pPr>
              <w:rPr>
                <w:rFonts w:ascii="Arial" w:hAnsi="Arial" w:cs="Arial"/>
                <w:bCs/>
                <w:sz w:val="22"/>
              </w:rPr>
            </w:pPr>
            <w:r w:rsidRPr="00D6400C">
              <w:rPr>
                <w:rFonts w:ascii="Arial" w:hAnsi="Arial" w:cs="Arial"/>
                <w:bCs/>
                <w:sz w:val="22"/>
              </w:rPr>
              <w:t>0.52667674</w:t>
            </w:r>
          </w:p>
        </w:tc>
        <w:tc>
          <w:tcPr>
            <w:tcW w:w="0" w:type="auto"/>
            <w:hideMark/>
          </w:tcPr>
          <w:p w14:paraId="43314939" w14:textId="77777777" w:rsidR="00D6400C" w:rsidRPr="00D6400C" w:rsidRDefault="00D6400C" w:rsidP="00D6400C">
            <w:pPr>
              <w:rPr>
                <w:rFonts w:ascii="Arial" w:hAnsi="Arial" w:cs="Arial"/>
                <w:bCs/>
                <w:sz w:val="22"/>
              </w:rPr>
            </w:pPr>
            <w:r w:rsidRPr="00D6400C">
              <w:rPr>
                <w:rFonts w:ascii="Arial" w:hAnsi="Arial" w:cs="Arial"/>
                <w:bCs/>
                <w:sz w:val="22"/>
              </w:rPr>
              <w:t>0.244062033</w:t>
            </w:r>
          </w:p>
        </w:tc>
      </w:tr>
      <w:tr w:rsidR="00D6400C" w:rsidRPr="00D6400C" w14:paraId="2344F365" w14:textId="77777777" w:rsidTr="00D6400C">
        <w:trPr>
          <w:jc w:val="center"/>
        </w:trPr>
        <w:tc>
          <w:tcPr>
            <w:tcW w:w="0" w:type="auto"/>
            <w:hideMark/>
          </w:tcPr>
          <w:p w14:paraId="37C14F47" w14:textId="77777777" w:rsidR="00D6400C" w:rsidRPr="00D6400C" w:rsidRDefault="00D6400C" w:rsidP="00D6400C">
            <w:pPr>
              <w:rPr>
                <w:rFonts w:ascii="Arial" w:hAnsi="Arial" w:cs="Arial"/>
                <w:bCs/>
                <w:sz w:val="22"/>
              </w:rPr>
            </w:pPr>
            <w:r w:rsidRPr="00D6400C">
              <w:rPr>
                <w:rFonts w:ascii="Arial" w:hAnsi="Arial" w:cs="Arial"/>
                <w:bCs/>
                <w:sz w:val="22"/>
              </w:rPr>
              <w:t>GOV</w:t>
            </w:r>
          </w:p>
        </w:tc>
        <w:tc>
          <w:tcPr>
            <w:tcW w:w="0" w:type="auto"/>
            <w:hideMark/>
          </w:tcPr>
          <w:p w14:paraId="0E0B24F2" w14:textId="77777777" w:rsidR="00D6400C" w:rsidRPr="00D6400C" w:rsidRDefault="00D6400C" w:rsidP="00D6400C">
            <w:pPr>
              <w:rPr>
                <w:rFonts w:ascii="Arial" w:hAnsi="Arial" w:cs="Arial"/>
                <w:bCs/>
                <w:sz w:val="22"/>
              </w:rPr>
            </w:pPr>
            <w:r w:rsidRPr="00D6400C">
              <w:rPr>
                <w:rFonts w:ascii="Arial" w:hAnsi="Arial" w:cs="Arial"/>
                <w:bCs/>
                <w:sz w:val="22"/>
              </w:rPr>
              <w:t>0.090910</w:t>
            </w:r>
          </w:p>
        </w:tc>
        <w:tc>
          <w:tcPr>
            <w:tcW w:w="0" w:type="auto"/>
            <w:hideMark/>
          </w:tcPr>
          <w:p w14:paraId="5C951CB2" w14:textId="77777777" w:rsidR="00D6400C" w:rsidRPr="00D6400C" w:rsidRDefault="00D6400C" w:rsidP="00D6400C">
            <w:pPr>
              <w:rPr>
                <w:rFonts w:ascii="Arial" w:hAnsi="Arial" w:cs="Arial"/>
                <w:bCs/>
                <w:sz w:val="22"/>
              </w:rPr>
            </w:pPr>
            <w:r w:rsidRPr="00D6400C">
              <w:rPr>
                <w:rFonts w:ascii="Arial" w:hAnsi="Arial" w:cs="Arial"/>
                <w:bCs/>
                <w:sz w:val="22"/>
              </w:rPr>
              <w:t>1.000000</w:t>
            </w:r>
          </w:p>
        </w:tc>
        <w:tc>
          <w:tcPr>
            <w:tcW w:w="0" w:type="auto"/>
            <w:hideMark/>
          </w:tcPr>
          <w:p w14:paraId="5F7ACF20" w14:textId="77777777" w:rsidR="00D6400C" w:rsidRPr="00D6400C" w:rsidRDefault="00D6400C" w:rsidP="00D6400C">
            <w:pPr>
              <w:rPr>
                <w:rFonts w:ascii="Arial" w:hAnsi="Arial" w:cs="Arial"/>
                <w:bCs/>
                <w:sz w:val="22"/>
              </w:rPr>
            </w:pPr>
            <w:r w:rsidRPr="00D6400C">
              <w:rPr>
                <w:rFonts w:ascii="Arial" w:hAnsi="Arial" w:cs="Arial"/>
                <w:bCs/>
                <w:sz w:val="22"/>
              </w:rPr>
              <w:t>0.80112290</w:t>
            </w:r>
          </w:p>
        </w:tc>
        <w:tc>
          <w:tcPr>
            <w:tcW w:w="0" w:type="auto"/>
            <w:hideMark/>
          </w:tcPr>
          <w:p w14:paraId="0568DF23" w14:textId="77777777" w:rsidR="00D6400C" w:rsidRPr="00D6400C" w:rsidRDefault="00D6400C" w:rsidP="00D6400C">
            <w:pPr>
              <w:rPr>
                <w:rFonts w:ascii="Arial" w:hAnsi="Arial" w:cs="Arial"/>
                <w:bCs/>
                <w:sz w:val="22"/>
              </w:rPr>
            </w:pPr>
            <w:r w:rsidRPr="00D6400C">
              <w:rPr>
                <w:rFonts w:ascii="Arial" w:hAnsi="Arial" w:cs="Arial"/>
                <w:bCs/>
                <w:sz w:val="22"/>
              </w:rPr>
              <w:t>0.288113510</w:t>
            </w:r>
          </w:p>
        </w:tc>
      </w:tr>
    </w:tbl>
    <w:p w14:paraId="5166352E" w14:textId="77777777" w:rsidR="00D6400C" w:rsidRPr="00D6400C" w:rsidRDefault="00D6400C" w:rsidP="00D6400C">
      <w:pPr>
        <w:pStyle w:val="Body"/>
        <w:rPr>
          <w:rFonts w:ascii="Arial" w:hAnsi="Arial" w:cs="Arial"/>
          <w:bCs/>
          <w:sz w:val="22"/>
        </w:rPr>
      </w:pPr>
    </w:p>
    <w:p w14:paraId="57B5B105" w14:textId="63056AB4" w:rsidR="00D6400C" w:rsidRPr="00D6400C" w:rsidRDefault="00D6400C" w:rsidP="00D6400C">
      <w:pPr>
        <w:pStyle w:val="Body"/>
        <w:rPr>
          <w:rFonts w:ascii="Arial" w:hAnsi="Arial" w:cs="Arial"/>
          <w:bCs/>
          <w:sz w:val="22"/>
        </w:rPr>
      </w:pPr>
      <w:r w:rsidRPr="00D6400C">
        <w:rPr>
          <w:rFonts w:ascii="Arial" w:hAnsi="Arial" w:cs="Arial"/>
          <w:bCs/>
          <w:sz w:val="22"/>
        </w:rPr>
        <w:t>The UE variable also presents a low average (0.004), suggesting that earnings surprises are generally small, but the variation indicates that some firms experience considerable deviations in earnings performance. Regarding ESG variables, governance (GOV) exhibits the highest average (0.801), signifying that most firms possess relatively robust governance disclosure practices in comparison to the environmental (ENV) and social (SOC) dimensions. Social disclosure presents a moderate average (0.527), indicating that firms tend to actively report on social activities, whereas environmental disclosure reveals the lowest mean (0.423), implying that environmental reporting is not as comprehensive. The relatively high standard deviations across the ESG variables illustrate heterogeneity in disclosure practices, indicating that the implementation of ESG principles remains inconsistent among banking firms in Indonesia.</w:t>
      </w:r>
    </w:p>
    <w:p w14:paraId="3ACCA64F" w14:textId="54C65DCB" w:rsidR="00D6400C" w:rsidRDefault="006462DA" w:rsidP="00D6400C">
      <w:pPr>
        <w:pStyle w:val="Body"/>
        <w:rPr>
          <w:rFonts w:ascii="Arial" w:hAnsi="Arial" w:cs="Arial"/>
          <w:b/>
          <w:sz w:val="22"/>
        </w:rPr>
      </w:pPr>
      <w:r>
        <w:rPr>
          <w:rFonts w:ascii="Arial" w:hAnsi="Arial" w:cs="Arial"/>
          <w:b/>
          <w:sz w:val="22"/>
        </w:rPr>
        <w:t>4</w:t>
      </w:r>
      <w:r w:rsidR="00D6400C">
        <w:rPr>
          <w:rFonts w:ascii="Arial" w:hAnsi="Arial" w:cs="Arial"/>
          <w:b/>
          <w:sz w:val="22"/>
        </w:rPr>
        <w:t xml:space="preserve">.2 </w:t>
      </w:r>
      <w:r w:rsidR="00D6400C" w:rsidRPr="00D6400C">
        <w:rPr>
          <w:rFonts w:ascii="Arial" w:hAnsi="Arial" w:cs="Arial"/>
          <w:b/>
          <w:sz w:val="22"/>
        </w:rPr>
        <w:t>Classical Assumption Testing</w:t>
      </w:r>
    </w:p>
    <w:p w14:paraId="15DDE7E3" w14:textId="10352467" w:rsidR="00D6400C" w:rsidRPr="00D6400C" w:rsidRDefault="00D6400C" w:rsidP="00D6400C">
      <w:pPr>
        <w:pStyle w:val="Body"/>
        <w:rPr>
          <w:rFonts w:ascii="Arial" w:hAnsi="Arial" w:cs="Arial"/>
          <w:bCs/>
          <w:sz w:val="22"/>
        </w:rPr>
      </w:pPr>
      <w:r w:rsidRPr="00D6400C">
        <w:rPr>
          <w:rFonts w:ascii="Arial" w:hAnsi="Arial" w:cs="Arial"/>
          <w:bCs/>
          <w:sz w:val="22"/>
        </w:rPr>
        <w:t>The traditional assumption tests were performed to validate the regression model, involving checks for normality, multicollinearity, heteroskedasticity, and autocorrelation. The normality assessment, utilizing both the normal probability plot and the One-Sample Kolmogorov-Smirnov test, demonstrates that the residuals follow a normal distribution, as the data points align with the diagonal line and the significance value is greater than 0.05 (Asymp. Sig. = 0.200), which aligns with the criteria suggested by Imam Ghozali (2013). The multicollinearity evaluation indicates that all variables possess tolerance values exceeding 0.10 and VIF values below 10, signifying no significant correlation among the independent variables. Additionally, the heteroskedasticity analysis, based on the scatterplot, shows no evident pattern, implying homoskedasticity within the model. Regarding autocorrelation, the Durbin-Watson statistic of 1.864 resides in the inconclusive range; however, the Runs Test indicates a significance value of 0.101 (&gt;0.05), confirming that the residuals exhibit a random distribution and are devoid of autocorrelation. In summary, these findings suggest that the regression model meets the classical assumptions and is suitable for further examination.</w:t>
      </w:r>
    </w:p>
    <w:p w14:paraId="5814ED9B" w14:textId="477AEB8E" w:rsidR="00D6400C" w:rsidRDefault="00D6400C" w:rsidP="00D6400C">
      <w:pPr>
        <w:pStyle w:val="Body"/>
        <w:rPr>
          <w:rFonts w:ascii="Arial" w:hAnsi="Arial" w:cs="Arial"/>
          <w:b/>
          <w:sz w:val="22"/>
        </w:rPr>
      </w:pPr>
      <w:r>
        <w:rPr>
          <w:rFonts w:ascii="Arial" w:hAnsi="Arial" w:cs="Arial"/>
          <w:b/>
          <w:sz w:val="22"/>
        </w:rPr>
        <w:t xml:space="preserve">3.3 </w:t>
      </w:r>
      <w:r w:rsidRPr="00D6400C">
        <w:rPr>
          <w:rFonts w:ascii="Arial" w:hAnsi="Arial" w:cs="Arial"/>
          <w:b/>
          <w:sz w:val="22"/>
        </w:rPr>
        <w:t>Moderated Regression Analysis Results</w:t>
      </w:r>
    </w:p>
    <w:p w14:paraId="298C75E3" w14:textId="01399770" w:rsidR="00457225" w:rsidRDefault="007A2F43" w:rsidP="00D6400C">
      <w:pPr>
        <w:pStyle w:val="Body"/>
        <w:rPr>
          <w:rFonts w:ascii="Arial" w:hAnsi="Arial" w:cs="Arial"/>
          <w:sz w:val="22"/>
          <w:szCs w:val="22"/>
        </w:rPr>
      </w:pPr>
      <w:r w:rsidRPr="007A2F43">
        <w:rPr>
          <w:rFonts w:ascii="Arial" w:hAnsi="Arial" w:cs="Arial"/>
          <w:sz w:val="22"/>
          <w:szCs w:val="22"/>
        </w:rPr>
        <w:lastRenderedPageBreak/>
        <w:t>The moderating regression analysis in this study employs Hierarchical Regression Analysis using IBM SPSS 30.0 to examine both direct and moderating effects of Environmental, Social, and Governance (ESG) on Earnings Response Coefficient (ERC). The results of Model I are presented as follows</w:t>
      </w:r>
    </w:p>
    <w:p w14:paraId="4CC2EC37" w14:textId="0703D42D" w:rsidR="00384565" w:rsidRPr="007A2F43" w:rsidRDefault="00384565" w:rsidP="00D6400C">
      <w:pPr>
        <w:pStyle w:val="Body"/>
        <w:rPr>
          <w:rFonts w:ascii="Arial" w:hAnsi="Arial" w:cs="Arial"/>
          <w:sz w:val="22"/>
          <w:szCs w:val="22"/>
        </w:rPr>
      </w:pPr>
      <w:r>
        <w:rPr>
          <w:rFonts w:ascii="Arial" w:hAnsi="Arial" w:cs="Arial"/>
          <w:sz w:val="22"/>
          <w:szCs w:val="22"/>
        </w:rPr>
        <w:t xml:space="preserve">Table 2 : </w:t>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40"/>
        <w:gridCol w:w="1231"/>
        <w:gridCol w:w="840"/>
        <w:gridCol w:w="840"/>
        <w:gridCol w:w="767"/>
      </w:tblGrid>
      <w:tr w:rsidR="007A2F43" w:rsidRPr="007A2F43" w14:paraId="65ED6CB5" w14:textId="77777777" w:rsidTr="007A2F43">
        <w:trPr>
          <w:jc w:val="center"/>
        </w:trPr>
        <w:tc>
          <w:tcPr>
            <w:tcW w:w="0" w:type="auto"/>
            <w:hideMark/>
          </w:tcPr>
          <w:p w14:paraId="524E65FB"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Variable</w:t>
            </w:r>
          </w:p>
        </w:tc>
        <w:tc>
          <w:tcPr>
            <w:tcW w:w="0" w:type="auto"/>
            <w:hideMark/>
          </w:tcPr>
          <w:p w14:paraId="24AB3D87"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B</w:t>
            </w:r>
          </w:p>
        </w:tc>
        <w:tc>
          <w:tcPr>
            <w:tcW w:w="0" w:type="auto"/>
            <w:hideMark/>
          </w:tcPr>
          <w:p w14:paraId="58643ABC"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Std. Error</w:t>
            </w:r>
          </w:p>
        </w:tc>
        <w:tc>
          <w:tcPr>
            <w:tcW w:w="0" w:type="auto"/>
            <w:hideMark/>
          </w:tcPr>
          <w:p w14:paraId="182E1E35"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Beta</w:t>
            </w:r>
          </w:p>
        </w:tc>
        <w:tc>
          <w:tcPr>
            <w:tcW w:w="0" w:type="auto"/>
            <w:hideMark/>
          </w:tcPr>
          <w:p w14:paraId="3C499DE9"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t</w:t>
            </w:r>
          </w:p>
        </w:tc>
        <w:tc>
          <w:tcPr>
            <w:tcW w:w="0" w:type="auto"/>
            <w:hideMark/>
          </w:tcPr>
          <w:p w14:paraId="6F3BD87F"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Sig.</w:t>
            </w:r>
          </w:p>
        </w:tc>
      </w:tr>
      <w:tr w:rsidR="007A2F43" w:rsidRPr="007A2F43" w14:paraId="449333B7" w14:textId="77777777" w:rsidTr="007A2F43">
        <w:trPr>
          <w:jc w:val="center"/>
        </w:trPr>
        <w:tc>
          <w:tcPr>
            <w:tcW w:w="0" w:type="auto"/>
            <w:hideMark/>
          </w:tcPr>
          <w:p w14:paraId="60703D3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Constant</w:t>
            </w:r>
          </w:p>
        </w:tc>
        <w:tc>
          <w:tcPr>
            <w:tcW w:w="0" w:type="auto"/>
            <w:hideMark/>
          </w:tcPr>
          <w:p w14:paraId="4CEA0CB3"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-0.035</w:t>
            </w:r>
          </w:p>
        </w:tc>
        <w:tc>
          <w:tcPr>
            <w:tcW w:w="0" w:type="auto"/>
            <w:hideMark/>
          </w:tcPr>
          <w:p w14:paraId="49F60A1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0.055</w:t>
            </w:r>
          </w:p>
        </w:tc>
        <w:tc>
          <w:tcPr>
            <w:tcW w:w="0" w:type="auto"/>
            <w:hideMark/>
          </w:tcPr>
          <w:p w14:paraId="7EECFC3F"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w:t>
            </w:r>
          </w:p>
        </w:tc>
        <w:tc>
          <w:tcPr>
            <w:tcW w:w="0" w:type="auto"/>
            <w:hideMark/>
          </w:tcPr>
          <w:p w14:paraId="6496076D"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-0.640</w:t>
            </w:r>
          </w:p>
        </w:tc>
        <w:tc>
          <w:tcPr>
            <w:tcW w:w="0" w:type="auto"/>
            <w:hideMark/>
          </w:tcPr>
          <w:p w14:paraId="6AA7DB4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0.524</w:t>
            </w:r>
          </w:p>
        </w:tc>
      </w:tr>
      <w:tr w:rsidR="007A2F43" w:rsidRPr="007A2F43" w14:paraId="16B6B050" w14:textId="77777777" w:rsidTr="007A2F43">
        <w:trPr>
          <w:jc w:val="center"/>
        </w:trPr>
        <w:tc>
          <w:tcPr>
            <w:tcW w:w="0" w:type="auto"/>
            <w:hideMark/>
          </w:tcPr>
          <w:p w14:paraId="5E33CAE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UE</w:t>
            </w:r>
          </w:p>
        </w:tc>
        <w:tc>
          <w:tcPr>
            <w:tcW w:w="0" w:type="auto"/>
            <w:hideMark/>
          </w:tcPr>
          <w:p w14:paraId="03FC989A"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0.038</w:t>
            </w:r>
          </w:p>
        </w:tc>
        <w:tc>
          <w:tcPr>
            <w:tcW w:w="0" w:type="auto"/>
            <w:hideMark/>
          </w:tcPr>
          <w:p w14:paraId="0C770FC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0.058</w:t>
            </w:r>
          </w:p>
        </w:tc>
        <w:tc>
          <w:tcPr>
            <w:tcW w:w="0" w:type="auto"/>
            <w:hideMark/>
          </w:tcPr>
          <w:p w14:paraId="4EA447B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0.068</w:t>
            </w:r>
          </w:p>
        </w:tc>
        <w:tc>
          <w:tcPr>
            <w:tcW w:w="0" w:type="auto"/>
            <w:hideMark/>
          </w:tcPr>
          <w:p w14:paraId="0F6000D7"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0.654</w:t>
            </w:r>
          </w:p>
        </w:tc>
        <w:tc>
          <w:tcPr>
            <w:tcW w:w="0" w:type="auto"/>
            <w:hideMark/>
          </w:tcPr>
          <w:p w14:paraId="710CE4E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0.515</w:t>
            </w:r>
          </w:p>
        </w:tc>
      </w:tr>
      <w:tr w:rsidR="007A2F43" w:rsidRPr="007A2F43" w14:paraId="62868147" w14:textId="77777777" w:rsidTr="007A2F43">
        <w:trPr>
          <w:jc w:val="center"/>
        </w:trPr>
        <w:tc>
          <w:tcPr>
            <w:tcW w:w="0" w:type="auto"/>
            <w:hideMark/>
          </w:tcPr>
          <w:p w14:paraId="7996B5AA"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Env</w:t>
            </w:r>
          </w:p>
        </w:tc>
        <w:tc>
          <w:tcPr>
            <w:tcW w:w="0" w:type="auto"/>
            <w:hideMark/>
          </w:tcPr>
          <w:p w14:paraId="25C43B5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0.128</w:t>
            </w:r>
          </w:p>
        </w:tc>
        <w:tc>
          <w:tcPr>
            <w:tcW w:w="0" w:type="auto"/>
            <w:hideMark/>
          </w:tcPr>
          <w:p w14:paraId="7425206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0.076</w:t>
            </w:r>
          </w:p>
        </w:tc>
        <w:tc>
          <w:tcPr>
            <w:tcW w:w="0" w:type="auto"/>
            <w:hideMark/>
          </w:tcPr>
          <w:p w14:paraId="4F58877A"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0.287</w:t>
            </w:r>
          </w:p>
        </w:tc>
        <w:tc>
          <w:tcPr>
            <w:tcW w:w="0" w:type="auto"/>
            <w:hideMark/>
          </w:tcPr>
          <w:p w14:paraId="1252236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1.686</w:t>
            </w:r>
          </w:p>
        </w:tc>
        <w:tc>
          <w:tcPr>
            <w:tcW w:w="0" w:type="auto"/>
            <w:hideMark/>
          </w:tcPr>
          <w:p w14:paraId="7425A060"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0.095</w:t>
            </w:r>
          </w:p>
        </w:tc>
      </w:tr>
      <w:tr w:rsidR="007A2F43" w:rsidRPr="007A2F43" w14:paraId="2108A40C" w14:textId="77777777" w:rsidTr="007A2F43">
        <w:trPr>
          <w:jc w:val="center"/>
        </w:trPr>
        <w:tc>
          <w:tcPr>
            <w:tcW w:w="0" w:type="auto"/>
            <w:hideMark/>
          </w:tcPr>
          <w:p w14:paraId="5D1A6B1D"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Soc</w:t>
            </w:r>
          </w:p>
        </w:tc>
        <w:tc>
          <w:tcPr>
            <w:tcW w:w="0" w:type="auto"/>
            <w:hideMark/>
          </w:tcPr>
          <w:p w14:paraId="598C2E1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-0.007</w:t>
            </w:r>
          </w:p>
        </w:tc>
        <w:tc>
          <w:tcPr>
            <w:tcW w:w="0" w:type="auto"/>
            <w:hideMark/>
          </w:tcPr>
          <w:p w14:paraId="71D05003"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0.066</w:t>
            </w:r>
          </w:p>
        </w:tc>
        <w:tc>
          <w:tcPr>
            <w:tcW w:w="0" w:type="auto"/>
            <w:hideMark/>
          </w:tcPr>
          <w:p w14:paraId="5F9A7D5F"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-0.015</w:t>
            </w:r>
          </w:p>
        </w:tc>
        <w:tc>
          <w:tcPr>
            <w:tcW w:w="0" w:type="auto"/>
            <w:hideMark/>
          </w:tcPr>
          <w:p w14:paraId="44C8902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-0.099</w:t>
            </w:r>
          </w:p>
        </w:tc>
        <w:tc>
          <w:tcPr>
            <w:tcW w:w="0" w:type="auto"/>
            <w:hideMark/>
          </w:tcPr>
          <w:p w14:paraId="5D4E546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0.921</w:t>
            </w:r>
          </w:p>
        </w:tc>
      </w:tr>
      <w:tr w:rsidR="007A2F43" w:rsidRPr="007A2F43" w14:paraId="3652DE1D" w14:textId="77777777" w:rsidTr="007A2F43">
        <w:trPr>
          <w:jc w:val="center"/>
        </w:trPr>
        <w:tc>
          <w:tcPr>
            <w:tcW w:w="0" w:type="auto"/>
            <w:hideMark/>
          </w:tcPr>
          <w:p w14:paraId="638A35C7"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Gov</w:t>
            </w:r>
          </w:p>
        </w:tc>
        <w:tc>
          <w:tcPr>
            <w:tcW w:w="0" w:type="auto"/>
            <w:hideMark/>
          </w:tcPr>
          <w:p w14:paraId="483DEFD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0.065</w:t>
            </w:r>
          </w:p>
        </w:tc>
        <w:tc>
          <w:tcPr>
            <w:tcW w:w="0" w:type="auto"/>
            <w:hideMark/>
          </w:tcPr>
          <w:p w14:paraId="0B267E5F"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0.047</w:t>
            </w:r>
          </w:p>
        </w:tc>
        <w:tc>
          <w:tcPr>
            <w:tcW w:w="0" w:type="auto"/>
            <w:hideMark/>
          </w:tcPr>
          <w:p w14:paraId="5ECABAA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0.146</w:t>
            </w:r>
          </w:p>
        </w:tc>
        <w:tc>
          <w:tcPr>
            <w:tcW w:w="0" w:type="auto"/>
            <w:hideMark/>
          </w:tcPr>
          <w:p w14:paraId="2266B49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1.394</w:t>
            </w:r>
          </w:p>
        </w:tc>
        <w:tc>
          <w:tcPr>
            <w:tcW w:w="0" w:type="auto"/>
            <w:hideMark/>
          </w:tcPr>
          <w:p w14:paraId="5929DEBD"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0.167</w:t>
            </w:r>
          </w:p>
        </w:tc>
      </w:tr>
      <w:tr w:rsidR="007A2F43" w:rsidRPr="007A2F43" w14:paraId="137AF531" w14:textId="77777777" w:rsidTr="007A2F43">
        <w:trPr>
          <w:jc w:val="center"/>
        </w:trPr>
        <w:tc>
          <w:tcPr>
            <w:tcW w:w="0" w:type="auto"/>
            <w:hideMark/>
          </w:tcPr>
          <w:p w14:paraId="241FD62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UE×Env</w:t>
            </w:r>
          </w:p>
        </w:tc>
        <w:tc>
          <w:tcPr>
            <w:tcW w:w="0" w:type="auto"/>
            <w:hideMark/>
          </w:tcPr>
          <w:p w14:paraId="7466706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-0.076</w:t>
            </w:r>
          </w:p>
        </w:tc>
        <w:tc>
          <w:tcPr>
            <w:tcW w:w="0" w:type="auto"/>
            <w:hideMark/>
          </w:tcPr>
          <w:p w14:paraId="18F3E788"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0.059</w:t>
            </w:r>
          </w:p>
        </w:tc>
        <w:tc>
          <w:tcPr>
            <w:tcW w:w="0" w:type="auto"/>
            <w:hideMark/>
          </w:tcPr>
          <w:p w14:paraId="60060F77"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-0.134</w:t>
            </w:r>
          </w:p>
        </w:tc>
        <w:tc>
          <w:tcPr>
            <w:tcW w:w="0" w:type="auto"/>
            <w:hideMark/>
          </w:tcPr>
          <w:p w14:paraId="638C37DF"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-1.281</w:t>
            </w:r>
          </w:p>
        </w:tc>
        <w:tc>
          <w:tcPr>
            <w:tcW w:w="0" w:type="auto"/>
            <w:hideMark/>
          </w:tcPr>
          <w:p w14:paraId="1548589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0.204</w:t>
            </w:r>
          </w:p>
        </w:tc>
      </w:tr>
      <w:tr w:rsidR="007A2F43" w:rsidRPr="007A2F43" w14:paraId="46E515CF" w14:textId="77777777" w:rsidTr="007A2F43">
        <w:trPr>
          <w:jc w:val="center"/>
        </w:trPr>
        <w:tc>
          <w:tcPr>
            <w:tcW w:w="0" w:type="auto"/>
            <w:hideMark/>
          </w:tcPr>
          <w:p w14:paraId="6F1D20F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UE×Soc</w:t>
            </w:r>
          </w:p>
        </w:tc>
        <w:tc>
          <w:tcPr>
            <w:tcW w:w="0" w:type="auto"/>
            <w:hideMark/>
          </w:tcPr>
          <w:p w14:paraId="4B862DC5"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-0.064</w:t>
            </w:r>
          </w:p>
        </w:tc>
        <w:tc>
          <w:tcPr>
            <w:tcW w:w="0" w:type="auto"/>
            <w:hideMark/>
          </w:tcPr>
          <w:p w14:paraId="7596C57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0.046</w:t>
            </w:r>
          </w:p>
        </w:tc>
        <w:tc>
          <w:tcPr>
            <w:tcW w:w="0" w:type="auto"/>
            <w:hideMark/>
          </w:tcPr>
          <w:p w14:paraId="342168F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-0.184</w:t>
            </w:r>
          </w:p>
        </w:tc>
        <w:tc>
          <w:tcPr>
            <w:tcW w:w="0" w:type="auto"/>
            <w:hideMark/>
          </w:tcPr>
          <w:p w14:paraId="00C4178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-1.385</w:t>
            </w:r>
          </w:p>
        </w:tc>
        <w:tc>
          <w:tcPr>
            <w:tcW w:w="0" w:type="auto"/>
            <w:hideMark/>
          </w:tcPr>
          <w:p w14:paraId="7DC698E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0.169</w:t>
            </w:r>
          </w:p>
        </w:tc>
      </w:tr>
      <w:tr w:rsidR="007A2F43" w:rsidRPr="007A2F43" w14:paraId="1C089F6D" w14:textId="77777777" w:rsidTr="007A2F43">
        <w:trPr>
          <w:jc w:val="center"/>
        </w:trPr>
        <w:tc>
          <w:tcPr>
            <w:tcW w:w="0" w:type="auto"/>
            <w:hideMark/>
          </w:tcPr>
          <w:p w14:paraId="5D829278"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UE×Gov</w:t>
            </w:r>
          </w:p>
        </w:tc>
        <w:tc>
          <w:tcPr>
            <w:tcW w:w="0" w:type="auto"/>
            <w:hideMark/>
          </w:tcPr>
          <w:p w14:paraId="7539F17D"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-0.031</w:t>
            </w:r>
          </w:p>
        </w:tc>
        <w:tc>
          <w:tcPr>
            <w:tcW w:w="0" w:type="auto"/>
            <w:hideMark/>
          </w:tcPr>
          <w:p w14:paraId="4AF237D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0.056</w:t>
            </w:r>
          </w:p>
        </w:tc>
        <w:tc>
          <w:tcPr>
            <w:tcW w:w="0" w:type="auto"/>
            <w:hideMark/>
          </w:tcPr>
          <w:p w14:paraId="49549DC0"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-0.061</w:t>
            </w:r>
          </w:p>
        </w:tc>
        <w:tc>
          <w:tcPr>
            <w:tcW w:w="0" w:type="auto"/>
            <w:hideMark/>
          </w:tcPr>
          <w:p w14:paraId="4E34B18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-0.548</w:t>
            </w:r>
          </w:p>
        </w:tc>
        <w:tc>
          <w:tcPr>
            <w:tcW w:w="0" w:type="auto"/>
            <w:hideMark/>
          </w:tcPr>
          <w:p w14:paraId="568A8B23"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0.585</w:t>
            </w:r>
          </w:p>
        </w:tc>
      </w:tr>
    </w:tbl>
    <w:p w14:paraId="1D1196EF" w14:textId="77777777" w:rsidR="006462DA" w:rsidRDefault="006462DA" w:rsidP="00D6400C">
      <w:pPr>
        <w:pStyle w:val="Body"/>
        <w:rPr>
          <w:rFonts w:ascii="Arial" w:hAnsi="Arial" w:cs="Arial"/>
          <w:sz w:val="22"/>
          <w:szCs w:val="22"/>
        </w:rPr>
      </w:pPr>
    </w:p>
    <w:p w14:paraId="5165771C" w14:textId="36BD73D6" w:rsidR="007A2F43" w:rsidRPr="007A2F43" w:rsidRDefault="007A2F43" w:rsidP="00D6400C">
      <w:pPr>
        <w:pStyle w:val="Body"/>
        <w:rPr>
          <w:rFonts w:ascii="Arial" w:hAnsi="Arial" w:cs="Arial"/>
          <w:sz w:val="22"/>
          <w:szCs w:val="22"/>
        </w:rPr>
      </w:pPr>
      <w:r w:rsidRPr="007A2F43">
        <w:rPr>
          <w:rFonts w:ascii="Arial" w:hAnsi="Arial" w:cs="Arial"/>
          <w:sz w:val="22"/>
          <w:szCs w:val="22"/>
        </w:rPr>
        <w:t>The regression equation for Model I is:</w:t>
      </w:r>
      <w:r w:rsidRPr="007A2F43">
        <w:rPr>
          <w:rFonts w:ascii="Arial" w:hAnsi="Arial" w:cs="Arial"/>
          <w:sz w:val="22"/>
          <w:szCs w:val="22"/>
        </w:rPr>
        <w:br/>
        <w:t>CAR = -0.035 + 0.038UE + 0.128Env – 0.076UE×Env – 0.007Soc – 0.064UE×Soc + 0.065Gov – 0.031UE×Gov + ε.</w:t>
      </w:r>
    </w:p>
    <w:p w14:paraId="621B6F4F" w14:textId="70455182" w:rsidR="007A2F43" w:rsidRDefault="007A2F43" w:rsidP="007A2F43">
      <w:pPr>
        <w:pStyle w:val="NormalWeb"/>
        <w:rPr>
          <w:rFonts w:ascii="Arial" w:hAnsi="Arial" w:cs="Arial"/>
          <w:sz w:val="22"/>
          <w:szCs w:val="22"/>
          <w:lang w:val="en-US"/>
        </w:rPr>
      </w:pPr>
      <w:r w:rsidRPr="007A2F43">
        <w:rPr>
          <w:rFonts w:ascii="Arial" w:hAnsi="Arial" w:cs="Arial"/>
          <w:sz w:val="22"/>
          <w:szCs w:val="22"/>
          <w:lang w:val="en-US"/>
        </w:rPr>
        <w:t>Furthermore, Model II incorporates firm size as a moderating variable, with the results summarized below</w:t>
      </w:r>
    </w:p>
    <w:p w14:paraId="0511D20C" w14:textId="7ACF7C8D" w:rsidR="00384565" w:rsidRPr="007A2F43" w:rsidRDefault="00384565" w:rsidP="007A2F43">
      <w:pPr>
        <w:pStyle w:val="NormalWeb"/>
        <w:rPr>
          <w:rFonts w:ascii="Arial" w:hAnsi="Arial" w:cs="Arial"/>
          <w:sz w:val="22"/>
          <w:szCs w:val="22"/>
          <w:lang w:val="en-US"/>
        </w:rPr>
      </w:pPr>
      <w:r>
        <w:rPr>
          <w:rFonts w:ascii="Arial" w:hAnsi="Arial" w:cs="Arial"/>
          <w:sz w:val="22"/>
          <w:szCs w:val="22"/>
          <w:lang w:val="en-US"/>
        </w:rPr>
        <w:t xml:space="preserve">Table 3 : </w:t>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840"/>
        <w:gridCol w:w="1231"/>
        <w:gridCol w:w="840"/>
        <w:gridCol w:w="840"/>
        <w:gridCol w:w="767"/>
      </w:tblGrid>
      <w:tr w:rsidR="007A2F43" w:rsidRPr="007A2F43" w14:paraId="6664E933" w14:textId="77777777" w:rsidTr="007A2F43">
        <w:trPr>
          <w:jc w:val="center"/>
        </w:trPr>
        <w:tc>
          <w:tcPr>
            <w:tcW w:w="0" w:type="auto"/>
            <w:hideMark/>
          </w:tcPr>
          <w:p w14:paraId="64D9D484"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Variable</w:t>
            </w:r>
          </w:p>
        </w:tc>
        <w:tc>
          <w:tcPr>
            <w:tcW w:w="0" w:type="auto"/>
            <w:hideMark/>
          </w:tcPr>
          <w:p w14:paraId="13BABCB9"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B</w:t>
            </w:r>
          </w:p>
        </w:tc>
        <w:tc>
          <w:tcPr>
            <w:tcW w:w="0" w:type="auto"/>
            <w:hideMark/>
          </w:tcPr>
          <w:p w14:paraId="7DE6C6D7"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Std. Error</w:t>
            </w:r>
          </w:p>
        </w:tc>
        <w:tc>
          <w:tcPr>
            <w:tcW w:w="0" w:type="auto"/>
            <w:hideMark/>
          </w:tcPr>
          <w:p w14:paraId="19672ACE"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Beta</w:t>
            </w:r>
          </w:p>
        </w:tc>
        <w:tc>
          <w:tcPr>
            <w:tcW w:w="0" w:type="auto"/>
            <w:hideMark/>
          </w:tcPr>
          <w:p w14:paraId="25E1EEB0"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t</w:t>
            </w:r>
          </w:p>
        </w:tc>
        <w:tc>
          <w:tcPr>
            <w:tcW w:w="0" w:type="auto"/>
            <w:hideMark/>
          </w:tcPr>
          <w:p w14:paraId="678EA536" w14:textId="77777777" w:rsidR="007A2F43" w:rsidRPr="007A2F43" w:rsidRDefault="007A2F43" w:rsidP="007A2F43">
            <w:pPr>
              <w:jc w:val="center"/>
              <w:rPr>
                <w:rFonts w:ascii="Arial" w:hAnsi="Arial" w:cs="Arial"/>
                <w:b/>
                <w:bCs/>
                <w:sz w:val="22"/>
                <w:szCs w:val="22"/>
                <w:lang w:val="en-ID"/>
              </w:rPr>
            </w:pPr>
            <w:r w:rsidRPr="007A2F43">
              <w:rPr>
                <w:rFonts w:ascii="Arial" w:hAnsi="Arial" w:cs="Arial"/>
                <w:b/>
                <w:bCs/>
                <w:sz w:val="22"/>
                <w:szCs w:val="22"/>
                <w:lang w:val="en-ID"/>
              </w:rPr>
              <w:t>Sig.</w:t>
            </w:r>
          </w:p>
        </w:tc>
      </w:tr>
      <w:tr w:rsidR="007A2F43" w:rsidRPr="007A2F43" w14:paraId="2B6210FA" w14:textId="77777777" w:rsidTr="007A2F43">
        <w:trPr>
          <w:jc w:val="center"/>
        </w:trPr>
        <w:tc>
          <w:tcPr>
            <w:tcW w:w="0" w:type="auto"/>
            <w:hideMark/>
          </w:tcPr>
          <w:p w14:paraId="4853288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Constant</w:t>
            </w:r>
          </w:p>
        </w:tc>
        <w:tc>
          <w:tcPr>
            <w:tcW w:w="0" w:type="auto"/>
            <w:hideMark/>
          </w:tcPr>
          <w:p w14:paraId="3946F5E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-0.041</w:t>
            </w:r>
          </w:p>
        </w:tc>
        <w:tc>
          <w:tcPr>
            <w:tcW w:w="0" w:type="auto"/>
            <w:hideMark/>
          </w:tcPr>
          <w:p w14:paraId="7254422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0.053</w:t>
            </w:r>
          </w:p>
        </w:tc>
        <w:tc>
          <w:tcPr>
            <w:tcW w:w="0" w:type="auto"/>
            <w:hideMark/>
          </w:tcPr>
          <w:p w14:paraId="2579FA6E"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w:t>
            </w:r>
          </w:p>
        </w:tc>
        <w:tc>
          <w:tcPr>
            <w:tcW w:w="0" w:type="auto"/>
            <w:hideMark/>
          </w:tcPr>
          <w:p w14:paraId="53890CFA"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-0.776</w:t>
            </w:r>
          </w:p>
        </w:tc>
        <w:tc>
          <w:tcPr>
            <w:tcW w:w="0" w:type="auto"/>
            <w:hideMark/>
          </w:tcPr>
          <w:p w14:paraId="4BC3A37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0.440</w:t>
            </w:r>
          </w:p>
        </w:tc>
      </w:tr>
      <w:tr w:rsidR="007A2F43" w:rsidRPr="007A2F43" w14:paraId="7D8860F1" w14:textId="77777777" w:rsidTr="007A2F43">
        <w:trPr>
          <w:jc w:val="center"/>
        </w:trPr>
        <w:tc>
          <w:tcPr>
            <w:tcW w:w="0" w:type="auto"/>
            <w:hideMark/>
          </w:tcPr>
          <w:p w14:paraId="6C320203"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UE</w:t>
            </w:r>
          </w:p>
        </w:tc>
        <w:tc>
          <w:tcPr>
            <w:tcW w:w="0" w:type="auto"/>
            <w:hideMark/>
          </w:tcPr>
          <w:p w14:paraId="558419F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-0.001</w:t>
            </w:r>
          </w:p>
        </w:tc>
        <w:tc>
          <w:tcPr>
            <w:tcW w:w="0" w:type="auto"/>
            <w:hideMark/>
          </w:tcPr>
          <w:p w14:paraId="47E4C95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0.057</w:t>
            </w:r>
          </w:p>
        </w:tc>
        <w:tc>
          <w:tcPr>
            <w:tcW w:w="0" w:type="auto"/>
            <w:hideMark/>
          </w:tcPr>
          <w:p w14:paraId="2F0DA3D7"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-0.001</w:t>
            </w:r>
          </w:p>
        </w:tc>
        <w:tc>
          <w:tcPr>
            <w:tcW w:w="0" w:type="auto"/>
            <w:hideMark/>
          </w:tcPr>
          <w:p w14:paraId="39534BA5"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-0.015</w:t>
            </w:r>
          </w:p>
        </w:tc>
        <w:tc>
          <w:tcPr>
            <w:tcW w:w="0" w:type="auto"/>
            <w:hideMark/>
          </w:tcPr>
          <w:p w14:paraId="4B89B8EE"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0.988</w:t>
            </w:r>
          </w:p>
        </w:tc>
      </w:tr>
      <w:tr w:rsidR="007A2F43" w:rsidRPr="007A2F43" w14:paraId="6A8B1B44" w14:textId="77777777" w:rsidTr="007A2F43">
        <w:trPr>
          <w:jc w:val="center"/>
        </w:trPr>
        <w:tc>
          <w:tcPr>
            <w:tcW w:w="0" w:type="auto"/>
            <w:hideMark/>
          </w:tcPr>
          <w:p w14:paraId="73FBFFA0"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Env</w:t>
            </w:r>
          </w:p>
        </w:tc>
        <w:tc>
          <w:tcPr>
            <w:tcW w:w="0" w:type="auto"/>
            <w:hideMark/>
          </w:tcPr>
          <w:p w14:paraId="258A838E"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0.072</w:t>
            </w:r>
          </w:p>
        </w:tc>
        <w:tc>
          <w:tcPr>
            <w:tcW w:w="0" w:type="auto"/>
            <w:hideMark/>
          </w:tcPr>
          <w:p w14:paraId="4DE59DC0"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0.074</w:t>
            </w:r>
          </w:p>
        </w:tc>
        <w:tc>
          <w:tcPr>
            <w:tcW w:w="0" w:type="auto"/>
            <w:hideMark/>
          </w:tcPr>
          <w:p w14:paraId="7CE1AD4E"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0.162</w:t>
            </w:r>
          </w:p>
        </w:tc>
        <w:tc>
          <w:tcPr>
            <w:tcW w:w="0" w:type="auto"/>
            <w:hideMark/>
          </w:tcPr>
          <w:p w14:paraId="78C29260"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0.976</w:t>
            </w:r>
          </w:p>
        </w:tc>
        <w:tc>
          <w:tcPr>
            <w:tcW w:w="0" w:type="auto"/>
            <w:hideMark/>
          </w:tcPr>
          <w:p w14:paraId="5B76759E"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0.332</w:t>
            </w:r>
          </w:p>
        </w:tc>
      </w:tr>
      <w:tr w:rsidR="007A2F43" w:rsidRPr="007A2F43" w14:paraId="6293F731" w14:textId="77777777" w:rsidTr="007A2F43">
        <w:trPr>
          <w:jc w:val="center"/>
        </w:trPr>
        <w:tc>
          <w:tcPr>
            <w:tcW w:w="0" w:type="auto"/>
            <w:hideMark/>
          </w:tcPr>
          <w:p w14:paraId="75A1FCFB"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Soc</w:t>
            </w:r>
          </w:p>
        </w:tc>
        <w:tc>
          <w:tcPr>
            <w:tcW w:w="0" w:type="auto"/>
            <w:hideMark/>
          </w:tcPr>
          <w:p w14:paraId="62731DFF"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-0.061</w:t>
            </w:r>
          </w:p>
        </w:tc>
        <w:tc>
          <w:tcPr>
            <w:tcW w:w="0" w:type="auto"/>
            <w:hideMark/>
          </w:tcPr>
          <w:p w14:paraId="7552A05E"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0.066</w:t>
            </w:r>
          </w:p>
        </w:tc>
        <w:tc>
          <w:tcPr>
            <w:tcW w:w="0" w:type="auto"/>
            <w:hideMark/>
          </w:tcPr>
          <w:p w14:paraId="7DDF2317"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-0.135</w:t>
            </w:r>
          </w:p>
        </w:tc>
        <w:tc>
          <w:tcPr>
            <w:tcW w:w="0" w:type="auto"/>
            <w:hideMark/>
          </w:tcPr>
          <w:p w14:paraId="74522D9A"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-0.916</w:t>
            </w:r>
          </w:p>
        </w:tc>
        <w:tc>
          <w:tcPr>
            <w:tcW w:w="0" w:type="auto"/>
            <w:hideMark/>
          </w:tcPr>
          <w:p w14:paraId="0FAC5DB7"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0.362</w:t>
            </w:r>
          </w:p>
        </w:tc>
      </w:tr>
      <w:tr w:rsidR="007A2F43" w:rsidRPr="007A2F43" w14:paraId="02183BE6" w14:textId="77777777" w:rsidTr="007A2F43">
        <w:trPr>
          <w:jc w:val="center"/>
        </w:trPr>
        <w:tc>
          <w:tcPr>
            <w:tcW w:w="0" w:type="auto"/>
            <w:hideMark/>
          </w:tcPr>
          <w:p w14:paraId="617EF81A"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Gov</w:t>
            </w:r>
          </w:p>
        </w:tc>
        <w:tc>
          <w:tcPr>
            <w:tcW w:w="0" w:type="auto"/>
            <w:hideMark/>
          </w:tcPr>
          <w:p w14:paraId="5F00ED7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0.084</w:t>
            </w:r>
          </w:p>
        </w:tc>
        <w:tc>
          <w:tcPr>
            <w:tcW w:w="0" w:type="auto"/>
            <w:hideMark/>
          </w:tcPr>
          <w:p w14:paraId="41A2B6E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0.047</w:t>
            </w:r>
          </w:p>
        </w:tc>
        <w:tc>
          <w:tcPr>
            <w:tcW w:w="0" w:type="auto"/>
            <w:hideMark/>
          </w:tcPr>
          <w:p w14:paraId="1A4FE9D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0.188</w:t>
            </w:r>
          </w:p>
        </w:tc>
        <w:tc>
          <w:tcPr>
            <w:tcW w:w="0" w:type="auto"/>
            <w:hideMark/>
          </w:tcPr>
          <w:p w14:paraId="06CA340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1.772</w:t>
            </w:r>
          </w:p>
        </w:tc>
        <w:tc>
          <w:tcPr>
            <w:tcW w:w="0" w:type="auto"/>
            <w:hideMark/>
          </w:tcPr>
          <w:p w14:paraId="163B7585"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0.080</w:t>
            </w:r>
          </w:p>
        </w:tc>
      </w:tr>
      <w:tr w:rsidR="007A2F43" w:rsidRPr="007A2F43" w14:paraId="06EC7C38" w14:textId="77777777" w:rsidTr="007A2F43">
        <w:trPr>
          <w:jc w:val="center"/>
        </w:trPr>
        <w:tc>
          <w:tcPr>
            <w:tcW w:w="0" w:type="auto"/>
            <w:hideMark/>
          </w:tcPr>
          <w:p w14:paraId="76BE8C17"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Size</w:t>
            </w:r>
          </w:p>
        </w:tc>
        <w:tc>
          <w:tcPr>
            <w:tcW w:w="0" w:type="auto"/>
            <w:hideMark/>
          </w:tcPr>
          <w:p w14:paraId="07114EA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-0.063</w:t>
            </w:r>
          </w:p>
        </w:tc>
        <w:tc>
          <w:tcPr>
            <w:tcW w:w="0" w:type="auto"/>
            <w:hideMark/>
          </w:tcPr>
          <w:p w14:paraId="3E028C6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0.085</w:t>
            </w:r>
          </w:p>
        </w:tc>
        <w:tc>
          <w:tcPr>
            <w:tcW w:w="0" w:type="auto"/>
            <w:hideMark/>
          </w:tcPr>
          <w:p w14:paraId="02D1D07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-0.089</w:t>
            </w:r>
          </w:p>
        </w:tc>
        <w:tc>
          <w:tcPr>
            <w:tcW w:w="0" w:type="auto"/>
            <w:hideMark/>
          </w:tcPr>
          <w:p w14:paraId="46375F2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-0.739</w:t>
            </w:r>
          </w:p>
        </w:tc>
        <w:tc>
          <w:tcPr>
            <w:tcW w:w="0" w:type="auto"/>
            <w:hideMark/>
          </w:tcPr>
          <w:p w14:paraId="5549AFDC"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0.462</w:t>
            </w:r>
          </w:p>
        </w:tc>
      </w:tr>
      <w:tr w:rsidR="007A2F43" w:rsidRPr="007A2F43" w14:paraId="41170B55" w14:textId="77777777" w:rsidTr="007A2F43">
        <w:trPr>
          <w:jc w:val="center"/>
        </w:trPr>
        <w:tc>
          <w:tcPr>
            <w:tcW w:w="0" w:type="auto"/>
            <w:hideMark/>
          </w:tcPr>
          <w:p w14:paraId="3966160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UE×Env</w:t>
            </w:r>
          </w:p>
        </w:tc>
        <w:tc>
          <w:tcPr>
            <w:tcW w:w="0" w:type="auto"/>
            <w:hideMark/>
          </w:tcPr>
          <w:p w14:paraId="1C6818C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-0.121</w:t>
            </w:r>
          </w:p>
        </w:tc>
        <w:tc>
          <w:tcPr>
            <w:tcW w:w="0" w:type="auto"/>
            <w:hideMark/>
          </w:tcPr>
          <w:p w14:paraId="608A9ADF"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0.057</w:t>
            </w:r>
          </w:p>
        </w:tc>
        <w:tc>
          <w:tcPr>
            <w:tcW w:w="0" w:type="auto"/>
            <w:hideMark/>
          </w:tcPr>
          <w:p w14:paraId="40645965"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-0.216</w:t>
            </w:r>
          </w:p>
        </w:tc>
        <w:tc>
          <w:tcPr>
            <w:tcW w:w="0" w:type="auto"/>
            <w:hideMark/>
          </w:tcPr>
          <w:p w14:paraId="64C63F3F"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-2.113</w:t>
            </w:r>
          </w:p>
        </w:tc>
        <w:tc>
          <w:tcPr>
            <w:tcW w:w="0" w:type="auto"/>
            <w:hideMark/>
          </w:tcPr>
          <w:p w14:paraId="24753FA3"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0.038</w:t>
            </w:r>
          </w:p>
        </w:tc>
      </w:tr>
      <w:tr w:rsidR="007A2F43" w:rsidRPr="007A2F43" w14:paraId="64B60014" w14:textId="77777777" w:rsidTr="007A2F43">
        <w:trPr>
          <w:jc w:val="center"/>
        </w:trPr>
        <w:tc>
          <w:tcPr>
            <w:tcW w:w="0" w:type="auto"/>
            <w:hideMark/>
          </w:tcPr>
          <w:p w14:paraId="2C1AA1C8"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UE×Soc</w:t>
            </w:r>
          </w:p>
        </w:tc>
        <w:tc>
          <w:tcPr>
            <w:tcW w:w="0" w:type="auto"/>
            <w:hideMark/>
          </w:tcPr>
          <w:p w14:paraId="14BD50B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-0.122</w:t>
            </w:r>
          </w:p>
        </w:tc>
        <w:tc>
          <w:tcPr>
            <w:tcW w:w="0" w:type="auto"/>
            <w:hideMark/>
          </w:tcPr>
          <w:p w14:paraId="3DCD8ABD"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0.048</w:t>
            </w:r>
          </w:p>
        </w:tc>
        <w:tc>
          <w:tcPr>
            <w:tcW w:w="0" w:type="auto"/>
            <w:hideMark/>
          </w:tcPr>
          <w:p w14:paraId="115058D8"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-0.353</w:t>
            </w:r>
          </w:p>
        </w:tc>
        <w:tc>
          <w:tcPr>
            <w:tcW w:w="0" w:type="auto"/>
            <w:hideMark/>
          </w:tcPr>
          <w:p w14:paraId="526D0453"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-2.533</w:t>
            </w:r>
          </w:p>
        </w:tc>
        <w:tc>
          <w:tcPr>
            <w:tcW w:w="0" w:type="auto"/>
            <w:hideMark/>
          </w:tcPr>
          <w:p w14:paraId="3B4BC44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0.013</w:t>
            </w:r>
          </w:p>
        </w:tc>
      </w:tr>
      <w:tr w:rsidR="007A2F43" w:rsidRPr="007A2F43" w14:paraId="6EC4F82F" w14:textId="77777777" w:rsidTr="007A2F43">
        <w:trPr>
          <w:jc w:val="center"/>
        </w:trPr>
        <w:tc>
          <w:tcPr>
            <w:tcW w:w="0" w:type="auto"/>
            <w:hideMark/>
          </w:tcPr>
          <w:p w14:paraId="352DFE1F"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UE×Gov</w:t>
            </w:r>
          </w:p>
        </w:tc>
        <w:tc>
          <w:tcPr>
            <w:tcW w:w="0" w:type="auto"/>
            <w:hideMark/>
          </w:tcPr>
          <w:p w14:paraId="407AB298"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-0.020</w:t>
            </w:r>
          </w:p>
        </w:tc>
        <w:tc>
          <w:tcPr>
            <w:tcW w:w="0" w:type="auto"/>
            <w:hideMark/>
          </w:tcPr>
          <w:p w14:paraId="3E224810"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0.055</w:t>
            </w:r>
          </w:p>
        </w:tc>
        <w:tc>
          <w:tcPr>
            <w:tcW w:w="0" w:type="auto"/>
            <w:hideMark/>
          </w:tcPr>
          <w:p w14:paraId="4433554B"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-0.039</w:t>
            </w:r>
          </w:p>
        </w:tc>
        <w:tc>
          <w:tcPr>
            <w:tcW w:w="0" w:type="auto"/>
            <w:hideMark/>
          </w:tcPr>
          <w:p w14:paraId="005C0307"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-0.361</w:t>
            </w:r>
          </w:p>
        </w:tc>
        <w:tc>
          <w:tcPr>
            <w:tcW w:w="0" w:type="auto"/>
            <w:hideMark/>
          </w:tcPr>
          <w:p w14:paraId="64ECE2C8"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0.719</w:t>
            </w:r>
          </w:p>
        </w:tc>
      </w:tr>
      <w:tr w:rsidR="007A2F43" w:rsidRPr="007A2F43" w14:paraId="46F6AC60" w14:textId="77777777" w:rsidTr="007A2F43">
        <w:trPr>
          <w:jc w:val="center"/>
        </w:trPr>
        <w:tc>
          <w:tcPr>
            <w:tcW w:w="0" w:type="auto"/>
            <w:hideMark/>
          </w:tcPr>
          <w:p w14:paraId="1572100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UE×Env×Size</w:t>
            </w:r>
          </w:p>
        </w:tc>
        <w:tc>
          <w:tcPr>
            <w:tcW w:w="0" w:type="auto"/>
            <w:hideMark/>
          </w:tcPr>
          <w:p w14:paraId="53DD6DB3"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0.274</w:t>
            </w:r>
          </w:p>
        </w:tc>
        <w:tc>
          <w:tcPr>
            <w:tcW w:w="0" w:type="auto"/>
            <w:hideMark/>
          </w:tcPr>
          <w:p w14:paraId="70C65CB8"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0.084</w:t>
            </w:r>
          </w:p>
        </w:tc>
        <w:tc>
          <w:tcPr>
            <w:tcW w:w="0" w:type="auto"/>
            <w:hideMark/>
          </w:tcPr>
          <w:p w14:paraId="04DFDFE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0.340</w:t>
            </w:r>
          </w:p>
        </w:tc>
        <w:tc>
          <w:tcPr>
            <w:tcW w:w="0" w:type="auto"/>
            <w:hideMark/>
          </w:tcPr>
          <w:p w14:paraId="1B9C76E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3.269</w:t>
            </w:r>
          </w:p>
        </w:tc>
        <w:tc>
          <w:tcPr>
            <w:tcW w:w="0" w:type="auto"/>
            <w:hideMark/>
          </w:tcPr>
          <w:p w14:paraId="5C8A76A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0.002</w:t>
            </w:r>
          </w:p>
        </w:tc>
      </w:tr>
      <w:tr w:rsidR="007A2F43" w:rsidRPr="007A2F43" w14:paraId="56A90580" w14:textId="77777777" w:rsidTr="007A2F43">
        <w:trPr>
          <w:jc w:val="center"/>
        </w:trPr>
        <w:tc>
          <w:tcPr>
            <w:tcW w:w="0" w:type="auto"/>
            <w:hideMark/>
          </w:tcPr>
          <w:p w14:paraId="003FB233"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UE×Soc×Size</w:t>
            </w:r>
          </w:p>
        </w:tc>
        <w:tc>
          <w:tcPr>
            <w:tcW w:w="0" w:type="auto"/>
            <w:hideMark/>
          </w:tcPr>
          <w:p w14:paraId="26A40168"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0.182</w:t>
            </w:r>
          </w:p>
        </w:tc>
        <w:tc>
          <w:tcPr>
            <w:tcW w:w="0" w:type="auto"/>
            <w:hideMark/>
          </w:tcPr>
          <w:p w14:paraId="7CD6B311"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0.073</w:t>
            </w:r>
          </w:p>
        </w:tc>
        <w:tc>
          <w:tcPr>
            <w:tcW w:w="0" w:type="auto"/>
            <w:hideMark/>
          </w:tcPr>
          <w:p w14:paraId="53A09BEB"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0.415</w:t>
            </w:r>
          </w:p>
        </w:tc>
        <w:tc>
          <w:tcPr>
            <w:tcW w:w="0" w:type="auto"/>
            <w:hideMark/>
          </w:tcPr>
          <w:p w14:paraId="538A733E"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2.507</w:t>
            </w:r>
          </w:p>
        </w:tc>
        <w:tc>
          <w:tcPr>
            <w:tcW w:w="0" w:type="auto"/>
            <w:hideMark/>
          </w:tcPr>
          <w:p w14:paraId="0173E87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0.014</w:t>
            </w:r>
          </w:p>
        </w:tc>
      </w:tr>
      <w:tr w:rsidR="007A2F43" w:rsidRPr="007A2F43" w14:paraId="4BD43C7B" w14:textId="77777777" w:rsidTr="007A2F43">
        <w:trPr>
          <w:jc w:val="center"/>
        </w:trPr>
        <w:tc>
          <w:tcPr>
            <w:tcW w:w="0" w:type="auto"/>
            <w:hideMark/>
          </w:tcPr>
          <w:p w14:paraId="2D44E02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UE×Gov×Size</w:t>
            </w:r>
          </w:p>
        </w:tc>
        <w:tc>
          <w:tcPr>
            <w:tcW w:w="0" w:type="auto"/>
            <w:hideMark/>
          </w:tcPr>
          <w:p w14:paraId="46584FF9"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-0.011</w:t>
            </w:r>
          </w:p>
        </w:tc>
        <w:tc>
          <w:tcPr>
            <w:tcW w:w="0" w:type="auto"/>
            <w:hideMark/>
          </w:tcPr>
          <w:p w14:paraId="4500DD72"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0.087</w:t>
            </w:r>
          </w:p>
        </w:tc>
        <w:tc>
          <w:tcPr>
            <w:tcW w:w="0" w:type="auto"/>
            <w:hideMark/>
          </w:tcPr>
          <w:p w14:paraId="4D3C3E06"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-0.014</w:t>
            </w:r>
          </w:p>
        </w:tc>
        <w:tc>
          <w:tcPr>
            <w:tcW w:w="0" w:type="auto"/>
            <w:hideMark/>
          </w:tcPr>
          <w:p w14:paraId="1B243D54"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-0.122</w:t>
            </w:r>
          </w:p>
        </w:tc>
        <w:tc>
          <w:tcPr>
            <w:tcW w:w="0" w:type="auto"/>
            <w:hideMark/>
          </w:tcPr>
          <w:p w14:paraId="58518E7D" w14:textId="77777777" w:rsidR="007A2F43" w:rsidRPr="007A2F43" w:rsidRDefault="007A2F43" w:rsidP="007A2F43">
            <w:pPr>
              <w:rPr>
                <w:rFonts w:ascii="Arial" w:hAnsi="Arial" w:cs="Arial"/>
                <w:sz w:val="22"/>
                <w:szCs w:val="22"/>
                <w:lang w:val="en-ID"/>
              </w:rPr>
            </w:pPr>
            <w:r w:rsidRPr="007A2F43">
              <w:rPr>
                <w:rFonts w:ascii="Arial" w:hAnsi="Arial" w:cs="Arial"/>
                <w:sz w:val="22"/>
                <w:szCs w:val="22"/>
                <w:lang w:val="en-ID"/>
              </w:rPr>
              <w:t>0.903</w:t>
            </w:r>
          </w:p>
        </w:tc>
      </w:tr>
    </w:tbl>
    <w:p w14:paraId="6A127684" w14:textId="77777777" w:rsidR="007A2F43" w:rsidRPr="007A2F43" w:rsidRDefault="007A2F43" w:rsidP="00D6400C">
      <w:pPr>
        <w:pStyle w:val="Body"/>
        <w:rPr>
          <w:rFonts w:ascii="Arial" w:hAnsi="Arial" w:cs="Arial"/>
          <w:sz w:val="22"/>
          <w:szCs w:val="22"/>
        </w:rPr>
      </w:pPr>
    </w:p>
    <w:p w14:paraId="1078A00F" w14:textId="60F675CF" w:rsidR="007A2F43" w:rsidRPr="007A2F43" w:rsidRDefault="007A2F43" w:rsidP="00D6400C">
      <w:pPr>
        <w:pStyle w:val="Body"/>
        <w:rPr>
          <w:rFonts w:ascii="Arial" w:hAnsi="Arial" w:cs="Arial"/>
          <w:sz w:val="22"/>
          <w:szCs w:val="22"/>
        </w:rPr>
      </w:pPr>
      <w:r w:rsidRPr="007A2F43">
        <w:rPr>
          <w:rFonts w:ascii="Arial" w:hAnsi="Arial" w:cs="Arial"/>
          <w:sz w:val="22"/>
          <w:szCs w:val="22"/>
        </w:rPr>
        <w:t>The regression equation for Model II is:</w:t>
      </w:r>
      <w:r w:rsidRPr="007A2F43">
        <w:rPr>
          <w:rFonts w:ascii="Arial" w:hAnsi="Arial" w:cs="Arial"/>
          <w:sz w:val="22"/>
          <w:szCs w:val="22"/>
        </w:rPr>
        <w:br/>
        <w:t>CAR = -0.041 – 0.001UE + 0.072Env – 0.121UE×Env – 0.061Soc – 0.122UE×Soc + 0.084Gov – 0.020UE×Gov – 0.063Size + 0.274UE×Env×Size + 0.182UE×Soc×Size – 0.011UE×Gov×Size + ε.</w:t>
      </w:r>
    </w:p>
    <w:p w14:paraId="35EC2E7F" w14:textId="4EBD53EC" w:rsidR="00D6400C" w:rsidRDefault="006462DA" w:rsidP="00D6400C">
      <w:pPr>
        <w:pStyle w:val="Body"/>
        <w:rPr>
          <w:rFonts w:ascii="Arial" w:hAnsi="Arial" w:cs="Arial"/>
          <w:b/>
          <w:sz w:val="22"/>
        </w:rPr>
      </w:pPr>
      <w:r>
        <w:rPr>
          <w:rFonts w:ascii="Arial" w:hAnsi="Arial" w:cs="Arial"/>
          <w:b/>
          <w:sz w:val="22"/>
        </w:rPr>
        <w:lastRenderedPageBreak/>
        <w:t>4</w:t>
      </w:r>
      <w:r w:rsidR="00D6400C">
        <w:rPr>
          <w:rFonts w:ascii="Arial" w:hAnsi="Arial" w:cs="Arial"/>
          <w:b/>
          <w:sz w:val="22"/>
        </w:rPr>
        <w:t xml:space="preserve">.4 </w:t>
      </w:r>
      <w:r w:rsidR="00D6400C" w:rsidRPr="00D6400C">
        <w:rPr>
          <w:rFonts w:ascii="Arial" w:hAnsi="Arial" w:cs="Arial"/>
          <w:b/>
          <w:sz w:val="22"/>
        </w:rPr>
        <w:t>Model Fit Test (F-test)</w:t>
      </w:r>
    </w:p>
    <w:p w14:paraId="77507876" w14:textId="2CB6B2BF" w:rsidR="00A87D24" w:rsidRDefault="00A87D24" w:rsidP="00D6400C">
      <w:pPr>
        <w:pStyle w:val="Body"/>
        <w:rPr>
          <w:rFonts w:ascii="Arial" w:hAnsi="Arial" w:cs="Arial"/>
          <w:sz w:val="22"/>
          <w:szCs w:val="22"/>
        </w:rPr>
      </w:pPr>
      <w:r w:rsidRPr="00A87D24">
        <w:rPr>
          <w:rFonts w:ascii="Arial" w:hAnsi="Arial" w:cs="Arial"/>
          <w:sz w:val="22"/>
          <w:szCs w:val="22"/>
        </w:rPr>
        <w:t>The model feasibility test (F-test) is conducted to determine whether the regression model is appropriate for further analysis and whether all independent variables jointly influence the dependent variable, as suggested by Imam Ghozali (2013). The results are presented in the following table</w:t>
      </w:r>
      <w:r w:rsidR="00384565">
        <w:rPr>
          <w:rFonts w:ascii="Arial" w:hAnsi="Arial" w:cs="Arial"/>
          <w:sz w:val="22"/>
          <w:szCs w:val="22"/>
        </w:rPr>
        <w:t>.</w:t>
      </w:r>
    </w:p>
    <w:p w14:paraId="2E5CFC82" w14:textId="4D2052A1" w:rsidR="00384565" w:rsidRPr="00A87D24" w:rsidRDefault="00384565" w:rsidP="00D6400C">
      <w:pPr>
        <w:pStyle w:val="Body"/>
        <w:rPr>
          <w:rFonts w:ascii="Arial" w:hAnsi="Arial" w:cs="Arial"/>
          <w:sz w:val="22"/>
          <w:szCs w:val="22"/>
        </w:rPr>
      </w:pPr>
      <w:r>
        <w:rPr>
          <w:rFonts w:ascii="Arial" w:hAnsi="Arial" w:cs="Arial"/>
          <w:sz w:val="22"/>
          <w:szCs w:val="22"/>
        </w:rPr>
        <w:t xml:space="preserve">Table 4 : </w:t>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91"/>
        <w:gridCol w:w="461"/>
        <w:gridCol w:w="1586"/>
        <w:gridCol w:w="767"/>
        <w:gridCol w:w="767"/>
      </w:tblGrid>
      <w:tr w:rsidR="00A87D24" w:rsidRPr="00A87D24" w14:paraId="580B72BC" w14:textId="77777777" w:rsidTr="00A87D24">
        <w:trPr>
          <w:jc w:val="center"/>
        </w:trPr>
        <w:tc>
          <w:tcPr>
            <w:tcW w:w="0" w:type="auto"/>
            <w:hideMark/>
          </w:tcPr>
          <w:p w14:paraId="3A2F924D" w14:textId="77777777" w:rsidR="00A87D24" w:rsidRPr="00A87D24" w:rsidRDefault="00A87D24" w:rsidP="00A87D24">
            <w:pPr>
              <w:jc w:val="center"/>
              <w:rPr>
                <w:rFonts w:ascii="Arial" w:hAnsi="Arial" w:cs="Arial"/>
                <w:b/>
                <w:bCs/>
                <w:sz w:val="22"/>
                <w:szCs w:val="22"/>
              </w:rPr>
            </w:pPr>
            <w:r w:rsidRPr="00A87D24">
              <w:rPr>
                <w:rFonts w:ascii="Arial" w:hAnsi="Arial" w:cs="Arial"/>
                <w:b/>
                <w:bCs/>
                <w:sz w:val="22"/>
                <w:szCs w:val="22"/>
              </w:rPr>
              <w:t>Model</w:t>
            </w:r>
          </w:p>
        </w:tc>
        <w:tc>
          <w:tcPr>
            <w:tcW w:w="0" w:type="auto"/>
            <w:hideMark/>
          </w:tcPr>
          <w:p w14:paraId="4E0C7348" w14:textId="77777777" w:rsidR="00A87D24" w:rsidRPr="00A87D24" w:rsidRDefault="00A87D24" w:rsidP="00A87D24">
            <w:pPr>
              <w:jc w:val="center"/>
              <w:rPr>
                <w:rFonts w:ascii="Arial" w:hAnsi="Arial" w:cs="Arial"/>
                <w:b/>
                <w:bCs/>
                <w:sz w:val="22"/>
                <w:szCs w:val="22"/>
              </w:rPr>
            </w:pPr>
            <w:r w:rsidRPr="00A87D24">
              <w:rPr>
                <w:rFonts w:ascii="Arial" w:hAnsi="Arial" w:cs="Arial"/>
                <w:b/>
                <w:bCs/>
                <w:sz w:val="22"/>
                <w:szCs w:val="22"/>
              </w:rPr>
              <w:t>Sum of Squares</w:t>
            </w:r>
          </w:p>
        </w:tc>
        <w:tc>
          <w:tcPr>
            <w:tcW w:w="0" w:type="auto"/>
            <w:hideMark/>
          </w:tcPr>
          <w:p w14:paraId="4EAF6CCB" w14:textId="77777777" w:rsidR="00A87D24" w:rsidRPr="00A87D24" w:rsidRDefault="00A87D24" w:rsidP="00A87D24">
            <w:pPr>
              <w:jc w:val="center"/>
              <w:rPr>
                <w:rFonts w:ascii="Arial" w:hAnsi="Arial" w:cs="Arial"/>
                <w:b/>
                <w:bCs/>
                <w:sz w:val="22"/>
                <w:szCs w:val="22"/>
              </w:rPr>
            </w:pPr>
            <w:r w:rsidRPr="00A87D24">
              <w:rPr>
                <w:rFonts w:ascii="Arial" w:hAnsi="Arial" w:cs="Arial"/>
                <w:b/>
                <w:bCs/>
                <w:sz w:val="22"/>
                <w:szCs w:val="22"/>
              </w:rPr>
              <w:t>df</w:t>
            </w:r>
          </w:p>
        </w:tc>
        <w:tc>
          <w:tcPr>
            <w:tcW w:w="0" w:type="auto"/>
            <w:hideMark/>
          </w:tcPr>
          <w:p w14:paraId="3AED8735" w14:textId="77777777" w:rsidR="00A87D24" w:rsidRPr="00A87D24" w:rsidRDefault="00A87D24" w:rsidP="00A87D24">
            <w:pPr>
              <w:jc w:val="center"/>
              <w:rPr>
                <w:rFonts w:ascii="Arial" w:hAnsi="Arial" w:cs="Arial"/>
                <w:b/>
                <w:bCs/>
                <w:sz w:val="22"/>
                <w:szCs w:val="22"/>
              </w:rPr>
            </w:pPr>
            <w:r w:rsidRPr="00A87D24">
              <w:rPr>
                <w:rFonts w:ascii="Arial" w:hAnsi="Arial" w:cs="Arial"/>
                <w:b/>
                <w:bCs/>
                <w:sz w:val="22"/>
                <w:szCs w:val="22"/>
              </w:rPr>
              <w:t>Mean Square</w:t>
            </w:r>
          </w:p>
        </w:tc>
        <w:tc>
          <w:tcPr>
            <w:tcW w:w="0" w:type="auto"/>
            <w:hideMark/>
          </w:tcPr>
          <w:p w14:paraId="4568BF77" w14:textId="77777777" w:rsidR="00A87D24" w:rsidRPr="00A87D24" w:rsidRDefault="00A87D24" w:rsidP="00A87D24">
            <w:pPr>
              <w:jc w:val="center"/>
              <w:rPr>
                <w:rFonts w:ascii="Arial" w:hAnsi="Arial" w:cs="Arial"/>
                <w:b/>
                <w:bCs/>
                <w:sz w:val="22"/>
                <w:szCs w:val="22"/>
              </w:rPr>
            </w:pPr>
            <w:r w:rsidRPr="00A87D24">
              <w:rPr>
                <w:rFonts w:ascii="Arial" w:hAnsi="Arial" w:cs="Arial"/>
                <w:b/>
                <w:bCs/>
                <w:sz w:val="22"/>
                <w:szCs w:val="22"/>
              </w:rPr>
              <w:t>F</w:t>
            </w:r>
          </w:p>
        </w:tc>
        <w:tc>
          <w:tcPr>
            <w:tcW w:w="0" w:type="auto"/>
            <w:hideMark/>
          </w:tcPr>
          <w:p w14:paraId="5E860F72" w14:textId="77777777" w:rsidR="00A87D24" w:rsidRPr="00A87D24" w:rsidRDefault="00A87D24" w:rsidP="00A87D24">
            <w:pPr>
              <w:jc w:val="center"/>
              <w:rPr>
                <w:rFonts w:ascii="Arial" w:hAnsi="Arial" w:cs="Arial"/>
                <w:b/>
                <w:bCs/>
                <w:sz w:val="22"/>
                <w:szCs w:val="22"/>
              </w:rPr>
            </w:pPr>
            <w:r w:rsidRPr="00A87D24">
              <w:rPr>
                <w:rFonts w:ascii="Arial" w:hAnsi="Arial" w:cs="Arial"/>
                <w:b/>
                <w:bCs/>
                <w:sz w:val="22"/>
                <w:szCs w:val="22"/>
              </w:rPr>
              <w:t>Sig.</w:t>
            </w:r>
          </w:p>
        </w:tc>
      </w:tr>
      <w:tr w:rsidR="00A87D24" w:rsidRPr="00A87D24" w14:paraId="2129E6D3" w14:textId="77777777" w:rsidTr="00A87D24">
        <w:trPr>
          <w:jc w:val="center"/>
        </w:trPr>
        <w:tc>
          <w:tcPr>
            <w:tcW w:w="0" w:type="auto"/>
            <w:hideMark/>
          </w:tcPr>
          <w:p w14:paraId="4A3D8CD5" w14:textId="77777777" w:rsidR="00A87D24" w:rsidRPr="00A87D24" w:rsidRDefault="00A87D24" w:rsidP="00A87D24">
            <w:pPr>
              <w:rPr>
                <w:rFonts w:ascii="Arial" w:hAnsi="Arial" w:cs="Arial"/>
                <w:sz w:val="22"/>
                <w:szCs w:val="22"/>
              </w:rPr>
            </w:pPr>
            <w:r w:rsidRPr="00A87D24">
              <w:rPr>
                <w:rFonts w:ascii="Arial" w:hAnsi="Arial" w:cs="Arial"/>
                <w:sz w:val="22"/>
                <w:szCs w:val="22"/>
              </w:rPr>
              <w:t>Regression</w:t>
            </w:r>
          </w:p>
        </w:tc>
        <w:tc>
          <w:tcPr>
            <w:tcW w:w="0" w:type="auto"/>
            <w:hideMark/>
          </w:tcPr>
          <w:p w14:paraId="3650AEDB"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4.920</w:t>
            </w:r>
          </w:p>
        </w:tc>
        <w:tc>
          <w:tcPr>
            <w:tcW w:w="0" w:type="auto"/>
            <w:hideMark/>
          </w:tcPr>
          <w:p w14:paraId="5050DB7A"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11</w:t>
            </w:r>
          </w:p>
        </w:tc>
        <w:tc>
          <w:tcPr>
            <w:tcW w:w="0" w:type="auto"/>
            <w:hideMark/>
          </w:tcPr>
          <w:p w14:paraId="4900C1F1"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0.447</w:t>
            </w:r>
          </w:p>
        </w:tc>
        <w:tc>
          <w:tcPr>
            <w:tcW w:w="0" w:type="auto"/>
            <w:hideMark/>
          </w:tcPr>
          <w:p w14:paraId="3D1D2699"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2.596</w:t>
            </w:r>
          </w:p>
        </w:tc>
        <w:tc>
          <w:tcPr>
            <w:tcW w:w="0" w:type="auto"/>
            <w:hideMark/>
          </w:tcPr>
          <w:p w14:paraId="225E9293"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0.007</w:t>
            </w:r>
          </w:p>
        </w:tc>
      </w:tr>
      <w:tr w:rsidR="00A87D24" w:rsidRPr="00A87D24" w14:paraId="425BC107" w14:textId="77777777" w:rsidTr="00A87D24">
        <w:trPr>
          <w:jc w:val="center"/>
        </w:trPr>
        <w:tc>
          <w:tcPr>
            <w:tcW w:w="0" w:type="auto"/>
            <w:hideMark/>
          </w:tcPr>
          <w:p w14:paraId="5F88E2D3" w14:textId="77777777" w:rsidR="00A87D24" w:rsidRPr="00A87D24" w:rsidRDefault="00A87D24" w:rsidP="00A87D24">
            <w:pPr>
              <w:rPr>
                <w:rFonts w:ascii="Arial" w:hAnsi="Arial" w:cs="Arial"/>
                <w:sz w:val="22"/>
                <w:szCs w:val="22"/>
              </w:rPr>
            </w:pPr>
            <w:r w:rsidRPr="00A87D24">
              <w:rPr>
                <w:rFonts w:ascii="Arial" w:hAnsi="Arial" w:cs="Arial"/>
                <w:sz w:val="22"/>
                <w:szCs w:val="22"/>
              </w:rPr>
              <w:t>Residual</w:t>
            </w:r>
          </w:p>
        </w:tc>
        <w:tc>
          <w:tcPr>
            <w:tcW w:w="0" w:type="auto"/>
            <w:hideMark/>
          </w:tcPr>
          <w:p w14:paraId="21729F02"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14.474</w:t>
            </w:r>
          </w:p>
        </w:tc>
        <w:tc>
          <w:tcPr>
            <w:tcW w:w="0" w:type="auto"/>
            <w:hideMark/>
          </w:tcPr>
          <w:p w14:paraId="454AC7D9"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84</w:t>
            </w:r>
          </w:p>
        </w:tc>
        <w:tc>
          <w:tcPr>
            <w:tcW w:w="0" w:type="auto"/>
            <w:hideMark/>
          </w:tcPr>
          <w:p w14:paraId="60E1AB8B"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0.172</w:t>
            </w:r>
          </w:p>
        </w:tc>
        <w:tc>
          <w:tcPr>
            <w:tcW w:w="0" w:type="auto"/>
            <w:hideMark/>
          </w:tcPr>
          <w:p w14:paraId="4C7ED9EC" w14:textId="77777777" w:rsidR="00A87D24" w:rsidRPr="00A87D24" w:rsidRDefault="00A87D24" w:rsidP="00A87D24">
            <w:pPr>
              <w:jc w:val="center"/>
              <w:rPr>
                <w:rFonts w:ascii="Arial" w:hAnsi="Arial" w:cs="Arial"/>
                <w:sz w:val="22"/>
                <w:szCs w:val="22"/>
              </w:rPr>
            </w:pPr>
          </w:p>
        </w:tc>
        <w:tc>
          <w:tcPr>
            <w:tcW w:w="0" w:type="auto"/>
            <w:hideMark/>
          </w:tcPr>
          <w:p w14:paraId="397B1830" w14:textId="77777777" w:rsidR="00A87D24" w:rsidRPr="00A87D24" w:rsidRDefault="00A87D24" w:rsidP="00A87D24">
            <w:pPr>
              <w:jc w:val="center"/>
              <w:rPr>
                <w:rFonts w:ascii="Arial" w:hAnsi="Arial" w:cs="Arial"/>
                <w:sz w:val="22"/>
                <w:szCs w:val="22"/>
              </w:rPr>
            </w:pPr>
          </w:p>
        </w:tc>
      </w:tr>
      <w:tr w:rsidR="00A87D24" w:rsidRPr="00A87D24" w14:paraId="5363D79C" w14:textId="77777777" w:rsidTr="00A87D24">
        <w:trPr>
          <w:jc w:val="center"/>
        </w:trPr>
        <w:tc>
          <w:tcPr>
            <w:tcW w:w="0" w:type="auto"/>
            <w:hideMark/>
          </w:tcPr>
          <w:p w14:paraId="55091058" w14:textId="77777777" w:rsidR="00A87D24" w:rsidRPr="00A87D24" w:rsidRDefault="00A87D24" w:rsidP="00A87D24">
            <w:pPr>
              <w:rPr>
                <w:rFonts w:ascii="Arial" w:hAnsi="Arial" w:cs="Arial"/>
                <w:sz w:val="22"/>
                <w:szCs w:val="22"/>
              </w:rPr>
            </w:pPr>
            <w:r w:rsidRPr="00A87D24">
              <w:rPr>
                <w:rFonts w:ascii="Arial" w:hAnsi="Arial" w:cs="Arial"/>
                <w:sz w:val="22"/>
                <w:szCs w:val="22"/>
              </w:rPr>
              <w:t>Total</w:t>
            </w:r>
          </w:p>
        </w:tc>
        <w:tc>
          <w:tcPr>
            <w:tcW w:w="0" w:type="auto"/>
            <w:hideMark/>
          </w:tcPr>
          <w:p w14:paraId="57C4E1E6"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19.394</w:t>
            </w:r>
          </w:p>
        </w:tc>
        <w:tc>
          <w:tcPr>
            <w:tcW w:w="0" w:type="auto"/>
            <w:hideMark/>
          </w:tcPr>
          <w:p w14:paraId="371B1DE8" w14:textId="77777777" w:rsidR="00A87D24" w:rsidRPr="00A87D24" w:rsidRDefault="00A87D24" w:rsidP="00A87D24">
            <w:pPr>
              <w:jc w:val="center"/>
              <w:rPr>
                <w:rFonts w:ascii="Arial" w:hAnsi="Arial" w:cs="Arial"/>
                <w:sz w:val="22"/>
                <w:szCs w:val="22"/>
              </w:rPr>
            </w:pPr>
            <w:r w:rsidRPr="00A87D24">
              <w:rPr>
                <w:rFonts w:ascii="Arial" w:hAnsi="Arial" w:cs="Arial"/>
                <w:sz w:val="22"/>
                <w:szCs w:val="22"/>
              </w:rPr>
              <w:t>95</w:t>
            </w:r>
          </w:p>
        </w:tc>
        <w:tc>
          <w:tcPr>
            <w:tcW w:w="0" w:type="auto"/>
            <w:hideMark/>
          </w:tcPr>
          <w:p w14:paraId="26570F98" w14:textId="77777777" w:rsidR="00A87D24" w:rsidRPr="00A87D24" w:rsidRDefault="00A87D24" w:rsidP="00A87D24">
            <w:pPr>
              <w:jc w:val="center"/>
              <w:rPr>
                <w:rFonts w:ascii="Arial" w:hAnsi="Arial" w:cs="Arial"/>
                <w:sz w:val="22"/>
                <w:szCs w:val="22"/>
              </w:rPr>
            </w:pPr>
          </w:p>
        </w:tc>
        <w:tc>
          <w:tcPr>
            <w:tcW w:w="0" w:type="auto"/>
            <w:hideMark/>
          </w:tcPr>
          <w:p w14:paraId="74FE0A8A" w14:textId="77777777" w:rsidR="00A87D24" w:rsidRPr="00A87D24" w:rsidRDefault="00A87D24" w:rsidP="00A87D24">
            <w:pPr>
              <w:jc w:val="center"/>
              <w:rPr>
                <w:rFonts w:ascii="Arial" w:hAnsi="Arial" w:cs="Arial"/>
                <w:sz w:val="22"/>
                <w:szCs w:val="22"/>
              </w:rPr>
            </w:pPr>
          </w:p>
        </w:tc>
        <w:tc>
          <w:tcPr>
            <w:tcW w:w="0" w:type="auto"/>
            <w:hideMark/>
          </w:tcPr>
          <w:p w14:paraId="50E7458B" w14:textId="77777777" w:rsidR="00A87D24" w:rsidRPr="00A87D24" w:rsidRDefault="00A87D24" w:rsidP="00A87D24">
            <w:pPr>
              <w:jc w:val="center"/>
              <w:rPr>
                <w:rFonts w:ascii="Arial" w:hAnsi="Arial" w:cs="Arial"/>
                <w:sz w:val="22"/>
                <w:szCs w:val="22"/>
              </w:rPr>
            </w:pPr>
          </w:p>
        </w:tc>
      </w:tr>
    </w:tbl>
    <w:p w14:paraId="4240D8A9" w14:textId="77777777" w:rsidR="00A87D24" w:rsidRPr="00A87D24" w:rsidRDefault="00A87D24" w:rsidP="00D6400C">
      <w:pPr>
        <w:pStyle w:val="Body"/>
        <w:rPr>
          <w:rFonts w:ascii="Arial" w:hAnsi="Arial" w:cs="Arial"/>
          <w:sz w:val="22"/>
          <w:szCs w:val="22"/>
        </w:rPr>
      </w:pPr>
    </w:p>
    <w:p w14:paraId="0A4DB094" w14:textId="4036F564" w:rsidR="00A87D24" w:rsidRPr="00A87D24" w:rsidRDefault="00A87D24" w:rsidP="00D6400C">
      <w:pPr>
        <w:pStyle w:val="Body"/>
        <w:rPr>
          <w:rFonts w:ascii="Arial" w:hAnsi="Arial" w:cs="Arial"/>
          <w:sz w:val="22"/>
          <w:szCs w:val="22"/>
        </w:rPr>
      </w:pPr>
      <w:r w:rsidRPr="00A87D24">
        <w:rPr>
          <w:rFonts w:ascii="Arial" w:hAnsi="Arial" w:cs="Arial"/>
          <w:sz w:val="22"/>
          <w:szCs w:val="22"/>
        </w:rPr>
        <w:t>The regression model produces an F-value of 2.596 with a significance level of 0.007, which is lower than 0.05, indicating that the model is statistically significant and feasible. This implies that all independent variables—including Environmental (Env), Social (Soc), Governance (Gov), Unexpected Earnings (UE), firm size (Size), and their interaction terms—simultaneously affect the dependent variable, Cumulative Abnormal Return (CAR). Thus, the regression model, expressed as CAR = α + β</w:t>
      </w:r>
      <w:r w:rsidRPr="00A87D24">
        <w:rPr>
          <w:rFonts w:ascii="Cambria Math" w:hAnsi="Cambria Math" w:cs="Cambria Math"/>
          <w:sz w:val="22"/>
          <w:szCs w:val="22"/>
        </w:rPr>
        <w:t>₁</w:t>
      </w:r>
      <w:r w:rsidRPr="00A87D24">
        <w:rPr>
          <w:rFonts w:ascii="Arial" w:hAnsi="Arial" w:cs="Arial"/>
          <w:sz w:val="22"/>
          <w:szCs w:val="22"/>
        </w:rPr>
        <w:t>UE + β</w:t>
      </w:r>
      <w:r w:rsidRPr="00A87D24">
        <w:rPr>
          <w:rFonts w:ascii="Cambria Math" w:hAnsi="Cambria Math" w:cs="Cambria Math"/>
          <w:sz w:val="22"/>
          <w:szCs w:val="22"/>
        </w:rPr>
        <w:t>₂</w:t>
      </w:r>
      <w:r w:rsidRPr="00A87D24">
        <w:rPr>
          <w:rFonts w:ascii="Arial" w:hAnsi="Arial" w:cs="Arial"/>
          <w:sz w:val="22"/>
          <w:szCs w:val="22"/>
        </w:rPr>
        <w:t>Env + β</w:t>
      </w:r>
      <w:r w:rsidRPr="00A87D24">
        <w:rPr>
          <w:rFonts w:ascii="Cambria Math" w:hAnsi="Cambria Math" w:cs="Cambria Math"/>
          <w:sz w:val="22"/>
          <w:szCs w:val="22"/>
        </w:rPr>
        <w:t>₃</w:t>
      </w:r>
      <w:r w:rsidRPr="00A87D24">
        <w:rPr>
          <w:rFonts w:ascii="Arial" w:hAnsi="Arial" w:cs="Arial"/>
          <w:sz w:val="22"/>
          <w:szCs w:val="22"/>
        </w:rPr>
        <w:t>(UE×Env) + β</w:t>
      </w:r>
      <w:r w:rsidRPr="00A87D24">
        <w:rPr>
          <w:rFonts w:ascii="Cambria Math" w:hAnsi="Cambria Math" w:cs="Cambria Math"/>
          <w:sz w:val="22"/>
          <w:szCs w:val="22"/>
        </w:rPr>
        <w:t>₄</w:t>
      </w:r>
      <w:r w:rsidRPr="00A87D24">
        <w:rPr>
          <w:rFonts w:ascii="Arial" w:hAnsi="Arial" w:cs="Arial"/>
          <w:sz w:val="22"/>
          <w:szCs w:val="22"/>
        </w:rPr>
        <w:t>Soc + β</w:t>
      </w:r>
      <w:r w:rsidRPr="00A87D24">
        <w:rPr>
          <w:rFonts w:ascii="Cambria Math" w:hAnsi="Cambria Math" w:cs="Cambria Math"/>
          <w:sz w:val="22"/>
          <w:szCs w:val="22"/>
        </w:rPr>
        <w:t>₅</w:t>
      </w:r>
      <w:r w:rsidRPr="00A87D24">
        <w:rPr>
          <w:rFonts w:ascii="Arial" w:hAnsi="Arial" w:cs="Arial"/>
          <w:sz w:val="22"/>
          <w:szCs w:val="22"/>
        </w:rPr>
        <w:t>(UE×Soc) + β</w:t>
      </w:r>
      <w:r w:rsidRPr="00A87D24">
        <w:rPr>
          <w:rFonts w:ascii="Cambria Math" w:hAnsi="Cambria Math" w:cs="Cambria Math"/>
          <w:sz w:val="22"/>
          <w:szCs w:val="22"/>
        </w:rPr>
        <w:t>₆</w:t>
      </w:r>
      <w:r w:rsidRPr="00A87D24">
        <w:rPr>
          <w:rFonts w:ascii="Arial" w:hAnsi="Arial" w:cs="Arial"/>
          <w:sz w:val="22"/>
          <w:szCs w:val="22"/>
        </w:rPr>
        <w:t>Gov + β</w:t>
      </w:r>
      <w:r w:rsidRPr="00A87D24">
        <w:rPr>
          <w:rFonts w:ascii="Cambria Math" w:hAnsi="Cambria Math" w:cs="Cambria Math"/>
          <w:sz w:val="22"/>
          <w:szCs w:val="22"/>
        </w:rPr>
        <w:t>₇</w:t>
      </w:r>
      <w:r w:rsidRPr="00A87D24">
        <w:rPr>
          <w:rFonts w:ascii="Arial" w:hAnsi="Arial" w:cs="Arial"/>
          <w:sz w:val="22"/>
          <w:szCs w:val="22"/>
        </w:rPr>
        <w:t>(UE×Gov) + β</w:t>
      </w:r>
      <w:r w:rsidRPr="00A87D24">
        <w:rPr>
          <w:rFonts w:ascii="Cambria Math" w:hAnsi="Cambria Math" w:cs="Cambria Math"/>
          <w:sz w:val="22"/>
          <w:szCs w:val="22"/>
        </w:rPr>
        <w:t>₈</w:t>
      </w:r>
      <w:r w:rsidRPr="00A87D24">
        <w:rPr>
          <w:rFonts w:ascii="Arial" w:hAnsi="Arial" w:cs="Arial"/>
          <w:sz w:val="22"/>
          <w:szCs w:val="22"/>
        </w:rPr>
        <w:t>Size + β</w:t>
      </w:r>
      <w:r w:rsidRPr="00A87D24">
        <w:rPr>
          <w:rFonts w:ascii="Cambria Math" w:hAnsi="Cambria Math" w:cs="Cambria Math"/>
          <w:sz w:val="22"/>
          <w:szCs w:val="22"/>
        </w:rPr>
        <w:t>₉</w:t>
      </w:r>
      <w:r w:rsidRPr="00A87D24">
        <w:rPr>
          <w:rFonts w:ascii="Arial" w:hAnsi="Arial" w:cs="Arial"/>
          <w:sz w:val="22"/>
          <w:szCs w:val="22"/>
        </w:rPr>
        <w:t>(UE×Env×Size) + β</w:t>
      </w:r>
      <w:r w:rsidRPr="00A87D24">
        <w:rPr>
          <w:rFonts w:ascii="Cambria Math" w:hAnsi="Cambria Math" w:cs="Cambria Math"/>
          <w:sz w:val="22"/>
          <w:szCs w:val="22"/>
        </w:rPr>
        <w:t>₁₀</w:t>
      </w:r>
      <w:r w:rsidRPr="00A87D24">
        <w:rPr>
          <w:rFonts w:ascii="Arial" w:hAnsi="Arial" w:cs="Arial"/>
          <w:sz w:val="22"/>
          <w:szCs w:val="22"/>
        </w:rPr>
        <w:t>(UE×Soc×Size) + β</w:t>
      </w:r>
      <w:r w:rsidRPr="00A87D24">
        <w:rPr>
          <w:rFonts w:ascii="Cambria Math" w:hAnsi="Cambria Math" w:cs="Cambria Math"/>
          <w:sz w:val="22"/>
          <w:szCs w:val="22"/>
        </w:rPr>
        <w:t>₁₁</w:t>
      </w:r>
      <w:r w:rsidRPr="00A87D24">
        <w:rPr>
          <w:rFonts w:ascii="Arial" w:hAnsi="Arial" w:cs="Arial"/>
          <w:sz w:val="22"/>
          <w:szCs w:val="22"/>
        </w:rPr>
        <w:t>(UE×Gov×Size) + ε, is considered fit and reliable for explaining variations in Earnings Response Coefficient (ERC).</w:t>
      </w:r>
    </w:p>
    <w:p w14:paraId="40C09A26" w14:textId="28ACEB5D" w:rsidR="00D6400C" w:rsidRDefault="006462DA" w:rsidP="00D6400C">
      <w:pPr>
        <w:pStyle w:val="Body"/>
        <w:rPr>
          <w:rFonts w:ascii="Arial" w:hAnsi="Arial" w:cs="Arial"/>
          <w:b/>
          <w:sz w:val="22"/>
        </w:rPr>
      </w:pPr>
      <w:r>
        <w:rPr>
          <w:rFonts w:ascii="Arial" w:hAnsi="Arial" w:cs="Arial"/>
          <w:b/>
          <w:sz w:val="22"/>
        </w:rPr>
        <w:t>4</w:t>
      </w:r>
      <w:r w:rsidR="00D6400C">
        <w:rPr>
          <w:rFonts w:ascii="Arial" w:hAnsi="Arial" w:cs="Arial"/>
          <w:b/>
          <w:sz w:val="22"/>
        </w:rPr>
        <w:t xml:space="preserve">.5 </w:t>
      </w:r>
      <w:r w:rsidR="00D6400C" w:rsidRPr="00D6400C">
        <w:rPr>
          <w:rFonts w:ascii="Arial" w:hAnsi="Arial" w:cs="Arial"/>
          <w:b/>
          <w:sz w:val="22"/>
        </w:rPr>
        <w:t>Coefficient of Determination Test (R2)</w:t>
      </w:r>
    </w:p>
    <w:p w14:paraId="553B72EE" w14:textId="7144F751" w:rsidR="00A87D24" w:rsidRDefault="00A87D24" w:rsidP="00D6400C">
      <w:pPr>
        <w:pStyle w:val="Body"/>
        <w:rPr>
          <w:rFonts w:ascii="Arial" w:hAnsi="Arial" w:cs="Arial"/>
        </w:rPr>
      </w:pPr>
      <w:r w:rsidRPr="00A87D24">
        <w:rPr>
          <w:rFonts w:ascii="Arial" w:hAnsi="Arial" w:cs="Arial"/>
        </w:rPr>
        <w:t>The coefficient of determination (R²) test is used to evaluate the extent to which the regression model explains the variation in the dependent variable, as noted by Imam Ghozali (2013). The results are presented in the following table</w:t>
      </w:r>
      <w:r w:rsidR="00384565">
        <w:rPr>
          <w:rFonts w:ascii="Arial" w:hAnsi="Arial" w:cs="Arial"/>
        </w:rPr>
        <w:t>.</w:t>
      </w:r>
    </w:p>
    <w:p w14:paraId="0A87DC77" w14:textId="59C94EDD" w:rsidR="00384565" w:rsidRDefault="00384565" w:rsidP="00D6400C">
      <w:pPr>
        <w:pStyle w:val="Body"/>
        <w:rPr>
          <w:rFonts w:ascii="Arial" w:hAnsi="Arial" w:cs="Arial"/>
        </w:rPr>
      </w:pPr>
      <w:r>
        <w:rPr>
          <w:rFonts w:ascii="Arial" w:hAnsi="Arial" w:cs="Arial"/>
        </w:rPr>
        <w:t xml:space="preserve">Table 5 : </w:t>
      </w:r>
    </w:p>
    <w:p w14:paraId="5E7924B0" w14:textId="77777777" w:rsidR="00384565" w:rsidRDefault="00384565" w:rsidP="00D6400C">
      <w:pPr>
        <w:pStyle w:val="Body"/>
        <w:rPr>
          <w:rFonts w:ascii="Arial" w:hAnsi="Arial" w:cs="Arial"/>
        </w:rPr>
      </w:pP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717"/>
        <w:gridCol w:w="1095"/>
        <w:gridCol w:w="2006"/>
        <w:gridCol w:w="2628"/>
      </w:tblGrid>
      <w:tr w:rsidR="00A87D24" w:rsidRPr="00A87D24" w14:paraId="7FEC44EF" w14:textId="77777777" w:rsidTr="00A87D24">
        <w:trPr>
          <w:jc w:val="center"/>
        </w:trPr>
        <w:tc>
          <w:tcPr>
            <w:tcW w:w="0" w:type="auto"/>
            <w:hideMark/>
          </w:tcPr>
          <w:p w14:paraId="09F20E34" w14:textId="77777777" w:rsidR="00A87D24" w:rsidRPr="00A87D24" w:rsidRDefault="00A87D24" w:rsidP="00A87D24">
            <w:pPr>
              <w:jc w:val="center"/>
              <w:rPr>
                <w:rFonts w:ascii="Arial" w:hAnsi="Arial" w:cs="Arial"/>
                <w:b/>
                <w:bCs/>
                <w:lang w:val="en-ID"/>
              </w:rPr>
            </w:pPr>
            <w:r w:rsidRPr="00A87D24">
              <w:rPr>
                <w:rFonts w:ascii="Arial" w:hAnsi="Arial" w:cs="Arial"/>
                <w:b/>
                <w:bCs/>
                <w:lang w:val="en-ID"/>
              </w:rPr>
              <w:t>Model</w:t>
            </w:r>
          </w:p>
        </w:tc>
        <w:tc>
          <w:tcPr>
            <w:tcW w:w="0" w:type="auto"/>
            <w:hideMark/>
          </w:tcPr>
          <w:p w14:paraId="26178981" w14:textId="77777777" w:rsidR="00A87D24" w:rsidRPr="00A87D24" w:rsidRDefault="00A87D24" w:rsidP="00A87D24">
            <w:pPr>
              <w:jc w:val="center"/>
              <w:rPr>
                <w:rFonts w:ascii="Arial" w:hAnsi="Arial" w:cs="Arial"/>
                <w:b/>
                <w:bCs/>
                <w:lang w:val="en-ID"/>
              </w:rPr>
            </w:pPr>
            <w:r w:rsidRPr="00A87D24">
              <w:rPr>
                <w:rFonts w:ascii="Arial" w:hAnsi="Arial" w:cs="Arial"/>
                <w:b/>
                <w:bCs/>
                <w:lang w:val="en-ID"/>
              </w:rPr>
              <w:t>R</w:t>
            </w:r>
          </w:p>
        </w:tc>
        <w:tc>
          <w:tcPr>
            <w:tcW w:w="0" w:type="auto"/>
            <w:hideMark/>
          </w:tcPr>
          <w:p w14:paraId="7002DE92" w14:textId="77777777" w:rsidR="00A87D24" w:rsidRPr="00A87D24" w:rsidRDefault="00A87D24" w:rsidP="00A87D24">
            <w:pPr>
              <w:jc w:val="center"/>
              <w:rPr>
                <w:rFonts w:ascii="Arial" w:hAnsi="Arial" w:cs="Arial"/>
                <w:b/>
                <w:bCs/>
                <w:lang w:val="en-ID"/>
              </w:rPr>
            </w:pPr>
            <w:r w:rsidRPr="00A87D24">
              <w:rPr>
                <w:rFonts w:ascii="Arial" w:hAnsi="Arial" w:cs="Arial"/>
                <w:b/>
                <w:bCs/>
                <w:lang w:val="en-ID"/>
              </w:rPr>
              <w:t>R Square</w:t>
            </w:r>
          </w:p>
        </w:tc>
        <w:tc>
          <w:tcPr>
            <w:tcW w:w="0" w:type="auto"/>
            <w:hideMark/>
          </w:tcPr>
          <w:p w14:paraId="39217688" w14:textId="77777777" w:rsidR="00A87D24" w:rsidRPr="00A87D24" w:rsidRDefault="00A87D24" w:rsidP="00A87D24">
            <w:pPr>
              <w:jc w:val="center"/>
              <w:rPr>
                <w:rFonts w:ascii="Arial" w:hAnsi="Arial" w:cs="Arial"/>
                <w:b/>
                <w:bCs/>
                <w:lang w:val="en-ID"/>
              </w:rPr>
            </w:pPr>
            <w:r w:rsidRPr="00A87D24">
              <w:rPr>
                <w:rFonts w:ascii="Arial" w:hAnsi="Arial" w:cs="Arial"/>
                <w:b/>
                <w:bCs/>
                <w:lang w:val="en-ID"/>
              </w:rPr>
              <w:t>Adjusted R Square</w:t>
            </w:r>
          </w:p>
        </w:tc>
        <w:tc>
          <w:tcPr>
            <w:tcW w:w="0" w:type="auto"/>
            <w:hideMark/>
          </w:tcPr>
          <w:p w14:paraId="53CD2409" w14:textId="77777777" w:rsidR="00A87D24" w:rsidRPr="00A87D24" w:rsidRDefault="00A87D24" w:rsidP="00A87D24">
            <w:pPr>
              <w:jc w:val="center"/>
              <w:rPr>
                <w:rFonts w:ascii="Arial" w:hAnsi="Arial" w:cs="Arial"/>
                <w:b/>
                <w:bCs/>
                <w:lang w:val="en-ID"/>
              </w:rPr>
            </w:pPr>
            <w:r w:rsidRPr="00A87D24">
              <w:rPr>
                <w:rFonts w:ascii="Arial" w:hAnsi="Arial" w:cs="Arial"/>
                <w:b/>
                <w:bCs/>
                <w:lang w:val="en-ID"/>
              </w:rPr>
              <w:t>Std. Error of the Estimate</w:t>
            </w:r>
          </w:p>
        </w:tc>
      </w:tr>
      <w:tr w:rsidR="00A87D24" w:rsidRPr="00A87D24" w14:paraId="7A82ACBD" w14:textId="77777777" w:rsidTr="00A87D24">
        <w:trPr>
          <w:jc w:val="center"/>
        </w:trPr>
        <w:tc>
          <w:tcPr>
            <w:tcW w:w="0" w:type="auto"/>
            <w:hideMark/>
          </w:tcPr>
          <w:p w14:paraId="261D7299" w14:textId="77777777" w:rsidR="00A87D24" w:rsidRPr="00A87D24" w:rsidRDefault="00A87D24" w:rsidP="00A87D24">
            <w:pPr>
              <w:rPr>
                <w:rFonts w:ascii="Arial" w:hAnsi="Arial" w:cs="Arial"/>
                <w:lang w:val="en-ID"/>
              </w:rPr>
            </w:pPr>
            <w:r w:rsidRPr="00A87D24">
              <w:rPr>
                <w:rFonts w:ascii="Arial" w:hAnsi="Arial" w:cs="Arial"/>
                <w:lang w:val="en-ID"/>
              </w:rPr>
              <w:t>1</w:t>
            </w:r>
          </w:p>
        </w:tc>
        <w:tc>
          <w:tcPr>
            <w:tcW w:w="0" w:type="auto"/>
            <w:hideMark/>
          </w:tcPr>
          <w:p w14:paraId="52C20F1A" w14:textId="77777777" w:rsidR="00A87D24" w:rsidRPr="00A87D24" w:rsidRDefault="00A87D24" w:rsidP="00A87D24">
            <w:pPr>
              <w:jc w:val="center"/>
              <w:rPr>
                <w:rFonts w:ascii="Arial" w:hAnsi="Arial" w:cs="Arial"/>
                <w:lang w:val="en-ID"/>
              </w:rPr>
            </w:pPr>
            <w:r w:rsidRPr="00A87D24">
              <w:rPr>
                <w:rFonts w:ascii="Arial" w:hAnsi="Arial" w:cs="Arial"/>
                <w:lang w:val="en-ID"/>
              </w:rPr>
              <w:t>0.504</w:t>
            </w:r>
          </w:p>
        </w:tc>
        <w:tc>
          <w:tcPr>
            <w:tcW w:w="0" w:type="auto"/>
            <w:hideMark/>
          </w:tcPr>
          <w:p w14:paraId="79CA4922" w14:textId="77777777" w:rsidR="00A87D24" w:rsidRPr="00A87D24" w:rsidRDefault="00A87D24" w:rsidP="00A87D24">
            <w:pPr>
              <w:jc w:val="center"/>
              <w:rPr>
                <w:rFonts w:ascii="Arial" w:hAnsi="Arial" w:cs="Arial"/>
                <w:lang w:val="en-ID"/>
              </w:rPr>
            </w:pPr>
            <w:r w:rsidRPr="00A87D24">
              <w:rPr>
                <w:rFonts w:ascii="Arial" w:hAnsi="Arial" w:cs="Arial"/>
                <w:lang w:val="en-ID"/>
              </w:rPr>
              <w:t>0.254</w:t>
            </w:r>
          </w:p>
        </w:tc>
        <w:tc>
          <w:tcPr>
            <w:tcW w:w="0" w:type="auto"/>
            <w:hideMark/>
          </w:tcPr>
          <w:p w14:paraId="6064A4BF" w14:textId="77777777" w:rsidR="00A87D24" w:rsidRPr="00A87D24" w:rsidRDefault="00A87D24" w:rsidP="00A87D24">
            <w:pPr>
              <w:jc w:val="center"/>
              <w:rPr>
                <w:rFonts w:ascii="Arial" w:hAnsi="Arial" w:cs="Arial"/>
                <w:lang w:val="en-ID"/>
              </w:rPr>
            </w:pPr>
            <w:r w:rsidRPr="00A87D24">
              <w:rPr>
                <w:rFonts w:ascii="Arial" w:hAnsi="Arial" w:cs="Arial"/>
                <w:lang w:val="en-ID"/>
              </w:rPr>
              <w:t>0.156</w:t>
            </w:r>
          </w:p>
        </w:tc>
        <w:tc>
          <w:tcPr>
            <w:tcW w:w="0" w:type="auto"/>
            <w:hideMark/>
          </w:tcPr>
          <w:p w14:paraId="101115EC" w14:textId="77777777" w:rsidR="00A87D24" w:rsidRPr="00A87D24" w:rsidRDefault="00A87D24" w:rsidP="00A87D24">
            <w:pPr>
              <w:jc w:val="center"/>
              <w:rPr>
                <w:rFonts w:ascii="Arial" w:hAnsi="Arial" w:cs="Arial"/>
                <w:lang w:val="en-ID"/>
              </w:rPr>
            </w:pPr>
            <w:r w:rsidRPr="00A87D24">
              <w:rPr>
                <w:rFonts w:ascii="Arial" w:hAnsi="Arial" w:cs="Arial"/>
                <w:lang w:val="en-ID"/>
              </w:rPr>
              <w:t>0.415095293</w:t>
            </w:r>
          </w:p>
        </w:tc>
      </w:tr>
    </w:tbl>
    <w:p w14:paraId="0D2FA07F" w14:textId="77777777" w:rsidR="00A87D24" w:rsidRDefault="00A87D24" w:rsidP="00D6400C">
      <w:pPr>
        <w:pStyle w:val="Body"/>
        <w:rPr>
          <w:rFonts w:ascii="Arial" w:hAnsi="Arial" w:cs="Arial"/>
        </w:rPr>
      </w:pPr>
    </w:p>
    <w:p w14:paraId="75446087" w14:textId="1D3173AE" w:rsidR="00A87D24" w:rsidRPr="00A87D24" w:rsidRDefault="00A87D24" w:rsidP="00D6400C">
      <w:pPr>
        <w:pStyle w:val="Body"/>
        <w:rPr>
          <w:rFonts w:ascii="Arial" w:hAnsi="Arial" w:cs="Arial"/>
        </w:rPr>
      </w:pPr>
      <w:r w:rsidRPr="00A87D24">
        <w:rPr>
          <w:rFonts w:ascii="Arial" w:hAnsi="Arial" w:cs="Arial"/>
        </w:rPr>
        <w:t>The R value of 0.504 indicates a moderate correlation between the independent variables and the dependent variable, Cumulative Abnormal Return (CAR) as a proxy for ERC. The R Square value of 0.254 implies that 25.4% of the variation in ERC can be explained by Environmental (Env), Social (Soc), Governance (Gov), Unexpected Earnings (UE), firm size (Size), and their interaction terms, while the remaining 74.6% is influenced by other factors. Furthermore, the Adjusted R Square of 0.156 suggests that after adjusting for the number of variables and sample size, the model explains only 15.6% of the variation, indicating relatively weak explanatory power.</w:t>
      </w:r>
    </w:p>
    <w:p w14:paraId="61CB761D" w14:textId="77777777" w:rsidR="000C1988" w:rsidRDefault="000C1988">
      <w:pPr>
        <w:rPr>
          <w:rFonts w:ascii="Arial" w:hAnsi="Arial" w:cs="Arial"/>
          <w:b/>
          <w:sz w:val="22"/>
        </w:rPr>
      </w:pPr>
      <w:r>
        <w:rPr>
          <w:rFonts w:ascii="Arial" w:hAnsi="Arial" w:cs="Arial"/>
          <w:b/>
          <w:sz w:val="22"/>
        </w:rPr>
        <w:br w:type="page"/>
      </w:r>
    </w:p>
    <w:p w14:paraId="30CC932E" w14:textId="029679CE" w:rsidR="00D6400C" w:rsidRPr="00D6400C" w:rsidRDefault="006462DA" w:rsidP="00D6400C">
      <w:pPr>
        <w:pStyle w:val="Body"/>
        <w:rPr>
          <w:rFonts w:ascii="Arial" w:hAnsi="Arial" w:cs="Arial"/>
          <w:b/>
          <w:sz w:val="22"/>
        </w:rPr>
      </w:pPr>
      <w:r>
        <w:rPr>
          <w:rFonts w:ascii="Arial" w:hAnsi="Arial" w:cs="Arial"/>
          <w:b/>
          <w:sz w:val="22"/>
        </w:rPr>
        <w:lastRenderedPageBreak/>
        <w:t>4</w:t>
      </w:r>
      <w:r w:rsidR="00D6400C">
        <w:rPr>
          <w:rFonts w:ascii="Arial" w:hAnsi="Arial" w:cs="Arial"/>
          <w:b/>
          <w:sz w:val="22"/>
        </w:rPr>
        <w:t xml:space="preserve">.6 </w:t>
      </w:r>
      <w:r w:rsidR="00D6400C" w:rsidRPr="00D6400C">
        <w:rPr>
          <w:rFonts w:ascii="Arial" w:hAnsi="Arial" w:cs="Arial"/>
          <w:b/>
          <w:sz w:val="22"/>
        </w:rPr>
        <w:t xml:space="preserve">Partial Test (T-test) </w:t>
      </w:r>
    </w:p>
    <w:p w14:paraId="3BA8005F" w14:textId="06A4548E" w:rsidR="008443F6" w:rsidRDefault="008443F6" w:rsidP="008443F6">
      <w:pPr>
        <w:pStyle w:val="Body"/>
        <w:rPr>
          <w:rFonts w:ascii="Arial" w:hAnsi="Arial" w:cs="Arial"/>
        </w:rPr>
      </w:pPr>
      <w:r w:rsidRPr="008443F6">
        <w:rPr>
          <w:rFonts w:ascii="Arial" w:hAnsi="Arial" w:cs="Arial"/>
        </w:rPr>
        <w:t>The partial test (T-test) is used to examine the individual effect of each independent variable on the dependent variable at a 5% significance level. The results are presented in Table 4, which shows that Environmental disclosure (EnvUE) has a negative and significant effect on Earnings Response Coefficient (ERC), with a coefficient of -0.121 and a significance value of 0.038, therefore H1 is not supported. Social disclosure (SocUE) also has a negative and significant effect on ERC, with a coefficient of -0.122 and a significance value of 0.013, so H2 is not supported. Meanwhile, Governance disclosure (Gov*UE) has no significant effect on ERC, with a coefficient of -0.020 and a significance value of 0.719, thus H3 is not supported.</w:t>
      </w:r>
    </w:p>
    <w:p w14:paraId="5914ADF8" w14:textId="34774A24" w:rsidR="00384565" w:rsidRDefault="00384565" w:rsidP="008443F6">
      <w:pPr>
        <w:pStyle w:val="Body"/>
        <w:rPr>
          <w:rFonts w:ascii="Arial" w:hAnsi="Arial" w:cs="Arial"/>
        </w:rPr>
      </w:pPr>
      <w:r>
        <w:rPr>
          <w:rFonts w:ascii="Arial" w:hAnsi="Arial" w:cs="Arial"/>
        </w:rPr>
        <w:t xml:space="preserve">Table 6 : </w:t>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784"/>
        <w:gridCol w:w="1139"/>
        <w:gridCol w:w="784"/>
        <w:gridCol w:w="784"/>
        <w:gridCol w:w="717"/>
        <w:gridCol w:w="1817"/>
      </w:tblGrid>
      <w:tr w:rsidR="008443F6" w:rsidRPr="008443F6" w14:paraId="590FD9D5" w14:textId="77777777" w:rsidTr="008443F6">
        <w:trPr>
          <w:jc w:val="center"/>
        </w:trPr>
        <w:tc>
          <w:tcPr>
            <w:tcW w:w="0" w:type="auto"/>
            <w:hideMark/>
          </w:tcPr>
          <w:p w14:paraId="16D603EE" w14:textId="77777777" w:rsidR="008443F6" w:rsidRPr="008443F6" w:rsidRDefault="008443F6" w:rsidP="008443F6">
            <w:pPr>
              <w:jc w:val="center"/>
              <w:rPr>
                <w:rFonts w:ascii="Arial" w:hAnsi="Arial" w:cs="Arial"/>
                <w:b/>
                <w:bCs/>
                <w:lang w:val="en-ID"/>
              </w:rPr>
            </w:pPr>
            <w:r w:rsidRPr="008443F6">
              <w:rPr>
                <w:rFonts w:ascii="Arial" w:hAnsi="Arial" w:cs="Arial"/>
                <w:b/>
                <w:bCs/>
                <w:lang w:val="en-ID"/>
              </w:rPr>
              <w:t>Variable</w:t>
            </w:r>
          </w:p>
        </w:tc>
        <w:tc>
          <w:tcPr>
            <w:tcW w:w="0" w:type="auto"/>
            <w:hideMark/>
          </w:tcPr>
          <w:p w14:paraId="2B618772" w14:textId="77777777" w:rsidR="008443F6" w:rsidRPr="008443F6" w:rsidRDefault="008443F6" w:rsidP="008443F6">
            <w:pPr>
              <w:jc w:val="center"/>
              <w:rPr>
                <w:rFonts w:ascii="Arial" w:hAnsi="Arial" w:cs="Arial"/>
                <w:b/>
                <w:bCs/>
                <w:lang w:val="en-ID"/>
              </w:rPr>
            </w:pPr>
            <w:r w:rsidRPr="008443F6">
              <w:rPr>
                <w:rFonts w:ascii="Arial" w:hAnsi="Arial" w:cs="Arial"/>
                <w:b/>
                <w:bCs/>
                <w:lang w:val="en-ID"/>
              </w:rPr>
              <w:t>B</w:t>
            </w:r>
          </w:p>
        </w:tc>
        <w:tc>
          <w:tcPr>
            <w:tcW w:w="0" w:type="auto"/>
            <w:hideMark/>
          </w:tcPr>
          <w:p w14:paraId="5795ECEA" w14:textId="77777777" w:rsidR="008443F6" w:rsidRPr="008443F6" w:rsidRDefault="008443F6" w:rsidP="008443F6">
            <w:pPr>
              <w:jc w:val="center"/>
              <w:rPr>
                <w:rFonts w:ascii="Arial" w:hAnsi="Arial" w:cs="Arial"/>
                <w:b/>
                <w:bCs/>
                <w:lang w:val="en-ID"/>
              </w:rPr>
            </w:pPr>
            <w:r w:rsidRPr="008443F6">
              <w:rPr>
                <w:rFonts w:ascii="Arial" w:hAnsi="Arial" w:cs="Arial"/>
                <w:b/>
                <w:bCs/>
                <w:lang w:val="en-ID"/>
              </w:rPr>
              <w:t>Std. Error</w:t>
            </w:r>
          </w:p>
        </w:tc>
        <w:tc>
          <w:tcPr>
            <w:tcW w:w="0" w:type="auto"/>
            <w:hideMark/>
          </w:tcPr>
          <w:p w14:paraId="2DAEB84E" w14:textId="77777777" w:rsidR="008443F6" w:rsidRPr="008443F6" w:rsidRDefault="008443F6" w:rsidP="008443F6">
            <w:pPr>
              <w:jc w:val="center"/>
              <w:rPr>
                <w:rFonts w:ascii="Arial" w:hAnsi="Arial" w:cs="Arial"/>
                <w:b/>
                <w:bCs/>
                <w:lang w:val="en-ID"/>
              </w:rPr>
            </w:pPr>
            <w:r w:rsidRPr="008443F6">
              <w:rPr>
                <w:rFonts w:ascii="Arial" w:hAnsi="Arial" w:cs="Arial"/>
                <w:b/>
                <w:bCs/>
                <w:lang w:val="en-ID"/>
              </w:rPr>
              <w:t>Beta</w:t>
            </w:r>
          </w:p>
        </w:tc>
        <w:tc>
          <w:tcPr>
            <w:tcW w:w="0" w:type="auto"/>
            <w:hideMark/>
          </w:tcPr>
          <w:p w14:paraId="22E1665F" w14:textId="77777777" w:rsidR="008443F6" w:rsidRPr="008443F6" w:rsidRDefault="008443F6" w:rsidP="008443F6">
            <w:pPr>
              <w:jc w:val="center"/>
              <w:rPr>
                <w:rFonts w:ascii="Arial" w:hAnsi="Arial" w:cs="Arial"/>
                <w:b/>
                <w:bCs/>
                <w:lang w:val="en-ID"/>
              </w:rPr>
            </w:pPr>
            <w:r w:rsidRPr="008443F6">
              <w:rPr>
                <w:rFonts w:ascii="Arial" w:hAnsi="Arial" w:cs="Arial"/>
                <w:b/>
                <w:bCs/>
                <w:lang w:val="en-ID"/>
              </w:rPr>
              <w:t>t</w:t>
            </w:r>
          </w:p>
        </w:tc>
        <w:tc>
          <w:tcPr>
            <w:tcW w:w="0" w:type="auto"/>
            <w:hideMark/>
          </w:tcPr>
          <w:p w14:paraId="3C2122C7" w14:textId="77777777" w:rsidR="008443F6" w:rsidRPr="008443F6" w:rsidRDefault="008443F6" w:rsidP="008443F6">
            <w:pPr>
              <w:jc w:val="center"/>
              <w:rPr>
                <w:rFonts w:ascii="Arial" w:hAnsi="Arial" w:cs="Arial"/>
                <w:b/>
                <w:bCs/>
                <w:lang w:val="en-ID"/>
              </w:rPr>
            </w:pPr>
            <w:r w:rsidRPr="008443F6">
              <w:rPr>
                <w:rFonts w:ascii="Arial" w:hAnsi="Arial" w:cs="Arial"/>
                <w:b/>
                <w:bCs/>
                <w:lang w:val="en-ID"/>
              </w:rPr>
              <w:t>Sig.</w:t>
            </w:r>
          </w:p>
        </w:tc>
        <w:tc>
          <w:tcPr>
            <w:tcW w:w="0" w:type="auto"/>
            <w:hideMark/>
          </w:tcPr>
          <w:p w14:paraId="5E400515" w14:textId="77777777" w:rsidR="008443F6" w:rsidRPr="008443F6" w:rsidRDefault="008443F6" w:rsidP="008443F6">
            <w:pPr>
              <w:jc w:val="center"/>
              <w:rPr>
                <w:rFonts w:ascii="Arial" w:hAnsi="Arial" w:cs="Arial"/>
                <w:b/>
                <w:bCs/>
                <w:lang w:val="en-ID"/>
              </w:rPr>
            </w:pPr>
            <w:r w:rsidRPr="008443F6">
              <w:rPr>
                <w:rFonts w:ascii="Arial" w:hAnsi="Arial" w:cs="Arial"/>
                <w:b/>
                <w:bCs/>
                <w:lang w:val="en-ID"/>
              </w:rPr>
              <w:t>Conclusion</w:t>
            </w:r>
          </w:p>
        </w:tc>
      </w:tr>
      <w:tr w:rsidR="008443F6" w:rsidRPr="008443F6" w14:paraId="1E3F9E63" w14:textId="77777777" w:rsidTr="008443F6">
        <w:trPr>
          <w:jc w:val="center"/>
        </w:trPr>
        <w:tc>
          <w:tcPr>
            <w:tcW w:w="0" w:type="auto"/>
            <w:hideMark/>
          </w:tcPr>
          <w:p w14:paraId="5024AD19" w14:textId="77777777" w:rsidR="008443F6" w:rsidRPr="008443F6" w:rsidRDefault="008443F6" w:rsidP="008443F6">
            <w:pPr>
              <w:rPr>
                <w:rFonts w:ascii="Arial" w:hAnsi="Arial" w:cs="Arial"/>
                <w:lang w:val="en-ID"/>
              </w:rPr>
            </w:pPr>
            <w:r w:rsidRPr="008443F6">
              <w:rPr>
                <w:rFonts w:ascii="Arial" w:hAnsi="Arial" w:cs="Arial"/>
                <w:lang w:val="en-ID"/>
              </w:rPr>
              <w:t>(Constant)</w:t>
            </w:r>
          </w:p>
        </w:tc>
        <w:tc>
          <w:tcPr>
            <w:tcW w:w="0" w:type="auto"/>
            <w:hideMark/>
          </w:tcPr>
          <w:p w14:paraId="2A11876D" w14:textId="77777777" w:rsidR="008443F6" w:rsidRPr="008443F6" w:rsidRDefault="008443F6" w:rsidP="008443F6">
            <w:pPr>
              <w:jc w:val="center"/>
              <w:rPr>
                <w:rFonts w:ascii="Arial" w:hAnsi="Arial" w:cs="Arial"/>
                <w:lang w:val="en-ID"/>
              </w:rPr>
            </w:pPr>
            <w:r w:rsidRPr="008443F6">
              <w:rPr>
                <w:rFonts w:ascii="Arial" w:hAnsi="Arial" w:cs="Arial"/>
                <w:lang w:val="en-ID"/>
              </w:rPr>
              <w:t>-0.041</w:t>
            </w:r>
          </w:p>
        </w:tc>
        <w:tc>
          <w:tcPr>
            <w:tcW w:w="0" w:type="auto"/>
            <w:hideMark/>
          </w:tcPr>
          <w:p w14:paraId="7D853749" w14:textId="77777777" w:rsidR="008443F6" w:rsidRPr="008443F6" w:rsidRDefault="008443F6" w:rsidP="008443F6">
            <w:pPr>
              <w:jc w:val="center"/>
              <w:rPr>
                <w:rFonts w:ascii="Arial" w:hAnsi="Arial" w:cs="Arial"/>
                <w:lang w:val="en-ID"/>
              </w:rPr>
            </w:pPr>
            <w:r w:rsidRPr="008443F6">
              <w:rPr>
                <w:rFonts w:ascii="Arial" w:hAnsi="Arial" w:cs="Arial"/>
                <w:lang w:val="en-ID"/>
              </w:rPr>
              <w:t>0.053</w:t>
            </w:r>
          </w:p>
        </w:tc>
        <w:tc>
          <w:tcPr>
            <w:tcW w:w="0" w:type="auto"/>
            <w:hideMark/>
          </w:tcPr>
          <w:p w14:paraId="7AA6F1CA" w14:textId="77777777" w:rsidR="008443F6" w:rsidRPr="008443F6" w:rsidRDefault="008443F6" w:rsidP="008443F6">
            <w:pPr>
              <w:jc w:val="center"/>
              <w:rPr>
                <w:rFonts w:ascii="Arial" w:hAnsi="Arial" w:cs="Arial"/>
                <w:lang w:val="en-ID"/>
              </w:rPr>
            </w:pPr>
          </w:p>
        </w:tc>
        <w:tc>
          <w:tcPr>
            <w:tcW w:w="0" w:type="auto"/>
            <w:hideMark/>
          </w:tcPr>
          <w:p w14:paraId="7196BF67" w14:textId="77777777" w:rsidR="008443F6" w:rsidRPr="008443F6" w:rsidRDefault="008443F6" w:rsidP="008443F6">
            <w:pPr>
              <w:jc w:val="center"/>
              <w:rPr>
                <w:rFonts w:ascii="Arial" w:hAnsi="Arial" w:cs="Arial"/>
                <w:lang w:val="en-ID"/>
              </w:rPr>
            </w:pPr>
            <w:r w:rsidRPr="008443F6">
              <w:rPr>
                <w:rFonts w:ascii="Arial" w:hAnsi="Arial" w:cs="Arial"/>
                <w:lang w:val="en-ID"/>
              </w:rPr>
              <w:t>-0.776</w:t>
            </w:r>
          </w:p>
        </w:tc>
        <w:tc>
          <w:tcPr>
            <w:tcW w:w="0" w:type="auto"/>
            <w:hideMark/>
          </w:tcPr>
          <w:p w14:paraId="3F39B759" w14:textId="77777777" w:rsidR="008443F6" w:rsidRPr="008443F6" w:rsidRDefault="008443F6" w:rsidP="008443F6">
            <w:pPr>
              <w:jc w:val="center"/>
              <w:rPr>
                <w:rFonts w:ascii="Arial" w:hAnsi="Arial" w:cs="Arial"/>
                <w:lang w:val="en-ID"/>
              </w:rPr>
            </w:pPr>
            <w:r w:rsidRPr="008443F6">
              <w:rPr>
                <w:rFonts w:ascii="Arial" w:hAnsi="Arial" w:cs="Arial"/>
                <w:lang w:val="en-ID"/>
              </w:rPr>
              <w:t>0.440</w:t>
            </w:r>
          </w:p>
        </w:tc>
        <w:tc>
          <w:tcPr>
            <w:tcW w:w="0" w:type="auto"/>
            <w:hideMark/>
          </w:tcPr>
          <w:p w14:paraId="243B9E96" w14:textId="77777777" w:rsidR="008443F6" w:rsidRPr="008443F6" w:rsidRDefault="008443F6" w:rsidP="008443F6">
            <w:pPr>
              <w:jc w:val="center"/>
              <w:rPr>
                <w:rFonts w:ascii="Arial" w:hAnsi="Arial" w:cs="Arial"/>
                <w:lang w:val="en-ID"/>
              </w:rPr>
            </w:pPr>
          </w:p>
        </w:tc>
      </w:tr>
      <w:tr w:rsidR="008443F6" w:rsidRPr="008443F6" w14:paraId="4C88D94A" w14:textId="77777777" w:rsidTr="008443F6">
        <w:trPr>
          <w:jc w:val="center"/>
        </w:trPr>
        <w:tc>
          <w:tcPr>
            <w:tcW w:w="0" w:type="auto"/>
            <w:hideMark/>
          </w:tcPr>
          <w:p w14:paraId="09ABF0CB" w14:textId="77777777" w:rsidR="008443F6" w:rsidRPr="008443F6" w:rsidRDefault="008443F6" w:rsidP="008443F6">
            <w:pPr>
              <w:rPr>
                <w:rFonts w:ascii="Arial" w:hAnsi="Arial" w:cs="Arial"/>
                <w:lang w:val="en-ID"/>
              </w:rPr>
            </w:pPr>
            <w:r w:rsidRPr="008443F6">
              <w:rPr>
                <w:rFonts w:ascii="Arial" w:hAnsi="Arial" w:cs="Arial"/>
                <w:lang w:val="en-ID"/>
              </w:rPr>
              <w:t>UEit</w:t>
            </w:r>
          </w:p>
        </w:tc>
        <w:tc>
          <w:tcPr>
            <w:tcW w:w="0" w:type="auto"/>
            <w:hideMark/>
          </w:tcPr>
          <w:p w14:paraId="24415166" w14:textId="77777777" w:rsidR="008443F6" w:rsidRPr="008443F6" w:rsidRDefault="008443F6" w:rsidP="008443F6">
            <w:pPr>
              <w:jc w:val="center"/>
              <w:rPr>
                <w:rFonts w:ascii="Arial" w:hAnsi="Arial" w:cs="Arial"/>
                <w:lang w:val="en-ID"/>
              </w:rPr>
            </w:pPr>
            <w:r w:rsidRPr="008443F6">
              <w:rPr>
                <w:rFonts w:ascii="Arial" w:hAnsi="Arial" w:cs="Arial"/>
                <w:lang w:val="en-ID"/>
              </w:rPr>
              <w:t>-0.001</w:t>
            </w:r>
          </w:p>
        </w:tc>
        <w:tc>
          <w:tcPr>
            <w:tcW w:w="0" w:type="auto"/>
            <w:hideMark/>
          </w:tcPr>
          <w:p w14:paraId="78DC6BA0" w14:textId="77777777" w:rsidR="008443F6" w:rsidRPr="008443F6" w:rsidRDefault="008443F6" w:rsidP="008443F6">
            <w:pPr>
              <w:jc w:val="center"/>
              <w:rPr>
                <w:rFonts w:ascii="Arial" w:hAnsi="Arial" w:cs="Arial"/>
                <w:lang w:val="en-ID"/>
              </w:rPr>
            </w:pPr>
            <w:r w:rsidRPr="008443F6">
              <w:rPr>
                <w:rFonts w:ascii="Arial" w:hAnsi="Arial" w:cs="Arial"/>
                <w:lang w:val="en-ID"/>
              </w:rPr>
              <w:t>0.057</w:t>
            </w:r>
          </w:p>
        </w:tc>
        <w:tc>
          <w:tcPr>
            <w:tcW w:w="0" w:type="auto"/>
            <w:hideMark/>
          </w:tcPr>
          <w:p w14:paraId="3B19D475" w14:textId="77777777" w:rsidR="008443F6" w:rsidRPr="008443F6" w:rsidRDefault="008443F6" w:rsidP="008443F6">
            <w:pPr>
              <w:jc w:val="center"/>
              <w:rPr>
                <w:rFonts w:ascii="Arial" w:hAnsi="Arial" w:cs="Arial"/>
                <w:lang w:val="en-ID"/>
              </w:rPr>
            </w:pPr>
            <w:r w:rsidRPr="008443F6">
              <w:rPr>
                <w:rFonts w:ascii="Arial" w:hAnsi="Arial" w:cs="Arial"/>
                <w:lang w:val="en-ID"/>
              </w:rPr>
              <w:t>-0.001</w:t>
            </w:r>
          </w:p>
        </w:tc>
        <w:tc>
          <w:tcPr>
            <w:tcW w:w="0" w:type="auto"/>
            <w:hideMark/>
          </w:tcPr>
          <w:p w14:paraId="68F86597" w14:textId="77777777" w:rsidR="008443F6" w:rsidRPr="008443F6" w:rsidRDefault="008443F6" w:rsidP="008443F6">
            <w:pPr>
              <w:jc w:val="center"/>
              <w:rPr>
                <w:rFonts w:ascii="Arial" w:hAnsi="Arial" w:cs="Arial"/>
                <w:lang w:val="en-ID"/>
              </w:rPr>
            </w:pPr>
            <w:r w:rsidRPr="008443F6">
              <w:rPr>
                <w:rFonts w:ascii="Arial" w:hAnsi="Arial" w:cs="Arial"/>
                <w:lang w:val="en-ID"/>
              </w:rPr>
              <w:t>-0.015</w:t>
            </w:r>
          </w:p>
        </w:tc>
        <w:tc>
          <w:tcPr>
            <w:tcW w:w="0" w:type="auto"/>
            <w:hideMark/>
          </w:tcPr>
          <w:p w14:paraId="1C5E50F0" w14:textId="77777777" w:rsidR="008443F6" w:rsidRPr="008443F6" w:rsidRDefault="008443F6" w:rsidP="008443F6">
            <w:pPr>
              <w:jc w:val="center"/>
              <w:rPr>
                <w:rFonts w:ascii="Arial" w:hAnsi="Arial" w:cs="Arial"/>
                <w:lang w:val="en-ID"/>
              </w:rPr>
            </w:pPr>
            <w:r w:rsidRPr="008443F6">
              <w:rPr>
                <w:rFonts w:ascii="Arial" w:hAnsi="Arial" w:cs="Arial"/>
                <w:lang w:val="en-ID"/>
              </w:rPr>
              <w:t>0.988</w:t>
            </w:r>
          </w:p>
        </w:tc>
        <w:tc>
          <w:tcPr>
            <w:tcW w:w="0" w:type="auto"/>
            <w:hideMark/>
          </w:tcPr>
          <w:p w14:paraId="6953BD0F" w14:textId="77777777" w:rsidR="008443F6" w:rsidRPr="008443F6" w:rsidRDefault="008443F6" w:rsidP="008443F6">
            <w:pPr>
              <w:jc w:val="center"/>
              <w:rPr>
                <w:rFonts w:ascii="Arial" w:hAnsi="Arial" w:cs="Arial"/>
                <w:lang w:val="en-ID"/>
              </w:rPr>
            </w:pPr>
            <w:r w:rsidRPr="008443F6">
              <w:rPr>
                <w:rFonts w:ascii="Arial" w:hAnsi="Arial" w:cs="Arial"/>
                <w:lang w:val="en-ID"/>
              </w:rPr>
              <w:t>Not Significant</w:t>
            </w:r>
          </w:p>
        </w:tc>
      </w:tr>
      <w:tr w:rsidR="008443F6" w:rsidRPr="008443F6" w14:paraId="1B6362CA" w14:textId="77777777" w:rsidTr="008443F6">
        <w:trPr>
          <w:jc w:val="center"/>
        </w:trPr>
        <w:tc>
          <w:tcPr>
            <w:tcW w:w="0" w:type="auto"/>
            <w:hideMark/>
          </w:tcPr>
          <w:p w14:paraId="3904DADA" w14:textId="77777777" w:rsidR="008443F6" w:rsidRPr="008443F6" w:rsidRDefault="008443F6" w:rsidP="008443F6">
            <w:pPr>
              <w:rPr>
                <w:rFonts w:ascii="Arial" w:hAnsi="Arial" w:cs="Arial"/>
                <w:lang w:val="en-ID"/>
              </w:rPr>
            </w:pPr>
            <w:r w:rsidRPr="008443F6">
              <w:rPr>
                <w:rFonts w:ascii="Arial" w:hAnsi="Arial" w:cs="Arial"/>
                <w:lang w:val="en-ID"/>
              </w:rPr>
              <w:t>Env*UE</w:t>
            </w:r>
          </w:p>
        </w:tc>
        <w:tc>
          <w:tcPr>
            <w:tcW w:w="0" w:type="auto"/>
            <w:hideMark/>
          </w:tcPr>
          <w:p w14:paraId="0A4CB76A" w14:textId="77777777" w:rsidR="008443F6" w:rsidRPr="008443F6" w:rsidRDefault="008443F6" w:rsidP="008443F6">
            <w:pPr>
              <w:jc w:val="center"/>
              <w:rPr>
                <w:rFonts w:ascii="Arial" w:hAnsi="Arial" w:cs="Arial"/>
                <w:lang w:val="en-ID"/>
              </w:rPr>
            </w:pPr>
            <w:r w:rsidRPr="008443F6">
              <w:rPr>
                <w:rFonts w:ascii="Arial" w:hAnsi="Arial" w:cs="Arial"/>
                <w:lang w:val="en-ID"/>
              </w:rPr>
              <w:t>-0.121</w:t>
            </w:r>
          </w:p>
        </w:tc>
        <w:tc>
          <w:tcPr>
            <w:tcW w:w="0" w:type="auto"/>
            <w:hideMark/>
          </w:tcPr>
          <w:p w14:paraId="3C25054C" w14:textId="77777777" w:rsidR="008443F6" w:rsidRPr="008443F6" w:rsidRDefault="008443F6" w:rsidP="008443F6">
            <w:pPr>
              <w:jc w:val="center"/>
              <w:rPr>
                <w:rFonts w:ascii="Arial" w:hAnsi="Arial" w:cs="Arial"/>
                <w:lang w:val="en-ID"/>
              </w:rPr>
            </w:pPr>
            <w:r w:rsidRPr="008443F6">
              <w:rPr>
                <w:rFonts w:ascii="Arial" w:hAnsi="Arial" w:cs="Arial"/>
                <w:lang w:val="en-ID"/>
              </w:rPr>
              <w:t>0.057</w:t>
            </w:r>
          </w:p>
        </w:tc>
        <w:tc>
          <w:tcPr>
            <w:tcW w:w="0" w:type="auto"/>
            <w:hideMark/>
          </w:tcPr>
          <w:p w14:paraId="7348F964" w14:textId="77777777" w:rsidR="008443F6" w:rsidRPr="008443F6" w:rsidRDefault="008443F6" w:rsidP="008443F6">
            <w:pPr>
              <w:jc w:val="center"/>
              <w:rPr>
                <w:rFonts w:ascii="Arial" w:hAnsi="Arial" w:cs="Arial"/>
                <w:lang w:val="en-ID"/>
              </w:rPr>
            </w:pPr>
            <w:r w:rsidRPr="008443F6">
              <w:rPr>
                <w:rFonts w:ascii="Arial" w:hAnsi="Arial" w:cs="Arial"/>
                <w:lang w:val="en-ID"/>
              </w:rPr>
              <w:t>-0.216</w:t>
            </w:r>
          </w:p>
        </w:tc>
        <w:tc>
          <w:tcPr>
            <w:tcW w:w="0" w:type="auto"/>
            <w:hideMark/>
          </w:tcPr>
          <w:p w14:paraId="519467CA" w14:textId="77777777" w:rsidR="008443F6" w:rsidRPr="008443F6" w:rsidRDefault="008443F6" w:rsidP="008443F6">
            <w:pPr>
              <w:jc w:val="center"/>
              <w:rPr>
                <w:rFonts w:ascii="Arial" w:hAnsi="Arial" w:cs="Arial"/>
                <w:lang w:val="en-ID"/>
              </w:rPr>
            </w:pPr>
            <w:r w:rsidRPr="008443F6">
              <w:rPr>
                <w:rFonts w:ascii="Arial" w:hAnsi="Arial" w:cs="Arial"/>
                <w:lang w:val="en-ID"/>
              </w:rPr>
              <w:t>-2.113</w:t>
            </w:r>
          </w:p>
        </w:tc>
        <w:tc>
          <w:tcPr>
            <w:tcW w:w="0" w:type="auto"/>
            <w:hideMark/>
          </w:tcPr>
          <w:p w14:paraId="455E90F7" w14:textId="77777777" w:rsidR="008443F6" w:rsidRPr="008443F6" w:rsidRDefault="008443F6" w:rsidP="008443F6">
            <w:pPr>
              <w:jc w:val="center"/>
              <w:rPr>
                <w:rFonts w:ascii="Arial" w:hAnsi="Arial" w:cs="Arial"/>
                <w:lang w:val="en-ID"/>
              </w:rPr>
            </w:pPr>
            <w:r w:rsidRPr="008443F6">
              <w:rPr>
                <w:rFonts w:ascii="Arial" w:hAnsi="Arial" w:cs="Arial"/>
                <w:lang w:val="en-ID"/>
              </w:rPr>
              <w:t>0.038</w:t>
            </w:r>
          </w:p>
        </w:tc>
        <w:tc>
          <w:tcPr>
            <w:tcW w:w="0" w:type="auto"/>
            <w:hideMark/>
          </w:tcPr>
          <w:p w14:paraId="57EC32BD" w14:textId="77777777" w:rsidR="008443F6" w:rsidRPr="008443F6" w:rsidRDefault="008443F6" w:rsidP="008443F6">
            <w:pPr>
              <w:jc w:val="center"/>
              <w:rPr>
                <w:rFonts w:ascii="Arial" w:hAnsi="Arial" w:cs="Arial"/>
                <w:lang w:val="en-ID"/>
              </w:rPr>
            </w:pPr>
            <w:r w:rsidRPr="008443F6">
              <w:rPr>
                <w:rFonts w:ascii="Arial" w:hAnsi="Arial" w:cs="Arial"/>
                <w:lang w:val="en-ID"/>
              </w:rPr>
              <w:t>H1 Not Supported</w:t>
            </w:r>
          </w:p>
        </w:tc>
      </w:tr>
      <w:tr w:rsidR="008443F6" w:rsidRPr="008443F6" w14:paraId="268361C5" w14:textId="77777777" w:rsidTr="008443F6">
        <w:trPr>
          <w:jc w:val="center"/>
        </w:trPr>
        <w:tc>
          <w:tcPr>
            <w:tcW w:w="0" w:type="auto"/>
            <w:hideMark/>
          </w:tcPr>
          <w:p w14:paraId="4ED1A8F6" w14:textId="77777777" w:rsidR="008443F6" w:rsidRPr="008443F6" w:rsidRDefault="008443F6" w:rsidP="008443F6">
            <w:pPr>
              <w:rPr>
                <w:rFonts w:ascii="Arial" w:hAnsi="Arial" w:cs="Arial"/>
                <w:lang w:val="en-ID"/>
              </w:rPr>
            </w:pPr>
            <w:r w:rsidRPr="008443F6">
              <w:rPr>
                <w:rFonts w:ascii="Arial" w:hAnsi="Arial" w:cs="Arial"/>
                <w:lang w:val="en-ID"/>
              </w:rPr>
              <w:t>Soc*UE</w:t>
            </w:r>
          </w:p>
        </w:tc>
        <w:tc>
          <w:tcPr>
            <w:tcW w:w="0" w:type="auto"/>
            <w:hideMark/>
          </w:tcPr>
          <w:p w14:paraId="5C4BCD71" w14:textId="77777777" w:rsidR="008443F6" w:rsidRPr="008443F6" w:rsidRDefault="008443F6" w:rsidP="008443F6">
            <w:pPr>
              <w:jc w:val="center"/>
              <w:rPr>
                <w:rFonts w:ascii="Arial" w:hAnsi="Arial" w:cs="Arial"/>
                <w:lang w:val="en-ID"/>
              </w:rPr>
            </w:pPr>
            <w:r w:rsidRPr="008443F6">
              <w:rPr>
                <w:rFonts w:ascii="Arial" w:hAnsi="Arial" w:cs="Arial"/>
                <w:lang w:val="en-ID"/>
              </w:rPr>
              <w:t>-0.122</w:t>
            </w:r>
          </w:p>
        </w:tc>
        <w:tc>
          <w:tcPr>
            <w:tcW w:w="0" w:type="auto"/>
            <w:hideMark/>
          </w:tcPr>
          <w:p w14:paraId="63154D5A" w14:textId="77777777" w:rsidR="008443F6" w:rsidRPr="008443F6" w:rsidRDefault="008443F6" w:rsidP="008443F6">
            <w:pPr>
              <w:jc w:val="center"/>
              <w:rPr>
                <w:rFonts w:ascii="Arial" w:hAnsi="Arial" w:cs="Arial"/>
                <w:lang w:val="en-ID"/>
              </w:rPr>
            </w:pPr>
            <w:r w:rsidRPr="008443F6">
              <w:rPr>
                <w:rFonts w:ascii="Arial" w:hAnsi="Arial" w:cs="Arial"/>
                <w:lang w:val="en-ID"/>
              </w:rPr>
              <w:t>0.048</w:t>
            </w:r>
          </w:p>
        </w:tc>
        <w:tc>
          <w:tcPr>
            <w:tcW w:w="0" w:type="auto"/>
            <w:hideMark/>
          </w:tcPr>
          <w:p w14:paraId="434565B7" w14:textId="77777777" w:rsidR="008443F6" w:rsidRPr="008443F6" w:rsidRDefault="008443F6" w:rsidP="008443F6">
            <w:pPr>
              <w:jc w:val="center"/>
              <w:rPr>
                <w:rFonts w:ascii="Arial" w:hAnsi="Arial" w:cs="Arial"/>
                <w:lang w:val="en-ID"/>
              </w:rPr>
            </w:pPr>
            <w:r w:rsidRPr="008443F6">
              <w:rPr>
                <w:rFonts w:ascii="Arial" w:hAnsi="Arial" w:cs="Arial"/>
                <w:lang w:val="en-ID"/>
              </w:rPr>
              <w:t>-0.353</w:t>
            </w:r>
          </w:p>
        </w:tc>
        <w:tc>
          <w:tcPr>
            <w:tcW w:w="0" w:type="auto"/>
            <w:hideMark/>
          </w:tcPr>
          <w:p w14:paraId="585BE629" w14:textId="77777777" w:rsidR="008443F6" w:rsidRPr="008443F6" w:rsidRDefault="008443F6" w:rsidP="008443F6">
            <w:pPr>
              <w:jc w:val="center"/>
              <w:rPr>
                <w:rFonts w:ascii="Arial" w:hAnsi="Arial" w:cs="Arial"/>
                <w:lang w:val="en-ID"/>
              </w:rPr>
            </w:pPr>
            <w:r w:rsidRPr="008443F6">
              <w:rPr>
                <w:rFonts w:ascii="Arial" w:hAnsi="Arial" w:cs="Arial"/>
                <w:lang w:val="en-ID"/>
              </w:rPr>
              <w:t>-2.533</w:t>
            </w:r>
          </w:p>
        </w:tc>
        <w:tc>
          <w:tcPr>
            <w:tcW w:w="0" w:type="auto"/>
            <w:hideMark/>
          </w:tcPr>
          <w:p w14:paraId="58999413" w14:textId="77777777" w:rsidR="008443F6" w:rsidRPr="008443F6" w:rsidRDefault="008443F6" w:rsidP="008443F6">
            <w:pPr>
              <w:jc w:val="center"/>
              <w:rPr>
                <w:rFonts w:ascii="Arial" w:hAnsi="Arial" w:cs="Arial"/>
                <w:lang w:val="en-ID"/>
              </w:rPr>
            </w:pPr>
            <w:r w:rsidRPr="008443F6">
              <w:rPr>
                <w:rFonts w:ascii="Arial" w:hAnsi="Arial" w:cs="Arial"/>
                <w:lang w:val="en-ID"/>
              </w:rPr>
              <w:t>0.013</w:t>
            </w:r>
          </w:p>
        </w:tc>
        <w:tc>
          <w:tcPr>
            <w:tcW w:w="0" w:type="auto"/>
            <w:hideMark/>
          </w:tcPr>
          <w:p w14:paraId="16D28D4C" w14:textId="77777777" w:rsidR="008443F6" w:rsidRPr="008443F6" w:rsidRDefault="008443F6" w:rsidP="008443F6">
            <w:pPr>
              <w:jc w:val="center"/>
              <w:rPr>
                <w:rFonts w:ascii="Arial" w:hAnsi="Arial" w:cs="Arial"/>
                <w:lang w:val="en-ID"/>
              </w:rPr>
            </w:pPr>
            <w:r w:rsidRPr="008443F6">
              <w:rPr>
                <w:rFonts w:ascii="Arial" w:hAnsi="Arial" w:cs="Arial"/>
                <w:lang w:val="en-ID"/>
              </w:rPr>
              <w:t>H2 Not Supported</w:t>
            </w:r>
          </w:p>
        </w:tc>
      </w:tr>
      <w:tr w:rsidR="008443F6" w:rsidRPr="008443F6" w14:paraId="697C8A8C" w14:textId="77777777" w:rsidTr="008443F6">
        <w:trPr>
          <w:jc w:val="center"/>
        </w:trPr>
        <w:tc>
          <w:tcPr>
            <w:tcW w:w="0" w:type="auto"/>
            <w:hideMark/>
          </w:tcPr>
          <w:p w14:paraId="194A8F25" w14:textId="77777777" w:rsidR="008443F6" w:rsidRPr="008443F6" w:rsidRDefault="008443F6" w:rsidP="008443F6">
            <w:pPr>
              <w:rPr>
                <w:rFonts w:ascii="Arial" w:hAnsi="Arial" w:cs="Arial"/>
                <w:lang w:val="en-ID"/>
              </w:rPr>
            </w:pPr>
            <w:r w:rsidRPr="008443F6">
              <w:rPr>
                <w:rFonts w:ascii="Arial" w:hAnsi="Arial" w:cs="Arial"/>
                <w:lang w:val="en-ID"/>
              </w:rPr>
              <w:t>Gov*UE</w:t>
            </w:r>
          </w:p>
        </w:tc>
        <w:tc>
          <w:tcPr>
            <w:tcW w:w="0" w:type="auto"/>
            <w:hideMark/>
          </w:tcPr>
          <w:p w14:paraId="5C624A58" w14:textId="77777777" w:rsidR="008443F6" w:rsidRPr="008443F6" w:rsidRDefault="008443F6" w:rsidP="008443F6">
            <w:pPr>
              <w:jc w:val="center"/>
              <w:rPr>
                <w:rFonts w:ascii="Arial" w:hAnsi="Arial" w:cs="Arial"/>
                <w:lang w:val="en-ID"/>
              </w:rPr>
            </w:pPr>
            <w:r w:rsidRPr="008443F6">
              <w:rPr>
                <w:rFonts w:ascii="Arial" w:hAnsi="Arial" w:cs="Arial"/>
                <w:lang w:val="en-ID"/>
              </w:rPr>
              <w:t>-0.020</w:t>
            </w:r>
          </w:p>
        </w:tc>
        <w:tc>
          <w:tcPr>
            <w:tcW w:w="0" w:type="auto"/>
            <w:hideMark/>
          </w:tcPr>
          <w:p w14:paraId="41CAEBE2" w14:textId="77777777" w:rsidR="008443F6" w:rsidRPr="008443F6" w:rsidRDefault="008443F6" w:rsidP="008443F6">
            <w:pPr>
              <w:jc w:val="center"/>
              <w:rPr>
                <w:rFonts w:ascii="Arial" w:hAnsi="Arial" w:cs="Arial"/>
                <w:lang w:val="en-ID"/>
              </w:rPr>
            </w:pPr>
            <w:r w:rsidRPr="008443F6">
              <w:rPr>
                <w:rFonts w:ascii="Arial" w:hAnsi="Arial" w:cs="Arial"/>
                <w:lang w:val="en-ID"/>
              </w:rPr>
              <w:t>0.055</w:t>
            </w:r>
          </w:p>
        </w:tc>
        <w:tc>
          <w:tcPr>
            <w:tcW w:w="0" w:type="auto"/>
            <w:hideMark/>
          </w:tcPr>
          <w:p w14:paraId="20C815BE" w14:textId="77777777" w:rsidR="008443F6" w:rsidRPr="008443F6" w:rsidRDefault="008443F6" w:rsidP="008443F6">
            <w:pPr>
              <w:jc w:val="center"/>
              <w:rPr>
                <w:rFonts w:ascii="Arial" w:hAnsi="Arial" w:cs="Arial"/>
                <w:lang w:val="en-ID"/>
              </w:rPr>
            </w:pPr>
            <w:r w:rsidRPr="008443F6">
              <w:rPr>
                <w:rFonts w:ascii="Arial" w:hAnsi="Arial" w:cs="Arial"/>
                <w:lang w:val="en-ID"/>
              </w:rPr>
              <w:t>-0.039</w:t>
            </w:r>
          </w:p>
        </w:tc>
        <w:tc>
          <w:tcPr>
            <w:tcW w:w="0" w:type="auto"/>
            <w:hideMark/>
          </w:tcPr>
          <w:p w14:paraId="36F6EF4B" w14:textId="77777777" w:rsidR="008443F6" w:rsidRPr="008443F6" w:rsidRDefault="008443F6" w:rsidP="008443F6">
            <w:pPr>
              <w:jc w:val="center"/>
              <w:rPr>
                <w:rFonts w:ascii="Arial" w:hAnsi="Arial" w:cs="Arial"/>
                <w:lang w:val="en-ID"/>
              </w:rPr>
            </w:pPr>
            <w:r w:rsidRPr="008443F6">
              <w:rPr>
                <w:rFonts w:ascii="Arial" w:hAnsi="Arial" w:cs="Arial"/>
                <w:lang w:val="en-ID"/>
              </w:rPr>
              <w:t>-0.361</w:t>
            </w:r>
          </w:p>
        </w:tc>
        <w:tc>
          <w:tcPr>
            <w:tcW w:w="0" w:type="auto"/>
            <w:hideMark/>
          </w:tcPr>
          <w:p w14:paraId="3A46DED9" w14:textId="77777777" w:rsidR="008443F6" w:rsidRPr="008443F6" w:rsidRDefault="008443F6" w:rsidP="008443F6">
            <w:pPr>
              <w:jc w:val="center"/>
              <w:rPr>
                <w:rFonts w:ascii="Arial" w:hAnsi="Arial" w:cs="Arial"/>
                <w:lang w:val="en-ID"/>
              </w:rPr>
            </w:pPr>
            <w:r w:rsidRPr="008443F6">
              <w:rPr>
                <w:rFonts w:ascii="Arial" w:hAnsi="Arial" w:cs="Arial"/>
                <w:lang w:val="en-ID"/>
              </w:rPr>
              <w:t>0.719</w:t>
            </w:r>
          </w:p>
        </w:tc>
        <w:tc>
          <w:tcPr>
            <w:tcW w:w="0" w:type="auto"/>
            <w:hideMark/>
          </w:tcPr>
          <w:p w14:paraId="4BDFF310" w14:textId="77777777" w:rsidR="008443F6" w:rsidRPr="008443F6" w:rsidRDefault="008443F6" w:rsidP="008443F6">
            <w:pPr>
              <w:jc w:val="center"/>
              <w:rPr>
                <w:rFonts w:ascii="Arial" w:hAnsi="Arial" w:cs="Arial"/>
                <w:lang w:val="en-ID"/>
              </w:rPr>
            </w:pPr>
            <w:r w:rsidRPr="008443F6">
              <w:rPr>
                <w:rFonts w:ascii="Arial" w:hAnsi="Arial" w:cs="Arial"/>
                <w:lang w:val="en-ID"/>
              </w:rPr>
              <w:t>H3 Not Supported</w:t>
            </w:r>
          </w:p>
        </w:tc>
      </w:tr>
      <w:tr w:rsidR="008443F6" w:rsidRPr="008443F6" w14:paraId="5658813C" w14:textId="77777777" w:rsidTr="008443F6">
        <w:trPr>
          <w:jc w:val="center"/>
        </w:trPr>
        <w:tc>
          <w:tcPr>
            <w:tcW w:w="0" w:type="auto"/>
            <w:hideMark/>
          </w:tcPr>
          <w:p w14:paraId="69DBFF9D" w14:textId="77777777" w:rsidR="008443F6" w:rsidRPr="008443F6" w:rsidRDefault="008443F6" w:rsidP="008443F6">
            <w:pPr>
              <w:rPr>
                <w:rFonts w:ascii="Arial" w:hAnsi="Arial" w:cs="Arial"/>
                <w:lang w:val="en-ID"/>
              </w:rPr>
            </w:pPr>
            <w:r w:rsidRPr="008443F6">
              <w:rPr>
                <w:rFonts w:ascii="Arial" w:hAnsi="Arial" w:cs="Arial"/>
                <w:lang w:val="en-ID"/>
              </w:rPr>
              <w:t>Env</w:t>
            </w:r>
            <w:r w:rsidRPr="008443F6">
              <w:rPr>
                <w:rFonts w:ascii="Arial" w:hAnsi="Arial" w:cs="Arial"/>
                <w:i/>
                <w:iCs/>
                <w:lang w:val="en-ID"/>
              </w:rPr>
              <w:t>UE</w:t>
            </w:r>
            <w:r w:rsidRPr="008443F6">
              <w:rPr>
                <w:rFonts w:ascii="Arial" w:hAnsi="Arial" w:cs="Arial"/>
                <w:lang w:val="en-ID"/>
              </w:rPr>
              <w:t>Size</w:t>
            </w:r>
          </w:p>
        </w:tc>
        <w:tc>
          <w:tcPr>
            <w:tcW w:w="0" w:type="auto"/>
            <w:hideMark/>
          </w:tcPr>
          <w:p w14:paraId="37EA134F" w14:textId="77777777" w:rsidR="008443F6" w:rsidRPr="008443F6" w:rsidRDefault="008443F6" w:rsidP="008443F6">
            <w:pPr>
              <w:jc w:val="center"/>
              <w:rPr>
                <w:rFonts w:ascii="Arial" w:hAnsi="Arial" w:cs="Arial"/>
                <w:lang w:val="en-ID"/>
              </w:rPr>
            </w:pPr>
            <w:r w:rsidRPr="008443F6">
              <w:rPr>
                <w:rFonts w:ascii="Arial" w:hAnsi="Arial" w:cs="Arial"/>
                <w:lang w:val="en-ID"/>
              </w:rPr>
              <w:t>0.274</w:t>
            </w:r>
          </w:p>
        </w:tc>
        <w:tc>
          <w:tcPr>
            <w:tcW w:w="0" w:type="auto"/>
            <w:hideMark/>
          </w:tcPr>
          <w:p w14:paraId="29F39F68" w14:textId="77777777" w:rsidR="008443F6" w:rsidRPr="008443F6" w:rsidRDefault="008443F6" w:rsidP="008443F6">
            <w:pPr>
              <w:jc w:val="center"/>
              <w:rPr>
                <w:rFonts w:ascii="Arial" w:hAnsi="Arial" w:cs="Arial"/>
                <w:lang w:val="en-ID"/>
              </w:rPr>
            </w:pPr>
            <w:r w:rsidRPr="008443F6">
              <w:rPr>
                <w:rFonts w:ascii="Arial" w:hAnsi="Arial" w:cs="Arial"/>
                <w:lang w:val="en-ID"/>
              </w:rPr>
              <w:t>0.084</w:t>
            </w:r>
          </w:p>
        </w:tc>
        <w:tc>
          <w:tcPr>
            <w:tcW w:w="0" w:type="auto"/>
            <w:hideMark/>
          </w:tcPr>
          <w:p w14:paraId="02372D3B" w14:textId="77777777" w:rsidR="008443F6" w:rsidRPr="008443F6" w:rsidRDefault="008443F6" w:rsidP="008443F6">
            <w:pPr>
              <w:jc w:val="center"/>
              <w:rPr>
                <w:rFonts w:ascii="Arial" w:hAnsi="Arial" w:cs="Arial"/>
                <w:lang w:val="en-ID"/>
              </w:rPr>
            </w:pPr>
            <w:r w:rsidRPr="008443F6">
              <w:rPr>
                <w:rFonts w:ascii="Arial" w:hAnsi="Arial" w:cs="Arial"/>
                <w:lang w:val="en-ID"/>
              </w:rPr>
              <w:t>0.340</w:t>
            </w:r>
          </w:p>
        </w:tc>
        <w:tc>
          <w:tcPr>
            <w:tcW w:w="0" w:type="auto"/>
            <w:hideMark/>
          </w:tcPr>
          <w:p w14:paraId="19CED8BF" w14:textId="77777777" w:rsidR="008443F6" w:rsidRPr="008443F6" w:rsidRDefault="008443F6" w:rsidP="008443F6">
            <w:pPr>
              <w:jc w:val="center"/>
              <w:rPr>
                <w:rFonts w:ascii="Arial" w:hAnsi="Arial" w:cs="Arial"/>
                <w:lang w:val="en-ID"/>
              </w:rPr>
            </w:pPr>
            <w:r w:rsidRPr="008443F6">
              <w:rPr>
                <w:rFonts w:ascii="Arial" w:hAnsi="Arial" w:cs="Arial"/>
                <w:lang w:val="en-ID"/>
              </w:rPr>
              <w:t>3.269</w:t>
            </w:r>
          </w:p>
        </w:tc>
        <w:tc>
          <w:tcPr>
            <w:tcW w:w="0" w:type="auto"/>
            <w:hideMark/>
          </w:tcPr>
          <w:p w14:paraId="2F5DE697" w14:textId="77777777" w:rsidR="008443F6" w:rsidRPr="008443F6" w:rsidRDefault="008443F6" w:rsidP="008443F6">
            <w:pPr>
              <w:jc w:val="center"/>
              <w:rPr>
                <w:rFonts w:ascii="Arial" w:hAnsi="Arial" w:cs="Arial"/>
                <w:lang w:val="en-ID"/>
              </w:rPr>
            </w:pPr>
            <w:r w:rsidRPr="008443F6">
              <w:rPr>
                <w:rFonts w:ascii="Arial" w:hAnsi="Arial" w:cs="Arial"/>
                <w:lang w:val="en-ID"/>
              </w:rPr>
              <w:t>0.002</w:t>
            </w:r>
          </w:p>
        </w:tc>
        <w:tc>
          <w:tcPr>
            <w:tcW w:w="0" w:type="auto"/>
            <w:hideMark/>
          </w:tcPr>
          <w:p w14:paraId="4063F91C" w14:textId="77777777" w:rsidR="008443F6" w:rsidRPr="008443F6" w:rsidRDefault="008443F6" w:rsidP="008443F6">
            <w:pPr>
              <w:jc w:val="center"/>
              <w:rPr>
                <w:rFonts w:ascii="Arial" w:hAnsi="Arial" w:cs="Arial"/>
                <w:lang w:val="en-ID"/>
              </w:rPr>
            </w:pPr>
            <w:r w:rsidRPr="008443F6">
              <w:rPr>
                <w:rFonts w:ascii="Arial" w:hAnsi="Arial" w:cs="Arial"/>
                <w:lang w:val="en-ID"/>
              </w:rPr>
              <w:t>H4 Supported</w:t>
            </w:r>
          </w:p>
        </w:tc>
      </w:tr>
      <w:tr w:rsidR="008443F6" w:rsidRPr="008443F6" w14:paraId="68B020B4" w14:textId="77777777" w:rsidTr="008443F6">
        <w:trPr>
          <w:jc w:val="center"/>
        </w:trPr>
        <w:tc>
          <w:tcPr>
            <w:tcW w:w="0" w:type="auto"/>
            <w:hideMark/>
          </w:tcPr>
          <w:p w14:paraId="1C62C160" w14:textId="77777777" w:rsidR="008443F6" w:rsidRPr="008443F6" w:rsidRDefault="008443F6" w:rsidP="008443F6">
            <w:pPr>
              <w:rPr>
                <w:rFonts w:ascii="Arial" w:hAnsi="Arial" w:cs="Arial"/>
                <w:lang w:val="en-ID"/>
              </w:rPr>
            </w:pPr>
            <w:r w:rsidRPr="008443F6">
              <w:rPr>
                <w:rFonts w:ascii="Arial" w:hAnsi="Arial" w:cs="Arial"/>
                <w:lang w:val="en-ID"/>
              </w:rPr>
              <w:t>Soc</w:t>
            </w:r>
            <w:r w:rsidRPr="008443F6">
              <w:rPr>
                <w:rFonts w:ascii="Arial" w:hAnsi="Arial" w:cs="Arial"/>
                <w:i/>
                <w:iCs/>
                <w:lang w:val="en-ID"/>
              </w:rPr>
              <w:t>UE</w:t>
            </w:r>
            <w:r w:rsidRPr="008443F6">
              <w:rPr>
                <w:rFonts w:ascii="Arial" w:hAnsi="Arial" w:cs="Arial"/>
                <w:lang w:val="en-ID"/>
              </w:rPr>
              <w:t>Size</w:t>
            </w:r>
          </w:p>
        </w:tc>
        <w:tc>
          <w:tcPr>
            <w:tcW w:w="0" w:type="auto"/>
            <w:hideMark/>
          </w:tcPr>
          <w:p w14:paraId="13A14CE8" w14:textId="77777777" w:rsidR="008443F6" w:rsidRPr="008443F6" w:rsidRDefault="008443F6" w:rsidP="008443F6">
            <w:pPr>
              <w:jc w:val="center"/>
              <w:rPr>
                <w:rFonts w:ascii="Arial" w:hAnsi="Arial" w:cs="Arial"/>
                <w:lang w:val="en-ID"/>
              </w:rPr>
            </w:pPr>
            <w:r w:rsidRPr="008443F6">
              <w:rPr>
                <w:rFonts w:ascii="Arial" w:hAnsi="Arial" w:cs="Arial"/>
                <w:lang w:val="en-ID"/>
              </w:rPr>
              <w:t>0.182</w:t>
            </w:r>
          </w:p>
        </w:tc>
        <w:tc>
          <w:tcPr>
            <w:tcW w:w="0" w:type="auto"/>
            <w:hideMark/>
          </w:tcPr>
          <w:p w14:paraId="2E100945" w14:textId="77777777" w:rsidR="008443F6" w:rsidRPr="008443F6" w:rsidRDefault="008443F6" w:rsidP="008443F6">
            <w:pPr>
              <w:jc w:val="center"/>
              <w:rPr>
                <w:rFonts w:ascii="Arial" w:hAnsi="Arial" w:cs="Arial"/>
                <w:lang w:val="en-ID"/>
              </w:rPr>
            </w:pPr>
            <w:r w:rsidRPr="008443F6">
              <w:rPr>
                <w:rFonts w:ascii="Arial" w:hAnsi="Arial" w:cs="Arial"/>
                <w:lang w:val="en-ID"/>
              </w:rPr>
              <w:t>0.073</w:t>
            </w:r>
          </w:p>
        </w:tc>
        <w:tc>
          <w:tcPr>
            <w:tcW w:w="0" w:type="auto"/>
            <w:hideMark/>
          </w:tcPr>
          <w:p w14:paraId="38405D41" w14:textId="77777777" w:rsidR="008443F6" w:rsidRPr="008443F6" w:rsidRDefault="008443F6" w:rsidP="008443F6">
            <w:pPr>
              <w:jc w:val="center"/>
              <w:rPr>
                <w:rFonts w:ascii="Arial" w:hAnsi="Arial" w:cs="Arial"/>
                <w:lang w:val="en-ID"/>
              </w:rPr>
            </w:pPr>
            <w:r w:rsidRPr="008443F6">
              <w:rPr>
                <w:rFonts w:ascii="Arial" w:hAnsi="Arial" w:cs="Arial"/>
                <w:lang w:val="en-ID"/>
              </w:rPr>
              <w:t>0.415</w:t>
            </w:r>
          </w:p>
        </w:tc>
        <w:tc>
          <w:tcPr>
            <w:tcW w:w="0" w:type="auto"/>
            <w:hideMark/>
          </w:tcPr>
          <w:p w14:paraId="18466181" w14:textId="77777777" w:rsidR="008443F6" w:rsidRPr="008443F6" w:rsidRDefault="008443F6" w:rsidP="008443F6">
            <w:pPr>
              <w:jc w:val="center"/>
              <w:rPr>
                <w:rFonts w:ascii="Arial" w:hAnsi="Arial" w:cs="Arial"/>
                <w:lang w:val="en-ID"/>
              </w:rPr>
            </w:pPr>
            <w:r w:rsidRPr="008443F6">
              <w:rPr>
                <w:rFonts w:ascii="Arial" w:hAnsi="Arial" w:cs="Arial"/>
                <w:lang w:val="en-ID"/>
              </w:rPr>
              <w:t>2.507</w:t>
            </w:r>
          </w:p>
        </w:tc>
        <w:tc>
          <w:tcPr>
            <w:tcW w:w="0" w:type="auto"/>
            <w:hideMark/>
          </w:tcPr>
          <w:p w14:paraId="5F175200" w14:textId="77777777" w:rsidR="008443F6" w:rsidRPr="008443F6" w:rsidRDefault="008443F6" w:rsidP="008443F6">
            <w:pPr>
              <w:jc w:val="center"/>
              <w:rPr>
                <w:rFonts w:ascii="Arial" w:hAnsi="Arial" w:cs="Arial"/>
                <w:lang w:val="en-ID"/>
              </w:rPr>
            </w:pPr>
            <w:r w:rsidRPr="008443F6">
              <w:rPr>
                <w:rFonts w:ascii="Arial" w:hAnsi="Arial" w:cs="Arial"/>
                <w:lang w:val="en-ID"/>
              </w:rPr>
              <w:t>0.014</w:t>
            </w:r>
          </w:p>
        </w:tc>
        <w:tc>
          <w:tcPr>
            <w:tcW w:w="0" w:type="auto"/>
            <w:hideMark/>
          </w:tcPr>
          <w:p w14:paraId="1CB1B66C" w14:textId="77777777" w:rsidR="008443F6" w:rsidRPr="008443F6" w:rsidRDefault="008443F6" w:rsidP="008443F6">
            <w:pPr>
              <w:jc w:val="center"/>
              <w:rPr>
                <w:rFonts w:ascii="Arial" w:hAnsi="Arial" w:cs="Arial"/>
                <w:lang w:val="en-ID"/>
              </w:rPr>
            </w:pPr>
            <w:r w:rsidRPr="008443F6">
              <w:rPr>
                <w:rFonts w:ascii="Arial" w:hAnsi="Arial" w:cs="Arial"/>
                <w:lang w:val="en-ID"/>
              </w:rPr>
              <w:t>H5 Supported</w:t>
            </w:r>
          </w:p>
        </w:tc>
      </w:tr>
      <w:tr w:rsidR="008443F6" w:rsidRPr="008443F6" w14:paraId="0E8D7CF7" w14:textId="77777777" w:rsidTr="008443F6">
        <w:trPr>
          <w:jc w:val="center"/>
        </w:trPr>
        <w:tc>
          <w:tcPr>
            <w:tcW w:w="0" w:type="auto"/>
            <w:hideMark/>
          </w:tcPr>
          <w:p w14:paraId="47E38091" w14:textId="77777777" w:rsidR="008443F6" w:rsidRPr="008443F6" w:rsidRDefault="008443F6" w:rsidP="008443F6">
            <w:pPr>
              <w:rPr>
                <w:rFonts w:ascii="Arial" w:hAnsi="Arial" w:cs="Arial"/>
                <w:lang w:val="en-ID"/>
              </w:rPr>
            </w:pPr>
            <w:r w:rsidRPr="008443F6">
              <w:rPr>
                <w:rFonts w:ascii="Arial" w:hAnsi="Arial" w:cs="Arial"/>
                <w:lang w:val="en-ID"/>
              </w:rPr>
              <w:t>Gov</w:t>
            </w:r>
            <w:r w:rsidRPr="008443F6">
              <w:rPr>
                <w:rFonts w:ascii="Arial" w:hAnsi="Arial" w:cs="Arial"/>
                <w:i/>
                <w:iCs/>
                <w:lang w:val="en-ID"/>
              </w:rPr>
              <w:t>UE</w:t>
            </w:r>
            <w:r w:rsidRPr="008443F6">
              <w:rPr>
                <w:rFonts w:ascii="Arial" w:hAnsi="Arial" w:cs="Arial"/>
                <w:lang w:val="en-ID"/>
              </w:rPr>
              <w:t>Size</w:t>
            </w:r>
          </w:p>
        </w:tc>
        <w:tc>
          <w:tcPr>
            <w:tcW w:w="0" w:type="auto"/>
            <w:hideMark/>
          </w:tcPr>
          <w:p w14:paraId="7DC81915" w14:textId="77777777" w:rsidR="008443F6" w:rsidRPr="008443F6" w:rsidRDefault="008443F6" w:rsidP="008443F6">
            <w:pPr>
              <w:jc w:val="center"/>
              <w:rPr>
                <w:rFonts w:ascii="Arial" w:hAnsi="Arial" w:cs="Arial"/>
                <w:lang w:val="en-ID"/>
              </w:rPr>
            </w:pPr>
            <w:r w:rsidRPr="008443F6">
              <w:rPr>
                <w:rFonts w:ascii="Arial" w:hAnsi="Arial" w:cs="Arial"/>
                <w:lang w:val="en-ID"/>
              </w:rPr>
              <w:t>-0.011</w:t>
            </w:r>
          </w:p>
        </w:tc>
        <w:tc>
          <w:tcPr>
            <w:tcW w:w="0" w:type="auto"/>
            <w:hideMark/>
          </w:tcPr>
          <w:p w14:paraId="007735BE" w14:textId="77777777" w:rsidR="008443F6" w:rsidRPr="008443F6" w:rsidRDefault="008443F6" w:rsidP="008443F6">
            <w:pPr>
              <w:jc w:val="center"/>
              <w:rPr>
                <w:rFonts w:ascii="Arial" w:hAnsi="Arial" w:cs="Arial"/>
                <w:lang w:val="en-ID"/>
              </w:rPr>
            </w:pPr>
            <w:r w:rsidRPr="008443F6">
              <w:rPr>
                <w:rFonts w:ascii="Arial" w:hAnsi="Arial" w:cs="Arial"/>
                <w:lang w:val="en-ID"/>
              </w:rPr>
              <w:t>0.087</w:t>
            </w:r>
          </w:p>
        </w:tc>
        <w:tc>
          <w:tcPr>
            <w:tcW w:w="0" w:type="auto"/>
            <w:hideMark/>
          </w:tcPr>
          <w:p w14:paraId="785557EB" w14:textId="77777777" w:rsidR="008443F6" w:rsidRPr="008443F6" w:rsidRDefault="008443F6" w:rsidP="008443F6">
            <w:pPr>
              <w:jc w:val="center"/>
              <w:rPr>
                <w:rFonts w:ascii="Arial" w:hAnsi="Arial" w:cs="Arial"/>
                <w:lang w:val="en-ID"/>
              </w:rPr>
            </w:pPr>
            <w:r w:rsidRPr="008443F6">
              <w:rPr>
                <w:rFonts w:ascii="Arial" w:hAnsi="Arial" w:cs="Arial"/>
                <w:lang w:val="en-ID"/>
              </w:rPr>
              <w:t>-0.014</w:t>
            </w:r>
          </w:p>
        </w:tc>
        <w:tc>
          <w:tcPr>
            <w:tcW w:w="0" w:type="auto"/>
            <w:hideMark/>
          </w:tcPr>
          <w:p w14:paraId="7D1ABE6A" w14:textId="77777777" w:rsidR="008443F6" w:rsidRPr="008443F6" w:rsidRDefault="008443F6" w:rsidP="008443F6">
            <w:pPr>
              <w:jc w:val="center"/>
              <w:rPr>
                <w:rFonts w:ascii="Arial" w:hAnsi="Arial" w:cs="Arial"/>
                <w:lang w:val="en-ID"/>
              </w:rPr>
            </w:pPr>
            <w:r w:rsidRPr="008443F6">
              <w:rPr>
                <w:rFonts w:ascii="Arial" w:hAnsi="Arial" w:cs="Arial"/>
                <w:lang w:val="en-ID"/>
              </w:rPr>
              <w:t>-0.122</w:t>
            </w:r>
          </w:p>
        </w:tc>
        <w:tc>
          <w:tcPr>
            <w:tcW w:w="0" w:type="auto"/>
            <w:hideMark/>
          </w:tcPr>
          <w:p w14:paraId="0607F168" w14:textId="77777777" w:rsidR="008443F6" w:rsidRPr="008443F6" w:rsidRDefault="008443F6" w:rsidP="008443F6">
            <w:pPr>
              <w:jc w:val="center"/>
              <w:rPr>
                <w:rFonts w:ascii="Arial" w:hAnsi="Arial" w:cs="Arial"/>
                <w:lang w:val="en-ID"/>
              </w:rPr>
            </w:pPr>
            <w:r w:rsidRPr="008443F6">
              <w:rPr>
                <w:rFonts w:ascii="Arial" w:hAnsi="Arial" w:cs="Arial"/>
                <w:lang w:val="en-ID"/>
              </w:rPr>
              <w:t>0.903</w:t>
            </w:r>
          </w:p>
        </w:tc>
        <w:tc>
          <w:tcPr>
            <w:tcW w:w="0" w:type="auto"/>
            <w:hideMark/>
          </w:tcPr>
          <w:p w14:paraId="79C4D0DC" w14:textId="77777777" w:rsidR="008443F6" w:rsidRPr="008443F6" w:rsidRDefault="008443F6" w:rsidP="008443F6">
            <w:pPr>
              <w:jc w:val="center"/>
              <w:rPr>
                <w:rFonts w:ascii="Arial" w:hAnsi="Arial" w:cs="Arial"/>
                <w:lang w:val="en-ID"/>
              </w:rPr>
            </w:pPr>
            <w:r w:rsidRPr="008443F6">
              <w:rPr>
                <w:rFonts w:ascii="Arial" w:hAnsi="Arial" w:cs="Arial"/>
                <w:lang w:val="en-ID"/>
              </w:rPr>
              <w:t>H6 Not Supported</w:t>
            </w:r>
          </w:p>
        </w:tc>
      </w:tr>
    </w:tbl>
    <w:p w14:paraId="1FB11948" w14:textId="77777777" w:rsidR="008443F6" w:rsidRPr="008443F6" w:rsidRDefault="008443F6" w:rsidP="008443F6">
      <w:pPr>
        <w:pStyle w:val="Body"/>
        <w:rPr>
          <w:rFonts w:ascii="Arial" w:hAnsi="Arial" w:cs="Arial"/>
        </w:rPr>
      </w:pPr>
    </w:p>
    <w:p w14:paraId="5A83A015" w14:textId="53A065DE" w:rsidR="008443F6" w:rsidRDefault="008443F6" w:rsidP="008443F6">
      <w:pPr>
        <w:pStyle w:val="Body"/>
        <w:spacing w:after="0"/>
        <w:rPr>
          <w:rFonts w:ascii="Arial" w:hAnsi="Arial" w:cs="Arial"/>
        </w:rPr>
      </w:pPr>
      <w:r w:rsidRPr="008443F6">
        <w:rPr>
          <w:rFonts w:ascii="Arial" w:hAnsi="Arial" w:cs="Arial"/>
        </w:rPr>
        <w:t xml:space="preserve">For the moderating effects, the interaction between Environmental disclosure and firm size (EnvUESize) has a positive and significant effect on ERC, with a coefficient of 0.274 and a significance value of 0.002, indicating that H4 is supported. The interaction between Social disclosure and firm size (SocUESize) also shows a positive and significant effect, with a coefficient of 0.182 and a significance value of 0.014, meaning H5 is supported. However, the interaction between Governance disclosure and firm size (GovUESize) is not significant, with a coefficient of -0.011 and a significance value of 0.903, indicating that H6 is not supported. </w:t>
      </w:r>
    </w:p>
    <w:p w14:paraId="0DC330C0" w14:textId="77777777" w:rsidR="008443F6" w:rsidRDefault="008443F6" w:rsidP="008443F6">
      <w:pPr>
        <w:pStyle w:val="Body"/>
        <w:spacing w:after="0"/>
        <w:rPr>
          <w:rFonts w:ascii="Arial" w:hAnsi="Arial" w:cs="Arial"/>
        </w:rPr>
      </w:pPr>
    </w:p>
    <w:p w14:paraId="6AB94EAA" w14:textId="4FB3A2FB" w:rsidR="008443F6" w:rsidRDefault="006462DA" w:rsidP="008443F6">
      <w:pPr>
        <w:pStyle w:val="Body"/>
        <w:rPr>
          <w:rFonts w:ascii="Arial" w:hAnsi="Arial" w:cs="Arial"/>
          <w:b/>
          <w:sz w:val="22"/>
        </w:rPr>
      </w:pPr>
      <w:r>
        <w:rPr>
          <w:rFonts w:ascii="Arial" w:hAnsi="Arial" w:cs="Arial"/>
          <w:b/>
          <w:sz w:val="22"/>
        </w:rPr>
        <w:t>4</w:t>
      </w:r>
      <w:r w:rsidR="008443F6" w:rsidRPr="008443F6">
        <w:rPr>
          <w:rFonts w:ascii="Arial" w:hAnsi="Arial" w:cs="Arial"/>
          <w:b/>
          <w:sz w:val="22"/>
        </w:rPr>
        <w:t>.6 Environmental Disclosure Has a Positive Effect on the Earnings Response Coefficient (ERC)</w:t>
      </w:r>
    </w:p>
    <w:p w14:paraId="4CB03393" w14:textId="7B779338" w:rsidR="008443F6" w:rsidRPr="008443F6" w:rsidRDefault="008443F6" w:rsidP="008443F6">
      <w:pPr>
        <w:pStyle w:val="Body"/>
        <w:rPr>
          <w:rFonts w:ascii="Arial" w:hAnsi="Arial" w:cs="Arial"/>
          <w:bCs/>
          <w:sz w:val="22"/>
        </w:rPr>
      </w:pPr>
      <w:r w:rsidRPr="008443F6">
        <w:rPr>
          <w:rFonts w:ascii="Arial" w:hAnsi="Arial" w:cs="Arial"/>
          <w:bCs/>
          <w:sz w:val="22"/>
        </w:rPr>
        <w:t>The findings indicate that environmental disclosure has a significant negative impact on the Earnings Response Coefficient (ERC) (β = -0.121; p = 0.038), which suggests that H1 is not validated. From the perspective of signaling theory, while companies may utilize environmental disclosure to lessen information asymmetry (Spence, 1973; Connelly et al., 2011; Scott, 2015), investors in this scenario do not view it as information that adds value. In line with legitimacy theory, such disclosures are frequently viewed as merely fulfilling regulatory requirements rather than contributing to value generation. According to the Efficient Market Hypothesis, only pertinent information affects pricing (Fama, 1970; Khan, Serafeim &amp; Yoon, 2016), as environmental initiatives are still regarded as immediate expenses instead of future advantages. This is consistent with the findings of Aydogmus et al. (2022), Sudaryati et al. (2020), Qiu et al. (2016), and Krüger (2015), who report mixed or limited positive market responses to ESG disclosures.</w:t>
      </w:r>
    </w:p>
    <w:p w14:paraId="620BC9BD" w14:textId="0DD320C6" w:rsidR="008443F6" w:rsidRDefault="006462DA" w:rsidP="008443F6">
      <w:pPr>
        <w:pStyle w:val="Body"/>
        <w:rPr>
          <w:rFonts w:ascii="Arial" w:hAnsi="Arial" w:cs="Arial"/>
          <w:b/>
          <w:sz w:val="22"/>
        </w:rPr>
      </w:pPr>
      <w:r>
        <w:rPr>
          <w:rFonts w:ascii="Arial" w:hAnsi="Arial" w:cs="Arial"/>
          <w:b/>
          <w:sz w:val="22"/>
        </w:rPr>
        <w:lastRenderedPageBreak/>
        <w:t>4</w:t>
      </w:r>
      <w:r w:rsidR="008443F6" w:rsidRPr="008443F6">
        <w:rPr>
          <w:rFonts w:ascii="Arial" w:hAnsi="Arial" w:cs="Arial"/>
          <w:b/>
          <w:sz w:val="22"/>
        </w:rPr>
        <w:t>.7 Social Disclosure Has a Positive Effect on the Earnings Response Coefficient (ERC)</w:t>
      </w:r>
    </w:p>
    <w:p w14:paraId="6808F2F1" w14:textId="2430A953" w:rsidR="008443F6" w:rsidRPr="008443F6" w:rsidRDefault="008443F6" w:rsidP="008443F6">
      <w:pPr>
        <w:pStyle w:val="Body"/>
        <w:rPr>
          <w:rFonts w:ascii="Arial" w:hAnsi="Arial" w:cs="Arial"/>
          <w:bCs/>
          <w:sz w:val="22"/>
        </w:rPr>
      </w:pPr>
      <w:r w:rsidRPr="008443F6">
        <w:rPr>
          <w:rFonts w:ascii="Arial" w:hAnsi="Arial" w:cs="Arial"/>
          <w:bCs/>
          <w:sz w:val="22"/>
        </w:rPr>
        <w:t>The findings show that social disclosure has a significant and negative impact on the Earnings Response Coefficient (ERC) (β = -0.122; p = 0.013), indicating that H2 is not confirmed. From the viewpoint of the efficient market hypothesis, the market reacts minimally when social initiatives are seen as non-value-relevant or financially ambiguous (Fama, 1970). In line with signaling theory, social disclosure could act as a reputation signal (Connelly et al., 2011), but it might also be viewed negatively if investors suspect motives related to earnings manipulation. Additionally, agency theory implies that substantial social disclosure may diminish investor confidence due to perceived self-serving behavior. This aligns with the findings of Yuliandhari &amp; Fadila (2024) and Wijayanti et al. (2020), who argue that excessive social disclosure might weaken ERC as investors begin to doubt its genuine economic advantages and its relevance to the quality of earnings.</w:t>
      </w:r>
    </w:p>
    <w:p w14:paraId="79474CC5" w14:textId="5D18E94A" w:rsidR="008443F6" w:rsidRDefault="006462DA" w:rsidP="008443F6">
      <w:pPr>
        <w:pStyle w:val="Body"/>
        <w:rPr>
          <w:rFonts w:ascii="Arial" w:hAnsi="Arial" w:cs="Arial"/>
          <w:b/>
          <w:sz w:val="22"/>
        </w:rPr>
      </w:pPr>
      <w:r>
        <w:rPr>
          <w:rFonts w:ascii="Arial" w:hAnsi="Arial" w:cs="Arial"/>
          <w:b/>
          <w:sz w:val="22"/>
        </w:rPr>
        <w:t>4</w:t>
      </w:r>
      <w:r w:rsidR="008443F6" w:rsidRPr="008443F6">
        <w:rPr>
          <w:rFonts w:ascii="Arial" w:hAnsi="Arial" w:cs="Arial"/>
          <w:b/>
          <w:sz w:val="22"/>
        </w:rPr>
        <w:t>.8 Governance Disclosure Has a Positive Effect on the Earnings Response Coefficient</w:t>
      </w:r>
    </w:p>
    <w:p w14:paraId="368F4673" w14:textId="43829B5E" w:rsidR="008443F6" w:rsidRPr="00492E97" w:rsidRDefault="00492E97" w:rsidP="008443F6">
      <w:pPr>
        <w:pStyle w:val="Body"/>
        <w:rPr>
          <w:rFonts w:ascii="Arial" w:hAnsi="Arial" w:cs="Arial"/>
          <w:bCs/>
          <w:sz w:val="22"/>
        </w:rPr>
      </w:pPr>
      <w:r w:rsidRPr="00492E97">
        <w:rPr>
          <w:rFonts w:ascii="Arial" w:hAnsi="Arial" w:cs="Arial"/>
          <w:bCs/>
          <w:sz w:val="22"/>
        </w:rPr>
        <w:t>The findings indicate that Governance disclosure does not have a significant impact on the Earnings Response Coefficient (ERC) (β = -0.020; p = 0.719), suggesting that H3 is not upheld. From the perspective of signaling theory, while effective governance is expected to improve the credibility of financial reporting (Scott, 2011), its influence is limited if it is viewed as mere compliance with standards rather than as new information. According to legitimacy theory, governance disclosures are often executed to satisfy regulatory demands rather than to indicate superior performance. In a well-functioning market, such routine disclosures do not provide additional informational value (Fama, 1970; Christensen, Hail &amp; Leuz, 2021). The consistently high level of governance disclosure in Indonesian banks further diminishes its ability to differentiate among entities. This result aligns with the findings of Antonio et al. (2019) and Sujarwati et al. (2022), which demonstrate that governance does not consistently affect market reactions to earnings.</w:t>
      </w:r>
    </w:p>
    <w:p w14:paraId="3F591E19" w14:textId="54312A53" w:rsidR="008443F6" w:rsidRDefault="006462DA" w:rsidP="008443F6">
      <w:pPr>
        <w:pStyle w:val="Body"/>
        <w:rPr>
          <w:rFonts w:ascii="Arial" w:hAnsi="Arial" w:cs="Arial"/>
          <w:b/>
          <w:sz w:val="22"/>
        </w:rPr>
      </w:pPr>
      <w:r>
        <w:rPr>
          <w:rFonts w:ascii="Arial" w:hAnsi="Arial" w:cs="Arial"/>
          <w:b/>
          <w:sz w:val="22"/>
        </w:rPr>
        <w:t>4</w:t>
      </w:r>
      <w:r w:rsidR="008443F6" w:rsidRPr="008443F6">
        <w:rPr>
          <w:rFonts w:ascii="Arial" w:hAnsi="Arial" w:cs="Arial"/>
          <w:b/>
          <w:sz w:val="22"/>
        </w:rPr>
        <w:t>.9 Company Size Moderates the Effect of Environmental Disclosure on the Earnings Response Coefficient (ERC)</w:t>
      </w:r>
    </w:p>
    <w:p w14:paraId="5B26C1CA" w14:textId="6AECF2C4" w:rsidR="000C1988" w:rsidRPr="000C1988" w:rsidRDefault="000C1988" w:rsidP="000C1988">
      <w:pPr>
        <w:pStyle w:val="Body"/>
        <w:rPr>
          <w:rFonts w:ascii="Arial" w:hAnsi="Arial" w:cs="Arial"/>
          <w:bCs/>
          <w:sz w:val="22"/>
          <w:lang w:val="en-ID"/>
        </w:rPr>
      </w:pPr>
      <w:r w:rsidRPr="000C1988">
        <w:rPr>
          <w:rFonts w:ascii="Arial" w:hAnsi="Arial" w:cs="Arial"/>
          <w:bCs/>
          <w:sz w:val="22"/>
          <w:lang w:val="en-ID"/>
        </w:rPr>
        <w:t>The findings indicate that the interaction between Environmental disclosure and firm size has a positive and significant effect on the Earnings Response Coefficient (ERC) (</w:t>
      </w:r>
      <w:r w:rsidRPr="000C1988">
        <w:rPr>
          <w:rFonts w:ascii="Arial" w:hAnsi="Arial" w:cs="Arial"/>
          <w:bCs/>
          <w:i/>
          <w:iCs/>
          <w:sz w:val="22"/>
          <w:lang w:val="en-ID"/>
        </w:rPr>
        <w:t>β</w:t>
      </w:r>
      <w:r w:rsidRPr="000C1988">
        <w:rPr>
          <w:rFonts w:ascii="Arial" w:hAnsi="Arial" w:cs="Arial"/>
          <w:bCs/>
          <w:sz w:val="22"/>
          <w:lang w:val="en-ID"/>
        </w:rPr>
        <w:t xml:space="preserve"> = 0.274; </w:t>
      </w:r>
      <w:r w:rsidRPr="000C1988">
        <w:rPr>
          <w:rFonts w:ascii="Arial" w:hAnsi="Arial" w:cs="Arial"/>
          <w:bCs/>
          <w:i/>
          <w:iCs/>
          <w:sz w:val="22"/>
          <w:lang w:val="en-ID"/>
        </w:rPr>
        <w:t>p</w:t>
      </w:r>
      <w:r w:rsidRPr="000C1988">
        <w:rPr>
          <w:rFonts w:ascii="Arial" w:hAnsi="Arial" w:cs="Arial"/>
          <w:bCs/>
          <w:sz w:val="22"/>
          <w:lang w:val="en-ID"/>
        </w:rPr>
        <w:t xml:space="preserve"> = 0.002), indicating that H4 is supported. However, the positive interaction effect should be interpreted carefully because the main effect of Environmental disclosure on ERC is negative. This result suggests that firm size does not strengthen the negative effect of Environmental disclosure, but rather reduces the magnitude of the negative relationship. In other words, the adverse effect of Environmental disclosure on ERC becomes weaker for larger firms and may potentially become positive at higher levels of firm size.</w:t>
      </w:r>
      <w:r>
        <w:rPr>
          <w:rFonts w:ascii="Arial" w:hAnsi="Arial" w:cs="Arial"/>
          <w:bCs/>
          <w:sz w:val="22"/>
          <w:lang w:val="en-ID"/>
        </w:rPr>
        <w:t xml:space="preserve"> </w:t>
      </w:r>
      <w:r w:rsidRPr="000C1988">
        <w:rPr>
          <w:rFonts w:ascii="Arial" w:hAnsi="Arial" w:cs="Arial"/>
          <w:bCs/>
          <w:sz w:val="22"/>
          <w:lang w:val="en-ID"/>
        </w:rPr>
        <w:t xml:space="preserve">This moderation pattern implies that investors respond differently to Environmental disclosure depending on company size. For firms with lower levels of firm size, Environmental disclosure may be interpreted as a costly activity that potentially reduces short-term profitability and operational efficiency, thereby decreasing investor responsiveness </w:t>
      </w:r>
      <w:r w:rsidRPr="000C1988">
        <w:rPr>
          <w:rFonts w:ascii="Arial" w:hAnsi="Arial" w:cs="Arial"/>
          <w:bCs/>
          <w:sz w:val="22"/>
          <w:lang w:val="en-ID"/>
        </w:rPr>
        <w:lastRenderedPageBreak/>
        <w:t>to earnings information. However, as firm size increases, the negative relationship between Environmental disclosure and ERC gradually diminishes. This indicates that investors tend to perceive environmental initiatives undertaken by larger firms as more credible, sustainable, and strategically beneficial in the long term.</w:t>
      </w:r>
    </w:p>
    <w:p w14:paraId="0DE24145" w14:textId="33F8B069" w:rsidR="000C1988" w:rsidRPr="000C1988" w:rsidRDefault="000C1988" w:rsidP="000C1988">
      <w:pPr>
        <w:pStyle w:val="Body"/>
        <w:rPr>
          <w:rFonts w:ascii="Arial" w:hAnsi="Arial" w:cs="Arial"/>
          <w:bCs/>
          <w:sz w:val="22"/>
          <w:lang w:val="en-ID"/>
        </w:rPr>
      </w:pPr>
      <w:r w:rsidRPr="000C1988">
        <w:rPr>
          <w:rFonts w:ascii="Arial" w:hAnsi="Arial" w:cs="Arial"/>
          <w:bCs/>
          <w:sz w:val="22"/>
          <w:lang w:val="en-ID"/>
        </w:rPr>
        <w:t>The positive interaction coefficient therefore reflects a buffering effect rather than a pure amplifying effect. In statistical terms, the interaction suggests that the slope of Environmental disclosure on ERC becomes less negative as firm size increases. This interpretation is consistent with the possibility that the relationship may even turn positive at sufficiently high levels of firm size. Consequently, the moderating role of firm size should be understood as mitigating negative investor perceptions associated with Environmental disclosure rather than directly strengthening the original effect.</w:t>
      </w:r>
      <w:r>
        <w:rPr>
          <w:rFonts w:ascii="Arial" w:hAnsi="Arial" w:cs="Arial"/>
          <w:bCs/>
          <w:sz w:val="22"/>
          <w:lang w:val="en-ID"/>
        </w:rPr>
        <w:t xml:space="preserve"> </w:t>
      </w:r>
      <w:r w:rsidRPr="000C1988">
        <w:rPr>
          <w:rFonts w:ascii="Arial" w:hAnsi="Arial" w:cs="Arial"/>
          <w:bCs/>
          <w:sz w:val="22"/>
          <w:lang w:val="en-ID"/>
        </w:rPr>
        <w:t>According to signaling theory, larger firms convey more credible signals because they face greater reputational pressure and monitoring from stakeholders (Connelly et al., 2011). Larger firms also receive greater analyst coverage and market scrutiny, which intensifies information processing and increases the relevance of ESG-related disclosures in investment decisions. This interpretation is consistent with Aydogmus et al. (2022) and Wang, Shen &amp; Li (2023), who argue that the effects of ESG disclosure vary depending on firm characteristics. Similarly, Baskoro et al. (2021) find that firm size influences how the market responds to ESG-related information. Therefore, the positive moderating effect of firm size indicates that larger companies are better able to reduce negative investor perceptions associated with environmental disclosure and improve the market relevance of earnings information.</w:t>
      </w:r>
    </w:p>
    <w:p w14:paraId="58E47A93" w14:textId="74D972A5" w:rsidR="008443F6" w:rsidRDefault="006462DA" w:rsidP="008443F6">
      <w:pPr>
        <w:pStyle w:val="Body"/>
        <w:rPr>
          <w:rFonts w:ascii="Arial" w:hAnsi="Arial" w:cs="Arial"/>
          <w:b/>
          <w:sz w:val="22"/>
        </w:rPr>
      </w:pPr>
      <w:r>
        <w:rPr>
          <w:rFonts w:ascii="Arial" w:hAnsi="Arial" w:cs="Arial"/>
          <w:b/>
          <w:sz w:val="22"/>
        </w:rPr>
        <w:t>4</w:t>
      </w:r>
      <w:r w:rsidR="008443F6" w:rsidRPr="008443F6">
        <w:rPr>
          <w:rFonts w:ascii="Arial" w:hAnsi="Arial" w:cs="Arial"/>
          <w:b/>
          <w:sz w:val="22"/>
        </w:rPr>
        <w:t>.10 Company Size Moderates the Effect of Social Disclosure on the Earnings Response Coefficient (ERC)</w:t>
      </w:r>
    </w:p>
    <w:p w14:paraId="5688E2D1" w14:textId="335F311A" w:rsidR="00F104D9" w:rsidRPr="00F104D9" w:rsidRDefault="00F104D9" w:rsidP="00F104D9">
      <w:pPr>
        <w:pStyle w:val="Body"/>
        <w:rPr>
          <w:rFonts w:ascii="Arial" w:hAnsi="Arial" w:cs="Arial"/>
          <w:bCs/>
          <w:sz w:val="22"/>
          <w:lang w:val="en-ID"/>
        </w:rPr>
      </w:pPr>
      <w:r w:rsidRPr="00F104D9">
        <w:rPr>
          <w:rFonts w:ascii="Arial" w:hAnsi="Arial" w:cs="Arial"/>
          <w:bCs/>
          <w:sz w:val="22"/>
          <w:lang w:val="en-ID"/>
        </w:rPr>
        <w:t>The findings indicate that the interaction between Social disclosure and firm size has a positive and significant effect on the Earnings Response Coefficient (ERC) (</w:t>
      </w:r>
      <w:r w:rsidRPr="00F104D9">
        <w:rPr>
          <w:rFonts w:ascii="Arial" w:hAnsi="Arial" w:cs="Arial"/>
          <w:bCs/>
          <w:i/>
          <w:iCs/>
          <w:sz w:val="22"/>
          <w:lang w:val="en-ID"/>
        </w:rPr>
        <w:t>β</w:t>
      </w:r>
      <w:r w:rsidRPr="00F104D9">
        <w:rPr>
          <w:rFonts w:ascii="Arial" w:hAnsi="Arial" w:cs="Arial"/>
          <w:bCs/>
          <w:sz w:val="22"/>
          <w:lang w:val="en-ID"/>
        </w:rPr>
        <w:t xml:space="preserve"> = 0.182; </w:t>
      </w:r>
      <w:r w:rsidRPr="00F104D9">
        <w:rPr>
          <w:rFonts w:ascii="Arial" w:hAnsi="Arial" w:cs="Arial"/>
          <w:bCs/>
          <w:i/>
          <w:iCs/>
          <w:sz w:val="22"/>
          <w:lang w:val="en-ID"/>
        </w:rPr>
        <w:t>p</w:t>
      </w:r>
      <w:r w:rsidRPr="00F104D9">
        <w:rPr>
          <w:rFonts w:ascii="Arial" w:hAnsi="Arial" w:cs="Arial"/>
          <w:bCs/>
          <w:sz w:val="22"/>
          <w:lang w:val="en-ID"/>
        </w:rPr>
        <w:t xml:space="preserve"> = 0.014), indicating that H5 is supported. Nevertheless, similar to Environmental disclosure, the interpretation of this moderating effect must consider that the main effect of Social disclosure on ERC is negative. Thus, the positive interaction term does not imply that firm size amplifies the negative effect of Social disclosure, but rather that it weakens the negative relationship between Social disclosure and ERC.</w:t>
      </w:r>
      <w:r>
        <w:rPr>
          <w:rFonts w:ascii="Arial" w:hAnsi="Arial" w:cs="Arial"/>
          <w:bCs/>
          <w:sz w:val="22"/>
          <w:lang w:val="en-ID"/>
        </w:rPr>
        <w:t xml:space="preserve"> </w:t>
      </w:r>
      <w:r w:rsidRPr="00F104D9">
        <w:rPr>
          <w:rFonts w:ascii="Arial" w:hAnsi="Arial" w:cs="Arial"/>
          <w:bCs/>
          <w:sz w:val="22"/>
          <w:lang w:val="en-ID"/>
        </w:rPr>
        <w:t>This result suggests that the negative impact of Social disclosure on ERC becomes less pronounced in larger firms. In smaller firms, investors may perceive social initiatives as additional expenditures that reduce short-term profitability and divert resources from core business operations. Consequently, extensive Social disclosure may initially reduce investor responsiveness to earnings announcements. However, in larger firms, social disclosures are more likely to be interpreted as indicators of strong stakeholder management, reputational strength, and long-term sustainability, thereby reducing negative investor perceptions.</w:t>
      </w:r>
    </w:p>
    <w:p w14:paraId="26CBA34D" w14:textId="179FC7A3" w:rsidR="00F104D9" w:rsidRPr="00F104D9" w:rsidRDefault="00F104D9" w:rsidP="00F104D9">
      <w:pPr>
        <w:pStyle w:val="Body"/>
        <w:rPr>
          <w:rFonts w:ascii="Arial" w:hAnsi="Arial" w:cs="Arial"/>
          <w:bCs/>
          <w:sz w:val="22"/>
          <w:lang w:val="en-ID"/>
        </w:rPr>
      </w:pPr>
      <w:r w:rsidRPr="00F104D9">
        <w:rPr>
          <w:rFonts w:ascii="Arial" w:hAnsi="Arial" w:cs="Arial"/>
          <w:bCs/>
          <w:sz w:val="22"/>
          <w:lang w:val="en-ID"/>
        </w:rPr>
        <w:t xml:space="preserve">The positive interaction coefficient therefore indicates that firm size acts as a mitigating factor that offsets the negative effect of Social disclosure on ERC. In practical terms, as firm size increases, the slope of the relationship between Social disclosure and ERC becomes less negative and may potentially become positive for </w:t>
      </w:r>
      <w:r w:rsidRPr="00F104D9">
        <w:rPr>
          <w:rFonts w:ascii="Arial" w:hAnsi="Arial" w:cs="Arial"/>
          <w:bCs/>
          <w:sz w:val="22"/>
          <w:lang w:val="en-ID"/>
        </w:rPr>
        <w:lastRenderedPageBreak/>
        <w:t>firms with very large sizes. This demonstrates that investors place greater trust in social disclosures issued by larger and more established firms.</w:t>
      </w:r>
      <w:r>
        <w:rPr>
          <w:rFonts w:ascii="Arial" w:hAnsi="Arial" w:cs="Arial"/>
          <w:bCs/>
          <w:sz w:val="22"/>
          <w:lang w:val="en-ID"/>
        </w:rPr>
        <w:t xml:space="preserve"> </w:t>
      </w:r>
      <w:r w:rsidRPr="00F104D9">
        <w:rPr>
          <w:rFonts w:ascii="Arial" w:hAnsi="Arial" w:cs="Arial"/>
          <w:bCs/>
          <w:sz w:val="22"/>
          <w:lang w:val="en-ID"/>
        </w:rPr>
        <w:t>According to signaling theory, larger firms emit more credible social signals because of their greater visibility and stronger public scrutiny (Connelly et al., 2011). In line with the Efficient Market Hypothesis, investors respond more strongly to information perceived as relevant and reliable. Larger companies also tend to have higher transparency and broader stakeholder engagement, making their social disclosures more informative and credible. This conclusion aligns with Baskoro et al. (2021), who demonstrate that firm characteristics influence ERC sensitivity, indicating that social disclosure from larger firms is interpreted more favorably and enhances the informativeness of earnings.</w:t>
      </w:r>
    </w:p>
    <w:p w14:paraId="24622838" w14:textId="05E1AB5C" w:rsidR="008443F6" w:rsidRDefault="006462DA" w:rsidP="008443F6">
      <w:pPr>
        <w:pStyle w:val="Body"/>
        <w:rPr>
          <w:rFonts w:ascii="Arial" w:hAnsi="Arial" w:cs="Arial"/>
          <w:b/>
          <w:sz w:val="22"/>
        </w:rPr>
      </w:pPr>
      <w:r>
        <w:rPr>
          <w:rFonts w:ascii="Arial" w:hAnsi="Arial" w:cs="Arial"/>
          <w:b/>
          <w:sz w:val="22"/>
        </w:rPr>
        <w:t>4</w:t>
      </w:r>
      <w:r w:rsidR="008443F6" w:rsidRPr="008443F6">
        <w:rPr>
          <w:rFonts w:ascii="Arial" w:hAnsi="Arial" w:cs="Arial"/>
          <w:b/>
          <w:sz w:val="22"/>
        </w:rPr>
        <w:t>.11 Company Size Moderates the Effect of Governance Disclosure on the Earnings Response Coefficient (ERC)</w:t>
      </w:r>
    </w:p>
    <w:p w14:paraId="23D66AA3" w14:textId="29E56794" w:rsidR="00492E97" w:rsidRPr="00492E97" w:rsidRDefault="00492E97" w:rsidP="008443F6">
      <w:pPr>
        <w:pStyle w:val="Body"/>
        <w:rPr>
          <w:rFonts w:ascii="Arial" w:hAnsi="Arial" w:cs="Arial"/>
          <w:bCs/>
          <w:sz w:val="22"/>
        </w:rPr>
      </w:pPr>
      <w:r w:rsidRPr="00492E97">
        <w:rPr>
          <w:rFonts w:ascii="Arial" w:hAnsi="Arial" w:cs="Arial"/>
          <w:bCs/>
          <w:sz w:val="22"/>
        </w:rPr>
        <w:t>The results show that the relationship between governance disclosure and firm size does not have a significant impact on the Earnings Response Coefficient (ERC) (β = -0.011; p = 0.903), indicating that H6 is not supported. This implies that firm size does not amplify or diminish the influence of governance disclosure on how the market reacts to earnings. According to signaling theory, the market overlooks signals that do not convey new information (Scott, 2015). Under legitimacy theory, governance disclosure is primarily a requirement for regulatory compliance instead of being a signal that adds value. The overall high and relatively consistent level of governance disclosure among firms further diminishes its informational significance. This outcome aligns with the findings of Aristawati and Rasmini (2018) and Mufidah and Hariyanto (2025), who also conclude that governance does not significantly influence ERC, as it fails to enhance the relevance of earnings information.</w:t>
      </w:r>
    </w:p>
    <w:p w14:paraId="1AEB7A54" w14:textId="77777777" w:rsidR="008443F6" w:rsidRDefault="008443F6" w:rsidP="008443F6">
      <w:pPr>
        <w:pStyle w:val="Body"/>
        <w:spacing w:after="0"/>
        <w:rPr>
          <w:rFonts w:ascii="Arial" w:hAnsi="Arial" w:cs="Arial"/>
        </w:rPr>
      </w:pPr>
    </w:p>
    <w:p w14:paraId="6DCFDEC3" w14:textId="78F5118C" w:rsidR="00B01FCD" w:rsidRDefault="006462DA"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5AA1DF7E" w14:textId="77777777" w:rsidR="00790ADA" w:rsidRPr="00FB3A86" w:rsidRDefault="00790ADA" w:rsidP="00441B6F">
      <w:pPr>
        <w:pStyle w:val="ConcHead"/>
        <w:spacing w:after="0"/>
        <w:jc w:val="both"/>
        <w:rPr>
          <w:rFonts w:ascii="Arial" w:hAnsi="Arial" w:cs="Arial"/>
        </w:rPr>
      </w:pPr>
    </w:p>
    <w:p w14:paraId="60024F5E" w14:textId="2E58EF51" w:rsidR="008C7D5A" w:rsidRDefault="003F1015" w:rsidP="008C7D5A">
      <w:pPr>
        <w:pStyle w:val="Body"/>
        <w:spacing w:after="0"/>
        <w:rPr>
          <w:rFonts w:ascii="Arial" w:hAnsi="Arial" w:cs="Arial"/>
        </w:rPr>
      </w:pPr>
      <w:r w:rsidRPr="003F1015">
        <w:rPr>
          <w:rFonts w:ascii="Arial" w:hAnsi="Arial" w:cs="Arial"/>
        </w:rPr>
        <w:t>This study also has several limitations. First, the research only focuses on banking sector companies listed on the Indonesia Stock Exchange during the 2020–2024 period, limiting the generalizability of the findings to other sectors and restricting the ability to capture longer-term investor responses toward ESG disclosure. Second, the model demonstrates a relatively low explanatory power, with an Adjusted R² value of 0.156, indicating that only 15.6% of the variation in ERC can be explained by the variables included in this study, while the remaining variation may be influenced by other factors not examined in the model. Third, the study only uses firm size as a moderating variable, whereas other factors such as profitability, leverage, audit quality, institutional ownership, or corporate reputation may also influence ERC. Fourth, the measurement of governance disclosure relies on the GRI Index, which may not fully reflect the actual quality and effectiveness of corporate governance practices within firms. Therefore, future studies are recommended to expand the observation period, include companies from various industries, apply additional moderating or control variables, and utilize more comprehensive ESG measurement approaches to improve analytical accuracy and broader generalizability of the findings.</w:t>
      </w:r>
      <w:r w:rsidR="008C7D5A" w:rsidRPr="008C7D5A">
        <w:rPr>
          <w:rFonts w:ascii="Arial" w:hAnsi="Arial" w:cs="Arial"/>
        </w:rPr>
        <w:t xml:space="preserve"> </w:t>
      </w:r>
    </w:p>
    <w:p w14:paraId="59387FCD" w14:textId="678BCD10" w:rsidR="006356BC" w:rsidRDefault="006356BC" w:rsidP="008C7D5A">
      <w:pPr>
        <w:pStyle w:val="Body"/>
        <w:spacing w:after="0"/>
        <w:rPr>
          <w:rFonts w:ascii="Arial" w:hAnsi="Arial" w:cs="Arial"/>
        </w:rPr>
      </w:pPr>
    </w:p>
    <w:p w14:paraId="2B431807" w14:textId="77777777" w:rsidR="006356BC" w:rsidRPr="00005ED1" w:rsidRDefault="006356BC" w:rsidP="006356BC">
      <w:pPr>
        <w:pStyle w:val="NoSpacing"/>
        <w:rPr>
          <w:rFonts w:ascii="Arial" w:hAnsi="Arial" w:cs="Arial"/>
          <w:highlight w:val="yellow"/>
        </w:rPr>
      </w:pPr>
      <w:bookmarkStart w:id="0" w:name="_Hlk221624953"/>
      <w:r w:rsidRPr="00005ED1">
        <w:rPr>
          <w:rFonts w:ascii="Arial" w:hAnsi="Arial" w:cs="Arial"/>
          <w:highlight w:val="yellow"/>
        </w:rPr>
        <w:t>Disclaimer (Artificial intelligence)</w:t>
      </w:r>
    </w:p>
    <w:p w14:paraId="47FD9697" w14:textId="77777777" w:rsidR="006356BC" w:rsidRPr="00005ED1" w:rsidRDefault="006356BC" w:rsidP="006356BC">
      <w:pPr>
        <w:pStyle w:val="NoSpacing"/>
        <w:rPr>
          <w:rFonts w:ascii="Arial" w:hAnsi="Arial" w:cs="Arial"/>
          <w:highlight w:val="yellow"/>
        </w:rPr>
      </w:pPr>
    </w:p>
    <w:p w14:paraId="6686F4B9" w14:textId="77777777" w:rsidR="006356BC" w:rsidRDefault="006356BC" w:rsidP="006356BC">
      <w:pPr>
        <w:pStyle w:val="NoSpacing"/>
        <w:rPr>
          <w:rFonts w:ascii="Arial" w:hAnsi="Arial" w:cs="Arial"/>
          <w:highlight w:val="yellow"/>
        </w:rPr>
      </w:pPr>
      <w:r w:rsidRPr="00005ED1">
        <w:rPr>
          <w:rFonts w:ascii="Arial" w:hAnsi="Arial" w:cs="Arial"/>
          <w:highlight w:val="yellow"/>
        </w:rPr>
        <w:lastRenderedPageBreak/>
        <w:t xml:space="preserve">Author(s) hereby declare that NO generative AI technologies such as Large Language Models (ChatGPT, COPILOT, etc.) and text-to-image generators have been used during the writing or editing of this manuscript. </w:t>
      </w:r>
    </w:p>
    <w:bookmarkEnd w:id="0"/>
    <w:p w14:paraId="7946C6BC" w14:textId="77777777" w:rsidR="006356BC" w:rsidRDefault="006356BC" w:rsidP="008C7D5A">
      <w:pPr>
        <w:pStyle w:val="Body"/>
        <w:spacing w:after="0"/>
        <w:rPr>
          <w:rFonts w:ascii="Arial" w:hAnsi="Arial" w:cs="Arial"/>
        </w:rPr>
      </w:pPr>
    </w:p>
    <w:p w14:paraId="4D25C0D5" w14:textId="77777777" w:rsidR="008C7D5A" w:rsidRDefault="008C7D5A" w:rsidP="008C7D5A">
      <w:pPr>
        <w:pStyle w:val="Body"/>
        <w:spacing w:after="0"/>
        <w:rPr>
          <w:rFonts w:ascii="Arial" w:hAnsi="Arial" w:cs="Arial"/>
        </w:rPr>
      </w:pPr>
    </w:p>
    <w:p w14:paraId="4DE51826" w14:textId="77777777" w:rsidR="002B685A" w:rsidRDefault="002B685A" w:rsidP="00441B6F">
      <w:pPr>
        <w:pStyle w:val="ReferHead"/>
        <w:spacing w:after="0"/>
        <w:jc w:val="both"/>
        <w:rPr>
          <w:rFonts w:ascii="Arial" w:hAnsi="Arial" w:cs="Arial"/>
          <w:b w:val="0"/>
          <w:caps w:val="0"/>
          <w:sz w:val="20"/>
        </w:rPr>
      </w:pPr>
    </w:p>
    <w:p w14:paraId="3199FAD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B39602C" w14:textId="77777777" w:rsidR="00790ADA" w:rsidRPr="00FB3A86" w:rsidRDefault="00790ADA" w:rsidP="00441B6F">
      <w:pPr>
        <w:pStyle w:val="ReferHead"/>
        <w:spacing w:after="0"/>
        <w:jc w:val="both"/>
        <w:rPr>
          <w:rFonts w:ascii="Arial" w:hAnsi="Arial" w:cs="Arial"/>
        </w:rPr>
      </w:pPr>
    </w:p>
    <w:p w14:paraId="76831268" w14:textId="77777777" w:rsidR="00F84E7C" w:rsidRPr="00F84E7C" w:rsidRDefault="00F84E7C" w:rsidP="00E96A81">
      <w:pPr>
        <w:pStyle w:val="Body"/>
        <w:spacing w:after="0"/>
        <w:ind w:left="567" w:hanging="567"/>
        <w:rPr>
          <w:lang w:val="en-ID"/>
        </w:rPr>
      </w:pPr>
      <w:r w:rsidRPr="00F84E7C">
        <w:rPr>
          <w:lang w:val="en-ID"/>
        </w:rPr>
        <w:t xml:space="preserve">Antonio, M. S., Laela, S. F., &amp; Darmawan, R. R. (2019). Corporate governance, earnings quality and market response: Comparison of Islamic and non-Islamic stock in the Indonesian capital market. </w:t>
      </w:r>
      <w:r w:rsidRPr="00F84E7C">
        <w:rPr>
          <w:i/>
          <w:iCs/>
          <w:lang w:val="en-ID"/>
        </w:rPr>
        <w:t>Academy of Accounting and Financial Studies Journal, 23</w:t>
      </w:r>
      <w:r w:rsidRPr="00F84E7C">
        <w:rPr>
          <w:lang w:val="en-ID"/>
        </w:rPr>
        <w:t>(Special Issue 1).</w:t>
      </w:r>
    </w:p>
    <w:p w14:paraId="1D662010" w14:textId="77777777" w:rsidR="00F84E7C" w:rsidRPr="00F84E7C" w:rsidRDefault="00F84E7C" w:rsidP="00E96A81">
      <w:pPr>
        <w:pStyle w:val="Body"/>
        <w:spacing w:after="0"/>
        <w:ind w:left="567" w:hanging="567"/>
        <w:rPr>
          <w:lang w:val="en-ID"/>
        </w:rPr>
      </w:pPr>
      <w:r w:rsidRPr="00F84E7C">
        <w:rPr>
          <w:lang w:val="en-ID"/>
        </w:rPr>
        <w:t xml:space="preserve">Aristawati, N. M., &amp; Rasmini, N. K. (2018). Pengaruh konservatisme akuntansi, good corporate governance dan pertumbuhan perusahaan pada earnings response coefficient. </w:t>
      </w:r>
      <w:r w:rsidRPr="00F84E7C">
        <w:rPr>
          <w:i/>
          <w:iCs/>
          <w:lang w:val="en-ID"/>
        </w:rPr>
        <w:t>E-Jurnal Akuntansi Universitas Udayana, 24</w:t>
      </w:r>
      <w:r w:rsidRPr="00F84E7C">
        <w:rPr>
          <w:lang w:val="en-ID"/>
        </w:rPr>
        <w:t xml:space="preserve">(2), 1503–1529. </w:t>
      </w:r>
      <w:hyperlink r:id="rId14" w:tgtFrame="_new" w:history="1">
        <w:r w:rsidRPr="00F84E7C">
          <w:rPr>
            <w:rStyle w:val="Hyperlink"/>
            <w:lang w:val="en-ID"/>
          </w:rPr>
          <w:t>https://doi.org/10.24843/EJA.2018.v24.i02.p25</w:t>
        </w:r>
      </w:hyperlink>
    </w:p>
    <w:p w14:paraId="71E8B816" w14:textId="77777777" w:rsidR="00F84E7C" w:rsidRPr="00F84E7C" w:rsidRDefault="00F84E7C" w:rsidP="00E96A81">
      <w:pPr>
        <w:pStyle w:val="Body"/>
        <w:spacing w:after="0"/>
        <w:ind w:left="567" w:hanging="567"/>
        <w:rPr>
          <w:lang w:val="en-ID"/>
        </w:rPr>
      </w:pPr>
      <w:r w:rsidRPr="00F84E7C">
        <w:rPr>
          <w:lang w:val="en-ID"/>
        </w:rPr>
        <w:t xml:space="preserve">Aydogmus, M., Gulay, G., &amp; Ergun, K. (2022). Impact of ESG performance on firm value and profitability. </w:t>
      </w:r>
      <w:r w:rsidRPr="00F84E7C">
        <w:rPr>
          <w:i/>
          <w:iCs/>
          <w:lang w:val="en-ID"/>
        </w:rPr>
        <w:t>Borsa Istanbul Review</w:t>
      </w:r>
      <w:r w:rsidRPr="00F84E7C">
        <w:rPr>
          <w:lang w:val="en-ID"/>
        </w:rPr>
        <w:t xml:space="preserve">. </w:t>
      </w:r>
      <w:hyperlink r:id="rId15" w:tgtFrame="_new" w:history="1">
        <w:r w:rsidRPr="00F84E7C">
          <w:rPr>
            <w:rStyle w:val="Hyperlink"/>
            <w:lang w:val="en-ID"/>
          </w:rPr>
          <w:t>https://doi.org/10.1016/j.bir.2022.11.006</w:t>
        </w:r>
      </w:hyperlink>
    </w:p>
    <w:p w14:paraId="07EB1FA1" w14:textId="77777777" w:rsidR="00F84E7C" w:rsidRPr="00F84E7C" w:rsidRDefault="00F84E7C" w:rsidP="00E96A81">
      <w:pPr>
        <w:pStyle w:val="Body"/>
        <w:spacing w:after="0"/>
        <w:ind w:left="567" w:hanging="567"/>
        <w:rPr>
          <w:lang w:val="en-ID"/>
        </w:rPr>
      </w:pPr>
      <w:r w:rsidRPr="00F84E7C">
        <w:rPr>
          <w:lang w:val="en-ID"/>
        </w:rPr>
        <w:t xml:space="preserve">Ball, R., &amp; Brown, P. (1968). An empirical evaluation of accounting income numbers. </w:t>
      </w:r>
      <w:r w:rsidRPr="00F84E7C">
        <w:rPr>
          <w:i/>
          <w:iCs/>
          <w:lang w:val="en-ID"/>
        </w:rPr>
        <w:t>Journal of Accounting Research, 6</w:t>
      </w:r>
      <w:r w:rsidRPr="00F84E7C">
        <w:rPr>
          <w:lang w:val="en-ID"/>
        </w:rPr>
        <w:t xml:space="preserve">(2), 159–178. </w:t>
      </w:r>
      <w:hyperlink r:id="rId16" w:tgtFrame="_new" w:history="1">
        <w:r w:rsidRPr="00F84E7C">
          <w:rPr>
            <w:rStyle w:val="Hyperlink"/>
            <w:lang w:val="en-ID"/>
          </w:rPr>
          <w:t>https://doi.org/10.2307/2490232</w:t>
        </w:r>
      </w:hyperlink>
    </w:p>
    <w:p w14:paraId="62290BB9" w14:textId="77777777" w:rsidR="00F84E7C" w:rsidRPr="00F84E7C" w:rsidRDefault="00F84E7C" w:rsidP="00E96A81">
      <w:pPr>
        <w:pStyle w:val="Body"/>
        <w:spacing w:after="0"/>
        <w:ind w:left="567" w:hanging="567"/>
        <w:rPr>
          <w:lang w:val="en-ID"/>
        </w:rPr>
      </w:pPr>
      <w:r w:rsidRPr="00F84E7C">
        <w:rPr>
          <w:lang w:val="en-ID"/>
        </w:rPr>
        <w:t xml:space="preserve">Baskoro, A., Umar, H., &amp; Indriani, A. (2021). The influence of CSR disclosure and sustainability accounting on earnings response coefficient. </w:t>
      </w:r>
      <w:r w:rsidRPr="00F84E7C">
        <w:rPr>
          <w:i/>
          <w:iCs/>
          <w:lang w:val="en-ID"/>
        </w:rPr>
        <w:t>International Journal of Current Science Research and Review, 4</w:t>
      </w:r>
      <w:r w:rsidRPr="00F84E7C">
        <w:rPr>
          <w:lang w:val="en-ID"/>
        </w:rPr>
        <w:t>(7).</w:t>
      </w:r>
    </w:p>
    <w:p w14:paraId="5BB3A6CD" w14:textId="77777777" w:rsidR="00F84E7C" w:rsidRPr="00F84E7C" w:rsidRDefault="00F84E7C" w:rsidP="00E96A81">
      <w:pPr>
        <w:pStyle w:val="Body"/>
        <w:spacing w:after="0"/>
        <w:ind w:left="567" w:hanging="567"/>
        <w:rPr>
          <w:lang w:val="en-ID"/>
        </w:rPr>
      </w:pPr>
      <w:r w:rsidRPr="00F84E7C">
        <w:rPr>
          <w:lang w:val="en-ID"/>
        </w:rPr>
        <w:t xml:space="preserve">Boffo, R., &amp; Patalano, R. (2020). </w:t>
      </w:r>
      <w:r w:rsidRPr="00F84E7C">
        <w:rPr>
          <w:i/>
          <w:iCs/>
          <w:lang w:val="en-ID"/>
        </w:rPr>
        <w:t>ESG investing: Practices, progress and challenges</w:t>
      </w:r>
      <w:r w:rsidRPr="00F84E7C">
        <w:rPr>
          <w:lang w:val="en-ID"/>
        </w:rPr>
        <w:t>. OECD.</w:t>
      </w:r>
    </w:p>
    <w:p w14:paraId="1612E436" w14:textId="77777777" w:rsidR="00F84E7C" w:rsidRPr="00F84E7C" w:rsidRDefault="00F84E7C" w:rsidP="00E96A81">
      <w:pPr>
        <w:pStyle w:val="Body"/>
        <w:spacing w:after="0"/>
        <w:ind w:left="567" w:hanging="567"/>
        <w:rPr>
          <w:lang w:val="en-ID"/>
        </w:rPr>
      </w:pPr>
      <w:r w:rsidRPr="00F84E7C">
        <w:rPr>
          <w:lang w:val="en-ID"/>
        </w:rPr>
        <w:t xml:space="preserve">Brigham, E. F., &amp; Houston, J. F. (2019). </w:t>
      </w:r>
      <w:r w:rsidRPr="00F84E7C">
        <w:rPr>
          <w:i/>
          <w:iCs/>
          <w:lang w:val="en-ID"/>
        </w:rPr>
        <w:t>Fundamentals of financial management</w:t>
      </w:r>
      <w:r w:rsidRPr="00F84E7C">
        <w:rPr>
          <w:lang w:val="en-ID"/>
        </w:rPr>
        <w:t xml:space="preserve"> (15th ed.). Cengage Learning.</w:t>
      </w:r>
    </w:p>
    <w:p w14:paraId="6DC9A802" w14:textId="77777777" w:rsidR="00F84E7C" w:rsidRPr="00F84E7C" w:rsidRDefault="00F84E7C" w:rsidP="00E96A81">
      <w:pPr>
        <w:pStyle w:val="Body"/>
        <w:spacing w:after="0"/>
        <w:ind w:left="567" w:hanging="567"/>
        <w:rPr>
          <w:lang w:val="en-ID"/>
        </w:rPr>
      </w:pPr>
      <w:r w:rsidRPr="00F84E7C">
        <w:rPr>
          <w:lang w:val="en-ID"/>
        </w:rPr>
        <w:t xml:space="preserve">Capelle-Blancard, G., &amp; Petit, A. (2019). Every little helps? ESG news and stock market reaction. </w:t>
      </w:r>
      <w:r w:rsidRPr="00F84E7C">
        <w:rPr>
          <w:i/>
          <w:iCs/>
          <w:lang w:val="en-ID"/>
        </w:rPr>
        <w:t>Journal of Business Ethics, 157</w:t>
      </w:r>
      <w:r w:rsidRPr="00F84E7C">
        <w:rPr>
          <w:lang w:val="en-ID"/>
        </w:rPr>
        <w:t xml:space="preserve">(2), 543–565. </w:t>
      </w:r>
      <w:hyperlink r:id="rId17" w:tgtFrame="_new" w:history="1">
        <w:r w:rsidRPr="00F84E7C">
          <w:rPr>
            <w:rStyle w:val="Hyperlink"/>
            <w:lang w:val="en-ID"/>
          </w:rPr>
          <w:t>https://doi.org/10.1007/s10551-017-3667-3</w:t>
        </w:r>
      </w:hyperlink>
    </w:p>
    <w:p w14:paraId="6C3F3E00" w14:textId="77777777" w:rsidR="00F84E7C" w:rsidRPr="00F84E7C" w:rsidRDefault="00F84E7C" w:rsidP="00E96A81">
      <w:pPr>
        <w:pStyle w:val="Body"/>
        <w:spacing w:after="0"/>
        <w:ind w:left="567" w:hanging="567"/>
        <w:rPr>
          <w:lang w:val="en-ID"/>
        </w:rPr>
      </w:pPr>
      <w:r w:rsidRPr="00F84E7C">
        <w:rPr>
          <w:lang w:val="en-ID"/>
        </w:rPr>
        <w:t xml:space="preserve">Christensen, H. B., Hail, L., &amp; Leuz, C. (2021). Mandatory CSR and sustainability reporting: Economic analysis and literature review. </w:t>
      </w:r>
      <w:r w:rsidRPr="00F84E7C">
        <w:rPr>
          <w:i/>
          <w:iCs/>
          <w:lang w:val="en-ID"/>
        </w:rPr>
        <w:t>ECGI Working Paper Series in Finance</w:t>
      </w:r>
      <w:r w:rsidRPr="00F84E7C">
        <w:rPr>
          <w:lang w:val="en-ID"/>
        </w:rPr>
        <w:t>.</w:t>
      </w:r>
    </w:p>
    <w:p w14:paraId="513A67C8" w14:textId="77777777" w:rsidR="00F84E7C" w:rsidRPr="00F84E7C" w:rsidRDefault="00F84E7C" w:rsidP="00E96A81">
      <w:pPr>
        <w:pStyle w:val="Body"/>
        <w:spacing w:after="0"/>
        <w:ind w:left="567" w:hanging="567"/>
        <w:rPr>
          <w:lang w:val="en-ID"/>
        </w:rPr>
      </w:pPr>
      <w:r w:rsidRPr="00F84E7C">
        <w:rPr>
          <w:lang w:val="en-ID"/>
        </w:rPr>
        <w:t xml:space="preserve">Connelly, B. L., Certo, S. T., Ireland, R. D., &amp; Reutzel, C. R. (2011). Signaling theory: A review and assessment. </w:t>
      </w:r>
      <w:r w:rsidRPr="00F84E7C">
        <w:rPr>
          <w:i/>
          <w:iCs/>
          <w:lang w:val="en-ID"/>
        </w:rPr>
        <w:t>Journal of Management, 37</w:t>
      </w:r>
      <w:r w:rsidRPr="00F84E7C">
        <w:rPr>
          <w:lang w:val="en-ID"/>
        </w:rPr>
        <w:t xml:space="preserve">(1), 39–67. </w:t>
      </w:r>
      <w:hyperlink r:id="rId18" w:tgtFrame="_new" w:history="1">
        <w:r w:rsidRPr="00F84E7C">
          <w:rPr>
            <w:rStyle w:val="Hyperlink"/>
            <w:lang w:val="en-ID"/>
          </w:rPr>
          <w:t>https://doi.org/10.1177/0149206310388419</w:t>
        </w:r>
      </w:hyperlink>
    </w:p>
    <w:p w14:paraId="48AC3F25" w14:textId="77777777" w:rsidR="00F84E7C" w:rsidRPr="00F84E7C" w:rsidRDefault="00F84E7C" w:rsidP="00E96A81">
      <w:pPr>
        <w:pStyle w:val="Body"/>
        <w:spacing w:after="0"/>
        <w:ind w:left="567" w:hanging="567"/>
        <w:rPr>
          <w:lang w:val="en-ID"/>
        </w:rPr>
      </w:pPr>
      <w:r w:rsidRPr="00F84E7C">
        <w:rPr>
          <w:lang w:val="en-ID"/>
        </w:rPr>
        <w:t xml:space="preserve">Fama, E. F. (1970). Efficient capital markets: A review of theory and empirical work. </w:t>
      </w:r>
      <w:r w:rsidRPr="00F84E7C">
        <w:rPr>
          <w:i/>
          <w:iCs/>
          <w:lang w:val="en-ID"/>
        </w:rPr>
        <w:t>The Journal of Finance, 25</w:t>
      </w:r>
      <w:r w:rsidRPr="00F84E7C">
        <w:rPr>
          <w:lang w:val="en-ID"/>
        </w:rPr>
        <w:t xml:space="preserve">(2), 383–417. </w:t>
      </w:r>
      <w:hyperlink r:id="rId19" w:tgtFrame="_new" w:history="1">
        <w:r w:rsidRPr="00F84E7C">
          <w:rPr>
            <w:rStyle w:val="Hyperlink"/>
            <w:lang w:val="en-ID"/>
          </w:rPr>
          <w:t>https://doi.org/10.2307/2325486</w:t>
        </w:r>
      </w:hyperlink>
    </w:p>
    <w:p w14:paraId="12FF3FF7" w14:textId="77777777" w:rsidR="00F84E7C" w:rsidRPr="00F84E7C" w:rsidRDefault="00F84E7C" w:rsidP="00E96A81">
      <w:pPr>
        <w:pStyle w:val="Body"/>
        <w:spacing w:after="0"/>
        <w:ind w:left="567" w:hanging="567"/>
        <w:rPr>
          <w:lang w:val="en-ID"/>
        </w:rPr>
      </w:pPr>
      <w:r w:rsidRPr="00F84E7C">
        <w:rPr>
          <w:lang w:val="en-ID"/>
        </w:rPr>
        <w:t xml:space="preserve">Friede, G., Busch, T., &amp; Bassen, A. (2015). ESG and financial performance: Aggregated evidence from more than 2000 empirical studies. </w:t>
      </w:r>
      <w:r w:rsidRPr="00F84E7C">
        <w:rPr>
          <w:i/>
          <w:iCs/>
          <w:lang w:val="en-ID"/>
        </w:rPr>
        <w:t>Journal of Sustainable Finance &amp; Investment, 5</w:t>
      </w:r>
      <w:r w:rsidRPr="00F84E7C">
        <w:rPr>
          <w:lang w:val="en-ID"/>
        </w:rPr>
        <w:t xml:space="preserve">(4), 210–233. </w:t>
      </w:r>
      <w:hyperlink r:id="rId20" w:tgtFrame="_new" w:history="1">
        <w:r w:rsidRPr="00F84E7C">
          <w:rPr>
            <w:rStyle w:val="Hyperlink"/>
            <w:lang w:val="en-ID"/>
          </w:rPr>
          <w:t>https://doi.org/10.1080/20430795.2015.1118917</w:t>
        </w:r>
      </w:hyperlink>
    </w:p>
    <w:p w14:paraId="6545B22E" w14:textId="77777777" w:rsidR="00F84E7C" w:rsidRPr="00F84E7C" w:rsidRDefault="00F84E7C" w:rsidP="00E96A81">
      <w:pPr>
        <w:pStyle w:val="Body"/>
        <w:spacing w:after="0"/>
        <w:ind w:left="567" w:hanging="567"/>
        <w:rPr>
          <w:lang w:val="en-ID"/>
        </w:rPr>
      </w:pPr>
      <w:r w:rsidRPr="00F84E7C">
        <w:rPr>
          <w:lang w:val="en-ID"/>
        </w:rPr>
        <w:t xml:space="preserve">Ghozali, I. (2013). </w:t>
      </w:r>
      <w:r w:rsidRPr="00F84E7C">
        <w:rPr>
          <w:i/>
          <w:iCs/>
          <w:lang w:val="en-ID"/>
        </w:rPr>
        <w:t>Aplikasi analisis multivariate dengan program IBM SPSS 21</w:t>
      </w:r>
      <w:r w:rsidRPr="00F84E7C">
        <w:rPr>
          <w:lang w:val="en-ID"/>
        </w:rPr>
        <w:t>. Badan Penerbit Universitas Diponegoro.</w:t>
      </w:r>
    </w:p>
    <w:p w14:paraId="3DD18B8B" w14:textId="77777777" w:rsidR="00F84E7C" w:rsidRPr="00F84E7C" w:rsidRDefault="00F84E7C" w:rsidP="00E96A81">
      <w:pPr>
        <w:pStyle w:val="Body"/>
        <w:spacing w:after="0"/>
        <w:ind w:left="567" w:hanging="567"/>
        <w:rPr>
          <w:lang w:val="en-ID"/>
        </w:rPr>
      </w:pPr>
      <w:r w:rsidRPr="00F84E7C">
        <w:rPr>
          <w:lang w:val="en-ID"/>
        </w:rPr>
        <w:t xml:space="preserve">Global Reporting Initiative. (2021). </w:t>
      </w:r>
      <w:r w:rsidRPr="00F84E7C">
        <w:rPr>
          <w:i/>
          <w:iCs/>
          <w:lang w:val="en-ID"/>
        </w:rPr>
        <w:t>GRI standards 2021</w:t>
      </w:r>
      <w:r w:rsidRPr="00F84E7C">
        <w:rPr>
          <w:lang w:val="en-ID"/>
        </w:rPr>
        <w:t xml:space="preserve">. </w:t>
      </w:r>
      <w:hyperlink r:id="rId21" w:tgtFrame="_new" w:history="1">
        <w:r w:rsidRPr="00F84E7C">
          <w:rPr>
            <w:rStyle w:val="Hyperlink"/>
            <w:lang w:val="en-ID"/>
          </w:rPr>
          <w:t>https://www.globalreporting.org</w:t>
        </w:r>
      </w:hyperlink>
    </w:p>
    <w:p w14:paraId="2AE31E80" w14:textId="77777777" w:rsidR="00F84E7C" w:rsidRPr="00F84E7C" w:rsidRDefault="00F84E7C" w:rsidP="00E96A81">
      <w:pPr>
        <w:pStyle w:val="Body"/>
        <w:spacing w:after="0"/>
        <w:ind w:left="567" w:hanging="567"/>
        <w:rPr>
          <w:lang w:val="en-ID"/>
        </w:rPr>
      </w:pPr>
      <w:r w:rsidRPr="00F84E7C">
        <w:rPr>
          <w:lang w:val="en-ID"/>
        </w:rPr>
        <w:t xml:space="preserve">Handi, D. N. R., &amp; Fanani, B. (2021). Understanding earnings response coefficient from growth opportunities and intellectual capital. </w:t>
      </w:r>
      <w:r w:rsidRPr="00F84E7C">
        <w:rPr>
          <w:i/>
          <w:iCs/>
          <w:lang w:val="en-ID"/>
        </w:rPr>
        <w:t>Proceedings of ICONS 2021</w:t>
      </w:r>
      <w:r w:rsidRPr="00F84E7C">
        <w:rPr>
          <w:lang w:val="en-ID"/>
        </w:rPr>
        <w:t xml:space="preserve">. </w:t>
      </w:r>
      <w:hyperlink r:id="rId22" w:tgtFrame="_new" w:history="1">
        <w:r w:rsidRPr="00F84E7C">
          <w:rPr>
            <w:rStyle w:val="Hyperlink"/>
            <w:lang w:val="en-ID"/>
          </w:rPr>
          <w:t>http://dx.doi.org/10.2991/assehr.k.220101.020</w:t>
        </w:r>
      </w:hyperlink>
    </w:p>
    <w:p w14:paraId="6615E785" w14:textId="77777777" w:rsidR="00F84E7C" w:rsidRPr="00F84E7C" w:rsidRDefault="00F84E7C" w:rsidP="00E96A81">
      <w:pPr>
        <w:pStyle w:val="Body"/>
        <w:spacing w:after="0"/>
        <w:ind w:left="567" w:hanging="567"/>
        <w:rPr>
          <w:lang w:val="en-ID"/>
        </w:rPr>
      </w:pPr>
      <w:r w:rsidRPr="00F84E7C">
        <w:rPr>
          <w:lang w:val="en-ID"/>
        </w:rPr>
        <w:t xml:space="preserve">Kim, Y., Choi, S., &amp; Kim, B. J. (2022). How does a firm’s earnings response coefficient vary with managerial ability? Evidence from Korea. </w:t>
      </w:r>
      <w:r w:rsidRPr="00F84E7C">
        <w:rPr>
          <w:i/>
          <w:iCs/>
          <w:lang w:val="en-ID"/>
        </w:rPr>
        <w:t>Emerging Markets Finance and Trade</w:t>
      </w:r>
      <w:r w:rsidRPr="00F84E7C">
        <w:rPr>
          <w:lang w:val="en-ID"/>
        </w:rPr>
        <w:t>.</w:t>
      </w:r>
    </w:p>
    <w:p w14:paraId="715FBD0B" w14:textId="77777777" w:rsidR="00F84E7C" w:rsidRPr="00F84E7C" w:rsidRDefault="00F84E7C" w:rsidP="00E96A81">
      <w:pPr>
        <w:pStyle w:val="Body"/>
        <w:spacing w:after="0"/>
        <w:ind w:left="567" w:hanging="567"/>
        <w:rPr>
          <w:lang w:val="en-ID"/>
        </w:rPr>
      </w:pPr>
      <w:r w:rsidRPr="00F84E7C">
        <w:rPr>
          <w:lang w:val="en-ID"/>
        </w:rPr>
        <w:lastRenderedPageBreak/>
        <w:t xml:space="preserve">Liu, Z., Saidin, S. F., &amp; Osman, M. N. H. (2024). The effect of internal control on earnings response coefficient. </w:t>
      </w:r>
      <w:r w:rsidRPr="00F84E7C">
        <w:rPr>
          <w:i/>
          <w:iCs/>
          <w:lang w:val="en-ID"/>
        </w:rPr>
        <w:t>Asian Journal of Accounting Research</w:t>
      </w:r>
      <w:r w:rsidRPr="00F84E7C">
        <w:rPr>
          <w:lang w:val="en-ID"/>
        </w:rPr>
        <w:t xml:space="preserve">. </w:t>
      </w:r>
      <w:hyperlink r:id="rId23" w:tgtFrame="_new" w:history="1">
        <w:r w:rsidRPr="00F84E7C">
          <w:rPr>
            <w:rStyle w:val="Hyperlink"/>
            <w:lang w:val="en-ID"/>
          </w:rPr>
          <w:t>https://doi.org/10.1108/AJAR-12-2023-0403</w:t>
        </w:r>
      </w:hyperlink>
    </w:p>
    <w:p w14:paraId="00E44623" w14:textId="77777777" w:rsidR="00F84E7C" w:rsidRPr="00F84E7C" w:rsidRDefault="00F84E7C" w:rsidP="00E96A81">
      <w:pPr>
        <w:pStyle w:val="Body"/>
        <w:spacing w:after="0"/>
        <w:ind w:left="567" w:hanging="567"/>
        <w:rPr>
          <w:lang w:val="en-ID"/>
        </w:rPr>
      </w:pPr>
      <w:r w:rsidRPr="00F84E7C">
        <w:rPr>
          <w:lang w:val="en-ID"/>
        </w:rPr>
        <w:t xml:space="preserve">Mufidah, R. D., &amp; Hariyanto, W. (2025). Accounting conservatism and default risk on earnings response coefficient. </w:t>
      </w:r>
      <w:r w:rsidRPr="00F84E7C">
        <w:rPr>
          <w:i/>
          <w:iCs/>
          <w:lang w:val="en-ID"/>
        </w:rPr>
        <w:t>UMSIDA Preprints Server</w:t>
      </w:r>
      <w:r w:rsidRPr="00F84E7C">
        <w:rPr>
          <w:lang w:val="en-ID"/>
        </w:rPr>
        <w:t xml:space="preserve">. </w:t>
      </w:r>
      <w:hyperlink r:id="rId24" w:tgtFrame="_new" w:history="1">
        <w:r w:rsidRPr="00F84E7C">
          <w:rPr>
            <w:rStyle w:val="Hyperlink"/>
            <w:lang w:val="en-ID"/>
          </w:rPr>
          <w:t>https://doi.org/10.21070/ups.8171</w:t>
        </w:r>
      </w:hyperlink>
    </w:p>
    <w:p w14:paraId="506358D9" w14:textId="77777777" w:rsidR="00F84E7C" w:rsidRPr="00F84E7C" w:rsidRDefault="00F84E7C" w:rsidP="00E96A81">
      <w:pPr>
        <w:pStyle w:val="Body"/>
        <w:spacing w:after="0"/>
        <w:ind w:left="567" w:hanging="567"/>
        <w:rPr>
          <w:lang w:val="en-ID"/>
        </w:rPr>
      </w:pPr>
      <w:r w:rsidRPr="00F84E7C">
        <w:rPr>
          <w:lang w:val="en-ID"/>
        </w:rPr>
        <w:t xml:space="preserve">Orlitzky, M. (2001). Does firm size confound the relationship between corporate social performance and firm financial performance? </w:t>
      </w:r>
      <w:r w:rsidRPr="00F84E7C">
        <w:rPr>
          <w:i/>
          <w:iCs/>
          <w:lang w:val="en-ID"/>
        </w:rPr>
        <w:t>Journal of Business Ethics, 33</w:t>
      </w:r>
      <w:r w:rsidRPr="00F84E7C">
        <w:rPr>
          <w:lang w:val="en-ID"/>
        </w:rPr>
        <w:t>(2), 167–180. https://doi.org/10.1023/A:1017516826427</w:t>
      </w:r>
    </w:p>
    <w:p w14:paraId="0E545627" w14:textId="77777777" w:rsidR="00F84E7C" w:rsidRPr="00F84E7C" w:rsidRDefault="00F84E7C" w:rsidP="00E96A81">
      <w:pPr>
        <w:pStyle w:val="Body"/>
        <w:spacing w:after="0"/>
        <w:ind w:left="567" w:hanging="567"/>
        <w:rPr>
          <w:lang w:val="en-ID"/>
        </w:rPr>
      </w:pPr>
      <w:r w:rsidRPr="00F84E7C">
        <w:rPr>
          <w:lang w:val="en-ID"/>
        </w:rPr>
        <w:t xml:space="preserve">Pratama, D. U., &amp; Robinson. (2024). Analysis of ESG, retention ratio, and leverage impacts on stock returns. </w:t>
      </w:r>
      <w:r w:rsidRPr="00F84E7C">
        <w:rPr>
          <w:i/>
          <w:iCs/>
          <w:lang w:val="en-ID"/>
        </w:rPr>
        <w:t>Journal of Economics Education and Entrepreneurship, 5</w:t>
      </w:r>
      <w:r w:rsidRPr="00F84E7C">
        <w:rPr>
          <w:lang w:val="en-ID"/>
        </w:rPr>
        <w:t xml:space="preserve">(1), 26–44. </w:t>
      </w:r>
      <w:hyperlink r:id="rId25" w:tgtFrame="_new" w:history="1">
        <w:r w:rsidRPr="00F84E7C">
          <w:rPr>
            <w:rStyle w:val="Hyperlink"/>
            <w:lang w:val="en-ID"/>
          </w:rPr>
          <w:t>https://doi.org/10.20527/jee.v5i1.11870</w:t>
        </w:r>
      </w:hyperlink>
    </w:p>
    <w:p w14:paraId="5479C286" w14:textId="77777777" w:rsidR="00F84E7C" w:rsidRPr="00F84E7C" w:rsidRDefault="00F84E7C" w:rsidP="00E96A81">
      <w:pPr>
        <w:pStyle w:val="Body"/>
        <w:spacing w:after="0"/>
        <w:ind w:left="567" w:hanging="567"/>
        <w:rPr>
          <w:lang w:val="en-ID"/>
        </w:rPr>
      </w:pPr>
      <w:r w:rsidRPr="00F84E7C">
        <w:rPr>
          <w:lang w:val="en-ID"/>
        </w:rPr>
        <w:t xml:space="preserve">PricewaterhouseCoopers. (2023). </w:t>
      </w:r>
      <w:r w:rsidRPr="00F84E7C">
        <w:rPr>
          <w:i/>
          <w:iCs/>
          <w:lang w:val="en-ID"/>
        </w:rPr>
        <w:t>Tren dan arah sustainability report Indonesia di masa mendatang</w:t>
      </w:r>
      <w:r w:rsidRPr="00F84E7C">
        <w:rPr>
          <w:lang w:val="en-ID"/>
        </w:rPr>
        <w:t xml:space="preserve">. </w:t>
      </w:r>
      <w:hyperlink r:id="rId26" w:tgtFrame="_new" w:history="1">
        <w:r w:rsidRPr="00F84E7C">
          <w:rPr>
            <w:rStyle w:val="Hyperlink"/>
            <w:lang w:val="en-ID"/>
          </w:rPr>
          <w:t>https://www.pwc.com</w:t>
        </w:r>
      </w:hyperlink>
    </w:p>
    <w:p w14:paraId="5E287CE6" w14:textId="77777777" w:rsidR="00F84E7C" w:rsidRPr="00F84E7C" w:rsidRDefault="00F84E7C" w:rsidP="00E96A81">
      <w:pPr>
        <w:pStyle w:val="Body"/>
        <w:spacing w:after="0"/>
        <w:ind w:left="567" w:hanging="567"/>
        <w:rPr>
          <w:lang w:val="en-ID"/>
        </w:rPr>
      </w:pPr>
      <w:r w:rsidRPr="00F84E7C">
        <w:rPr>
          <w:lang w:val="en-ID"/>
        </w:rPr>
        <w:t xml:space="preserve">Prihatiningrum, A. (2020). Pengaruh CSR dan leverage terhadap earnings response coefficient. </w:t>
      </w:r>
      <w:r w:rsidRPr="00F84E7C">
        <w:rPr>
          <w:i/>
          <w:iCs/>
          <w:lang w:val="en-ID"/>
        </w:rPr>
        <w:t>Buletin Ekonomi</w:t>
      </w:r>
      <w:r w:rsidRPr="00F84E7C">
        <w:rPr>
          <w:lang w:val="en-ID"/>
        </w:rPr>
        <w:t>.</w:t>
      </w:r>
    </w:p>
    <w:p w14:paraId="524C64D0" w14:textId="77777777" w:rsidR="00F84E7C" w:rsidRPr="00F84E7C" w:rsidRDefault="00F84E7C" w:rsidP="00E96A81">
      <w:pPr>
        <w:pStyle w:val="Body"/>
        <w:spacing w:after="0"/>
        <w:ind w:left="567" w:hanging="567"/>
        <w:rPr>
          <w:lang w:val="en-ID"/>
        </w:rPr>
      </w:pPr>
      <w:r w:rsidRPr="00F84E7C">
        <w:rPr>
          <w:lang w:val="en-ID"/>
        </w:rPr>
        <w:t xml:space="preserve">Scott, W. R. (2015). </w:t>
      </w:r>
      <w:r w:rsidRPr="00F84E7C">
        <w:rPr>
          <w:i/>
          <w:iCs/>
          <w:lang w:val="en-ID"/>
        </w:rPr>
        <w:t>Financial accounting theory</w:t>
      </w:r>
      <w:r w:rsidRPr="00F84E7C">
        <w:rPr>
          <w:lang w:val="en-ID"/>
        </w:rPr>
        <w:t xml:space="preserve"> (7th ed.). Pearson.</w:t>
      </w:r>
    </w:p>
    <w:p w14:paraId="57C4508F" w14:textId="77777777" w:rsidR="00F84E7C" w:rsidRPr="00F84E7C" w:rsidRDefault="00F84E7C" w:rsidP="00E96A81">
      <w:pPr>
        <w:pStyle w:val="Body"/>
        <w:spacing w:after="0"/>
        <w:ind w:left="567" w:hanging="567"/>
        <w:rPr>
          <w:lang w:val="en-ID"/>
        </w:rPr>
      </w:pPr>
      <w:r w:rsidRPr="00F84E7C">
        <w:rPr>
          <w:lang w:val="en-ID"/>
        </w:rPr>
        <w:t xml:space="preserve">Spence, M. (1973). Job market signaling. </w:t>
      </w:r>
      <w:r w:rsidRPr="00F84E7C">
        <w:rPr>
          <w:i/>
          <w:iCs/>
          <w:lang w:val="en-ID"/>
        </w:rPr>
        <w:t>The Quarterly Journal of Economics, 87</w:t>
      </w:r>
      <w:r w:rsidRPr="00F84E7C">
        <w:rPr>
          <w:lang w:val="en-ID"/>
        </w:rPr>
        <w:t xml:space="preserve">(3), 355–374. </w:t>
      </w:r>
      <w:hyperlink r:id="rId27" w:tgtFrame="_new" w:history="1">
        <w:r w:rsidRPr="00F84E7C">
          <w:rPr>
            <w:rStyle w:val="Hyperlink"/>
            <w:lang w:val="en-ID"/>
          </w:rPr>
          <w:t>http://www.jstor.org/stable/1882010</w:t>
        </w:r>
      </w:hyperlink>
    </w:p>
    <w:p w14:paraId="2153655A" w14:textId="77777777" w:rsidR="00F84E7C" w:rsidRPr="00F84E7C" w:rsidRDefault="00F84E7C" w:rsidP="00E96A81">
      <w:pPr>
        <w:pStyle w:val="Body"/>
        <w:spacing w:after="0"/>
        <w:ind w:left="567" w:hanging="567"/>
        <w:rPr>
          <w:lang w:val="en-ID"/>
        </w:rPr>
      </w:pPr>
      <w:r w:rsidRPr="00F84E7C">
        <w:rPr>
          <w:lang w:val="en-ID"/>
        </w:rPr>
        <w:t xml:space="preserve">Subramanyam, K. R., &amp; Wild, J. J. (2020). </w:t>
      </w:r>
      <w:r w:rsidRPr="00F84E7C">
        <w:rPr>
          <w:i/>
          <w:iCs/>
          <w:lang w:val="en-ID"/>
        </w:rPr>
        <w:t>Financial statement analysis</w:t>
      </w:r>
      <w:r w:rsidRPr="00F84E7C">
        <w:rPr>
          <w:lang w:val="en-ID"/>
        </w:rPr>
        <w:t xml:space="preserve"> (12th ed.). McGraw-Hill Education.</w:t>
      </w:r>
    </w:p>
    <w:p w14:paraId="1763FAA6" w14:textId="77777777" w:rsidR="00F84E7C" w:rsidRPr="00F84E7C" w:rsidRDefault="00F84E7C" w:rsidP="00E96A81">
      <w:pPr>
        <w:pStyle w:val="Body"/>
        <w:spacing w:after="0"/>
        <w:ind w:left="567" w:hanging="567"/>
        <w:rPr>
          <w:lang w:val="en-ID"/>
        </w:rPr>
      </w:pPr>
      <w:r w:rsidRPr="00F84E7C">
        <w:rPr>
          <w:lang w:val="en-ID"/>
        </w:rPr>
        <w:t xml:space="preserve">Sudaryati, S., Sarumpaet, S., &amp; Dewi, F. G. (2020). Environmental performance and sustainability reporting on earnings response coefficient. </w:t>
      </w:r>
      <w:r w:rsidRPr="00F84E7C">
        <w:rPr>
          <w:i/>
          <w:iCs/>
          <w:lang w:val="en-ID"/>
        </w:rPr>
        <w:t>International Journal for Innovation Education and Research</w:t>
      </w:r>
      <w:r w:rsidRPr="00F84E7C">
        <w:rPr>
          <w:lang w:val="en-ID"/>
        </w:rPr>
        <w:t>.</w:t>
      </w:r>
    </w:p>
    <w:p w14:paraId="71937AAF" w14:textId="77777777" w:rsidR="00F84E7C" w:rsidRPr="00F84E7C" w:rsidRDefault="00F84E7C" w:rsidP="00E96A81">
      <w:pPr>
        <w:pStyle w:val="Body"/>
        <w:spacing w:after="0"/>
        <w:ind w:left="567" w:hanging="567"/>
        <w:rPr>
          <w:lang w:val="en-ID"/>
        </w:rPr>
      </w:pPr>
      <w:r w:rsidRPr="00F84E7C">
        <w:rPr>
          <w:lang w:val="en-ID"/>
        </w:rPr>
        <w:t xml:space="preserve">Sugiyono. (2013). </w:t>
      </w:r>
      <w:r w:rsidRPr="00F84E7C">
        <w:rPr>
          <w:i/>
          <w:iCs/>
          <w:lang w:val="en-ID"/>
        </w:rPr>
        <w:t>Metode penelitian kuantitatif, kualitatif dan R&amp;D</w:t>
      </w:r>
      <w:r w:rsidRPr="00F84E7C">
        <w:rPr>
          <w:lang w:val="en-ID"/>
        </w:rPr>
        <w:t>. Alfabeta.</w:t>
      </w:r>
    </w:p>
    <w:p w14:paraId="41D6773F" w14:textId="77777777" w:rsidR="00F84E7C" w:rsidRPr="00F84E7C" w:rsidRDefault="00F84E7C" w:rsidP="00E96A81">
      <w:pPr>
        <w:pStyle w:val="Body"/>
        <w:spacing w:after="0"/>
        <w:ind w:left="567" w:hanging="567"/>
        <w:rPr>
          <w:lang w:val="en-ID"/>
        </w:rPr>
      </w:pPr>
      <w:r w:rsidRPr="00F84E7C">
        <w:rPr>
          <w:lang w:val="en-ID"/>
        </w:rPr>
        <w:t xml:space="preserve">Wang, H., Shen, H., &amp; Li, S. (2023). ESG performance and stock price fragility. </w:t>
      </w:r>
      <w:r w:rsidRPr="00F84E7C">
        <w:rPr>
          <w:i/>
          <w:iCs/>
          <w:lang w:val="en-ID"/>
        </w:rPr>
        <w:t>Finance Research Letters</w:t>
      </w:r>
      <w:r w:rsidRPr="00F84E7C">
        <w:rPr>
          <w:lang w:val="en-ID"/>
        </w:rPr>
        <w:t xml:space="preserve">. </w:t>
      </w:r>
      <w:hyperlink r:id="rId28" w:tgtFrame="_new" w:history="1">
        <w:r w:rsidRPr="00F84E7C">
          <w:rPr>
            <w:rStyle w:val="Hyperlink"/>
            <w:lang w:val="en-ID"/>
          </w:rPr>
          <w:t>https://doi.org/10.1016/j.frl.2023.104101</w:t>
        </w:r>
      </w:hyperlink>
    </w:p>
    <w:p w14:paraId="5BA98679" w14:textId="77777777" w:rsidR="00F84E7C" w:rsidRPr="00F84E7C" w:rsidRDefault="00F84E7C" w:rsidP="00E96A81">
      <w:pPr>
        <w:pStyle w:val="Body"/>
        <w:spacing w:after="0"/>
        <w:ind w:left="567" w:hanging="567"/>
        <w:rPr>
          <w:lang w:val="en-ID"/>
        </w:rPr>
      </w:pPr>
      <w:r w:rsidRPr="00F84E7C">
        <w:rPr>
          <w:lang w:val="en-ID"/>
        </w:rPr>
        <w:t xml:space="preserve">Wardhani, R. S., et al. (2022). </w:t>
      </w:r>
      <w:r w:rsidRPr="00F84E7C">
        <w:rPr>
          <w:i/>
          <w:iCs/>
          <w:lang w:val="en-ID"/>
        </w:rPr>
        <w:t>Mengenal saham</w:t>
      </w:r>
      <w:r w:rsidRPr="00F84E7C">
        <w:rPr>
          <w:lang w:val="en-ID"/>
        </w:rPr>
        <w:t>. K-Media.</w:t>
      </w:r>
    </w:p>
    <w:p w14:paraId="1198C0F4" w14:textId="77777777" w:rsidR="00F84E7C" w:rsidRPr="00F84E7C" w:rsidRDefault="00F84E7C" w:rsidP="00E96A81">
      <w:pPr>
        <w:pStyle w:val="Body"/>
        <w:spacing w:after="0"/>
        <w:ind w:left="567" w:hanging="567"/>
        <w:rPr>
          <w:lang w:val="en-ID"/>
        </w:rPr>
      </w:pPr>
      <w:r w:rsidRPr="00F84E7C">
        <w:rPr>
          <w:lang w:val="en-ID"/>
        </w:rPr>
        <w:t xml:space="preserve">Wijayanti, I., Mawardi, R., Jasman, &amp; Halim, A. B. (2020). CSR disclosure, leverage, firm size, and profitability toward earnings response coefficient. </w:t>
      </w:r>
      <w:r w:rsidRPr="00F84E7C">
        <w:rPr>
          <w:i/>
          <w:iCs/>
          <w:lang w:val="en-ID"/>
        </w:rPr>
        <w:t>International Journal of Innovation, Creativity and Change</w:t>
      </w:r>
      <w:r w:rsidRPr="00F84E7C">
        <w:rPr>
          <w:lang w:val="en-ID"/>
        </w:rPr>
        <w:t>.</w:t>
      </w:r>
    </w:p>
    <w:p w14:paraId="2C2F00D2" w14:textId="77777777" w:rsidR="00F84E7C" w:rsidRPr="00F84E7C" w:rsidRDefault="00F84E7C" w:rsidP="00E96A81">
      <w:pPr>
        <w:pStyle w:val="Body"/>
        <w:spacing w:after="0"/>
        <w:ind w:left="567" w:hanging="567"/>
        <w:rPr>
          <w:lang w:val="en-ID"/>
        </w:rPr>
      </w:pPr>
      <w:r w:rsidRPr="00F84E7C">
        <w:rPr>
          <w:lang w:val="en-ID"/>
        </w:rPr>
        <w:t xml:space="preserve">Yuliandhari, W. S., &amp; Fadila, E. N. (2024). CSR disclosure, accounting conservatism, and earnings response coefficient. </w:t>
      </w:r>
      <w:r w:rsidRPr="00F84E7C">
        <w:rPr>
          <w:i/>
          <w:iCs/>
          <w:lang w:val="en-ID"/>
        </w:rPr>
        <w:t>Jurnal Ilmiah Akuntansi, 7</w:t>
      </w:r>
      <w:r w:rsidRPr="00F84E7C">
        <w:rPr>
          <w:lang w:val="en-ID"/>
        </w:rPr>
        <w:t xml:space="preserve">(2), 1000–1017. </w:t>
      </w:r>
      <w:hyperlink r:id="rId29" w:tgtFrame="_new" w:history="1">
        <w:r w:rsidRPr="00F84E7C">
          <w:rPr>
            <w:rStyle w:val="Hyperlink"/>
            <w:lang w:val="en-ID"/>
          </w:rPr>
          <w:t>https://doi.org/10.57178/atestasi.v7i2.883</w:t>
        </w:r>
      </w:hyperlink>
    </w:p>
    <w:p w14:paraId="0DAA736D" w14:textId="77777777" w:rsidR="003E0BB3" w:rsidRDefault="003E0BB3" w:rsidP="00E96A81">
      <w:pPr>
        <w:pStyle w:val="Body"/>
        <w:spacing w:after="0"/>
        <w:rPr>
          <w:lang w:val="en-ID"/>
        </w:rPr>
      </w:pPr>
    </w:p>
    <w:sectPr w:rsidR="003E0BB3" w:rsidSect="000D53D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0940" w14:textId="77777777" w:rsidR="0071580F" w:rsidRDefault="0071580F" w:rsidP="00C37E61">
      <w:r>
        <w:separator/>
      </w:r>
    </w:p>
  </w:endnote>
  <w:endnote w:type="continuationSeparator" w:id="0">
    <w:p w14:paraId="1EA009FA" w14:textId="77777777" w:rsidR="0071580F" w:rsidRDefault="0071580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A407" w14:textId="77777777" w:rsidR="000D53DC" w:rsidRDefault="000D5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308F" w14:textId="77777777" w:rsidR="000D53DC" w:rsidRDefault="000D5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BF9B" w14:textId="77777777" w:rsidR="009E048A" w:rsidRDefault="009E048A">
    <w:pPr>
      <w:pStyle w:val="Footer"/>
      <w:rPr>
        <w:rFonts w:ascii="Arial" w:hAnsi="Arial" w:cs="Arial"/>
        <w:sz w:val="16"/>
      </w:rPr>
    </w:pPr>
  </w:p>
  <w:p w14:paraId="7F14699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D2375E2" w14:textId="77777777" w:rsidR="009E048A" w:rsidRDefault="009E048A">
    <w:pPr>
      <w:pStyle w:val="Footer"/>
      <w:rPr>
        <w:rFonts w:ascii="Arial" w:hAnsi="Arial" w:cs="Arial"/>
        <w:sz w:val="16"/>
      </w:rPr>
    </w:pPr>
  </w:p>
  <w:p w14:paraId="646E499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DC6D2" w14:textId="77777777" w:rsidR="0071580F" w:rsidRDefault="0071580F" w:rsidP="00C37E61">
      <w:r>
        <w:separator/>
      </w:r>
    </w:p>
  </w:footnote>
  <w:footnote w:type="continuationSeparator" w:id="0">
    <w:p w14:paraId="3571B7DF" w14:textId="77777777" w:rsidR="0071580F" w:rsidRDefault="0071580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3EBE" w14:textId="1B0020DB" w:rsidR="000D53DC" w:rsidRDefault="0071580F">
    <w:pPr>
      <w:pStyle w:val="Header"/>
    </w:pPr>
    <w:r>
      <w:rPr>
        <w:noProof/>
      </w:rPr>
      <w:pict w14:anchorId="58241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23688" o:spid="_x0000_s1027"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A26B8" w14:textId="332EE2F1" w:rsidR="000D53DC" w:rsidRDefault="0071580F">
    <w:pPr>
      <w:pStyle w:val="Header"/>
    </w:pPr>
    <w:r>
      <w:rPr>
        <w:noProof/>
      </w:rPr>
      <w:pict w14:anchorId="34269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23689" o:spid="_x0000_s1026"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35E7" w14:textId="4F8FE04B" w:rsidR="00296529" w:rsidRPr="00296529" w:rsidRDefault="0071580F" w:rsidP="00296529">
    <w:pPr>
      <w:ind w:left="2160"/>
      <w:jc w:val="center"/>
      <w:rPr>
        <w:rFonts w:ascii="Times New Roman" w:eastAsia="Calibri" w:hAnsi="Times New Roman"/>
        <w:i/>
        <w:sz w:val="18"/>
        <w:szCs w:val="22"/>
      </w:rPr>
    </w:pPr>
    <w:r>
      <w:rPr>
        <w:noProof/>
      </w:rPr>
      <w:pict w14:anchorId="7571A6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23687" o:spid="_x0000_s1025"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4CDDA26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AD22A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1893C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EA0B0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B65EF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67006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617144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04764190">
    <w:abstractNumId w:val="15"/>
  </w:num>
  <w:num w:numId="3" w16cid:durableId="1777363593">
    <w:abstractNumId w:val="23"/>
  </w:num>
  <w:num w:numId="4" w16cid:durableId="15718162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14403976">
    <w:abstractNumId w:val="7"/>
  </w:num>
  <w:num w:numId="6" w16cid:durableId="2032339460">
    <w:abstractNumId w:val="6"/>
  </w:num>
  <w:num w:numId="7" w16cid:durableId="1715420579">
    <w:abstractNumId w:val="1"/>
  </w:num>
  <w:num w:numId="8" w16cid:durableId="1144355396">
    <w:abstractNumId w:val="12"/>
  </w:num>
  <w:num w:numId="9" w16cid:durableId="1747805030">
    <w:abstractNumId w:val="25"/>
  </w:num>
  <w:num w:numId="10" w16cid:durableId="1744911868">
    <w:abstractNumId w:val="2"/>
  </w:num>
  <w:num w:numId="11" w16cid:durableId="1698459224">
    <w:abstractNumId w:val="18"/>
  </w:num>
  <w:num w:numId="12" w16cid:durableId="395081984">
    <w:abstractNumId w:val="3"/>
  </w:num>
  <w:num w:numId="13" w16cid:durableId="463501763">
    <w:abstractNumId w:val="17"/>
  </w:num>
  <w:num w:numId="14" w16cid:durableId="1474830418">
    <w:abstractNumId w:val="8"/>
  </w:num>
  <w:num w:numId="15" w16cid:durableId="739253506">
    <w:abstractNumId w:val="21"/>
  </w:num>
  <w:num w:numId="16" w16cid:durableId="2082361136">
    <w:abstractNumId w:val="5"/>
  </w:num>
  <w:num w:numId="17" w16cid:durableId="355695957">
    <w:abstractNumId w:val="22"/>
  </w:num>
  <w:num w:numId="18" w16cid:durableId="2075346084">
    <w:abstractNumId w:val="14"/>
  </w:num>
  <w:num w:numId="19" w16cid:durableId="589389313">
    <w:abstractNumId w:val="28"/>
  </w:num>
  <w:num w:numId="20" w16cid:durableId="995692526">
    <w:abstractNumId w:val="11"/>
  </w:num>
  <w:num w:numId="21" w16cid:durableId="2047832488">
    <w:abstractNumId w:val="9"/>
  </w:num>
  <w:num w:numId="22" w16cid:durableId="1966158096">
    <w:abstractNumId w:val="13"/>
  </w:num>
  <w:num w:numId="23" w16cid:durableId="745615305">
    <w:abstractNumId w:val="19"/>
  </w:num>
  <w:num w:numId="24" w16cid:durableId="985548760">
    <w:abstractNumId w:val="26"/>
  </w:num>
  <w:num w:numId="25" w16cid:durableId="1143086885">
    <w:abstractNumId w:val="4"/>
  </w:num>
  <w:num w:numId="26" w16cid:durableId="494954196">
    <w:abstractNumId w:val="16"/>
  </w:num>
  <w:num w:numId="27" w16cid:durableId="485364641">
    <w:abstractNumId w:val="20"/>
  </w:num>
  <w:num w:numId="28" w16cid:durableId="745499753">
    <w:abstractNumId w:val="27"/>
  </w:num>
  <w:num w:numId="29" w16cid:durableId="781338795">
    <w:abstractNumId w:val="24"/>
  </w:num>
  <w:num w:numId="30" w16cid:durableId="7242530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1C48"/>
    <w:rsid w:val="000A47FA"/>
    <w:rsid w:val="000A65D3"/>
    <w:rsid w:val="000B1E33"/>
    <w:rsid w:val="000C1988"/>
    <w:rsid w:val="000D53DC"/>
    <w:rsid w:val="000D689F"/>
    <w:rsid w:val="000E7B7B"/>
    <w:rsid w:val="000E7D62"/>
    <w:rsid w:val="00103357"/>
    <w:rsid w:val="00123C9F"/>
    <w:rsid w:val="00126190"/>
    <w:rsid w:val="00130F17"/>
    <w:rsid w:val="001320BF"/>
    <w:rsid w:val="00163BC4"/>
    <w:rsid w:val="00191062"/>
    <w:rsid w:val="00192B72"/>
    <w:rsid w:val="001A29D8"/>
    <w:rsid w:val="001A30DA"/>
    <w:rsid w:val="001A5CAA"/>
    <w:rsid w:val="001A5CEE"/>
    <w:rsid w:val="001A762D"/>
    <w:rsid w:val="001B0427"/>
    <w:rsid w:val="001D3A51"/>
    <w:rsid w:val="001E10D2"/>
    <w:rsid w:val="001E25B4"/>
    <w:rsid w:val="001E44FE"/>
    <w:rsid w:val="00200595"/>
    <w:rsid w:val="00204835"/>
    <w:rsid w:val="00231920"/>
    <w:rsid w:val="0023195C"/>
    <w:rsid w:val="0024282C"/>
    <w:rsid w:val="002460DC"/>
    <w:rsid w:val="00250985"/>
    <w:rsid w:val="002556F6"/>
    <w:rsid w:val="002575D9"/>
    <w:rsid w:val="00283105"/>
    <w:rsid w:val="00284C4C"/>
    <w:rsid w:val="00287E68"/>
    <w:rsid w:val="002949A1"/>
    <w:rsid w:val="00296529"/>
    <w:rsid w:val="002B1A56"/>
    <w:rsid w:val="002B27FB"/>
    <w:rsid w:val="002B685A"/>
    <w:rsid w:val="002C57D2"/>
    <w:rsid w:val="002E0D56"/>
    <w:rsid w:val="00315186"/>
    <w:rsid w:val="00320632"/>
    <w:rsid w:val="0033343E"/>
    <w:rsid w:val="003512C2"/>
    <w:rsid w:val="00371FB6"/>
    <w:rsid w:val="003763C1"/>
    <w:rsid w:val="00376BBE"/>
    <w:rsid w:val="00384565"/>
    <w:rsid w:val="0039224F"/>
    <w:rsid w:val="003A43A4"/>
    <w:rsid w:val="003A7E18"/>
    <w:rsid w:val="003C4C86"/>
    <w:rsid w:val="003C6258"/>
    <w:rsid w:val="003E0BB3"/>
    <w:rsid w:val="003E2904"/>
    <w:rsid w:val="003F1015"/>
    <w:rsid w:val="00401927"/>
    <w:rsid w:val="0041027F"/>
    <w:rsid w:val="00412475"/>
    <w:rsid w:val="00423789"/>
    <w:rsid w:val="00440F43"/>
    <w:rsid w:val="00441B6F"/>
    <w:rsid w:val="00446221"/>
    <w:rsid w:val="00450E62"/>
    <w:rsid w:val="004539DB"/>
    <w:rsid w:val="0045601C"/>
    <w:rsid w:val="00457225"/>
    <w:rsid w:val="00471A80"/>
    <w:rsid w:val="00492E97"/>
    <w:rsid w:val="004A598C"/>
    <w:rsid w:val="004D305E"/>
    <w:rsid w:val="004D4277"/>
    <w:rsid w:val="004D6658"/>
    <w:rsid w:val="004F3D71"/>
    <w:rsid w:val="00502516"/>
    <w:rsid w:val="00505F06"/>
    <w:rsid w:val="00506828"/>
    <w:rsid w:val="0053056E"/>
    <w:rsid w:val="005334AC"/>
    <w:rsid w:val="00554E02"/>
    <w:rsid w:val="00554FDA"/>
    <w:rsid w:val="005A43D7"/>
    <w:rsid w:val="005C0985"/>
    <w:rsid w:val="005C784C"/>
    <w:rsid w:val="005D17DF"/>
    <w:rsid w:val="005D17F6"/>
    <w:rsid w:val="005E5539"/>
    <w:rsid w:val="00602BF5"/>
    <w:rsid w:val="00617FDD"/>
    <w:rsid w:val="0062235F"/>
    <w:rsid w:val="00633614"/>
    <w:rsid w:val="00633F68"/>
    <w:rsid w:val="006356BC"/>
    <w:rsid w:val="00636EB2"/>
    <w:rsid w:val="006375B8"/>
    <w:rsid w:val="006462DA"/>
    <w:rsid w:val="0066510A"/>
    <w:rsid w:val="00673F9F"/>
    <w:rsid w:val="00686953"/>
    <w:rsid w:val="00687DEA"/>
    <w:rsid w:val="00687E67"/>
    <w:rsid w:val="006967F7"/>
    <w:rsid w:val="006A250C"/>
    <w:rsid w:val="006B21D3"/>
    <w:rsid w:val="006B43E3"/>
    <w:rsid w:val="006B57D0"/>
    <w:rsid w:val="006D30FF"/>
    <w:rsid w:val="006D6940"/>
    <w:rsid w:val="006F11EC"/>
    <w:rsid w:val="0070082C"/>
    <w:rsid w:val="0071580F"/>
    <w:rsid w:val="007369E6"/>
    <w:rsid w:val="00746E59"/>
    <w:rsid w:val="00754C9A"/>
    <w:rsid w:val="0075599A"/>
    <w:rsid w:val="00761D52"/>
    <w:rsid w:val="0077749E"/>
    <w:rsid w:val="00790ADA"/>
    <w:rsid w:val="007A2F43"/>
    <w:rsid w:val="007D2288"/>
    <w:rsid w:val="007E088F"/>
    <w:rsid w:val="007F7B32"/>
    <w:rsid w:val="00804BC2"/>
    <w:rsid w:val="0081431A"/>
    <w:rsid w:val="008316A2"/>
    <w:rsid w:val="0083216F"/>
    <w:rsid w:val="008443F6"/>
    <w:rsid w:val="00860000"/>
    <w:rsid w:val="00863BD3"/>
    <w:rsid w:val="008641ED"/>
    <w:rsid w:val="00866D66"/>
    <w:rsid w:val="008671C6"/>
    <w:rsid w:val="00875803"/>
    <w:rsid w:val="00877D47"/>
    <w:rsid w:val="00880F0F"/>
    <w:rsid w:val="008B459E"/>
    <w:rsid w:val="008C7D5A"/>
    <w:rsid w:val="008E13AE"/>
    <w:rsid w:val="008E1506"/>
    <w:rsid w:val="008E710C"/>
    <w:rsid w:val="008F69D6"/>
    <w:rsid w:val="00902823"/>
    <w:rsid w:val="0090468B"/>
    <w:rsid w:val="00915CA6"/>
    <w:rsid w:val="00927834"/>
    <w:rsid w:val="009500A6"/>
    <w:rsid w:val="00957C18"/>
    <w:rsid w:val="009659BA"/>
    <w:rsid w:val="00983040"/>
    <w:rsid w:val="009B3FB9"/>
    <w:rsid w:val="009C2465"/>
    <w:rsid w:val="009D35A0"/>
    <w:rsid w:val="009D7EB7"/>
    <w:rsid w:val="009E048A"/>
    <w:rsid w:val="009E08E9"/>
    <w:rsid w:val="009E2A1D"/>
    <w:rsid w:val="009E3DB9"/>
    <w:rsid w:val="009E6E35"/>
    <w:rsid w:val="009F0EDA"/>
    <w:rsid w:val="00A03B96"/>
    <w:rsid w:val="00A05B19"/>
    <w:rsid w:val="00A1134E"/>
    <w:rsid w:val="00A24E7E"/>
    <w:rsid w:val="00A258C3"/>
    <w:rsid w:val="00A347C0"/>
    <w:rsid w:val="00A51431"/>
    <w:rsid w:val="00A539AD"/>
    <w:rsid w:val="00A54AAF"/>
    <w:rsid w:val="00A74007"/>
    <w:rsid w:val="00A87D24"/>
    <w:rsid w:val="00A94063"/>
    <w:rsid w:val="00AA6219"/>
    <w:rsid w:val="00AA74E0"/>
    <w:rsid w:val="00AB703F"/>
    <w:rsid w:val="00AC6BB8"/>
    <w:rsid w:val="00AE008F"/>
    <w:rsid w:val="00B01FCD"/>
    <w:rsid w:val="00B1776C"/>
    <w:rsid w:val="00B4373F"/>
    <w:rsid w:val="00B52583"/>
    <w:rsid w:val="00B52896"/>
    <w:rsid w:val="00B74464"/>
    <w:rsid w:val="00B95236"/>
    <w:rsid w:val="00B96BD9"/>
    <w:rsid w:val="00BA1B01"/>
    <w:rsid w:val="00BA2641"/>
    <w:rsid w:val="00BB37AA"/>
    <w:rsid w:val="00BC38CA"/>
    <w:rsid w:val="00BC53A0"/>
    <w:rsid w:val="00BE31B0"/>
    <w:rsid w:val="00BE62AD"/>
    <w:rsid w:val="00BF121F"/>
    <w:rsid w:val="00BF1F80"/>
    <w:rsid w:val="00BF331E"/>
    <w:rsid w:val="00C166EF"/>
    <w:rsid w:val="00C17EB0"/>
    <w:rsid w:val="00C26A45"/>
    <w:rsid w:val="00C27F5F"/>
    <w:rsid w:val="00C30A0F"/>
    <w:rsid w:val="00C34DE4"/>
    <w:rsid w:val="00C37E61"/>
    <w:rsid w:val="00C55421"/>
    <w:rsid w:val="00C70F1B"/>
    <w:rsid w:val="00C71A47"/>
    <w:rsid w:val="00C7464C"/>
    <w:rsid w:val="00C83E31"/>
    <w:rsid w:val="00C85588"/>
    <w:rsid w:val="00CD6755"/>
    <w:rsid w:val="00CD6856"/>
    <w:rsid w:val="00CE0089"/>
    <w:rsid w:val="00CE793C"/>
    <w:rsid w:val="00CF193C"/>
    <w:rsid w:val="00D05EB6"/>
    <w:rsid w:val="00D06EF3"/>
    <w:rsid w:val="00D173F1"/>
    <w:rsid w:val="00D40232"/>
    <w:rsid w:val="00D6400C"/>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6A81"/>
    <w:rsid w:val="00EA012C"/>
    <w:rsid w:val="00EA0C47"/>
    <w:rsid w:val="00EC6A55"/>
    <w:rsid w:val="00ED0288"/>
    <w:rsid w:val="00EE52CB"/>
    <w:rsid w:val="00EF581D"/>
    <w:rsid w:val="00EF7FD8"/>
    <w:rsid w:val="00F06F59"/>
    <w:rsid w:val="00F104D9"/>
    <w:rsid w:val="00F17988"/>
    <w:rsid w:val="00F469F0"/>
    <w:rsid w:val="00F53273"/>
    <w:rsid w:val="00F755E4"/>
    <w:rsid w:val="00F77D02"/>
    <w:rsid w:val="00F84E7C"/>
    <w:rsid w:val="00FB3A86"/>
    <w:rsid w:val="00FD36C8"/>
    <w:rsid w:val="00FE7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95A5A4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D640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6400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7A2F43"/>
    <w:pPr>
      <w:spacing w:before="100" w:beforeAutospacing="1" w:after="100" w:afterAutospacing="1"/>
    </w:pPr>
    <w:rPr>
      <w:rFonts w:ascii="Times New Roman" w:hAnsi="Times New Roman"/>
      <w:sz w:val="24"/>
      <w:szCs w:val="24"/>
      <w:lang w:val="en-ID"/>
    </w:rPr>
  </w:style>
  <w:style w:type="character" w:customStyle="1" w:styleId="whitespace-normal">
    <w:name w:val="whitespace-normal"/>
    <w:basedOn w:val="DefaultParagraphFont"/>
    <w:rsid w:val="00A87D24"/>
  </w:style>
  <w:style w:type="paragraph" w:styleId="NoSpacing">
    <w:name w:val="No Spacing"/>
    <w:uiPriority w:val="1"/>
    <w:qFormat/>
    <w:rsid w:val="006356BC"/>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77/0149206310388419" TargetMode="External"/><Relationship Id="rId26" Type="http://schemas.openxmlformats.org/officeDocument/2006/relationships/hyperlink" Target="https://www.pwc.com" TargetMode="External"/><Relationship Id="rId3" Type="http://schemas.openxmlformats.org/officeDocument/2006/relationships/styles" Target="styles.xml"/><Relationship Id="rId21" Type="http://schemas.openxmlformats.org/officeDocument/2006/relationships/hyperlink" Target="https://www.globalreporting.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0551-017-3667-3" TargetMode="External"/><Relationship Id="rId25" Type="http://schemas.openxmlformats.org/officeDocument/2006/relationships/hyperlink" Target="https://doi.org/10.20527/jee.v5i1.11870" TargetMode="External"/><Relationship Id="rId2" Type="http://schemas.openxmlformats.org/officeDocument/2006/relationships/numbering" Target="numbering.xml"/><Relationship Id="rId16" Type="http://schemas.openxmlformats.org/officeDocument/2006/relationships/hyperlink" Target="https://doi.org/10.2307/2490232" TargetMode="External"/><Relationship Id="rId20" Type="http://schemas.openxmlformats.org/officeDocument/2006/relationships/hyperlink" Target="https://doi.org/10.1080/20430795.2015.1118917" TargetMode="External"/><Relationship Id="rId29" Type="http://schemas.openxmlformats.org/officeDocument/2006/relationships/hyperlink" Target="https://doi.org/10.57178/atestasi.v7i2.8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1070/ups.8171" TargetMode="External"/><Relationship Id="rId5" Type="http://schemas.openxmlformats.org/officeDocument/2006/relationships/webSettings" Target="webSettings.xml"/><Relationship Id="rId15" Type="http://schemas.openxmlformats.org/officeDocument/2006/relationships/hyperlink" Target="https://doi.org/10.1016/j.bir.2022.11.006" TargetMode="External"/><Relationship Id="rId23" Type="http://schemas.openxmlformats.org/officeDocument/2006/relationships/hyperlink" Target="https://doi.org/10.1108/AJAR-12-2023-0403" TargetMode="External"/><Relationship Id="rId28" Type="http://schemas.openxmlformats.org/officeDocument/2006/relationships/hyperlink" Target="https://doi.org/10.1016/j.frl.2023.104101" TargetMode="External"/><Relationship Id="rId10" Type="http://schemas.openxmlformats.org/officeDocument/2006/relationships/footer" Target="footer1.xml"/><Relationship Id="rId19" Type="http://schemas.openxmlformats.org/officeDocument/2006/relationships/hyperlink" Target="https://doi.org/10.2307/232548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4843/EJA.2018.v24.i02.p25" TargetMode="External"/><Relationship Id="rId22" Type="http://schemas.openxmlformats.org/officeDocument/2006/relationships/hyperlink" Target="http://dx.doi.org/10.2991/assehr.k.220101.020" TargetMode="External"/><Relationship Id="rId27" Type="http://schemas.openxmlformats.org/officeDocument/2006/relationships/hyperlink" Target="http://www.jstor.org/stable/1882010"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C8F2E-ADB4-463B-BA0F-A27B2BD88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55</TotalTime>
  <Pages>15</Pages>
  <Words>6805</Words>
  <Characters>38791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45505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DFW</cp:lastModifiedBy>
  <cp:revision>55</cp:revision>
  <cp:lastPrinted>1999-07-06T11:00:00Z</cp:lastPrinted>
  <dcterms:created xsi:type="dcterms:W3CDTF">2014-10-25T14:34:00Z</dcterms:created>
  <dcterms:modified xsi:type="dcterms:W3CDTF">2026-05-11T02:09:00Z</dcterms:modified>
</cp:coreProperties>
</file>