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1D0D" w14:textId="0AA0ED7D" w:rsidR="00305E06" w:rsidRDefault="00305E06" w:rsidP="00301036">
      <w:pPr>
        <w:spacing w:after="0" w:line="240" w:lineRule="auto"/>
        <w:jc w:val="center"/>
        <w:rPr>
          <w:rFonts w:ascii="Arial" w:hAnsi="Arial" w:cs="Arial"/>
          <w:b/>
          <w:bCs/>
          <w:sz w:val="24"/>
          <w:szCs w:val="24"/>
        </w:rPr>
      </w:pPr>
      <w:r w:rsidRPr="00305E06">
        <w:rPr>
          <w:rFonts w:ascii="Arial" w:hAnsi="Arial" w:cs="Arial"/>
          <w:b/>
          <w:bCs/>
          <w:sz w:val="24"/>
          <w:szCs w:val="24"/>
        </w:rPr>
        <w:t>Evaluating the Trade</w:t>
      </w:r>
      <w:r>
        <w:rPr>
          <w:rFonts w:ascii="Arial" w:hAnsi="Arial" w:cs="Arial"/>
          <w:b/>
          <w:bCs/>
          <w:sz w:val="24"/>
          <w:szCs w:val="24"/>
        </w:rPr>
        <w:t>-</w:t>
      </w:r>
      <w:r w:rsidRPr="00305E06">
        <w:rPr>
          <w:rFonts w:ascii="Arial" w:hAnsi="Arial" w:cs="Arial"/>
          <w:b/>
          <w:bCs/>
          <w:sz w:val="24"/>
          <w:szCs w:val="24"/>
        </w:rPr>
        <w:t>Growth Nexus in India Using Hybrid Econometrics and Explainable Machine Learning</w:t>
      </w:r>
    </w:p>
    <w:p w14:paraId="1174B332" w14:textId="77777777" w:rsidR="00DC4D54" w:rsidRDefault="00DC4D54" w:rsidP="00301036">
      <w:pPr>
        <w:spacing w:after="0" w:line="240" w:lineRule="auto"/>
        <w:jc w:val="center"/>
        <w:rPr>
          <w:rFonts w:ascii="Arial" w:hAnsi="Arial" w:cs="Arial"/>
          <w:b/>
          <w:bCs/>
          <w:sz w:val="24"/>
          <w:szCs w:val="24"/>
        </w:rPr>
      </w:pPr>
    </w:p>
    <w:p w14:paraId="6F4E9D22" w14:textId="1572F9C7" w:rsidR="00316EC6" w:rsidRDefault="00316EC6" w:rsidP="00301036">
      <w:pPr>
        <w:spacing w:after="0" w:line="240" w:lineRule="auto"/>
        <w:rPr>
          <w:rFonts w:ascii="Arial" w:hAnsi="Arial" w:cs="Arial"/>
          <w:b/>
          <w:bCs/>
          <w:sz w:val="24"/>
          <w:szCs w:val="24"/>
        </w:rPr>
      </w:pPr>
    </w:p>
    <w:p w14:paraId="76E50C73" w14:textId="18D3618D" w:rsidR="008D3C04" w:rsidRDefault="008D0945" w:rsidP="00301036">
      <w:pPr>
        <w:spacing w:after="0" w:line="240" w:lineRule="auto"/>
        <w:rPr>
          <w:rFonts w:ascii="Arial" w:hAnsi="Arial" w:cs="Arial"/>
          <w:b/>
          <w:bCs/>
          <w:sz w:val="24"/>
          <w:szCs w:val="24"/>
        </w:rPr>
      </w:pPr>
      <w:r w:rsidRPr="008D0945">
        <w:rPr>
          <w:rFonts w:ascii="Arial" w:hAnsi="Arial" w:cs="Arial"/>
          <w:b/>
          <w:bCs/>
          <w:sz w:val="24"/>
          <w:szCs w:val="24"/>
        </w:rPr>
        <w:t>Original Research Article</w:t>
      </w:r>
    </w:p>
    <w:p w14:paraId="69411D65" w14:textId="77777777" w:rsidR="008D0945" w:rsidRDefault="008D0945" w:rsidP="00301036">
      <w:pPr>
        <w:spacing w:after="0" w:line="240" w:lineRule="auto"/>
        <w:rPr>
          <w:rFonts w:ascii="Arial" w:hAnsi="Arial" w:cs="Arial"/>
          <w:b/>
          <w:bCs/>
          <w:sz w:val="24"/>
          <w:szCs w:val="24"/>
        </w:rPr>
      </w:pPr>
    </w:p>
    <w:p w14:paraId="4A409990" w14:textId="00521D77" w:rsidR="00301036" w:rsidRDefault="00301036" w:rsidP="00301036">
      <w:pPr>
        <w:spacing w:after="0" w:line="240" w:lineRule="auto"/>
        <w:rPr>
          <w:rFonts w:ascii="Arial" w:hAnsi="Arial" w:cs="Arial"/>
          <w:b/>
          <w:bCs/>
          <w:sz w:val="24"/>
          <w:szCs w:val="24"/>
        </w:rPr>
      </w:pPr>
      <w:r>
        <w:rPr>
          <w:rFonts w:ascii="Arial" w:hAnsi="Arial" w:cs="Arial"/>
          <w:b/>
          <w:bCs/>
          <w:sz w:val="24"/>
          <w:szCs w:val="24"/>
        </w:rPr>
        <w:t>Abstract</w:t>
      </w:r>
    </w:p>
    <w:p w14:paraId="12A6F878" w14:textId="3F9BA2C6" w:rsidR="009E48E5" w:rsidRPr="009E48E5" w:rsidRDefault="009E48E5" w:rsidP="009E48E5">
      <w:pPr>
        <w:spacing w:after="0" w:line="240" w:lineRule="auto"/>
        <w:jc w:val="both"/>
        <w:rPr>
          <w:rFonts w:ascii="Arial" w:hAnsi="Arial" w:cs="Arial"/>
          <w:sz w:val="20"/>
          <w:szCs w:val="20"/>
        </w:rPr>
      </w:pPr>
      <w:r w:rsidRPr="009E48E5">
        <w:rPr>
          <w:rFonts w:ascii="Arial" w:hAnsi="Arial" w:cs="Arial"/>
          <w:sz w:val="20"/>
          <w:szCs w:val="20"/>
        </w:rPr>
        <w:t xml:space="preserve">This paper examines the relationship between trade openness and economic growth in India using annual data from 1975 to 2024. ARDL and NARDL models estimate long-run equilibrium and test for asymmetric adjustment; Random Forest and </w:t>
      </w:r>
      <w:proofErr w:type="spellStart"/>
      <w:r w:rsidRPr="009E48E5">
        <w:rPr>
          <w:rFonts w:ascii="Arial" w:hAnsi="Arial" w:cs="Arial"/>
          <w:sz w:val="20"/>
          <w:szCs w:val="20"/>
        </w:rPr>
        <w:t>XGBoost</w:t>
      </w:r>
      <w:proofErr w:type="spellEnd"/>
      <w:r w:rsidRPr="009E48E5">
        <w:rPr>
          <w:rFonts w:ascii="Arial" w:hAnsi="Arial" w:cs="Arial"/>
          <w:sz w:val="20"/>
          <w:szCs w:val="20"/>
        </w:rPr>
        <w:t xml:space="preserve"> models provide predictive benchmarks, with SHAP values used to interpret feature contributions.</w:t>
      </w:r>
      <w:r>
        <w:rPr>
          <w:rFonts w:ascii="Arial" w:hAnsi="Arial" w:cs="Arial"/>
          <w:sz w:val="20"/>
          <w:szCs w:val="20"/>
        </w:rPr>
        <w:t xml:space="preserve"> </w:t>
      </w:r>
      <w:r w:rsidRPr="009E48E5">
        <w:rPr>
          <w:rFonts w:ascii="Arial" w:hAnsi="Arial" w:cs="Arial"/>
          <w:sz w:val="20"/>
          <w:szCs w:val="20"/>
        </w:rPr>
        <w:t>The ARDL results confirm a stable cointegrating relationship. World GDP growth has a positive and significant effect on domestic output (β = 0.657, p &lt; 0.05), and gross capital formation contributes positively at a weaker level (β = 0.130, p &lt; 0.10). The error correction term (ECT = −1.197, p &lt; 0.01) indicates fairly rapid reversion toward equilibrium following a shock.</w:t>
      </w:r>
      <w:r>
        <w:rPr>
          <w:rFonts w:ascii="Arial" w:hAnsi="Arial" w:cs="Arial"/>
          <w:sz w:val="20"/>
          <w:szCs w:val="20"/>
        </w:rPr>
        <w:t xml:space="preserve"> </w:t>
      </w:r>
      <w:r w:rsidRPr="009E48E5">
        <w:rPr>
          <w:rFonts w:ascii="Arial" w:hAnsi="Arial" w:cs="Arial"/>
          <w:sz w:val="20"/>
          <w:szCs w:val="20"/>
        </w:rPr>
        <w:t>NARDL estimates show sign differences between the effects of positive and negative trade shocks, but a Wald test fails to reject symmetry (p = 0.522). The asymmetry, in other words, is apparent rather than statistically meaningful. Trade openness also does not register as a significant short-run growth driver. Among the models tested, NARDL edges out ARDL on prediction error (RMSE = 2.59 vs. 2.74), while both machine learning models perform worse (</w:t>
      </w:r>
      <w:proofErr w:type="spellStart"/>
      <w:r w:rsidRPr="009E48E5">
        <w:rPr>
          <w:rFonts w:ascii="Arial" w:hAnsi="Arial" w:cs="Arial"/>
          <w:sz w:val="20"/>
          <w:szCs w:val="20"/>
        </w:rPr>
        <w:t>XGBoost</w:t>
      </w:r>
      <w:proofErr w:type="spellEnd"/>
      <w:r w:rsidRPr="009E48E5">
        <w:rPr>
          <w:rFonts w:ascii="Arial" w:hAnsi="Arial" w:cs="Arial"/>
          <w:sz w:val="20"/>
          <w:szCs w:val="20"/>
        </w:rPr>
        <w:t>: 3.77; Random Forest: 3.89). SHAP analysis identifies lagged trade openness, global growth, and capital formation as the dominant contributors.</w:t>
      </w:r>
      <w:r w:rsidR="00305E06">
        <w:rPr>
          <w:rFonts w:ascii="Arial" w:hAnsi="Arial" w:cs="Arial"/>
          <w:sz w:val="20"/>
          <w:szCs w:val="20"/>
        </w:rPr>
        <w:t xml:space="preserve"> </w:t>
      </w:r>
      <w:r w:rsidRPr="009E48E5">
        <w:rPr>
          <w:rFonts w:ascii="Arial" w:hAnsi="Arial" w:cs="Arial"/>
          <w:sz w:val="20"/>
          <w:szCs w:val="20"/>
        </w:rPr>
        <w:t xml:space="preserve">Trade openness is associated with growth in India, but the relationship is conditional. Global economic conditions and domestic investment drive outcomes more consistently </w:t>
      </w:r>
      <w:r>
        <w:rPr>
          <w:rFonts w:ascii="Arial" w:hAnsi="Arial" w:cs="Arial"/>
          <w:sz w:val="20"/>
          <w:szCs w:val="20"/>
        </w:rPr>
        <w:t>-</w:t>
      </w:r>
      <w:r w:rsidRPr="009E48E5">
        <w:rPr>
          <w:rFonts w:ascii="Arial" w:hAnsi="Arial" w:cs="Arial"/>
          <w:sz w:val="20"/>
          <w:szCs w:val="20"/>
        </w:rPr>
        <w:t xml:space="preserve"> a finding that argues for stable trade policy and attention to underlying macroeconomic fundamentals.</w:t>
      </w:r>
    </w:p>
    <w:p w14:paraId="2D0F0E38" w14:textId="77777777" w:rsidR="00DC4D54" w:rsidRDefault="00DC4D54" w:rsidP="00DC4D54">
      <w:pPr>
        <w:spacing w:after="0" w:line="240" w:lineRule="auto"/>
        <w:jc w:val="both"/>
        <w:rPr>
          <w:rFonts w:ascii="Arial" w:hAnsi="Arial" w:cs="Arial"/>
          <w:sz w:val="20"/>
          <w:szCs w:val="20"/>
        </w:rPr>
      </w:pPr>
    </w:p>
    <w:p w14:paraId="43770BED" w14:textId="5FCE6CCB" w:rsidR="00301036" w:rsidRPr="00301036" w:rsidRDefault="00301036" w:rsidP="00DC4D54">
      <w:pPr>
        <w:spacing w:after="0" w:line="240" w:lineRule="auto"/>
        <w:jc w:val="both"/>
        <w:rPr>
          <w:rFonts w:ascii="Arial" w:hAnsi="Arial" w:cs="Arial"/>
          <w:sz w:val="20"/>
          <w:szCs w:val="20"/>
        </w:rPr>
      </w:pPr>
      <w:r w:rsidRPr="00301036">
        <w:rPr>
          <w:rFonts w:ascii="Arial" w:hAnsi="Arial" w:cs="Arial"/>
          <w:b/>
          <w:bCs/>
          <w:sz w:val="24"/>
          <w:szCs w:val="24"/>
        </w:rPr>
        <w:t>Key Words:</w:t>
      </w:r>
      <w:r w:rsidRPr="00301036">
        <w:rPr>
          <w:rFonts w:ascii="Times New Roman" w:eastAsia="Times New Roman" w:hAnsi="Times New Roman" w:cs="Times New Roman"/>
          <w:kern w:val="0"/>
          <w:sz w:val="24"/>
          <w:szCs w:val="24"/>
          <w:lang w:eastAsia="en-IN" w:bidi="ar-SA"/>
          <w14:ligatures w14:val="none"/>
        </w:rPr>
        <w:t xml:space="preserve"> </w:t>
      </w:r>
      <w:r w:rsidRPr="00301036">
        <w:rPr>
          <w:rFonts w:ascii="Arial" w:hAnsi="Arial" w:cs="Arial"/>
          <w:sz w:val="20"/>
          <w:szCs w:val="20"/>
        </w:rPr>
        <w:t>Trade openness; Economic growth; Asymmetric effects; Nonlinear ARDL (NARDL); Machine learning; Explainable artificial intelligence (SHAP).</w:t>
      </w:r>
    </w:p>
    <w:p w14:paraId="273CF075" w14:textId="49115DE9" w:rsidR="00301036" w:rsidRPr="00301036" w:rsidRDefault="00301036" w:rsidP="00DC4D54">
      <w:pPr>
        <w:spacing w:after="0" w:line="240" w:lineRule="auto"/>
        <w:jc w:val="both"/>
        <w:rPr>
          <w:rFonts w:ascii="Arial" w:hAnsi="Arial" w:cs="Arial"/>
          <w:sz w:val="20"/>
          <w:szCs w:val="20"/>
        </w:rPr>
      </w:pPr>
    </w:p>
    <w:p w14:paraId="117B14AE" w14:textId="77777777" w:rsidR="00154D62" w:rsidRPr="006616B1" w:rsidRDefault="00154D62" w:rsidP="00DC4D54">
      <w:pPr>
        <w:spacing w:after="0" w:line="240" w:lineRule="auto"/>
        <w:ind w:left="360"/>
        <w:jc w:val="both"/>
        <w:rPr>
          <w:rFonts w:ascii="Arial" w:hAnsi="Arial" w:cs="Arial"/>
          <w:b/>
          <w:bCs/>
        </w:rPr>
      </w:pPr>
    </w:p>
    <w:p w14:paraId="58E162B4" w14:textId="3DB0108C" w:rsidR="006616B1" w:rsidRDefault="006616B1" w:rsidP="00DC4D54">
      <w:pPr>
        <w:spacing w:after="0" w:line="240" w:lineRule="auto"/>
        <w:jc w:val="both"/>
        <w:rPr>
          <w:rFonts w:ascii="Arial" w:hAnsi="Arial" w:cs="Arial"/>
          <w:b/>
          <w:bCs/>
        </w:rPr>
      </w:pPr>
      <w:r>
        <w:rPr>
          <w:rFonts w:ascii="Arial" w:hAnsi="Arial" w:cs="Arial"/>
          <w:b/>
          <w:bCs/>
        </w:rPr>
        <w:t>1.</w:t>
      </w:r>
      <w:r w:rsidRPr="006616B1">
        <w:rPr>
          <w:rFonts w:ascii="Arial" w:hAnsi="Arial" w:cs="Arial"/>
          <w:b/>
          <w:bCs/>
        </w:rPr>
        <w:t>Introduction</w:t>
      </w:r>
    </w:p>
    <w:p w14:paraId="3EA91C18" w14:textId="655ADE74" w:rsidR="006616B1" w:rsidRPr="006616B1" w:rsidRDefault="00B312AE" w:rsidP="00DC4D54">
      <w:pPr>
        <w:widowControl w:val="0"/>
        <w:spacing w:line="240" w:lineRule="auto"/>
        <w:jc w:val="both"/>
        <w:rPr>
          <w:rFonts w:ascii="Arial" w:hAnsi="Arial" w:cs="Arial"/>
          <w:sz w:val="20"/>
          <w:szCs w:val="20"/>
        </w:rPr>
      </w:pPr>
      <w:r w:rsidRPr="00B312AE">
        <w:rPr>
          <w:rFonts w:ascii="Arial" w:hAnsi="Arial" w:cs="Arial"/>
          <w:sz w:val="20"/>
          <w:szCs w:val="20"/>
        </w:rPr>
        <w:t>Global evidence on the trade–growth relationship is mixed. Results vary across developed and developing economies, shaped by institutional quality, trade structure, and macroeconomic conditions. In developing economies, trade openness generally tracks with growth</w:t>
      </w:r>
      <w:r>
        <w:rPr>
          <w:rFonts w:ascii="Arial" w:hAnsi="Arial" w:cs="Arial"/>
          <w:sz w:val="20"/>
          <w:szCs w:val="20"/>
        </w:rPr>
        <w:t>,</w:t>
      </w:r>
      <w:r w:rsidRPr="00B312AE">
        <w:rPr>
          <w:rFonts w:ascii="Arial" w:hAnsi="Arial" w:cs="Arial"/>
          <w:sz w:val="20"/>
          <w:szCs w:val="20"/>
        </w:rPr>
        <w:t xml:space="preserve"> but the relationship is uneven, and external shocks or weak domestic fundamentals can easily disrupt it.</w:t>
      </w:r>
      <w:r>
        <w:rPr>
          <w:rFonts w:ascii="Arial" w:hAnsi="Arial" w:cs="Arial"/>
          <w:sz w:val="20"/>
          <w:szCs w:val="20"/>
        </w:rPr>
        <w:t xml:space="preserve"> </w:t>
      </w:r>
      <w:r w:rsidR="006616B1" w:rsidRPr="006616B1">
        <w:rPr>
          <w:rFonts w:ascii="Arial" w:hAnsi="Arial" w:cs="Arial"/>
          <w:sz w:val="20"/>
          <w:szCs w:val="20"/>
        </w:rPr>
        <w:t>India is a useful place to examine the trade</w:t>
      </w:r>
      <w:r>
        <w:rPr>
          <w:rFonts w:ascii="Arial" w:hAnsi="Arial" w:cs="Arial"/>
          <w:sz w:val="20"/>
          <w:szCs w:val="20"/>
        </w:rPr>
        <w:t>-</w:t>
      </w:r>
      <w:r w:rsidR="006616B1" w:rsidRPr="006616B1">
        <w:rPr>
          <w:rFonts w:ascii="Arial" w:hAnsi="Arial" w:cs="Arial"/>
          <w:sz w:val="20"/>
          <w:szCs w:val="20"/>
        </w:rPr>
        <w:t xml:space="preserve">growth relationship, partly because the 1991 liberalization was abrupt enough to study and consequential enough to matter. Production structure, </w:t>
      </w:r>
      <w:proofErr w:type="spellStart"/>
      <w:r w:rsidR="006616B1" w:rsidRPr="006616B1">
        <w:rPr>
          <w:rFonts w:ascii="Arial" w:hAnsi="Arial" w:cs="Arial"/>
          <w:sz w:val="20"/>
          <w:szCs w:val="20"/>
        </w:rPr>
        <w:t>labor</w:t>
      </w:r>
      <w:proofErr w:type="spellEnd"/>
      <w:r w:rsidR="006616B1" w:rsidRPr="006616B1">
        <w:rPr>
          <w:rFonts w:ascii="Arial" w:hAnsi="Arial" w:cs="Arial"/>
          <w:sz w:val="20"/>
          <w:szCs w:val="20"/>
        </w:rPr>
        <w:t xml:space="preserve"> markets, and trade flows all shifted in ways that made the external sector difficult to exclude from any serious growth analysis. The theoretical logic behind openness is well worn: global market access reallocates resources toward more productive uses, speeds technology transfer, and raises total factor productivity (Sachs et al., 1995; Frankel &amp; Romer, 1999; Edwards, 1998)</w:t>
      </w:r>
      <w:sdt>
        <w:sdtPr>
          <w:rPr>
            <w:rFonts w:ascii="Arial" w:hAnsi="Arial" w:cs="Arial"/>
            <w:color w:val="000000"/>
            <w:sz w:val="20"/>
            <w:szCs w:val="20"/>
          </w:rPr>
          <w:tag w:val="MENDELEY_CITATION_v3_eyJjaXRhdGlvbklEIjoiTUVOREVMRVlfQ0lUQVRJT05fODU3MTk3YTAtZWM5Ny00MjI1LTk0OWYtNGM0MmQ3YjFmNTJlIiwicHJvcGVydGllcyI6eyJub3RlSW5kZXgiOjB9LCJpc0VkaXRlZCI6ZmFsc2UsIm1hbnVhbE92ZXJyaWRlIjp7ImlzTWFudWFsbHlPdmVycmlkZGVuIjpmYWxzZSwiY2l0ZXByb2NUZXh0IjoiWzFdIiwibWFudWFsT3ZlcnJpZGVUZXh0IjoiIn0sImNpdGF0aW9uSXRlbXMiOlt7ImlkIjoiNzM4OTM2YmEtZjM5OS0zZWU5LTk5OWEtNGYwNDk3Zjc3YmM5IiwiaXRlbURhdGEiOnsidHlwZSI6ImFydGljbGUtam91cm5hbCIsImlkIjoiNzM4OTM2YmEtZjM5OS0zZWU5LTk5OWEtNGYwNDk3Zjc3YmM5IiwidGl0bGUiOiJFY29ub21pYyBSZWZvcm0gYW5kIHRoZSBQcm9jZXNzIG9mIEdsb2JhbCBJbnRlZ3JhdGlvbiIsImF1dGhvciI6W3siZmFtaWx5IjoiU2FjaHMiLCJnaXZlbiI6IkplZmZyZXkiLCJwYXJzZS1uYW1lcyI6ZmFsc2UsImRyb3BwaW5nLXBhcnRpY2xlIjoiIiwibm9uLWRyb3BwaW5nLXBhcnRpY2xlIjoiIn0seyJmYW1pbHkiOiJXYXJuZXIiLCJnaXZlbiI6IkFuZHJldyIsInBhcnNlLW5hbWVzIjpmYWxzZSwiZHJvcHBpbmctcGFydGljbGUiOiIiLCJub24tZHJvcHBpbmctcGFydGljbGUiOiIifSx7ImZhbWlseSI6IsOFc2x1bmQiLCJnaXZlbiI6IkFuZGVycyIsInBhcnNlLW5hbWVzIjpmYWxzZSwiZHJvcHBpbmctcGFydGljbGUiOiIiLCJub24tZHJvcHBpbmctcGFydGljbGUiOiIifSx7ImZhbWlseSI6IkZpc2NoZXIiLCJnaXZlbiI6IlN0YW5sZXkiLCJwYXJzZS1uYW1lcyI6ZmFsc2UsImRyb3BwaW5nLXBhcnRpY2xlIjoiIiwibm9uLWRyb3BwaW5nLXBhcnRpY2xlIjoiIn1dLCJjb250YWluZXItdGl0bGUiOiJCcm9va2luZ3MgUGFwZXJzIG9uIEVjb25vbWljIEFjdGl2aXR5IiwiY29udGFpbmVyLXRpdGxlLXNob3J0IjoiQnJvb2tpbmdzIFBhcC4gRWNvbi4gQWN0LiIsIkRPSSI6IjEwLjIzMDcvMjUzNDU3MyIsImlzc3VlZCI6eyJkYXRlLXBhcnRzIjpbWzE5OTUsMSwxXV19LCJwYWdlIjoiMS0xMTgiLCJ2b2x1bWUiOiIxOTk1In0sImlzVGVtcG9yYXJ5IjpmYWxzZX1dfQ=="/>
          <w:id w:val="1433241816"/>
          <w:placeholder>
            <w:docPart w:val="DefaultPlaceholder_-1854013440"/>
          </w:placeholder>
        </w:sdtPr>
        <w:sdtContent>
          <w:r w:rsidR="00DC1AA6" w:rsidRPr="00DC1AA6">
            <w:rPr>
              <w:rFonts w:ascii="Arial" w:hAnsi="Arial" w:cs="Arial"/>
              <w:color w:val="000000"/>
              <w:sz w:val="20"/>
              <w:szCs w:val="20"/>
            </w:rPr>
            <w:t>[1]</w:t>
          </w:r>
        </w:sdtContent>
      </w:sdt>
      <w:r w:rsidR="00956E4C">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OWRhYjUwOWEtYWUzMy00NWNjLThiOGItM2U5OGNmNWZlM2IyIiwicHJvcGVydGllcyI6eyJub3RlSW5kZXgiOjB9LCJpc0VkaXRlZCI6ZmFsc2UsIm1hbnVhbE92ZXJyaWRlIjp7ImlzTWFudWFsbHlPdmVycmlkZGVuIjpmYWxzZSwiY2l0ZXByb2NUZXh0IjoiWzJdLCBbM10iLCJtYW51YWxPdmVycmlkZVRleHQiOiIifSwiY2l0YXRpb25JdGVtcyI6W3siaWQiOiIxNjBkMzFjYy00MjA5LTM5YzAtOTk2NS1jMzkwOTgyOWUxMjAiLCJpdGVtRGF0YSI6eyJ0eXBlIjoiYXJ0aWNsZS1qb3VybmFsIiwiaWQiOiIxNjBkMzFjYy00MjA5LTM5YzAtOTk2NS1jMzkwOTgyOWUxMjAiLCJ0aXRsZSI6IkRvZXMgVHJhZGUgQ2F1c2UgR3Jvd3RoPyIsImF1dGhvciI6W3siZmFtaWx5IjoiRnJhbmtlbCIsImdpdmVuIjoiSmVmZnJleSBBIiwicGFyc2UtbmFtZXMiOmZhbHNlLCJkcm9wcGluZy1wYXJ0aWNsZSI6IiIsIm5vbi1kcm9wcGluZy1wYXJ0aWNsZSI6IiJ9LHsiZmFtaWx5IjoiUm9tZXIiLCJnaXZlbiI6IkRhdmlkIEgiLCJwYXJzZS1uYW1lcyI6ZmFsc2UsImRyb3BwaW5nLXBhcnRpY2xlIjoiIiwibm9uLWRyb3BwaW5nLXBhcnRpY2xlIjoiIn1dLCJjb250YWluZXItdGl0bGUiOiJBbWVyaWNhbiBFY29ub21pYyBSZXZpZXciLCJET0kiOiIxMC4xMjU3L2Flci44OS4zLjM3OSIsIlVSTCI6Imh0dHBzOi8vd3d3LmFlYXdlYi5vcmcvYXJ0aWNsZXM/aWQ9MTAuMTI1Ny9hZXIuODkuMy4zNzkiLCJpc3N1ZWQiOnsiZGF0ZS1wYXJ0cyI6W1sxOTk5LDZdXX0sInBhZ2UiOiIzNzktMzk5IiwiaXNzdWUiOiIzIiwidm9sdW1lIjoiODkiLCJjb250YWluZXItdGl0bGUtc2hvcnQiOiIifSwiaXNUZW1wb3JhcnkiOmZhbHNlLCJzdXBwcmVzcy1hdXRob3IiOmZhbHNlLCJjb21wb3NpdGUiOmZhbHNlLCJhdXRob3Itb25seSI6ZmFsc2V9LHsiaWQiOiJjOWJkMjM2Zi0wNDJmLTMwOTMtOWQzOS0zOTM4ZWMzMmIyMzQiLCJpdGVtRGF0YSI6eyJ0eXBlIjoiYXJ0aWNsZS1qb3VybmFsIiwiaWQiOiJjOWJkMjM2Zi0wNDJmLTMwOTMtOWQzOS0zOTM4ZWMzMmIyMzQiLCJ0aXRsZSI6Ik9wZW5uZXNzLCBQcm9kdWN0aXZpdHkgYW5kIEdyb3d0aDogV2hhdCBEbyBXZSBSZWFsbHkgS25vdz8iLCJhdXRob3IiOlt7ImZhbWlseSI6IkVkd2FyZHMiLCJnaXZlbiI6IlNlYmFzdGlhbiIsInBhcnNlLW5hbWVzIjpmYWxzZSwiZHJvcHBpbmctcGFydGljbGUiOiIiLCJub24tZHJvcHBpbmctcGFydGljbGUiOiIifV0sImNvbnRhaW5lci10aXRsZSI6IkVjb25vbWljIEpvdXJuYWwiLCJET0kiOiJOb25lIiwiVVJMIjoiaHR0cHM6Ly9pZGVhcy5yZXBlYy5vcmcvYS9lY2ovZWNvbmpsL3YxMDh5MTk5OGk0NDdwMzgzLTk4Lmh0bWwiLCJpc3N1ZWQiOnsiZGF0ZS1wYXJ0cyI6W1sxOTk4LDNdXX0sInBhZ2UiOiIzODMtMzk4IiwiYWJzdHJhY3QiOiIgQ29tcGFyYXRpdmUgZGF0YSBmb3IgbmluZXR5LXRocmVlIGNvdW50cmllcyBhcmUgdXNlZCB0byBhbmFseXplIHRoZSByb2J1c3RuZXNzIG9mIHRoZSByZWxhdGlvbnNoaXAgYmV0d2VlbiBvcGVubmVzcyBhbmQgdG90YWwgZmFjdG9yIHByb2R1Y3Rpdml0eSBncm93dGguIE5pbmUgaW5kZXhlcyBvZiB0cmFkZSBwb2xpY3kgYXJlIHVzZWQgdG8gaW52ZXN0aWdhdGUgd2hldGhlciB0aGUgZXZpZGVuY2Ugc3VwcG9ydHMgdGhlIHZpZXcgdGhhdCB0b3RhbCBmYWN0b3IgcHJvZHVjdGl2aXR5IGdyb3d0aCBpcyBmYXN0ZXIgaW4gbW9yZSBvcGVuIGVjb25vbWllcy4gVGhlIHJlc3VsdHMgYXJlIHJvYnVzdCB0byB0aGUgdXNlIG9mIG9wZW5uZXNzIGluZGljYXRvciwgZXN0aW1hdGlvbiB0ZWNobmlxdWUsIHRpbWUgcGVyaW9kLCBhbmQgZnVuY3Rpb25hbCBmb3JtIGFuZCBzdWdnZXN0IHRoYXQgbW9yZSBvcGVuIGNvdW50cmllcyBleHBlcmllbmNlZCBmYXN0ZXIgcHJvZHVjdGl2aXR5IGdyb3d0aC4gQWx0aG91Z2ggdGhlIHVzZSBvZiBpbnN0cnVtZW50YWwgdmFyaWFibGVzIGhlbHAgZGVhbGluZyB3aXRoIGVuZG9nZW5laXR5LCBpc3N1ZXMgcmVsYXRlZCB0byBjYXVzYWxpdHkgcmVtYWluIHNvbWV3aGF0IG9wZW4gYW5kIHJlcXVpcmUgdGltZSBzZXJpZXMgYW5hbHlzZXMgdG8gYmUgYWRlcXVhdGVseSBhZGRyZXNzZWQuIiwiaXNzdWUiOiI0NDciLCJ2b2x1bWUiOiIxMDgifSwiaXNUZW1wb3JhcnkiOmZhbHNlfV19"/>
          <w:id w:val="-114748455"/>
          <w:placeholder>
            <w:docPart w:val="DefaultPlaceholder_-1854013440"/>
          </w:placeholder>
        </w:sdtPr>
        <w:sdtContent>
          <w:r w:rsidR="00DC1AA6" w:rsidRPr="00DC1AA6">
            <w:rPr>
              <w:rFonts w:ascii="Arial" w:eastAsia="Times New Roman" w:hAnsi="Arial" w:cs="Arial"/>
              <w:color w:val="000000"/>
              <w:sz w:val="20"/>
            </w:rPr>
            <w:t>[2], [3]</w:t>
          </w:r>
        </w:sdtContent>
      </w:sdt>
      <w:r w:rsidR="006616B1" w:rsidRPr="006616B1">
        <w:rPr>
          <w:rFonts w:ascii="Arial" w:hAnsi="Arial" w:cs="Arial"/>
          <w:sz w:val="20"/>
          <w:szCs w:val="20"/>
        </w:rPr>
        <w:t xml:space="preserve"> Early Indian time-series work found exactly this: a stable long-run link between openness and output (Hye &amp; Lau, 2015; </w:t>
      </w:r>
      <w:proofErr w:type="spellStart"/>
      <w:r w:rsidR="006616B1" w:rsidRPr="006616B1">
        <w:rPr>
          <w:rFonts w:ascii="Arial" w:hAnsi="Arial" w:cs="Arial"/>
          <w:sz w:val="20"/>
          <w:szCs w:val="20"/>
        </w:rPr>
        <w:t>Sehrawat</w:t>
      </w:r>
      <w:proofErr w:type="spellEnd"/>
      <w:r w:rsidR="006616B1" w:rsidRPr="006616B1">
        <w:rPr>
          <w:rFonts w:ascii="Arial" w:hAnsi="Arial" w:cs="Arial"/>
          <w:sz w:val="20"/>
          <w:szCs w:val="20"/>
        </w:rPr>
        <w:t xml:space="preserve"> &amp; Giri, 2017)</w:t>
      </w:r>
      <w:sdt>
        <w:sdtPr>
          <w:rPr>
            <w:rFonts w:ascii="Arial" w:hAnsi="Arial" w:cs="Arial"/>
            <w:color w:val="000000"/>
            <w:sz w:val="20"/>
            <w:szCs w:val="20"/>
          </w:rPr>
          <w:tag w:val="MENDELEY_CITATION_v3_eyJjaXRhdGlvbklEIjoiTUVOREVMRVlfQ0lUQVRJT05fZWQyZTM2ZDMtMGMxYS00OGIwLWEwZjEtODQwNWNjZGUxMWQyIiwicHJvcGVydGllcyI6eyJub3RlSW5kZXgiOjB9LCJpc0VkaXRlZCI6ZmFsc2UsIm1hbnVhbE92ZXJyaWRlIjp7ImlzTWFudWFsbHlPdmVycmlkZGVuIjpmYWxzZSwiY2l0ZXByb2NUZXh0IjoiWzRdIiwibWFudWFsT3ZlcnJpZGVUZXh0IjoiIn0sImNpdGF0aW9uSXRlbXMiOlt7ImlkIjoiNjQ3MzY3MWYtNGY0ZC0zMzI5LTkzYmYtNjc4OTYyNzRiZWJiIiwiaXRlbURhdGEiOnsidHlwZSI6ImFydGljbGUtam91cm5hbCIsImlkIjoiNjQ3MzY3MWYtNGY0ZC0zMzI5LTkzYmYtNjc4OTYyNzRiZWJiIiwidGl0bGUiOiJUcmFkZSBvcGVubmVzcyBhbmQgZWNvbm9taWMgZ3Jvd3RoOiBlbXBpcmljYWwgZXZpZGVuY2UgZnJvbSBJbmRpYSIsImF1dGhvciI6W3siZmFtaWx5IjoiSHllIiwiZ2l2ZW4iOiJRYXppIE11aGFtbWFkIEFkbmFuIiwicGFyc2UtbmFtZXMiOmZhbHNlLCJkcm9wcGluZy1wYXJ0aWNsZSI6IiIsIm5vbi1kcm9wcGluZy1wYXJ0aWNsZSI6IiJ9LHsiZmFtaWx5IjoiTGF1IiwiZ2l2ZW4iOiJXZWUtWWVhcCIsInBhcnNlLW5hbWVzIjpmYWxzZSwiZHJvcHBpbmctcGFydGljbGUiOiIiLCJub24tZHJvcHBpbmctcGFydGljbGUiOiIifV0sImNvbnRhaW5lci10aXRsZSI6IkpvdXJuYWwgb2YgQnVzaW5lc3MgRWNvbm9taWNzIGFuZCBNYW5hZ2VtZW50IiwiRE9JIjoiMTAuMzg0Ni8xNjExMTY5OS4yMDEyLjcyMDU4NyIsIlVSTCI6Imh0dHBzOi8vaWRlYXMucmVwZWMub3JnL2EvdGFmL2piZW1ndC92MTZ5MjAxNWkxcDE4OC0yMDUuaHRtbCIsImlzc3VlZCI6eyJkYXRlLXBhcnRzIjpbWzIwMTUsMl1dfSwicGFnZSI6IjE4OC0yMDUiLCJhYnN0cmFjdCI6IiBUaGUgbWFpbiBvYmplY3RpdmUgb2YgdGhpcyBzdHVkeSBpcyB0byBkZXZlbG9wIGZpcnN0IHRpbWUgdHJhZGUgb3Blbm5lc3MgaW5kZXggYW5kIHVzZSB0aGlzIGluZGV4IHRvIGV4YW1pbmUgdGhlIGxpbmsgYmV0d2VlbiB0cmFkZSBvcGVubmVzcyBhbmQgZWNvbm9taWMgZ3Jvd3RoIGluIGNhc2Ugb2YgSW5kaWEuIFRoaXMgc3R1ZHkgZW1wbG95cyBhIG5ldyBlbmRvZ2Vub3VzIGdyb3d0aCBtb2RlbCBmb3IgdGhlb3JldGljYWwgc3VwcG9ydCwgYXV0by1yZWdyZXNzaXZlIGRpc3RyaWJ1dGl2ZSBsYWcgbW9kZWwgYW5kIHJvbGxpbmcgd2luZG93IHJlZ3Jlc3Npb24gbWV0aG9kIGluIG9yZGVyIHRvIGRldGVybWluZSBsb25nIHJ1biBhbmQgc2hvcnQgcnVuIGFzc29jaWF0aW9uIGJldHdlZW4gdHJhZGUgb3Blbm5lc3MgYW5kIGVjb25vbWljIGdyb3d0aC4gRnVydGhlciBncmFuZ2VyIGNhdXNhbGl0eSB0ZXN0IGlzIHVzZWQgdG8gZGV0ZXJtaW5lIHRoZSBsb25nIHJ1biBhbmQgc2hvcnQgcnVuIGNhdXNhbCBkaXJlY3Rpb24uIFRoZSByZXN1bHRzIHJldmVhbCB0aGF0IGh1bWFuIGNhcGl0YWwgYW5kIHBoeXNpY2FsIGNhcGl0YWwgYXJlIHBvc2l0aXZlbHkgcmVsYXRlZCB0byBlY29ub21pYyBncm93dGggaW4gdGhlIGxvbmcgcnVuLiBPbiB0aGUgb3RoZXIgaGFuZCwgdHJhZGUgb3Blbm5lc3MgaW5kZXggbmVnYXRpdmVseSBpbXBhY3RzIG9uIGVjb25vbWljIGdyb3d0aCBpbiB0aGUgbG9uZyBydW4uIFRoZSBuZXcgZXZpZGVuY2UgaXMgcHJvdmlkZWQgYnkgdGhlIHJvbGxpbmcgd2luZG93IHJlZ3Jlc3Npb24gcmVzdWx0cyBpLmUuIHRoZSBpbXBhY3Qgb2YgdHJhZGUgb3Blbm5lc3MgaW5kZXggb24gZWNvbm9taWMgZ3Jvd3RoIGlzIG5vdCBzdGFibGUgdGhyb3VnaG91dCB0aGUgc2FtcGxlLiBJbiB0aGUgc2hvcnQgcnVuIHRyYWRlIG9wZW5uZXNzIGluZGV4IGlzIHBvc2l0aXZlbHkgcmVsYXRlZCB0byBlY29ub21pYyBncm93dGguIFRoZSByZXN1bHQgb2YgZ3JhbmdlciBjYXVzYWxpdHkgdGVzdCBjb25maXJtcyB0aGUgdmFsaWRpdHkgb2YgdHJhZGUgb3Blbm5lc3MtbGVkIGdyb3d0aCBhbmQgaHVtYW4gY2FwaXRhbC1sZWQgZ3Jvd3RoIGh5cG90aGVzaXMgaW4gdGhlIHNob3J0IHJ1biBhbmQgbG9uZyBydW4uIiwiaXNzdWUiOiIxIiwidm9sdW1lIjoiMTYiLCJjb250YWluZXItdGl0bGUtc2hvcnQiOiIifSwiaXNUZW1wb3JhcnkiOmZhbHNlfV19"/>
          <w:id w:val="-398290516"/>
          <w:placeholder>
            <w:docPart w:val="DefaultPlaceholder_-1854013440"/>
          </w:placeholder>
        </w:sdtPr>
        <w:sdtContent>
          <w:r w:rsidR="00DC1AA6" w:rsidRPr="00DC1AA6">
            <w:rPr>
              <w:rFonts w:ascii="Arial" w:eastAsia="Times New Roman" w:hAnsi="Arial" w:cs="Arial"/>
              <w:color w:val="000000"/>
              <w:sz w:val="20"/>
            </w:rPr>
            <w:t>[4]</w:t>
          </w:r>
        </w:sdtContent>
      </w:sdt>
      <w:sdt>
        <w:sdtPr>
          <w:rPr>
            <w:rFonts w:ascii="Arial" w:hAnsi="Arial" w:cs="Arial"/>
            <w:color w:val="000000"/>
            <w:sz w:val="20"/>
            <w:szCs w:val="20"/>
          </w:rPr>
          <w:tag w:val="MENDELEY_CITATION_v3_eyJjaXRhdGlvbklEIjoiTUVOREVMRVlfQ0lUQVRJT05fMDE2ZDFhMjYtMjE5Zi00ZTQyLThhNmItNWI5NGNmZTdiZTIwIiwicHJvcGVydGllcyI6eyJub3RlSW5kZXgiOjB9LCJpc0VkaXRlZCI6ZmFsc2UsIm1hbnVhbE92ZXJyaWRlIjp7ImlzTWFudWFsbHlPdmVycmlkZGVuIjpmYWxzZSwiY2l0ZXByb2NUZXh0IjoiWzVdIiwibWFudWFsT3ZlcnJpZGVUZXh0IjoiIn0sImNpdGF0aW9uSXRlbXMiOlt7ImlkIjoiY2Y1YTQwZDctZDBkMC0zZjVmLWIzZjctNTNkYjAwZWUwNDE1IiwiaXRlbURhdGEiOnsidHlwZSI6ImFydGljbGUtam91cm5hbCIsImlkIjoiY2Y1YTQwZDctZDBkMC0zZjVmLWIzZjctNTNkYjAwZWUwNDE1IiwidGl0bGUiOiJGaW5hbmNpYWwgU3RydWN0dXJlLCBJbnRlcmVzdCBSYXRlLCBUcmFkZSBPcGVubmVzcyBhbmQgR3Jvd3RoOiBUaW1lIFNlcmllcyBBbmFseXNpcyBvZiBJbmRpYW4gRWNvbm9teSIsImF1dGhvciI6W3siZmFtaWx5IjoiU2VocmF3YXQiLCJnaXZlbiI6Ik1hZGh1IiwicGFyc2UtbmFtZXMiOmZhbHNlLCJkcm9wcGluZy1wYXJ0aWNsZSI6IiIsIm5vbi1kcm9wcGluZy1wYXJ0aWNsZSI6IiJ9LHsiZmFtaWx5IjoiR2lyaSIsImdpdmVuIjoiQSBLIiwicGFyc2UtbmFtZXMiOmZhbHNlLCJkcm9wcGluZy1wYXJ0aWNsZSI6IiIsIm5vbi1kcm9wcGluZy1wYXJ0aWNsZSI6IiJ9XSwiY29udGFpbmVyLXRpdGxlIjoiR2xvYmFsIEJ1c2luZXNzIFJldmlldyIsIkRPSSI6IjEwLjExNzcvMDk3MjE1MDkxNzcxMDE1MCIsIlVSTCI6Imh0dHBzOi8vaWRlYXMucmVwZWMub3JnL2Evc2FlL2dsb2J1cy92MTh5MjAxN2k1cDEyNzgtMTI5MC5odG1sIiwiaXNzdWVkIjp7ImRhdGUtcGFydHMiOltbMjAxNywxMF1dfSwicGFnZSI6IjEyNzgtMTI5MCIsImFic3RyYWN0IjoiVGhlIGFpbSBvZiB0aGlzIHN0dWR5IGlzIHRvIGNvbnN0cnVjdCBhIGZpbmFuY2lhbCBkZXZlbG9wbWVudCBpbmRleCBmb3IgSW5kaWFuIGVjb25vbXkgYW5kIHRvIGV4YW1pbmUgdGhlIGltcGFjdCBvZiBmaW5hbmNpYWwgZGV2ZWxvcG1lbnQgaW5kZXggYW5kIHRyYWRlIG9wZW5uZXNzIG9uIGVjb25vbWljIGdyb3d0aCBpbiBJbmRpYSB1c2luZyBhbm51YWwgZGF0YSBmcm9tIDE5ODIgdG8gMjAxNC4gVGhlIHJlc3VsdHMgb2YgYXV0b3JlZ3Jlc3NpdmUgZGlzdHJpYnV0ZWQgbGFnIChBUkRMKSBhcHByb2FjaCB0byBjby1pbnRlZ3JhdGlvbiBjb25maXJtIHRoZSBsb25nLXJ1biByZWxhdGlvbnNoaXAgYmV0d2VlbiBmaW5hbmNpYWwgZGV2ZWxvcG1lbnQgaW5kZXgsIHRyYWRlIG9wZW5uZXNzIGFuZCBlY29ub21pYyBncm93dGggaW4gSW5kaWFuIGVjb25vbXkuIFRoZSByZXN1bHRzIG9mIEdyYW5nZXIgbm9uLWNhdXNhbGl0eSBzaG93IHRoYXQgdGhlcmUgaXMgYSB1bmlkaXJlY3Rpb25hbCBjYXVzYWxpdHkgcnVubmluZyBmcm9tIGZpbmFuY2lhbCBkZXZlbG9wbWVudCB0byBlY29ub21pYyBncm93dGggYW5kIGJpLWRpcmVjdGlvbmFsIGNhdXNhbGl0eSBydW5zIGJldHdlZW4gZWNvbm9taWMgZ3Jvd3RoIGFuZCB0cmFkZSBvcGVubmVzcy4gVGhlIGFuYWx5c2lzIG9mIHZhcmlhbmNlIGRlY29tcG9zaXRpb24gc2hvd3MgdGhhdCBpbmZsdWVuY2Ugb2YgdHJhZGUgb3Blbm5lc3MgZXhlcnRzIHRoZSBsYXJnZXN0IGluZmx1ZW5jZSwgd2hvc2Ugc3RlYWR5IGNvbnRyaWJ1dGlvbiBsZXZlbCBmb3IgZWNvbm9taWMgZ3Jvd3RoIGNoYW5nZXMgYXBwcm9hY2hlcyB0byAxNS40OCBwZXIgY2VudCBpbiBJbmRpYS4iLCJpc3N1ZSI6IjUiLCJ2b2x1bWUiOiIxOCIsImNvbnRhaW5lci10aXRsZS1zaG9ydCI6IiJ9LCJpc1RlbXBvcmFyeSI6ZmFsc2UsInN1cHByZXNzLWF1dGhvciI6ZmFsc2UsImNvbXBvc2l0ZSI6ZmFsc2UsImF1dGhvci1vbmx5IjpmYWxzZX1dfQ=="/>
          <w:id w:val="1905410788"/>
          <w:placeholder>
            <w:docPart w:val="DefaultPlaceholder_-1854013440"/>
          </w:placeholder>
        </w:sdtPr>
        <w:sdtContent>
          <w:r w:rsidR="00DC1AA6" w:rsidRPr="00DC1AA6">
            <w:rPr>
              <w:rFonts w:ascii="Arial" w:eastAsia="Times New Roman" w:hAnsi="Arial" w:cs="Arial"/>
              <w:color w:val="000000"/>
              <w:sz w:val="20"/>
            </w:rPr>
            <w:t>[5]</w:t>
          </w:r>
        </w:sdtContent>
      </w:sdt>
    </w:p>
    <w:p w14:paraId="78A78887" w14:textId="15627E71"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trouble is that trade expansions and contractions do not appear to produce symmetric growth responses. Standard linear models estimate one coefficient for both directions of movement, which is an average of effects that may differ in sign. The ARDL bounds testing framework (</w:t>
      </w:r>
      <w:proofErr w:type="spellStart"/>
      <w:r w:rsidRPr="006616B1">
        <w:rPr>
          <w:rFonts w:ascii="Arial" w:hAnsi="Arial" w:cs="Arial"/>
          <w:sz w:val="20"/>
          <w:szCs w:val="20"/>
        </w:rPr>
        <w:t>Pesaran</w:t>
      </w:r>
      <w:proofErr w:type="spellEnd"/>
      <w:r w:rsidRPr="006616B1">
        <w:rPr>
          <w:rFonts w:ascii="Arial" w:hAnsi="Arial" w:cs="Arial"/>
          <w:sz w:val="20"/>
          <w:szCs w:val="20"/>
        </w:rPr>
        <w:t xml:space="preserve"> et al., 2001) </w:t>
      </w:r>
      <w:sdt>
        <w:sdtPr>
          <w:rPr>
            <w:rFonts w:ascii="Arial" w:hAnsi="Arial" w:cs="Arial"/>
            <w:color w:val="000000"/>
            <w:sz w:val="20"/>
            <w:szCs w:val="20"/>
          </w:rPr>
          <w:tag w:val="MENDELEY_CITATION_v3_eyJjaXRhdGlvbklEIjoiTUVOREVMRVlfQ0lUQVRJT05fYzk1NTczYjQtYTNlNC00NGM5LTk4NjQtODA0YzNmNWY2ZDk3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UsInN1cHByZXNzLWF1dGhvciI6ZmFsc2UsImNvbXBvc2l0ZSI6ZmFsc2UsImF1dGhvci1vbmx5IjpmYWxzZX1dfQ=="/>
          <w:id w:val="-808939610"/>
          <w:placeholder>
            <w:docPart w:val="DefaultPlaceholder_-1854013440"/>
          </w:placeholder>
        </w:sdtPr>
        <w:sdtContent>
          <w:r w:rsidR="00DC1AA6" w:rsidRPr="00DC1AA6">
            <w:rPr>
              <w:rFonts w:ascii="Arial" w:hAnsi="Arial" w:cs="Arial"/>
              <w:color w:val="000000"/>
              <w:sz w:val="20"/>
              <w:szCs w:val="20"/>
            </w:rPr>
            <w:t>[6]</w:t>
          </w:r>
        </w:sdtContent>
      </w:sdt>
      <w:r w:rsidRPr="006616B1">
        <w:rPr>
          <w:rFonts w:ascii="Arial" w:hAnsi="Arial" w:cs="Arial"/>
          <w:sz w:val="20"/>
          <w:szCs w:val="20"/>
        </w:rPr>
        <w:t>and its nonlinear extension, NARDL (Shin et al., 2014)</w:t>
      </w:r>
      <w:sdt>
        <w:sdtPr>
          <w:rPr>
            <w:rFonts w:ascii="Arial" w:hAnsi="Arial" w:cs="Arial"/>
            <w:color w:val="000000"/>
            <w:sz w:val="20"/>
            <w:szCs w:val="20"/>
          </w:rPr>
          <w:tag w:val="MENDELEY_CITATION_v3_eyJjaXRhdGlvbklEIjoiTUVOREVMRVlfQ0lUQVRJT05fNjk0MTI5YzItNDQ3Yi00YTI5LTg2NDMtZmIyZjY3YjFkNTNh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
          <w:id w:val="181008708"/>
          <w:placeholder>
            <w:docPart w:val="DefaultPlaceholder_-1854013440"/>
          </w:placeholder>
        </w:sdtPr>
        <w:sdtContent>
          <w:r w:rsidR="00DC1AA6" w:rsidRPr="00DC1AA6">
            <w:rPr>
              <w:rFonts w:ascii="Arial" w:hAnsi="Arial" w:cs="Arial"/>
              <w:color w:val="000000"/>
              <w:sz w:val="20"/>
              <w:szCs w:val="20"/>
            </w:rPr>
            <w:t>[7]</w:t>
          </w:r>
        </w:sdtContent>
      </w:sdt>
      <w:r w:rsidRPr="006616B1">
        <w:rPr>
          <w:rFonts w:ascii="Arial" w:hAnsi="Arial" w:cs="Arial"/>
          <w:sz w:val="20"/>
          <w:szCs w:val="20"/>
        </w:rPr>
        <w:t>, allow asymmetric adjustment within a cointegrating structure without forcing symmetry by construction. Machine learning adds a different capability: detecting interaction effects and nonlinear patterns that regression specifications cannot recover (Mullainathan &amp; Spiess, 2017)</w:t>
      </w:r>
      <w:sdt>
        <w:sdtPr>
          <w:rPr>
            <w:rFonts w:ascii="Arial" w:hAnsi="Arial" w:cs="Arial"/>
            <w:color w:val="000000"/>
            <w:sz w:val="20"/>
            <w:szCs w:val="20"/>
          </w:rPr>
          <w:tag w:val="MENDELEY_CITATION_v3_eyJjaXRhdGlvbklEIjoiTUVOREVMRVlfQ0lUQVRJT05fODk0YThiMzAtMWE0My00MDVhLWFlZjMtYmQxOTM0Y2I1MDli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V9XX0="/>
          <w:id w:val="2006309410"/>
          <w:placeholder>
            <w:docPart w:val="DefaultPlaceholder_-1854013440"/>
          </w:placeholder>
        </w:sdtPr>
        <w:sdtContent>
          <w:r w:rsidR="00DC1AA6" w:rsidRPr="00DC1AA6">
            <w:rPr>
              <w:rFonts w:ascii="Arial" w:eastAsia="Times New Roman" w:hAnsi="Arial" w:cs="Arial"/>
              <w:color w:val="000000"/>
              <w:sz w:val="20"/>
            </w:rPr>
            <w:t>[8]</w:t>
          </w:r>
        </w:sdtContent>
      </w:sdt>
      <w:r w:rsidRPr="006616B1">
        <w:rPr>
          <w:rFonts w:ascii="Arial" w:hAnsi="Arial" w:cs="Arial"/>
          <w:sz w:val="20"/>
          <w:szCs w:val="20"/>
        </w:rPr>
        <w:t>.</w:t>
      </w:r>
    </w:p>
    <w:p w14:paraId="4A35C3C9" w14:textId="031395CE" w:rsidR="006616B1" w:rsidRPr="006616B1" w:rsidRDefault="006616B1" w:rsidP="00DC4D54">
      <w:pPr>
        <w:widowControl w:val="0"/>
        <w:spacing w:line="240" w:lineRule="auto"/>
        <w:jc w:val="both"/>
      </w:pPr>
      <w:r w:rsidRPr="006616B1">
        <w:rPr>
          <w:rFonts w:ascii="Arial" w:hAnsi="Arial" w:cs="Arial"/>
          <w:sz w:val="20"/>
          <w:szCs w:val="20"/>
        </w:rPr>
        <w:t>There is a well-known cost to using machine learning in applied research: predictions arrive without explanation. SHAP decomposition (Lundberg &amp; Lee, 2017)</w:t>
      </w:r>
      <w:sdt>
        <w:sdtPr>
          <w:rPr>
            <w:rFonts w:ascii="Arial" w:hAnsi="Arial" w:cs="Arial"/>
            <w:color w:val="000000"/>
            <w:sz w:val="20"/>
            <w:szCs w:val="20"/>
          </w:rPr>
          <w:tag w:val="MENDELEY_CITATION_v3_eyJjaXRhdGlvbklEIjoiTUVOREVMRVlfQ0lUQVRJT05fMjRlMmMyMDQtNTdkYS00YTFmLWJjNDItZTA5NTQyMDMzYWNh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
          <w:id w:val="462545481"/>
          <w:placeholder>
            <w:docPart w:val="DefaultPlaceholder_-1854013440"/>
          </w:placeholder>
        </w:sdtPr>
        <w:sdtContent>
          <w:r w:rsidR="00DC1AA6" w:rsidRPr="00DC1AA6">
            <w:rPr>
              <w:rFonts w:ascii="Arial" w:eastAsia="Times New Roman" w:hAnsi="Arial" w:cs="Arial"/>
              <w:color w:val="000000"/>
              <w:sz w:val="20"/>
            </w:rPr>
            <w:t>[9]</w:t>
          </w:r>
        </w:sdtContent>
      </w:sdt>
      <w:r w:rsidRPr="006616B1">
        <w:rPr>
          <w:rFonts w:ascii="Arial" w:hAnsi="Arial" w:cs="Arial"/>
          <w:sz w:val="20"/>
          <w:szCs w:val="20"/>
        </w:rPr>
        <w:t xml:space="preserve"> addresses this directly, attributing each prediction to specific inputs using an approach grounded in cooperative game theory. Studies combining econometric structure with machine learning have shown that the two methods reinforce rather than undermine each other (</w:t>
      </w:r>
      <w:proofErr w:type="spellStart"/>
      <w:r w:rsidRPr="006616B1">
        <w:rPr>
          <w:rFonts w:ascii="Arial" w:hAnsi="Arial" w:cs="Arial"/>
          <w:sz w:val="20"/>
          <w:szCs w:val="20"/>
        </w:rPr>
        <w:t>Chejarla</w:t>
      </w:r>
      <w:proofErr w:type="spellEnd"/>
      <w:r w:rsidRPr="006616B1">
        <w:rPr>
          <w:rFonts w:ascii="Arial" w:hAnsi="Arial" w:cs="Arial"/>
          <w:sz w:val="20"/>
          <w:szCs w:val="20"/>
        </w:rPr>
        <w:t xml:space="preserve"> et al., 2026a; Rajana et al., 2026)</w:t>
      </w:r>
      <w:sdt>
        <w:sdtPr>
          <w:rPr>
            <w:rFonts w:ascii="Arial" w:hAnsi="Arial" w:cs="Arial"/>
            <w:color w:val="000000"/>
            <w:sz w:val="20"/>
            <w:szCs w:val="20"/>
          </w:rPr>
          <w:tag w:val="MENDELEY_CITATION_v3_eyJjaXRhdGlvbklEIjoiTUVOREVMRVlfQ0lUQVRJT05fNzEzOGEzNmItYTdjZS00MmM2LTllNTQtMDI4NDc0M2QxNDdkIiwicHJvcGVydGllcyI6eyJub3RlSW5kZXgiOjB9LCJpc0VkaXRlZCI6ZmFsc2UsIm1hbnVhbE92ZXJyaWRlIjp7ImlzTWFudWFsbHlPdmVycmlkZGVuIjpmYWxzZSwiY2l0ZXByb2NUZXh0IjoiWzEwXSwgWzEx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fSx7ImlkIjoiNGRhZjg5ZjUtZjg3ZC0zOGJlLTk2NzMtYWVlZjM4YTA0Nzk0IiwiaXRlbURhdGEiOnsidHlwZSI6ImFydGljbGUtam91cm5hbCIsImlkIjoiNGRhZjg5ZjUtZjg3ZC0zOGJlLTk2NzMtYWVlZjM4YTA0Nzk0IiwidGl0bGUiOiJIeWJyaWQgRWNvbm9tZXRyaWMgYW5kIERlZXAgTGVhcm5pbmcgRnJhbWV3b3JrIGZvciBGb3JlY2FzdGluZyBHbG9iYWwgQ29tbW9kaXR5IFByaWNlIER5bmFtaWNzOiBFdmlkZW5jZSBmcm9tIE11bHRpLUNvbW1vZGl0eSBUaW1lIFNlcmllcyAoMjAwMC0yMDI2KSIsImF1dGhvciI6W3siZmFtaWx5IjoiUmFqYW5hIiwiZ2l2ZW4iOiJCYWxheXlhIiwicGFyc2UtbmFtZXMiOmZhbHNlLCJkcm9wcGluZy1wYXJ0aWNsZSI6IiIsIm5vbi1kcm9wcGluZy1wYXJ0aWNsZSI6IiJ9LHsiZmFtaWx5IjoiRHV2dnVyaSIsImdpdmVuIjoiU3VuZWVsIEt1bWFyIiwicGFyc2UtbmFtZXMiOmZhbHNlLCJkcm9wcGluZy1wYXJ0aWNsZSI6IiIsIm5vbi1kcm9wcGluZy1wYXJ0aWNsZSI6IiJ9LHsiZmFtaWx5IjoiQ2hlamFybGEiLCJnaXZlbiI6IlNhbmplZXYgS3VtYXIiLCJwYXJzZS1uYW1lcyI6ZmFsc2UsImRyb3BwaW5nLXBhcnRpY2xlIjoiIiwibm9uLWRyb3BwaW5nLXBhcnRpY2xlIjoiIn0seyJmYW1pbHkiOiJEYWtleSIsImdpdmVuIjoiUHJhc2FkIFRlamEiLCJwYXJzZS1uYW1lcyI6ZmFsc2UsImRyb3BwaW5nLXBhcnRpY2xlIjoiIiwibm9uLWRyb3BwaW5nLXBhcnRpY2xlIjoiIn0seyJmYW1pbHkiOiJSYW1hY2hhbmRyYSBSYW8iLCJnaXZlbiI6IksiLCJwYXJzZS1uYW1lcyI6ZmFsc2UsImRyb3BwaW5nLXBhcnRpY2xlIjoiIiwibm9uLWRyb3BwaW5nLXBhcnRpY2xlIjoiIn0seyJmYW1pbHkiOiJHYW5kYW0iLCJnaXZlbiI6IlRoaWxvdGh1IFJhbyIsInBhcnNlLW5hbWVzIjpmYWxzZSwiZHJvcHBpbmctcGFydGljbGUiOiIiLCJub24tZHJvcHBpbmctcGFydGljbGUiOiIifV0sImNvbnRhaW5lci10aXRsZSI6Ikdsb2JhbCBBY2FkZW1pYyBKb3VybmFsIG9mIEVjb25vbWljcyBhbmQgQnVzaW5lc3MiLCJET0kiOiIxMC4zNjM0OC9nYWplYi4yMDI2LnYwOGkwMi4wMTAiLCJVUkwiOiJodHRwczovL2RvaS5vcmcvMTAuMzYzNDgvZ2FqZWIuMjAyNi52MDhpMDIuMDEwIiwiaXNzdWVkIjp7ImRhdGUtcGFydHMiOltbMjAyNl1dfSwicGFnZSI6IjE2Ni0xODIiLCJpc3N1ZSI6IjIiLCJ2b2x1bWUiOiI4In0sImlzVGVtcG9yYXJ5IjpmYWxzZX1dfQ=="/>
          <w:id w:val="-1374216613"/>
          <w:placeholder>
            <w:docPart w:val="DefaultPlaceholder_-1854013440"/>
          </w:placeholder>
        </w:sdtPr>
        <w:sdtContent>
          <w:r w:rsidR="00DC1AA6" w:rsidRPr="00DC1AA6">
            <w:rPr>
              <w:rFonts w:ascii="Arial" w:hAnsi="Arial" w:cs="Arial"/>
              <w:color w:val="000000"/>
              <w:sz w:val="20"/>
              <w:szCs w:val="20"/>
            </w:rPr>
            <w:t>[10], [11]</w:t>
          </w:r>
        </w:sdtContent>
      </w:sdt>
      <w:r w:rsidRPr="006616B1">
        <w:rPr>
          <w:rFonts w:ascii="Arial" w:hAnsi="Arial" w:cs="Arial"/>
          <w:sz w:val="20"/>
          <w:szCs w:val="20"/>
        </w:rPr>
        <w:t>. This paper takes that approach to India: NARDL for asymmetric dynamics, machine learning for predictive accuracy, SHAP to make the predictions legible</w:t>
      </w:r>
      <w:r w:rsidRPr="005B48E6">
        <w:t>.</w:t>
      </w:r>
    </w:p>
    <w:p w14:paraId="09309381" w14:textId="77777777" w:rsidR="006616B1" w:rsidRPr="006616B1" w:rsidRDefault="006616B1" w:rsidP="00DC4D54">
      <w:pPr>
        <w:spacing w:after="0" w:line="240" w:lineRule="auto"/>
        <w:ind w:left="360"/>
        <w:jc w:val="both"/>
        <w:rPr>
          <w:rFonts w:ascii="Arial" w:hAnsi="Arial" w:cs="Arial"/>
          <w:b/>
          <w:bCs/>
        </w:rPr>
      </w:pPr>
    </w:p>
    <w:p w14:paraId="5F43E5E0" w14:textId="20041D36" w:rsidR="00CF15AC" w:rsidRDefault="00CF15AC" w:rsidP="00DC4D54">
      <w:pPr>
        <w:spacing w:after="0" w:line="240" w:lineRule="auto"/>
        <w:jc w:val="both"/>
        <w:rPr>
          <w:rFonts w:ascii="Arial" w:hAnsi="Arial" w:cs="Arial"/>
          <w:b/>
          <w:bCs/>
        </w:rPr>
      </w:pPr>
      <w:r>
        <w:rPr>
          <w:rFonts w:ascii="Arial" w:hAnsi="Arial" w:cs="Arial"/>
          <w:b/>
          <w:bCs/>
        </w:rPr>
        <w:t>2. Review of Literature</w:t>
      </w:r>
    </w:p>
    <w:p w14:paraId="00447D3E" w14:textId="244CF6D7"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lastRenderedPageBreak/>
        <w:t>The early cross-country literature on trade and growth reached a broadly positive verdict, that open economies tended to grow faster, but the estimated effects varied enough across samples that the verdict never felt settled. Harrison (1996)</w:t>
      </w:r>
      <w:sdt>
        <w:sdtPr>
          <w:rPr>
            <w:rFonts w:ascii="Arial" w:hAnsi="Arial" w:cs="Arial"/>
            <w:color w:val="000000"/>
            <w:sz w:val="20"/>
            <w:szCs w:val="20"/>
          </w:rPr>
          <w:tag w:val="MENDELEY_CITATION_v3_eyJjaXRhdGlvbklEIjoiTUVOREVMRVlfQ0lUQVRJT05fNTY3NDA5NjktMzI0Ny00ZmQ1LWI4OGUtNjgwY2Q0NDA0ZDE3IiwicHJvcGVydGllcyI6eyJub3RlSW5kZXgiOjB9LCJpc0VkaXRlZCI6ZmFsc2UsIm1hbnVhbE92ZXJyaWRlIjp7ImlzTWFudWFsbHlPdmVycmlkZGVuIjpmYWxzZSwiY2l0ZXByb2NUZXh0IjoiWzEyXSIsIm1hbnVhbE92ZXJyaWRlVGV4dCI6IiJ9LCJjaXRhdGlvbkl0ZW1zIjpbeyJpZCI6ImYzNGU5YmJmLTY1NDEtMzQ4Yy04YmY1LWI1YjkwOTJjNTc2YSIsIml0ZW1EYXRhIjp7InR5cGUiOiJhcnRpY2xlLWpvdXJuYWwiLCJpZCI6ImYzNGU5YmJmLTY1NDEtMzQ4Yy04YmY1LWI1YjkwOTJjNTc2YSIsInRpdGxlIjoiT3Blbm5lc3MgYW5kIGdyb3d0aDogQSB0aW1lLXNlcmllcywgY3Jvc3MtY291bnRyeSBhbmFseXNpcyBmb3IgZGV2ZWxvcGluZyBjb3VudHJpZXMiLCJhdXRob3IiOlt7ImZhbWlseSI6IkhhcnJpc29uIiwiZ2l2ZW4iOiJBbm4iLCJwYXJzZS1uYW1lcyI6ZmFsc2UsImRyb3BwaW5nLXBhcnRpY2xlIjoiIiwibm9uLWRyb3BwaW5nLXBhcnRpY2xlIjoiIn1dLCJjb250YWluZXItdGl0bGUiOiJKb3VybmFsIG9mIERldmVsb3BtZW50IEVjb25vbWljcyIsImNvbnRhaW5lci10aXRsZS1zaG9ydCI6IkouIERldi4gRWNvbi4iLCJET0kiOiJodHRwczovL2RvaS5vcmcvMTAuMTAxNi8wMzA0LTM4NzgoOTUpMDAwNDItOSIsIklTU04iOiIwMzA0LTM4NzgiLCJVUkwiOiJodHRwczovL3d3dy5zY2llbmNlZGlyZWN0LmNvbS9zY2llbmNlL2FydGljbGUvcGlpLzAzMDQzODc4OTUwMDA0MjkiLCJpc3N1ZWQiOnsiZGF0ZS1wYXJ0cyI6W1sxOTk2XV19LCJwYWdlIjoiNDE5LTQ0NyIsImFic3RyYWN0IjoiVGhpcyBwYXBlciBkcmF3cyB0b2dldGhlciBhIHZhcmlldHkgb2Ygb3Blbm5lc3MgbWVhc3VyZXMgdG8gdGVzdCB0aGUgYXNzb2NpYXRpb24gYmV0d2VlbiBvcGVubmVzcyBhbmQgZ3Jvd3RoLiBBbHRob3VnaCB0aGUgY29ycmVsYXRpb24gYWNyb3NzIGRpZmZlcmVudCB0eXBlcyBvZiBvcGVubmVzcyBpcyBub3QgYWx3YXlzIHN0cm9uZywgdGhlcmUgaXMgZ2VuZXJhbGx5IGEgcG9zaXRpdmUgYXNzb2NpYXRpb24gYmV0d2VlbiBncm93dGggYW5kIGRpZmZlcmVudCBtZWFzdXJlcyBvZiBvcGVubmVzcy4gVGhlIHN0cmVuZ3RoIG9mIHRoZSBhc3NvY2lhdGlvbiBkZXBlbmRzIG9uIHdoZXRoZXIgdGhlIHNwZWNpZmljYXRpb24gdXNlcyBjcm9zcy1zZWN0aW9uIG9yIHBhbmVsIGRhdGEgKHdoaWNoIGNvbWJpbmVzIGNyb3NzLXNlY3Rpb24gYW5kIHRpbWUgc2VyaWVzKS4gRm9yIGluZHVzdHJpYWxpemluZyBjb3VudHJpZXMsIHdoaWNoIGhhdmUgZXhoaWJpdGVkIHNpZ25pZmljYW50IGZsdWN0dWF0aW9ucyBpbiB0cmFkZSByZWdpbWVzIG92ZXIgdGltZSwgbG9uZy1ydW4gYXZlcmFnZXMgbWF5IG5vdCBzZXJ2ZSBhcyB2ZXJ5IG1lYW5pbmdmdWwgaW5kaWNhdG9ycyBvZiBwb2xpY3kuIiwiaXNzdWUiOiIyIiwidm9sdW1lIjoiNDgifSwiaXNUZW1wb3JhcnkiOmZhbHNlLCJzdXBwcmVzcy1hdXRob3IiOmZhbHNlLCJjb21wb3NpdGUiOmZhbHNlLCJhdXRob3Itb25seSI6ZmFsc2V9XX0="/>
          <w:id w:val="-1303387779"/>
          <w:placeholder>
            <w:docPart w:val="DefaultPlaceholder_-1854013440"/>
          </w:placeholder>
        </w:sdtPr>
        <w:sdtContent>
          <w:r w:rsidR="00DC1AA6" w:rsidRPr="00DC1AA6">
            <w:rPr>
              <w:rFonts w:ascii="Arial" w:hAnsi="Arial" w:cs="Arial"/>
              <w:color w:val="000000"/>
              <w:sz w:val="20"/>
              <w:szCs w:val="20"/>
            </w:rPr>
            <w:t>[12]</w:t>
          </w:r>
        </w:sdtContent>
      </w:sdt>
      <w:r w:rsidRPr="006616B1">
        <w:rPr>
          <w:rFonts w:ascii="Arial" w:hAnsi="Arial" w:cs="Arial"/>
          <w:sz w:val="20"/>
          <w:szCs w:val="20"/>
        </w:rPr>
        <w:t xml:space="preserve"> found positive effects for developing economies, contingent on stable macroeconomic policy. </w:t>
      </w:r>
      <w:proofErr w:type="spellStart"/>
      <w:r w:rsidRPr="006616B1">
        <w:rPr>
          <w:rFonts w:ascii="Arial" w:hAnsi="Arial" w:cs="Arial"/>
          <w:sz w:val="20"/>
          <w:szCs w:val="20"/>
        </w:rPr>
        <w:t>Yanikkaya</w:t>
      </w:r>
      <w:proofErr w:type="spellEnd"/>
      <w:r w:rsidRPr="006616B1">
        <w:rPr>
          <w:rFonts w:ascii="Arial" w:hAnsi="Arial" w:cs="Arial"/>
          <w:sz w:val="20"/>
          <w:szCs w:val="20"/>
        </w:rPr>
        <w:t xml:space="preserve"> (2003)</w:t>
      </w:r>
      <w:sdt>
        <w:sdtPr>
          <w:rPr>
            <w:rFonts w:ascii="Arial" w:hAnsi="Arial" w:cs="Arial"/>
            <w:color w:val="000000"/>
            <w:sz w:val="20"/>
            <w:szCs w:val="20"/>
          </w:rPr>
          <w:tag w:val="MENDELEY_CITATION_v3_eyJjaXRhdGlvbklEIjoiTUVOREVMRVlfQ0lUQVRJT05fNzUwMmRjNzktZjRhMS00ZjE4LWE4YTQtOWM5MGM1YTI5MzQzIiwicHJvcGVydGllcyI6eyJub3RlSW5kZXgiOjB9LCJpc0VkaXRlZCI6ZmFsc2UsIm1hbnVhbE92ZXJyaWRlIjp7ImlzTWFudWFsbHlPdmVycmlkZGVuIjpmYWxzZSwiY2l0ZXByb2NUZXh0IjoiWzEzXSIsIm1hbnVhbE92ZXJyaWRlVGV4dCI6IiJ9LCJjaXRhdGlvbkl0ZW1zIjpbeyJpZCI6IjZlM2YxZTYyLWZlYjItMzM5My04OGY1LWI5ODllOTIyMzNhNCIsIml0ZW1EYXRhIjp7InR5cGUiOiJhcnRpY2xlLWpvdXJuYWwiLCJpZCI6IjZlM2YxZTYyLWZlYjItMzM5My04OGY1LWI5ODllOTIyMzNhNCIsInRpdGxlIjoiVHJhZGUgb3Blbm5lc3MgYW5kIGVjb25vbWljIGdyb3d0aDogYSBjcm9zcy1jb3VudHJ5IGVtcGlyaWNhbCBpbnZlc3RpZ2F0aW9uIiwiYXV0aG9yIjpbeyJmYW1pbHkiOiJZYW5pa2theWEiLCJnaXZlbiI6IkhhbGl0IiwicGFyc2UtbmFtZXMiOmZhbHNlLCJkcm9wcGluZy1wYXJ0aWNsZSI6IiIsIm5vbi1kcm9wcGluZy1wYXJ0aWNsZSI6IiJ9XSwiY29udGFpbmVyLXRpdGxlIjoiSm91cm5hbCBvZiBEZXZlbG9wbWVudCBFY29ub21pY3MiLCJjb250YWluZXItdGl0bGUtc2hvcnQiOiJKLiBEZXYuIEVjb24uIiwiRE9JIjoiaHR0cHM6Ly9kb2kub3JnLzEwLjEwMTYvUzAzMDQtMzg3OCgwMykwMDA2OC0zIiwiSVNTTiI6IjAzMDQtMzg3OCIsIlVSTCI6Imh0dHBzOi8vd3d3LnNjaWVuY2VkaXJlY3QuY29tL3NjaWVuY2UvYXJ0aWNsZS9waWkvUzAzMDQzODc4MDMwMDA2ODMiLCJpc3N1ZWQiOnsiZGF0ZS1wYXJ0cyI6W1syMDAzXV19LCJwYWdlIjoiNTctODkiLCJhYnN0cmFjdCI6IlRoaXMgcGFwZXIgZGVtb25zdHJhdGVzIHRoYXQgdHJhZGUgbGliZXJhbGl6YXRpb24gZG9lcyBub3QgaGF2ZSBhIHNpbXBsZSBhbmQgc3RyYWlnaHRmb3J3YXJkIHJlbGF0aW9uc2hpcCB3aXRoIGdyb3d0aCB1c2luZyBhIGxhcmdlIG51bWJlciBvZiBvcGVubmVzcyBtZWFzdXJlcyBmb3IgYSBjcm9zcyBzZWN0aW9uIG9mIGNvdW50cmllcyBvdmVyIHRoZSBsYXN0IHRocmVlIGRlY2FkZXMuIFdlIHVzZSB0d28gZ3JvdXBzIG9mIHRyYWRlIG9wZW5uZXNzIG1lYXN1cmVzLiBUaGUgcmVncmVzc2lvbiByZXN1bHRzIGZvciBudW1lcm91cyB0cmFkZSBpbnRlbnNpdHkgcmF0aW9zIGFyZSBtb3N0bHkgY29uc2lzdGVudCB3aXRoIHRoZSBleGlzdGluZyBsaXRlcmF0dXJlLiBIb3dldmVyLCBjb250cmFyeSB0byB0aGUgY29udmVudGlvbmFsIHZpZXcgb24gdGhlIGdyb3d0aCBlZmZlY3RzIG9mIHRyYWRlIGJhcnJpZXJzLCBvdXIgZXN0aW1hdGlvbiByZXN1bHRzIHNob3cgdGhhdCB0cmFkZSBiYXJyaWVycyBhcmUgcG9zaXRpdmVseSBhbmQsIGluIG1vc3Qgc3BlY2lmaWNhdGlvbnMsIHNpZ25pZmljYW50bHkgYXNzb2NpYXRlZCB3aXRoIGdyb3d0aCwgZXNwZWNpYWxseSBmb3IgZGV2ZWxvcGluZyBjb3VudHJpZXMgYW5kIHRoZXkgYXJlIGNvbnNpc3RlbnQgd2l0aCB0aGUgZmluZGluZ3Mgb2YgdGhlb3JldGljYWwgZ3Jvd3RoIGFuZCBkZXZlbG9wbWVudCBsaXRlcmF0dXJlLiIsImlzc3VlIjoiMSIsInZvbHVtZSI6IjcyIn0sImlzVGVtcG9yYXJ5IjpmYWxzZSwic3VwcHJlc3MtYXV0aG9yIjpmYWxzZSwiY29tcG9zaXRlIjpmYWxzZSwiYXV0aG9yLW9ubHkiOmZhbHNlfV19"/>
          <w:id w:val="-2081359955"/>
          <w:placeholder>
            <w:docPart w:val="DefaultPlaceholder_-1854013440"/>
          </w:placeholder>
        </w:sdtPr>
        <w:sdtContent>
          <w:r w:rsidR="00DC1AA6" w:rsidRPr="00DC1AA6">
            <w:rPr>
              <w:rFonts w:ascii="Arial" w:hAnsi="Arial" w:cs="Arial"/>
              <w:color w:val="000000"/>
              <w:sz w:val="20"/>
              <w:szCs w:val="20"/>
            </w:rPr>
            <w:t>[13]</w:t>
          </w:r>
        </w:sdtContent>
      </w:sdt>
      <w:r w:rsidRPr="006616B1">
        <w:rPr>
          <w:rFonts w:ascii="Arial" w:hAnsi="Arial" w:cs="Arial"/>
          <w:sz w:val="20"/>
          <w:szCs w:val="20"/>
        </w:rPr>
        <w:t xml:space="preserve"> found cases where restrictions coexisted with above-average growth, which the standard model had no good answer for.</w:t>
      </w:r>
    </w:p>
    <w:p w14:paraId="5E8572D6" w14:textId="3E531FB1"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2000s literature stopped asking whether openness helps and started asking when. Lee et al. (2004)</w:t>
      </w:r>
      <w:sdt>
        <w:sdtPr>
          <w:rPr>
            <w:rFonts w:ascii="Arial" w:hAnsi="Arial" w:cs="Arial"/>
            <w:color w:val="000000"/>
            <w:sz w:val="20"/>
            <w:szCs w:val="20"/>
          </w:rPr>
          <w:tag w:val="MENDELEY_CITATION_v3_eyJjaXRhdGlvbklEIjoiTUVOREVMRVlfQ0lUQVRJT05fZGNmYjcyMDItOTU0ZS00YzRlLWI1NzgtYWJiZmUzODZkMjJhIiwicHJvcGVydGllcyI6eyJub3RlSW5kZXgiOjB9LCJpc0VkaXRlZCI6ZmFsc2UsIm1hbnVhbE92ZXJyaWRlIjp7ImlzTWFudWFsbHlPdmVycmlkZGVuIjpmYWxzZSwiY2l0ZXByb2NUZXh0IjoiWzE0XSIsIm1hbnVhbE92ZXJyaWRlVGV4dCI6IiJ9LCJjaXRhdGlvbkl0ZW1zIjpbeyJpZCI6ImRiMjk2Y2Q3LWVkYzAtM2Q5ZC04NDQyLTdhMzc1MTUyNzA3NiIsIml0ZW1EYXRhIjp7InR5cGUiOiJhcnRpY2xlLWpvdXJuYWwiLCJpZCI6ImRiMjk2Y2Q3LWVkYzAtM2Q5ZC04NDQyLTdhMzc1MTUyNzA3NiIsInRpdGxlIjoiT25jZSBhZ2FpbiwgaXMgb3Blbm5lc3MgZ29vZCBmb3IgZ3Jvd3RoPyIsImF1dGhvciI6W3siZmFtaWx5IjoiTGVlIiwiZ2l2ZW4iOiJIYSBZYW4iLCJwYXJzZS1uYW1lcyI6ZmFsc2UsImRyb3BwaW5nLXBhcnRpY2xlIjoiIiwibm9uLWRyb3BwaW5nLXBhcnRpY2xlIjoiIn0seyJmYW1pbHkiOiJSaWNjaSIsImdpdmVuIjoiTHVjYSBBbnRvbmlvIiwicGFyc2UtbmFtZXMiOmZhbHNlLCJkcm9wcGluZy1wYXJ0aWNsZSI6IiIsIm5vbi1kcm9wcGluZy1wYXJ0aWNsZSI6IiJ9LHsiZmFtaWx5IjoiUmlnb2JvbiIsImdpdmVuIjoiUm9iZXJ0byIsInBhcnNlLW5hbWVzIjpmYWxzZSwiZHJvcHBpbmctcGFydGljbGUiOiIiLCJub24tZHJvcHBpbmctcGFydGljbGUiOiIifV0sImNvbnRhaW5lci10aXRsZSI6IkpvdXJuYWwgb2YgRGV2ZWxvcG1lbnQgRWNvbm9taWNzIiwiY29udGFpbmVyLXRpdGxlLXNob3J0IjoiSi4gRGV2LiBFY29uLiIsIkRPSSI6Imh0dHBzOi8vZG9pLm9yZy8xMC4xMDE2L2ouamRldmVjby4yMDA0LjA2LjAwNiIsIklTU04iOiIwMzA0LTM4NzgiLCJVUkwiOiJodHRwczovL3d3dy5zY2llbmNlZGlyZWN0LmNvbS9zY2llbmNlL2FydGljbGUvcGlpL1MwMzA0Mzg3ODA0MDAwNjkwIiwiaXNzdWVkIjp7ImRhdGUtcGFydHMiOltbMjAwNF1dfSwicGFnZSI6IjQ1MS00NzIiLCJhYnN0cmFjdCI6IlJvZHJpZ3VleiBhbmQgUm9kcmlrICgyMDAwKSBhcmd1ZSB0aGF0IHRoZSByZWxhdGlvbiBiZXR3ZWVuIG9wZW5uZXNzIGFuZCBncm93dGggaXMgc3RpbGwgYW4gb3BlbiBxdWVzdGlvbi4gT25lIG9mIHRoZSBtYWluIHByb2JsZW1zIGluIHRoZSBhc3Nlc3NtZW50IG9mIHRoZSBlZmZlY3QgaXMgdGhlIGVuZG9nZW5laXR5IG9mIHRoZSByZWxhdGlvbi4gSW4gb3JkZXIgdG8gYWRkcmVzcyB0aGlzIGlzc3VlLCB0aGlzIHBhcGVyIGFwcGxpZXMgdGhlIGlkZW50aWZpY2F0aW9uIHRocm91Z2ggaGV0ZXJvc2tlZGFzdGljaXR5IG1ldGhvZG9sb2d5IHRvIGVzdGltYXRlIHRoZSBlZmZlY3Qgb2Ygb3Blbm5lc3Mgb24gZ3Jvd3RoIHdoaWxlIHByb3Blcmx5IGNvbnRyb2xsaW5nIGZvciB0aGUgZWZmZWN0IG9mIGdyb3d0aCBvbiBvcGVubmVzcy4gVGhlIHJlc3VsdHMgc3VnZ2VzdCB0aGF0IG9wZW5uZXNzIHdvdWxkIGhhdmUgYSBwb3NpdGl2ZSBlZmZlY3Qgb24gZ3Jvd3RoLCBhbHRob3VnaCBzbWFsbC4gVGhpcyByZXN1bHQgc3RhbmRzLCBkZXNwaXRlIHRoZSBlcXVhbGx5IHJvYnVzdCBlZmZlY3QgZnJvbSBncm93dGggdG8gb3Blbm5lc3MuIiwiaXNzdWUiOiIyIiwidm9sdW1lIjoiNzUifSwiaXNUZW1wb3JhcnkiOmZhbHNlLCJzdXBwcmVzcy1hdXRob3IiOmZhbHNlLCJjb21wb3NpdGUiOmZhbHNlLCJhdXRob3Itb25seSI6ZmFsc2V9XX0="/>
          <w:id w:val="-464664738"/>
          <w:placeholder>
            <w:docPart w:val="DefaultPlaceholder_-1854013440"/>
          </w:placeholder>
        </w:sdtPr>
        <w:sdtContent>
          <w:r w:rsidR="00DC1AA6" w:rsidRPr="00DC1AA6">
            <w:rPr>
              <w:rFonts w:ascii="Arial" w:hAnsi="Arial" w:cs="Arial"/>
              <w:color w:val="000000"/>
              <w:sz w:val="20"/>
              <w:szCs w:val="20"/>
            </w:rPr>
            <w:t>[14]</w:t>
          </w:r>
        </w:sdtContent>
      </w:sdt>
      <w:r w:rsidRPr="006616B1">
        <w:rPr>
          <w:rFonts w:ascii="Arial" w:hAnsi="Arial" w:cs="Arial"/>
          <w:sz w:val="20"/>
          <w:szCs w:val="20"/>
        </w:rPr>
        <w:t xml:space="preserve"> found that income level and institutional quality shape the growth response; the same degree of openness produces different outcomes in different institutional contexts. Greenaway et al. (2002)</w:t>
      </w:r>
      <w:sdt>
        <w:sdtPr>
          <w:rPr>
            <w:rFonts w:ascii="Arial" w:hAnsi="Arial" w:cs="Arial"/>
            <w:color w:val="000000"/>
            <w:sz w:val="20"/>
            <w:szCs w:val="20"/>
          </w:rPr>
          <w:tag w:val="MENDELEY_CITATION_v3_eyJjaXRhdGlvbklEIjoiTUVOREVMRVlfQ0lUQVRJT05fZjQyN2UwZTYtM2RmOC00NDk2LTg1YzQtYzI4ZjQwNmY1MWE2IiwicHJvcGVydGllcyI6eyJub3RlSW5kZXgiOjB9LCJpc0VkaXRlZCI6ZmFsc2UsIm1hbnVhbE92ZXJyaWRlIjp7ImlzTWFudWFsbHlPdmVycmlkZGVuIjpmYWxzZSwiY2l0ZXByb2NUZXh0IjoiWzE1XSIsIm1hbnVhbE92ZXJyaWRlVGV4dCI6IiJ9LCJjaXRhdGlvbkl0ZW1zIjpbeyJpZCI6IjFmNDM4ZTUyLTIzNjctMzE3NS1hMmY1LWMwZGMyNjlmNTJkZCIsIml0ZW1EYXRhIjp7InR5cGUiOiJhcnRpY2xlLWpvdXJuYWwiLCJpZCI6IjFmNDM4ZTUyLTIzNjctMzE3NS1hMmY1LWMwZGMyNjlmNTJkZCIsInRpdGxlIjoiVHJhZGUgbGliZXJhbGlzYXRpb24gYW5kIGdyb3d0aCBpbiBkZXZlbG9waW5nIGNvdW50cmllcyIsImF1dGhvciI6W3siZmFtaWx5IjoiR3JlZW5hd2F5IiwiZ2l2ZW4iOiJEYXZpZCIsInBhcnNlLW5hbWVzIjpmYWxzZSwiZHJvcHBpbmctcGFydGljbGUiOiIiLCJub24tZHJvcHBpbmctcGFydGljbGUiOiIifSx7ImZhbWlseSI6Ik1vcmdhbiIsImdpdmVuIjoiV3luIiwicGFyc2UtbmFtZXMiOmZhbHNlLCJkcm9wcGluZy1wYXJ0aWNsZSI6IiIsIm5vbi1kcm9wcGluZy1wYXJ0aWNsZSI6IiJ9LHsiZmFtaWx5IjoiV3JpZ2h0IiwiZ2l2ZW4iOiJQZXRlciIsInBhcnNlLW5hbWVzIjpmYWxzZSwiZHJvcHBpbmctcGFydGljbGUiOiIiLCJub24tZHJvcHBpbmctcGFydGljbGUiOiIifV0sImNvbnRhaW5lci10aXRsZSI6IkpvdXJuYWwgb2YgRGV2ZWxvcG1lbnQgRWNvbm9taWNzIiwiY29udGFpbmVyLXRpdGxlLXNob3J0IjoiSi4gRGV2LiBFY29uLiIsIkRPSSI6Imh0dHBzOi8vZG9pLm9yZy8xMC4xMDE2L1MwMzA0LTM4NzgoMDEpMDAxODUtNyIsIklTU04iOiIwMzA0LTM4NzgiLCJVUkwiOiJodHRwczovL3d3dy5zY2llbmNlZGlyZWN0LmNvbS9zY2llbmNlL2FydGljbGUvcGlpL1MwMzA0Mzg3ODAxMDAxODU3IiwiaXNzdWVkIjp7ImRhdGUtcGFydHMiOltbMjAwMl1dfSwicGFnZSI6IjIyOS0yNDQiLCJhYnN0cmFjdCI6IlRyYWRlIGxpYmVyYWxpc2F0aW9uIGluIGRldmVsb3BpbmcgY291bnRyaWVzIG92ZXIgdGhlIGxhc3QgMjAgeWVhcnMgaGFzIG9mdGVuIGJlZW4gaW1wbGVtZW50ZWQgd2l0aCB0aGUgZXhwZWN0YXRpb24gb2YgZ3Jvd3RoIGJlaW5nIHN0aW11bGF0ZWQ7IHlldCB0aGUgZXZpZGVuY2Ugb24gaXRzIGdyb3d0aCBlbmhhbmNpbmcgZWZmZWN0cyBpcyBtaXhlZC4gVGhpcyBwYXBlciBhcmd1ZXMgdGhhdCBwcm9ibGVtcyB3aXRoIG1pcy1zcGVjaWZpY2F0aW9uIGFuZCB0aGUgZGl2ZXJzaXR5IG9mIGxpYmVyYWxpc2F0aW9uIGluZGljZXMgdXNlZCBhcmUgaW4gcGFydCByZXNwb25zaWJsZSBmb3IgdGhlIGluY29uY2x1c2l2ZW5lc3MuIFVzaW5nIGEgZHluYW1pYyBwYW5lbCBmcmFtZXdvcmsgYW5kIHRocmVlIGRpZmZlcmVudCBpbmRpY2F0b3JzIG9mIGxpYmVyYWxpc2F0aW9uLCB0aGUgcGFwZXIgZmluZHMgdGhhdCBsaWJlcmFsaXNhdGlvbiBkb2VzIGFwcGVhciB0byBpbXBhY3QgdXBvbiBncm93dGgsIGFsYmVpdCB3aXRoIGEgbGFnLiBUaGUgZXZpZGVuY2UgcG9pbnRzIHRvIGEgSiBjdXJ2ZSB0eXBlIHJlc3BvbnNlIGFuZCB0aGlzIGZpbmRpbmcgaXMgcm9idXN0IHRvIGNoYW5nZXMgaW4gc3BlY2lmaWNhdGlvbiwgc2FtcGxlIHNpemUgYW5kIGRhdGEgcGVyaW9kLiIsImlzc3VlIjoiMSIsInZvbHVtZSI6IjY3In0sImlzVGVtcG9yYXJ5IjpmYWxzZSwic3VwcHJlc3MtYXV0aG9yIjpmYWxzZSwiY29tcG9zaXRlIjpmYWxzZSwiYXV0aG9yLW9ubHkiOmZhbHNlfV19"/>
          <w:id w:val="1128673897"/>
          <w:placeholder>
            <w:docPart w:val="DefaultPlaceholder_-1854013440"/>
          </w:placeholder>
        </w:sdtPr>
        <w:sdtContent>
          <w:r w:rsidR="00DC1AA6" w:rsidRPr="00DC1AA6">
            <w:rPr>
              <w:rFonts w:ascii="Arial" w:hAnsi="Arial" w:cs="Arial"/>
              <w:color w:val="000000"/>
              <w:sz w:val="20"/>
              <w:szCs w:val="20"/>
            </w:rPr>
            <w:t>[15]</w:t>
          </w:r>
        </w:sdtContent>
      </w:sdt>
      <w:r w:rsidRPr="006616B1">
        <w:rPr>
          <w:rFonts w:ascii="Arial" w:hAnsi="Arial" w:cs="Arial"/>
          <w:sz w:val="20"/>
          <w:szCs w:val="20"/>
        </w:rPr>
        <w:t xml:space="preserve"> argued liberalization needs accompanying macroeconomic reform to pay off. Vamvakidis (2002)</w:t>
      </w:r>
      <w:sdt>
        <w:sdtPr>
          <w:rPr>
            <w:rFonts w:ascii="Arial" w:hAnsi="Arial" w:cs="Arial"/>
            <w:color w:val="000000"/>
            <w:sz w:val="20"/>
            <w:szCs w:val="20"/>
          </w:rPr>
          <w:tag w:val="MENDELEY_CITATION_v3_eyJjaXRhdGlvbklEIjoiTUVOREVMRVlfQ0lUQVRJT05fZGJhNjQ1MTctNjJiMy00Y2I2LWJmMzgtMTk1NTRmMDE0MGM3IiwicHJvcGVydGllcyI6eyJub3RlSW5kZXgiOjB9LCJpc0VkaXRlZCI6ZmFsc2UsIm1hbnVhbE92ZXJyaWRlIjp7ImlzTWFudWFsbHlPdmVycmlkZGVuIjpmYWxzZSwiY2l0ZXByb2NUZXh0IjoiWzE2XSIsIm1hbnVhbE92ZXJyaWRlVGV4dCI6IiJ9LCJjaXRhdGlvbkl0ZW1zIjpbeyJpZCI6ImJlNzA2MjM1LWVmMGUtM2E5Zi04YjVkLTY2NDM1ZGI4ZGQ3MiIsIml0ZW1EYXRhIjp7InR5cGUiOiJhcnRpY2xlLWpvdXJuYWwiLCJpZCI6ImJlNzA2MjM1LWVmMGUtM2E5Zi04YjVkLTY2NDM1ZGI4ZGQ3MiIsInRpdGxlIjoiSG93IFJvYnVzdCBpcyB0aGUgR3Jvd3RoLU9wZW5uZXNzIENvbm5lY3Rpb24/IEhpc3RvcmljYWwgRXZpZGVuY2UiLCJhdXRob3IiOlt7ImZhbWlseSI6IlZhbXZha2lkaXMiLCJnaXZlbiI6IkF0aGFuYXNpb3MiLCJwYXJzZS1uYW1lcyI6ZmFsc2UsImRyb3BwaW5nLXBhcnRpY2xlIjoiIiwibm9uLWRyb3BwaW5nLXBhcnRpY2xlIjoiIn1dLCJjb250YWluZXItdGl0bGUiOiJKb3VybmFsIG9mIEVjb25vbWljIEdyb3d0aCIsIkRPSSI6IjEwLjEwMjMvQToxMDEzNDE4NjEwNzEyIiwiSVNTTiI6IjE1NzMtNzAyMCIsIlVSTCI6Imh0dHBzOi8vZG9pLm9yZy8xMC4xMDIzL0E6MTAxMzQxODYxMDcxMiIsImlzc3VlZCI6eyJkYXRlLXBhcnRzIjpbWzIwMDJdXX0sInBhZ2UiOiI1Ny04MCIsImFic3RyYWN0IjoiUHJldmlvdXMgbGl0ZXJhdHVyZSBoYXMgZXN0YWJsaXNoZWQgYSBwb3NpdGl2ZSBjb3JyZWxhdGlvbiBiZXR3ZWVuIG9wZW5uZXNzIHRvIGludGVybmF0aW9uYWwgdHJhZGUgYW5kIEdEUCBwZXIgY2FwaXRhIGdyb3d0aCBmb3IgZGV2ZWxvcGVkIGFuZCBkZXZlbG9waW5nIGVjb25vbWllcyBpbiByZWNlbnQgZGVjYWRlcy4gSG93ZXZlciwgbG9va2luZyBhdCBoaXN0b3JpY2FsIGV2aWRlbmNlIGZyb20gMTg3MCB0byB0aGUgcHJlc2VudCwgdGhpcyBwYXBlciBmaW5kcyBubyBzdXBwb3J0IGZvciBhIHBvc2l0aXZlIGdyb3d0aC1vcGVubmVzcyBjb25uZWN0aW9uIGJlZm9yZSAxOTcwLiBJbiBmYWN0LCB0aGUgY29ycmVsYXRpb24gaXMgbmVnYXRpdmUgZm9yIHRoZSBwZXJpb2QgMTkyMOKAkzE5NDAuIENyb3NzLWNvdW50cnkgZ3Jvd3RoIHJlZ3Jlc3Npb25zIGVzdGltYXRlZCBmb3IgdGhlIHBlcmlvZCAxOTIw4oCTMTk5MCBzdWdnZXN0IHRoYXQgdGhlIHBvc2l0aXZlIGNvcnJlbGF0aW9uIGJldHdlZW4gb3Blbm5lc3MgYW5kIGdyb3d0aCBpcyBvbmx5IGEgcmVjZW50IHBoZW5vbWVub24uIFRoZSBwYXBlciBwcm92aWRlcyB1c2VmdWwgY29uY2x1c2lvbnMgcmVnYXJkaW5nIHRoZSByb2J1c3RuZXNzIG5vdCBvbmx5IG9mIHRoZSBvcGVubmVzcyB2YXJpYWJsZXMgYnV0IGFsc28gb2Ygb3RoZXIgZ3Jvd3RoIGRldGVybWluYW50cy4iLCJpc3N1ZSI6IjEiLCJ2b2x1bWUiOiI3IiwiY29udGFpbmVyLXRpdGxlLXNob3J0IjoiIn0sImlzVGVtcG9yYXJ5IjpmYWxzZSwic3VwcHJlc3MtYXV0aG9yIjpmYWxzZSwiY29tcG9zaXRlIjpmYWxzZSwiYXV0aG9yLW9ubHkiOmZhbHNlfV19"/>
          <w:id w:val="-555393209"/>
          <w:placeholder>
            <w:docPart w:val="DefaultPlaceholder_-1854013440"/>
          </w:placeholder>
        </w:sdtPr>
        <w:sdtContent>
          <w:r w:rsidR="00DC1AA6" w:rsidRPr="00DC1AA6">
            <w:rPr>
              <w:rFonts w:ascii="Arial" w:hAnsi="Arial" w:cs="Arial"/>
              <w:color w:val="000000"/>
              <w:sz w:val="20"/>
              <w:szCs w:val="20"/>
            </w:rPr>
            <w:t>[16]</w:t>
          </w:r>
        </w:sdtContent>
      </w:sdt>
      <w:r w:rsidRPr="006616B1">
        <w:rPr>
          <w:rFonts w:ascii="Arial" w:hAnsi="Arial" w:cs="Arial"/>
          <w:sz w:val="20"/>
          <w:szCs w:val="20"/>
        </w:rPr>
        <w:t xml:space="preserve"> used historical data to show timing matters: early and late liberalizers had meaningfully different trajectories. By the mid-2000s, openness was understood as a conditional rather than universal growth factor.</w:t>
      </w:r>
    </w:p>
    <w:p w14:paraId="4093683D" w14:textId="4E68966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Subsequent work added more conditions. </w:t>
      </w:r>
      <w:proofErr w:type="spellStart"/>
      <w:r w:rsidRPr="006616B1">
        <w:rPr>
          <w:rFonts w:ascii="Arial" w:hAnsi="Arial" w:cs="Arial"/>
          <w:sz w:val="20"/>
          <w:szCs w:val="20"/>
        </w:rPr>
        <w:t>Wacziarg</w:t>
      </w:r>
      <w:proofErr w:type="spellEnd"/>
      <w:r w:rsidRPr="006616B1">
        <w:rPr>
          <w:rFonts w:ascii="Arial" w:hAnsi="Arial" w:cs="Arial"/>
          <w:sz w:val="20"/>
          <w:szCs w:val="20"/>
        </w:rPr>
        <w:t xml:space="preserve"> and Welch (2008)</w:t>
      </w:r>
      <w:sdt>
        <w:sdtPr>
          <w:rPr>
            <w:rFonts w:ascii="Arial" w:hAnsi="Arial" w:cs="Arial"/>
            <w:color w:val="000000"/>
            <w:sz w:val="20"/>
            <w:szCs w:val="20"/>
          </w:rPr>
          <w:tag w:val="MENDELEY_CITATION_v3_eyJjaXRhdGlvbklEIjoiTUVOREVMRVlfQ0lUQVRJT05fOGI5MzAxZDMtMzM4Zi00NTYzLWE5NTEtOTY0M2RiMDFhZjcyIiwicHJvcGVydGllcyI6eyJub3RlSW5kZXgiOjB9LCJpc0VkaXRlZCI6ZmFsc2UsIm1hbnVhbE92ZXJyaWRlIjp7ImlzTWFudWFsbHlPdmVycmlkZGVuIjpmYWxzZSwiY2l0ZXByb2NUZXh0IjoiWzE3XSIsIm1hbnVhbE92ZXJyaWRlVGV4dCI6IiJ9LCJjaXRhdGlvbkl0ZW1zIjpbeyJpZCI6IjI5NGNmNjgyLTUzMGMtM2QwOC1iMWRlLTgyYjZjYzlkNTlhMyIsIml0ZW1EYXRhIjp7InR5cGUiOiJhcnRpY2xlLWpvdXJuYWwiLCJpZCI6IjI5NGNmNjgyLTUzMGMtM2QwOC1iMWRlLTgyYjZjYzlkNTlhMyIsInRpdGxlIjoiVHJhZGUgTGliZXJhbGl6YXRpb24gYW5kIEdyb3d0aDogTmV3IEV2aWRlbmNlIiwiYXV0aG9yIjpbeyJmYW1pbHkiOiJXYWN6aWFyZyIsImdpdmVuIjoiUm9tYWluIiwicGFyc2UtbmFtZXMiOmZhbHNlLCJkcm9wcGluZy1wYXJ0aWNsZSI6IiIsIm5vbi1kcm9wcGluZy1wYXJ0aWNsZSI6IiJ9LHsiZmFtaWx5IjoiV2VsY2giLCJnaXZlbiI6IkthcmVuIEhvcm4iLCJwYXJzZS1uYW1lcyI6ZmFsc2UsImRyb3BwaW5nLXBhcnRpY2xlIjoiIiwibm9uLWRyb3BwaW5nLXBhcnRpY2xlIjoiIn1dLCJjb250YWluZXItdGl0bGUiOiJUaGUgV29ybGQgQmFuayBFY29ub21pYyBSZXZpZXciLCJjb250YWluZXItdGl0bGUtc2hvcnQiOiJXb3JsZCBCYW5rIEVjb24uIFJldi4iLCJVUkwiOiJodHRwczovL0Vjb25QYXBlcnMucmVwZWMub3JnL1JlUEVjOm91cDp3YmVjcnY6djoyMjp5OjIwMDg6aToyOnA6MTg3LTIzMSIsImlzc3VlZCI6eyJkYXRlLXBhcnRzIjpbWzIwMDhdXX0sInBhZ2UiOiIxODctMjMxIiwiYWJzdHJhY3QiOiJBIG5ldyBkYXRhIHNldCBvZiBvbiBvcGVubmVzcyBpbmRpY2F0b3JzIGFuZCB0cmFkZSBsaWJlcmFsaXphdGlvbiBkYXRlcyBhbGxvd3MgdGhlIDE5OTUgU2FjaHMgYW5kIFdhcm5lciBzdHVkeSBvbiB0aGUgcmVsYXRpb25zaGlwIGJldHdlZW4gdHJhZGUgb3Blbm5lc3MgYW5kIGVjb25vbWljIGdyb3d0aCB0byBiZSBleHRlbmRlZCB0byB0aGUgMTk5MHMuIE5ldyBldmlkZW5jZSBvbiB0aGUgdGltZSBwYXRocyBvZiBlY29ub21pYyBncm93dGgsIHBoeXNpY2FsIGNhcGl0YWwgaW52ZXN0bWVudCwgYW5kIG9wZW5uZXNzIGFyb3VuZCBlcGlzb2RlcyBvZiB0cmFkZSBwb2xpY3kgbGliZXJhbGl6YXRpb24gaXMgYWxzbyBwcmVzZW50ZWQuIEFuYWx5c2lzIGJhc2VkIG9uIHRoZSBuZXcgZGF0YSBzZXQgc3VnZ2VzdHMgdGhhdCBvdmVyIHRoZSAxOTUwLS05OCBwZXJpb2QsIGNvdW50cmllcyB0aGF0IGxpYmVyYWxpemVkIHRoZWlyIHRyYWRlIHJlZ2ltZXMgZXhwZXJpZW5jZWQgYXZlcmFnZSBhbm51YWwgZ3Jvd3RoIHJhdGVzIHRoYXQgd2VyZSBhYm91dCAxLjUgcGVyY2VudGFnZSBwb2ludHMgaGlnaGVyIHRoYW4gYmVmb3JlIGxpYmVyYWxpemF0aW9uLiBQb3N0bGliZXJhbGl6YXRpb24gaW52ZXN0bWVudCByYXRlcyByb3NlIDEuNS0tMi4wIHBlcmNlbnRhZ2UgcG9pbnRzLCBjb25maXJtaW5nIHBhc3QgZmluZGluZ3MgdGhhdCBsaWJlcmFsaXphdGlvbiBmb3N0ZXJzIGdyb3d0aCBpbiBwYXJ0IHRocm91Z2ggaXRzIGVmZmVjdCBvbiBwaHlzaWNhbCBjYXBpdGFsIGFjY3VtdWxhdGlvbi4gTGliZXJhbGl6YXRpb24gcmFpc2VkIHRoZSBhdmVyYWdlIHRyYWRlIHRvIEdEUCByYXRpbyBieSByb3VnaGx5IDUgcGVyY2VudGFnZSBwb2ludHMsIHN1Z2dlc3RpbmcgdGhhdCB0cmFkZSBwb2xpY3kgbGliZXJhbGl6YXRpb24gZGlkIGluZGVlZCByYWlzZSB0aGUgYWN0dWFsIGxldmVsIG9mIG9wZW5uZXNzIG9mIGxpYmVyYWxpemVycy4gSG93ZXZlciwgdGhlc2UgYXZlcmFnZSBlZmZlY3RzIG1hc2sgbGFyZ2UgZGlmZmVyZW5jZXMgYWNyb3NzIGNvdW50cmllcy4gQ29weXJpZ2h0IFRoZSBBdXRob3IgMjAwOC4gUHVibGlzaGVkIGJ5IE94Zm9yZCBVbml2ZXJzaXR5IFByZXNzIG9uIGJlaGFsZiBvZiB0aGUgSW50ZXJuYXRpb25hbCBCYW5rIGZvciBSZWNvbnN0cnVjdGlvbiBhbmQgRGV2ZWxvcG1lbnQgLyB0aGUgd29ybGQgYmFuayAuIEFsbCByaWdodHMgcmVzZXJ2ZWQuIEZvciBwZXJtaXNzaW9ucywgcGxlYXNlIGUtbWFpbDogam91cm5hbHMucGVybWlzc2lvbnNAb3hmb3Jkam91cm5hbHMub3JnLCBPeGZvcmQgVW5pdmVyc2l0eSBQcmVzcy4iLCJpc3N1ZSI6IjIiLCJ2b2x1bWUiOiIyMiJ9LCJpc1RlbXBvcmFyeSI6ZmFsc2V9XX0="/>
          <w:id w:val="1117635499"/>
          <w:placeholder>
            <w:docPart w:val="DefaultPlaceholder_-1854013440"/>
          </w:placeholder>
        </w:sdtPr>
        <w:sdtContent>
          <w:r w:rsidR="00DC1AA6" w:rsidRPr="00DC1AA6">
            <w:rPr>
              <w:rFonts w:ascii="Arial" w:eastAsia="Times New Roman" w:hAnsi="Arial" w:cs="Arial"/>
              <w:color w:val="000000"/>
              <w:sz w:val="20"/>
            </w:rPr>
            <w:t>[17]</w:t>
          </w:r>
        </w:sdtContent>
      </w:sdt>
      <w:r w:rsidRPr="006616B1">
        <w:rPr>
          <w:rFonts w:ascii="Arial" w:hAnsi="Arial" w:cs="Arial"/>
          <w:sz w:val="20"/>
          <w:szCs w:val="20"/>
        </w:rPr>
        <w:t xml:space="preserve"> found that sustained liberalization, unlike partial or reversed reform, raises investment and growth. Chang et al. (2009)</w:t>
      </w:r>
      <w:sdt>
        <w:sdtPr>
          <w:rPr>
            <w:rFonts w:ascii="Arial" w:hAnsi="Arial" w:cs="Arial"/>
            <w:color w:val="000000"/>
            <w:sz w:val="20"/>
            <w:szCs w:val="20"/>
          </w:rPr>
          <w:tag w:val="MENDELEY_CITATION_v3_eyJjaXRhdGlvbklEIjoiTUVOREVMRVlfQ0lUQVRJT05fMmUwZjNiYjYtMWZmYS00N2QyLWI3MWUtMmE2MDdmOTk2Y2MyIiwicHJvcGVydGllcyI6eyJub3RlSW5kZXgiOjB9LCJpc0VkaXRlZCI6ZmFsc2UsIm1hbnVhbE92ZXJyaWRlIjp7ImlzTWFudWFsbHlPdmVycmlkZGVuIjpmYWxzZSwiY2l0ZXByb2NUZXh0IjoiWzE4XSIsIm1hbnVhbE92ZXJyaWRlVGV4dCI6IiJ9LCJjaXRhdGlvbkl0ZW1zIjpbeyJpZCI6IjkxNTg2MDc1LTQ4OGYtMzdiNy1hNTgyLThlN2ZhNTZiZDcxNyIsIml0ZW1EYXRhIjp7InR5cGUiOiJhcnRpY2xlLWpvdXJuYWwiLCJpZCI6IjkxNTg2MDc1LTQ4OGYtMzdiNy1hNTgyLThlN2ZhNTZiZDcxNyIsInRpdGxlIjoiT3Blbm5lc3MgY2FuIGJlIGdvb2QgZm9yIGdyb3d0aDogVGhlIHJvbGUgb2YgcG9saWN5IGNvbXBsZW1lbnRhcml0aWVzIiwiYXV0aG9yIjpbeyJmYW1pbHkiOiJDaGFuZyIsImdpdmVuIjoiUm9iZXJ0byIsInBhcnNlLW5hbWVzIjpmYWxzZSwiZHJvcHBpbmctcGFydGljbGUiOiIiLCJub24tZHJvcHBpbmctcGFydGljbGUiOiIifSx7ImZhbWlseSI6IkthbHRhbmkiLCJnaXZlbiI6IkxpbmRhIiwicGFyc2UtbmFtZXMiOmZhbHNlLCJkcm9wcGluZy1wYXJ0aWNsZSI6IiIsIm5vbi1kcm9wcGluZy1wYXJ0aWNsZSI6IiJ9LHsiZmFtaWx5IjoiTG9heXphIiwiZ2l2ZW4iOiJOb3JtYW4iLCJwYXJzZS1uYW1lcyI6ZmFsc2UsImRyb3BwaW5nLXBhcnRpY2xlIjoiViIsIm5vbi1kcm9wcGluZy1wYXJ0aWNsZSI6IiJ9XSwiY29udGFpbmVyLXRpdGxlIjoiSm91cm5hbCBvZiBEZXZlbG9wbWVudCBFY29ub21pY3MiLCJjb250YWluZXItdGl0bGUtc2hvcnQiOiJKLiBEZXYuIEVjb24uIiwiRE9JIjoiaHR0cHM6Ly9kb2kub3JnLzEwLjEwMTYvai5qZGV2ZWNvLjIwMDguMDYuMDExIiwiSVNTTiI6IjAzMDQtMzg3OCIsIlVSTCI6Imh0dHBzOi8vd3d3LnNjaWVuY2VkaXJlY3QuY29tL3NjaWVuY2UvYXJ0aWNsZS9waWkvUzAzMDQzODc4MDgwMDA2NTUiLCJpc3N1ZWQiOnsiZGF0ZS1wYXJ0cyI6W1syMDA5XV19LCJwYWdlIjoiMzMtNDkiLCJhYnN0cmFjdCI6IlRoaXMgcGFwZXIgc3R1ZGllcyBob3cgdGhlIGVmZmVjdCBvZiB0cmFkZSBvcGVubmVzcyBvbiBlY29ub21pYyBncm93dGggbWF5IGRlcGVuZCBvbiBjb21wbGVtZW50YXJ5IHJlZm9ybXMgdGhhdCBoZWxwIGEgY291bnRyeSB0YWtlIGFkdmFudGFnZSBvZiBpbnRlcm5hdGlvbmFsIGNvbXBldGl0aW9uLiBUaGlzIGlzc3VlIGlzIGlsbHVzdHJhdGVkIHdpdGggYSBzaW1wbGUgSGFycmlz4oCTVG9kYXJvIG1vZGVsIHdoZXJlIHdlbGZhcmUgZ2FpbnMgYWZ0ZXIgdHJhZGUgb3Blbm5lc3MgZGVwZW5kIG9uIHRoZSBkZWdyZWUgb2YgbGFib3IgbWFya2V0IGZsZXhpYmlsaXR5LiBUaGUgcGFwZXIgdGhlbiBwcmVzZW50cyBjcm9zcy1jb3VudHJ5LCBwYW5lbC1kYXRhIGV2aWRlbmNlIG9uIGhvdyB0aGUgZ3Jvd3RoIGVmZmVjdCBvZiBvcGVubmVzcyBtYXkgZGVwZW5kIG9uIGEgdmFyaWV0eSBvZiBzdHJ1Y3R1cmFsIGNoYXJhY3RlcmlzdGljcy4gRm9yIHRoaXMgcHVycG9zZSwgdGhlIGVtcGlyaWNhbCBzZWN0aW9uIHVzZXMgYSBub24tbGluZWFyIGdyb3d0aCByZWdyZXNzaW9uIHNwZWNpZmljYXRpb24gdGhhdCBpbnRlcmFjdHMgYSBwcm94eSBvZiB0cmFkZSBvcGVubmVzcyB3aXRoIHByb3hpZXMgb2YgZWR1Y2F0aW9uYWwgaW52ZXN0bWVudCwgZmluYW5jaWFsIGRlcHRoLCBpbmZsYXRpb24gc3RhYmlsaXphdGlvbiwgcHVibGljIGluZnJhc3RydWN0dXJlLCBnb3Zlcm5hbmNlLCBsYWJvciBtYXJrZXQgZmxleGliaWxpdHksIGVhc2Ugb2YgZmlybSBlbnRyeSwgYW5kIGVhc2Ugb2YgZmlybSBleGl0LiBUaGUgcGFwZXIgY29uY2x1ZGVzIHRoYXQgdGhlIGdyb3d0aCBlZmZlY3RzIG9mIG9wZW5uZXNzIG1heSBiZSBzaWduaWZpY2FudGx5IGltcHJvdmVkIGlmIGNlcnRhaW4gY29tcGxlbWVudGFyeSByZWZvcm1zIGFyZSB1bmRlcnRha2VuLiIsImlzc3VlIjoiMSIsInZvbHVtZSI6IjkwIn0sImlzVGVtcG9yYXJ5IjpmYWxzZX1dfQ=="/>
          <w:id w:val="-1033655496"/>
          <w:placeholder>
            <w:docPart w:val="DefaultPlaceholder_-1854013440"/>
          </w:placeholder>
        </w:sdtPr>
        <w:sdtContent>
          <w:r w:rsidR="00DC1AA6" w:rsidRPr="00DC1AA6">
            <w:rPr>
              <w:rFonts w:ascii="Arial" w:hAnsi="Arial" w:cs="Arial"/>
              <w:color w:val="000000"/>
              <w:sz w:val="20"/>
              <w:szCs w:val="20"/>
            </w:rPr>
            <w:t>[18]</w:t>
          </w:r>
        </w:sdtContent>
      </w:sdt>
      <w:r w:rsidRPr="006616B1">
        <w:rPr>
          <w:rFonts w:ascii="Arial" w:hAnsi="Arial" w:cs="Arial"/>
          <w:sz w:val="20"/>
          <w:szCs w:val="20"/>
        </w:rPr>
        <w:t xml:space="preserve"> showed that without financial development and human capital, trade gains are limited; these are complements, not substitutes. Herzer (2013)</w:t>
      </w:r>
      <w:sdt>
        <w:sdtPr>
          <w:rPr>
            <w:rFonts w:ascii="Arial" w:hAnsi="Arial" w:cs="Arial"/>
            <w:color w:val="000000"/>
            <w:sz w:val="20"/>
            <w:szCs w:val="20"/>
          </w:rPr>
          <w:tag w:val="MENDELEY_CITATION_v3_eyJjaXRhdGlvbklEIjoiTUVOREVMRVlfQ0lUQVRJT05fNGM3NjdjMGUtODI5MC00YzVmLTk0YjktM2I3OWUwNmM3N2ZiIiwicHJvcGVydGllcyI6eyJub3RlSW5kZXgiOjB9LCJpc0VkaXRlZCI6ZmFsc2UsIm1hbnVhbE92ZXJyaWRlIjp7ImlzTWFudWFsbHlPdmVycmlkZGVuIjpmYWxzZSwiY2l0ZXByb2NUZXh0IjoiWzE5XSIsIm1hbnVhbE92ZXJyaWRlVGV4dCI6IiJ9LCJjaXRhdGlvbkl0ZW1zIjpbeyJpZCI6IjAxODkxYmViLWY0NTUtM2Y3My04YjczLWRiZDkzNTg5OGM2OCIsIml0ZW1EYXRhIjp7InR5cGUiOiJhcnRpY2xlLWpvdXJuYWwiLCJpZCI6IjAxODkxYmViLWY0NTUtM2Y3My04YjczLWRiZDkzNTg5OGM2OCIsInRpdGxlIjoiQ3Jvc3MtQ291bnRyeSBIZXRlcm9nZW5laXR5IGFuZCB0aGUgVHJhZGUtSW5jb21lIFJlbGF0aW9uc2hpcCIsImF1dGhvciI6W3siZmFtaWx5IjoiSGVyemVyIiwiZ2l2ZW4iOiJEaWVyayIsInBhcnNlLW5hbWVzIjpmYWxzZSwiZHJvcHBpbmctcGFydGljbGUiOiIiLCJub24tZHJvcHBpbmctcGFydGljbGUiOiIifV0sImNvbnRhaW5lci10aXRsZSI6IkZJVywgRklXIFdvcmtpbmcgUGFwZXIgc2VyaWVzIiwiRE9JIjoiMTAuMTAxNi9qLndvcmxkZGV2LjIwMTIuMDkuMDE0IiwiaXNzdWVkIjp7ImRhdGUtcGFydHMiOltbMjAxMyw0LDFdXX0sInZvbHVtZSI6IjQ0IiwiY29udGFpbmVyLXRpdGxlLXNob3J0IjoiIn0sImlzVGVtcG9yYXJ5IjpmYWxzZSwic3VwcHJlc3MtYXV0aG9yIjpmYWxzZSwiY29tcG9zaXRlIjpmYWxzZSwiYXV0aG9yLW9ubHkiOmZhbHNlfV19"/>
          <w:id w:val="-644899999"/>
          <w:placeholder>
            <w:docPart w:val="DefaultPlaceholder_-1854013440"/>
          </w:placeholder>
        </w:sdtPr>
        <w:sdtContent>
          <w:r w:rsidR="00DC1AA6" w:rsidRPr="00DC1AA6">
            <w:rPr>
              <w:rFonts w:ascii="Arial" w:hAnsi="Arial" w:cs="Arial"/>
              <w:color w:val="000000"/>
              <w:sz w:val="20"/>
              <w:szCs w:val="20"/>
            </w:rPr>
            <w:t>[19]</w:t>
          </w:r>
        </w:sdtContent>
      </w:sdt>
      <w:r w:rsidRPr="006616B1">
        <w:rPr>
          <w:rFonts w:ascii="Arial" w:hAnsi="Arial" w:cs="Arial"/>
          <w:sz w:val="20"/>
          <w:szCs w:val="20"/>
        </w:rPr>
        <w:t>, using heterogeneous panel estimators, found that long-run trade effects vary enough across countries to make aggregate estimates nearly useless for individual cases. Howitt et al. (2005)</w:t>
      </w:r>
      <w:sdt>
        <w:sdtPr>
          <w:rPr>
            <w:rFonts w:ascii="Arial" w:hAnsi="Arial" w:cs="Arial"/>
            <w:color w:val="000000"/>
            <w:sz w:val="20"/>
            <w:szCs w:val="20"/>
          </w:rPr>
          <w:tag w:val="MENDELEY_CITATION_v3_eyJjaXRhdGlvbklEIjoiTUVOREVMRVlfQ0lUQVRJT05fZmMzZmYxYzctYjAwZS00MmY3LWI2YTUtMGFlNzA0ZjNlYWVlIiwicHJvcGVydGllcyI6eyJub3RlSW5kZXgiOjB9LCJpc0VkaXRlZCI6ZmFsc2UsIm1hbnVhbE92ZXJyaWRlIjp7ImlzTWFudWFsbHlPdmVycmlkZGVuIjpmYWxzZSwiY2l0ZXByb2NUZXh0IjoiWzIwXSIsIm1hbnVhbE92ZXJyaWRlVGV4dCI6IiJ9LCJjaXRhdGlvbkl0ZW1zIjpbeyJpZCI6ImU5N2FmMjc5LTZlMWMtM2JlMC1hMzQyLTM2MTliZmZmZGJiZSIsIml0ZW1EYXRhIjp7InR5cGUiOiJhcnRpY2xlLWpvdXJuYWwiLCJpZCI6ImU5N2FmMjc5LTZlMWMtM2JlMC1hMzQyLTM2MTliZmZmZGJiZSIsInRpdGxlIjoiVGhlIEVmZmVjdCBvZiBGaW5hbmNpYWwgRGV2ZWxvcG1lbnQgb24gQ29udmVyZ2VuY2U6IFRoZW9yeSBhbmQgRXZpZGVuY2UiLCJhdXRob3IiOlt7ImZhbWlseSI6Ikhvd2l0dCIsImdpdmVuIjoiUGV0ZXIiLCJwYXJzZS1uYW1lcyI6ZmFsc2UsImRyb3BwaW5nLXBhcnRpY2xlIjoiIiwibm9uLWRyb3BwaW5nLXBhcnRpY2xlIjoiIn0seyJmYW1pbHkiOiJBZ2hpb24iLCJnaXZlbiI6IlBoaWxpcHBlIiwicGFyc2UtbmFtZXMiOmZhbHNlLCJkcm9wcGluZy1wYXJ0aWNsZSI6IiIsIm5vbi1kcm9wcGluZy1wYXJ0aWNsZSI6IiJ9LHsiZmFtaWx5IjoiTWF5ZXItRm91bGtlcyIsImdpdmVuIjoiRGF2aWQiLCJwYXJzZS1uYW1lcyI6ZmFsc2UsImRyb3BwaW5nLXBhcnRpY2xlIjoiIiwibm9uLWRyb3BwaW5nLXBhcnRpY2xlIjoiIn1dLCJjb250YWluZXItdGl0bGUiOiJUaGUgUXVhcnRlcmx5IEpvdXJuYWwgb2YgRWNvbm9taWNzIiwiY29udGFpbmVyLXRpdGxlLXNob3J0IjoiUS4gSi4gRWNvbi4iLCJET0kiOiIxMC4xMTYyL3FqZWMuMjAwNS4xMjAuMS4xNzMiLCJpc3N1ZWQiOnsiZGF0ZS1wYXJ0cyI6W1syMDA1LDIsMV1dfSwicGFnZSI6IjE3My0yMjIiLCJ2b2x1bWUiOiIxMjAifSwiaXNUZW1wb3JhcnkiOmZhbHNlLCJzdXBwcmVzcy1hdXRob3IiOmZhbHNlLCJjb21wb3NpdGUiOmZhbHNlLCJhdXRob3Itb25seSI6ZmFsc2V9XX0="/>
          <w:id w:val="-1868822195"/>
          <w:placeholder>
            <w:docPart w:val="DefaultPlaceholder_-1854013440"/>
          </w:placeholder>
        </w:sdtPr>
        <w:sdtContent>
          <w:r w:rsidR="00DC1AA6" w:rsidRPr="00DC1AA6">
            <w:rPr>
              <w:rFonts w:ascii="Arial" w:hAnsi="Arial" w:cs="Arial"/>
              <w:color w:val="000000"/>
              <w:sz w:val="20"/>
              <w:szCs w:val="20"/>
            </w:rPr>
            <w:t>[20]</w:t>
          </w:r>
        </w:sdtContent>
      </w:sdt>
      <w:r w:rsidRPr="006616B1">
        <w:rPr>
          <w:rFonts w:ascii="Arial" w:hAnsi="Arial" w:cs="Arial"/>
          <w:sz w:val="20"/>
          <w:szCs w:val="20"/>
        </w:rPr>
        <w:t xml:space="preserve"> traced the openness-to-growth mechanism through innovation, which depends on financial infrastructure to operate.</w:t>
      </w:r>
    </w:p>
    <w:p w14:paraId="7212D4FB" w14:textId="7C0F579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For India, ARDL-based analyses consistently find cointegration between openness and GDP growth (Sengupta, 2020; </w:t>
      </w:r>
      <w:proofErr w:type="spellStart"/>
      <w:r w:rsidRPr="006616B1">
        <w:rPr>
          <w:rFonts w:ascii="Arial" w:hAnsi="Arial" w:cs="Arial"/>
          <w:sz w:val="20"/>
          <w:szCs w:val="20"/>
        </w:rPr>
        <w:t>Raghuramapatruni</w:t>
      </w:r>
      <w:proofErr w:type="spellEnd"/>
      <w:r w:rsidRPr="006616B1">
        <w:rPr>
          <w:rFonts w:ascii="Arial" w:hAnsi="Arial" w:cs="Arial"/>
          <w:sz w:val="20"/>
          <w:szCs w:val="20"/>
        </w:rPr>
        <w:t xml:space="preserve"> &amp; Chaitanya, 2020)</w:t>
      </w:r>
      <w:sdt>
        <w:sdtPr>
          <w:rPr>
            <w:rFonts w:ascii="Arial" w:hAnsi="Arial" w:cs="Arial"/>
            <w:color w:val="000000"/>
            <w:sz w:val="20"/>
            <w:szCs w:val="20"/>
          </w:rPr>
          <w:tag w:val="MENDELEY_CITATION_v3_eyJjaXRhdGlvbklEIjoiTUVOREVMRVlfQ0lUQVRJT05fYWI0YzBkODQtODlmMy00MTY4LTk4N2EtMmNhZjM1NjEwNGYxIiwicHJvcGVydGllcyI6eyJub3RlSW5kZXgiOjB9LCJpc0VkaXRlZCI6ZmFsc2UsIm1hbnVhbE92ZXJyaWRlIjp7ImlzTWFudWFsbHlPdmVycmlkZGVuIjpmYWxzZSwiY2l0ZXByb2NUZXh0IjoiWzIxXSwgWzIyXSIsIm1hbnVhbE92ZXJyaWRlVGV4dCI6IiJ9LCJjaXRhdGlvbkl0ZW1zIjpbeyJpZCI6IjM4M2U1MGMxLTY1ZWItMzdmMy1iMzczLTU5OTlmZjRiOTAzOCIsIml0ZW1EYXRhIjp7InR5cGUiOiJhcnRpY2xlLWpvdXJuYWwiLCJpZCI6IjM4M2U1MGMxLTY1ZWItMzdmMy1iMzczLTU5OTlmZjRiOTAzOCIsInRpdGxlIjoiSG93IHRyYWRlIG9wZW5uZXNzIGluZmx1ZW5jZWQgZWNvbm9taWMgZ3Jvd3RoIGluIEluZGlhOiBBbiBlbXBpcmljYWwgaW52ZXN0aWdhdGlvbiIsImF1dGhvciI6W3siZmFtaWx5IjoiU2VuZ3VwdGEiLCJnaXZlbiI6IlN3YXBuYW5pbCIsInBhcnNlLW5hbWVzIjpmYWxzZSwiZHJvcHBpbmctcGFydGljbGUiOiIiLCJub24tZHJvcHBpbmctcGFydGljbGUiOiIifV0sImNvbnRhaW5lci10aXRsZSI6IkluZGlhbiBKb3VybmFsIG9mIEVjb25vbWljcyBhbmQgRGV2ZWxvcG1lbnQiLCJjb250YWluZXItdGl0bGUtc2hvcnQiOiJJbmRpYW4gSi4gRWNvbi4gRGV2LiIsIkRPSSI6IjEwLjE3NDg1L0lKRUQvdjguMjEiLCJpc3N1ZWQiOnsiZGF0ZS1wYXJ0cyI6W1syMDIwLDksMjZdXX0sInBhZ2UiOiIxLTE0In0sImlzVGVtcG9yYXJ5IjpmYWxzZSwic3VwcHJlc3MtYXV0aG9yIjpmYWxzZSwiY29tcG9zaXRlIjpmYWxzZSwiYXV0aG9yLW9ubHkiOmZhbHNlfSx7ImlkIjoiY2Y1OTMzYmYtOTIyNi0zOWJkLWJhMTQtMTA2OWNjNDE1NDZlIiwiaXRlbURhdGEiOnsidHlwZSI6ImFydGljbGUtam91cm5hbCIsImlkIjoiY2Y1OTMzYmYtOTIyNi0zOWJkLWJhMTQtMTA2OWNjNDE1NDZlIiwidGl0bGUiOiJBbiBBcHByYWlzYWwgb2YgdGhlIEltcGFjdCBvZiBJbnRlcm5hdGlvbmFsIFRyYWRlIG9uIEVjb25vbWljIEdyb3d0aCBvZiBJbmRpYS0gdGhyb3VnaCB0aGUgQVJETCBBcHByb2FjaCIsImF1dGhvciI6W3siZmFtaWx5IjoiUmFnaHVyYW1hcGF0cnVuaSIsImdpdmVuIjoiUmFkaGEiLCJwYXJzZS1uYW1lcyI6ZmFsc2UsImRyb3BwaW5nLXBhcnRpY2xlIjoiIiwibm9uLWRyb3BwaW5nLXBhcnRpY2xlIjoiIn0seyJmYW1pbHkiOiJSZWRkeSIsImdpdmVuIjoiViBTdXJ5YSBDaGFpdGFueWEiLCJwYXJzZS1uYW1lcyI6ZmFsc2UsImRyb3BwaW5nLXBhcnRpY2xlIjoiIiwibm9uLWRyb3BwaW5nLXBhcnRpY2xlIjoiIn1dLCJjb250YWluZXItdGl0bGUiOiJJbnRlcm5hdGlvbmFsIEpvdXJuYWwgb2YgRWNvbm9taWNzIGFuZCBCdXNpbmVzcyBBZG1pbmlzdHJhdGlvbiIsImlzc3VlZCI6eyJkYXRlLXBhcnRzIjpbWzIwMjBdXX0sInBhZ2UiOiIzNzYtMzg3IiwicHVibGlzaGVyIjoiSW50ZXJuYXRpb25hbCBKb3VybmFsIG9mIEVjb25vbWljcyBhbmQgQnVzaW5lc3MgQWRtaW5pc3RyYXRpb24iLCJpc3N1ZSI6IjIiLCJ2b2x1bWUiOiJWSUlJIn0sImlzVGVtcG9yYXJ5IjpmYWxzZX1dfQ=="/>
          <w:id w:val="-1434126882"/>
          <w:placeholder>
            <w:docPart w:val="DefaultPlaceholder_-1854013440"/>
          </w:placeholder>
        </w:sdtPr>
        <w:sdtContent>
          <w:r w:rsidR="00DC1AA6" w:rsidRPr="00DC1AA6">
            <w:rPr>
              <w:rFonts w:ascii="Arial" w:eastAsia="Times New Roman" w:hAnsi="Arial" w:cs="Arial"/>
              <w:color w:val="000000"/>
              <w:sz w:val="20"/>
            </w:rPr>
            <w:t>[21], [22]</w:t>
          </w:r>
        </w:sdtContent>
      </w:sdt>
      <w:r w:rsidRPr="006616B1">
        <w:rPr>
          <w:rFonts w:ascii="Arial" w:hAnsi="Arial" w:cs="Arial"/>
          <w:sz w:val="20"/>
          <w:szCs w:val="20"/>
        </w:rPr>
        <w:t>. Capital accumulation amplifies the trade effect (Wani, 2022)</w:t>
      </w:r>
      <w:sdt>
        <w:sdtPr>
          <w:rPr>
            <w:rFonts w:ascii="Arial" w:hAnsi="Arial" w:cs="Arial"/>
            <w:color w:val="000000"/>
            <w:sz w:val="20"/>
            <w:szCs w:val="20"/>
          </w:rPr>
          <w:tag w:val="MENDELEY_CITATION_v3_eyJjaXRhdGlvbklEIjoiTUVOREVMRVlfQ0lUQVRJT05fNDU4ODcyZjAtYjE1NC00NzQ3LWEwNzAtZTUwODc0NzNhNTAyIiwicHJvcGVydGllcyI6eyJub3RlSW5kZXgiOjB9LCJpc0VkaXRlZCI6ZmFsc2UsIm1hbnVhbE92ZXJyaWRlIjp7ImlzTWFudWFsbHlPdmVycmlkZGVuIjpmYWxzZSwiY2l0ZXByb2NUZXh0IjoiWzIzXSIsIm1hbnVhbE92ZXJyaWRlVGV4dCI6IiJ9LCJjaXRhdGlvbkl0ZW1zIjpbeyJpZCI6IjI5ODM2ZWM4LTZiNmQtMzZjNi1iNGEyLTRmYWIyMzZlZWQwNyIsIml0ZW1EYXRhIjp7InR5cGUiOiJhcnRpY2xlLWpvdXJuYWwiLCJpZCI6IjI5ODM2ZWM4LTZiNmQtMzZjNi1iNGEyLTRmYWIyMzZlZWQwNyIsInRpdGxlIjoiVHJhZGUgT3Blbm5lc3MsIENhcGl0YWwgRm9ybWF0aW9uLCBhbmQgRWNvbm9taWMgR3Jvd3RoOiBFbXBpcmljYWwgRXZpZGVuY2UgZnJvbSBJbmRpYSIsImF1dGhvciI6W3siZmFtaWx5IjoiV2FuaSIsImdpdmVuIjoiU3VhZGF0IiwicGFyc2UtbmFtZXMiOmZhbHNlLCJkcm9wcGluZy1wYXJ0aWNsZSI6IiIsIm5vbi1kcm9wcGluZy1wYXJ0aWNsZSI6IiJ9XSwiY29udGFpbmVyLXRpdGxlIjoiRXVyYXNpYW4gSm91cm5hbCBvZiBCdXNpbmVzcyBhbmQgRWNvbm9taWNzIiwiRE9JIjoiMTAuMTcwMTUvZWpiZS4yMDIyLjAyOS4wMyIsImlzc3VlZCI6eyJkYXRlLXBhcnRzIjpbWzIwMjIsNSwzMF1dfSwicGFnZSI6IjM2LTQ5Iiwidm9sdW1lIjoiMTUiLCJjb250YWluZXItdGl0bGUtc2hvcnQiOiIifSwiaXNUZW1wb3JhcnkiOmZhbHNlfV19"/>
          <w:id w:val="31473243"/>
          <w:placeholder>
            <w:docPart w:val="DefaultPlaceholder_-1854013440"/>
          </w:placeholder>
        </w:sdtPr>
        <w:sdtContent>
          <w:r w:rsidR="00DC1AA6" w:rsidRPr="00DC1AA6">
            <w:rPr>
              <w:rFonts w:ascii="Arial" w:hAnsi="Arial" w:cs="Arial"/>
              <w:color w:val="000000"/>
              <w:sz w:val="20"/>
              <w:szCs w:val="20"/>
            </w:rPr>
            <w:t>[23]</w:t>
          </w:r>
        </w:sdtContent>
      </w:sdt>
      <w:r w:rsidRPr="006616B1">
        <w:rPr>
          <w:rFonts w:ascii="Arial" w:hAnsi="Arial" w:cs="Arial"/>
          <w:sz w:val="20"/>
          <w:szCs w:val="20"/>
        </w:rPr>
        <w:t>. Governance quality does the same (Wani et al., 2023)</w:t>
      </w:r>
      <w:sdt>
        <w:sdtPr>
          <w:rPr>
            <w:rFonts w:ascii="Arial" w:hAnsi="Arial" w:cs="Arial"/>
            <w:color w:val="000000"/>
            <w:sz w:val="20"/>
            <w:szCs w:val="20"/>
          </w:rPr>
          <w:tag w:val="MENDELEY_CITATION_v3_eyJjaXRhdGlvbklEIjoiTUVOREVMRVlfQ0lUQVRJT05fNGM1MjA1NzQtY2Q3MC00NDZiLTgyMDAtNjQ5OTA5ZDg1YzVjIiwicHJvcGVydGllcyI6eyJub3RlSW5kZXgiOjB9LCJpc0VkaXRlZCI6ZmFsc2UsIm1hbnVhbE92ZXJyaWRlIjp7ImlzTWFudWFsbHlPdmVycmlkZGVuIjpmYWxzZSwiY2l0ZXByb2NUZXh0IjoiWzI0XSIsIm1hbnVhbE92ZXJyaWRlVGV4dCI6IiJ9LCJjaXRhdGlvbkl0ZW1zIjpbeyJpZCI6IjRhOGNkNGE3LTBlY2MtMzhmNC04NDQ0LTg0MDU2YjQzMDRmZCIsIml0ZW1EYXRhIjp7InR5cGUiOiJhcnRpY2xlLWpvdXJuYWwiLCJpZCI6IjRhOGNkNGE3LTBlY2MtMzhmNC04NDQ0LTg0MDU2YjQzMDRmZCIsInRpdGxlIjoiUm9sZSBvZiBJbnN0aXR1dGlvbmFsIFF1YWxpdHkgaW4gVHJhZGUgT3Blbm5lc3MgYW5kIEVjb25vbWljIEdyb3d0aCBOZXh1czogRW1waXJpY2FsIEV2aWRlbmNlIGZyb20gSW5kaWEiLCJhdXRob3IiOlt7ImZhbWlseSI6IldhbmkiLCJnaXZlbiI6IlN1YWRhdCIsInBhcnNlLW5hbWVzIjpmYWxzZSwiZHJvcHBpbmctcGFydGljbGUiOiIiLCJub24tZHJvcHBpbmctcGFydGljbGUiOiIifSx7ImZhbWlseSI6Illhc21pbiIsImdpdmVuIjoiRWZmYXQiLCJwYXJzZS1uYW1lcyI6ZmFsc2UsImRyb3BwaW5nLXBhcnRpY2xlIjoiIiwibm9uLWRyb3BwaW5nLXBhcnRpY2xlIjoiIn0seyJmYW1pbHkiOiJTb3VkYWdlciIsImdpdmVuIjoiTW9oYW1tZWQgQXl1YiIsInBhcnNlLW5hbWVzIjpmYWxzZSwiZHJvcHBpbmctcGFydGljbGUiOiIiLCJub24tZHJvcHBpbmctcGFydGljbGUiOiIifV0sImNvbnRhaW5lci10aXRsZSI6IlN0YXRpc3Rpa2E6IFN0YXRpc3RpY3MgYW5kIEVjb25vbXkgSm91cm5hbCIsIkRPSSI6IjEwLjU0Njk0L3N0YXQuMjAyMy4yIiwiaXNzdWVkIjp7ImRhdGUtcGFydHMiOltbMjAyMyw2LDE2XV19LCJwYWdlIjoiMTgwLTE5NyIsInZvbHVtZSI6IjEwMyIsImNvbnRhaW5lci10aXRsZS1zaG9ydCI6IiJ9LCJpc1RlbXBvcmFyeSI6ZmFsc2V9XX0="/>
          <w:id w:val="1346597209"/>
          <w:placeholder>
            <w:docPart w:val="DefaultPlaceholder_-1854013440"/>
          </w:placeholder>
        </w:sdtPr>
        <w:sdtContent>
          <w:r w:rsidR="00DC1AA6" w:rsidRPr="00DC1AA6">
            <w:rPr>
              <w:rFonts w:ascii="Arial" w:hAnsi="Arial" w:cs="Arial"/>
              <w:color w:val="000000"/>
              <w:sz w:val="20"/>
              <w:szCs w:val="20"/>
            </w:rPr>
            <w:t>[24]</w:t>
          </w:r>
        </w:sdtContent>
      </w:sdt>
      <w:r w:rsidRPr="006616B1">
        <w:rPr>
          <w:rFonts w:ascii="Arial" w:hAnsi="Arial" w:cs="Arial"/>
          <w:sz w:val="20"/>
          <w:szCs w:val="20"/>
        </w:rPr>
        <w:t>. Exchange rate dynamics mediate how trade flows translate into output changes (Roy Chowdhury, 2025)</w:t>
      </w:r>
      <w:sdt>
        <w:sdtPr>
          <w:rPr>
            <w:rFonts w:ascii="Arial" w:hAnsi="Arial" w:cs="Arial"/>
            <w:color w:val="000000"/>
            <w:sz w:val="20"/>
            <w:szCs w:val="20"/>
          </w:rPr>
          <w:tag w:val="MENDELEY_CITATION_v3_eyJjaXRhdGlvbklEIjoiTUVOREVMRVlfQ0lUQVRJT05fNDAwNGJhNDMtMjE0NC00ZWIzLTg4MTctZjU3MDZjNjk5ZjJiIiwicHJvcGVydGllcyI6eyJub3RlSW5kZXgiOjB9LCJpc0VkaXRlZCI6ZmFsc2UsIm1hbnVhbE92ZXJyaWRlIjp7ImlzTWFudWFsbHlPdmVycmlkZGVuIjpmYWxzZSwiY2l0ZXByb2NUZXh0IjoiWzI1XSIsIm1hbnVhbE92ZXJyaWRlVGV4dCI6IiJ9LCJjaXRhdGlvbkl0ZW1zIjpbeyJpZCI6IjQwOWU0OTFkLWQ1YjQtM2RkNC04OGM4LTc5MDIzYTdiZTczNSIsIml0ZW1EYXRhIjp7InR5cGUiOiJhcnRpY2xlLWpvdXJuYWwiLCJpZCI6IjQwOWU0OTFkLWQ1YjQtM2RkNC04OGM4LTc5MDIzYTdiZTczNSIsInRpdGxlIjoiUmVsYXRpb25zaGlwIE9mIEdkcCBHcm93dGggUmF0ZSwgVHJhZGUgT3Blbm5lc3MgQW5kIFJlYWwgRXhjaGFuZ2UgUmF0ZSBJbiBJbmRpYTogQW4gQW5hbHlzaXMgVGhyb3VnaCBBdXRvIFJlZ3Jlc3NpdmUgRGlzdHJpYnV0b3IgTGFnIChBcmRsKSBNb2RlbCIsImF1dGhvciI6W3siZmFtaWx5IjoiUm95IENob3dkaHVyeSIsImdpdmVuIjoiUGl5YWxpIiwicGFyc2UtbmFtZXMiOmZhbHNlLCJkcm9wcGluZy1wYXJ0aWNsZSI6IiIsIm5vbi1kcm9wcGluZy1wYXJ0aWNsZSI6IiJ9XSwiY29udGFpbmVyLXRpdGxlIjoiSm91cm5hbCBvZiBJbmZvcm1hdGljcyBFZHVjYXRpb24gYW5kIFJlc2VhcmNoIiwiRE9JIjoiMTAuNTI3ODMvamllci52NWkyLjMxMDEiLCJpc3N1ZWQiOnsiZGF0ZS1wYXJ0cyI6W1syMDI1LDcsMV1dfSwidm9sdW1lIjoiNSIsImNvbnRhaW5lci10aXRsZS1zaG9ydCI6IiJ9LCJpc1RlbXBvcmFyeSI6ZmFsc2UsInN1cHByZXNzLWF1dGhvciI6ZmFsc2UsImNvbXBvc2l0ZSI6ZmFsc2UsImF1dGhvci1vbmx5IjpmYWxzZX1dfQ=="/>
          <w:id w:val="116570558"/>
          <w:placeholder>
            <w:docPart w:val="DefaultPlaceholder_-1854013440"/>
          </w:placeholder>
        </w:sdtPr>
        <w:sdtContent>
          <w:r w:rsidR="00DC1AA6" w:rsidRPr="00DC1AA6">
            <w:rPr>
              <w:rFonts w:ascii="Arial" w:hAnsi="Arial" w:cs="Arial"/>
              <w:color w:val="000000"/>
              <w:sz w:val="20"/>
              <w:szCs w:val="20"/>
            </w:rPr>
            <w:t>[25]</w:t>
          </w:r>
        </w:sdtContent>
      </w:sdt>
      <w:r w:rsidRPr="006616B1">
        <w:rPr>
          <w:rFonts w:ascii="Arial" w:hAnsi="Arial" w:cs="Arial"/>
          <w:sz w:val="20"/>
          <w:szCs w:val="20"/>
        </w:rPr>
        <w:t>. Each of these studies adds a piece; none assembles them into a single framework.</w:t>
      </w:r>
    </w:p>
    <w:p w14:paraId="5781A5CE" w14:textId="3060121F"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On global linkages: Banday et al. (2021)</w:t>
      </w:r>
      <w:sdt>
        <w:sdtPr>
          <w:rPr>
            <w:rFonts w:ascii="Arial" w:hAnsi="Arial" w:cs="Arial"/>
            <w:color w:val="000000"/>
            <w:sz w:val="20"/>
            <w:szCs w:val="20"/>
          </w:rPr>
          <w:tag w:val="MENDELEY_CITATION_v3_eyJjaXRhdGlvbklEIjoiTUVOREVMRVlfQ0lUQVRJT05fNWQyOWE3OTQtOTVkNi00MWM1LTkwYzktODc1ZWY5MDdmYTJmIiwicHJvcGVydGllcyI6eyJub3RlSW5kZXgiOjB9LCJpc0VkaXRlZCI6ZmFsc2UsIm1hbnVhbE92ZXJyaWRlIjp7ImlzTWFudWFsbHlPdmVycmlkZGVuIjpmYWxzZSwiY2l0ZXByb2NUZXh0IjoiWzI2XSIsIm1hbnVhbE92ZXJyaWRlVGV4dCI6IiJ9LCJjaXRhdGlvbkl0ZW1zIjpbeyJpZCI6ImViM2RjOTc5LWI1ZmQtM2Q0Ny05ZDQyLTZmNDc1MjVkOGRkMyIsIml0ZW1EYXRhIjp7InR5cGUiOiJhcnRpY2xlLWpvdXJuYWwiLCJpZCI6ImViM2RjOTc5LWI1ZmQtM2Q0Ny05ZDQyLTZmNDc1MjVkOGRkMyIsInRpdGxlIjoiRm9yZWlnbiBkaXJlY3QgaW52ZXN0bWVudCwgdHJhZGUgb3Blbm5lc3MgYW5kIGVjb25vbWljIGdyb3d0aCBpbiBCUklDUyBjb3VudHJpZXM6IGV2aWRlbmNlcyBmcm9tIHBhbmVsIGRhdGEiLCJhdXRob3IiOlt7ImZhbWlseSI6IkJhbmRheSIsImdpdmVuIjoiVW1lciBKZWVsYW5pZSIsInBhcnNlLW5hbWVzIjpmYWxzZSwiZHJvcHBpbmctcGFydGljbGUiOiIiLCJub24tZHJvcHBpbmctcGFydGljbGUiOiIifSx7ImZhbWlseSI6Ik11cnVnYW4iLCJnaXZlbiI6IlNhcmF2YW5hbiIsInBhcnNlLW5hbWVzIjpmYWxzZSwiZHJvcHBpbmctcGFydGljbGUiOiIiLCJub24tZHJvcHBpbmctcGFydGljbGUiOiIifSx7ImZhbWlseSI6Ik1hcnlhbSIsImdpdmVuIjoiSmF2ZXJpYSIsInBhcnNlLW5hbWVzIjpmYWxzZSwiZHJvcHBpbmctcGFydGljbGUiOiIiLCJub24tZHJvcHBpbmctcGFydGljbGUiOiIifV0sImNvbnRhaW5lci10aXRsZSI6IlRyYW5zbmF0aW9uYWwgQ29ycG9yYXRpb25zIFJldmlldyIsIkRPSSI6Imh0dHBzOi8vZG9pLm9yZy8xMC4xMDgwLzE5MTg2NDQ0LjIwMjAuMTg1MTE2MiIsIklTU04iOiIxOTI1LTIwOTkiLCJVUkwiOiJodHRwczovL3d3dy5zY2llbmNlZGlyZWN0LmNvbS9zY2llbmNlL2FydGljbGUvcGlpL1MxOTI1MjA5OTI0MDAyODFYIiwiaXNzdWVkIjp7ImRhdGUtcGFydHMiOltbMjAyMV1dfSwicGFnZSI6IjIxMS0yMjEiLCJhYnN0cmFjdCI6IkluIHRoaXMgcGFwZXIgd2UgaW52ZXN0aWdhdGUgdGhlIGNhdXNhbCByZWxhdGlvbnNoaXAgYmV0d2VlbiBmb3JlaWduIGRpcmVjdCBpbnZlc3RtZW50LCB0cmFkZSBvcGVubmVzcyBhbmQgZ3Jvc3MgZG9tZXN0aWMgcHJvZHVjdCBpbiBCUklDUyBjb3VudHJpZXMgb3ZlciB0aGUgcGVyaW9kIG9mIDE5OTDigJMyMDE4LiBXZSBhcHBsaWVkIGF1dG8gcmVncmVzc2l2ZSBkaXN0cmlidXRlZCBsYWcgbW9kZWwgdG8gdGVzdCBjb2ludGVncmF0aW9uIGFuZCB0aGUgRHVtaXRyZXNjdSBhbmQgSHVybGluIEdyYW5nZXIgY2F1c2FsaXR5IHRlc3RzLiBFbXBpcmljYWwgcmVzdWx0cyBzaG93IHRoYXQgRkRJIGFuZCB0cmFkZSBvcGVubmVzcyBoYXZlIGEgcG9zaXRpdmUgaW1wYWN0IG9uIGxvbmctdGVybSBlY29ub21pYyBncm93dGguIFdlIGFsc28gZmluZCB0aGVyZSBpcyBhIGxvbmctcnVuIHJlbGF0aW9uc2hpcCBmcm9tIGJvdGggcmVhbCBlZmZlY3RpdmUgZXhjaGFuZ2UgcmF0ZSBhbmQgZ3Jvc3MgY2FwaXRhbCBmb3JtYXRpb24gdG8gZWNvbm9taWMgZ3Jvd3RoLiBUaGUgbWFpbiByZXN1bHRzIG9mIGNhdXNhbGl0eSBhbmFseXNpcyByZXZlYWwgdGhhdCB0aGVyZSBpcyBiaWRpcmVjdGlvbmFsIGNhdXNhbGl0eSBmcm9tIGZvcmVpZ24gZGlyZWN0IGludmVzdG1lbnQgdG8gZWNvbm9taWMgZ3Jvd3RoLCB0cmFkZSBvcGVubmVzcyB0byBmb3JlaWduIGRpcmVjdCBpbnZlc3RtZW50LCBhbmQgdW5pZGlyZWN0aW9uYWwgY2F1c2FsaXR5IGZyb20gdHJhZGUgb3Blbm5lc3MgdG8gZm9yZWlnbiBkaXJlY3QgaW52ZXN0bWVudC4iLCJpc3N1ZSI6IjIiLCJ2b2x1bWUiOiIxMyIsImNvbnRhaW5lci10aXRsZS1zaG9ydCI6IiJ9LCJpc1RlbXBvcmFyeSI6ZmFsc2UsInN1cHByZXNzLWF1dGhvciI6ZmFsc2UsImNvbXBvc2l0ZSI6ZmFsc2UsImF1dGhvci1vbmx5IjpmYWxzZX1dfQ=="/>
          <w:id w:val="23687942"/>
          <w:placeholder>
            <w:docPart w:val="DefaultPlaceholder_-1854013440"/>
          </w:placeholder>
        </w:sdtPr>
        <w:sdtContent>
          <w:r w:rsidR="00DC1AA6" w:rsidRPr="00DC1AA6">
            <w:rPr>
              <w:rFonts w:ascii="Arial" w:hAnsi="Arial" w:cs="Arial"/>
              <w:color w:val="000000"/>
              <w:sz w:val="20"/>
              <w:szCs w:val="20"/>
            </w:rPr>
            <w:t>[26]</w:t>
          </w:r>
        </w:sdtContent>
      </w:sdt>
      <w:r w:rsidRPr="006616B1">
        <w:rPr>
          <w:rFonts w:ascii="Arial" w:hAnsi="Arial" w:cs="Arial"/>
          <w:sz w:val="20"/>
          <w:szCs w:val="20"/>
        </w:rPr>
        <w:t xml:space="preserve"> found that trade and FDI jointly explain BRICS growth variation better than either does alone. Kumar and </w:t>
      </w:r>
      <w:proofErr w:type="spellStart"/>
      <w:r w:rsidRPr="006616B1">
        <w:rPr>
          <w:rFonts w:ascii="Arial" w:hAnsi="Arial" w:cs="Arial"/>
          <w:sz w:val="20"/>
          <w:szCs w:val="20"/>
        </w:rPr>
        <w:t>Neogi</w:t>
      </w:r>
      <w:proofErr w:type="spellEnd"/>
      <w:r w:rsidRPr="006616B1">
        <w:rPr>
          <w:rFonts w:ascii="Arial" w:hAnsi="Arial" w:cs="Arial"/>
          <w:sz w:val="20"/>
          <w:szCs w:val="20"/>
        </w:rPr>
        <w:t xml:space="preserve"> (2025)</w:t>
      </w:r>
      <w:sdt>
        <w:sdtPr>
          <w:rPr>
            <w:rFonts w:ascii="Arial" w:hAnsi="Arial" w:cs="Arial"/>
            <w:color w:val="000000"/>
            <w:sz w:val="20"/>
            <w:szCs w:val="20"/>
          </w:rPr>
          <w:tag w:val="MENDELEY_CITATION_v3_eyJjaXRhdGlvbklEIjoiTUVOREVMRVlfQ0lUQVRJT05fYjc2ZGY1ODYtMmJmNS00NDY1LWIxZmQtNTEyOTU3ZDk5NjRiIiwicHJvcGVydGllcyI6eyJub3RlSW5kZXgiOjB9LCJpc0VkaXRlZCI6ZmFsc2UsIm1hbnVhbE92ZXJyaWRlIjp7ImlzTWFudWFsbHlPdmVycmlkZGVuIjpmYWxzZSwiY2l0ZXByb2NUZXh0IjoiWzI3XSIsIm1hbnVhbE92ZXJyaWRlVGV4dCI6IiJ9LCJjaXRhdGlvbkl0ZW1zIjpbeyJpZCI6IjMzZjE3YzA3LTBlZjktMzliYS1hZWI0LTc3M2E0NmFlMTg2ZiIsIml0ZW1EYXRhIjp7InR5cGUiOiJhcnRpY2xlLWpvdXJuYWwiLCJpZCI6IjMzZjE3YzA3LTBlZjktMzliYS1hZWI0LTc3M2E0NmFlMTg2ZiIsInRpdGxlIjoiU3RyYXRlZ2ljIEVjb25vbWljIE1hbmFnZW1lbnQgOiBBUkRMIEFuYWx5c2lzIG9mIFRyYWRlLCBGREksIGFuZCBHcm93dGggaW4gRzIwIE5hdGlvbnMiLCJhdXRob3IiOlt7ImZhbWlseSI6Ikt1bWFyIiwiZ2l2ZW4iOiJSYWplc2giLCJwYXJzZS1uYW1lcyI6ZmFsc2UsImRyb3BwaW5nLXBhcnRpY2xlIjoiIiwibm9uLWRyb3BwaW5nLXBhcnRpY2xlIjoiIn0seyJmYW1pbHkiOiJOZW9naSIsImdpdmVuIjoiRGViYXNpcyIsInBhcnNlLW5hbWVzIjpmYWxzZSwiZHJvcHBpbmctcGFydGljbGUiOiIiLCJub24tZHJvcHBpbmctcGFydGljbGUiOiIifV0sImNvbnRhaW5lci10aXRsZSI6IlByYWJhbmRoYW46IEluZGlhbiBKb3VybmFsIG9mIE1hbmFnZW1lbnQiLCJjaGFwdGVyLW51bWJlciI6IkFydGljbGVzIiwiRE9JIjoiMTAuMTcwMTAvcGlqb20vMjAyNS92MThpNy8xNzQ1NjIiLCJVUkwiOiJodHRwczovL3d3dy5pbmRpYW5qb3VybmFsb2ZtYW5hZ2VtZW50LmNvbS9pbmRleC5waHAvcGlqb20vYXJ0aWNsZS92aWV3LzE3NDU2MiIsImlzc3VlZCI6eyJkYXRlLXBhcnRzIjpbWzIwMjUsNywxNV1dfSwicGFnZSI6IjgtMjUiLCJhYnN0cmFjdCI6IiZsdDtwJmd0OyZsdDtzdHJvbmcmZ3Q7UHVycG9zZSA6Jmx0Oy9zdHJvbmcmZ3Q7IFRoaXMgc3R1ZHkgZXhhbWluZWQgaG93IHRyYWRlIG9wZW5uZXNzIGludGVyYWN0ZWQgd2l0aCBmb3JlaWduIGRpcmVjdCBpbnZlc3RtZW50IChGREkpIHdpdGhpbiBHMjAgY291bnRyaWVzIGFuZCBhbmFseXplZCB0aGVpciBjb21iaW5lZCBpbXBhY3Qgb24gR0RQIGdyb3d0aC4gSXQgYWltZWQgdG8gZXhwbG9yZSBpbW1lZGlhdGUgYW5kIGxvbmctdGVybSByZWxhdGlvbnNoaXBzIHRvIGluZm9ybSBzdXN0YWluYWJsZSBncm93dGggc3RyYXRlZ2llcy4mbHQ7L3AmZ3Q7Jmx0O3AmZ3Q7Jmx0O3N0cm9uZyZndDtEZXNpZ24vTWV0aG9kb2xvZ3kvQXBwcm9hY2ggOiZsdDsvc3Ryb25nJmd0OyBUaGUgYW5hbHlzaXMgZW1wbG95ZWQgdGhlIGF1dG9yZWdyZXNzaXZlIGRpc3RyaWJ1dGVkIGxhZyAoQVJETCkgbWV0aG9kb2xvZ3ksIGNvbXBsZW1lbnRlZCBieSBKb2hhbnNlbiBjb2ludGVncmF0aW9uIHRlc3RzLCB2ZWN0b3IgZXJyb3IgY29ycmVjdGlvbiBtb2RlbCAoVkVDTSksIGFuZCBHcmFuZ2VyIGNhdXNhbGl0eSB0ZXN0cyBmb3Igcm9idXN0bmVzcy4gVGltZS1zZXJpZXMgZGF0YSBmcm9tIHRoZSBXb3JsZCBEZXZlbG9wbWVudCBJbmRpY2F0b3JzIChXREkpIHdlcmUgdXNlZCB0byBhc3Nlc3MgdGhlIGVmZmVjdHMgb2YgdHJhZGUgb3Blbm5lc3Mgb24gRkRJIGluZmxvd3MgYW5kIEdEUCBncm93dGggYWNyb3NzIEcyMCBuYXRpb25zLiBUaGUgc3R1ZHkgY29uc2lkZXJlZCBkYXRhIGZyb20gMTk5MCDigJMgMjAxOS4mbHQ7L3AmZ3Q7Jmx0O3AmZ3Q7Jmx0O3N0cm9uZyZndDtGaW5kaW5ncyA6Jmx0Oy9zdHJvbmcmZ3Q7IFRoZSBmaW5kaW5ncyBpbmRpY2F0ZWQgdGhhdCB0cmFkZSBvcGVubmVzcyBtYWludGFpbmVkIGEgbG9uZy1ydW4gZXF1aWxpYnJpdW0gcmVsYXRpb25zaGlwIHdpdGggR0RQLCBoaWdobGlnaHRpbmcgdGhhdCBsaWJlcmFsIHRyYWRlIHBvbGljaWVzIGNvbnRyaWJ1dGVkIHBvc2l0aXZlbHkgdG8gRkRJIGFuZCBlY29ub21pYyBwZXJmb3JtYW5jZS4gSG93ZXZlciwgdGhlIHNob3J0LXJ1biBkeW5hbWljcyB3ZXJlIG1hcmtlZCBieSBpbnN0YWJpbGl0eSBkdWUgdG8gZ2VvcG9saXRpY2FsIHVuY2VydGFpbnRpZXMsIGV4Y2hhbmdlIHJhdGUgZmx1Y3R1YXRpb25zLCBhbmQgaW5zdGl0dXRpb25hbCB3ZWFrbmVzc2VzLiBUaGUgcmVzdWx0cyBhbHNvIHJldmVhbGVkIGltbWVkaWF0ZSBjYXVzYWwgbGlua2FnZXMgYmV0d2VlbiB0cmFkZSBvcGVubmVzcyBhbmQgR0RQLiZsdDsvcCZndDsmbHQ7cCZndDsmbHQ7c3Ryb25nJmd0O1ByYWN0aWNhbCBJbXBsaWNhdGlvbnMgOiZsdDsvc3Ryb25nJmd0OyBUaGUgcmVzdWx0cyBzdWdnZXN0ZWQgdGhhdCBHMjAgcG9saWN5bWFrZXJzIHNob3VsZCBwcmlvcml0aXplIHJlZHVjaW5nIG5vbi10YXJpZmYgYmFycmllcnMgYW5kIGltcHJvdmluZyByZWd1bGF0b3J5IHRyYW5zcGFyZW5jeSB0byBhdHRyYWN0IEZESSBhbmQgc3VzdGFpbiBncm93dGguIFRoZSBBUkRMLWJhc2VkIGluc2lnaHRzIHByb3ZpZGVkIGNvbmNyZXRlIGd1aWRhbmNlIGZvciBzaGFwaW5nIGVmZmVjdGl2ZSB0cmFkZSBhbmQgaW52ZXN0bWVudCBzdHJhdGVnaWVzLiZsdDsvcCZndDsmbHQ7cCZndDsmbHQ7c3Ryb25nJmd0O09yaWdpbmFsaXR5L1ZhbHVlIDombHQ7L3N0cm9uZyZndDsgVGhpcyByZXNlYXJjaCB1c2VkIGFkdmFuY2VkIHBhbmVsIGVjb25vbWV0cmljIHRlY2huaXF1ZXMgdG8gb2ZmZXIgZW1waXJpY2FsIGV2aWRlbmNlIG9mIHRpbWUtZGVwZW5kZW50LCByZWNpcHJvY2FsIHJlbGF0aW9uc2hpcHMgYmV0d2VlbiB0cmFkZSBvcGVubmVzcywgRkRJLCBhbmQgR0RQIGdyb3d0aC4gSXQgY29udHJpYnV0ZWQgdG8gdGhlIHRyYWRlLWdyb3d0aCBsaXRlcmF0dXJlIGJ5IGNsYXJpZnlpbmcgaG93IHRyYWRlIGxpYmVyYWxpemF0aW9uIGNvdWxkIGRyaXZlIGdyb3d0aCB2aWEgaW52ZXN0bWVudCBjaGFubmVscyBhbmQgaW5zdGl0dXRpb25hbCByZWZvcm0uJmx0Oy9wJmd0OyIsImlzc3VlIjoiNyIsInZvbHVtZSI6IjE4IiwiY29udGFpbmVyLXRpdGxlLXNob3J0IjoiIn0sImlzVGVtcG9yYXJ5IjpmYWxzZSwic3VwcHJlc3MtYXV0aG9yIjpmYWxzZSwiY29tcG9zaXRlIjpmYWxzZSwiYXV0aG9yLW9ubHkiOmZhbHNlfV19"/>
          <w:id w:val="-627011112"/>
          <w:placeholder>
            <w:docPart w:val="DefaultPlaceholder_-1854013440"/>
          </w:placeholder>
        </w:sdtPr>
        <w:sdtContent>
          <w:r w:rsidR="00DC1AA6" w:rsidRPr="00DC1AA6">
            <w:rPr>
              <w:rFonts w:ascii="Arial" w:eastAsia="Times New Roman" w:hAnsi="Arial" w:cs="Arial"/>
              <w:color w:val="000000"/>
              <w:sz w:val="20"/>
            </w:rPr>
            <w:t>[27]</w:t>
          </w:r>
        </w:sdtContent>
      </w:sdt>
      <w:r w:rsidRPr="006616B1">
        <w:rPr>
          <w:rFonts w:ascii="Arial" w:hAnsi="Arial" w:cs="Arial"/>
          <w:sz w:val="20"/>
          <w:szCs w:val="20"/>
        </w:rPr>
        <w:t xml:space="preserve"> argued, at the G20 level, that the macroeconomic conditions countries maintain around trade determine how much they actually gain from it.</w:t>
      </w:r>
    </w:p>
    <w:p w14:paraId="23C2BD29" w14:textId="391753CF"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The assumption underlying nearly all of this work is symmetry: a one-unit increase in openness is </w:t>
      </w:r>
      <w:proofErr w:type="spellStart"/>
      <w:r w:rsidRPr="006616B1">
        <w:rPr>
          <w:rFonts w:ascii="Arial" w:hAnsi="Arial" w:cs="Arial"/>
          <w:sz w:val="20"/>
          <w:szCs w:val="20"/>
        </w:rPr>
        <w:t>modeled</w:t>
      </w:r>
      <w:proofErr w:type="spellEnd"/>
      <w:r w:rsidRPr="006616B1">
        <w:rPr>
          <w:rFonts w:ascii="Arial" w:hAnsi="Arial" w:cs="Arial"/>
          <w:sz w:val="20"/>
          <w:szCs w:val="20"/>
        </w:rPr>
        <w:t xml:space="preserve"> identically to a one-unit decrease. Mallick and Behera (2020)</w:t>
      </w:r>
      <w:sdt>
        <w:sdtPr>
          <w:rPr>
            <w:rFonts w:ascii="Arial" w:hAnsi="Arial" w:cs="Arial"/>
            <w:color w:val="000000"/>
            <w:sz w:val="20"/>
            <w:szCs w:val="20"/>
          </w:rPr>
          <w:tag w:val="MENDELEY_CITATION_v3_eyJjaXRhdGlvbklEIjoiTUVOREVMRVlfQ0lUQVRJT05fMjFlMzgxYjktYjhlYy00NjA1LThjYjAtOWI3NDM3N2Q1OWZm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UsInN1cHByZXNzLWF1dGhvciI6ZmFsc2UsImNvbXBvc2l0ZSI6ZmFsc2UsImF1dGhvci1vbmx5IjpmYWxzZX1dfQ=="/>
          <w:id w:val="-1748097869"/>
          <w:placeholder>
            <w:docPart w:val="DefaultPlaceholder_-1854013440"/>
          </w:placeholder>
        </w:sdtPr>
        <w:sdtContent>
          <w:r w:rsidR="00DC1AA6" w:rsidRPr="00DC1AA6">
            <w:rPr>
              <w:rFonts w:ascii="Arial" w:eastAsia="Times New Roman" w:hAnsi="Arial" w:cs="Arial"/>
              <w:color w:val="000000"/>
              <w:sz w:val="20"/>
            </w:rPr>
            <w:t>[28]</w:t>
          </w:r>
        </w:sdtContent>
      </w:sdt>
      <w:r w:rsidRPr="006616B1">
        <w:rPr>
          <w:rFonts w:ascii="Arial" w:hAnsi="Arial" w:cs="Arial"/>
          <w:sz w:val="20"/>
          <w:szCs w:val="20"/>
        </w:rPr>
        <w:t xml:space="preserve"> tested this for India and found it wrong: positive and negative shocks produce statistically distinct growth responses. Forcing symmetry when the data reject it biases the estimates. The same problem surfaces in related macroeconomic literatures (Ghazouani et al., 2020; Usman, 2023; Ganie &amp; Ahmad, 2025)</w:t>
      </w:r>
      <w:sdt>
        <w:sdtPr>
          <w:rPr>
            <w:rFonts w:ascii="Arial" w:hAnsi="Arial" w:cs="Arial"/>
            <w:color w:val="000000"/>
            <w:sz w:val="20"/>
            <w:szCs w:val="20"/>
          </w:rPr>
          <w:tag w:val="MENDELEY_CITATION_v3_eyJjaXRhdGlvbklEIjoiTUVOREVMRVlfQ0lUQVRJT05fODhlMjE0OGYtMTg3MS00ZjgzLTkwZjYtYmVhZmM2YTk0MTQ5IiwicHJvcGVydGllcyI6eyJub3RlSW5kZXgiOjB9LCJpc0VkaXRlZCI6ZmFsc2UsIm1hbnVhbE92ZXJyaWRlIjp7ImlzTWFudWFsbHlPdmVycmlkZGVuIjpmYWxzZSwiY2l0ZXByb2NUZXh0IjoiWzI5XSwgWzMwXSIsIm1hbnVhbE92ZXJyaWRlVGV4dCI6IiJ9LCJjaXRhdGlvbkl0ZW1zIjpbeyJpZCI6ImYzMmYwZjY1LTdhYzAtMzNiMi1iMDk3LTM5NGJhOWU4YjliYyIsIml0ZW1EYXRhIjp7InR5cGUiOiJhcnRpY2xlLWpvdXJuYWwiLCJpZCI6ImYzMmYwZjY1LTdhYzAtMzNiMi1iMDk3LTM5NGJhOWU4YjliYyIsInRpdGxlIjoiQ2F1c2FsIGludGVyYWN0aW9ucyBiZXR3ZWVuIHRyYWRlIG9wZW5uZXNzLCByZW5ld2FibGUgZWxlY3RyaWNpdHkgY29uc3VtcHRpb24sIGFuZCBlY29ub21pYyBncm93dGggaW4gQXNpYS1QYWNpZmljIGNvdW50cmllczogRnJlc2ggZXZpZGVuY2UgZnJvbSBhIGJvb3RzdHJhcCBBUkRMIGFwcHJvYWNoIiwiYXV0aG9yIjpbeyJmYW1pbHkiOiJHaGF6b3VhbmkiLCJnaXZlbiI6IlRhcmVrIiwicGFyc2UtbmFtZXMiOmZhbHNlLCJkcm9wcGluZy1wYXJ0aWNsZSI6IiIsIm5vbi1kcm9wcGluZy1wYXJ0aWNsZSI6IiJ9LHsiZmFtaWx5IjoiQm91a2hhdGVtIiwiZ2l2ZW4iOiJKYW1lbCIsInBhcnNlLW5hbWVzIjpmYWxzZSwiZHJvcHBpbmctcGFydGljbGUiOiIiLCJub24tZHJvcHBpbmctcGFydGljbGUiOiIifSx7ImZhbWlseSI6IllhbiBTYW0iLCJnaXZlbiI6IkNodW5nIiwicGFyc2UtbmFtZXMiOmZhbHNlLCJkcm9wcGluZy1wYXJ0aWNsZSI6IiIsIm5vbi1kcm9wcGluZy1wYXJ0aWNsZSI6IiJ9XSwiY29udGFpbmVyLXRpdGxlIjoiUmVuZXdhYmxlIGFuZCBTdXN0YWluYWJsZSBFbmVyZ3kgUmV2aWV3cyIsIkRPSSI6Imh0dHBzOi8vZG9pLm9yZy8xMC4xMDE2L2oucnNlci4yMDIwLjExMDA5NCIsIklTU04iOiIxMzY0LTAzMjEiLCJVUkwiOiJodHRwczovL3d3dy5zY2llbmNlZGlyZWN0LmNvbS9zY2llbmNlL2FydGljbGUvcGlpL1MxMzY0MDMyMTIwMzAzODUzIiwiaXNzdWVkIjp7ImRhdGUtcGFydHMiOltbMjAyMF1dfSwicGFnZSI6IjExMDA5NCIsImFic3RyYWN0IjoiVGhpcyBwYXBlciBhcHBsaWVzIGEgbmV3IGJvb3RzdHJhcCBBdXRvcmVncmVzc2l2ZSBEaXN0cmlidXRlZCBMYWcgKEFSREwpIGFwcHJvYWNoIHRvIGV4YW1pbmUgdGhlIG5leHVzIGJldHdlZW4gdHJhZGUgb3Blbm5lc3MsIHJlbmV3YWJsZSBlbGVjdHJpY2l0eSBjb25zdW1wdGlvbiwgYW5kIGVjb25vbWljIGdyb3d0aCBmb3Igc2V2ZW4gY291bnRyaWVzIGluIHRoZSBBc2lhLVBhY2lmaWMgcmVnaW9uIGR1cmluZyAxOTgw4oCTMjAxNyBwZXJpb2QuIEluIGZhY3QsIHRoZXJlIGlzIG5vIGV2aWRlbmNlIG9mIGNvaW50ZWdyYXRpb24gYW1vbmcgcmVhbCB0cmFkZSBvcGVubmVzcywgZWxlY3RyaWNpdHkgY29uc3VtcHRpb24sIGFuZCByZWFsIEdEUCBwZXIgY2FwaXRhIGluIGNvdW50cmllcywgd2l0aCB0aGUgZXhjZXB0aW9uIG9mIE1hbGF5c2lhLCB3aGVyZSByZWFsIEdEUCBzZXJ2ZXMgYXMgZGVwZW5kZW50IHZhcmlhYmxlLiBIb3dldmVyLCBjb2ludGVncmF0aW9uIGRvZXMgbWFuaWZlc3QgaW4gdGhlIGNhc2VzIG9mIEluZG9uZXNpYSwgSmFwYW4sIFNvdXRoIEtvcmVhLCBhbmQgVGhhaWxhbmQgd2hlbiB0cmFkZSBvcGVubmVzcyBpcyB1c2VkIGFzIHRoZSBkZXBlbmRlbnQgdmFyaWFibGUuIEEgc2ltaWxhciBvdXRjb21lIGlzIG9ic2VydmVkIGZvciBJbmRvbmVzaWEsIE1hbGF5c2lhLCBhbmQgVGhhaWxhbmQgd2hlbiByZW5ld2FibGUgZWxlY3RyaWNpdHkgY29uc3VtcHRpb24gaXMgdXNlZCBhcyB0aGUgZGVwZW5kZW50IHZhcmlhYmxlLiBBIHNob3J0LXJ1biBhbmFseXNpcyByZXZlYWxzIG1peGVkIHJlc3VsdHMgaW4gdGVybSBvZiB0aGUgZGlyZWN0aW9uIG9mIHRoZSBjYXVzYWxpdHkgYW1vbmcgZGlmZmVyZW50IHZhcmlhYmxlcyBmb3IgdmFyaW91cyBjb3VudHJpZXMuIFN1Y2ggcmVzdWx0cyBoYXZlIGltcGxpY2F0aW9ucyBmb3IgdHJhZGUsIGVuZXJneSwgYW5kIGVudmlyb25tZW50YWwgcG9saWNpZXMuIE9uZSBpbXBsaWNhdGlvbiBpcyB0aGF0IGFueSBlbnZpcm9ubWVudGFsIHBvbGljeSBhaW1pbmcgdG8gcmVkdWNlIHRoZSB1c2Ugb2Ygbm9uLXJlbmV3YWJsZSBlbmVyZ3kgYW5kIGNhcmJvbiBkaW94aWRlIGVtaXNzaW9ucyB3aWxsIGluZXZpdGFibHkgbGVhZCB0byBncmVhdGVyIHJlbmV3YWJsZSBlbmVyZ3kgY29uc3VtcHRpb24sIHdoaWNoIGluIHR1cm4gbWF5IGVuaGFuY2UgdHJhZGUgb3Blbm5lc3MgYW5kIHVsdGltYXRlbHkgYWNjZWxlcmF0ZSBlY29ub21pYyBncm93dGguIiwidm9sdW1lIjoiMTMzIiwiY29udGFpbmVyLXRpdGxlLXNob3J0IjoiIn0sImlzVGVtcG9yYXJ5IjpmYWxzZSwic3VwcHJlc3MtYXV0aG9yIjpmYWxzZSwiY29tcG9zaXRlIjpmYWxzZSwiYXV0aG9yLW9ubHkiOmZhbHNlfSx7ImlkIjoiMTQzNTBkMTEtZDUwOC0zZjkwLWI2MGUtNmEwYmJiYWZkZDk0IiwiaXRlbURhdGEiOnsidHlwZSI6ImFydGljbGUtam91cm5hbCIsImlkIjoiMTQzNTBkMTEtZDUwOC0zZjkwLWI2MGUtNmEwYmJiYWZkZDk0IiwidGl0bGUiOiJUaGUgbGlua2FnZXMgYmV0d2VlbiB0cmFkZSwgZmluYW5jaWFsIG9wZW5uZXNzLCBhbmQgZWNvbm9taWMgZ3Jvd3RoIGluIENoaW5hOiBhbiBBUkRMLWJvdW5kIHRlc3QgYXBwcm9hY2giLCJhdXRob3IiOlt7ImZhbWlseSI6IlVzbWFuIiwiZ2l2ZW4iOiJLaGFsaWQiLCJwYXJzZS1uYW1lcyI6ZmFsc2UsImRyb3BwaW5nLXBhcnRpY2xlIjoiIiwibm9uLWRyb3BwaW5nLXBhcnRpY2xlIjoiIn1dLCJjb250YWluZXItdGl0bGUiOiJKb3VybmFsIG9mIEFwcGxpZWQgRWNvbm9taWNzIiwiY29udGFpbmVyLXRpdGxlLXNob3J0IjoiSi4gQXBwbC4gRWNvbi4iLCJET0kiOiIxMC4xMDgwLzE1MTQwMzI2LjIwMjMuMjI1ODYxNiIsIklTU04iOiIxNTE0LTAzMjYiLCJVUkwiOiJodHRwczovL2RvaS5vcmcvMTAuMTA4MC8xNTE0MDMyNi4yMDIzLjIyNTg2MTYiLCJpc3N1ZWQiOnsiZGF0ZS1wYXJ0cyI6W1syMDIzLDEyLDMxXV19LCJwYWdlIjoiMjI1ODYxNiIsInB1Ymxpc2hlciI6IlJvdXRsZWRnZSIsImlzc3VlIjoiMSIsInZvbHVtZSI6IjI2In0sImlzVGVtcG9yYXJ5IjpmYWxzZX1dfQ=="/>
          <w:id w:val="-1495248751"/>
          <w:placeholder>
            <w:docPart w:val="DefaultPlaceholder_-1854013440"/>
          </w:placeholder>
        </w:sdtPr>
        <w:sdtContent>
          <w:r w:rsidR="00DC1AA6" w:rsidRPr="00DC1AA6">
            <w:rPr>
              <w:rFonts w:ascii="Arial" w:hAnsi="Arial" w:cs="Arial"/>
              <w:color w:val="000000"/>
              <w:sz w:val="20"/>
              <w:szCs w:val="20"/>
            </w:rPr>
            <w:t>[29], [30]</w:t>
          </w:r>
        </w:sdtContent>
      </w:sdt>
      <w:sdt>
        <w:sdtPr>
          <w:rPr>
            <w:rFonts w:ascii="Arial" w:hAnsi="Arial" w:cs="Arial"/>
            <w:color w:val="000000"/>
            <w:sz w:val="20"/>
            <w:szCs w:val="20"/>
          </w:rPr>
          <w:tag w:val="MENDELEY_CITATION_v3_eyJjaXRhdGlvbklEIjoiTUVOREVMRVlfQ0lUQVRJT05fNTU4ZWRkOWQtNTYwYy00YjlhLThlNDItYzlmYjI3MmYzYjZkIiwicHJvcGVydGllcyI6eyJub3RlSW5kZXgiOjB9LCJpc0VkaXRlZCI6ZmFsc2UsIm1hbnVhbE92ZXJyaWRlIjp7ImlzTWFudWFsbHlPdmVycmlkZGVuIjpmYWxzZSwiY2l0ZXByb2NUZXh0IjoiWzMxXSIsIm1hbnVhbE92ZXJyaWRlVGV4dCI6IiJ9LCJjaXRhdGlvbkl0ZW1zIjpbeyJpZCI6Ijg0OTI4YTA3LTIwMzktMzQ5Ny05ZTEwLWRhOWE0MWFkZGI5MCIsIml0ZW1EYXRhIjp7InR5cGUiOiJhcnRpY2xlLWpvdXJuYWwiLCJpZCI6Ijg0OTI4YTA3LTIwMzktMzQ5Ny05ZTEwLWRhOWE0MWFkZGI5MCIsInRpdGxlIjoiUmVhc3Nlc3NpbmcgdGhlIGVuZXJneSDigJMgZmluYW5jZSDigJMgZ3Jvd3RoIHRyaWFuZ2xlIGluIEluZGlhOiBldmlkZW5jZSBmcm9tIGFzeW1tZXRyaWMgYW5kIG5vbi1saW5lYXIgbW9kZWxsaW5nIiwiYXV0aG9yIjpbeyJmYW1pbHkiOiJHYW5pZSIsImdpdmVuIjoiQW5hbSBVbCBIYXEiLCJwYXJzZS1uYW1lcyI6ZmFsc2UsImRyb3BwaW5nLXBhcnRpY2xlIjoiIiwibm9uLWRyb3BwaW5nLXBhcnRpY2xlIjoiIn0seyJmYW1pbHkiOiJBaG1hZCIsImdpdmVuIjoiTWFzcm9vciIsInBhcnNlLW5hbWVzIjpmYWxzZSwiZHJvcHBpbmctcGFydGljbGUiOiIiLCJub24tZHJvcHBpbmctcGFydGljbGUiOiIifV0sImNvbnRhaW5lci10aXRsZSI6IkpvdXJuYWwgb2YgRmluYW5jaWFsIEVjb25vbWljIFBvbGljeSIsIkRPSSI6IjEwLjExMDgvSkZFUC0wNy0yMDI1LTAyNzkiLCJJU1NOIjoiMTc1Ny02Mzg1IiwiVVJMIjoiaHR0cHM6Ly9kb2kub3JnLzEwLjExMDgvSkZFUC0wNy0yMDI1LTAyNzkiLCJpc3N1ZWQiOnsiZGF0ZS1wYXJ0cyI6W1syMDI1LDEyLDIyXV19LCJwYWdlIjoiMS0yNyIsImFic3RyYWN0IjoiVGhpcyBzdHVkeSBhaW1zIHRvIGV4YW1pbmUgdGhlIGFzeW1tZXRyaWMgYW5kIG5vbmxpbmVhciByZWxhdGlvbnNoaXBzIGJldHdlZW4gZW5lcmd5IGNvbnN1bXB0aW9uLCBmaW5hbmNpYWwgZGV2ZWxvcG1lbnQgYW5kIGVjb25vbWljIGdyb3d0aCBpbiBJbmRpYSwgYSBkZXZlbG9waW5nIGVjb25vbXkgY2hhcmFjdGVyaXNlZCBieSBzdHJ1Y3R1cmFsIGFuZCBpbnN0aXR1dGlvbmFsIGNvbXBsZXhpdGllcy4gSXQgZnVydGhlciBpbnZlc3RpZ2F0ZXMgdGhlIEdyYW5nZXIgY2F1c2FsIGludGVybGlua2FnZXMgYW1vbmcgdGhlc2Uga2V5IG1hY3JvZWNvbm9taWMgdmFyaWFibGVzLlVzaW5nIGFubnVhbCB0aW1lIHNlcmllcyBkYXRhIGZyb20gMTk4MCB0byAyMDIwLCB0aGUgc3R1ZHkgYXBwbGllcyB0aGUgbm9ubGluZWFyIGF1dG9yZWdyZXNzaXZlIGRpc3RyaWJ1dGVkIGxhZyAoTkFSREwpIG1vZGVsIHRvIGNhcHR1cmUgcG90ZW50aWFsIGFzeW1tZXRyaWVzIGluIHRoZSBzaG9ydCBhbmQgbG9uZyBydW4uIEluIGFkZGl0aW9uLCB0aGUgVG9kYeKAk1lhbWFtb3RvIEdyYW5nZXIgY2F1c2FsaXR5IHRlc3QgaXMgdXNlZCB0byBlbnN1cmUgcm9idXN0bmVzcyBpbiBpZGVudGlmeWluZyBkaXJlY3Rpb25hbCBjYXVzYWxpdHkgYW1vbmcgdGhlIHZhcmlhYmxlcy5UaGUgcmVzdWx0cyBjb25maXJtIGEgbG9uZy1ydW4gYXN5bW1ldHJpYyBjb2ludGVncmF0aW5nIHJlbGF0aW9uc2hpcCBhbW9uZyBlbmVyZ3kgY29uc3VtcHRpb24sIGZpbmFuY2lhbCBkZXZlbG9wbWVudCwgbGFib3VyIGZvcmNlLCBjYXBpdGFsIGZvcm1hdGlvbiBhbmQgZWNvbm9taWMgZ3Jvd3RoLiBOZWdhdGl2ZSBzaG9ja3MgdG8gZW5lcmd5IGNvbnN1bXB0aW9uIGFuZCBmaW5hbmNpYWwgZGV2ZWxvcG1lbnQgZXhoaWJpdCBhIG1vcmUgcHJvbm91bmNlZCBhZHZlcnNlIGVmZmVjdCBvbiBlY29ub21pYyBncm93dGggdGhhbiBwb3NpdGl2ZSBzaG9ja3MuIENvbnZlcnNlbHksIG5lZ2F0aXZlIGNoYW5nZXMgaW4gbGFib3VyIGZvcmNlIGFuZCBjYXBpdGFsIGZvcm1hdGlvbiBoYXZlIGEgc3Ryb25nZXIgcG9zaXRpdmUgaW5mbHVlbmNlIG9uIGdyb3d0aCB0aGFuIHRoZWlyIHBvc2l0aXZlIGNvdW50ZXJwYXJ0cywgaW5kaWNhdGluZyBwb3NzaWJsZSBzdHJ1Y3R1cmFsIG9yIGVmZmljaWVuY3ktYmFzZWQgYWRqdXN0bWVudHMgZHVyaW5nIGRvd250dXJucy4gQ2F1c2FsaXR5IHJlc3VsdHMgc3VwcG9ydCBib3RoIHRoZSBmaW5hbmNlLWxlZCBncm93dGggYW5kIGNvbnNlcnZhdGlvbiBoeXBvdGhlc2VzLlRoZSBzdHVkeSBpcyBjb25maW5lZCB0byBJbmRpYSBhbmQgYmFzZWQgb24gYWdncmVnYXRlIG5hdGlvbmFsIGRhdGEsIHdoaWNoIG1heSBtYXNrIHJlZ2lvbmFsIGRpc3Bhcml0aWVzIG9yIHNlY3Rvci1zcGVjaWZpYyBkeW5hbWljcy5EZXNwaXRlIGdyb3dpbmcgaW50ZXJlc3QgaW4gdGhlIGVuZXJneeKAk2ZpbmFuY2XigJNncm93dGggbmV4dXMsIGxpbWl0ZWQgZW1waXJpY2FsIHdvcmsgaGFzIGV4YW1pbmVkIGl0cyBhc3ltbWV0cmljIGFuZCBub25saW5lYXIgY2hhcmFjdGVyaXN0aWNzIHVzaW5nIGFkdmFuY2VkIGVjb25vbWV0cmljIHRlY2huaXF1ZXMuIE1vc3Qgc3R1ZGllcyBjb250aW51ZSB0byByZWx5IG9uIGxpbmVhciBtb2RlbHMgYW5kIHNpbmdsZS1pbmRpY2F0b3IgcHJveGllcyBmb3IgZmluYW5jaWFsIGRldmVsb3BtZW50LCBpZ25vcmluZyBpdHMgY29tcGxleCBhbmQgbXVsdGlkaW1lbnNpb25hbCBuYXR1cmUuIEluIHRoZSBJbmRpYW4gY29udGV4dCwgdGhlcmUgaXMgYSBsYWNrIG9mIHN0dWRpZXMgdGhhdCBjb25zdHJ1Y3QgYSBjb21wcmVoZW5zaXZlIGZpbmFuY2lhbCBkZXZlbG9wbWVudCBpbmRleCB1c2luZyBwcmluY2lwYWwgY29tcG9uZW50IGFuYWx5c2lzIGFuZCBhcHBseSBpdCB3aXRoaW4gYSBub25saW5lYXIsIGFzeW1tZXRyaWMgZnJhbWV3b3JrLiBGdXJ0aGVybW9yZSwgdGhlIGRpc3RpbmN0IGVmZmVjdHMgb2YgcG9zaXRpdmUgYW5kIG5lZ2F0aXZlIHNob2NrcyBpbiBlbmVyZ3kgdXNlIGFuZCBmaW5hbmNpYWwgZGV2ZWxvcG1lbnQgb24gZWNvbm9taWMgZ3Jvd3RoIHJlbWFpbiBsYXJnZWx5IHVuYWRkcmVzc2VkLiBUaGlzIHN0dWR5IGJyaWRnZXMgdGhlc2UgY3JpdGljYWwgZ2Fwcy4iLCJjb250YWluZXItdGl0bGUtc2hvcnQiOiIifSwiaXNUZW1wb3JhcnkiOmZhbHNlfV19"/>
          <w:id w:val="936488695"/>
          <w:placeholder>
            <w:docPart w:val="DefaultPlaceholder_-1854013440"/>
          </w:placeholder>
        </w:sdtPr>
        <w:sdtContent>
          <w:r w:rsidR="00DC1AA6" w:rsidRPr="00DC1AA6">
            <w:rPr>
              <w:rFonts w:ascii="Arial" w:eastAsia="Times New Roman" w:hAnsi="Arial" w:cs="Arial"/>
              <w:color w:val="000000"/>
              <w:sz w:val="20"/>
            </w:rPr>
            <w:t>[31]</w:t>
          </w:r>
        </w:sdtContent>
      </w:sdt>
      <w:r w:rsidRPr="006616B1">
        <w:rPr>
          <w:rFonts w:ascii="Arial" w:hAnsi="Arial" w:cs="Arial"/>
          <w:sz w:val="20"/>
          <w:szCs w:val="20"/>
        </w:rPr>
        <w:t>.</w:t>
      </w:r>
    </w:p>
    <w:p w14:paraId="6CA228B2" w14:textId="0424CF56"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Machine learning entered empirical macroeconomics because standard regression handles nonlinear high-dimensional interactions poorly (Mullainathan &amp; Spiess, 2017)</w:t>
      </w:r>
      <w:sdt>
        <w:sdtPr>
          <w:rPr>
            <w:rFonts w:ascii="Arial" w:hAnsi="Arial" w:cs="Arial"/>
            <w:color w:val="000000"/>
            <w:sz w:val="20"/>
            <w:szCs w:val="20"/>
          </w:rPr>
          <w:tag w:val="MENDELEY_CITATION_v3_eyJjaXRhdGlvbklEIjoiTUVOREVMRVlfQ0lUQVRJT05fMWY0NTlhOTctNmE1Zi00NTVhLWE1OWMtZWEwZmM3Yjc5MTFj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UsInN1cHByZXNzLWF1dGhvciI6ZmFsc2UsImNvbXBvc2l0ZSI6ZmFsc2UsImF1dGhvci1vbmx5IjpmYWxzZX1dfQ=="/>
          <w:id w:val="508482432"/>
          <w:placeholder>
            <w:docPart w:val="DefaultPlaceholder_-1854013440"/>
          </w:placeholder>
        </w:sdtPr>
        <w:sdtContent>
          <w:r w:rsidR="00DC1AA6" w:rsidRPr="00DC1AA6">
            <w:rPr>
              <w:rFonts w:ascii="Arial" w:eastAsia="Times New Roman" w:hAnsi="Arial" w:cs="Arial"/>
              <w:color w:val="000000"/>
              <w:sz w:val="20"/>
            </w:rPr>
            <w:t>[8]</w:t>
          </w:r>
        </w:sdtContent>
      </w:sdt>
      <w:r w:rsidRPr="006616B1">
        <w:rPr>
          <w:rFonts w:ascii="Arial" w:hAnsi="Arial" w:cs="Arial"/>
          <w:sz w:val="20"/>
          <w:szCs w:val="20"/>
        </w:rPr>
        <w:t>. The interpretability problem, that outputs predict well but explain nothing, is addressed by SHAP, which decomposes predictions into feature-level contributions in a theoretically consistent way (Lundberg &amp; Lee, 2017)</w:t>
      </w:r>
      <w:sdt>
        <w:sdtPr>
          <w:rPr>
            <w:rFonts w:ascii="Arial" w:hAnsi="Arial" w:cs="Arial"/>
            <w:color w:val="000000"/>
            <w:sz w:val="20"/>
            <w:szCs w:val="20"/>
          </w:rPr>
          <w:tag w:val="MENDELEY_CITATION_v3_eyJjaXRhdGlvbklEIjoiTUVOREVMRVlfQ0lUQVRJT05fMTk0NDU3YzYtNGExMy00ZjdmLWE2OGUtNmZkODFjZGUwNTMz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
          <w:id w:val="-439299895"/>
          <w:placeholder>
            <w:docPart w:val="DefaultPlaceholder_-1854013440"/>
          </w:placeholder>
        </w:sdtPr>
        <w:sdtContent>
          <w:r w:rsidR="00DC1AA6" w:rsidRPr="00DC1AA6">
            <w:rPr>
              <w:rFonts w:ascii="Arial" w:eastAsia="Times New Roman" w:hAnsi="Arial" w:cs="Arial"/>
              <w:color w:val="000000"/>
              <w:sz w:val="20"/>
            </w:rPr>
            <w:t>[9]</w:t>
          </w:r>
        </w:sdtContent>
      </w:sdt>
      <w:r w:rsidRPr="006616B1">
        <w:rPr>
          <w:rFonts w:ascii="Arial" w:hAnsi="Arial" w:cs="Arial"/>
          <w:sz w:val="20"/>
          <w:szCs w:val="20"/>
        </w:rPr>
        <w:t xml:space="preserve">. Banking stability, financial market forecasting, and commodity price </w:t>
      </w:r>
      <w:proofErr w:type="spellStart"/>
      <w:r w:rsidRPr="006616B1">
        <w:rPr>
          <w:rFonts w:ascii="Arial" w:hAnsi="Arial" w:cs="Arial"/>
          <w:sz w:val="20"/>
          <w:szCs w:val="20"/>
        </w:rPr>
        <w:t>modeling</w:t>
      </w:r>
      <w:proofErr w:type="spellEnd"/>
      <w:r w:rsidRPr="006616B1">
        <w:rPr>
          <w:rFonts w:ascii="Arial" w:hAnsi="Arial" w:cs="Arial"/>
          <w:sz w:val="20"/>
          <w:szCs w:val="20"/>
        </w:rPr>
        <w:t xml:space="preserve"> have all shown that econometric identification and machine learning estimation can coexist productively (</w:t>
      </w:r>
      <w:proofErr w:type="spellStart"/>
      <w:r w:rsidRPr="006616B1">
        <w:rPr>
          <w:rFonts w:ascii="Arial" w:hAnsi="Arial" w:cs="Arial"/>
          <w:sz w:val="20"/>
          <w:szCs w:val="20"/>
        </w:rPr>
        <w:t>Chejarla</w:t>
      </w:r>
      <w:proofErr w:type="spellEnd"/>
      <w:r w:rsidRPr="006616B1">
        <w:rPr>
          <w:rFonts w:ascii="Arial" w:hAnsi="Arial" w:cs="Arial"/>
          <w:sz w:val="20"/>
          <w:szCs w:val="20"/>
        </w:rPr>
        <w:t xml:space="preserve"> et al., 2026a; </w:t>
      </w:r>
      <w:proofErr w:type="spellStart"/>
      <w:r w:rsidRPr="006616B1">
        <w:rPr>
          <w:rFonts w:ascii="Arial" w:hAnsi="Arial" w:cs="Arial"/>
          <w:sz w:val="20"/>
          <w:szCs w:val="20"/>
        </w:rPr>
        <w:t>Chejarla</w:t>
      </w:r>
      <w:proofErr w:type="spellEnd"/>
      <w:r w:rsidRPr="006616B1">
        <w:rPr>
          <w:rFonts w:ascii="Arial" w:hAnsi="Arial" w:cs="Arial"/>
          <w:sz w:val="20"/>
          <w:szCs w:val="20"/>
        </w:rPr>
        <w:t xml:space="preserve"> et al., 2026b; Rajana et al., 2026)</w:t>
      </w:r>
      <w:sdt>
        <w:sdtPr>
          <w:rPr>
            <w:rFonts w:ascii="Arial" w:hAnsi="Arial" w:cs="Arial"/>
            <w:color w:val="000000"/>
            <w:sz w:val="20"/>
            <w:szCs w:val="20"/>
          </w:rPr>
          <w:tag w:val="MENDELEY_CITATION_v3_eyJjaXRhdGlvbklEIjoiTUVOREVMRVlfQ0lUQVRJT05fMjM1YTM1YTktMmJmNC00NmVjLWJmNDktMzNjMjFjMDkxMGM2IiwicHJvcGVydGllcyI6eyJub3RlSW5kZXgiOjB9LCJpc0VkaXRlZCI6ZmFsc2UsIm1hbnVhbE92ZXJyaWRlIjp7ImlzTWFudWFsbHlPdmVycmlkZGVuIjpmYWxzZSwiY2l0ZXByb2NUZXh0IjoiWzEwXSwgWzExXSwgWzMy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LCJzdXBwcmVzcy1hdXRob3IiOmZhbHNlLCJjb21wb3NpdGUiOmZhbHNlLCJhdXRob3Itb25seSI6ZmFsc2V9LHsiaWQiOiI2Y2I5YjgxMS0xODIyLTNlOGItOGU1ZS1hMzM3NTczYjc4NjIiLCJpdGVtRGF0YSI6eyJ0eXBlIjoiYXJ0aWNsZS1qb3VybmFsIiwiaWQiOiI2Y2I5YjgxMS0xODIyLTNlOGItOGU1ZS1hMzM3NTczYjc4NjIiLCJ0aXRsZSI6Ikdlb3BvbGl0aWNhbCBzaG9ja3MgYW5kIGZpbmFuY2lhbCBjb250YWdpb24gaW4gdGhlIEluZGlhbiBlcXVpdHkgbWFya2V0IGR1cmluZyB0aGUgSXJhbi1Jc3JhZWwgY29uZmxpY3QgdXNpbmcgYWR2YW5jZWQgZWNvbm9tZXRyaWMgYW5kIG1hY2hpbmUgbGVhcm5pbmcgbWV0aG9kcyIsImF1dGhvciI6W3siZmFtaWx5IjoiQ2hlamFybGEiLCJnaXZlbiI6IlNhbmplZXYgS3VtYXIiLCJwYXJzZS1uYW1lcyI6ZmFsc2UsImRyb3BwaW5nLXBhcnRpY2xlIjoiIiwibm9uLWRyb3BwaW5nLXBhcnRpY2xlIjoiIn0seyJmYW1pbHkiOiJEdXZ2dXJpIiwiZ2l2ZW4iOiJTdW5lZWwgS3VtYXIiLCJwYXJzZS1uYW1lcyI6ZmFsc2UsImRyb3BwaW5nLXBhcnRpY2xlIjoiIiwibm9uLWRyb3BwaW5nLXBhcnRpY2xlIjoiIn0seyJmYW1pbHkiOiJSYWphbmEiLCJnaXZlbiI6IkJhbGF5eWEiLCJwYXJzZS1uYW1lcyI6ZmFsc2UsImRyb3BwaW5nLXBhcnRpY2xlIjoiIiwibm9uLWRyb3BwaW5nLXBhcnRpY2xlIjoiIn0seyJmYW1pbHkiOiJEYWtleSIsImdpdmVuIjoiUHJhc2FkIFRlamEiLCJwYXJzZS1uYW1lcyI6ZmFsc2UsImRyb3BwaW5nLXBhcnRpY2xlIjoiIiwibm9uLWRyb3BwaW5nLXBhcnRpY2xlIjoiIn0seyJmYW1pbHkiOiJSYW8iLCJnaXZlbiI6IlJhbWFjaGFuZHJhIEsiLCJwYXJzZS1uYW1lcyI6ZmFsc2UsImRyb3BwaW5nLXBhcnRpY2xlIjoiIiwibm9uLWRyb3BwaW5nLXBhcnRpY2xlIjoiIn0seyJmYW1pbHkiOiJHb3V0aGFtIiwiZ2l2ZW4iOiJNIFIiLCJwYXJzZS1uYW1lcyI6ZmFsc2UsImRyb3BwaW5nLXBhcnRpY2xlIjoiIiwibm9uLWRyb3BwaW5nLXBhcnRpY2xlIjoiIn1dLCJjb250YWluZXItdGl0bGUiOiJJbnRlcm5hdGlvbmFsIEpvdXJuYWwgb2YgRmluYW5jZSBhbmQgTWFuYWdlbWVudCBFY29ub21pY3MiLCJET0kiOiIxMC4zMzU0NS8yNjE3OTIxMC4yMDI2LnY5LmkzLjc4NSIsImlzc3VlZCI6eyJkYXRlLXBhcnRzIjpbWzIwMjZdXX0sInBhZ2UiOiIxODQtMTk3IiwiaXNzdWUiOiIzIiwidm9sdW1lIjoiOSJ9LCJpc1RlbXBvcmFyeSI6ZmFsc2V9LHsiaWQiOiI0ZGFmODlmNS1mODdkLTM4YmUtOTY3My1hZWVmMzhhMDQ3OTQiLCJpdGVtRGF0YSI6eyJ0eXBlIjoiYXJ0aWNsZS1qb3VybmFsIiwiaWQiOiI0ZGFmODlmNS1mODdkLTM4YmUtOTY3My1hZWVmMzhhMDQ3OTQiLCJ0aXRsZSI6Ikh5YnJpZCBFY29ub21ldHJpYyBhbmQgRGVlcCBMZWFybmluZyBGcmFtZXdvcmsgZm9yIEZvcmVjYXN0aW5nIEdsb2JhbCBDb21tb2RpdHkgUHJpY2UgRHluYW1pY3M6IEV2aWRlbmNlIGZyb20gTXVsdGktQ29tbW9kaXR5IFRpbWUgU2VyaWVzICgyMDAwLTIwMjYpIiwiYXV0aG9yIjpbeyJmYW1pbHkiOiJSYWphbmEiLCJnaXZlbiI6IkJhbGF5eWEiLCJwYXJzZS1uYW1lcyI6ZmFsc2UsImRyb3BwaW5nLXBhcnRpY2xlIjoiIiwibm9uLWRyb3BwaW5nLXBhcnRpY2xlIjoiIn0seyJmYW1pbHkiOiJEdXZ2dXJpIiwiZ2l2ZW4iOiJTdW5lZWwgS3VtYXIiLCJwYXJzZS1uYW1lcyI6ZmFsc2UsImRyb3BwaW5nLXBhcnRpY2xlIjoiIiwibm9uLWRyb3BwaW5nLXBhcnRpY2xlIjoiIn0seyJmYW1pbHkiOiJDaGVqYXJsYSIsImdpdmVuIjoiU2FuamVldiBLdW1hciIsInBhcnNlLW5hbWVzIjpmYWxzZSwiZHJvcHBpbmctcGFydGljbGUiOiIiLCJub24tZHJvcHBpbmctcGFydGljbGUiOiIifSx7ImZhbWlseSI6IkRha2V5IiwiZ2l2ZW4iOiJQcmFzYWQgVGVqYSIsInBhcnNlLW5hbWVzIjpmYWxzZSwiZHJvcHBpbmctcGFydGljbGUiOiIiLCJub24tZHJvcHBpbmctcGFydGljbGUiOiIifSx7ImZhbWlseSI6IlJhbWFjaGFuZHJhIFJhbyIsImdpdmVuIjoiSyIsInBhcnNlLW5hbWVzIjpmYWxzZSwiZHJvcHBpbmctcGFydGljbGUiOiIiLCJub24tZHJvcHBpbmctcGFydGljbGUiOiIifSx7ImZhbWlseSI6IkdhbmRhbSIsImdpdmVuIjoiVGhpbG90aHUgUmFvIiwicGFyc2UtbmFtZXMiOmZhbHNlLCJkcm9wcGluZy1wYXJ0aWNsZSI6IiIsIm5vbi1kcm9wcGluZy1wYXJ0aWNsZSI6IiJ9XSwiY29udGFpbmVyLXRpdGxlIjoiR2xvYmFsIEFjYWRlbWljIEpvdXJuYWwgb2YgRWNvbm9taWNzIGFuZCBCdXNpbmVzcyIsIkRPSSI6IjEwLjM2MzQ4L2dhamViLjIwMjYudjA4aTAyLjAxMCIsIlVSTCI6Imh0dHBzOi8vZG9pLm9yZy8xMC4zNjM0OC9nYWplYi4yMDI2LnYwOGkwMi4wMTAiLCJpc3N1ZWQiOnsiZGF0ZS1wYXJ0cyI6W1syMDI2XV19LCJwYWdlIjoiMTY2LTE4MiIsImlzc3VlIjoiMiIsInZvbHVtZSI6IjgifSwiaXNUZW1wb3JhcnkiOmZhbHNlfV19"/>
          <w:id w:val="-474210318"/>
          <w:placeholder>
            <w:docPart w:val="DefaultPlaceholder_-1854013440"/>
          </w:placeholder>
        </w:sdtPr>
        <w:sdtContent>
          <w:r w:rsidR="00DC1AA6" w:rsidRPr="00DC1AA6">
            <w:rPr>
              <w:rFonts w:ascii="Arial" w:hAnsi="Arial" w:cs="Arial"/>
              <w:color w:val="000000"/>
              <w:sz w:val="20"/>
              <w:szCs w:val="20"/>
            </w:rPr>
            <w:t>[10], [11], [32]</w:t>
          </w:r>
        </w:sdtContent>
      </w:sdt>
      <w:r w:rsidRPr="006616B1">
        <w:rPr>
          <w:rFonts w:ascii="Arial" w:hAnsi="Arial" w:cs="Arial"/>
          <w:sz w:val="20"/>
          <w:szCs w:val="20"/>
        </w:rPr>
        <w:t>.The picture that emerges is not tidy. Openness matters, but by how much, in which direction, and through which channel depends on conditions the linear symmetric model is not built to distinguish.</w:t>
      </w:r>
    </w:p>
    <w:p w14:paraId="24003761" w14:textId="6CC098F9" w:rsidR="006616B1" w:rsidRPr="006616B1" w:rsidRDefault="006616B1" w:rsidP="00DC4D54">
      <w:pPr>
        <w:spacing w:after="0" w:line="240" w:lineRule="auto"/>
        <w:jc w:val="both"/>
        <w:rPr>
          <w:rFonts w:ascii="Arial" w:hAnsi="Arial" w:cs="Arial"/>
          <w:b/>
          <w:bCs/>
        </w:rPr>
      </w:pPr>
      <w:r>
        <w:rPr>
          <w:rFonts w:ascii="Arial" w:hAnsi="Arial" w:cs="Arial"/>
          <w:b/>
          <w:bCs/>
        </w:rPr>
        <w:t xml:space="preserve">2.1 </w:t>
      </w:r>
      <w:r w:rsidRPr="006616B1">
        <w:rPr>
          <w:rFonts w:ascii="Arial" w:hAnsi="Arial" w:cs="Arial"/>
          <w:b/>
          <w:bCs/>
        </w:rPr>
        <w:t>Research Gap</w:t>
      </w:r>
    </w:p>
    <w:p w14:paraId="3759461A" w14:textId="4072F98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symmetry assumption is the most consequential problem. Mallick and Behera (2020)</w:t>
      </w:r>
      <w:sdt>
        <w:sdtPr>
          <w:rPr>
            <w:rFonts w:ascii="Arial" w:hAnsi="Arial" w:cs="Arial"/>
            <w:color w:val="000000"/>
            <w:sz w:val="20"/>
            <w:szCs w:val="20"/>
          </w:rPr>
          <w:tag w:val="MENDELEY_CITATION_v3_eyJjaXRhdGlvbklEIjoiTUVOREVMRVlfQ0lUQVRJT05fOGI5NWE0OGEtN2ZjOS00NWY2LWIwMDYtNTFlMmI4OWMyMmJi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V9XX0="/>
          <w:id w:val="363248702"/>
          <w:placeholder>
            <w:docPart w:val="DefaultPlaceholder_-1854013440"/>
          </w:placeholder>
        </w:sdtPr>
        <w:sdtContent>
          <w:r w:rsidR="00DC1AA6" w:rsidRPr="00DC1AA6">
            <w:rPr>
              <w:rFonts w:ascii="Arial" w:eastAsia="Times New Roman" w:hAnsi="Arial" w:cs="Arial"/>
              <w:color w:val="000000"/>
              <w:sz w:val="20"/>
            </w:rPr>
            <w:t>[28]</w:t>
          </w:r>
        </w:sdtContent>
      </w:sdt>
      <w:r w:rsidRPr="006616B1">
        <w:rPr>
          <w:rFonts w:ascii="Arial" w:hAnsi="Arial" w:cs="Arial"/>
          <w:sz w:val="20"/>
          <w:szCs w:val="20"/>
        </w:rPr>
        <w:t xml:space="preserve"> showed it fails for India: positive and negative trade shocks produce different growth outcomes, but it persists throughout the literature by default. Symmetric estimation produces a pooled coefficient that is accurate for neither direction of movement. No existing India-specific framework tests long-run and short-run asymmetry jointly while controlling for the macroeconomic and institutional factors that condition the trade effect.</w:t>
      </w:r>
    </w:p>
    <w:p w14:paraId="77F0A9F6" w14:textId="77777777" w:rsidR="00E61C4B"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Those conditioning factors are scattered. Capital accumulation, governance, exchange rates, FDI, financial development: each appears in a separate paper with a separate sample and specification. They have never been brought into a single nonlinear model for India. The practical consequence is that the literature cannot say how these variables interact in determining the growth response to trade shocks.</w:t>
      </w:r>
      <w:r w:rsidR="00E61C4B">
        <w:rPr>
          <w:rFonts w:ascii="Arial" w:hAnsi="Arial" w:cs="Arial"/>
          <w:sz w:val="20"/>
          <w:szCs w:val="20"/>
        </w:rPr>
        <w:t xml:space="preserve"> </w:t>
      </w:r>
      <w:r w:rsidRPr="006616B1">
        <w:rPr>
          <w:rFonts w:ascii="Arial" w:hAnsi="Arial" w:cs="Arial"/>
          <w:sz w:val="20"/>
          <w:szCs w:val="20"/>
        </w:rPr>
        <w:t xml:space="preserve">Machine learning has been used to study trade and growth in other settings, but rarely for emerging economies and almost never for India. </w:t>
      </w:r>
    </w:p>
    <w:p w14:paraId="2881F392" w14:textId="5389DFA3" w:rsidR="00CF15AC"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lastRenderedPageBreak/>
        <w:t>The methods are well suited to detecting the nonlinear structure the econometric literature keeps finding evidence of; their absence here is not a theoretical objection but a gap in application.</w:t>
      </w:r>
      <w:r w:rsidR="00E61C4B">
        <w:rPr>
          <w:rFonts w:ascii="Arial" w:hAnsi="Arial" w:cs="Arial"/>
          <w:sz w:val="20"/>
          <w:szCs w:val="20"/>
        </w:rPr>
        <w:t xml:space="preserve"> </w:t>
      </w:r>
      <w:r w:rsidRPr="006616B1">
        <w:rPr>
          <w:rFonts w:ascii="Arial" w:hAnsi="Arial" w:cs="Arial"/>
          <w:sz w:val="20"/>
          <w:szCs w:val="20"/>
        </w:rPr>
        <w:t>Interpretability is what keeps machine learning out of policy discussions. A model that improves predictive accuracy without explaining what it is responding to is of limited use to anyone making trade or macroeconomic policy decisions. SHAP makes this tractable by producing feature-level attribution that is both rigorous and readable.</w:t>
      </w:r>
      <w:r w:rsidR="00E61C4B">
        <w:rPr>
          <w:rFonts w:ascii="Arial" w:hAnsi="Arial" w:cs="Arial"/>
          <w:sz w:val="20"/>
          <w:szCs w:val="20"/>
        </w:rPr>
        <w:t xml:space="preserve"> </w:t>
      </w:r>
      <w:r w:rsidRPr="006616B1">
        <w:rPr>
          <w:rFonts w:ascii="Arial" w:hAnsi="Arial" w:cs="Arial"/>
          <w:sz w:val="20"/>
          <w:szCs w:val="20"/>
        </w:rPr>
        <w:t>Hybrid econometric–machine learning frameworks are now routine in banking and financial market research. They have not been applied to the Indian trade–growth relationship. This is where the present study sits.</w:t>
      </w:r>
      <w:r w:rsidR="00E61C4B">
        <w:rPr>
          <w:rFonts w:ascii="Arial" w:hAnsi="Arial" w:cs="Arial"/>
          <w:sz w:val="20"/>
          <w:szCs w:val="20"/>
        </w:rPr>
        <w:t xml:space="preserve"> </w:t>
      </w:r>
      <w:r w:rsidRPr="006616B1">
        <w:rPr>
          <w:rFonts w:ascii="Arial" w:hAnsi="Arial" w:cs="Arial"/>
          <w:sz w:val="20"/>
          <w:szCs w:val="20"/>
        </w:rPr>
        <w:t>NARDL handles the asymmetry. Machine learning handles the nonlinear interactions and improves out-of-sample fit. SHAP makes the predictions interpretable. Neither the econometric model nor the machine learning model alone does all three, which is the point.</w:t>
      </w:r>
      <w:r w:rsidR="00B312AE">
        <w:rPr>
          <w:rFonts w:ascii="Arial" w:hAnsi="Arial" w:cs="Arial"/>
          <w:sz w:val="20"/>
          <w:szCs w:val="20"/>
        </w:rPr>
        <w:t xml:space="preserve"> </w:t>
      </w:r>
      <w:r w:rsidR="00B312AE" w:rsidRPr="00B312AE">
        <w:rPr>
          <w:rFonts w:ascii="Arial" w:hAnsi="Arial" w:cs="Arial"/>
          <w:sz w:val="20"/>
          <w:szCs w:val="20"/>
        </w:rPr>
        <w:t>Recent studies have started combining machine learning with econometric models to improve prediction and interpretability. For India, this kind of hybrid work is sparse and studies pairing NARDL with SHAP-based interpretation are rarer still.</w:t>
      </w:r>
    </w:p>
    <w:p w14:paraId="7E6F636F" w14:textId="4D080E34" w:rsidR="00B312AE" w:rsidRDefault="00B312AE" w:rsidP="00B312AE">
      <w:pPr>
        <w:spacing w:after="0" w:line="240" w:lineRule="auto"/>
        <w:jc w:val="both"/>
        <w:rPr>
          <w:rFonts w:ascii="Arial" w:hAnsi="Arial" w:cs="Arial"/>
          <w:b/>
          <w:bCs/>
        </w:rPr>
      </w:pPr>
      <w:r>
        <w:rPr>
          <w:rFonts w:ascii="Arial" w:hAnsi="Arial" w:cs="Arial"/>
          <w:b/>
          <w:bCs/>
        </w:rPr>
        <w:t>2.</w:t>
      </w:r>
      <w:r>
        <w:rPr>
          <w:rFonts w:ascii="Arial" w:hAnsi="Arial" w:cs="Arial"/>
          <w:b/>
          <w:bCs/>
        </w:rPr>
        <w:t>2</w:t>
      </w:r>
      <w:r>
        <w:rPr>
          <w:rFonts w:ascii="Arial" w:hAnsi="Arial" w:cs="Arial"/>
          <w:b/>
          <w:bCs/>
        </w:rPr>
        <w:t xml:space="preserve"> </w:t>
      </w:r>
      <w:r w:rsidRPr="006616B1">
        <w:rPr>
          <w:rFonts w:ascii="Arial" w:hAnsi="Arial" w:cs="Arial"/>
          <w:b/>
          <w:bCs/>
        </w:rPr>
        <w:t xml:space="preserve">Research </w:t>
      </w:r>
      <w:r>
        <w:rPr>
          <w:rFonts w:ascii="Arial" w:hAnsi="Arial" w:cs="Arial"/>
          <w:b/>
          <w:bCs/>
        </w:rPr>
        <w:t>Objectives and Hypothesis</w:t>
      </w:r>
    </w:p>
    <w:p w14:paraId="16E39FD3" w14:textId="6C4BD3C7"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 xml:space="preserve">H1: Trade openness affects growth in long run </w:t>
      </w:r>
    </w:p>
    <w:p w14:paraId="3577107C" w14:textId="636C4BF7"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 xml:space="preserve">H2: Trade effects are asymmetric </w:t>
      </w:r>
    </w:p>
    <w:p w14:paraId="33C02CAE" w14:textId="6A82075F"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 xml:space="preserve">H3: Macro variables matter </w:t>
      </w:r>
    </w:p>
    <w:p w14:paraId="2DBAF25E" w14:textId="391A208D"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H4: ML supports econometric findings</w:t>
      </w:r>
    </w:p>
    <w:p w14:paraId="270E067C" w14:textId="77777777" w:rsidR="00CF15AC" w:rsidRDefault="00CF15AC" w:rsidP="00EF4B44">
      <w:pPr>
        <w:spacing w:after="0" w:line="240" w:lineRule="auto"/>
        <w:jc w:val="both"/>
        <w:rPr>
          <w:rFonts w:ascii="Arial" w:hAnsi="Arial" w:cs="Arial"/>
          <w:b/>
          <w:bCs/>
        </w:rPr>
      </w:pPr>
    </w:p>
    <w:p w14:paraId="6BB7ED0E" w14:textId="0AA10B87" w:rsidR="005715DC" w:rsidRPr="0091313D" w:rsidRDefault="005715DC" w:rsidP="00EF4B44">
      <w:pPr>
        <w:spacing w:after="0" w:line="240" w:lineRule="auto"/>
        <w:jc w:val="both"/>
        <w:rPr>
          <w:rFonts w:ascii="Arial" w:hAnsi="Arial" w:cs="Arial"/>
          <w:b/>
          <w:bCs/>
        </w:rPr>
      </w:pPr>
      <w:r w:rsidRPr="0091313D">
        <w:rPr>
          <w:rFonts w:ascii="Arial" w:hAnsi="Arial" w:cs="Arial"/>
          <w:b/>
          <w:bCs/>
        </w:rPr>
        <w:t xml:space="preserve">3. </w:t>
      </w:r>
      <w:r w:rsidR="00171BD0">
        <w:rPr>
          <w:rFonts w:ascii="Arial" w:hAnsi="Arial" w:cs="Arial"/>
          <w:b/>
          <w:bCs/>
        </w:rPr>
        <w:t>METHODOLOGY</w:t>
      </w:r>
    </w:p>
    <w:p w14:paraId="37F92E2F" w14:textId="77777777" w:rsidR="00171BD0" w:rsidRDefault="00171BD0" w:rsidP="00EF4B44">
      <w:pPr>
        <w:spacing w:after="0" w:line="240" w:lineRule="auto"/>
        <w:jc w:val="both"/>
        <w:rPr>
          <w:rFonts w:ascii="Arial" w:hAnsi="Arial" w:cs="Arial"/>
          <w:b/>
          <w:bCs/>
        </w:rPr>
      </w:pPr>
    </w:p>
    <w:p w14:paraId="1778F348" w14:textId="7C8290C7" w:rsidR="00E800DE" w:rsidRPr="0091313D" w:rsidRDefault="00E800DE" w:rsidP="00EF4B44">
      <w:pPr>
        <w:spacing w:after="0" w:line="240" w:lineRule="auto"/>
        <w:jc w:val="both"/>
        <w:rPr>
          <w:rFonts w:ascii="Arial" w:hAnsi="Arial" w:cs="Arial"/>
          <w:b/>
          <w:bCs/>
        </w:rPr>
      </w:pPr>
      <w:r w:rsidRPr="0091313D">
        <w:rPr>
          <w:rFonts w:ascii="Arial" w:hAnsi="Arial" w:cs="Arial"/>
          <w:b/>
          <w:bCs/>
        </w:rPr>
        <w:t>3.1 Research Design and Analytical Framework</w:t>
      </w:r>
    </w:p>
    <w:p w14:paraId="184E10A4" w14:textId="77777777" w:rsidR="00B60FB9" w:rsidRDefault="00B60FB9" w:rsidP="00EF4B44">
      <w:pPr>
        <w:spacing w:after="0" w:line="240" w:lineRule="auto"/>
        <w:jc w:val="both"/>
        <w:rPr>
          <w:rFonts w:ascii="Arial" w:hAnsi="Arial" w:cs="Arial"/>
          <w:sz w:val="20"/>
          <w:szCs w:val="20"/>
        </w:rPr>
      </w:pPr>
    </w:p>
    <w:p w14:paraId="1CCD5F7D" w14:textId="2E29E54A"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This study examines whether trade openness drives economic growth in India and whether that relationship looks the same when trade is expanding as when it is contracting. To answer both questions, the analysis combines conventional econometrics with machine learning and Explainable AI (XAI).</w:t>
      </w:r>
    </w:p>
    <w:p w14:paraId="0DD507EB" w14:textId="1476E86A"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 xml:space="preserve">The work proceeds in five stages: descriptive and exploratory analysis; stationarity and structural break testing; cointegration and asymmetric </w:t>
      </w:r>
      <w:proofErr w:type="spellStart"/>
      <w:r w:rsidRPr="0091313D">
        <w:rPr>
          <w:rFonts w:ascii="Arial" w:hAnsi="Arial" w:cs="Arial"/>
          <w:sz w:val="20"/>
          <w:szCs w:val="20"/>
        </w:rPr>
        <w:t>modeling</w:t>
      </w:r>
      <w:proofErr w:type="spellEnd"/>
      <w:r w:rsidRPr="0091313D">
        <w:rPr>
          <w:rFonts w:ascii="Arial" w:hAnsi="Arial" w:cs="Arial"/>
          <w:sz w:val="20"/>
          <w:szCs w:val="20"/>
        </w:rPr>
        <w:t xml:space="preserve"> using ARDL and NARDL; machine learning prediction and forecasting; and SHAP-based interpretability analysis.</w:t>
      </w:r>
      <w:r w:rsidR="00B312AE">
        <w:rPr>
          <w:rFonts w:ascii="Arial" w:hAnsi="Arial" w:cs="Arial"/>
          <w:sz w:val="20"/>
          <w:szCs w:val="20"/>
        </w:rPr>
        <w:t xml:space="preserve"> </w:t>
      </w:r>
      <w:r w:rsidR="00B312AE" w:rsidRPr="00B312AE">
        <w:rPr>
          <w:rFonts w:ascii="Arial" w:hAnsi="Arial" w:cs="Arial"/>
          <w:sz w:val="20"/>
          <w:szCs w:val="20"/>
        </w:rPr>
        <w:t>ARDL is used to estimate the symmetric long-run relationship, while NARDL extends the framework to test for potential asymmetry by decomposing trade openness into positive and negative changes.</w:t>
      </w:r>
    </w:p>
    <w:p w14:paraId="409D7D1D" w14:textId="77777777"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Econometrics handles the long-run equilibrium structure and causal inference. Machine learning handles nonlinear interactions and predictive patterns that parametric models are not built to detect. The two approaches are doing different things, which is why running both is worth the effort.</w:t>
      </w:r>
    </w:p>
    <w:p w14:paraId="5E423CF8" w14:textId="77777777" w:rsidR="00B60FB9" w:rsidRDefault="00B60FB9" w:rsidP="00EF4B44">
      <w:pPr>
        <w:spacing w:after="0" w:line="240" w:lineRule="auto"/>
        <w:jc w:val="both"/>
        <w:rPr>
          <w:rFonts w:ascii="Arial" w:hAnsi="Arial" w:cs="Arial"/>
          <w:b/>
          <w:bCs/>
        </w:rPr>
      </w:pPr>
    </w:p>
    <w:p w14:paraId="353BFE84" w14:textId="5A392B62" w:rsidR="00E800DE" w:rsidRPr="0091313D" w:rsidRDefault="002929E4" w:rsidP="00EF4B44">
      <w:pPr>
        <w:spacing w:after="0" w:line="240" w:lineRule="auto"/>
        <w:jc w:val="both"/>
        <w:rPr>
          <w:rFonts w:ascii="Arial" w:hAnsi="Arial" w:cs="Arial"/>
          <w:b/>
          <w:bCs/>
        </w:rPr>
      </w:pPr>
      <w:r w:rsidRPr="0091313D">
        <w:rPr>
          <w:rFonts w:ascii="Arial" w:hAnsi="Arial" w:cs="Arial"/>
          <w:b/>
          <w:bCs/>
        </w:rPr>
        <w:t>3.2 Data Sources and Variable Description</w:t>
      </w:r>
    </w:p>
    <w:p w14:paraId="29634D0F" w14:textId="77777777" w:rsidR="00B60FB9" w:rsidRDefault="00B60FB9" w:rsidP="00EF4B44">
      <w:pPr>
        <w:spacing w:after="0" w:line="240" w:lineRule="auto"/>
        <w:jc w:val="both"/>
        <w:rPr>
          <w:rFonts w:ascii="Arial" w:hAnsi="Arial" w:cs="Arial"/>
          <w:sz w:val="20"/>
          <w:szCs w:val="20"/>
        </w:rPr>
      </w:pPr>
    </w:p>
    <w:p w14:paraId="2B9550F3" w14:textId="107EEF2A" w:rsidR="00265896" w:rsidRPr="0091313D" w:rsidRDefault="00265896" w:rsidP="00EF4B44">
      <w:pPr>
        <w:spacing w:after="0" w:line="240" w:lineRule="auto"/>
        <w:jc w:val="both"/>
        <w:rPr>
          <w:rFonts w:ascii="Arial" w:hAnsi="Arial" w:cs="Arial"/>
          <w:sz w:val="20"/>
          <w:szCs w:val="20"/>
        </w:rPr>
      </w:pPr>
      <w:r w:rsidRPr="0091313D">
        <w:rPr>
          <w:rFonts w:ascii="Arial" w:hAnsi="Arial" w:cs="Arial"/>
          <w:sz w:val="20"/>
          <w:szCs w:val="20"/>
        </w:rPr>
        <w:t>The study uses annual time-series data for India from 1975 to 2024, sourced primarily from the World Development Indicators (WDI) database published by the World Bank.</w:t>
      </w:r>
      <w:r w:rsidR="009A13AA">
        <w:rPr>
          <w:rFonts w:ascii="Arial" w:hAnsi="Arial" w:cs="Arial"/>
          <w:sz w:val="20"/>
          <w:szCs w:val="20"/>
        </w:rPr>
        <w:t xml:space="preserve"> </w:t>
      </w:r>
      <w:r w:rsidRPr="0091313D">
        <w:rPr>
          <w:rFonts w:ascii="Arial" w:hAnsi="Arial" w:cs="Arial"/>
          <w:sz w:val="20"/>
          <w:szCs w:val="20"/>
        </w:rPr>
        <w:t>Table 1 lists the nine variables. India</w:t>
      </w:r>
      <w:r w:rsidR="002929E4" w:rsidRPr="0091313D">
        <w:rPr>
          <w:rFonts w:ascii="Arial" w:hAnsi="Arial" w:cs="Arial"/>
          <w:sz w:val="20"/>
          <w:szCs w:val="20"/>
        </w:rPr>
        <w:t>’</w:t>
      </w:r>
      <w:r w:rsidRPr="0091313D">
        <w:rPr>
          <w:rFonts w:ascii="Arial" w:hAnsi="Arial" w:cs="Arial"/>
          <w:sz w:val="20"/>
          <w:szCs w:val="20"/>
        </w:rPr>
        <w:t>s GDP growth rate is the dependent variable; the rest serve as explanatory indicators covering trade, investment, global conditions, and macroeconomic stability.</w:t>
      </w:r>
    </w:p>
    <w:p w14:paraId="6C0F7599" w14:textId="77777777" w:rsidR="00B60FB9" w:rsidRDefault="00B60FB9" w:rsidP="00EF4B44">
      <w:pPr>
        <w:spacing w:after="0" w:line="240" w:lineRule="auto"/>
        <w:jc w:val="both"/>
        <w:rPr>
          <w:rFonts w:ascii="Arial" w:hAnsi="Arial" w:cs="Arial"/>
          <w:b/>
          <w:bCs/>
          <w:sz w:val="20"/>
          <w:szCs w:val="20"/>
        </w:rPr>
      </w:pPr>
    </w:p>
    <w:p w14:paraId="6DEDF081" w14:textId="618FFDFB" w:rsidR="00265896" w:rsidRPr="0091313D" w:rsidRDefault="00265896" w:rsidP="00B60FB9">
      <w:pPr>
        <w:spacing w:after="0" w:line="240" w:lineRule="auto"/>
        <w:jc w:val="center"/>
        <w:rPr>
          <w:rFonts w:ascii="Arial" w:hAnsi="Arial" w:cs="Arial"/>
          <w:b/>
          <w:bCs/>
          <w:sz w:val="20"/>
          <w:szCs w:val="20"/>
        </w:rPr>
      </w:pPr>
      <w:r w:rsidRPr="0091313D">
        <w:rPr>
          <w:rFonts w:ascii="Arial" w:hAnsi="Arial" w:cs="Arial"/>
          <w:b/>
          <w:bCs/>
          <w:sz w:val="20"/>
          <w:szCs w:val="20"/>
        </w:rPr>
        <w:t>Table 1</w:t>
      </w:r>
      <w:r w:rsidR="002929E4" w:rsidRPr="0091313D">
        <w:rPr>
          <w:rFonts w:ascii="Arial" w:hAnsi="Arial" w:cs="Arial"/>
          <w:b/>
          <w:bCs/>
          <w:sz w:val="20"/>
          <w:szCs w:val="20"/>
        </w:rPr>
        <w:t>.</w:t>
      </w:r>
      <w:r w:rsidRPr="0091313D">
        <w:rPr>
          <w:rFonts w:ascii="Arial" w:hAnsi="Arial" w:cs="Arial"/>
          <w:b/>
          <w:bCs/>
          <w:sz w:val="20"/>
          <w:szCs w:val="20"/>
        </w:rPr>
        <w:t xml:space="preserve"> Variables Used in the Study</w:t>
      </w:r>
    </w:p>
    <w:tbl>
      <w:tblPr>
        <w:tblStyle w:val="TableGrid"/>
        <w:tblW w:w="0" w:type="auto"/>
        <w:jc w:val="center"/>
        <w:tblLook w:val="04A0" w:firstRow="1" w:lastRow="0" w:firstColumn="1" w:lastColumn="0" w:noHBand="0" w:noVBand="1"/>
      </w:tblPr>
      <w:tblGrid>
        <w:gridCol w:w="2506"/>
        <w:gridCol w:w="939"/>
        <w:gridCol w:w="3974"/>
      </w:tblGrid>
      <w:tr w:rsidR="00265896" w:rsidRPr="0091313D" w14:paraId="1CF4D2E1" w14:textId="77777777" w:rsidTr="002929E4">
        <w:trPr>
          <w:jc w:val="center"/>
        </w:trPr>
        <w:tc>
          <w:tcPr>
            <w:tcW w:w="0" w:type="auto"/>
            <w:hideMark/>
          </w:tcPr>
          <w:p w14:paraId="5C30660B"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47C7A477"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Symbol</w:t>
            </w:r>
          </w:p>
        </w:tc>
        <w:tc>
          <w:tcPr>
            <w:tcW w:w="0" w:type="auto"/>
            <w:hideMark/>
          </w:tcPr>
          <w:p w14:paraId="50FD355B"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Measurement</w:t>
            </w:r>
          </w:p>
        </w:tc>
      </w:tr>
      <w:tr w:rsidR="00265896" w:rsidRPr="0091313D" w14:paraId="3C3950A9" w14:textId="77777777" w:rsidTr="002929E4">
        <w:trPr>
          <w:jc w:val="center"/>
        </w:trPr>
        <w:tc>
          <w:tcPr>
            <w:tcW w:w="0" w:type="auto"/>
            <w:hideMark/>
          </w:tcPr>
          <w:p w14:paraId="774ACE0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India GDP Growth</w:t>
            </w:r>
          </w:p>
        </w:tc>
        <w:tc>
          <w:tcPr>
            <w:tcW w:w="0" w:type="auto"/>
            <w:hideMark/>
          </w:tcPr>
          <w:p w14:paraId="0BCE45D9"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GDPG</w:t>
            </w:r>
          </w:p>
        </w:tc>
        <w:tc>
          <w:tcPr>
            <w:tcW w:w="0" w:type="auto"/>
            <w:hideMark/>
          </w:tcPr>
          <w:p w14:paraId="035A59F2"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Annual GDP growth rate (%)</w:t>
            </w:r>
          </w:p>
        </w:tc>
      </w:tr>
      <w:tr w:rsidR="00265896" w:rsidRPr="0091313D" w14:paraId="712D9C2F" w14:textId="77777777" w:rsidTr="002929E4">
        <w:trPr>
          <w:jc w:val="center"/>
        </w:trPr>
        <w:tc>
          <w:tcPr>
            <w:tcW w:w="0" w:type="auto"/>
            <w:hideMark/>
          </w:tcPr>
          <w:p w14:paraId="7DD842A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6C80EF28"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TO</w:t>
            </w:r>
          </w:p>
        </w:tc>
        <w:tc>
          <w:tcPr>
            <w:tcW w:w="0" w:type="auto"/>
            <w:hideMark/>
          </w:tcPr>
          <w:p w14:paraId="2963B54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 + Imports)/GDP) × 100</w:t>
            </w:r>
          </w:p>
        </w:tc>
      </w:tr>
      <w:tr w:rsidR="00265896" w:rsidRPr="0091313D" w14:paraId="31F86AA0" w14:textId="77777777" w:rsidTr="002929E4">
        <w:trPr>
          <w:jc w:val="center"/>
        </w:trPr>
        <w:tc>
          <w:tcPr>
            <w:tcW w:w="0" w:type="auto"/>
            <w:hideMark/>
          </w:tcPr>
          <w:p w14:paraId="7DCDB6E6"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Foreign Direct Investment</w:t>
            </w:r>
          </w:p>
        </w:tc>
        <w:tc>
          <w:tcPr>
            <w:tcW w:w="0" w:type="auto"/>
            <w:hideMark/>
          </w:tcPr>
          <w:p w14:paraId="57EE914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FDI</w:t>
            </w:r>
          </w:p>
        </w:tc>
        <w:tc>
          <w:tcPr>
            <w:tcW w:w="0" w:type="auto"/>
            <w:hideMark/>
          </w:tcPr>
          <w:p w14:paraId="76478CFB"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Net FDI inflows (% of GDP)</w:t>
            </w:r>
          </w:p>
        </w:tc>
      </w:tr>
      <w:tr w:rsidR="00265896" w:rsidRPr="0091313D" w14:paraId="77B9223B" w14:textId="77777777" w:rsidTr="002929E4">
        <w:trPr>
          <w:jc w:val="center"/>
        </w:trPr>
        <w:tc>
          <w:tcPr>
            <w:tcW w:w="0" w:type="auto"/>
            <w:hideMark/>
          </w:tcPr>
          <w:p w14:paraId="221F564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273D35E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GCF</w:t>
            </w:r>
          </w:p>
        </w:tc>
        <w:tc>
          <w:tcPr>
            <w:tcW w:w="0" w:type="auto"/>
            <w:hideMark/>
          </w:tcPr>
          <w:p w14:paraId="72490E5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Gross capital formation (% of GDP)</w:t>
            </w:r>
          </w:p>
        </w:tc>
      </w:tr>
      <w:tr w:rsidR="00265896" w:rsidRPr="0091313D" w14:paraId="770E913F" w14:textId="77777777" w:rsidTr="002929E4">
        <w:trPr>
          <w:jc w:val="center"/>
        </w:trPr>
        <w:tc>
          <w:tcPr>
            <w:tcW w:w="0" w:type="auto"/>
            <w:hideMark/>
          </w:tcPr>
          <w:p w14:paraId="14633BD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3DFAFA6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WGDP</w:t>
            </w:r>
          </w:p>
        </w:tc>
        <w:tc>
          <w:tcPr>
            <w:tcW w:w="0" w:type="auto"/>
            <w:hideMark/>
          </w:tcPr>
          <w:p w14:paraId="6063FDDA"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World annual GDP growth (%)</w:t>
            </w:r>
          </w:p>
        </w:tc>
      </w:tr>
      <w:tr w:rsidR="00265896" w:rsidRPr="0091313D" w14:paraId="6A4D2A79" w14:textId="77777777" w:rsidTr="002929E4">
        <w:trPr>
          <w:jc w:val="center"/>
        </w:trPr>
        <w:tc>
          <w:tcPr>
            <w:tcW w:w="0" w:type="auto"/>
            <w:hideMark/>
          </w:tcPr>
          <w:p w14:paraId="04E7242A"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Inflation</w:t>
            </w:r>
          </w:p>
        </w:tc>
        <w:tc>
          <w:tcPr>
            <w:tcW w:w="0" w:type="auto"/>
            <w:hideMark/>
          </w:tcPr>
          <w:p w14:paraId="3262FF8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INF</w:t>
            </w:r>
          </w:p>
        </w:tc>
        <w:tc>
          <w:tcPr>
            <w:tcW w:w="0" w:type="auto"/>
            <w:hideMark/>
          </w:tcPr>
          <w:p w14:paraId="1AF2A91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Consumer price inflation (%)</w:t>
            </w:r>
          </w:p>
        </w:tc>
      </w:tr>
      <w:tr w:rsidR="00265896" w:rsidRPr="0091313D" w14:paraId="0DA47511" w14:textId="77777777" w:rsidTr="002929E4">
        <w:trPr>
          <w:jc w:val="center"/>
        </w:trPr>
        <w:tc>
          <w:tcPr>
            <w:tcW w:w="0" w:type="auto"/>
            <w:hideMark/>
          </w:tcPr>
          <w:p w14:paraId="2D63455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Exchange Rate</w:t>
            </w:r>
          </w:p>
        </w:tc>
        <w:tc>
          <w:tcPr>
            <w:tcW w:w="0" w:type="auto"/>
            <w:hideMark/>
          </w:tcPr>
          <w:p w14:paraId="5468DFB8"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EXR</w:t>
            </w:r>
          </w:p>
        </w:tc>
        <w:tc>
          <w:tcPr>
            <w:tcW w:w="0" w:type="auto"/>
            <w:hideMark/>
          </w:tcPr>
          <w:p w14:paraId="565B750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Official exchange rate (₹ per US$)</w:t>
            </w:r>
          </w:p>
        </w:tc>
      </w:tr>
      <w:tr w:rsidR="00265896" w:rsidRPr="0091313D" w14:paraId="62584C3E" w14:textId="77777777" w:rsidTr="002929E4">
        <w:trPr>
          <w:jc w:val="center"/>
        </w:trPr>
        <w:tc>
          <w:tcPr>
            <w:tcW w:w="0" w:type="auto"/>
            <w:hideMark/>
          </w:tcPr>
          <w:p w14:paraId="792BCE8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w:t>
            </w:r>
          </w:p>
        </w:tc>
        <w:tc>
          <w:tcPr>
            <w:tcW w:w="0" w:type="auto"/>
            <w:hideMark/>
          </w:tcPr>
          <w:p w14:paraId="209E606B"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w:t>
            </w:r>
          </w:p>
        </w:tc>
        <w:tc>
          <w:tcPr>
            <w:tcW w:w="0" w:type="auto"/>
            <w:hideMark/>
          </w:tcPr>
          <w:p w14:paraId="76E5A0D7"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 of goods and services (% of GDP)</w:t>
            </w:r>
          </w:p>
        </w:tc>
      </w:tr>
      <w:tr w:rsidR="00265896" w:rsidRPr="0091313D" w14:paraId="6AD31DEE" w14:textId="77777777" w:rsidTr="002929E4">
        <w:trPr>
          <w:jc w:val="center"/>
        </w:trPr>
        <w:tc>
          <w:tcPr>
            <w:tcW w:w="0" w:type="auto"/>
            <w:hideMark/>
          </w:tcPr>
          <w:p w14:paraId="7071D557"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Imports</w:t>
            </w:r>
          </w:p>
        </w:tc>
        <w:tc>
          <w:tcPr>
            <w:tcW w:w="0" w:type="auto"/>
            <w:hideMark/>
          </w:tcPr>
          <w:p w14:paraId="5A125D3F"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w:t>
            </w:r>
          </w:p>
        </w:tc>
        <w:tc>
          <w:tcPr>
            <w:tcW w:w="0" w:type="auto"/>
            <w:hideMark/>
          </w:tcPr>
          <w:p w14:paraId="0D90106F"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Imports of goods and services (% of GDP)</w:t>
            </w:r>
          </w:p>
        </w:tc>
      </w:tr>
    </w:tbl>
    <w:p w14:paraId="4BBA5ED4" w14:textId="7A244E16" w:rsidR="00746387" w:rsidRPr="0091313D" w:rsidRDefault="00746387" w:rsidP="00EF4B44">
      <w:pPr>
        <w:spacing w:after="0" w:line="240" w:lineRule="auto"/>
        <w:jc w:val="both"/>
        <w:rPr>
          <w:rFonts w:ascii="Arial" w:hAnsi="Arial" w:cs="Arial"/>
          <w:sz w:val="20"/>
          <w:szCs w:val="20"/>
        </w:rPr>
      </w:pPr>
    </w:p>
    <w:p w14:paraId="47D4D9E9" w14:textId="77777777" w:rsidR="00746387" w:rsidRPr="00B60FB9" w:rsidRDefault="00746387" w:rsidP="00EF4B44">
      <w:pPr>
        <w:spacing w:after="0" w:line="240" w:lineRule="auto"/>
        <w:jc w:val="both"/>
        <w:rPr>
          <w:rFonts w:ascii="Arial" w:hAnsi="Arial" w:cs="Arial"/>
          <w:b/>
          <w:bCs/>
        </w:rPr>
      </w:pPr>
      <w:r w:rsidRPr="00B60FB9">
        <w:rPr>
          <w:rFonts w:ascii="Arial" w:hAnsi="Arial" w:cs="Arial"/>
          <w:b/>
          <w:bCs/>
        </w:rPr>
        <w:t>3.3 Econometric Specification</w:t>
      </w:r>
    </w:p>
    <w:p w14:paraId="597C803F" w14:textId="77777777" w:rsidR="00B60FB9" w:rsidRDefault="00B60FB9" w:rsidP="00EF4B44">
      <w:pPr>
        <w:spacing w:after="0" w:line="240" w:lineRule="auto"/>
        <w:jc w:val="both"/>
        <w:rPr>
          <w:rFonts w:ascii="Arial" w:hAnsi="Arial" w:cs="Arial"/>
          <w:sz w:val="20"/>
          <w:szCs w:val="20"/>
        </w:rPr>
      </w:pPr>
    </w:p>
    <w:p w14:paraId="4BB892E4" w14:textId="281F729C"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baseline economic growth model is specified as:</w:t>
      </w:r>
    </w:p>
    <w:p w14:paraId="1A6534DC" w14:textId="2342F5B1"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w:lastRenderedPageBreak/>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m:t>
          </m:r>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FD</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3</m:t>
              </m:r>
            </m:sub>
          </m:sSub>
          <m:r>
            <w:rPr>
              <w:rFonts w:ascii="Cambria Math" w:hAnsi="Cambria Math" w:cs="Arial"/>
              <w:sz w:val="20"/>
              <w:szCs w:val="20"/>
            </w:rPr>
            <m:t>GC</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4</m:t>
              </m:r>
            </m:sub>
          </m:sSub>
          <m:r>
            <w:rPr>
              <w:rFonts w:ascii="Cambria Math" w:hAnsi="Cambria Math" w:cs="Arial"/>
              <w:sz w:val="20"/>
              <w:szCs w:val="20"/>
            </w:rPr>
            <m:t>WGD</m:t>
          </m:r>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5</m:t>
              </m:r>
            </m:sub>
          </m:sSub>
          <m:r>
            <w:rPr>
              <w:rFonts w:ascii="Cambria Math" w:hAnsi="Cambria Math" w:cs="Arial"/>
              <w:sz w:val="20"/>
              <w:szCs w:val="20"/>
            </w:rPr>
            <m:t>IN</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6</m:t>
              </m:r>
            </m:sub>
          </m:sSub>
          <m:r>
            <w:rPr>
              <w:rFonts w:ascii="Cambria Math" w:hAnsi="Cambria Math" w:cs="Arial"/>
              <w:sz w:val="20"/>
              <w:szCs w:val="20"/>
            </w:rPr>
            <m:t>EX</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m:t>
          </m:r>
          <m:r>
            <m:rPr>
              <m:sty m:val="p"/>
            </m:rPr>
            <w:rPr>
              <w:rFonts w:ascii="Cambria Math" w:hAnsi="Cambria Math" w:cs="Arial"/>
              <w:sz w:val="20"/>
              <w:szCs w:val="20"/>
            </w:rPr>
            <w:br/>
          </m:r>
        </m:oMath>
      </m:oMathPara>
      <w:r w:rsidRPr="0091313D">
        <w:rPr>
          <w:rFonts w:ascii="Arial" w:hAnsi="Arial" w:cs="Arial"/>
          <w:sz w:val="20"/>
          <w:szCs w:val="20"/>
        </w:rPr>
        <w:t>Where:</w:t>
      </w:r>
    </w:p>
    <w:p w14:paraId="37A9892F" w14:textId="7D66B520"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oMath>
      <w:r w:rsidRPr="0091313D">
        <w:rPr>
          <w:rFonts w:ascii="Arial" w:hAnsi="Arial" w:cs="Arial"/>
          <w:sz w:val="20"/>
          <w:szCs w:val="20"/>
        </w:rPr>
        <w:t xml:space="preserve">= India GDP growth at time </w:t>
      </w:r>
      <m:oMath>
        <m:r>
          <w:rPr>
            <w:rFonts w:ascii="Cambria Math" w:hAnsi="Cambria Math" w:cs="Arial"/>
            <w:sz w:val="20"/>
            <w:szCs w:val="20"/>
          </w:rPr>
          <m:t>t</m:t>
        </m:r>
      </m:oMath>
    </w:p>
    <w:p w14:paraId="7E008F76" w14:textId="71D00E83"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T</m:t>
        </m:r>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t</m:t>
            </m:r>
          </m:sub>
        </m:sSub>
      </m:oMath>
      <w:r w:rsidRPr="0091313D">
        <w:rPr>
          <w:rFonts w:ascii="Arial" w:hAnsi="Arial" w:cs="Arial"/>
          <w:sz w:val="20"/>
          <w:szCs w:val="20"/>
        </w:rPr>
        <w:t xml:space="preserve">= Trade openness </w:t>
      </w:r>
    </w:p>
    <w:p w14:paraId="768C9554" w14:textId="0334A7DE"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FD</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t</m:t>
            </m:r>
          </m:sub>
        </m:sSub>
      </m:oMath>
      <w:r w:rsidRPr="0091313D">
        <w:rPr>
          <w:rFonts w:ascii="Arial" w:hAnsi="Arial" w:cs="Arial"/>
          <w:sz w:val="20"/>
          <w:szCs w:val="20"/>
        </w:rPr>
        <w:t xml:space="preserve">= Foreign direct investment inflows </w:t>
      </w:r>
    </w:p>
    <w:p w14:paraId="0A49B446" w14:textId="711F7110"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GC</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oMath>
      <w:r w:rsidRPr="0091313D">
        <w:rPr>
          <w:rFonts w:ascii="Arial" w:hAnsi="Arial" w:cs="Arial"/>
          <w:sz w:val="20"/>
          <w:szCs w:val="20"/>
        </w:rPr>
        <w:t xml:space="preserve">= Gross capital formation </w:t>
      </w:r>
    </w:p>
    <w:p w14:paraId="4895A58A" w14:textId="6CAFA068"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WGD</m:t>
        </m:r>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t</m:t>
            </m:r>
          </m:sub>
        </m:sSub>
      </m:oMath>
      <w:r w:rsidRPr="0091313D">
        <w:rPr>
          <w:rFonts w:ascii="Arial" w:hAnsi="Arial" w:cs="Arial"/>
          <w:sz w:val="20"/>
          <w:szCs w:val="20"/>
        </w:rPr>
        <w:t xml:space="preserve">= World GDP growth </w:t>
      </w:r>
    </w:p>
    <w:p w14:paraId="2FFC7D3E" w14:textId="7333FA34"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IN</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oMath>
      <w:r w:rsidRPr="0091313D">
        <w:rPr>
          <w:rFonts w:ascii="Arial" w:hAnsi="Arial" w:cs="Arial"/>
          <w:sz w:val="20"/>
          <w:szCs w:val="20"/>
        </w:rPr>
        <w:t xml:space="preserve">= Inflation rate </w:t>
      </w:r>
    </w:p>
    <w:p w14:paraId="045D92C3" w14:textId="1AF0F314"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EX</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oMath>
      <w:r w:rsidRPr="0091313D">
        <w:rPr>
          <w:rFonts w:ascii="Arial" w:hAnsi="Arial" w:cs="Arial"/>
          <w:sz w:val="20"/>
          <w:szCs w:val="20"/>
        </w:rPr>
        <w:t xml:space="preserve">= Exchange rate </w:t>
      </w:r>
    </w:p>
    <w:p w14:paraId="14D3F126" w14:textId="117C995E" w:rsidR="00746387" w:rsidRPr="0091313D" w:rsidRDefault="00000000" w:rsidP="00EF4B44">
      <w:pPr>
        <w:numPr>
          <w:ilvl w:val="0"/>
          <w:numId w:val="1"/>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oMath>
      <w:r w:rsidR="00746387" w:rsidRPr="0091313D">
        <w:rPr>
          <w:rFonts w:ascii="Arial" w:hAnsi="Arial" w:cs="Arial"/>
          <w:sz w:val="20"/>
          <w:szCs w:val="20"/>
        </w:rPr>
        <w:t xml:space="preserve">= Error term </w:t>
      </w:r>
    </w:p>
    <w:p w14:paraId="6DC33BA5" w14:textId="77777777" w:rsidR="00B60FB9" w:rsidRDefault="00B60FB9" w:rsidP="00EF4B44">
      <w:pPr>
        <w:spacing w:after="0" w:line="240" w:lineRule="auto"/>
        <w:jc w:val="both"/>
        <w:rPr>
          <w:rFonts w:ascii="Arial" w:hAnsi="Arial" w:cs="Arial"/>
          <w:b/>
          <w:bCs/>
          <w:sz w:val="20"/>
          <w:szCs w:val="20"/>
        </w:rPr>
      </w:pPr>
    </w:p>
    <w:p w14:paraId="4F8F3504" w14:textId="1850C5DC" w:rsidR="00746387" w:rsidRPr="00B60FB9" w:rsidRDefault="00746387" w:rsidP="00EF4B44">
      <w:pPr>
        <w:spacing w:after="0" w:line="240" w:lineRule="auto"/>
        <w:jc w:val="both"/>
        <w:rPr>
          <w:rFonts w:ascii="Arial" w:hAnsi="Arial" w:cs="Arial"/>
          <w:b/>
          <w:bCs/>
        </w:rPr>
      </w:pPr>
      <w:r w:rsidRPr="00B60FB9">
        <w:rPr>
          <w:rFonts w:ascii="Arial" w:hAnsi="Arial" w:cs="Arial"/>
          <w:b/>
          <w:bCs/>
        </w:rPr>
        <w:t>3.4 Descriptive Statistics and Exploratory Analysis</w:t>
      </w:r>
    </w:p>
    <w:p w14:paraId="6710240D" w14:textId="77777777" w:rsidR="00B60FB9" w:rsidRDefault="00B60FB9" w:rsidP="00EF4B44">
      <w:pPr>
        <w:spacing w:after="0" w:line="240" w:lineRule="auto"/>
        <w:jc w:val="both"/>
        <w:rPr>
          <w:rFonts w:ascii="Arial" w:hAnsi="Arial" w:cs="Arial"/>
          <w:sz w:val="20"/>
          <w:szCs w:val="20"/>
        </w:rPr>
      </w:pPr>
    </w:p>
    <w:p w14:paraId="07DA7435" w14:textId="75D42804" w:rsidR="00AE7352" w:rsidRPr="0091313D" w:rsidRDefault="00AE7352" w:rsidP="00EF4B44">
      <w:pPr>
        <w:spacing w:after="0" w:line="240" w:lineRule="auto"/>
        <w:jc w:val="both"/>
        <w:rPr>
          <w:rFonts w:ascii="Arial" w:hAnsi="Arial" w:cs="Arial"/>
          <w:sz w:val="20"/>
          <w:szCs w:val="20"/>
        </w:rPr>
      </w:pPr>
      <w:r w:rsidRPr="0091313D">
        <w:rPr>
          <w:rFonts w:ascii="Arial" w:hAnsi="Arial" w:cs="Arial"/>
          <w:sz w:val="20"/>
          <w:szCs w:val="20"/>
        </w:rPr>
        <w:t>Four distributional measures were computed for each variable: mean, standard deviation, skewness, and kurtosis.</w:t>
      </w:r>
      <w:r w:rsidR="00AA42C6" w:rsidRPr="0091313D">
        <w:rPr>
          <w:rFonts w:ascii="Arial" w:hAnsi="Arial" w:cs="Arial"/>
          <w:sz w:val="20"/>
          <w:szCs w:val="20"/>
        </w:rPr>
        <w:t xml:space="preserve"> </w:t>
      </w:r>
      <w:r w:rsidRPr="0091313D">
        <w:rPr>
          <w:rFonts w:ascii="Arial" w:hAnsi="Arial" w:cs="Arial"/>
          <w:sz w:val="20"/>
          <w:szCs w:val="20"/>
        </w:rPr>
        <w:t>Skewness captures the direction and degree of asymmetry in each distribution; kurtosis measures tail weight relative to a normal distribution. Both are relevant here given the structural breaks and crisis periods in the sample.</w:t>
      </w:r>
    </w:p>
    <w:p w14:paraId="62A8D9D0" w14:textId="14F952D4" w:rsidR="00AE7352" w:rsidRPr="0091313D" w:rsidRDefault="00AE7352" w:rsidP="00EF4B44">
      <w:pPr>
        <w:spacing w:after="0" w:line="240" w:lineRule="auto"/>
        <w:jc w:val="both"/>
        <w:rPr>
          <w:rFonts w:ascii="Arial" w:hAnsi="Arial" w:cs="Arial"/>
          <w:sz w:val="20"/>
          <w:szCs w:val="20"/>
        </w:rPr>
      </w:pPr>
      <w:r w:rsidRPr="0091313D">
        <w:rPr>
          <w:rFonts w:ascii="Arial" w:hAnsi="Arial" w:cs="Arial"/>
          <w:sz w:val="20"/>
          <w:szCs w:val="20"/>
        </w:rPr>
        <w:t>Correlation matrices and rolling averages were computed alongside the summary statistics</w:t>
      </w:r>
      <w:r w:rsidR="00AA42C6" w:rsidRPr="0091313D">
        <w:rPr>
          <w:rFonts w:ascii="Arial" w:hAnsi="Arial" w:cs="Arial"/>
          <w:sz w:val="20"/>
          <w:szCs w:val="20"/>
        </w:rPr>
        <w:t>,</w:t>
      </w:r>
      <w:r w:rsidRPr="0091313D">
        <w:rPr>
          <w:rFonts w:ascii="Arial" w:hAnsi="Arial" w:cs="Arial"/>
          <w:sz w:val="20"/>
          <w:szCs w:val="20"/>
        </w:rPr>
        <w:t xml:space="preserve"> the former to map relationships between variables, the latter to surface medium-term trends that year-to-year data tends to obscure.</w:t>
      </w:r>
    </w:p>
    <w:p w14:paraId="28D99AAD" w14:textId="3B33972D" w:rsidR="00746387" w:rsidRPr="0091313D" w:rsidRDefault="00746387" w:rsidP="00EF4B44">
      <w:pPr>
        <w:spacing w:after="0" w:line="240" w:lineRule="auto"/>
        <w:jc w:val="both"/>
        <w:rPr>
          <w:rFonts w:ascii="Arial" w:hAnsi="Arial" w:cs="Arial"/>
          <w:sz w:val="20"/>
          <w:szCs w:val="20"/>
        </w:rPr>
      </w:pPr>
    </w:p>
    <w:p w14:paraId="3F0F9E76" w14:textId="77777777" w:rsidR="00746387" w:rsidRPr="00B60FB9" w:rsidRDefault="00746387" w:rsidP="00EF4B44">
      <w:pPr>
        <w:spacing w:after="0" w:line="240" w:lineRule="auto"/>
        <w:jc w:val="both"/>
        <w:rPr>
          <w:rFonts w:ascii="Arial" w:hAnsi="Arial" w:cs="Arial"/>
          <w:b/>
          <w:bCs/>
        </w:rPr>
      </w:pPr>
      <w:r w:rsidRPr="00B60FB9">
        <w:rPr>
          <w:rFonts w:ascii="Arial" w:hAnsi="Arial" w:cs="Arial"/>
          <w:b/>
          <w:bCs/>
        </w:rPr>
        <w:t>3.5 Stationarity Testing</w:t>
      </w:r>
    </w:p>
    <w:p w14:paraId="265F9701" w14:textId="77777777" w:rsidR="00B60FB9" w:rsidRDefault="00B60FB9" w:rsidP="00EF4B44">
      <w:pPr>
        <w:spacing w:after="0" w:line="240" w:lineRule="auto"/>
        <w:jc w:val="both"/>
        <w:rPr>
          <w:rFonts w:ascii="Arial" w:hAnsi="Arial" w:cs="Arial"/>
          <w:sz w:val="20"/>
          <w:szCs w:val="20"/>
        </w:rPr>
      </w:pPr>
    </w:p>
    <w:p w14:paraId="553EF6DF" w14:textId="3732792D" w:rsidR="00746387" w:rsidRPr="0091313D" w:rsidRDefault="0023564C" w:rsidP="00EF4B44">
      <w:pPr>
        <w:spacing w:after="0" w:line="240" w:lineRule="auto"/>
        <w:jc w:val="both"/>
        <w:rPr>
          <w:rFonts w:ascii="Arial" w:hAnsi="Arial" w:cs="Arial"/>
          <w:sz w:val="20"/>
          <w:szCs w:val="20"/>
        </w:rPr>
      </w:pPr>
      <w:r w:rsidRPr="0091313D">
        <w:rPr>
          <w:rFonts w:ascii="Arial" w:hAnsi="Arial" w:cs="Arial"/>
          <w:sz w:val="20"/>
          <w:szCs w:val="20"/>
        </w:rPr>
        <w:t>Non-stationary variables in a time-series regression can produce spurious results, coefficients that look significant but reflect shared trends rather than genuine relationships. Three unit root tests were run to check integration order before estimation.</w:t>
      </w:r>
    </w:p>
    <w:p w14:paraId="36EF073D" w14:textId="77777777" w:rsidR="00B60FB9" w:rsidRDefault="00B60FB9" w:rsidP="00EF4B44">
      <w:pPr>
        <w:spacing w:after="0" w:line="240" w:lineRule="auto"/>
        <w:jc w:val="both"/>
        <w:rPr>
          <w:rFonts w:ascii="Arial" w:hAnsi="Arial" w:cs="Arial"/>
          <w:b/>
          <w:bCs/>
          <w:sz w:val="20"/>
          <w:szCs w:val="20"/>
        </w:rPr>
      </w:pPr>
    </w:p>
    <w:p w14:paraId="6B91B954" w14:textId="3C30CB2B" w:rsidR="00746387" w:rsidRPr="009623C9" w:rsidRDefault="00746387" w:rsidP="00EF4B44">
      <w:pPr>
        <w:spacing w:after="0" w:line="240" w:lineRule="auto"/>
        <w:jc w:val="both"/>
        <w:rPr>
          <w:rFonts w:ascii="Arial" w:hAnsi="Arial" w:cs="Arial"/>
          <w:b/>
          <w:bCs/>
          <w:sz w:val="20"/>
          <w:szCs w:val="20"/>
          <w:u w:val="single"/>
        </w:rPr>
      </w:pPr>
      <w:r w:rsidRPr="009623C9">
        <w:rPr>
          <w:rFonts w:ascii="Arial" w:hAnsi="Arial" w:cs="Arial"/>
          <w:b/>
          <w:bCs/>
          <w:sz w:val="20"/>
          <w:szCs w:val="20"/>
          <w:u w:val="single"/>
        </w:rPr>
        <w:t>3.5.1 Augmented Dickey-Fuller (ADF) Test</w:t>
      </w:r>
    </w:p>
    <w:p w14:paraId="104E7696" w14:textId="77777777" w:rsidR="00535548" w:rsidRPr="0091313D" w:rsidRDefault="00535548" w:rsidP="00EF4B44">
      <w:pPr>
        <w:spacing w:after="0" w:line="240" w:lineRule="auto"/>
        <w:jc w:val="both"/>
        <w:rPr>
          <w:rFonts w:ascii="Arial" w:hAnsi="Arial" w:cs="Arial"/>
          <w:sz w:val="20"/>
          <w:szCs w:val="20"/>
        </w:rPr>
      </w:pPr>
      <w:r w:rsidRPr="0091313D">
        <w:rPr>
          <w:rFonts w:ascii="Arial" w:hAnsi="Arial" w:cs="Arial"/>
          <w:sz w:val="20"/>
          <w:szCs w:val="20"/>
        </w:rPr>
        <w:t>The ADF test checks for a unit root in the series.</w:t>
      </w:r>
    </w:p>
    <w:p w14:paraId="0661766F" w14:textId="3B05D2BB" w:rsidR="00746387" w:rsidRPr="0091313D" w:rsidRDefault="00746387" w:rsidP="00EF4B44">
      <w:pPr>
        <w:spacing w:after="0" w:line="240" w:lineRule="auto"/>
        <w:jc w:val="both"/>
        <w:rPr>
          <w:rFonts w:ascii="Arial" w:hAnsi="Arial" w:cs="Arial"/>
          <w:sz w:val="20"/>
          <w:szCs w:val="20"/>
        </w:rPr>
      </w:pPr>
      <m:oMathPara>
        <m:oMath>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=α+βt+γ</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hAnsi="Cambria Math" w:cs="Arial"/>
                      <w:sz w:val="20"/>
                      <w:szCs w:val="20"/>
                    </w:rPr>
                  </m:ctrlPr>
                </m:sSubPr>
                <m:e>
                  <m:r>
                    <w:rPr>
                      <w:rFonts w:ascii="Cambria Math" w:hAnsi="Cambria Math" w:cs="Arial"/>
                      <w:sz w:val="20"/>
                      <w:szCs w:val="20"/>
                    </w:rPr>
                    <m:t>δ</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(2)</m:t>
          </m:r>
          <m:r>
            <m:rPr>
              <m:sty m:val="p"/>
            </m:rPr>
            <w:rPr>
              <w:rFonts w:ascii="Cambria Math" w:hAnsi="Cambria Math" w:cs="Arial"/>
              <w:sz w:val="20"/>
              <w:szCs w:val="20"/>
            </w:rPr>
            <w:br/>
          </m:r>
        </m:oMath>
      </m:oMathPara>
      <w:r w:rsidRPr="0091313D">
        <w:rPr>
          <w:rFonts w:ascii="Arial" w:hAnsi="Arial" w:cs="Arial"/>
          <w:sz w:val="20"/>
          <w:szCs w:val="20"/>
        </w:rPr>
        <w:t>Hypotheses:</w:t>
      </w:r>
    </w:p>
    <w:p w14:paraId="64092F27" w14:textId="70DA29AC" w:rsidR="00746387" w:rsidRPr="0091313D" w:rsidRDefault="00000000" w:rsidP="00EF4B44">
      <w:pPr>
        <w:numPr>
          <w:ilvl w:val="0"/>
          <w:numId w:val="2"/>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H</m:t>
            </m:r>
          </m:e>
          <m:sub>
            <m:r>
              <w:rPr>
                <w:rFonts w:ascii="Cambria Math" w:hAnsi="Cambria Math" w:cs="Arial"/>
                <w:sz w:val="20"/>
                <w:szCs w:val="20"/>
              </w:rPr>
              <m:t>0</m:t>
            </m:r>
          </m:sub>
        </m:sSub>
        <m:r>
          <w:rPr>
            <w:rFonts w:ascii="Cambria Math" w:hAnsi="Cambria Math" w:cs="Arial"/>
            <w:sz w:val="20"/>
            <w:szCs w:val="20"/>
          </w:rPr>
          <m:t>:γ=0</m:t>
        </m:r>
      </m:oMath>
      <w:r w:rsidR="00746387" w:rsidRPr="0091313D">
        <w:rPr>
          <w:rFonts w:ascii="Arial" w:hAnsi="Arial" w:cs="Arial"/>
          <w:sz w:val="20"/>
          <w:szCs w:val="20"/>
        </w:rPr>
        <w:t xml:space="preserve">→ Unit root exists </w:t>
      </w:r>
    </w:p>
    <w:p w14:paraId="4F62D929" w14:textId="4DF15D0C" w:rsidR="00746387" w:rsidRPr="0091313D" w:rsidRDefault="00000000" w:rsidP="00EF4B44">
      <w:pPr>
        <w:numPr>
          <w:ilvl w:val="0"/>
          <w:numId w:val="2"/>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H</m:t>
            </m:r>
          </m:e>
          <m:sub>
            <m:r>
              <w:rPr>
                <w:rFonts w:ascii="Cambria Math" w:hAnsi="Cambria Math" w:cs="Arial"/>
                <w:sz w:val="20"/>
                <w:szCs w:val="20"/>
              </w:rPr>
              <m:t>1</m:t>
            </m:r>
          </m:sub>
        </m:sSub>
        <m:r>
          <w:rPr>
            <w:rFonts w:ascii="Cambria Math" w:hAnsi="Cambria Math" w:cs="Arial"/>
            <w:sz w:val="20"/>
            <w:szCs w:val="20"/>
          </w:rPr>
          <m:t>:γ&lt;0</m:t>
        </m:r>
      </m:oMath>
      <w:r w:rsidR="00746387" w:rsidRPr="0091313D">
        <w:rPr>
          <w:rFonts w:ascii="Arial" w:hAnsi="Arial" w:cs="Arial"/>
          <w:sz w:val="20"/>
          <w:szCs w:val="20"/>
        </w:rPr>
        <w:t xml:space="preserve">→ Stationary series </w:t>
      </w:r>
    </w:p>
    <w:p w14:paraId="7E71BF4C" w14:textId="77777777" w:rsidR="00174A53" w:rsidRDefault="00174A53" w:rsidP="00EF4B44">
      <w:pPr>
        <w:spacing w:after="0" w:line="240" w:lineRule="auto"/>
        <w:jc w:val="both"/>
        <w:rPr>
          <w:rFonts w:ascii="Arial" w:hAnsi="Arial" w:cs="Arial"/>
          <w:b/>
          <w:bCs/>
          <w:sz w:val="20"/>
          <w:szCs w:val="20"/>
        </w:rPr>
      </w:pPr>
    </w:p>
    <w:p w14:paraId="7C4EFA07" w14:textId="703A0F81"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3.5.2 Phillips-Perron (PP) Test</w:t>
      </w:r>
    </w:p>
    <w:p w14:paraId="7CDAEB2E" w14:textId="3BCFD8ED" w:rsidR="00746387" w:rsidRPr="0091313D" w:rsidRDefault="000B34CE" w:rsidP="00EF4B44">
      <w:pPr>
        <w:spacing w:after="0" w:line="240" w:lineRule="auto"/>
        <w:jc w:val="both"/>
        <w:rPr>
          <w:rFonts w:ascii="Arial" w:hAnsi="Arial" w:cs="Arial"/>
          <w:sz w:val="20"/>
          <w:szCs w:val="20"/>
        </w:rPr>
      </w:pPr>
      <w:r w:rsidRPr="0091313D">
        <w:rPr>
          <w:rFonts w:ascii="Arial" w:hAnsi="Arial" w:cs="Arial"/>
          <w:sz w:val="20"/>
          <w:szCs w:val="20"/>
        </w:rPr>
        <w:t>The PP test follows the same logic as ADF but corrects for serial correlation and heteroskedasticity non-parametrically, making it more reliable when residuals are not well-behaved.</w:t>
      </w:r>
    </w:p>
    <w:p w14:paraId="757D41AA" w14:textId="1DFBE657" w:rsidR="00746387" w:rsidRPr="0091313D" w:rsidRDefault="0000000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=α+β</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(3)</m:t>
          </m:r>
          <m:r>
            <m:rPr>
              <m:sty m:val="p"/>
            </m:rPr>
            <w:rPr>
              <w:rFonts w:ascii="Cambria Math" w:hAnsi="Cambria Math" w:cs="Arial"/>
              <w:sz w:val="20"/>
              <w:szCs w:val="20"/>
            </w:rPr>
            <w:br/>
          </m:r>
        </m:oMath>
      </m:oMathPara>
    </w:p>
    <w:p w14:paraId="61AB18D3" w14:textId="77777777"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3.5.3 KPSS Test</w:t>
      </w:r>
    </w:p>
    <w:p w14:paraId="7BE442D8" w14:textId="429CF162" w:rsidR="00746387" w:rsidRPr="0091313D" w:rsidRDefault="001164A6" w:rsidP="00EF4B44">
      <w:pPr>
        <w:spacing w:after="0" w:line="240" w:lineRule="auto"/>
        <w:jc w:val="both"/>
        <w:rPr>
          <w:rFonts w:ascii="Arial" w:hAnsi="Arial" w:cs="Arial"/>
          <w:sz w:val="20"/>
          <w:szCs w:val="20"/>
        </w:rPr>
      </w:pPr>
      <w:r w:rsidRPr="0091313D">
        <w:rPr>
          <w:rFonts w:ascii="Arial" w:hAnsi="Arial" w:cs="Arial"/>
          <w:sz w:val="20"/>
          <w:szCs w:val="20"/>
        </w:rPr>
        <w:t>The KPSS test flips the null, it assumes stationarity by default and tests against a random walk alternative.</w:t>
      </w:r>
    </w:p>
    <w:p w14:paraId="7EE563C2" w14:textId="0E1F2F55" w:rsidR="00746387" w:rsidRPr="0091313D" w:rsidRDefault="0000000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(4)</m:t>
          </m:r>
          <m:r>
            <m:rPr>
              <m:sty m:val="p"/>
            </m:rPr>
            <w:rPr>
              <w:rFonts w:ascii="Cambria Math" w:hAnsi="Cambria Math" w:cs="Arial"/>
              <w:sz w:val="20"/>
              <w:szCs w:val="20"/>
            </w:rPr>
            <w:br/>
          </m:r>
        </m:oMath>
      </m:oMathPara>
    </w:p>
    <w:p w14:paraId="4130FD17"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Where:</w:t>
      </w:r>
    </w:p>
    <w:p w14:paraId="0F6A3FB0" w14:textId="608C70D9" w:rsidR="00746387" w:rsidRPr="0091313D" w:rsidRDefault="00000000" w:rsidP="00EF4B44">
      <w:pPr>
        <w:numPr>
          <w:ilvl w:val="0"/>
          <w:numId w:val="3"/>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oMath>
      <w:r w:rsidR="00746387" w:rsidRPr="0091313D">
        <w:rPr>
          <w:rFonts w:ascii="Arial" w:hAnsi="Arial" w:cs="Arial"/>
          <w:sz w:val="20"/>
          <w:szCs w:val="20"/>
        </w:rPr>
        <w:t xml:space="preserve">is a random walk component </w:t>
      </w:r>
    </w:p>
    <w:p w14:paraId="7A19FEBA" w14:textId="086868B4" w:rsidR="00746387" w:rsidRPr="0091313D" w:rsidRDefault="004628D0" w:rsidP="00EF4B44">
      <w:pPr>
        <w:numPr>
          <w:ilvl w:val="0"/>
          <w:numId w:val="3"/>
        </w:numPr>
        <w:spacing w:after="0" w:line="240" w:lineRule="auto"/>
        <w:jc w:val="both"/>
        <w:rPr>
          <w:rFonts w:ascii="Arial" w:hAnsi="Arial" w:cs="Arial"/>
          <w:sz w:val="20"/>
          <w:szCs w:val="20"/>
        </w:rPr>
      </w:pPr>
      <w:r w:rsidRPr="0091313D">
        <w:rPr>
          <w:rFonts w:ascii="Arial" w:hAnsi="Arial" w:cs="Arial"/>
          <w:sz w:val="20"/>
          <w:szCs w:val="20"/>
        </w:rPr>
        <w:t>H</w:t>
      </w:r>
      <w:r w:rsidRPr="0091313D">
        <w:rPr>
          <w:rFonts w:ascii="Cambria Math" w:hAnsi="Cambria Math" w:cs="Cambria Math"/>
          <w:sz w:val="20"/>
          <w:szCs w:val="20"/>
        </w:rPr>
        <w:t>₀</w:t>
      </w:r>
      <w:r w:rsidRPr="0091313D">
        <w:rPr>
          <w:rFonts w:ascii="Arial" w:hAnsi="Arial" w:cs="Arial"/>
          <w:sz w:val="20"/>
          <w:szCs w:val="20"/>
        </w:rPr>
        <w:t>: Series is stationary</w:t>
      </w:r>
      <w:r w:rsidR="00746387" w:rsidRPr="0091313D">
        <w:rPr>
          <w:rFonts w:ascii="Arial" w:hAnsi="Arial" w:cs="Arial"/>
          <w:sz w:val="20"/>
          <w:szCs w:val="20"/>
        </w:rPr>
        <w:t xml:space="preserve"> </w:t>
      </w:r>
    </w:p>
    <w:p w14:paraId="5F1DFAE7" w14:textId="543120E5" w:rsidR="003613D2" w:rsidRPr="0091313D" w:rsidRDefault="003613D2" w:rsidP="00EF4B44">
      <w:pPr>
        <w:spacing w:after="0" w:line="240" w:lineRule="auto"/>
        <w:jc w:val="both"/>
        <w:rPr>
          <w:rFonts w:ascii="Arial" w:hAnsi="Arial" w:cs="Arial"/>
          <w:sz w:val="20"/>
          <w:szCs w:val="20"/>
        </w:rPr>
      </w:pPr>
      <w:r w:rsidRPr="0091313D">
        <w:rPr>
          <w:rFonts w:ascii="Arial" w:hAnsi="Arial" w:cs="Arial"/>
          <w:sz w:val="20"/>
          <w:szCs w:val="20"/>
        </w:rPr>
        <w:t>Running ADF and PP alongside KPSS is useful precisely because their nulls run in opposite directions. Agreement across all three gives stronger grounds for a conclusion than any single test alone.</w:t>
      </w:r>
      <w:r w:rsidR="005B3039" w:rsidRPr="0091313D">
        <w:rPr>
          <w:rFonts w:ascii="Arial" w:hAnsi="Arial" w:cs="Arial"/>
          <w:sz w:val="20"/>
          <w:szCs w:val="20"/>
        </w:rPr>
        <w:t xml:space="preserve"> </w:t>
      </w:r>
      <w:r w:rsidRPr="0091313D">
        <w:rPr>
          <w:rFonts w:ascii="Arial" w:hAnsi="Arial" w:cs="Arial"/>
          <w:sz w:val="20"/>
          <w:szCs w:val="20"/>
        </w:rPr>
        <w:t xml:space="preserve">The ARDL and NARDL frameworks require variables to be I(0) or I(1) </w:t>
      </w:r>
      <w:r w:rsidR="005B3039" w:rsidRPr="0091313D">
        <w:rPr>
          <w:rFonts w:ascii="Arial" w:hAnsi="Arial" w:cs="Arial"/>
          <w:sz w:val="20"/>
          <w:szCs w:val="20"/>
        </w:rPr>
        <w:t xml:space="preserve">and </w:t>
      </w:r>
      <w:r w:rsidRPr="0091313D">
        <w:rPr>
          <w:rFonts w:ascii="Arial" w:hAnsi="Arial" w:cs="Arial"/>
          <w:sz w:val="20"/>
          <w:szCs w:val="20"/>
        </w:rPr>
        <w:t xml:space="preserve">none can be integrated at I(2). </w:t>
      </w:r>
    </w:p>
    <w:p w14:paraId="1AC1320B" w14:textId="065BBBFA" w:rsidR="00746387" w:rsidRPr="0091313D" w:rsidRDefault="00746387" w:rsidP="00EF4B44">
      <w:pPr>
        <w:spacing w:after="0" w:line="240" w:lineRule="auto"/>
        <w:jc w:val="both"/>
        <w:rPr>
          <w:rFonts w:ascii="Arial" w:hAnsi="Arial" w:cs="Arial"/>
          <w:sz w:val="20"/>
          <w:szCs w:val="20"/>
        </w:rPr>
      </w:pPr>
    </w:p>
    <w:p w14:paraId="00A9820D"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3.6 Structural Break Analysis</w:t>
      </w:r>
    </w:p>
    <w:p w14:paraId="516589D4" w14:textId="77777777" w:rsidR="00174A53" w:rsidRDefault="00174A53" w:rsidP="00EF4B44">
      <w:pPr>
        <w:spacing w:after="0" w:line="240" w:lineRule="auto"/>
        <w:jc w:val="both"/>
        <w:rPr>
          <w:rFonts w:ascii="Arial" w:hAnsi="Arial" w:cs="Arial"/>
          <w:sz w:val="20"/>
          <w:szCs w:val="20"/>
        </w:rPr>
      </w:pPr>
    </w:p>
    <w:p w14:paraId="01EEED17" w14:textId="6CC4B520" w:rsidR="00746387" w:rsidRPr="0091313D" w:rsidRDefault="00685F90" w:rsidP="00EF4B44">
      <w:pPr>
        <w:spacing w:after="0" w:line="240" w:lineRule="auto"/>
        <w:jc w:val="both"/>
        <w:rPr>
          <w:rFonts w:ascii="Arial" w:hAnsi="Arial" w:cs="Arial"/>
          <w:sz w:val="20"/>
          <w:szCs w:val="20"/>
        </w:rPr>
      </w:pPr>
      <w:r w:rsidRPr="0091313D">
        <w:rPr>
          <w:rFonts w:ascii="Arial" w:hAnsi="Arial" w:cs="Arial"/>
          <w:sz w:val="20"/>
          <w:szCs w:val="20"/>
        </w:rPr>
        <w:t>Standard unit root tests assume a stable data-generating process. When structural breaks are present as they plausibly are in India’s case given the 1991 reforms, the 2008 financial crisis, and the COVID-19 shock</w:t>
      </w:r>
      <w:r w:rsidR="003A2A4F" w:rsidRPr="0091313D">
        <w:rPr>
          <w:rFonts w:ascii="Arial" w:hAnsi="Arial" w:cs="Arial"/>
          <w:sz w:val="20"/>
          <w:szCs w:val="20"/>
        </w:rPr>
        <w:t xml:space="preserve">. </w:t>
      </w:r>
      <w:r w:rsidRPr="0091313D">
        <w:rPr>
          <w:rFonts w:ascii="Arial" w:hAnsi="Arial" w:cs="Arial"/>
          <w:sz w:val="20"/>
          <w:szCs w:val="20"/>
        </w:rPr>
        <w:t xml:space="preserve">ADF and PP tests can fail to reject a unit root even when none exists. The </w:t>
      </w:r>
      <w:proofErr w:type="spellStart"/>
      <w:r w:rsidRPr="0091313D">
        <w:rPr>
          <w:rFonts w:ascii="Arial" w:hAnsi="Arial" w:cs="Arial"/>
          <w:sz w:val="20"/>
          <w:szCs w:val="20"/>
        </w:rPr>
        <w:t>Zivot</w:t>
      </w:r>
      <w:proofErr w:type="spellEnd"/>
      <w:r w:rsidRPr="0091313D">
        <w:rPr>
          <w:rFonts w:ascii="Arial" w:hAnsi="Arial" w:cs="Arial"/>
          <w:sz w:val="20"/>
          <w:szCs w:val="20"/>
        </w:rPr>
        <w:t>-Andrews test addresses this by determining break dates endogenously rather than imposing them.</w:t>
      </w:r>
    </w:p>
    <w:p w14:paraId="460A3FF5"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The </w:t>
      </w:r>
      <w:proofErr w:type="spellStart"/>
      <w:r w:rsidRPr="0091313D">
        <w:rPr>
          <w:rFonts w:ascii="Arial" w:hAnsi="Arial" w:cs="Arial"/>
          <w:sz w:val="20"/>
          <w:szCs w:val="20"/>
        </w:rPr>
        <w:t>Zivot</w:t>
      </w:r>
      <w:proofErr w:type="spellEnd"/>
      <w:r w:rsidRPr="0091313D">
        <w:rPr>
          <w:rFonts w:ascii="Arial" w:hAnsi="Arial" w:cs="Arial"/>
          <w:sz w:val="20"/>
          <w:szCs w:val="20"/>
        </w:rPr>
        <w:t>-Andrews model is expressed as:</w:t>
      </w:r>
    </w:p>
    <w:p w14:paraId="66077CA7" w14:textId="7B7D2138" w:rsidR="00746387" w:rsidRPr="0091313D" w:rsidRDefault="0000000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=μ+βt+θD</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t</m:t>
              </m:r>
            </m:sub>
          </m:sSub>
          <m:r>
            <w:rPr>
              <w:rFonts w:ascii="Cambria Math" w:hAnsi="Cambria Math" w:cs="Arial"/>
              <w:sz w:val="20"/>
              <w:szCs w:val="20"/>
            </w:rPr>
            <m:t>+γD</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k</m:t>
              </m:r>
            </m:sup>
            <m:e>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(5)</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484606A8" w14:textId="4F5B4CE4" w:rsidR="00746387" w:rsidRPr="0091313D" w:rsidRDefault="00746387" w:rsidP="00EF4B44">
      <w:pPr>
        <w:numPr>
          <w:ilvl w:val="0"/>
          <w:numId w:val="4"/>
        </w:numPr>
        <w:spacing w:after="0" w:line="240" w:lineRule="auto"/>
        <w:jc w:val="both"/>
        <w:rPr>
          <w:rFonts w:ascii="Arial" w:hAnsi="Arial" w:cs="Arial"/>
          <w:sz w:val="20"/>
          <w:szCs w:val="20"/>
        </w:rPr>
      </w:pPr>
      <m:oMath>
        <m:r>
          <w:rPr>
            <w:rFonts w:ascii="Cambria Math" w:hAnsi="Cambria Math" w:cs="Arial"/>
            <w:sz w:val="20"/>
            <w:szCs w:val="20"/>
          </w:rPr>
          <m:t>D</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t</m:t>
            </m:r>
          </m:sub>
        </m:sSub>
      </m:oMath>
      <w:r w:rsidRPr="0091313D">
        <w:rPr>
          <w:rFonts w:ascii="Arial" w:hAnsi="Arial" w:cs="Arial"/>
          <w:sz w:val="20"/>
          <w:szCs w:val="20"/>
        </w:rPr>
        <w:t xml:space="preserve">captures intercept shifts </w:t>
      </w:r>
    </w:p>
    <w:p w14:paraId="417A3BC4" w14:textId="4F6335D5" w:rsidR="00746387" w:rsidRPr="0091313D" w:rsidRDefault="00746387" w:rsidP="00EF4B44">
      <w:pPr>
        <w:numPr>
          <w:ilvl w:val="0"/>
          <w:numId w:val="4"/>
        </w:numPr>
        <w:spacing w:after="0" w:line="240" w:lineRule="auto"/>
        <w:jc w:val="both"/>
        <w:rPr>
          <w:rFonts w:ascii="Arial" w:hAnsi="Arial" w:cs="Arial"/>
          <w:sz w:val="20"/>
          <w:szCs w:val="20"/>
        </w:rPr>
      </w:pPr>
      <m:oMath>
        <m:r>
          <w:rPr>
            <w:rFonts w:ascii="Cambria Math" w:hAnsi="Cambria Math" w:cs="Arial"/>
            <w:sz w:val="20"/>
            <w:szCs w:val="20"/>
          </w:rPr>
          <m:t>D</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m:t>
            </m:r>
          </m:sub>
        </m:sSub>
      </m:oMath>
      <w:r w:rsidRPr="0091313D">
        <w:rPr>
          <w:rFonts w:ascii="Arial" w:hAnsi="Arial" w:cs="Arial"/>
          <w:sz w:val="20"/>
          <w:szCs w:val="20"/>
        </w:rPr>
        <w:t xml:space="preserve">captures trend shifts </w:t>
      </w:r>
    </w:p>
    <w:p w14:paraId="095394CA" w14:textId="21C76D2F" w:rsidR="00746387" w:rsidRPr="0091313D" w:rsidRDefault="00D53804" w:rsidP="00EF4B44">
      <w:pPr>
        <w:numPr>
          <w:ilvl w:val="0"/>
          <w:numId w:val="4"/>
        </w:numPr>
        <w:spacing w:after="0" w:line="240" w:lineRule="auto"/>
        <w:jc w:val="both"/>
        <w:rPr>
          <w:rFonts w:ascii="Arial" w:hAnsi="Arial" w:cs="Arial"/>
          <w:sz w:val="20"/>
          <w:szCs w:val="20"/>
        </w:rPr>
      </w:pPr>
      <w:r w:rsidRPr="0091313D">
        <w:rPr>
          <w:rFonts w:ascii="Arial" w:hAnsi="Arial" w:cs="Arial"/>
          <w:sz w:val="20"/>
          <w:szCs w:val="20"/>
        </w:rPr>
        <w:t>Break dates are determined from the data rather than specified in advance</w:t>
      </w:r>
      <w:r w:rsidR="00746387" w:rsidRPr="0091313D">
        <w:rPr>
          <w:rFonts w:ascii="Arial" w:hAnsi="Arial" w:cs="Arial"/>
          <w:sz w:val="20"/>
          <w:szCs w:val="20"/>
        </w:rPr>
        <w:t xml:space="preserve"> </w:t>
      </w:r>
    </w:p>
    <w:p w14:paraId="667FC0E7" w14:textId="66015A00" w:rsidR="00746387" w:rsidRPr="0091313D" w:rsidRDefault="00D53804" w:rsidP="00EF4B44">
      <w:pPr>
        <w:spacing w:after="0" w:line="240" w:lineRule="auto"/>
        <w:jc w:val="both"/>
        <w:rPr>
          <w:rFonts w:ascii="Arial" w:hAnsi="Arial" w:cs="Arial"/>
          <w:sz w:val="20"/>
          <w:szCs w:val="20"/>
        </w:rPr>
      </w:pPr>
      <w:r w:rsidRPr="0091313D">
        <w:rPr>
          <w:rFonts w:ascii="Arial" w:hAnsi="Arial" w:cs="Arial"/>
          <w:sz w:val="20"/>
          <w:szCs w:val="20"/>
        </w:rPr>
        <w:t>A series that appears non-stationary under ADF or PP may turn out to be stationary once the break is accounted for which matters for how the variable enters the model.</w:t>
      </w:r>
    </w:p>
    <w:p w14:paraId="32B6F792" w14:textId="77777777" w:rsidR="00174A53" w:rsidRDefault="00174A53" w:rsidP="00EF4B44">
      <w:pPr>
        <w:spacing w:after="0" w:line="240" w:lineRule="auto"/>
        <w:jc w:val="both"/>
        <w:rPr>
          <w:rFonts w:ascii="Arial" w:hAnsi="Arial" w:cs="Arial"/>
          <w:b/>
          <w:bCs/>
          <w:sz w:val="20"/>
          <w:szCs w:val="20"/>
        </w:rPr>
      </w:pPr>
    </w:p>
    <w:p w14:paraId="158C97B5" w14:textId="3F6577F0" w:rsidR="00746387" w:rsidRPr="00174A53" w:rsidRDefault="00746387" w:rsidP="00EF4B44">
      <w:pPr>
        <w:spacing w:after="0" w:line="240" w:lineRule="auto"/>
        <w:jc w:val="both"/>
        <w:rPr>
          <w:rFonts w:ascii="Arial" w:hAnsi="Arial" w:cs="Arial"/>
          <w:b/>
          <w:bCs/>
        </w:rPr>
      </w:pPr>
      <w:r w:rsidRPr="00174A53">
        <w:rPr>
          <w:rFonts w:ascii="Arial" w:hAnsi="Arial" w:cs="Arial"/>
          <w:b/>
          <w:bCs/>
        </w:rPr>
        <w:t>3.7 ARDL Cointegration Model</w:t>
      </w:r>
    </w:p>
    <w:p w14:paraId="4E903D38" w14:textId="77777777" w:rsidR="00174A53" w:rsidRDefault="00174A53" w:rsidP="00EF4B44">
      <w:pPr>
        <w:spacing w:after="0" w:line="240" w:lineRule="auto"/>
        <w:jc w:val="both"/>
        <w:rPr>
          <w:rFonts w:ascii="Arial" w:hAnsi="Arial" w:cs="Arial"/>
          <w:sz w:val="20"/>
          <w:szCs w:val="20"/>
        </w:rPr>
      </w:pPr>
    </w:p>
    <w:p w14:paraId="4DA4B6D9" w14:textId="0E5E5803" w:rsidR="00746387" w:rsidRPr="0091313D" w:rsidRDefault="00AC4757" w:rsidP="00EF4B44">
      <w:pPr>
        <w:spacing w:after="0" w:line="240" w:lineRule="auto"/>
        <w:jc w:val="both"/>
        <w:rPr>
          <w:rFonts w:ascii="Arial" w:hAnsi="Arial" w:cs="Arial"/>
          <w:sz w:val="20"/>
          <w:szCs w:val="20"/>
        </w:rPr>
      </w:pPr>
      <w:r w:rsidRPr="0091313D">
        <w:rPr>
          <w:rFonts w:ascii="Arial" w:hAnsi="Arial" w:cs="Arial"/>
          <w:sz w:val="20"/>
          <w:szCs w:val="20"/>
        </w:rPr>
        <w:t xml:space="preserve">Long-run and short-run dynamics were estimated using the Autoregressive Distributed Lag (ARDL) framework developed </w:t>
      </w:r>
      <w:r w:rsidRPr="00E61C4B">
        <w:rPr>
          <w:rFonts w:ascii="Arial" w:hAnsi="Arial" w:cs="Arial"/>
          <w:sz w:val="20"/>
          <w:szCs w:val="20"/>
        </w:rPr>
        <w:t xml:space="preserve">by </w:t>
      </w:r>
      <w:proofErr w:type="spellStart"/>
      <w:r w:rsidRPr="00E61C4B">
        <w:rPr>
          <w:rFonts w:ascii="Arial" w:hAnsi="Arial" w:cs="Arial"/>
          <w:sz w:val="20"/>
          <w:szCs w:val="20"/>
        </w:rPr>
        <w:t>Pesaran</w:t>
      </w:r>
      <w:proofErr w:type="spellEnd"/>
      <w:r w:rsidRPr="00E61C4B">
        <w:rPr>
          <w:rFonts w:ascii="Arial" w:hAnsi="Arial" w:cs="Arial"/>
          <w:sz w:val="20"/>
          <w:szCs w:val="20"/>
        </w:rPr>
        <w:t xml:space="preserve"> et al. (2001)</w:t>
      </w:r>
      <w:sdt>
        <w:sdtPr>
          <w:rPr>
            <w:rFonts w:ascii="Arial" w:hAnsi="Arial" w:cs="Arial"/>
            <w:color w:val="000000"/>
            <w:sz w:val="20"/>
            <w:szCs w:val="20"/>
          </w:rPr>
          <w:tag w:val="MENDELEY_CITATION_v3_eyJjaXRhdGlvbklEIjoiTUVOREVMRVlfQ0lUQVRJT05fZmI4NmE5M2EtNzdhYS00YTc4LTg0NGQtM2JkZWU2NzMyNTlm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V9XX0="/>
          <w:id w:val="595219141"/>
          <w:placeholder>
            <w:docPart w:val="DefaultPlaceholder_-1854013440"/>
          </w:placeholder>
        </w:sdtPr>
        <w:sdtContent>
          <w:r w:rsidR="00DC1AA6" w:rsidRPr="00DC1AA6">
            <w:rPr>
              <w:rFonts w:ascii="Arial" w:hAnsi="Arial" w:cs="Arial"/>
              <w:color w:val="000000"/>
              <w:sz w:val="20"/>
              <w:szCs w:val="20"/>
            </w:rPr>
            <w:t>[6]</w:t>
          </w:r>
        </w:sdtContent>
      </w:sdt>
      <w:r w:rsidRPr="00E61C4B">
        <w:rPr>
          <w:rFonts w:ascii="Arial" w:hAnsi="Arial" w:cs="Arial"/>
          <w:sz w:val="20"/>
          <w:szCs w:val="20"/>
        </w:rPr>
        <w:t xml:space="preserve">. ARDL </w:t>
      </w:r>
      <w:r w:rsidRPr="0091313D">
        <w:rPr>
          <w:rFonts w:ascii="Arial" w:hAnsi="Arial" w:cs="Arial"/>
          <w:sz w:val="20"/>
          <w:szCs w:val="20"/>
        </w:rPr>
        <w:t>is well-suited here for three reasons: it handles mixed integration orders, variables can be I(0) or I(1) without issue; it performs reliably with small samples; and it estimates short-run and long-run coefficients within a single specification rather than requiring separate models.</w:t>
      </w:r>
    </w:p>
    <w:p w14:paraId="4307703C"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general ARDL model is:</w:t>
      </w:r>
    </w:p>
    <w:p w14:paraId="487645AD" w14:textId="77777777" w:rsidR="00174A53" w:rsidRPr="00174A53" w:rsidRDefault="00746387" w:rsidP="00EF4B44">
      <w:pPr>
        <w:spacing w:after="0" w:line="240" w:lineRule="auto"/>
        <w:jc w:val="both"/>
        <w:rPr>
          <w:rFonts w:ascii="Arial" w:hAnsi="Arial" w:cs="Arial"/>
          <w:b/>
          <w:bCs/>
          <w:sz w:val="20"/>
          <w:szCs w:val="20"/>
        </w:rPr>
      </w:pPr>
      <m:oMathPara>
        <m:oMath>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α</m:t>
              </m:r>
            </m:e>
            <m:sub>
              <m:r>
                <w:rPr>
                  <w:rFonts w:ascii="Cambria Math" w:hAnsi="Cambria Math" w:cs="Arial"/>
                  <w:sz w:val="20"/>
                  <w:szCs w:val="20"/>
                </w:rPr>
                <m:t>0</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j=0</m:t>
              </m:r>
            </m:sub>
            <m:sup>
              <m:r>
                <w:rPr>
                  <w:rFonts w:ascii="Cambria Math" w:hAnsi="Cambria Math" w:cs="Arial"/>
                  <w:sz w:val="20"/>
                  <w:szCs w:val="20"/>
                </w:rPr>
                <m:t>q</m:t>
              </m:r>
            </m:sup>
            <m:e>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j</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1</m:t>
              </m:r>
            </m:sub>
          </m:s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2</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(6)</m:t>
          </m:r>
          <m:r>
            <m:rPr>
              <m:sty m:val="p"/>
            </m:rPr>
            <w:rPr>
              <w:rFonts w:ascii="Cambria Math" w:hAnsi="Cambria Math" w:cs="Arial"/>
              <w:sz w:val="20"/>
              <w:szCs w:val="20"/>
            </w:rPr>
            <w:br/>
          </m:r>
        </m:oMath>
      </m:oMathPara>
    </w:p>
    <w:p w14:paraId="5EDC5A47" w14:textId="0E896863"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3.7.1 Bounds Cointegration Test</w:t>
      </w:r>
    </w:p>
    <w:p w14:paraId="46804A28" w14:textId="43521DA8" w:rsidR="00746387" w:rsidRPr="0091313D" w:rsidRDefault="00C0618A" w:rsidP="00EF4B44">
      <w:pPr>
        <w:spacing w:after="0" w:line="240" w:lineRule="auto"/>
        <w:jc w:val="both"/>
        <w:rPr>
          <w:rFonts w:ascii="Arial" w:hAnsi="Arial" w:cs="Arial"/>
          <w:sz w:val="20"/>
          <w:szCs w:val="20"/>
        </w:rPr>
      </w:pPr>
      <w:r w:rsidRPr="0091313D">
        <w:rPr>
          <w:rFonts w:ascii="Arial" w:hAnsi="Arial" w:cs="Arial"/>
          <w:sz w:val="20"/>
          <w:szCs w:val="20"/>
        </w:rPr>
        <w:t>Whether a long-run equilibrium relationship exists among the variables is determined using the bounds test. The null hypothesis is no cointegration; the alternative is that cointegration holds.</w:t>
      </w:r>
    </w:p>
    <w:p w14:paraId="184AD616" w14:textId="77777777" w:rsidR="00912240" w:rsidRPr="0091313D" w:rsidRDefault="00912240" w:rsidP="00EF4B44">
      <w:pPr>
        <w:spacing w:after="0" w:line="240" w:lineRule="auto"/>
        <w:jc w:val="both"/>
        <w:rPr>
          <w:rFonts w:ascii="Arial" w:hAnsi="Arial" w:cs="Arial"/>
          <w:sz w:val="20"/>
          <w:szCs w:val="20"/>
        </w:rPr>
      </w:pPr>
      <w:r w:rsidRPr="0091313D">
        <w:rPr>
          <w:rFonts w:ascii="Arial" w:hAnsi="Arial" w:cs="Arial"/>
          <w:sz w:val="20"/>
          <w:szCs w:val="20"/>
        </w:rPr>
        <w:t>Decision rule:</w:t>
      </w:r>
    </w:p>
    <w:p w14:paraId="0A03C5B7"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above the upper bound → cointegration exists</w:t>
      </w:r>
    </w:p>
    <w:p w14:paraId="4DC4A80A"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below the lower bound → no cointegration</w:t>
      </w:r>
    </w:p>
    <w:p w14:paraId="0C6F6812"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between bounds → inconclusive</w:t>
      </w:r>
    </w:p>
    <w:p w14:paraId="0EEDB31F" w14:textId="77777777" w:rsidR="00912240" w:rsidRPr="0091313D" w:rsidRDefault="00912240" w:rsidP="00EF4B44">
      <w:pPr>
        <w:spacing w:after="0" w:line="240" w:lineRule="auto"/>
        <w:jc w:val="both"/>
        <w:rPr>
          <w:rFonts w:ascii="Arial" w:hAnsi="Arial" w:cs="Arial"/>
          <w:b/>
          <w:bCs/>
          <w:sz w:val="20"/>
          <w:szCs w:val="20"/>
        </w:rPr>
      </w:pPr>
    </w:p>
    <w:p w14:paraId="4AA12DBD" w14:textId="6E9CC2E5" w:rsidR="00746387" w:rsidRPr="00174A53" w:rsidRDefault="00746387" w:rsidP="00EF4B44">
      <w:pPr>
        <w:spacing w:after="0" w:line="240" w:lineRule="auto"/>
        <w:jc w:val="both"/>
        <w:rPr>
          <w:rFonts w:ascii="Arial" w:hAnsi="Arial" w:cs="Arial"/>
          <w:b/>
          <w:bCs/>
        </w:rPr>
      </w:pPr>
      <w:r w:rsidRPr="00174A53">
        <w:rPr>
          <w:rFonts w:ascii="Arial" w:hAnsi="Arial" w:cs="Arial"/>
          <w:b/>
          <w:bCs/>
        </w:rPr>
        <w:t>3.8 Error Correction Model (ECM)</w:t>
      </w:r>
    </w:p>
    <w:p w14:paraId="6BFAFAC3" w14:textId="77777777" w:rsidR="00174A53" w:rsidRDefault="00174A53" w:rsidP="00EF4B44">
      <w:pPr>
        <w:spacing w:after="0" w:line="240" w:lineRule="auto"/>
        <w:jc w:val="both"/>
        <w:rPr>
          <w:rFonts w:ascii="Arial" w:hAnsi="Arial" w:cs="Arial"/>
          <w:sz w:val="20"/>
          <w:szCs w:val="20"/>
        </w:rPr>
      </w:pPr>
    </w:p>
    <w:p w14:paraId="24648713" w14:textId="7C5BE206" w:rsidR="00746387" w:rsidRPr="0091313D" w:rsidRDefault="00806BBC" w:rsidP="00EF4B44">
      <w:pPr>
        <w:spacing w:after="0" w:line="240" w:lineRule="auto"/>
        <w:jc w:val="both"/>
        <w:rPr>
          <w:rFonts w:ascii="Arial" w:hAnsi="Arial" w:cs="Arial"/>
          <w:sz w:val="20"/>
          <w:szCs w:val="20"/>
        </w:rPr>
      </w:pPr>
      <w:r w:rsidRPr="0091313D">
        <w:rPr>
          <w:rFonts w:ascii="Arial" w:hAnsi="Arial" w:cs="Arial"/>
          <w:sz w:val="20"/>
          <w:szCs w:val="20"/>
        </w:rPr>
        <w:t>Where the bounds test confirms cointegration, an Error Correction Model is estimated to capture how the system adjusts back toward equilibrium following a short-run shock.</w:t>
      </w:r>
    </w:p>
    <w:p w14:paraId="45978E14" w14:textId="01D68C37" w:rsidR="00746387" w:rsidRPr="0091313D" w:rsidRDefault="00746387" w:rsidP="00EF4B44">
      <w:pPr>
        <w:spacing w:after="0" w:line="240" w:lineRule="auto"/>
        <w:jc w:val="both"/>
        <w:rPr>
          <w:rFonts w:ascii="Arial" w:hAnsi="Arial" w:cs="Arial"/>
          <w:sz w:val="20"/>
          <w:szCs w:val="20"/>
        </w:rPr>
      </w:pPr>
      <m:oMathPara>
        <m:oMath>
          <m:r>
            <m:rPr>
              <m:sty m:val="p"/>
            </m:rPr>
            <w:rPr>
              <w:rFonts w:ascii="Cambria Math" w:hAnsi="Cambria Math" w:cs="Arial"/>
              <w:sz w:val="20"/>
              <w:szCs w:val="20"/>
            </w:rPr>
            <m:t>Δ</m:t>
          </m:r>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i</m:t>
              </m:r>
            </m:sub>
          </m:sSub>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m:t>
              </m:r>
            </m:sub>
          </m:sSub>
          <m:r>
            <w:rPr>
              <w:rFonts w:ascii="Cambria Math" w:hAnsi="Cambria Math" w:cs="Arial"/>
              <w:sz w:val="20"/>
              <w:szCs w:val="20"/>
            </w:rPr>
            <m:t>+θEC</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(7)</m:t>
          </m:r>
          <m:r>
            <m:rPr>
              <m:sty m:val="p"/>
            </m:rPr>
            <w:rPr>
              <w:rFonts w:ascii="Cambria Math" w:hAnsi="Cambria Math" w:cs="Arial"/>
              <w:sz w:val="20"/>
              <w:szCs w:val="20"/>
            </w:rPr>
            <w:br/>
          </m:r>
        </m:oMath>
      </m:oMathPara>
      <w:r w:rsidRPr="0091313D">
        <w:rPr>
          <w:rFonts w:ascii="Arial" w:hAnsi="Arial" w:cs="Arial"/>
          <w:sz w:val="20"/>
          <w:szCs w:val="20"/>
        </w:rPr>
        <w:t>Where:</w:t>
      </w:r>
    </w:p>
    <w:p w14:paraId="62326B5B" w14:textId="046D33AE" w:rsidR="00746387" w:rsidRPr="0091313D" w:rsidRDefault="00746387" w:rsidP="00EF4B44">
      <w:pPr>
        <w:numPr>
          <w:ilvl w:val="0"/>
          <w:numId w:val="7"/>
        </w:numPr>
        <w:spacing w:after="0" w:line="240" w:lineRule="auto"/>
        <w:jc w:val="both"/>
        <w:rPr>
          <w:rFonts w:ascii="Arial" w:hAnsi="Arial" w:cs="Arial"/>
          <w:sz w:val="20"/>
          <w:szCs w:val="20"/>
        </w:rPr>
      </w:pPr>
      <m:oMath>
        <m:r>
          <w:rPr>
            <w:rFonts w:ascii="Cambria Math" w:hAnsi="Cambria Math" w:cs="Arial"/>
            <w:sz w:val="20"/>
            <w:szCs w:val="20"/>
          </w:rPr>
          <m:t>EC</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t-1</m:t>
            </m:r>
          </m:sub>
        </m:sSub>
      </m:oMath>
      <w:r w:rsidRPr="0091313D">
        <w:rPr>
          <w:rFonts w:ascii="Arial" w:hAnsi="Arial" w:cs="Arial"/>
          <w:sz w:val="20"/>
          <w:szCs w:val="20"/>
        </w:rPr>
        <w:t xml:space="preserve">is the lagged error correction term </w:t>
      </w:r>
    </w:p>
    <w:p w14:paraId="434D76F2" w14:textId="5FB1A2D9" w:rsidR="00746387" w:rsidRPr="0091313D" w:rsidRDefault="00746387" w:rsidP="00EF4B44">
      <w:pPr>
        <w:numPr>
          <w:ilvl w:val="0"/>
          <w:numId w:val="7"/>
        </w:numPr>
        <w:spacing w:after="0" w:line="240" w:lineRule="auto"/>
        <w:jc w:val="both"/>
        <w:rPr>
          <w:rFonts w:ascii="Arial" w:hAnsi="Arial" w:cs="Arial"/>
          <w:sz w:val="20"/>
          <w:szCs w:val="20"/>
        </w:rPr>
      </w:pPr>
      <m:oMath>
        <m:r>
          <w:rPr>
            <w:rFonts w:ascii="Cambria Math" w:hAnsi="Cambria Math" w:cs="Arial"/>
            <w:sz w:val="20"/>
            <w:szCs w:val="20"/>
          </w:rPr>
          <m:t>θ</m:t>
        </m:r>
      </m:oMath>
      <w:r w:rsidRPr="0091313D">
        <w:rPr>
          <w:rFonts w:ascii="Arial" w:hAnsi="Arial" w:cs="Arial"/>
          <w:sz w:val="20"/>
          <w:szCs w:val="20"/>
        </w:rPr>
        <w:t xml:space="preserve">measures the speed of adjustment toward equilibrium </w:t>
      </w:r>
    </w:p>
    <w:p w14:paraId="11A5DEF3" w14:textId="7A09FBFA" w:rsidR="000A7650" w:rsidRPr="0091313D" w:rsidRDefault="000A7650" w:rsidP="00EF4B44">
      <w:pPr>
        <w:spacing w:after="0" w:line="240" w:lineRule="auto"/>
        <w:jc w:val="both"/>
        <w:rPr>
          <w:rFonts w:ascii="Arial" w:hAnsi="Arial" w:cs="Arial"/>
          <w:sz w:val="20"/>
          <w:szCs w:val="20"/>
        </w:rPr>
      </w:pPr>
      <w:r w:rsidRPr="0091313D">
        <w:rPr>
          <w:rFonts w:ascii="Arial" w:hAnsi="Arial" w:cs="Arial"/>
          <w:sz w:val="20"/>
          <w:szCs w:val="20"/>
        </w:rPr>
        <w:t>A negative and statistically significant ECM confirms that deviations from long-run equilibrium are corrected over time rather than persisting indefinitely.</w:t>
      </w:r>
    </w:p>
    <w:p w14:paraId="4AC345D1" w14:textId="77777777" w:rsidR="000A7650" w:rsidRPr="0091313D" w:rsidRDefault="000A7650" w:rsidP="00EF4B44">
      <w:pPr>
        <w:spacing w:after="0" w:line="240" w:lineRule="auto"/>
        <w:jc w:val="both"/>
        <w:rPr>
          <w:rFonts w:ascii="Arial" w:hAnsi="Arial" w:cs="Arial"/>
          <w:b/>
          <w:bCs/>
          <w:sz w:val="20"/>
          <w:szCs w:val="20"/>
        </w:rPr>
      </w:pPr>
    </w:p>
    <w:p w14:paraId="43AAD04B" w14:textId="2035CB41"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3.9 Nonlinear ARDL (NARDL) Model</w:t>
      </w:r>
    </w:p>
    <w:p w14:paraId="51AD2E18" w14:textId="77777777" w:rsidR="00174A53" w:rsidRDefault="00174A53" w:rsidP="00EF4B44">
      <w:pPr>
        <w:spacing w:after="0" w:line="240" w:lineRule="auto"/>
        <w:jc w:val="both"/>
        <w:rPr>
          <w:rFonts w:ascii="Arial" w:hAnsi="Arial" w:cs="Arial"/>
          <w:sz w:val="20"/>
          <w:szCs w:val="20"/>
        </w:rPr>
      </w:pPr>
    </w:p>
    <w:p w14:paraId="0B0593AF" w14:textId="37900F17" w:rsidR="00746387" w:rsidRPr="0091313D" w:rsidRDefault="00FE5268" w:rsidP="00EF4B44">
      <w:pPr>
        <w:spacing w:after="0" w:line="240" w:lineRule="auto"/>
        <w:jc w:val="both"/>
        <w:rPr>
          <w:rFonts w:ascii="Arial" w:hAnsi="Arial" w:cs="Arial"/>
          <w:sz w:val="20"/>
          <w:szCs w:val="20"/>
        </w:rPr>
      </w:pPr>
      <w:r w:rsidRPr="0091313D">
        <w:rPr>
          <w:rFonts w:ascii="Arial" w:hAnsi="Arial" w:cs="Arial"/>
          <w:sz w:val="20"/>
          <w:szCs w:val="20"/>
        </w:rPr>
        <w:t>The standard ARDL model imposes symmetry</w:t>
      </w:r>
      <w:r w:rsidR="00174A53">
        <w:rPr>
          <w:rFonts w:ascii="Arial" w:hAnsi="Arial" w:cs="Arial"/>
          <w:sz w:val="20"/>
          <w:szCs w:val="20"/>
        </w:rPr>
        <w:t>,</w:t>
      </w:r>
      <w:r w:rsidRPr="0091313D">
        <w:rPr>
          <w:rFonts w:ascii="Arial" w:hAnsi="Arial" w:cs="Arial"/>
          <w:sz w:val="20"/>
          <w:szCs w:val="20"/>
        </w:rPr>
        <w:t xml:space="preserve"> it assumes positive and negative changes in trade openness affect growth by the same magnitude in opposite directions. The NARDL framework, following </w:t>
      </w:r>
      <w:r w:rsidRPr="00E61C4B">
        <w:rPr>
          <w:rFonts w:ascii="Arial" w:hAnsi="Arial" w:cs="Arial"/>
          <w:sz w:val="20"/>
          <w:szCs w:val="20"/>
        </w:rPr>
        <w:t>Shin et al. (2014)</w:t>
      </w:r>
      <w:sdt>
        <w:sdtPr>
          <w:rPr>
            <w:rFonts w:ascii="Arial" w:hAnsi="Arial" w:cs="Arial"/>
            <w:color w:val="000000"/>
            <w:sz w:val="20"/>
            <w:szCs w:val="20"/>
          </w:rPr>
          <w:tag w:val="MENDELEY_CITATION_v3_eyJjaXRhdGlvbklEIjoiTUVOREVMRVlfQ0lUQVRJT05fNjg4NzgyNGEtOWM2ZC00YTQ5LWJkMjMtZTBkMzlhYjA4MzA2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
          <w:id w:val="-98946833"/>
          <w:placeholder>
            <w:docPart w:val="DefaultPlaceholder_-1854013440"/>
          </w:placeholder>
        </w:sdtPr>
        <w:sdtContent>
          <w:r w:rsidR="00DC1AA6" w:rsidRPr="00DC1AA6">
            <w:rPr>
              <w:rFonts w:ascii="Arial" w:hAnsi="Arial" w:cs="Arial"/>
              <w:color w:val="000000"/>
              <w:sz w:val="20"/>
              <w:szCs w:val="20"/>
            </w:rPr>
            <w:t>[7]</w:t>
          </w:r>
        </w:sdtContent>
      </w:sdt>
      <w:r w:rsidRPr="00E61C4B">
        <w:rPr>
          <w:rFonts w:ascii="Arial" w:hAnsi="Arial" w:cs="Arial"/>
          <w:sz w:val="20"/>
          <w:szCs w:val="20"/>
        </w:rPr>
        <w:t xml:space="preserve">, relaxes </w:t>
      </w:r>
      <w:r w:rsidRPr="0091313D">
        <w:rPr>
          <w:rFonts w:ascii="Arial" w:hAnsi="Arial" w:cs="Arial"/>
          <w:sz w:val="20"/>
          <w:szCs w:val="20"/>
        </w:rPr>
        <w:t>that assumption by decomposing trade openness into separate positive and negative partial sums.</w:t>
      </w:r>
    </w:p>
    <w:p w14:paraId="6FFF4A28"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Positive shocks:</w:t>
      </w:r>
    </w:p>
    <w:p w14:paraId="60BF8AA9" w14:textId="1BA0936C"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t</m:t>
              </m:r>
            </m:sup>
            <m:e>
              <m:r>
                <m:rPr>
                  <m:sty m:val="p"/>
                </m:rPr>
                <w:rPr>
                  <w:rFonts w:ascii="Cambria Math" w:hAnsi="Cambria Math" w:cs="Arial"/>
                  <w:sz w:val="20"/>
                  <w:szCs w:val="20"/>
                </w:rPr>
                <m:t>max</m:t>
              </m:r>
              <m:r>
                <w:rPr>
                  <w:rFonts w:ascii="Cambria Math" w:hAnsi="Cambria Math" w:cs="Arial"/>
                  <w:sz w:val="20"/>
                  <w:szCs w:val="20"/>
                </w:rPr>
                <m:t>⁡(</m:t>
              </m:r>
              <m:r>
                <m:rPr>
                  <m:sty m:val="p"/>
                </m:rPr>
                <w:rPr>
                  <w:rFonts w:ascii="Cambria Math" w:hAnsi="Cambria Math" w:cs="Arial"/>
                  <w:sz w:val="20"/>
                  <w:szCs w:val="20"/>
                </w:rPr>
                <m:t>Δ</m:t>
              </m:r>
              <m:r>
                <w:rPr>
                  <w:rFonts w:ascii="Cambria Math" w:hAnsi="Cambria Math" w:cs="Arial"/>
                  <w:sz w:val="20"/>
                  <w:szCs w:val="20"/>
                </w:rPr>
                <m:t>T</m:t>
              </m:r>
            </m:e>
          </m:nary>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j</m:t>
              </m:r>
            </m:sub>
          </m:sSub>
          <m:r>
            <w:rPr>
              <w:rFonts w:ascii="Cambria Math" w:hAnsi="Cambria Math" w:cs="Arial"/>
              <w:sz w:val="20"/>
              <w:szCs w:val="20"/>
            </w:rPr>
            <m:t>,0)                                                    (8)</m:t>
          </m:r>
          <m:r>
            <m:rPr>
              <m:sty m:val="p"/>
            </m:rPr>
            <w:rPr>
              <w:rFonts w:ascii="Cambria Math" w:hAnsi="Cambria Math" w:cs="Arial"/>
              <w:sz w:val="20"/>
              <w:szCs w:val="20"/>
            </w:rPr>
            <w:br/>
          </m:r>
        </m:oMath>
      </m:oMathPara>
      <w:r w:rsidRPr="0091313D">
        <w:rPr>
          <w:rFonts w:ascii="Arial" w:hAnsi="Arial" w:cs="Arial"/>
          <w:sz w:val="20"/>
          <w:szCs w:val="20"/>
        </w:rPr>
        <w:t>Negative shocks:</w:t>
      </w:r>
    </w:p>
    <w:p w14:paraId="7C56EF62" w14:textId="7B62C106"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t</m:t>
              </m:r>
            </m:sup>
            <m:e>
              <m:r>
                <m:rPr>
                  <m:sty m:val="p"/>
                </m:rPr>
                <w:rPr>
                  <w:rFonts w:ascii="Cambria Math" w:hAnsi="Cambria Math" w:cs="Arial"/>
                  <w:sz w:val="20"/>
                  <w:szCs w:val="20"/>
                </w:rPr>
                <m:t>min</m:t>
              </m:r>
              <m:r>
                <w:rPr>
                  <w:rFonts w:ascii="Cambria Math" w:hAnsi="Cambria Math" w:cs="Arial"/>
                  <w:sz w:val="20"/>
                  <w:szCs w:val="20"/>
                </w:rPr>
                <m:t>⁡(</m:t>
              </m:r>
              <m:r>
                <m:rPr>
                  <m:sty m:val="p"/>
                </m:rPr>
                <w:rPr>
                  <w:rFonts w:ascii="Cambria Math" w:hAnsi="Cambria Math" w:cs="Arial"/>
                  <w:sz w:val="20"/>
                  <w:szCs w:val="20"/>
                </w:rPr>
                <m:t>Δ</m:t>
              </m:r>
              <m:r>
                <w:rPr>
                  <w:rFonts w:ascii="Cambria Math" w:hAnsi="Cambria Math" w:cs="Arial"/>
                  <w:sz w:val="20"/>
                  <w:szCs w:val="20"/>
                </w:rPr>
                <m:t>T</m:t>
              </m:r>
            </m:e>
          </m:nary>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j</m:t>
              </m:r>
            </m:sub>
          </m:sSub>
          <m:r>
            <w:rPr>
              <w:rFonts w:ascii="Cambria Math" w:hAnsi="Cambria Math" w:cs="Arial"/>
              <w:sz w:val="20"/>
              <w:szCs w:val="20"/>
            </w:rPr>
            <m:t>,0)                                                    (9)</m:t>
          </m:r>
          <m:r>
            <m:rPr>
              <m:sty m:val="p"/>
            </m:rPr>
            <w:rPr>
              <w:rFonts w:ascii="Cambria Math" w:hAnsi="Cambria Math" w:cs="Arial"/>
              <w:sz w:val="20"/>
              <w:szCs w:val="20"/>
            </w:rPr>
            <w:br/>
          </m:r>
        </m:oMath>
      </m:oMathPara>
      <w:r w:rsidRPr="0091313D">
        <w:rPr>
          <w:rFonts w:ascii="Arial" w:hAnsi="Arial" w:cs="Arial"/>
          <w:sz w:val="20"/>
          <w:szCs w:val="20"/>
        </w:rPr>
        <w:t>The NARDL specification becomes:</w:t>
      </w:r>
    </w:p>
    <w:p w14:paraId="2E2A71CC" w14:textId="5904B414"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(10)</m:t>
          </m:r>
          <m:r>
            <m:rPr>
              <m:sty m:val="p"/>
            </m:rPr>
            <w:rPr>
              <w:rFonts w:ascii="Cambria Math" w:hAnsi="Cambria Math" w:cs="Arial"/>
              <w:sz w:val="20"/>
              <w:szCs w:val="20"/>
            </w:rPr>
            <w:br/>
          </m:r>
        </m:oMath>
      </m:oMathPara>
    </w:p>
    <w:p w14:paraId="2D5C67DE" w14:textId="76FFB571" w:rsidR="00746387" w:rsidRPr="0091313D" w:rsidRDefault="0059502A" w:rsidP="00EF4B44">
      <w:pPr>
        <w:spacing w:after="0" w:line="240" w:lineRule="auto"/>
        <w:jc w:val="both"/>
        <w:rPr>
          <w:rFonts w:ascii="Arial" w:hAnsi="Arial" w:cs="Arial"/>
          <w:sz w:val="20"/>
          <w:szCs w:val="20"/>
        </w:rPr>
      </w:pPr>
      <w:r w:rsidRPr="0091313D">
        <w:rPr>
          <w:rFonts w:ascii="Arial" w:hAnsi="Arial" w:cs="Arial"/>
          <w:sz w:val="20"/>
          <w:szCs w:val="20"/>
        </w:rPr>
        <w:lastRenderedPageBreak/>
        <w:t>If the coefficients on the positive and negative partial sums differ significantly, the growth response to trade expansions is not a mirror image of the response to trade contractions, which is precisely what the asymmetry hypothesis predicts</w:t>
      </w:r>
      <w:r w:rsidR="00B312AE">
        <w:rPr>
          <w:rFonts w:ascii="Arial" w:hAnsi="Arial" w:cs="Arial"/>
          <w:sz w:val="20"/>
          <w:szCs w:val="20"/>
        </w:rPr>
        <w:t xml:space="preserve">. </w:t>
      </w:r>
      <w:r w:rsidR="00B312AE" w:rsidRPr="00B312AE">
        <w:rPr>
          <w:rFonts w:ascii="Arial" w:hAnsi="Arial" w:cs="Arial"/>
          <w:sz w:val="20"/>
          <w:szCs w:val="20"/>
        </w:rPr>
        <w:t>A Wald test is employed to test the null hypothesis of symmetry (i.e., equality of positive and negative trade shock effects).</w:t>
      </w:r>
    </w:p>
    <w:p w14:paraId="4D09716F" w14:textId="11081931" w:rsidR="00746387" w:rsidRPr="0091313D" w:rsidRDefault="00746387" w:rsidP="00EF4B44">
      <w:pPr>
        <w:spacing w:after="0" w:line="240" w:lineRule="auto"/>
        <w:jc w:val="both"/>
        <w:rPr>
          <w:rFonts w:ascii="Arial" w:hAnsi="Arial" w:cs="Arial"/>
          <w:sz w:val="20"/>
          <w:szCs w:val="20"/>
        </w:rPr>
      </w:pPr>
    </w:p>
    <w:p w14:paraId="7E519B98"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3.10 Diagnostic and Stability Tests</w:t>
      </w:r>
    </w:p>
    <w:p w14:paraId="46BA7702" w14:textId="77777777" w:rsidR="00174A53" w:rsidRDefault="00174A53" w:rsidP="00EF4B44">
      <w:pPr>
        <w:spacing w:after="0" w:line="240" w:lineRule="auto"/>
        <w:jc w:val="both"/>
        <w:rPr>
          <w:rFonts w:ascii="Arial" w:hAnsi="Arial" w:cs="Arial"/>
          <w:sz w:val="20"/>
          <w:szCs w:val="20"/>
        </w:rPr>
      </w:pPr>
    </w:p>
    <w:p w14:paraId="1BCB021E" w14:textId="6A1F1D78" w:rsidR="00746387" w:rsidRPr="0091313D" w:rsidRDefault="008A6360" w:rsidP="00EF4B44">
      <w:pPr>
        <w:spacing w:after="0" w:line="240" w:lineRule="auto"/>
        <w:jc w:val="both"/>
        <w:rPr>
          <w:rFonts w:ascii="Arial" w:hAnsi="Arial" w:cs="Arial"/>
          <w:sz w:val="20"/>
          <w:szCs w:val="20"/>
        </w:rPr>
      </w:pPr>
      <w:r w:rsidRPr="0091313D">
        <w:rPr>
          <w:rFonts w:ascii="Arial" w:hAnsi="Arial" w:cs="Arial"/>
          <w:sz w:val="20"/>
          <w:szCs w:val="20"/>
        </w:rPr>
        <w:t>Four diagnostic tests were run to check model validity before drawing inference from the results.</w:t>
      </w:r>
    </w:p>
    <w:p w14:paraId="561D01F4"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Breusch-Godfrey Serial Correlation Test</w:t>
      </w:r>
    </w:p>
    <w:p w14:paraId="31E0CB4D" w14:textId="0BCF4ED9" w:rsidR="00746387" w:rsidRPr="0091313D" w:rsidRDefault="00947AC8" w:rsidP="00EF4B44">
      <w:pPr>
        <w:spacing w:after="0" w:line="240" w:lineRule="auto"/>
        <w:jc w:val="both"/>
        <w:rPr>
          <w:rFonts w:ascii="Arial" w:hAnsi="Arial" w:cs="Arial"/>
          <w:sz w:val="20"/>
          <w:szCs w:val="20"/>
        </w:rPr>
      </w:pPr>
      <w:r w:rsidRPr="0091313D">
        <w:rPr>
          <w:rFonts w:ascii="Arial" w:hAnsi="Arial" w:cs="Arial"/>
          <w:sz w:val="20"/>
          <w:szCs w:val="20"/>
        </w:rPr>
        <w:t>Checks for autocorrelation in the residuals. Serial correlation in an ARDL model can bias standard errors and distort significance tests.</w:t>
      </w:r>
    </w:p>
    <w:p w14:paraId="41FE3358"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White Heteroskedasticity Test</w:t>
      </w:r>
    </w:p>
    <w:p w14:paraId="58E3BB22" w14:textId="01E7A0E1" w:rsidR="00746387" w:rsidRPr="0091313D" w:rsidRDefault="005E263E" w:rsidP="00EF4B44">
      <w:pPr>
        <w:spacing w:after="0" w:line="240" w:lineRule="auto"/>
        <w:jc w:val="both"/>
        <w:rPr>
          <w:rFonts w:ascii="Arial" w:hAnsi="Arial" w:cs="Arial"/>
          <w:sz w:val="20"/>
          <w:szCs w:val="20"/>
        </w:rPr>
      </w:pPr>
      <w:r w:rsidRPr="0091313D">
        <w:rPr>
          <w:rFonts w:ascii="Arial" w:hAnsi="Arial" w:cs="Arial"/>
          <w:sz w:val="20"/>
          <w:szCs w:val="20"/>
        </w:rPr>
        <w:t>Checks whether residual variance is constant across observations. Non-constant variance does not bias coefficients but affects their reliability.</w:t>
      </w:r>
    </w:p>
    <w:p w14:paraId="338EF293"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Jarque-Bera Normality Test</w:t>
      </w:r>
    </w:p>
    <w:p w14:paraId="0DFCC879"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Tests residual normality.</w:t>
      </w:r>
    </w:p>
    <w:p w14:paraId="10CB3497" w14:textId="31F537FD" w:rsidR="00711C1D" w:rsidRPr="0091313D" w:rsidRDefault="00711C1D" w:rsidP="00EF4B44">
      <w:pPr>
        <w:spacing w:after="0" w:line="240" w:lineRule="auto"/>
        <w:jc w:val="both"/>
        <w:rPr>
          <w:rFonts w:ascii="Arial" w:hAnsi="Arial" w:cs="Arial"/>
          <w:sz w:val="20"/>
          <w:szCs w:val="20"/>
        </w:rPr>
      </w:pPr>
      <w:r w:rsidRPr="0091313D">
        <w:rPr>
          <w:rFonts w:ascii="Arial" w:hAnsi="Arial" w:cs="Arial"/>
          <w:sz w:val="20"/>
          <w:szCs w:val="20"/>
        </w:rPr>
        <w:t>Tests whether residuals follow a normal distribution. Departures from normality is common in macroeconomic data with crisis periods are noted but do not invalidate the model.</w:t>
      </w:r>
    </w:p>
    <w:p w14:paraId="35A37FFB" w14:textId="7D6BFC6F"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JB=</m:t>
          </m:r>
          <m:f>
            <m:fPr>
              <m:ctrlPr>
                <w:rPr>
                  <w:rFonts w:ascii="Cambria Math" w:hAnsi="Cambria Math" w:cs="Arial"/>
                  <w:sz w:val="20"/>
                  <w:szCs w:val="20"/>
                </w:rPr>
              </m:ctrlPr>
            </m:fPr>
            <m:num>
              <m:r>
                <w:rPr>
                  <w:rFonts w:ascii="Cambria Math" w:hAnsi="Cambria Math" w:cs="Arial"/>
                  <w:sz w:val="20"/>
                  <w:szCs w:val="20"/>
                </w:rPr>
                <m:t>n</m:t>
              </m:r>
            </m:num>
            <m:den>
              <m:r>
                <w:rPr>
                  <w:rFonts w:ascii="Cambria Math" w:hAnsi="Cambria Math" w:cs="Arial"/>
                  <w:sz w:val="20"/>
                  <w:szCs w:val="20"/>
                </w:rPr>
                <m:t>6</m:t>
              </m:r>
            </m:den>
          </m:f>
          <m:d>
            <m:dPr>
              <m:sepChr m:val="+"/>
              <m:ctrlPr>
                <w:rPr>
                  <w:rFonts w:ascii="Cambria Math" w:hAnsi="Cambria Math" w:cs="Arial"/>
                  <w:sz w:val="20"/>
                  <w:szCs w:val="20"/>
                </w:rPr>
              </m:ctrlPr>
            </m:dPr>
            <m:e>
              <m:sSup>
                <m:sSupPr>
                  <m:ctrlPr>
                    <w:rPr>
                      <w:rFonts w:ascii="Cambria Math" w:hAnsi="Cambria Math" w:cs="Arial"/>
                      <w:sz w:val="20"/>
                      <w:szCs w:val="20"/>
                    </w:rPr>
                  </m:ctrlPr>
                </m:sSupPr>
                <m:e>
                  <m:r>
                    <w:rPr>
                      <w:rFonts w:ascii="Cambria Math" w:hAnsi="Cambria Math" w:cs="Arial"/>
                      <w:sz w:val="20"/>
                      <w:szCs w:val="20"/>
                    </w:rPr>
                    <m:t>S</m:t>
                  </m:r>
                </m:e>
                <m:sup>
                  <m:r>
                    <w:rPr>
                      <w:rFonts w:ascii="Cambria Math" w:hAnsi="Cambria Math" w:cs="Arial"/>
                      <w:sz w:val="20"/>
                      <w:szCs w:val="20"/>
                    </w:rPr>
                    <m:t>2</m:t>
                  </m:r>
                </m:sup>
              </m:sSup>
            </m:e>
            <m:e>
              <m:f>
                <m:fPr>
                  <m:ctrlPr>
                    <w:rPr>
                      <w:rFonts w:ascii="Cambria Math" w:hAnsi="Cambria Math" w:cs="Arial"/>
                      <w:sz w:val="20"/>
                      <w:szCs w:val="20"/>
                    </w:rPr>
                  </m:ctrlPr>
                </m:fPr>
                <m:num>
                  <m:sSup>
                    <m:sSupPr>
                      <m:ctrlPr>
                        <w:rPr>
                          <w:rFonts w:ascii="Cambria Math" w:hAnsi="Cambria Math" w:cs="Arial"/>
                          <w:sz w:val="20"/>
                          <w:szCs w:val="20"/>
                        </w:rPr>
                      </m:ctrlPr>
                    </m:sSupPr>
                    <m:e>
                      <m:d>
                        <m:dPr>
                          <m:ctrlPr>
                            <w:rPr>
                              <w:rFonts w:ascii="Cambria Math" w:hAnsi="Cambria Math" w:cs="Arial"/>
                              <w:sz w:val="20"/>
                              <w:szCs w:val="20"/>
                            </w:rPr>
                          </m:ctrlPr>
                        </m:dPr>
                        <m:e>
                          <m:r>
                            <w:rPr>
                              <w:rFonts w:ascii="Cambria Math" w:hAnsi="Cambria Math" w:cs="Arial"/>
                              <w:sz w:val="20"/>
                              <w:szCs w:val="20"/>
                            </w:rPr>
                            <m:t>K-3</m:t>
                          </m:r>
                        </m:e>
                      </m:d>
                    </m:e>
                    <m:sup>
                      <m:r>
                        <w:rPr>
                          <w:rFonts w:ascii="Cambria Math" w:hAnsi="Cambria Math" w:cs="Arial"/>
                          <w:sz w:val="20"/>
                          <w:szCs w:val="20"/>
                        </w:rPr>
                        <m:t>2</m:t>
                      </m:r>
                    </m:sup>
                  </m:sSup>
                </m:num>
                <m:den>
                  <m:r>
                    <w:rPr>
                      <w:rFonts w:ascii="Cambria Math" w:hAnsi="Cambria Math" w:cs="Arial"/>
                      <w:sz w:val="20"/>
                      <w:szCs w:val="20"/>
                    </w:rPr>
                    <m:t>4</m:t>
                  </m:r>
                </m:den>
              </m:f>
            </m:e>
          </m:d>
          <m:r>
            <w:rPr>
              <w:rFonts w:ascii="Cambria Math" w:hAnsi="Cambria Math" w:cs="Arial"/>
              <w:sz w:val="20"/>
              <w:szCs w:val="20"/>
            </w:rPr>
            <m:t xml:space="preserve">                                                      (11)</m:t>
          </m:r>
          <m:r>
            <m:rPr>
              <m:sty m:val="p"/>
            </m:rPr>
            <w:rPr>
              <w:rFonts w:ascii="Cambria Math" w:hAnsi="Cambria Math" w:cs="Arial"/>
              <w:sz w:val="20"/>
              <w:szCs w:val="20"/>
            </w:rPr>
            <w:br/>
          </m:r>
        </m:oMath>
      </m:oMathPara>
    </w:p>
    <w:p w14:paraId="0CF80C50"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CUSUM Stability Test</w:t>
      </w:r>
    </w:p>
    <w:p w14:paraId="6101F9DD" w14:textId="0B53758E" w:rsidR="00746387" w:rsidRPr="0091313D" w:rsidRDefault="00B15255" w:rsidP="00EF4B44">
      <w:pPr>
        <w:spacing w:after="0" w:line="240" w:lineRule="auto"/>
        <w:jc w:val="both"/>
        <w:rPr>
          <w:rFonts w:ascii="Arial" w:hAnsi="Arial" w:cs="Arial"/>
          <w:sz w:val="20"/>
          <w:szCs w:val="20"/>
        </w:rPr>
      </w:pPr>
      <w:r w:rsidRPr="0091313D">
        <w:rPr>
          <w:rFonts w:ascii="Arial" w:hAnsi="Arial" w:cs="Arial"/>
          <w:sz w:val="20"/>
          <w:szCs w:val="20"/>
        </w:rPr>
        <w:t>Plots cumulative recursive residuals against critical bounds over time. If the series stays within bounds, parameter estimates are stable across the sample. Departures signal potential structural instability in the estimated coefficients.</w:t>
      </w:r>
    </w:p>
    <w:p w14:paraId="751EA819" w14:textId="77777777" w:rsidR="00B15255" w:rsidRPr="0091313D" w:rsidRDefault="00B15255" w:rsidP="00EF4B44">
      <w:pPr>
        <w:spacing w:after="0" w:line="240" w:lineRule="auto"/>
        <w:jc w:val="both"/>
        <w:rPr>
          <w:rFonts w:ascii="Arial" w:hAnsi="Arial" w:cs="Arial"/>
          <w:b/>
          <w:bCs/>
          <w:sz w:val="20"/>
          <w:szCs w:val="20"/>
        </w:rPr>
      </w:pPr>
    </w:p>
    <w:p w14:paraId="3620FD56" w14:textId="2D35698A" w:rsidR="00746387" w:rsidRPr="00174A53" w:rsidRDefault="00746387" w:rsidP="00EF4B44">
      <w:pPr>
        <w:spacing w:after="0" w:line="240" w:lineRule="auto"/>
        <w:jc w:val="both"/>
        <w:rPr>
          <w:rFonts w:ascii="Arial" w:hAnsi="Arial" w:cs="Arial"/>
          <w:b/>
          <w:bCs/>
        </w:rPr>
      </w:pPr>
      <w:r w:rsidRPr="00174A53">
        <w:rPr>
          <w:rFonts w:ascii="Arial" w:hAnsi="Arial" w:cs="Arial"/>
          <w:b/>
          <w:bCs/>
        </w:rPr>
        <w:t>3.11 Granger and Toda-Yamamoto Causality</w:t>
      </w:r>
    </w:p>
    <w:p w14:paraId="5EF5BC20" w14:textId="77777777" w:rsidR="00174A53" w:rsidRDefault="00174A53" w:rsidP="00EF4B44">
      <w:pPr>
        <w:spacing w:after="0" w:line="240" w:lineRule="auto"/>
        <w:jc w:val="both"/>
        <w:rPr>
          <w:rFonts w:ascii="Arial" w:hAnsi="Arial" w:cs="Arial"/>
          <w:b/>
          <w:bCs/>
          <w:sz w:val="20"/>
          <w:szCs w:val="20"/>
        </w:rPr>
      </w:pPr>
    </w:p>
    <w:p w14:paraId="2AA3AFE6" w14:textId="36791A61"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Granger Causality</w:t>
      </w:r>
    </w:p>
    <w:p w14:paraId="5B844E8F" w14:textId="092DC4B8" w:rsidR="00B15255" w:rsidRPr="0091313D" w:rsidRDefault="00B15255" w:rsidP="00EF4B44">
      <w:pPr>
        <w:spacing w:after="0" w:line="240" w:lineRule="auto"/>
        <w:jc w:val="both"/>
        <w:rPr>
          <w:rFonts w:ascii="Arial" w:hAnsi="Arial" w:cs="Arial"/>
          <w:sz w:val="20"/>
          <w:szCs w:val="20"/>
        </w:rPr>
      </w:pPr>
      <w:r w:rsidRPr="0091313D">
        <w:rPr>
          <w:rFonts w:ascii="Arial" w:hAnsi="Arial" w:cs="Arial"/>
          <w:sz w:val="20"/>
          <w:szCs w:val="20"/>
        </w:rPr>
        <w:t>The Granger test asks whether lagged values of one variable have predictive content for another, after controlling for the variable’s own lags. If the coefficients</w:t>
      </w:r>
      <w:r w:rsidR="006A635A" w:rsidRPr="0091313D">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γ</m:t>
            </m:r>
          </m:e>
          <m:sub>
            <m:r>
              <w:rPr>
                <w:rFonts w:ascii="Cambria Math" w:hAnsi="Cambria Math" w:cs="Arial"/>
                <w:sz w:val="20"/>
                <w:szCs w:val="20"/>
              </w:rPr>
              <m:t>j</m:t>
            </m:r>
          </m:sub>
        </m:sSub>
        <m:r>
          <w:rPr>
            <w:rFonts w:ascii="Cambria Math" w:hAnsi="Cambria Math" w:cs="Arial"/>
            <w:sz w:val="20"/>
            <w:szCs w:val="20"/>
          </w:rPr>
          <m:t>)</m:t>
        </m:r>
      </m:oMath>
      <w:r w:rsidRPr="0091313D">
        <w:rPr>
          <w:rFonts w:ascii="Arial" w:hAnsi="Arial" w:cs="Arial"/>
          <w:sz w:val="20"/>
          <w:szCs w:val="20"/>
        </w:rPr>
        <w:t xml:space="preserve"> on the lagged terms are jointly significant, X is said to Granger-cause Y</w:t>
      </w:r>
      <w:r w:rsidR="006A635A" w:rsidRPr="0091313D">
        <w:rPr>
          <w:rFonts w:ascii="Arial" w:hAnsi="Arial" w:cs="Arial"/>
          <w:sz w:val="20"/>
          <w:szCs w:val="20"/>
        </w:rPr>
        <w:t>,</w:t>
      </w:r>
      <w:r w:rsidRPr="0091313D">
        <w:rPr>
          <w:rFonts w:ascii="Arial" w:hAnsi="Arial" w:cs="Arial"/>
          <w:sz w:val="20"/>
          <w:szCs w:val="20"/>
        </w:rPr>
        <w:t xml:space="preserve"> not causality in a deep structural sense, but evidence of predictive precedence.</w:t>
      </w:r>
    </w:p>
    <w:p w14:paraId="62A2A40A" w14:textId="568627A0" w:rsidR="00746387" w:rsidRPr="0091313D" w:rsidRDefault="0000000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γ</m:t>
              </m:r>
            </m:e>
            <m:sub>
              <m:r>
                <w:rPr>
                  <w:rFonts w:ascii="Cambria Math" w:hAnsi="Cambria Math" w:cs="Arial"/>
                  <w:sz w:val="20"/>
                  <w:szCs w:val="20"/>
                </w:rPr>
                <m:t>j</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(12)</m:t>
          </m:r>
          <m:r>
            <m:rPr>
              <m:sty m:val="p"/>
            </m:rPr>
            <w:rPr>
              <w:rFonts w:ascii="Cambria Math" w:hAnsi="Cambria Math" w:cs="Arial"/>
              <w:sz w:val="20"/>
              <w:szCs w:val="20"/>
            </w:rPr>
            <w:br/>
          </m:r>
        </m:oMath>
      </m:oMathPara>
    </w:p>
    <w:p w14:paraId="486E5F31"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Toda-Yamamoto Causality</w:t>
      </w:r>
    </w:p>
    <w:p w14:paraId="27D7FAC3" w14:textId="41256425" w:rsidR="00A8595D" w:rsidRPr="0091313D" w:rsidRDefault="00A8595D" w:rsidP="00EF4B44">
      <w:pPr>
        <w:spacing w:after="0" w:line="240" w:lineRule="auto"/>
        <w:jc w:val="both"/>
        <w:rPr>
          <w:rFonts w:ascii="Arial" w:hAnsi="Arial" w:cs="Arial"/>
          <w:sz w:val="20"/>
          <w:szCs w:val="20"/>
        </w:rPr>
      </w:pPr>
      <w:r w:rsidRPr="0091313D">
        <w:rPr>
          <w:rFonts w:ascii="Arial" w:hAnsi="Arial" w:cs="Arial"/>
          <w:sz w:val="20"/>
          <w:szCs w:val="20"/>
        </w:rPr>
        <w:t>Standard Granger tests can produce unreliable results when variables have different integration orders or when cointegration status is uncertain. The Toda-Yamamoto approach sidesteps this by augmenting the VAR with extra lags equal to the maximum integration order, then applying Wald statistics to the original lag structure only.</w:t>
      </w:r>
    </w:p>
    <w:p w14:paraId="2A25A4ED"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augmented VAR model is estimated as:</w:t>
      </w:r>
    </w:p>
    <w:p w14:paraId="670FD769" w14:textId="7857E656"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VAR(k+</m:t>
          </m:r>
          <m:sSub>
            <m:sSubPr>
              <m:ctrlPr>
                <w:rPr>
                  <w:rFonts w:ascii="Cambria Math" w:hAnsi="Cambria Math" w:cs="Arial"/>
                  <w:sz w:val="20"/>
                  <w:szCs w:val="20"/>
                </w:rPr>
              </m:ctrlPr>
            </m:sSubPr>
            <m:e>
              <m:r>
                <w:rPr>
                  <w:rFonts w:ascii="Cambria Math" w:hAnsi="Cambria Math" w:cs="Arial"/>
                  <w:sz w:val="20"/>
                  <w:szCs w:val="20"/>
                </w:rPr>
                <m:t>d</m:t>
              </m:r>
            </m:e>
            <m:sub>
              <m:r>
                <w:rPr>
                  <w:rFonts w:ascii="Cambria Math" w:hAnsi="Cambria Math" w:cs="Arial"/>
                  <w:sz w:val="20"/>
                  <w:szCs w:val="20"/>
                </w:rPr>
                <m:t>max</m:t>
              </m:r>
            </m:sub>
          </m:sSub>
          <m:r>
            <w:rPr>
              <w:rFonts w:ascii="Cambria Math" w:hAnsi="Cambria Math" w:cs="Arial"/>
              <w:sz w:val="20"/>
              <w:szCs w:val="20"/>
            </w:rPr>
            <m:t>)                                                            (13)</m:t>
          </m:r>
          <m:r>
            <m:rPr>
              <m:sty m:val="p"/>
            </m:rPr>
            <w:rPr>
              <w:rFonts w:ascii="Cambria Math" w:hAnsi="Cambria Math" w:cs="Arial"/>
              <w:sz w:val="20"/>
              <w:szCs w:val="20"/>
            </w:rPr>
            <w:br/>
          </m:r>
        </m:oMath>
      </m:oMathPara>
      <w:r w:rsidRPr="0091313D">
        <w:rPr>
          <w:rFonts w:ascii="Arial" w:hAnsi="Arial" w:cs="Arial"/>
          <w:sz w:val="20"/>
          <w:szCs w:val="20"/>
        </w:rPr>
        <w:t>Where:</w:t>
      </w:r>
    </w:p>
    <w:p w14:paraId="65C7BB9F" w14:textId="197F5C98" w:rsidR="00746387" w:rsidRPr="0091313D" w:rsidRDefault="00746387" w:rsidP="00EF4B44">
      <w:pPr>
        <w:numPr>
          <w:ilvl w:val="0"/>
          <w:numId w:val="8"/>
        </w:numPr>
        <w:spacing w:after="0" w:line="240" w:lineRule="auto"/>
        <w:jc w:val="both"/>
        <w:rPr>
          <w:rFonts w:ascii="Arial" w:hAnsi="Arial" w:cs="Arial"/>
          <w:sz w:val="20"/>
          <w:szCs w:val="20"/>
        </w:rPr>
      </w:pPr>
      <m:oMath>
        <m:r>
          <w:rPr>
            <w:rFonts w:ascii="Cambria Math" w:hAnsi="Cambria Math" w:cs="Arial"/>
            <w:sz w:val="20"/>
            <w:szCs w:val="20"/>
          </w:rPr>
          <m:t>k</m:t>
        </m:r>
      </m:oMath>
      <w:r w:rsidRPr="0091313D">
        <w:rPr>
          <w:rFonts w:ascii="Arial" w:hAnsi="Arial" w:cs="Arial"/>
          <w:sz w:val="20"/>
          <w:szCs w:val="20"/>
        </w:rPr>
        <w:t xml:space="preserve">= optimal lag length </w:t>
      </w:r>
    </w:p>
    <w:p w14:paraId="3A75BE52" w14:textId="56BF9057" w:rsidR="00746387" w:rsidRPr="0091313D" w:rsidRDefault="00000000" w:rsidP="00EF4B44">
      <w:pPr>
        <w:numPr>
          <w:ilvl w:val="0"/>
          <w:numId w:val="8"/>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d</m:t>
            </m:r>
          </m:e>
          <m:sub>
            <m:r>
              <w:rPr>
                <w:rFonts w:ascii="Cambria Math" w:hAnsi="Cambria Math" w:cs="Arial"/>
                <w:sz w:val="20"/>
                <w:szCs w:val="20"/>
              </w:rPr>
              <m:t>max</m:t>
            </m:r>
          </m:sub>
        </m:sSub>
      </m:oMath>
      <w:r w:rsidR="00746387" w:rsidRPr="0091313D">
        <w:rPr>
          <w:rFonts w:ascii="Arial" w:hAnsi="Arial" w:cs="Arial"/>
          <w:sz w:val="20"/>
          <w:szCs w:val="20"/>
        </w:rPr>
        <w:t xml:space="preserve">= maximum integration order </w:t>
      </w:r>
    </w:p>
    <w:p w14:paraId="5213176B" w14:textId="115F7544" w:rsidR="00746387" w:rsidRPr="0091313D" w:rsidRDefault="001D5C9D" w:rsidP="00EF4B44">
      <w:pPr>
        <w:spacing w:after="0" w:line="240" w:lineRule="auto"/>
        <w:jc w:val="both"/>
        <w:rPr>
          <w:rFonts w:ascii="Arial" w:hAnsi="Arial" w:cs="Arial"/>
          <w:sz w:val="20"/>
          <w:szCs w:val="20"/>
        </w:rPr>
      </w:pPr>
      <w:r w:rsidRPr="0091313D">
        <w:rPr>
          <w:rFonts w:ascii="Arial" w:hAnsi="Arial" w:cs="Arial"/>
          <w:sz w:val="20"/>
          <w:szCs w:val="20"/>
        </w:rPr>
        <w:t>This means the causality test does not depend on getting the unit root or cointegration tests exactly right- a practical advantage given the mixed integration orders in this dataset.</w:t>
      </w:r>
    </w:p>
    <w:p w14:paraId="41765696" w14:textId="16227285" w:rsidR="00746387" w:rsidRPr="0091313D" w:rsidRDefault="00746387" w:rsidP="00EF4B44">
      <w:pPr>
        <w:spacing w:after="0" w:line="240" w:lineRule="auto"/>
        <w:jc w:val="both"/>
        <w:rPr>
          <w:rFonts w:ascii="Arial" w:hAnsi="Arial" w:cs="Arial"/>
          <w:sz w:val="20"/>
          <w:szCs w:val="20"/>
        </w:rPr>
      </w:pPr>
    </w:p>
    <w:p w14:paraId="73E495DA"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3.12 Machine Learning Models</w:t>
      </w:r>
    </w:p>
    <w:p w14:paraId="4F7CDFFC" w14:textId="77777777" w:rsidR="00174A53" w:rsidRDefault="00174A53" w:rsidP="00EF4B44">
      <w:pPr>
        <w:spacing w:after="0" w:line="240" w:lineRule="auto"/>
        <w:jc w:val="both"/>
        <w:rPr>
          <w:rFonts w:ascii="Arial" w:hAnsi="Arial" w:cs="Arial"/>
          <w:sz w:val="20"/>
          <w:szCs w:val="20"/>
        </w:rPr>
      </w:pPr>
    </w:p>
    <w:p w14:paraId="6389A4EA" w14:textId="143EFD02" w:rsidR="00D1401F" w:rsidRPr="0091313D" w:rsidRDefault="00D1401F" w:rsidP="00EF4B44">
      <w:pPr>
        <w:spacing w:after="0" w:line="240" w:lineRule="auto"/>
        <w:jc w:val="both"/>
        <w:rPr>
          <w:rFonts w:ascii="Arial" w:hAnsi="Arial" w:cs="Arial"/>
          <w:sz w:val="20"/>
          <w:szCs w:val="20"/>
        </w:rPr>
      </w:pPr>
      <w:r w:rsidRPr="0091313D">
        <w:rPr>
          <w:rFonts w:ascii="Arial" w:hAnsi="Arial" w:cs="Arial"/>
          <w:sz w:val="20"/>
          <w:szCs w:val="20"/>
        </w:rPr>
        <w:t xml:space="preserve">Two nonlinear algorithms were used alongside the econometric models: Random Forest and </w:t>
      </w:r>
      <w:proofErr w:type="spellStart"/>
      <w:r w:rsidRPr="0091313D">
        <w:rPr>
          <w:rFonts w:ascii="Arial" w:hAnsi="Arial" w:cs="Arial"/>
          <w:sz w:val="20"/>
          <w:szCs w:val="20"/>
        </w:rPr>
        <w:t>XGBoost</w:t>
      </w:r>
      <w:proofErr w:type="spellEnd"/>
      <w:r w:rsidRPr="0091313D">
        <w:rPr>
          <w:rFonts w:ascii="Arial" w:hAnsi="Arial" w:cs="Arial"/>
          <w:sz w:val="20"/>
          <w:szCs w:val="20"/>
        </w:rPr>
        <w:t>.</w:t>
      </w:r>
    </w:p>
    <w:p w14:paraId="29ACA38D" w14:textId="4637BE3B"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Random Forest</w:t>
      </w:r>
    </w:p>
    <w:p w14:paraId="5F0B18A9" w14:textId="0C93CECA" w:rsidR="00746387" w:rsidRPr="0091313D" w:rsidRDefault="00B44406" w:rsidP="00EF4B44">
      <w:pPr>
        <w:spacing w:after="0" w:line="240" w:lineRule="auto"/>
        <w:jc w:val="both"/>
        <w:rPr>
          <w:rFonts w:ascii="Arial" w:hAnsi="Arial" w:cs="Arial"/>
          <w:sz w:val="20"/>
          <w:szCs w:val="20"/>
        </w:rPr>
      </w:pPr>
      <w:r w:rsidRPr="0091313D">
        <w:rPr>
          <w:rFonts w:ascii="Arial" w:hAnsi="Arial" w:cs="Arial"/>
          <w:sz w:val="20"/>
          <w:szCs w:val="20"/>
        </w:rPr>
        <w:t>Random Forest builds a large number of decision trees on random subsets of the data and averages their predictions. The averaging reduces overfitting and individual trees are noisy, but the ensemble is not.</w:t>
      </w:r>
    </w:p>
    <w:p w14:paraId="47BDED53"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Prediction function:</w:t>
      </w:r>
    </w:p>
    <w:p w14:paraId="15A3812D" w14:textId="1AA95CF2" w:rsidR="00746387" w:rsidRPr="0091313D" w:rsidRDefault="00000000" w:rsidP="00EF4B44">
      <w:pPr>
        <w:spacing w:after="0" w:line="240" w:lineRule="auto"/>
        <w:jc w:val="both"/>
        <w:rPr>
          <w:rFonts w:ascii="Arial" w:hAnsi="Arial" w:cs="Arial"/>
          <w:sz w:val="20"/>
          <w:szCs w:val="20"/>
        </w:rPr>
      </w:pPr>
      <m:oMathPara>
        <m:oMath>
          <m:acc>
            <m:accPr>
              <m:ctrlPr>
                <w:rPr>
                  <w:rFonts w:ascii="Cambria Math" w:hAnsi="Cambria Math" w:cs="Arial"/>
                  <w:sz w:val="20"/>
                  <w:szCs w:val="20"/>
                </w:rPr>
              </m:ctrlPr>
            </m:accPr>
            <m:e>
              <m:r>
                <w:rPr>
                  <w:rFonts w:ascii="Cambria Math" w:hAnsi="Cambria Math" w:cs="Arial"/>
                  <w:sz w:val="20"/>
                  <w:szCs w:val="20"/>
                </w:rPr>
                <m:t>Y</m:t>
              </m:r>
            </m:e>
          </m:acc>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B</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b=1</m:t>
              </m:r>
            </m:sub>
            <m:sup>
              <m:r>
                <w:rPr>
                  <w:rFonts w:ascii="Cambria Math" w:hAnsi="Cambria Math" w:cs="Arial"/>
                  <w:sz w:val="20"/>
                  <w:szCs w:val="20"/>
                </w:rPr>
                <m:t>B</m:t>
              </m:r>
            </m:sup>
            <m:e>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b</m:t>
                  </m:r>
                </m:sub>
              </m:sSub>
            </m:e>
          </m:nary>
          <m:r>
            <w:rPr>
              <w:rFonts w:ascii="Cambria Math" w:hAnsi="Cambria Math" w:cs="Arial"/>
              <w:sz w:val="20"/>
              <w:szCs w:val="20"/>
            </w:rPr>
            <m:t>(X)                                                   (13)</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3C9F6BAC" w14:textId="38ED5BDA" w:rsidR="00746387" w:rsidRPr="0091313D" w:rsidRDefault="00000000" w:rsidP="00EF4B44">
      <w:pPr>
        <w:numPr>
          <w:ilvl w:val="0"/>
          <w:numId w:val="9"/>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b</m:t>
            </m:r>
          </m:sub>
        </m:sSub>
      </m:oMath>
      <w:r w:rsidR="00746387" w:rsidRPr="0091313D">
        <w:rPr>
          <w:rFonts w:ascii="Arial" w:hAnsi="Arial" w:cs="Arial"/>
          <w:sz w:val="20"/>
          <w:szCs w:val="20"/>
        </w:rPr>
        <w:t xml:space="preserve">= individual decision tree </w:t>
      </w:r>
    </w:p>
    <w:p w14:paraId="4AF27489" w14:textId="0D574C2C" w:rsidR="00746387" w:rsidRPr="0091313D" w:rsidRDefault="00746387" w:rsidP="00EF4B44">
      <w:pPr>
        <w:numPr>
          <w:ilvl w:val="0"/>
          <w:numId w:val="9"/>
        </w:numPr>
        <w:spacing w:after="0" w:line="240" w:lineRule="auto"/>
        <w:jc w:val="both"/>
        <w:rPr>
          <w:rFonts w:ascii="Arial" w:hAnsi="Arial" w:cs="Arial"/>
          <w:sz w:val="20"/>
          <w:szCs w:val="20"/>
        </w:rPr>
      </w:pPr>
      <m:oMath>
        <m:r>
          <w:rPr>
            <w:rFonts w:ascii="Cambria Math" w:hAnsi="Cambria Math" w:cs="Arial"/>
            <w:sz w:val="20"/>
            <w:szCs w:val="20"/>
          </w:rPr>
          <m:t>B</m:t>
        </m:r>
      </m:oMath>
      <w:r w:rsidRPr="0091313D">
        <w:rPr>
          <w:rFonts w:ascii="Arial" w:hAnsi="Arial" w:cs="Arial"/>
          <w:sz w:val="20"/>
          <w:szCs w:val="20"/>
        </w:rPr>
        <w:t xml:space="preserve">= total number of trees </w:t>
      </w:r>
    </w:p>
    <w:p w14:paraId="4C8C3BC9" w14:textId="77777777" w:rsidR="00746387" w:rsidRPr="0091313D" w:rsidRDefault="00746387" w:rsidP="00EF4B44">
      <w:pPr>
        <w:spacing w:after="0" w:line="240" w:lineRule="auto"/>
        <w:jc w:val="both"/>
        <w:rPr>
          <w:rFonts w:ascii="Arial" w:hAnsi="Arial" w:cs="Arial"/>
          <w:b/>
          <w:bCs/>
          <w:sz w:val="20"/>
          <w:szCs w:val="20"/>
        </w:rPr>
      </w:pPr>
      <w:proofErr w:type="spellStart"/>
      <w:r w:rsidRPr="0091313D">
        <w:rPr>
          <w:rFonts w:ascii="Arial" w:hAnsi="Arial" w:cs="Arial"/>
          <w:b/>
          <w:bCs/>
          <w:sz w:val="20"/>
          <w:szCs w:val="20"/>
        </w:rPr>
        <w:t>XGBoost</w:t>
      </w:r>
      <w:proofErr w:type="spellEnd"/>
    </w:p>
    <w:p w14:paraId="3ADE7306" w14:textId="35BD1F5D" w:rsidR="00746387" w:rsidRPr="0091313D" w:rsidRDefault="0075423D" w:rsidP="00EF4B44">
      <w:pPr>
        <w:spacing w:after="0" w:line="240" w:lineRule="auto"/>
        <w:jc w:val="both"/>
        <w:rPr>
          <w:rFonts w:ascii="Arial" w:hAnsi="Arial" w:cs="Arial"/>
          <w:sz w:val="20"/>
          <w:szCs w:val="20"/>
        </w:rPr>
      </w:pPr>
      <w:proofErr w:type="spellStart"/>
      <w:r w:rsidRPr="0091313D">
        <w:rPr>
          <w:rFonts w:ascii="Arial" w:hAnsi="Arial" w:cs="Arial"/>
          <w:sz w:val="20"/>
          <w:szCs w:val="20"/>
        </w:rPr>
        <w:t>XGBoost</w:t>
      </w:r>
      <w:proofErr w:type="spellEnd"/>
      <w:r w:rsidRPr="0091313D">
        <w:rPr>
          <w:rFonts w:ascii="Arial" w:hAnsi="Arial" w:cs="Arial"/>
          <w:sz w:val="20"/>
          <w:szCs w:val="20"/>
        </w:rPr>
        <w:t xml:space="preserve"> takes a different approach. Rather than averaging independent trees, it builds them sequentially and each tree corrects the residual errors left by the previous one. A regularization term is included in the objective function to penalize complexity and prevent overfitting.</w:t>
      </w:r>
    </w:p>
    <w:p w14:paraId="02EF8154"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Objective function:</w:t>
      </w:r>
    </w:p>
    <w:p w14:paraId="39412651" w14:textId="47E450A3"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Obj=∑l(</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r>
            <w:rPr>
              <w:rFonts w:ascii="Cambria Math" w:hAnsi="Cambria Math" w:cs="Arial"/>
              <w:sz w:val="20"/>
              <w:szCs w:val="20"/>
            </w:rPr>
            <m:t>)+∑</m:t>
          </m:r>
          <m:r>
            <m:rPr>
              <m:sty m:val="p"/>
            </m:rPr>
            <w:rPr>
              <w:rFonts w:ascii="Cambria Math" w:hAnsi="Cambria Math" w:cs="Arial"/>
              <w:sz w:val="20"/>
              <w:szCs w:val="20"/>
            </w:rPr>
            <m:t>Ω</m:t>
          </m:r>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k</m:t>
              </m:r>
            </m:sub>
          </m:sSub>
          <m:r>
            <w:rPr>
              <w:rFonts w:ascii="Cambria Math" w:hAnsi="Cambria Math" w:cs="Arial"/>
              <w:sz w:val="20"/>
              <w:szCs w:val="20"/>
            </w:rPr>
            <m:t>)                                     (14)</m:t>
          </m:r>
          <m:r>
            <m:rPr>
              <m:sty m:val="p"/>
            </m:rPr>
            <w:rPr>
              <w:rFonts w:ascii="Cambria Math" w:hAnsi="Cambria Math" w:cs="Arial"/>
              <w:sz w:val="20"/>
              <w:szCs w:val="20"/>
            </w:rPr>
            <w:br/>
          </m:r>
        </m:oMath>
      </m:oMathPara>
    </w:p>
    <w:p w14:paraId="1367D11D"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Where:</w:t>
      </w:r>
    </w:p>
    <w:p w14:paraId="10CE0E4B" w14:textId="62ABFFC9" w:rsidR="00746387" w:rsidRPr="0091313D" w:rsidRDefault="00746387" w:rsidP="00EF4B44">
      <w:pPr>
        <w:numPr>
          <w:ilvl w:val="0"/>
          <w:numId w:val="10"/>
        </w:numPr>
        <w:spacing w:after="0" w:line="240" w:lineRule="auto"/>
        <w:jc w:val="both"/>
        <w:rPr>
          <w:rFonts w:ascii="Arial" w:hAnsi="Arial" w:cs="Arial"/>
          <w:sz w:val="20"/>
          <w:szCs w:val="20"/>
        </w:rPr>
      </w:pPr>
      <m:oMath>
        <m:r>
          <w:rPr>
            <w:rFonts w:ascii="Cambria Math" w:hAnsi="Cambria Math" w:cs="Arial"/>
            <w:sz w:val="20"/>
            <w:szCs w:val="20"/>
          </w:rPr>
          <m:t>l</m:t>
        </m:r>
      </m:oMath>
      <w:r w:rsidRPr="0091313D">
        <w:rPr>
          <w:rFonts w:ascii="Arial" w:hAnsi="Arial" w:cs="Arial"/>
          <w:sz w:val="20"/>
          <w:szCs w:val="20"/>
        </w:rPr>
        <w:t xml:space="preserve">= loss function </w:t>
      </w:r>
    </w:p>
    <w:p w14:paraId="4C071508" w14:textId="14C1E0BA" w:rsidR="00746387" w:rsidRPr="0091313D" w:rsidRDefault="00746387" w:rsidP="00EF4B44">
      <w:pPr>
        <w:numPr>
          <w:ilvl w:val="0"/>
          <w:numId w:val="10"/>
        </w:numPr>
        <w:spacing w:after="0" w:line="240" w:lineRule="auto"/>
        <w:jc w:val="both"/>
        <w:rPr>
          <w:rFonts w:ascii="Arial" w:hAnsi="Arial" w:cs="Arial"/>
          <w:sz w:val="20"/>
          <w:szCs w:val="20"/>
        </w:rPr>
      </w:pPr>
      <m:oMath>
        <m:r>
          <m:rPr>
            <m:sty m:val="p"/>
          </m:rPr>
          <w:rPr>
            <w:rFonts w:ascii="Cambria Math" w:hAnsi="Cambria Math" w:cs="Arial"/>
            <w:sz w:val="20"/>
            <w:szCs w:val="20"/>
          </w:rPr>
          <m:t>Ω</m:t>
        </m:r>
      </m:oMath>
      <w:r w:rsidRPr="0091313D">
        <w:rPr>
          <w:rFonts w:ascii="Arial" w:hAnsi="Arial" w:cs="Arial"/>
          <w:sz w:val="20"/>
          <w:szCs w:val="20"/>
        </w:rPr>
        <w:t xml:space="preserve">= regularization term </w:t>
      </w:r>
    </w:p>
    <w:p w14:paraId="46BEC02D" w14:textId="72F6B186" w:rsidR="00746387" w:rsidRPr="0091313D" w:rsidRDefault="00A421D2" w:rsidP="00EF4B44">
      <w:pPr>
        <w:spacing w:after="0" w:line="240" w:lineRule="auto"/>
        <w:jc w:val="both"/>
        <w:rPr>
          <w:rFonts w:ascii="Arial" w:hAnsi="Arial" w:cs="Arial"/>
          <w:sz w:val="20"/>
          <w:szCs w:val="20"/>
        </w:rPr>
      </w:pPr>
      <w:r w:rsidRPr="0091313D">
        <w:rPr>
          <w:rFonts w:ascii="Arial" w:hAnsi="Arial" w:cs="Arial"/>
          <w:sz w:val="20"/>
          <w:szCs w:val="20"/>
        </w:rPr>
        <w:t>Both models were chosen for their ability to capture nonlinear relationships and variable interactions without requiring distributional assumptions and properties that complement the parametric structure of the ARDL and NARDL specifications.</w:t>
      </w:r>
    </w:p>
    <w:p w14:paraId="7D0A2A26" w14:textId="77777777" w:rsidR="00174A53" w:rsidRDefault="00174A53" w:rsidP="00EF4B44">
      <w:pPr>
        <w:spacing w:after="0" w:line="240" w:lineRule="auto"/>
        <w:jc w:val="both"/>
        <w:rPr>
          <w:rFonts w:ascii="Arial" w:hAnsi="Arial" w:cs="Arial"/>
          <w:b/>
          <w:bCs/>
          <w:sz w:val="20"/>
          <w:szCs w:val="20"/>
        </w:rPr>
      </w:pPr>
    </w:p>
    <w:p w14:paraId="3C05A04F" w14:textId="77777777" w:rsidR="009A13AA" w:rsidRDefault="009A13AA" w:rsidP="00EF4B44">
      <w:pPr>
        <w:spacing w:after="0" w:line="240" w:lineRule="auto"/>
        <w:jc w:val="both"/>
        <w:rPr>
          <w:rFonts w:ascii="Arial" w:hAnsi="Arial" w:cs="Arial"/>
          <w:b/>
          <w:bCs/>
          <w:sz w:val="20"/>
          <w:szCs w:val="20"/>
        </w:rPr>
      </w:pPr>
    </w:p>
    <w:p w14:paraId="1EDF6A3F" w14:textId="04A9B179" w:rsidR="00746387" w:rsidRPr="00174A53" w:rsidRDefault="00746387" w:rsidP="00EF4B44">
      <w:pPr>
        <w:spacing w:after="0" w:line="240" w:lineRule="auto"/>
        <w:jc w:val="both"/>
        <w:rPr>
          <w:rFonts w:ascii="Arial" w:hAnsi="Arial" w:cs="Arial"/>
          <w:b/>
          <w:bCs/>
        </w:rPr>
      </w:pPr>
      <w:r w:rsidRPr="00174A53">
        <w:rPr>
          <w:rFonts w:ascii="Arial" w:hAnsi="Arial" w:cs="Arial"/>
          <w:b/>
          <w:bCs/>
        </w:rPr>
        <w:t>3.13 Model Evaluation Metrics</w:t>
      </w:r>
    </w:p>
    <w:p w14:paraId="7BFBBBF0" w14:textId="311A89DA" w:rsidR="00746387" w:rsidRPr="0091313D" w:rsidRDefault="001B7F13" w:rsidP="00EF4B44">
      <w:pPr>
        <w:spacing w:after="0" w:line="240" w:lineRule="auto"/>
        <w:jc w:val="both"/>
        <w:rPr>
          <w:rFonts w:ascii="Arial" w:hAnsi="Arial" w:cs="Arial"/>
          <w:sz w:val="20"/>
          <w:szCs w:val="20"/>
        </w:rPr>
      </w:pPr>
      <w:r w:rsidRPr="0091313D">
        <w:rPr>
          <w:rFonts w:ascii="Arial" w:hAnsi="Arial" w:cs="Arial"/>
          <w:sz w:val="20"/>
          <w:szCs w:val="20"/>
        </w:rPr>
        <w:t>Three metrics were used to evaluate predictive accuracy across models.</w:t>
      </w:r>
    </w:p>
    <w:p w14:paraId="0365EA37"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Root Mean Square Error (RMSE)</w:t>
      </w:r>
    </w:p>
    <w:p w14:paraId="3E13A956" w14:textId="21679D43" w:rsidR="00345429" w:rsidRPr="0091313D" w:rsidRDefault="00345429" w:rsidP="00EF4B44">
      <w:pPr>
        <w:spacing w:after="0" w:line="240" w:lineRule="auto"/>
        <w:jc w:val="both"/>
        <w:rPr>
          <w:rFonts w:ascii="Arial" w:hAnsi="Arial" w:cs="Arial"/>
          <w:sz w:val="20"/>
          <w:szCs w:val="20"/>
        </w:rPr>
      </w:pPr>
      <w:r w:rsidRPr="0091313D">
        <w:rPr>
          <w:rFonts w:ascii="Arial" w:hAnsi="Arial" w:cs="Arial"/>
          <w:sz w:val="20"/>
          <w:szCs w:val="20"/>
        </w:rPr>
        <w:t>Penalizes large errors more heavily than small ones due to the squaring. Lower values indicate better fit; the metric is in the same units as GDP growth, which makes it directly interpretable.</w:t>
      </w:r>
    </w:p>
    <w:p w14:paraId="1C55A9D4" w14:textId="2AE77CE3" w:rsidR="00746387" w:rsidRPr="0091313D" w:rsidRDefault="00746387" w:rsidP="00EF4B44">
      <w:pPr>
        <w:spacing w:after="0" w:line="240" w:lineRule="auto"/>
        <w:jc w:val="both"/>
        <w:rPr>
          <w:rFonts w:ascii="Arial" w:hAnsi="Arial" w:cs="Arial"/>
          <w:b/>
          <w:bCs/>
          <w:sz w:val="20"/>
          <w:szCs w:val="20"/>
        </w:rPr>
      </w:pPr>
      <m:oMathPara>
        <m:oMath>
          <m:r>
            <w:rPr>
              <w:rFonts w:ascii="Cambria Math" w:hAnsi="Cambria Math" w:cs="Arial"/>
              <w:sz w:val="20"/>
              <w:szCs w:val="20"/>
            </w:rPr>
            <m:t>RMSE=</m:t>
          </m:r>
          <m:rad>
            <m:radPr>
              <m:degHide m:val="1"/>
              <m:ctrlPr>
                <w:rPr>
                  <w:rFonts w:ascii="Cambria Math" w:hAnsi="Cambria Math" w:cs="Arial"/>
                  <w:sz w:val="20"/>
                  <w:szCs w:val="20"/>
                </w:rPr>
              </m:ctrlPr>
            </m:radPr>
            <m:deg/>
            <m:e>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e>
          </m:rad>
          <m:r>
            <w:rPr>
              <w:rFonts w:ascii="Cambria Math" w:hAnsi="Cambria Math" w:cs="Arial"/>
              <w:sz w:val="20"/>
              <w:szCs w:val="20"/>
            </w:rPr>
            <m:t xml:space="preserve">                                                                             (15)</m:t>
          </m:r>
          <m:r>
            <m:rPr>
              <m:sty m:val="p"/>
            </m:rPr>
            <w:rPr>
              <w:rFonts w:ascii="Cambria Math" w:hAnsi="Cambria Math" w:cs="Arial"/>
              <w:sz w:val="20"/>
              <w:szCs w:val="20"/>
            </w:rPr>
            <w:br/>
          </m:r>
        </m:oMath>
      </m:oMathPara>
      <w:r w:rsidRPr="0091313D">
        <w:rPr>
          <w:rFonts w:ascii="Arial" w:hAnsi="Arial" w:cs="Arial"/>
          <w:b/>
          <w:bCs/>
          <w:sz w:val="20"/>
          <w:szCs w:val="20"/>
        </w:rPr>
        <w:t>Mean Absolute Error (MAE)</w:t>
      </w:r>
    </w:p>
    <w:p w14:paraId="0CCF1C98" w14:textId="31D8EEEE" w:rsidR="009E1D55" w:rsidRPr="0091313D" w:rsidRDefault="009E1D55" w:rsidP="00EF4B44">
      <w:pPr>
        <w:spacing w:after="0" w:line="240" w:lineRule="auto"/>
        <w:jc w:val="both"/>
        <w:rPr>
          <w:rFonts w:ascii="Arial" w:hAnsi="Arial" w:cs="Arial"/>
          <w:sz w:val="20"/>
          <w:szCs w:val="20"/>
        </w:rPr>
      </w:pPr>
      <w:r w:rsidRPr="0091313D">
        <w:rPr>
          <w:rFonts w:ascii="Arial" w:hAnsi="Arial" w:cs="Arial"/>
          <w:sz w:val="20"/>
          <w:szCs w:val="20"/>
        </w:rPr>
        <w:t>Measures average prediction error without squaring, so large and small errors are weighted equally. Less sensitive to outliers than RMSE and useful here given the crisis periods in the sample.</w:t>
      </w:r>
    </w:p>
    <w:p w14:paraId="4A73361B" w14:textId="460C6D33" w:rsidR="00746387" w:rsidRPr="0091313D" w:rsidRDefault="00746387" w:rsidP="00EF4B44">
      <w:pPr>
        <w:spacing w:after="0" w:line="240" w:lineRule="auto"/>
        <w:jc w:val="both"/>
        <w:rPr>
          <w:rFonts w:ascii="Arial" w:hAnsi="Arial" w:cs="Arial"/>
          <w:b/>
          <w:bCs/>
          <w:sz w:val="20"/>
          <w:szCs w:val="20"/>
        </w:rPr>
      </w:pPr>
      <m:oMathPara>
        <m:oMath>
          <m:r>
            <w:rPr>
              <w:rFonts w:ascii="Cambria Math" w:hAnsi="Cambria Math" w:cs="Arial"/>
              <w:sz w:val="20"/>
              <w:szCs w:val="20"/>
            </w:rPr>
            <m:t>MAE=</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r>
            <w:rPr>
              <w:rFonts w:ascii="Cambria Math" w:hAnsi="Cambria Math" w:cs="Arial"/>
              <w:sz w:val="20"/>
              <w:szCs w:val="20"/>
            </w:rPr>
            <m:t>∑</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r>
            <m:rPr>
              <m:sty m:val="p"/>
            </m:rPr>
            <w:rPr>
              <w:rFonts w:ascii="Cambria Math" w:hAnsi="Cambria Math" w:cs="Arial"/>
              <w:sz w:val="20"/>
              <w:szCs w:val="20"/>
            </w:rPr>
            <m:t>∣                                                                    (16)</m:t>
          </m:r>
          <m:r>
            <m:rPr>
              <m:sty m:val="p"/>
            </m:rPr>
            <w:rPr>
              <w:rFonts w:ascii="Cambria Math" w:hAnsi="Cambria Math" w:cs="Arial"/>
              <w:sz w:val="20"/>
              <w:szCs w:val="20"/>
            </w:rPr>
            <w:br/>
          </m:r>
        </m:oMath>
      </m:oMathPara>
      <w:r w:rsidRPr="0091313D">
        <w:rPr>
          <w:rFonts w:ascii="Arial" w:hAnsi="Arial" w:cs="Arial"/>
          <w:b/>
          <w:bCs/>
          <w:sz w:val="20"/>
          <w:szCs w:val="20"/>
        </w:rPr>
        <w:t>Coefficient of Determination (R²)</w:t>
      </w:r>
    </w:p>
    <w:p w14:paraId="26AFACD0" w14:textId="77777777" w:rsidR="00C9633C" w:rsidRPr="0091313D" w:rsidRDefault="00C9633C" w:rsidP="00EF4B44">
      <w:pPr>
        <w:spacing w:after="0" w:line="240" w:lineRule="auto"/>
        <w:jc w:val="both"/>
        <w:rPr>
          <w:rFonts w:ascii="Arial" w:hAnsi="Arial" w:cs="Arial"/>
          <w:sz w:val="20"/>
          <w:szCs w:val="20"/>
        </w:rPr>
      </w:pPr>
      <w:r w:rsidRPr="0091313D">
        <w:rPr>
          <w:rFonts w:ascii="Arial" w:hAnsi="Arial" w:cs="Arial"/>
          <w:sz w:val="20"/>
          <w:szCs w:val="20"/>
        </w:rPr>
        <w:t>Measures the share of variance in GDP growth explained by the model. Values closer to 1 indicate better explanatory power, though R² alone can be misleading when the series is volatile or when comparing parametric and nonlinear models directly.</w:t>
      </w:r>
    </w:p>
    <w:p w14:paraId="4CD3F554" w14:textId="1030A539" w:rsidR="0019224E" w:rsidRPr="0091313D" w:rsidRDefault="00000000" w:rsidP="00EF4B44">
      <w:pPr>
        <w:spacing w:after="0" w:line="240" w:lineRule="auto"/>
        <w:jc w:val="both"/>
        <w:rPr>
          <w:rFonts w:ascii="Arial" w:hAnsi="Arial" w:cs="Arial"/>
          <w:sz w:val="20"/>
          <w:szCs w:val="20"/>
        </w:rPr>
      </w:pPr>
      <m:oMathPara>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=1-</m:t>
          </m:r>
          <m:f>
            <m:fPr>
              <m:ctrlPr>
                <w:rPr>
                  <w:rFonts w:ascii="Cambria Math" w:hAnsi="Cambria Math" w:cs="Arial"/>
                  <w:sz w:val="20"/>
                  <w:szCs w:val="20"/>
                </w:rPr>
              </m:ctrlPr>
            </m:fPr>
            <m:num>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num>
            <m:den>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hr m:val="ˉ"/>
                  <m:ctrlPr>
                    <w:rPr>
                      <w:rFonts w:ascii="Cambria Math" w:hAnsi="Cambria Math" w:cs="Arial"/>
                      <w:sz w:val="20"/>
                      <w:szCs w:val="20"/>
                    </w:rPr>
                  </m:ctrlPr>
                </m:accPr>
                <m:e>
                  <m:r>
                    <w:rPr>
                      <w:rFonts w:ascii="Cambria Math" w:hAnsi="Cambria Math" w:cs="Arial"/>
                      <w:sz w:val="20"/>
                      <w:szCs w:val="20"/>
                    </w:rPr>
                    <m:t>Y</m:t>
                  </m:r>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den>
          </m:f>
          <m:r>
            <w:rPr>
              <w:rFonts w:ascii="Cambria Math" w:hAnsi="Cambria Math" w:cs="Arial"/>
              <w:sz w:val="20"/>
              <w:szCs w:val="20"/>
            </w:rPr>
            <m:t xml:space="preserve">                                                            (17)</m:t>
          </m:r>
          <m:r>
            <m:rPr>
              <m:sty m:val="p"/>
            </m:rPr>
            <w:rPr>
              <w:rFonts w:ascii="Cambria Math" w:hAnsi="Cambria Math" w:cs="Arial"/>
              <w:sz w:val="20"/>
              <w:szCs w:val="20"/>
            </w:rPr>
            <w:br/>
          </m:r>
        </m:oMath>
      </m:oMathPara>
      <w:r w:rsidR="0019224E" w:rsidRPr="0091313D">
        <w:rPr>
          <w:rFonts w:ascii="Arial" w:hAnsi="Arial" w:cs="Arial"/>
          <w:sz w:val="20"/>
          <w:szCs w:val="20"/>
        </w:rPr>
        <w:t>RMSE is the primary comparison metric across the ARDL, NARDL, Random Forest, and XGBoost models.</w:t>
      </w:r>
    </w:p>
    <w:p w14:paraId="41B6B0AA" w14:textId="65C618B7" w:rsidR="00746387" w:rsidRPr="0091313D" w:rsidRDefault="00746387" w:rsidP="00EF4B44">
      <w:pPr>
        <w:spacing w:after="0" w:line="240" w:lineRule="auto"/>
        <w:jc w:val="both"/>
        <w:rPr>
          <w:rFonts w:ascii="Arial" w:hAnsi="Arial" w:cs="Arial"/>
          <w:sz w:val="20"/>
          <w:szCs w:val="20"/>
        </w:rPr>
      </w:pPr>
    </w:p>
    <w:p w14:paraId="18A43BA8"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3.14 Explainable Artificial Intelligence (XAI)</w:t>
      </w:r>
    </w:p>
    <w:p w14:paraId="385B23D7" w14:textId="77777777" w:rsidR="00174A53" w:rsidRDefault="00174A53" w:rsidP="00EF4B44">
      <w:pPr>
        <w:spacing w:after="0" w:line="240" w:lineRule="auto"/>
        <w:jc w:val="both"/>
        <w:rPr>
          <w:rFonts w:ascii="Arial" w:hAnsi="Arial" w:cs="Arial"/>
          <w:sz w:val="20"/>
          <w:szCs w:val="20"/>
        </w:rPr>
      </w:pPr>
    </w:p>
    <w:p w14:paraId="6F9163F6" w14:textId="016FBC5E" w:rsidR="00746387" w:rsidRPr="0091313D" w:rsidRDefault="00013458" w:rsidP="00EF4B44">
      <w:pPr>
        <w:spacing w:after="0" w:line="240" w:lineRule="auto"/>
        <w:jc w:val="both"/>
        <w:rPr>
          <w:rFonts w:ascii="Arial" w:hAnsi="Arial" w:cs="Arial"/>
          <w:sz w:val="20"/>
          <w:szCs w:val="20"/>
        </w:rPr>
      </w:pPr>
      <w:r w:rsidRPr="0091313D">
        <w:rPr>
          <w:rFonts w:ascii="Arial" w:hAnsi="Arial" w:cs="Arial"/>
          <w:sz w:val="20"/>
          <w:szCs w:val="20"/>
        </w:rPr>
        <w:t>Machine learning models are accurate but opaque</w:t>
      </w:r>
      <w:r w:rsidR="00C93924" w:rsidRPr="0091313D">
        <w:rPr>
          <w:rFonts w:ascii="Arial" w:hAnsi="Arial" w:cs="Arial"/>
          <w:sz w:val="20"/>
          <w:szCs w:val="20"/>
        </w:rPr>
        <w:t>-</w:t>
      </w:r>
      <w:r w:rsidRPr="0091313D">
        <w:rPr>
          <w:rFonts w:ascii="Arial" w:hAnsi="Arial" w:cs="Arial"/>
          <w:sz w:val="20"/>
          <w:szCs w:val="20"/>
        </w:rPr>
        <w:t xml:space="preserve"> they do not naturally explain which variables drive their predictions or by how much. SHAP (S</w:t>
      </w:r>
      <w:r w:rsidR="00174A53" w:rsidRPr="0091313D">
        <w:rPr>
          <w:rFonts w:ascii="Arial" w:hAnsi="Arial" w:cs="Arial"/>
          <w:sz w:val="20"/>
          <w:szCs w:val="20"/>
        </w:rPr>
        <w:t>h</w:t>
      </w:r>
      <w:r w:rsidRPr="0091313D">
        <w:rPr>
          <w:rFonts w:ascii="Arial" w:hAnsi="Arial" w:cs="Arial"/>
          <w:sz w:val="20"/>
          <w:szCs w:val="20"/>
        </w:rPr>
        <w:t xml:space="preserve">apley Additive </w:t>
      </w:r>
      <w:proofErr w:type="spellStart"/>
      <w:r w:rsidRPr="0091313D">
        <w:rPr>
          <w:rFonts w:ascii="Arial" w:hAnsi="Arial" w:cs="Arial"/>
          <w:sz w:val="20"/>
          <w:szCs w:val="20"/>
        </w:rPr>
        <w:t>exPlanations</w:t>
      </w:r>
      <w:proofErr w:type="spellEnd"/>
      <w:r w:rsidRPr="0091313D">
        <w:rPr>
          <w:rFonts w:ascii="Arial" w:hAnsi="Arial" w:cs="Arial"/>
          <w:sz w:val="20"/>
          <w:szCs w:val="20"/>
        </w:rPr>
        <w:t>) addresses this by estimating each feature</w:t>
      </w:r>
      <w:r w:rsidR="00C93924" w:rsidRPr="0091313D">
        <w:rPr>
          <w:rFonts w:ascii="Arial" w:hAnsi="Arial" w:cs="Arial"/>
          <w:sz w:val="20"/>
          <w:szCs w:val="20"/>
        </w:rPr>
        <w:t>’</w:t>
      </w:r>
      <w:r w:rsidRPr="0091313D">
        <w:rPr>
          <w:rFonts w:ascii="Arial" w:hAnsi="Arial" w:cs="Arial"/>
          <w:sz w:val="20"/>
          <w:szCs w:val="20"/>
        </w:rPr>
        <w:t>s marginal contribution to individual predictions, averaged across all possible feature combinations.</w:t>
      </w:r>
    </w:p>
    <w:p w14:paraId="37B4BC98"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SHAP framework estimates the contribution of each feature to model predictions.</w:t>
      </w:r>
    </w:p>
    <w:p w14:paraId="2EABC05E" w14:textId="26825E1E" w:rsidR="00746387" w:rsidRPr="0091313D" w:rsidRDefault="0000000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r>
            <w:rPr>
              <w:rFonts w:ascii="Cambria Math" w:hAnsi="Cambria Math" w:cs="Arial"/>
              <w:sz w:val="20"/>
              <w:szCs w:val="20"/>
            </w:rPr>
            <m:t>=</m:t>
          </m:r>
          <m:nary>
            <m:naryPr>
              <m:chr m:val="∑"/>
              <m:limLoc m:val="undOvr"/>
              <m:grow m:val="1"/>
              <m:supHide m:val="1"/>
              <m:ctrlPr>
                <w:rPr>
                  <w:rFonts w:ascii="Cambria Math" w:hAnsi="Cambria Math" w:cs="Arial"/>
                  <w:sz w:val="20"/>
                  <w:szCs w:val="20"/>
                </w:rPr>
              </m:ctrlPr>
            </m:naryPr>
            <m:sub>
              <m:r>
                <w:rPr>
                  <w:rFonts w:ascii="Cambria Math" w:hAnsi="Cambria Math" w:cs="Arial"/>
                  <w:sz w:val="20"/>
                  <w:szCs w:val="20"/>
                </w:rPr>
                <m:t>S⊆F∖{i}</m:t>
              </m:r>
            </m:sub>
            <m:sup/>
            <m:e>
              <m:f>
                <m:fPr>
                  <m:ctrlPr>
                    <w:rPr>
                      <w:rFonts w:ascii="Cambria Math" w:hAnsi="Cambria Math" w:cs="Arial"/>
                      <w:sz w:val="20"/>
                      <w:szCs w:val="20"/>
                    </w:rPr>
                  </m:ctrlPr>
                </m:fPr>
                <m:num>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r>
                    <w:rPr>
                      <w:rFonts w:ascii="Cambria Math" w:hAnsi="Cambria Math" w:cs="Arial"/>
                      <w:sz w:val="20"/>
                      <w:szCs w:val="20"/>
                    </w:rPr>
                    <m:t>!(</m:t>
                  </m:r>
                  <m:r>
                    <m:rPr>
                      <m:sty m:val="p"/>
                    </m:rPr>
                    <w:rPr>
                      <w:rFonts w:ascii="Cambria Math" w:hAnsi="Cambria Math" w:cs="Arial"/>
                      <w:sz w:val="20"/>
                      <w:szCs w:val="20"/>
                    </w:rPr>
                    <m:t>∣</m:t>
                  </m:r>
                  <m:r>
                    <w:rPr>
                      <w:rFonts w:ascii="Cambria Math" w:hAnsi="Cambria Math" w:cs="Arial"/>
                      <w:sz w:val="20"/>
                      <w:szCs w:val="20"/>
                    </w:rPr>
                    <m:t>F</m:t>
                  </m:r>
                  <m:r>
                    <m:rPr>
                      <m:sty m:val="p"/>
                    </m:rPr>
                    <w:rPr>
                      <w:rFonts w:ascii="Cambria Math" w:hAnsi="Cambria Math" w:cs="Arial"/>
                      <w:sz w:val="20"/>
                      <w:szCs w:val="20"/>
                    </w:rPr>
                    <m:t>∣</m:t>
                  </m:r>
                  <m:r>
                    <w:rPr>
                      <w:rFonts w:ascii="Cambria Math" w:hAnsi="Cambria Math" w:cs="Arial"/>
                      <w:sz w:val="20"/>
                      <w:szCs w:val="20"/>
                    </w:rPr>
                    <m:t>-</m:t>
                  </m:r>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r>
                    <w:rPr>
                      <w:rFonts w:ascii="Cambria Math" w:hAnsi="Cambria Math" w:cs="Arial"/>
                      <w:sz w:val="20"/>
                      <w:szCs w:val="20"/>
                    </w:rPr>
                    <m:t>-1)!</m:t>
                  </m:r>
                </m:num>
                <m:den>
                  <m:r>
                    <m:rPr>
                      <m:sty m:val="p"/>
                    </m:rPr>
                    <w:rPr>
                      <w:rFonts w:ascii="Cambria Math" w:hAnsi="Cambria Math" w:cs="Arial"/>
                      <w:sz w:val="20"/>
                      <w:szCs w:val="20"/>
                    </w:rPr>
                    <m:t>∣</m:t>
                  </m:r>
                  <m:r>
                    <w:rPr>
                      <w:rFonts w:ascii="Cambria Math" w:hAnsi="Cambria Math" w:cs="Arial"/>
                      <w:sz w:val="20"/>
                      <w:szCs w:val="20"/>
                    </w:rPr>
                    <m:t>F</m:t>
                  </m:r>
                  <m:r>
                    <m:rPr>
                      <m:sty m:val="p"/>
                    </m:rPr>
                    <w:rPr>
                      <w:rFonts w:ascii="Cambria Math" w:hAnsi="Cambria Math" w:cs="Arial"/>
                      <w:sz w:val="20"/>
                      <w:szCs w:val="20"/>
                    </w:rPr>
                    <m:t>∣</m:t>
                  </m:r>
                  <m:r>
                    <w:rPr>
                      <w:rFonts w:ascii="Cambria Math" w:hAnsi="Cambria Math" w:cs="Arial"/>
                      <w:sz w:val="20"/>
                      <w:szCs w:val="20"/>
                    </w:rPr>
                    <m:t>!</m:t>
                  </m:r>
                </m:den>
              </m:f>
            </m:e>
          </m:nary>
          <m:r>
            <w:rPr>
              <w:rFonts w:ascii="Cambria Math" w:hAnsi="Cambria Math" w:cs="Arial"/>
              <w:sz w:val="20"/>
              <w:szCs w:val="20"/>
            </w:rPr>
            <m:t>[f(S∪{i})-f(S)]                                               (18)</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0DFF9B76" w14:textId="50844990" w:rsidR="00746387" w:rsidRPr="0091313D" w:rsidRDefault="00000000" w:rsidP="00EF4B44">
      <w:pPr>
        <w:numPr>
          <w:ilvl w:val="0"/>
          <w:numId w:val="11"/>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oMath>
      <w:r w:rsidR="00746387" w:rsidRPr="0091313D">
        <w:rPr>
          <w:rFonts w:ascii="Arial" w:hAnsi="Arial" w:cs="Arial"/>
          <w:sz w:val="20"/>
          <w:szCs w:val="20"/>
        </w:rPr>
        <w:t xml:space="preserve">= </w:t>
      </w:r>
      <w:r w:rsidR="008D7601" w:rsidRPr="0091313D">
        <w:rPr>
          <w:rFonts w:ascii="Arial" w:hAnsi="Arial" w:cs="Arial"/>
          <w:sz w:val="20"/>
          <w:szCs w:val="20"/>
        </w:rPr>
        <w:t xml:space="preserve">SHAP value for feature </w:t>
      </w:r>
      <w:r w:rsidR="00174A53">
        <w:rPr>
          <w:rFonts w:ascii="Arial" w:hAnsi="Arial" w:cs="Arial"/>
          <w:i/>
          <w:iCs/>
          <w:sz w:val="20"/>
          <w:szCs w:val="20"/>
        </w:rPr>
        <w:t>I</w:t>
      </w:r>
      <w:r w:rsidR="00746387" w:rsidRPr="0091313D">
        <w:rPr>
          <w:rFonts w:ascii="Arial" w:hAnsi="Arial" w:cs="Arial"/>
          <w:sz w:val="20"/>
          <w:szCs w:val="20"/>
        </w:rPr>
        <w:t xml:space="preserve"> </w:t>
      </w:r>
    </w:p>
    <w:p w14:paraId="21FBB205" w14:textId="5DA2ED38" w:rsidR="00746387" w:rsidRPr="0091313D" w:rsidRDefault="00746387" w:rsidP="00EF4B44">
      <w:pPr>
        <w:numPr>
          <w:ilvl w:val="0"/>
          <w:numId w:val="11"/>
        </w:numPr>
        <w:spacing w:after="0" w:line="240" w:lineRule="auto"/>
        <w:jc w:val="both"/>
        <w:rPr>
          <w:rFonts w:ascii="Arial" w:hAnsi="Arial" w:cs="Arial"/>
          <w:sz w:val="20"/>
          <w:szCs w:val="20"/>
        </w:rPr>
      </w:pPr>
      <m:oMath>
        <m:r>
          <w:rPr>
            <w:rFonts w:ascii="Cambria Math" w:hAnsi="Cambria Math" w:cs="Arial"/>
            <w:sz w:val="20"/>
            <w:szCs w:val="20"/>
          </w:rPr>
          <m:t>F</m:t>
        </m:r>
      </m:oMath>
      <w:r w:rsidRPr="0091313D">
        <w:rPr>
          <w:rFonts w:ascii="Arial" w:hAnsi="Arial" w:cs="Arial"/>
          <w:sz w:val="20"/>
          <w:szCs w:val="20"/>
        </w:rPr>
        <w:t xml:space="preserve">= full feature set </w:t>
      </w:r>
    </w:p>
    <w:p w14:paraId="4FE92D7A" w14:textId="6F204901" w:rsidR="00746387" w:rsidRPr="0091313D" w:rsidRDefault="00746387" w:rsidP="00EF4B44">
      <w:pPr>
        <w:numPr>
          <w:ilvl w:val="0"/>
          <w:numId w:val="11"/>
        </w:numPr>
        <w:spacing w:after="0" w:line="240" w:lineRule="auto"/>
        <w:jc w:val="both"/>
        <w:rPr>
          <w:rFonts w:ascii="Arial" w:hAnsi="Arial" w:cs="Arial"/>
          <w:sz w:val="20"/>
          <w:szCs w:val="20"/>
        </w:rPr>
      </w:pPr>
      <m:oMath>
        <m:r>
          <w:rPr>
            <w:rFonts w:ascii="Cambria Math" w:hAnsi="Cambria Math" w:cs="Arial"/>
            <w:sz w:val="20"/>
            <w:szCs w:val="20"/>
          </w:rPr>
          <m:t>S</m:t>
        </m:r>
      </m:oMath>
      <w:r w:rsidRPr="0091313D">
        <w:rPr>
          <w:rFonts w:ascii="Arial" w:hAnsi="Arial" w:cs="Arial"/>
          <w:sz w:val="20"/>
          <w:szCs w:val="20"/>
        </w:rPr>
        <w:t xml:space="preserve">= </w:t>
      </w:r>
      <w:r w:rsidR="008D7601" w:rsidRPr="0091313D">
        <w:rPr>
          <w:rFonts w:ascii="Arial" w:hAnsi="Arial" w:cs="Arial"/>
          <w:sz w:val="20"/>
          <w:szCs w:val="20"/>
        </w:rPr>
        <w:t xml:space="preserve">subset of features excluding </w:t>
      </w:r>
      <w:r w:rsidR="00174A53">
        <w:rPr>
          <w:rFonts w:ascii="Arial" w:hAnsi="Arial" w:cs="Arial"/>
          <w:i/>
          <w:iCs/>
          <w:sz w:val="20"/>
          <w:szCs w:val="20"/>
        </w:rPr>
        <w:t>I</w:t>
      </w:r>
      <w:r w:rsidRPr="0091313D">
        <w:rPr>
          <w:rFonts w:ascii="Arial" w:hAnsi="Arial" w:cs="Arial"/>
          <w:sz w:val="20"/>
          <w:szCs w:val="20"/>
        </w:rPr>
        <w:t xml:space="preserve"> </w:t>
      </w:r>
    </w:p>
    <w:p w14:paraId="40217E86" w14:textId="385A41D3" w:rsidR="00742597" w:rsidRPr="0091313D" w:rsidRDefault="00742597" w:rsidP="00EF4B44">
      <w:pPr>
        <w:spacing w:after="0" w:line="240" w:lineRule="auto"/>
        <w:jc w:val="both"/>
        <w:rPr>
          <w:rFonts w:ascii="Arial" w:hAnsi="Arial" w:cs="Arial"/>
          <w:sz w:val="20"/>
          <w:szCs w:val="20"/>
        </w:rPr>
      </w:pPr>
      <w:r w:rsidRPr="0091313D">
        <w:rPr>
          <w:rFonts w:ascii="Arial" w:hAnsi="Arial" w:cs="Arial"/>
          <w:sz w:val="20"/>
          <w:szCs w:val="20"/>
        </w:rPr>
        <w:t xml:space="preserve">SHAP operates at two levels. Globally, it ranks variables by their average contribution across all predictions </w:t>
      </w:r>
      <w:r w:rsidR="0012564D" w:rsidRPr="0091313D">
        <w:rPr>
          <w:rFonts w:ascii="Arial" w:hAnsi="Arial" w:cs="Arial"/>
          <w:sz w:val="20"/>
          <w:szCs w:val="20"/>
        </w:rPr>
        <w:t>that are</w:t>
      </w:r>
      <w:r w:rsidRPr="0091313D">
        <w:rPr>
          <w:rFonts w:ascii="Arial" w:hAnsi="Arial" w:cs="Arial"/>
          <w:sz w:val="20"/>
          <w:szCs w:val="20"/>
        </w:rPr>
        <w:t xml:space="preserve"> equivalent to feature importance. Locally, it shows how each variable pushed a specific prediction above or below the baseline, which is useful for understanding model </w:t>
      </w:r>
      <w:proofErr w:type="spellStart"/>
      <w:r w:rsidRPr="0091313D">
        <w:rPr>
          <w:rFonts w:ascii="Arial" w:hAnsi="Arial" w:cs="Arial"/>
          <w:sz w:val="20"/>
          <w:szCs w:val="20"/>
        </w:rPr>
        <w:t>behavior</w:t>
      </w:r>
      <w:proofErr w:type="spellEnd"/>
      <w:r w:rsidRPr="0091313D">
        <w:rPr>
          <w:rFonts w:ascii="Arial" w:hAnsi="Arial" w:cs="Arial"/>
          <w:sz w:val="20"/>
          <w:szCs w:val="20"/>
        </w:rPr>
        <w:t xml:space="preserve"> during particular periods such as crisis years.</w:t>
      </w:r>
    </w:p>
    <w:p w14:paraId="5FFFC18E" w14:textId="725646F0" w:rsidR="00742597" w:rsidRPr="0091313D" w:rsidRDefault="00742597"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In this study, SHAP is applied to the Random Forest and </w:t>
      </w:r>
      <w:proofErr w:type="spellStart"/>
      <w:r w:rsidRPr="0091313D">
        <w:rPr>
          <w:rFonts w:ascii="Arial" w:hAnsi="Arial" w:cs="Arial"/>
          <w:sz w:val="20"/>
          <w:szCs w:val="20"/>
        </w:rPr>
        <w:t>XGBoost</w:t>
      </w:r>
      <w:proofErr w:type="spellEnd"/>
      <w:r w:rsidRPr="0091313D">
        <w:rPr>
          <w:rFonts w:ascii="Arial" w:hAnsi="Arial" w:cs="Arial"/>
          <w:sz w:val="20"/>
          <w:szCs w:val="20"/>
        </w:rPr>
        <w:t xml:space="preserve"> models to identify which macroeconomic variables most consistently drive GDP growth predictions and whether that pattern aligns with what the ARDL and NARDL models found.</w:t>
      </w:r>
    </w:p>
    <w:p w14:paraId="02D95097" w14:textId="77777777" w:rsidR="009C1ECF" w:rsidRPr="0091313D" w:rsidRDefault="009C1ECF" w:rsidP="00EF4B44">
      <w:pPr>
        <w:spacing w:after="0" w:line="240" w:lineRule="auto"/>
        <w:jc w:val="both"/>
        <w:rPr>
          <w:rFonts w:ascii="Arial" w:hAnsi="Arial" w:cs="Arial"/>
          <w:b/>
          <w:bCs/>
          <w:sz w:val="20"/>
          <w:szCs w:val="20"/>
        </w:rPr>
      </w:pPr>
    </w:p>
    <w:p w14:paraId="2C741C9F" w14:textId="525786C0" w:rsidR="0012564D" w:rsidRPr="00174A53" w:rsidRDefault="009C1ECF" w:rsidP="00EF4B44">
      <w:pPr>
        <w:spacing w:after="0" w:line="240" w:lineRule="auto"/>
        <w:jc w:val="both"/>
        <w:rPr>
          <w:rFonts w:ascii="Arial" w:hAnsi="Arial" w:cs="Arial"/>
          <w:b/>
          <w:bCs/>
        </w:rPr>
      </w:pPr>
      <w:r w:rsidRPr="00174A53">
        <w:rPr>
          <w:rFonts w:ascii="Arial" w:hAnsi="Arial" w:cs="Arial"/>
          <w:b/>
          <w:bCs/>
        </w:rPr>
        <w:t>3.15 Software and Computational Environment</w:t>
      </w:r>
    </w:p>
    <w:p w14:paraId="4FD22537" w14:textId="77777777" w:rsidR="00174A53" w:rsidRDefault="00174A53" w:rsidP="00EF4B44">
      <w:pPr>
        <w:spacing w:after="0" w:line="240" w:lineRule="auto"/>
        <w:jc w:val="both"/>
        <w:rPr>
          <w:rFonts w:ascii="Arial" w:hAnsi="Arial" w:cs="Arial"/>
          <w:sz w:val="20"/>
          <w:szCs w:val="20"/>
        </w:rPr>
      </w:pPr>
    </w:p>
    <w:p w14:paraId="0F3F6DF3" w14:textId="1B7AC487" w:rsidR="002B5478" w:rsidRPr="0091313D" w:rsidRDefault="00CE3ABE" w:rsidP="00EF4B44">
      <w:pPr>
        <w:spacing w:after="0" w:line="240" w:lineRule="auto"/>
        <w:jc w:val="both"/>
        <w:rPr>
          <w:rFonts w:ascii="Arial" w:hAnsi="Arial" w:cs="Arial"/>
          <w:sz w:val="20"/>
          <w:szCs w:val="20"/>
        </w:rPr>
      </w:pPr>
      <w:r w:rsidRPr="0091313D">
        <w:rPr>
          <w:rFonts w:ascii="Arial" w:hAnsi="Arial" w:cs="Arial"/>
          <w:sz w:val="20"/>
          <w:szCs w:val="20"/>
        </w:rPr>
        <w:t xml:space="preserve">All analysis was carried out in Python via Google </w:t>
      </w:r>
      <w:proofErr w:type="spellStart"/>
      <w:r w:rsidRPr="0091313D">
        <w:rPr>
          <w:rFonts w:ascii="Arial" w:hAnsi="Arial" w:cs="Arial"/>
          <w:sz w:val="20"/>
          <w:szCs w:val="20"/>
        </w:rPr>
        <w:t>Colab</w:t>
      </w:r>
      <w:proofErr w:type="spellEnd"/>
      <w:r w:rsidRPr="0091313D">
        <w:rPr>
          <w:rFonts w:ascii="Arial" w:hAnsi="Arial" w:cs="Arial"/>
          <w:sz w:val="20"/>
          <w:szCs w:val="20"/>
        </w:rPr>
        <w:t xml:space="preserve">. The core libraries used were: Pandas and NumPy for data handling; </w:t>
      </w:r>
      <w:proofErr w:type="spellStart"/>
      <w:r w:rsidRPr="0091313D">
        <w:rPr>
          <w:rFonts w:ascii="Arial" w:hAnsi="Arial" w:cs="Arial"/>
          <w:sz w:val="20"/>
          <w:szCs w:val="20"/>
        </w:rPr>
        <w:t>Statsmodels</w:t>
      </w:r>
      <w:proofErr w:type="spellEnd"/>
      <w:r w:rsidRPr="0091313D">
        <w:rPr>
          <w:rFonts w:ascii="Arial" w:hAnsi="Arial" w:cs="Arial"/>
          <w:sz w:val="20"/>
          <w:szCs w:val="20"/>
        </w:rPr>
        <w:t xml:space="preserve"> for econometric estimation; Scikit-learn for machine learning; </w:t>
      </w:r>
      <w:proofErr w:type="spellStart"/>
      <w:r w:rsidRPr="0091313D">
        <w:rPr>
          <w:rFonts w:ascii="Arial" w:hAnsi="Arial" w:cs="Arial"/>
          <w:sz w:val="20"/>
          <w:szCs w:val="20"/>
        </w:rPr>
        <w:t>XGBoost</w:t>
      </w:r>
      <w:proofErr w:type="spellEnd"/>
      <w:r w:rsidRPr="0091313D">
        <w:rPr>
          <w:rFonts w:ascii="Arial" w:hAnsi="Arial" w:cs="Arial"/>
          <w:sz w:val="20"/>
          <w:szCs w:val="20"/>
        </w:rPr>
        <w:t xml:space="preserve"> for gradient boosting; SHAP for explainability analysis; and Matplotlib and Seaborn for visualization.</w:t>
      </w:r>
    </w:p>
    <w:p w14:paraId="0C80DC26" w14:textId="77777777" w:rsidR="002B5478" w:rsidRPr="0091313D" w:rsidRDefault="002B5478" w:rsidP="00EF4B44">
      <w:pPr>
        <w:spacing w:after="0" w:line="240" w:lineRule="auto"/>
        <w:jc w:val="both"/>
        <w:rPr>
          <w:rFonts w:ascii="Arial" w:hAnsi="Arial" w:cs="Arial"/>
          <w:sz w:val="20"/>
          <w:szCs w:val="20"/>
        </w:rPr>
      </w:pPr>
    </w:p>
    <w:p w14:paraId="55BBE905" w14:textId="0F849530" w:rsidR="002B5478" w:rsidRPr="00174A53" w:rsidRDefault="002B5478" w:rsidP="00EF4B44">
      <w:pPr>
        <w:spacing w:after="0" w:line="240" w:lineRule="auto"/>
        <w:jc w:val="both"/>
        <w:rPr>
          <w:rFonts w:ascii="Arial" w:hAnsi="Arial" w:cs="Arial"/>
          <w:b/>
          <w:bCs/>
        </w:rPr>
      </w:pPr>
      <w:r w:rsidRPr="00174A53">
        <w:rPr>
          <w:rFonts w:ascii="Arial" w:hAnsi="Arial" w:cs="Arial"/>
          <w:b/>
          <w:bCs/>
        </w:rPr>
        <w:t xml:space="preserve">4. </w:t>
      </w:r>
      <w:r w:rsidR="00174A53">
        <w:rPr>
          <w:rFonts w:ascii="Arial" w:hAnsi="Arial" w:cs="Arial"/>
          <w:b/>
          <w:bCs/>
        </w:rPr>
        <w:t>RESULTS AND DISCUSSION</w:t>
      </w:r>
    </w:p>
    <w:p w14:paraId="1FBDC64E" w14:textId="77777777" w:rsidR="00174A53" w:rsidRDefault="00174A53" w:rsidP="00EF4B44">
      <w:pPr>
        <w:spacing w:after="0" w:line="240" w:lineRule="auto"/>
        <w:jc w:val="both"/>
        <w:rPr>
          <w:rFonts w:ascii="Arial" w:hAnsi="Arial" w:cs="Arial"/>
          <w:sz w:val="20"/>
          <w:szCs w:val="20"/>
        </w:rPr>
      </w:pPr>
    </w:p>
    <w:p w14:paraId="5FE294EE" w14:textId="6C5BFB1F"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This section reports findings from a hybrid framework that pairs conventional time-series econometrics with machine learning to examine trade openness and economic growth in India- specifically, whether positive and negative trade shocks produce different growth outcomes.</w:t>
      </w:r>
    </w:p>
    <w:p w14:paraId="12785EB5" w14:textId="68BD49E8"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The analysis starts with descriptive and diagnostic checks on the variables. Unit root and cointegration tests follow, establishing whether a stable long-run relationship exists among the selected macroeconomic indicators. Asymmetric effects are then tested using the Nonlinear Autoregressive Distributed Lag (NARDL) model, which distinguishes the growth impact of trade expansions from that of trade contractions. Machine learning models are layered on to assess predictive accuracy, and Explainable AI (XAI) methods are applied to interpret which variables drive the predictions and by how much.</w:t>
      </w:r>
    </w:p>
    <w:p w14:paraId="2ED5FCFA" w14:textId="188D8562"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The two methodologies are doing different jobs. Econometrics handles formal long-run inference and policy interpretation, machine learning surfaces nonlinear patterns and interaction effects that linear models tend to flatten. Together, they allow for a closer reading of how India’s trade conditions have shaped growth across different economic periods, not just in aggregate, and not symmetrically.</w:t>
      </w:r>
    </w:p>
    <w:p w14:paraId="5C64DE6C" w14:textId="77777777" w:rsidR="009B3852" w:rsidRPr="0091313D" w:rsidRDefault="009B3852" w:rsidP="00EF4B44">
      <w:pPr>
        <w:spacing w:after="0" w:line="240" w:lineRule="auto"/>
        <w:jc w:val="both"/>
        <w:rPr>
          <w:rFonts w:ascii="Arial" w:hAnsi="Arial" w:cs="Arial"/>
          <w:b/>
          <w:bCs/>
          <w:sz w:val="20"/>
          <w:szCs w:val="20"/>
        </w:rPr>
      </w:pPr>
    </w:p>
    <w:p w14:paraId="24E75643" w14:textId="77777777" w:rsidR="002B5478" w:rsidRPr="00174A53" w:rsidRDefault="002B5478" w:rsidP="00EF4B44">
      <w:pPr>
        <w:spacing w:after="0" w:line="240" w:lineRule="auto"/>
        <w:jc w:val="both"/>
        <w:rPr>
          <w:rFonts w:ascii="Arial" w:hAnsi="Arial" w:cs="Arial"/>
          <w:b/>
          <w:bCs/>
        </w:rPr>
      </w:pPr>
      <w:r w:rsidRPr="00174A53">
        <w:rPr>
          <w:rFonts w:ascii="Arial" w:hAnsi="Arial" w:cs="Arial"/>
          <w:b/>
          <w:bCs/>
        </w:rPr>
        <w:t>4.1. Descriptive Statistics and Exploratory Data Analysis</w:t>
      </w:r>
    </w:p>
    <w:p w14:paraId="558ECBB6" w14:textId="77777777" w:rsidR="00174A53" w:rsidRDefault="00174A53" w:rsidP="00EF4B44">
      <w:pPr>
        <w:spacing w:after="0" w:line="240" w:lineRule="auto"/>
        <w:jc w:val="both"/>
        <w:rPr>
          <w:rFonts w:ascii="Arial" w:hAnsi="Arial" w:cs="Arial"/>
          <w:sz w:val="20"/>
          <w:szCs w:val="20"/>
        </w:rPr>
      </w:pPr>
    </w:p>
    <w:p w14:paraId="653BDA9F" w14:textId="4E6D637F" w:rsidR="00B05649" w:rsidRPr="0091313D" w:rsidRDefault="002B5478" w:rsidP="00EF4B44">
      <w:pPr>
        <w:spacing w:after="0" w:line="240" w:lineRule="auto"/>
        <w:jc w:val="both"/>
        <w:rPr>
          <w:rFonts w:ascii="Arial" w:hAnsi="Arial" w:cs="Arial"/>
          <w:sz w:val="20"/>
          <w:szCs w:val="20"/>
        </w:rPr>
      </w:pPr>
      <w:r w:rsidRPr="0091313D">
        <w:rPr>
          <w:rFonts w:ascii="Arial" w:hAnsi="Arial" w:cs="Arial"/>
          <w:sz w:val="20"/>
          <w:szCs w:val="20"/>
        </w:rPr>
        <w:t xml:space="preserve">The initial phase of the analysis examines the distributional properties and temporal dynamics of the macroeconomic variables from 1975 to 2024. </w:t>
      </w:r>
      <w:r w:rsidR="00B05649" w:rsidRPr="0091313D">
        <w:rPr>
          <w:rFonts w:ascii="Arial" w:hAnsi="Arial" w:cs="Arial"/>
          <w:sz w:val="20"/>
          <w:szCs w:val="20"/>
        </w:rPr>
        <w:t xml:space="preserve">Table </w:t>
      </w:r>
      <w:r w:rsidR="00C076F8" w:rsidRPr="0091313D">
        <w:rPr>
          <w:rFonts w:ascii="Arial" w:hAnsi="Arial" w:cs="Arial"/>
          <w:sz w:val="20"/>
          <w:szCs w:val="20"/>
        </w:rPr>
        <w:t>2</w:t>
      </w:r>
      <w:r w:rsidR="00B05649" w:rsidRPr="0091313D">
        <w:rPr>
          <w:rFonts w:ascii="Arial" w:hAnsi="Arial" w:cs="Arial"/>
          <w:sz w:val="20"/>
          <w:szCs w:val="20"/>
        </w:rPr>
        <w:t xml:space="preserve"> reports descriptive statistics for the variables over the study period. The series vary considerably in their distributional properties</w:t>
      </w:r>
      <w:r w:rsidR="005E3551" w:rsidRPr="0091313D">
        <w:rPr>
          <w:rFonts w:ascii="Arial" w:hAnsi="Arial" w:cs="Arial"/>
          <w:sz w:val="20"/>
          <w:szCs w:val="20"/>
        </w:rPr>
        <w:t xml:space="preserve">, </w:t>
      </w:r>
      <w:r w:rsidR="00B05649" w:rsidRPr="0091313D">
        <w:rPr>
          <w:rFonts w:ascii="Arial" w:hAnsi="Arial" w:cs="Arial"/>
          <w:sz w:val="20"/>
          <w:szCs w:val="20"/>
        </w:rPr>
        <w:t xml:space="preserve">a feature worth noting before any </w:t>
      </w:r>
      <w:proofErr w:type="spellStart"/>
      <w:r w:rsidR="00B05649" w:rsidRPr="0091313D">
        <w:rPr>
          <w:rFonts w:ascii="Arial" w:hAnsi="Arial" w:cs="Arial"/>
          <w:sz w:val="20"/>
          <w:szCs w:val="20"/>
        </w:rPr>
        <w:t>modeling</w:t>
      </w:r>
      <w:proofErr w:type="spellEnd"/>
      <w:r w:rsidR="00B05649" w:rsidRPr="0091313D">
        <w:rPr>
          <w:rFonts w:ascii="Arial" w:hAnsi="Arial" w:cs="Arial"/>
          <w:sz w:val="20"/>
          <w:szCs w:val="20"/>
        </w:rPr>
        <w:t>, since it shapes which methods are appropriate.</w:t>
      </w:r>
      <w:r w:rsidR="005E3551" w:rsidRPr="0091313D">
        <w:rPr>
          <w:rFonts w:ascii="Arial" w:hAnsi="Arial" w:cs="Arial"/>
          <w:sz w:val="20"/>
          <w:szCs w:val="20"/>
        </w:rPr>
        <w:t xml:space="preserve"> </w:t>
      </w:r>
      <w:r w:rsidR="00B05649" w:rsidRPr="0091313D">
        <w:rPr>
          <w:rFonts w:ascii="Arial" w:hAnsi="Arial" w:cs="Arial"/>
          <w:sz w:val="20"/>
          <w:szCs w:val="20"/>
        </w:rPr>
        <w:t>GDP growth averaged 5.79% but carries strong negative skewness (</w:t>
      </w:r>
      <w:r w:rsidR="005E3551" w:rsidRPr="0091313D">
        <w:rPr>
          <w:rFonts w:ascii="Arial" w:hAnsi="Arial" w:cs="Arial"/>
          <w:sz w:val="20"/>
          <w:szCs w:val="20"/>
        </w:rPr>
        <w:t>-</w:t>
      </w:r>
      <w:r w:rsidR="00B05649" w:rsidRPr="0091313D">
        <w:rPr>
          <w:rFonts w:ascii="Arial" w:hAnsi="Arial" w:cs="Arial"/>
          <w:sz w:val="20"/>
          <w:szCs w:val="20"/>
        </w:rPr>
        <w:t xml:space="preserve">2.06), meaning contractions were sharper than expansions of comparable size. Trade openness averaged 29.73% of GDP, with high dispersion across the sample </w:t>
      </w:r>
      <w:r w:rsidR="005E3551" w:rsidRPr="0091313D">
        <w:rPr>
          <w:rFonts w:ascii="Arial" w:hAnsi="Arial" w:cs="Arial"/>
          <w:sz w:val="20"/>
          <w:szCs w:val="20"/>
        </w:rPr>
        <w:t>-</w:t>
      </w:r>
      <w:r w:rsidR="00B05649" w:rsidRPr="0091313D">
        <w:rPr>
          <w:rFonts w:ascii="Arial" w:hAnsi="Arial" w:cs="Arial"/>
          <w:sz w:val="20"/>
          <w:szCs w:val="20"/>
        </w:rPr>
        <w:t xml:space="preserve"> India</w:t>
      </w:r>
      <w:r w:rsidR="005E3551" w:rsidRPr="0091313D">
        <w:rPr>
          <w:rFonts w:ascii="Arial" w:hAnsi="Arial" w:cs="Arial"/>
          <w:sz w:val="20"/>
          <w:szCs w:val="20"/>
        </w:rPr>
        <w:t>’</w:t>
      </w:r>
      <w:r w:rsidR="00B05649" w:rsidRPr="0091313D">
        <w:rPr>
          <w:rFonts w:ascii="Arial" w:hAnsi="Arial" w:cs="Arial"/>
          <w:sz w:val="20"/>
          <w:szCs w:val="20"/>
        </w:rPr>
        <w:t>s trade exposure shifted substantially over this period, most clearly after the 1991 reforms. FDI inflows showed the highest volatility relative to their mean, with positive skewness (0.92) driven by episodic surges during liberalization.</w:t>
      </w:r>
      <w:r w:rsidR="005E3551" w:rsidRPr="0091313D">
        <w:rPr>
          <w:rFonts w:ascii="Arial" w:hAnsi="Arial" w:cs="Arial"/>
          <w:sz w:val="20"/>
          <w:szCs w:val="20"/>
        </w:rPr>
        <w:t xml:space="preserve"> </w:t>
      </w:r>
      <w:r w:rsidR="00B05649" w:rsidRPr="0091313D">
        <w:rPr>
          <w:rFonts w:ascii="Arial" w:hAnsi="Arial" w:cs="Arial"/>
          <w:sz w:val="20"/>
          <w:szCs w:val="20"/>
        </w:rPr>
        <w:t xml:space="preserve">The exchange rate depreciated steadily over the period. Gross capital formation was comparatively stable, with moderate fluctuations around a gradual upward trend. World GDP growth and inflation both show leptokurtic distributions </w:t>
      </w:r>
      <w:r w:rsidR="005E3551" w:rsidRPr="0091313D">
        <w:rPr>
          <w:rFonts w:ascii="Arial" w:hAnsi="Arial" w:cs="Arial"/>
          <w:sz w:val="20"/>
          <w:szCs w:val="20"/>
        </w:rPr>
        <w:t>-</w:t>
      </w:r>
      <w:r w:rsidR="00B05649" w:rsidRPr="0091313D">
        <w:rPr>
          <w:rFonts w:ascii="Arial" w:hAnsi="Arial" w:cs="Arial"/>
          <w:sz w:val="20"/>
          <w:szCs w:val="20"/>
        </w:rPr>
        <w:t xml:space="preserve"> heavy tails consistent with the 2008 financial crisis and the COVID-19 contraction hitting harder than typical years. Exports and imports trended upward across the sample, tracking India</w:t>
      </w:r>
      <w:r w:rsidR="005E3551" w:rsidRPr="0091313D">
        <w:rPr>
          <w:rFonts w:ascii="Arial" w:hAnsi="Arial" w:cs="Arial"/>
          <w:sz w:val="20"/>
          <w:szCs w:val="20"/>
        </w:rPr>
        <w:t>’</w:t>
      </w:r>
      <w:r w:rsidR="00B05649" w:rsidRPr="0091313D">
        <w:rPr>
          <w:rFonts w:ascii="Arial" w:hAnsi="Arial" w:cs="Arial"/>
          <w:sz w:val="20"/>
          <w:szCs w:val="20"/>
        </w:rPr>
        <w:t>s growing trade exposure.</w:t>
      </w:r>
    </w:p>
    <w:p w14:paraId="443F00DE" w14:textId="77777777" w:rsidR="00B05649" w:rsidRPr="0091313D" w:rsidRDefault="00B05649" w:rsidP="00EF4B44">
      <w:pPr>
        <w:spacing w:after="0" w:line="240" w:lineRule="auto"/>
        <w:jc w:val="both"/>
        <w:rPr>
          <w:rFonts w:ascii="Arial" w:hAnsi="Arial" w:cs="Arial"/>
          <w:sz w:val="20"/>
          <w:szCs w:val="20"/>
        </w:rPr>
      </w:pPr>
      <w:r w:rsidRPr="0091313D">
        <w:rPr>
          <w:rFonts w:ascii="Arial" w:hAnsi="Arial" w:cs="Arial"/>
          <w:sz w:val="20"/>
          <w:szCs w:val="20"/>
        </w:rPr>
        <w:t>Across the series, non-normality, asymmetric distributions, and structural breaks are the rule rather than the exception. Linear models are poorly suited to data with these properties, which is why the analysis uses NARDL and machine learning.</w:t>
      </w:r>
    </w:p>
    <w:p w14:paraId="7DE4B3FE" w14:textId="23B94622" w:rsidR="005E3551" w:rsidRPr="0091313D" w:rsidRDefault="005E3551" w:rsidP="00EF4B44">
      <w:pPr>
        <w:spacing w:after="0" w:line="240" w:lineRule="auto"/>
        <w:jc w:val="center"/>
        <w:rPr>
          <w:rFonts w:ascii="Arial" w:hAnsi="Arial" w:cs="Arial"/>
          <w:sz w:val="20"/>
          <w:szCs w:val="20"/>
        </w:rPr>
      </w:pPr>
      <w:r w:rsidRPr="0091313D">
        <w:rPr>
          <w:rFonts w:ascii="Arial" w:hAnsi="Arial" w:cs="Arial"/>
          <w:b/>
          <w:bCs/>
          <w:sz w:val="20"/>
          <w:szCs w:val="20"/>
        </w:rPr>
        <w:t xml:space="preserve">Table </w:t>
      </w:r>
      <w:r w:rsidR="00C076F8" w:rsidRPr="0091313D">
        <w:rPr>
          <w:rFonts w:ascii="Arial" w:hAnsi="Arial" w:cs="Arial"/>
          <w:b/>
          <w:bCs/>
          <w:sz w:val="20"/>
          <w:szCs w:val="20"/>
        </w:rPr>
        <w:t>2.</w:t>
      </w:r>
      <w:r w:rsidRPr="0091313D">
        <w:rPr>
          <w:rFonts w:ascii="Arial" w:hAnsi="Arial" w:cs="Arial"/>
          <w:b/>
          <w:bCs/>
          <w:sz w:val="20"/>
          <w:szCs w:val="20"/>
        </w:rPr>
        <w:t xml:space="preserve"> Descriptive Statistics of Key Economic Variables</w:t>
      </w:r>
    </w:p>
    <w:tbl>
      <w:tblPr>
        <w:tblStyle w:val="TableGrid"/>
        <w:tblW w:w="0" w:type="auto"/>
        <w:jc w:val="center"/>
        <w:tblLook w:val="04A0" w:firstRow="1" w:lastRow="0" w:firstColumn="1" w:lastColumn="0" w:noHBand="0" w:noVBand="1"/>
      </w:tblPr>
      <w:tblGrid>
        <w:gridCol w:w="3462"/>
        <w:gridCol w:w="728"/>
        <w:gridCol w:w="961"/>
        <w:gridCol w:w="717"/>
        <w:gridCol w:w="717"/>
        <w:gridCol w:w="1184"/>
        <w:gridCol w:w="1028"/>
      </w:tblGrid>
      <w:tr w:rsidR="005E3551" w:rsidRPr="0091313D" w14:paraId="38E3CE1C" w14:textId="77777777" w:rsidTr="005E3551">
        <w:trPr>
          <w:jc w:val="center"/>
        </w:trPr>
        <w:tc>
          <w:tcPr>
            <w:tcW w:w="0" w:type="auto"/>
            <w:hideMark/>
          </w:tcPr>
          <w:p w14:paraId="49DA1FB8"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4FFFA6D7"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Mean</w:t>
            </w:r>
          </w:p>
        </w:tc>
        <w:tc>
          <w:tcPr>
            <w:tcW w:w="0" w:type="auto"/>
            <w:hideMark/>
          </w:tcPr>
          <w:p w14:paraId="1DB06D82"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Std Dev</w:t>
            </w:r>
          </w:p>
        </w:tc>
        <w:tc>
          <w:tcPr>
            <w:tcW w:w="0" w:type="auto"/>
            <w:hideMark/>
          </w:tcPr>
          <w:p w14:paraId="1465E12E"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Min</w:t>
            </w:r>
          </w:p>
        </w:tc>
        <w:tc>
          <w:tcPr>
            <w:tcW w:w="0" w:type="auto"/>
            <w:hideMark/>
          </w:tcPr>
          <w:p w14:paraId="237C6A18"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Max</w:t>
            </w:r>
          </w:p>
        </w:tc>
        <w:tc>
          <w:tcPr>
            <w:tcW w:w="0" w:type="auto"/>
            <w:hideMark/>
          </w:tcPr>
          <w:p w14:paraId="76FEE006"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Skewness</w:t>
            </w:r>
          </w:p>
        </w:tc>
        <w:tc>
          <w:tcPr>
            <w:tcW w:w="0" w:type="auto"/>
            <w:hideMark/>
          </w:tcPr>
          <w:p w14:paraId="2AE5470F"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Kurtosis</w:t>
            </w:r>
          </w:p>
        </w:tc>
      </w:tr>
      <w:tr w:rsidR="005E3551" w:rsidRPr="0091313D" w14:paraId="264C12CF" w14:textId="77777777" w:rsidTr="005E3551">
        <w:trPr>
          <w:jc w:val="center"/>
        </w:trPr>
        <w:tc>
          <w:tcPr>
            <w:tcW w:w="0" w:type="auto"/>
            <w:hideMark/>
          </w:tcPr>
          <w:p w14:paraId="1666E2D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India GDP Growth (%)</w:t>
            </w:r>
          </w:p>
        </w:tc>
        <w:tc>
          <w:tcPr>
            <w:tcW w:w="0" w:type="auto"/>
            <w:hideMark/>
          </w:tcPr>
          <w:p w14:paraId="0418FD5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5.79</w:t>
            </w:r>
          </w:p>
        </w:tc>
        <w:tc>
          <w:tcPr>
            <w:tcW w:w="0" w:type="auto"/>
            <w:hideMark/>
          </w:tcPr>
          <w:p w14:paraId="4DBBC50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3.07</w:t>
            </w:r>
          </w:p>
        </w:tc>
        <w:tc>
          <w:tcPr>
            <w:tcW w:w="0" w:type="auto"/>
            <w:hideMark/>
          </w:tcPr>
          <w:p w14:paraId="37826FE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-5.78</w:t>
            </w:r>
          </w:p>
        </w:tc>
        <w:tc>
          <w:tcPr>
            <w:tcW w:w="0" w:type="auto"/>
            <w:hideMark/>
          </w:tcPr>
          <w:p w14:paraId="220B493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9.69</w:t>
            </w:r>
          </w:p>
        </w:tc>
        <w:tc>
          <w:tcPr>
            <w:tcW w:w="0" w:type="auto"/>
            <w:hideMark/>
          </w:tcPr>
          <w:p w14:paraId="260445C1"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-2.06</w:t>
            </w:r>
          </w:p>
        </w:tc>
        <w:tc>
          <w:tcPr>
            <w:tcW w:w="0" w:type="auto"/>
            <w:hideMark/>
          </w:tcPr>
          <w:p w14:paraId="0CF4CC3E"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5.88</w:t>
            </w:r>
          </w:p>
        </w:tc>
      </w:tr>
      <w:tr w:rsidR="005E3551" w:rsidRPr="0091313D" w14:paraId="2100F1D6" w14:textId="77777777" w:rsidTr="005E3551">
        <w:trPr>
          <w:jc w:val="center"/>
        </w:trPr>
        <w:tc>
          <w:tcPr>
            <w:tcW w:w="0" w:type="auto"/>
            <w:hideMark/>
          </w:tcPr>
          <w:p w14:paraId="4F7A501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Official Exchange Rate ($ to ₹)</w:t>
            </w:r>
          </w:p>
        </w:tc>
        <w:tc>
          <w:tcPr>
            <w:tcW w:w="0" w:type="auto"/>
            <w:hideMark/>
          </w:tcPr>
          <w:p w14:paraId="225F415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38.47</w:t>
            </w:r>
          </w:p>
        </w:tc>
        <w:tc>
          <w:tcPr>
            <w:tcW w:w="0" w:type="auto"/>
            <w:hideMark/>
          </w:tcPr>
          <w:p w14:paraId="3B5BAA2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23.42</w:t>
            </w:r>
          </w:p>
        </w:tc>
        <w:tc>
          <w:tcPr>
            <w:tcW w:w="0" w:type="auto"/>
            <w:hideMark/>
          </w:tcPr>
          <w:p w14:paraId="469AC54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7.86</w:t>
            </w:r>
          </w:p>
        </w:tc>
        <w:tc>
          <w:tcPr>
            <w:tcW w:w="0" w:type="auto"/>
            <w:hideMark/>
          </w:tcPr>
          <w:p w14:paraId="3A8EEFF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83.67</w:t>
            </w:r>
          </w:p>
        </w:tc>
        <w:tc>
          <w:tcPr>
            <w:tcW w:w="0" w:type="auto"/>
            <w:hideMark/>
          </w:tcPr>
          <w:p w14:paraId="1899836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0.21</w:t>
            </w:r>
          </w:p>
        </w:tc>
        <w:tc>
          <w:tcPr>
            <w:tcW w:w="0" w:type="auto"/>
            <w:hideMark/>
          </w:tcPr>
          <w:p w14:paraId="545376C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-1.08</w:t>
            </w:r>
          </w:p>
        </w:tc>
      </w:tr>
      <w:tr w:rsidR="005E3551" w:rsidRPr="0091313D" w14:paraId="7DFAAC00" w14:textId="77777777" w:rsidTr="005E3551">
        <w:trPr>
          <w:jc w:val="center"/>
        </w:trPr>
        <w:tc>
          <w:tcPr>
            <w:tcW w:w="0" w:type="auto"/>
            <w:hideMark/>
          </w:tcPr>
          <w:p w14:paraId="3C4A590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0B46944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29.73</w:t>
            </w:r>
          </w:p>
        </w:tc>
        <w:tc>
          <w:tcPr>
            <w:tcW w:w="0" w:type="auto"/>
            <w:hideMark/>
          </w:tcPr>
          <w:p w14:paraId="2DB216E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14.95</w:t>
            </w:r>
          </w:p>
        </w:tc>
        <w:tc>
          <w:tcPr>
            <w:tcW w:w="0" w:type="auto"/>
            <w:hideMark/>
          </w:tcPr>
          <w:p w14:paraId="2425192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12.22</w:t>
            </w:r>
          </w:p>
        </w:tc>
        <w:tc>
          <w:tcPr>
            <w:tcW w:w="0" w:type="auto"/>
            <w:hideMark/>
          </w:tcPr>
          <w:p w14:paraId="3E4284F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55.79</w:t>
            </w:r>
          </w:p>
        </w:tc>
        <w:tc>
          <w:tcPr>
            <w:tcW w:w="0" w:type="auto"/>
            <w:hideMark/>
          </w:tcPr>
          <w:p w14:paraId="18F4FB5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0.29</w:t>
            </w:r>
          </w:p>
        </w:tc>
        <w:tc>
          <w:tcPr>
            <w:tcW w:w="0" w:type="auto"/>
            <w:hideMark/>
          </w:tcPr>
          <w:p w14:paraId="095ADDC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-1.50</w:t>
            </w:r>
          </w:p>
        </w:tc>
      </w:tr>
      <w:tr w:rsidR="005E3551" w:rsidRPr="0091313D" w14:paraId="4415BE87" w14:textId="77777777" w:rsidTr="005E3551">
        <w:trPr>
          <w:jc w:val="center"/>
        </w:trPr>
        <w:tc>
          <w:tcPr>
            <w:tcW w:w="0" w:type="auto"/>
            <w:hideMark/>
          </w:tcPr>
          <w:p w14:paraId="14A5694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28C3696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0.87</w:t>
            </w:r>
          </w:p>
        </w:tc>
        <w:tc>
          <w:tcPr>
            <w:tcW w:w="0" w:type="auto"/>
            <w:hideMark/>
          </w:tcPr>
          <w:p w14:paraId="6BB08F1A"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0.88</w:t>
            </w:r>
          </w:p>
        </w:tc>
        <w:tc>
          <w:tcPr>
            <w:tcW w:w="0" w:type="auto"/>
            <w:hideMark/>
          </w:tcPr>
          <w:p w14:paraId="6F6ED91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-0.03</w:t>
            </w:r>
          </w:p>
        </w:tc>
        <w:tc>
          <w:tcPr>
            <w:tcW w:w="0" w:type="auto"/>
            <w:hideMark/>
          </w:tcPr>
          <w:p w14:paraId="0A8B694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3.62</w:t>
            </w:r>
          </w:p>
        </w:tc>
        <w:tc>
          <w:tcPr>
            <w:tcW w:w="0" w:type="auto"/>
            <w:hideMark/>
          </w:tcPr>
          <w:p w14:paraId="2152908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0.92</w:t>
            </w:r>
          </w:p>
        </w:tc>
        <w:tc>
          <w:tcPr>
            <w:tcW w:w="0" w:type="auto"/>
            <w:hideMark/>
          </w:tcPr>
          <w:p w14:paraId="777E51D1"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0.36</w:t>
            </w:r>
          </w:p>
        </w:tc>
      </w:tr>
      <w:tr w:rsidR="005E3551" w:rsidRPr="0091313D" w14:paraId="129D4EB9" w14:textId="77777777" w:rsidTr="005E3551">
        <w:trPr>
          <w:jc w:val="center"/>
        </w:trPr>
        <w:tc>
          <w:tcPr>
            <w:tcW w:w="0" w:type="auto"/>
            <w:hideMark/>
          </w:tcPr>
          <w:p w14:paraId="113B27C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25718B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29.31</w:t>
            </w:r>
          </w:p>
        </w:tc>
        <w:tc>
          <w:tcPr>
            <w:tcW w:w="0" w:type="auto"/>
            <w:hideMark/>
          </w:tcPr>
          <w:p w14:paraId="1002A78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5.96</w:t>
            </w:r>
          </w:p>
        </w:tc>
        <w:tc>
          <w:tcPr>
            <w:tcW w:w="0" w:type="auto"/>
            <w:hideMark/>
          </w:tcPr>
          <w:p w14:paraId="50E134E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19.42</w:t>
            </w:r>
          </w:p>
        </w:tc>
        <w:tc>
          <w:tcPr>
            <w:tcW w:w="0" w:type="auto"/>
            <w:hideMark/>
          </w:tcPr>
          <w:p w14:paraId="6AB6E2A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41.95</w:t>
            </w:r>
          </w:p>
        </w:tc>
        <w:tc>
          <w:tcPr>
            <w:tcW w:w="0" w:type="auto"/>
            <w:hideMark/>
          </w:tcPr>
          <w:p w14:paraId="0522C42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0.31</w:t>
            </w:r>
          </w:p>
        </w:tc>
        <w:tc>
          <w:tcPr>
            <w:tcW w:w="0" w:type="auto"/>
            <w:hideMark/>
          </w:tcPr>
          <w:p w14:paraId="21CB62E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-0.72</w:t>
            </w:r>
          </w:p>
        </w:tc>
      </w:tr>
      <w:tr w:rsidR="005E3551" w:rsidRPr="0091313D" w14:paraId="7AEDE30D" w14:textId="77777777" w:rsidTr="005E3551">
        <w:trPr>
          <w:jc w:val="center"/>
        </w:trPr>
        <w:tc>
          <w:tcPr>
            <w:tcW w:w="0" w:type="auto"/>
            <w:hideMark/>
          </w:tcPr>
          <w:p w14:paraId="37E1C1C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World GDP Growth (%)</w:t>
            </w:r>
          </w:p>
        </w:tc>
        <w:tc>
          <w:tcPr>
            <w:tcW w:w="0" w:type="auto"/>
            <w:hideMark/>
          </w:tcPr>
          <w:p w14:paraId="6AD406C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3.03</w:t>
            </w:r>
          </w:p>
        </w:tc>
        <w:tc>
          <w:tcPr>
            <w:tcW w:w="0" w:type="auto"/>
            <w:hideMark/>
          </w:tcPr>
          <w:p w14:paraId="6315A49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1.55</w:t>
            </w:r>
          </w:p>
        </w:tc>
        <w:tc>
          <w:tcPr>
            <w:tcW w:w="0" w:type="auto"/>
            <w:hideMark/>
          </w:tcPr>
          <w:p w14:paraId="5057FEA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-2.90</w:t>
            </w:r>
          </w:p>
        </w:tc>
        <w:tc>
          <w:tcPr>
            <w:tcW w:w="0" w:type="auto"/>
            <w:hideMark/>
          </w:tcPr>
          <w:p w14:paraId="5AD1700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6.41</w:t>
            </w:r>
          </w:p>
        </w:tc>
        <w:tc>
          <w:tcPr>
            <w:tcW w:w="0" w:type="auto"/>
            <w:hideMark/>
          </w:tcPr>
          <w:p w14:paraId="2FC2FC0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-1.48</w:t>
            </w:r>
          </w:p>
        </w:tc>
        <w:tc>
          <w:tcPr>
            <w:tcW w:w="0" w:type="auto"/>
            <w:hideMark/>
          </w:tcPr>
          <w:p w14:paraId="664B89A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4.38</w:t>
            </w:r>
          </w:p>
        </w:tc>
      </w:tr>
      <w:tr w:rsidR="005E3551" w:rsidRPr="0091313D" w14:paraId="029AD1E3" w14:textId="77777777" w:rsidTr="005E3551">
        <w:trPr>
          <w:jc w:val="center"/>
        </w:trPr>
        <w:tc>
          <w:tcPr>
            <w:tcW w:w="0" w:type="auto"/>
            <w:hideMark/>
          </w:tcPr>
          <w:p w14:paraId="132C59D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Inflation (%)</w:t>
            </w:r>
          </w:p>
        </w:tc>
        <w:tc>
          <w:tcPr>
            <w:tcW w:w="0" w:type="auto"/>
            <w:hideMark/>
          </w:tcPr>
          <w:p w14:paraId="277E769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7.10</w:t>
            </w:r>
          </w:p>
        </w:tc>
        <w:tc>
          <w:tcPr>
            <w:tcW w:w="0" w:type="auto"/>
            <w:hideMark/>
          </w:tcPr>
          <w:p w14:paraId="3997C27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3.63</w:t>
            </w:r>
          </w:p>
        </w:tc>
        <w:tc>
          <w:tcPr>
            <w:tcW w:w="0" w:type="auto"/>
            <w:hideMark/>
          </w:tcPr>
          <w:p w14:paraId="0E0C19A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-7.63</w:t>
            </w:r>
          </w:p>
        </w:tc>
        <w:tc>
          <w:tcPr>
            <w:tcW w:w="0" w:type="auto"/>
            <w:hideMark/>
          </w:tcPr>
          <w:p w14:paraId="014043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13.87</w:t>
            </w:r>
          </w:p>
        </w:tc>
        <w:tc>
          <w:tcPr>
            <w:tcW w:w="0" w:type="auto"/>
            <w:hideMark/>
          </w:tcPr>
          <w:p w14:paraId="1977E0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-1.02</w:t>
            </w:r>
          </w:p>
        </w:tc>
        <w:tc>
          <w:tcPr>
            <w:tcW w:w="0" w:type="auto"/>
            <w:hideMark/>
          </w:tcPr>
          <w:p w14:paraId="26ED8F2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4.22</w:t>
            </w:r>
          </w:p>
        </w:tc>
      </w:tr>
      <w:tr w:rsidR="005E3551" w:rsidRPr="0091313D" w14:paraId="33F6B5B5" w14:textId="77777777" w:rsidTr="005E3551">
        <w:trPr>
          <w:jc w:val="center"/>
        </w:trPr>
        <w:tc>
          <w:tcPr>
            <w:tcW w:w="0" w:type="auto"/>
            <w:hideMark/>
          </w:tcPr>
          <w:p w14:paraId="0872981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Exports (% of GDP)</w:t>
            </w:r>
          </w:p>
        </w:tc>
        <w:tc>
          <w:tcPr>
            <w:tcW w:w="0" w:type="auto"/>
            <w:hideMark/>
          </w:tcPr>
          <w:p w14:paraId="2F41896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13.81</w:t>
            </w:r>
          </w:p>
        </w:tc>
        <w:tc>
          <w:tcPr>
            <w:tcW w:w="0" w:type="auto"/>
            <w:hideMark/>
          </w:tcPr>
          <w:p w14:paraId="004121D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6.91</w:t>
            </w:r>
          </w:p>
        </w:tc>
        <w:tc>
          <w:tcPr>
            <w:tcW w:w="0" w:type="auto"/>
            <w:hideMark/>
          </w:tcPr>
          <w:p w14:paraId="5DBC1D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5.20</w:t>
            </w:r>
          </w:p>
        </w:tc>
        <w:tc>
          <w:tcPr>
            <w:tcW w:w="0" w:type="auto"/>
            <w:hideMark/>
          </w:tcPr>
          <w:p w14:paraId="14D231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25.43</w:t>
            </w:r>
          </w:p>
        </w:tc>
        <w:tc>
          <w:tcPr>
            <w:tcW w:w="0" w:type="auto"/>
            <w:hideMark/>
          </w:tcPr>
          <w:p w14:paraId="5ECF518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0.19</w:t>
            </w:r>
          </w:p>
        </w:tc>
        <w:tc>
          <w:tcPr>
            <w:tcW w:w="0" w:type="auto"/>
            <w:hideMark/>
          </w:tcPr>
          <w:p w14:paraId="5276D5D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-1.58</w:t>
            </w:r>
          </w:p>
        </w:tc>
      </w:tr>
      <w:tr w:rsidR="005E3551" w:rsidRPr="0091313D" w14:paraId="2313C3E5" w14:textId="77777777" w:rsidTr="005E3551">
        <w:trPr>
          <w:jc w:val="center"/>
        </w:trPr>
        <w:tc>
          <w:tcPr>
            <w:tcW w:w="0" w:type="auto"/>
            <w:hideMark/>
          </w:tcPr>
          <w:p w14:paraId="1AA5AC5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Imports (% of GDP)</w:t>
            </w:r>
          </w:p>
        </w:tc>
        <w:tc>
          <w:tcPr>
            <w:tcW w:w="0" w:type="auto"/>
            <w:hideMark/>
          </w:tcPr>
          <w:p w14:paraId="60D2037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15.92</w:t>
            </w:r>
          </w:p>
        </w:tc>
        <w:tc>
          <w:tcPr>
            <w:tcW w:w="0" w:type="auto"/>
            <w:hideMark/>
          </w:tcPr>
          <w:p w14:paraId="73DBAEF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8.08</w:t>
            </w:r>
          </w:p>
        </w:tc>
        <w:tc>
          <w:tcPr>
            <w:tcW w:w="0" w:type="auto"/>
            <w:hideMark/>
          </w:tcPr>
          <w:p w14:paraId="4DD51A0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6.11</w:t>
            </w:r>
          </w:p>
        </w:tc>
        <w:tc>
          <w:tcPr>
            <w:tcW w:w="0" w:type="auto"/>
            <w:hideMark/>
          </w:tcPr>
          <w:p w14:paraId="0354F4D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31.26</w:t>
            </w:r>
          </w:p>
        </w:tc>
        <w:tc>
          <w:tcPr>
            <w:tcW w:w="0" w:type="auto"/>
            <w:hideMark/>
          </w:tcPr>
          <w:p w14:paraId="6D416B3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0.38</w:t>
            </w:r>
          </w:p>
        </w:tc>
        <w:tc>
          <w:tcPr>
            <w:tcW w:w="0" w:type="auto"/>
            <w:hideMark/>
          </w:tcPr>
          <w:p w14:paraId="01BBF7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-1.37</w:t>
            </w:r>
          </w:p>
        </w:tc>
      </w:tr>
    </w:tbl>
    <w:p w14:paraId="791B25C2" w14:textId="40112F32" w:rsidR="007F5B6D" w:rsidRPr="0091313D" w:rsidRDefault="007F5B6D" w:rsidP="00EF4B44">
      <w:pPr>
        <w:spacing w:after="0" w:line="240" w:lineRule="auto"/>
        <w:jc w:val="both"/>
        <w:rPr>
          <w:rFonts w:ascii="Arial" w:hAnsi="Arial" w:cs="Arial"/>
          <w:sz w:val="20"/>
          <w:szCs w:val="20"/>
        </w:rPr>
      </w:pPr>
    </w:p>
    <w:p w14:paraId="1B7AE9EE" w14:textId="52F8F63A"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Figures </w:t>
      </w:r>
      <w:r w:rsidR="00BC42DB" w:rsidRPr="0091313D">
        <w:rPr>
          <w:rFonts w:ascii="Arial" w:hAnsi="Arial" w:cs="Arial"/>
          <w:sz w:val="20"/>
          <w:szCs w:val="20"/>
        </w:rPr>
        <w:t>1</w:t>
      </w:r>
      <w:r w:rsidRPr="0091313D">
        <w:rPr>
          <w:rFonts w:ascii="Arial" w:hAnsi="Arial" w:cs="Arial"/>
          <w:sz w:val="20"/>
          <w:szCs w:val="20"/>
        </w:rPr>
        <w:t xml:space="preserve"> plot the main series across four periods: Pre-1991 Reforms, Post-1991 Reforms, Post-2008 GFC, and Post-2020 COVID-19. The structural breaks are visible. Trade openness rose sharply after 1991, and GDP growth - while more volatile was generally higher in the post-reform decades than before.</w:t>
      </w:r>
    </w:p>
    <w:p w14:paraId="4C6F6AC3" w14:textId="7A7CC455" w:rsidR="00AD1144" w:rsidRPr="0091313D" w:rsidRDefault="00AD1144"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1F84EC70" wp14:editId="22382E3E">
            <wp:extent cx="5731510" cy="4017645"/>
            <wp:effectExtent l="0" t="0" r="2540" b="1905"/>
            <wp:docPr id="12672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55"/>
                    <a:stretch>
                      <a:fillRect/>
                    </a:stretch>
                  </pic:blipFill>
                  <pic:spPr bwMode="auto">
                    <a:xfrm>
                      <a:off x="0" y="0"/>
                      <a:ext cx="5731510" cy="4017645"/>
                    </a:xfrm>
                    <a:prstGeom prst="rect">
                      <a:avLst/>
                    </a:prstGeom>
                    <a:noFill/>
                    <a:ln>
                      <a:noFill/>
                    </a:ln>
                    <a:extLst>
                      <a:ext uri="{53640926-AAD7-44D8-BBD7-CCE9431645EC}">
                        <a14:shadowObscured xmlns:a14="http://schemas.microsoft.com/office/drawing/2010/main"/>
                      </a:ext>
                    </a:extLst>
                  </pic:spPr>
                </pic:pic>
              </a:graphicData>
            </a:graphic>
          </wp:inline>
        </w:drawing>
      </w:r>
    </w:p>
    <w:p w14:paraId="04F11418" w14:textId="2111CA44" w:rsidR="00AD1144" w:rsidRPr="0091313D" w:rsidRDefault="00AD1144"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1</w:t>
      </w:r>
      <w:r w:rsidRPr="0091313D">
        <w:rPr>
          <w:rFonts w:ascii="Arial" w:hAnsi="Arial" w:cs="Arial"/>
          <w:b/>
          <w:bCs/>
          <w:sz w:val="20"/>
          <w:szCs w:val="20"/>
        </w:rPr>
        <w:t>. Trends of Key Economic Variables with Economic Regimes (1975-2024)</w:t>
      </w:r>
    </w:p>
    <w:p w14:paraId="13ACB490" w14:textId="2EDD4A6B" w:rsidR="00AD1144" w:rsidRPr="0091313D" w:rsidRDefault="00AD1144" w:rsidP="00EF4B44">
      <w:pPr>
        <w:spacing w:after="0" w:line="240" w:lineRule="auto"/>
        <w:jc w:val="center"/>
        <w:rPr>
          <w:rFonts w:ascii="Arial" w:hAnsi="Arial" w:cs="Arial"/>
          <w:b/>
          <w:bCs/>
          <w:sz w:val="20"/>
          <w:szCs w:val="20"/>
        </w:rPr>
      </w:pPr>
    </w:p>
    <w:p w14:paraId="556D2075" w14:textId="2CAE66D3"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BC42DB" w:rsidRPr="0091313D">
        <w:rPr>
          <w:rFonts w:ascii="Arial" w:hAnsi="Arial" w:cs="Arial"/>
          <w:sz w:val="20"/>
          <w:szCs w:val="20"/>
        </w:rPr>
        <w:t>2</w:t>
      </w:r>
      <w:r w:rsidRPr="0091313D">
        <w:rPr>
          <w:rFonts w:ascii="Arial" w:hAnsi="Arial" w:cs="Arial"/>
          <w:sz w:val="20"/>
          <w:szCs w:val="20"/>
        </w:rPr>
        <w:t xml:space="preserve"> present the correlation matrix. Trade openness and GDP growth are positively correlated (0.22), offering early support for the trade-led growth hypothesis, though the relationship is modest. GDP growth correlates more strongly with gross capital formation (0.27) and world GDP growth (0.34), suggesting domestic investment and global conditions both matters. Trade openness correlates strongly with exports, imports, FDI, and the exchange rate, which makes sense given how tightly India's external sector variables move together after liberalization.</w:t>
      </w:r>
    </w:p>
    <w:p w14:paraId="02DAC59F" w14:textId="023B59F1" w:rsidR="00AD1144" w:rsidRPr="0091313D" w:rsidRDefault="00AD1144"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3082083F" wp14:editId="390A982C">
            <wp:extent cx="5731510" cy="4521200"/>
            <wp:effectExtent l="0" t="0" r="2540" b="0"/>
            <wp:docPr id="1503506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784"/>
                    <a:stretch>
                      <a:fillRect/>
                    </a:stretch>
                  </pic:blipFill>
                  <pic:spPr bwMode="auto">
                    <a:xfrm>
                      <a:off x="0" y="0"/>
                      <a:ext cx="5731510" cy="4521200"/>
                    </a:xfrm>
                    <a:prstGeom prst="rect">
                      <a:avLst/>
                    </a:prstGeom>
                    <a:noFill/>
                    <a:ln>
                      <a:noFill/>
                    </a:ln>
                    <a:extLst>
                      <a:ext uri="{53640926-AAD7-44D8-BBD7-CCE9431645EC}">
                        <a14:shadowObscured xmlns:a14="http://schemas.microsoft.com/office/drawing/2010/main"/>
                      </a:ext>
                    </a:extLst>
                  </pic:spPr>
                </pic:pic>
              </a:graphicData>
            </a:graphic>
          </wp:inline>
        </w:drawing>
      </w:r>
    </w:p>
    <w:p w14:paraId="59074441" w14:textId="037EAB05" w:rsidR="00AD1144" w:rsidRPr="0091313D" w:rsidRDefault="00AD1144"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2</w:t>
      </w:r>
      <w:r w:rsidRPr="0091313D">
        <w:rPr>
          <w:rFonts w:ascii="Arial" w:hAnsi="Arial" w:cs="Arial"/>
          <w:b/>
          <w:bCs/>
          <w:sz w:val="20"/>
          <w:szCs w:val="20"/>
        </w:rPr>
        <w:t xml:space="preserve">. </w:t>
      </w:r>
      <w:r w:rsidR="009E01DF" w:rsidRPr="0091313D">
        <w:rPr>
          <w:rFonts w:ascii="Arial" w:hAnsi="Arial" w:cs="Arial"/>
          <w:b/>
          <w:bCs/>
          <w:sz w:val="20"/>
          <w:szCs w:val="20"/>
        </w:rPr>
        <w:t>Correlation Matrix of Key Economic Variables</w:t>
      </w:r>
    </w:p>
    <w:p w14:paraId="325CDA36" w14:textId="77777777" w:rsidR="00B16CEC" w:rsidRDefault="00B16CEC" w:rsidP="00EF4B44">
      <w:pPr>
        <w:spacing w:after="0" w:line="240" w:lineRule="auto"/>
        <w:jc w:val="both"/>
        <w:rPr>
          <w:rFonts w:ascii="Arial" w:hAnsi="Arial" w:cs="Arial"/>
          <w:sz w:val="20"/>
          <w:szCs w:val="20"/>
        </w:rPr>
      </w:pPr>
    </w:p>
    <w:p w14:paraId="56830FE7" w14:textId="57B4137F" w:rsidR="00AD1144" w:rsidRPr="0091313D" w:rsidRDefault="009E01DF"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BC42DB" w:rsidRPr="0091313D">
        <w:rPr>
          <w:rFonts w:ascii="Arial" w:hAnsi="Arial" w:cs="Arial"/>
          <w:sz w:val="20"/>
          <w:szCs w:val="20"/>
        </w:rPr>
        <w:t>3</w:t>
      </w:r>
      <w:r w:rsidRPr="0091313D">
        <w:rPr>
          <w:rFonts w:ascii="Arial" w:hAnsi="Arial" w:cs="Arial"/>
          <w:sz w:val="20"/>
          <w:szCs w:val="20"/>
        </w:rPr>
        <w:t xml:space="preserve"> reports Variance Inflation Factor (VIF) values used to check for multicollinearity among the explanatory variables. As a rule, VIF values above 5 or 10 signal potential concerns. The higher values for trade openness, exports, and imports are unsurprising, these series move closely together and all measure facets of the same external trade activity. The association between FDI inflows and gross capital formation is similarly expected, since foreign investment feeds directly into capital accumulation. That said, none of the values cross thresholds that would seriously distort the regression estimates, so multicollinearity is not a material problem here.</w:t>
      </w:r>
    </w:p>
    <w:p w14:paraId="48D80E04" w14:textId="77777777" w:rsidR="00B16CEC" w:rsidRDefault="00B16CEC" w:rsidP="00EF4B44">
      <w:pPr>
        <w:spacing w:after="0" w:line="240" w:lineRule="auto"/>
        <w:jc w:val="center"/>
        <w:rPr>
          <w:rFonts w:ascii="Arial" w:hAnsi="Arial" w:cs="Arial"/>
          <w:b/>
          <w:bCs/>
          <w:sz w:val="20"/>
          <w:szCs w:val="20"/>
        </w:rPr>
      </w:pPr>
    </w:p>
    <w:p w14:paraId="02BDFA2A" w14:textId="2F2C12C0" w:rsidR="009E01DF" w:rsidRPr="0091313D" w:rsidRDefault="009E01DF"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BC42DB" w:rsidRPr="0091313D">
        <w:rPr>
          <w:rFonts w:ascii="Arial" w:hAnsi="Arial" w:cs="Arial"/>
          <w:b/>
          <w:bCs/>
          <w:sz w:val="20"/>
          <w:szCs w:val="20"/>
        </w:rPr>
        <w:t>3</w:t>
      </w:r>
      <w:r w:rsidRPr="0091313D">
        <w:rPr>
          <w:rFonts w:ascii="Arial" w:hAnsi="Arial" w:cs="Arial"/>
          <w:b/>
          <w:bCs/>
          <w:sz w:val="20"/>
          <w:szCs w:val="20"/>
        </w:rPr>
        <w:t>. Variance Inflation Factor (VIF) of Key Economic Variables (Adjusted for Multicollinearity)</w:t>
      </w:r>
    </w:p>
    <w:tbl>
      <w:tblPr>
        <w:tblStyle w:val="TableGrid"/>
        <w:tblW w:w="0" w:type="auto"/>
        <w:jc w:val="center"/>
        <w:tblLook w:val="04A0" w:firstRow="1" w:lastRow="0" w:firstColumn="1" w:lastColumn="0" w:noHBand="0" w:noVBand="1"/>
      </w:tblPr>
      <w:tblGrid>
        <w:gridCol w:w="4596"/>
        <w:gridCol w:w="717"/>
      </w:tblGrid>
      <w:tr w:rsidR="009E01DF" w:rsidRPr="0091313D" w14:paraId="204A528A" w14:textId="77777777" w:rsidTr="009E01DF">
        <w:trPr>
          <w:jc w:val="center"/>
        </w:trPr>
        <w:tc>
          <w:tcPr>
            <w:tcW w:w="0" w:type="auto"/>
            <w:hideMark/>
          </w:tcPr>
          <w:p w14:paraId="32FCDCC6" w14:textId="77777777" w:rsidR="009E01DF" w:rsidRPr="0091313D" w:rsidRDefault="009E01DF"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29AE56F2" w14:textId="77777777" w:rsidR="009E01DF" w:rsidRPr="0091313D" w:rsidRDefault="009E01DF" w:rsidP="00EF4B44">
            <w:pPr>
              <w:jc w:val="both"/>
              <w:rPr>
                <w:rFonts w:ascii="Arial" w:hAnsi="Arial" w:cs="Arial"/>
                <w:b/>
                <w:bCs/>
                <w:sz w:val="20"/>
                <w:szCs w:val="20"/>
              </w:rPr>
            </w:pPr>
            <w:r w:rsidRPr="0091313D">
              <w:rPr>
                <w:rFonts w:ascii="Arial" w:hAnsi="Arial" w:cs="Arial"/>
                <w:b/>
                <w:bCs/>
                <w:sz w:val="20"/>
                <w:szCs w:val="20"/>
              </w:rPr>
              <w:t>VIF</w:t>
            </w:r>
          </w:p>
        </w:tc>
      </w:tr>
      <w:tr w:rsidR="009E01DF" w:rsidRPr="0091313D" w14:paraId="294C63E1" w14:textId="77777777" w:rsidTr="009E01DF">
        <w:trPr>
          <w:jc w:val="center"/>
        </w:trPr>
        <w:tc>
          <w:tcPr>
            <w:tcW w:w="0" w:type="auto"/>
            <w:hideMark/>
          </w:tcPr>
          <w:p w14:paraId="541E33DB" w14:textId="77777777" w:rsidR="009E01DF" w:rsidRPr="0091313D" w:rsidRDefault="009E01DF" w:rsidP="00EF4B44">
            <w:pPr>
              <w:jc w:val="both"/>
              <w:rPr>
                <w:rFonts w:ascii="Arial" w:hAnsi="Arial" w:cs="Arial"/>
                <w:sz w:val="20"/>
                <w:szCs w:val="20"/>
              </w:rPr>
            </w:pPr>
            <w:proofErr w:type="spellStart"/>
            <w:r w:rsidRPr="0091313D">
              <w:rPr>
                <w:rFonts w:ascii="Arial" w:hAnsi="Arial" w:cs="Arial"/>
                <w:sz w:val="20"/>
                <w:szCs w:val="20"/>
              </w:rPr>
              <w:t>const</w:t>
            </w:r>
            <w:proofErr w:type="spellEnd"/>
          </w:p>
        </w:tc>
        <w:tc>
          <w:tcPr>
            <w:tcW w:w="0" w:type="auto"/>
            <w:hideMark/>
          </w:tcPr>
          <w:p w14:paraId="25B8456E"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69.59</w:t>
            </w:r>
          </w:p>
        </w:tc>
      </w:tr>
      <w:tr w:rsidR="009E01DF" w:rsidRPr="0091313D" w14:paraId="0AB5A76A" w14:textId="77777777" w:rsidTr="009E01DF">
        <w:trPr>
          <w:jc w:val="center"/>
        </w:trPr>
        <w:tc>
          <w:tcPr>
            <w:tcW w:w="0" w:type="auto"/>
            <w:hideMark/>
          </w:tcPr>
          <w:p w14:paraId="11EF7B19"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2B522DD9"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14.26</w:t>
            </w:r>
          </w:p>
        </w:tc>
      </w:tr>
      <w:tr w:rsidR="009E01DF" w:rsidRPr="0091313D" w14:paraId="48BEE70C" w14:textId="77777777" w:rsidTr="009E01DF">
        <w:trPr>
          <w:jc w:val="center"/>
        </w:trPr>
        <w:tc>
          <w:tcPr>
            <w:tcW w:w="0" w:type="auto"/>
            <w:hideMark/>
          </w:tcPr>
          <w:p w14:paraId="52BFFCA5"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2A4C35F6"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5.74</w:t>
            </w:r>
          </w:p>
        </w:tc>
      </w:tr>
      <w:tr w:rsidR="009E01DF" w:rsidRPr="0091313D" w14:paraId="05599D79" w14:textId="77777777" w:rsidTr="009E01DF">
        <w:trPr>
          <w:jc w:val="center"/>
        </w:trPr>
        <w:tc>
          <w:tcPr>
            <w:tcW w:w="0" w:type="auto"/>
            <w:hideMark/>
          </w:tcPr>
          <w:p w14:paraId="0492D687"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Foreign direct investment, net inflows (% of GDP)</w:t>
            </w:r>
          </w:p>
        </w:tc>
        <w:tc>
          <w:tcPr>
            <w:tcW w:w="0" w:type="auto"/>
            <w:hideMark/>
          </w:tcPr>
          <w:p w14:paraId="103CBE34"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4.85</w:t>
            </w:r>
          </w:p>
        </w:tc>
      </w:tr>
      <w:tr w:rsidR="009E01DF" w:rsidRPr="0091313D" w14:paraId="39E5060E" w14:textId="77777777" w:rsidTr="009E01DF">
        <w:trPr>
          <w:jc w:val="center"/>
        </w:trPr>
        <w:tc>
          <w:tcPr>
            <w:tcW w:w="0" w:type="auto"/>
            <w:hideMark/>
          </w:tcPr>
          <w:p w14:paraId="061D720E"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Official Exchange Rate ($ to ₹)</w:t>
            </w:r>
          </w:p>
        </w:tc>
        <w:tc>
          <w:tcPr>
            <w:tcW w:w="0" w:type="auto"/>
            <w:hideMark/>
          </w:tcPr>
          <w:p w14:paraId="32AD355D"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4.50</w:t>
            </w:r>
          </w:p>
        </w:tc>
      </w:tr>
      <w:tr w:rsidR="009E01DF" w:rsidRPr="0091313D" w14:paraId="1B4509D1" w14:textId="77777777" w:rsidTr="009E01DF">
        <w:trPr>
          <w:jc w:val="center"/>
        </w:trPr>
        <w:tc>
          <w:tcPr>
            <w:tcW w:w="0" w:type="auto"/>
            <w:hideMark/>
          </w:tcPr>
          <w:p w14:paraId="2A1AC92C"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World GDP growth (annual %)</w:t>
            </w:r>
          </w:p>
        </w:tc>
        <w:tc>
          <w:tcPr>
            <w:tcW w:w="0" w:type="auto"/>
            <w:hideMark/>
          </w:tcPr>
          <w:p w14:paraId="60A4545B"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1.59</w:t>
            </w:r>
          </w:p>
        </w:tc>
      </w:tr>
      <w:tr w:rsidR="009E01DF" w:rsidRPr="0091313D" w14:paraId="5B8AB161" w14:textId="77777777" w:rsidTr="009E01DF">
        <w:trPr>
          <w:jc w:val="center"/>
        </w:trPr>
        <w:tc>
          <w:tcPr>
            <w:tcW w:w="0" w:type="auto"/>
            <w:hideMark/>
          </w:tcPr>
          <w:p w14:paraId="1D014873"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Inflation consumer prices (annual %)</w:t>
            </w:r>
          </w:p>
        </w:tc>
        <w:tc>
          <w:tcPr>
            <w:tcW w:w="0" w:type="auto"/>
            <w:hideMark/>
          </w:tcPr>
          <w:p w14:paraId="55453838"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1.37</w:t>
            </w:r>
          </w:p>
        </w:tc>
      </w:tr>
      <w:tr w:rsidR="009E01DF" w:rsidRPr="0091313D" w14:paraId="4A573704" w14:textId="77777777" w:rsidTr="009E01DF">
        <w:trPr>
          <w:jc w:val="center"/>
        </w:trPr>
        <w:tc>
          <w:tcPr>
            <w:tcW w:w="0" w:type="auto"/>
            <w:hideMark/>
          </w:tcPr>
          <w:p w14:paraId="5C6E5116"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India GDP Growth (annual %)</w:t>
            </w:r>
          </w:p>
        </w:tc>
        <w:tc>
          <w:tcPr>
            <w:tcW w:w="0" w:type="auto"/>
            <w:hideMark/>
          </w:tcPr>
          <w:p w14:paraId="0F299C20"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1.35</w:t>
            </w:r>
          </w:p>
        </w:tc>
      </w:tr>
    </w:tbl>
    <w:p w14:paraId="4579B40C" w14:textId="77777777" w:rsidR="009E01DF" w:rsidRPr="0091313D" w:rsidRDefault="009E01DF" w:rsidP="00EF4B44">
      <w:pPr>
        <w:spacing w:after="0" w:line="240" w:lineRule="auto"/>
        <w:jc w:val="both"/>
        <w:rPr>
          <w:rFonts w:ascii="Arial" w:hAnsi="Arial" w:cs="Arial"/>
          <w:sz w:val="20"/>
          <w:szCs w:val="20"/>
        </w:rPr>
      </w:pPr>
    </w:p>
    <w:p w14:paraId="5B63DA96" w14:textId="5E4EB9DC" w:rsidR="009E01DF" w:rsidRPr="0091313D" w:rsidRDefault="00333EDD"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6FAD4F14" wp14:editId="1765FB0D">
            <wp:extent cx="5731510" cy="2712085"/>
            <wp:effectExtent l="19050" t="19050" r="21590" b="12065"/>
            <wp:docPr id="1168868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4686"/>
                    <a:stretch>
                      <a:fillRect/>
                    </a:stretch>
                  </pic:blipFill>
                  <pic:spPr bwMode="auto">
                    <a:xfrm>
                      <a:off x="0" y="0"/>
                      <a:ext cx="5731510" cy="2712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7ED39A" w14:textId="3DFB1B6F" w:rsidR="00333EDD" w:rsidRPr="0091313D" w:rsidRDefault="00333EDD"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3</w:t>
      </w:r>
      <w:r w:rsidRPr="0091313D">
        <w:rPr>
          <w:rFonts w:ascii="Arial" w:hAnsi="Arial" w:cs="Arial"/>
          <w:b/>
          <w:bCs/>
          <w:sz w:val="20"/>
          <w:szCs w:val="20"/>
        </w:rPr>
        <w:t>. Comparative Trends of Exports, Imports and Trade Openness in India (1975-2024)</w:t>
      </w:r>
    </w:p>
    <w:p w14:paraId="13B277AC" w14:textId="77777777" w:rsidR="00B16CEC" w:rsidRDefault="00B16CEC" w:rsidP="00EF4B44">
      <w:pPr>
        <w:spacing w:after="0" w:line="240" w:lineRule="auto"/>
        <w:jc w:val="both"/>
        <w:rPr>
          <w:rFonts w:ascii="Arial" w:hAnsi="Arial" w:cs="Arial"/>
          <w:sz w:val="20"/>
          <w:szCs w:val="20"/>
        </w:rPr>
      </w:pPr>
    </w:p>
    <w:p w14:paraId="7D06043B" w14:textId="239E871F"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BC42DB" w:rsidRPr="0091313D">
        <w:rPr>
          <w:rFonts w:ascii="Arial" w:hAnsi="Arial" w:cs="Arial"/>
          <w:sz w:val="20"/>
          <w:szCs w:val="20"/>
        </w:rPr>
        <w:t>3</w:t>
      </w:r>
      <w:r w:rsidRPr="0091313D">
        <w:rPr>
          <w:rFonts w:ascii="Arial" w:hAnsi="Arial" w:cs="Arial"/>
          <w:sz w:val="20"/>
          <w:szCs w:val="20"/>
        </w:rPr>
        <w:t xml:space="preserve"> plots exports, imports, and trade openness together. All three move in the same direction over time, with a clear acceleration after 1991. Exports and imports rose together, and trade openness tracked both </w:t>
      </w:r>
      <w:r w:rsidR="00333EDD" w:rsidRPr="0091313D">
        <w:rPr>
          <w:rFonts w:ascii="Arial" w:hAnsi="Arial" w:cs="Arial"/>
          <w:sz w:val="20"/>
          <w:szCs w:val="20"/>
        </w:rPr>
        <w:t xml:space="preserve">- </w:t>
      </w:r>
      <w:r w:rsidRPr="0091313D">
        <w:rPr>
          <w:rFonts w:ascii="Arial" w:hAnsi="Arial" w:cs="Arial"/>
          <w:sz w:val="20"/>
          <w:szCs w:val="20"/>
        </w:rPr>
        <w:t>the three series are, unsurprisingly, telling the same story about India</w:t>
      </w:r>
      <w:r w:rsidR="00333EDD" w:rsidRPr="0091313D">
        <w:rPr>
          <w:rFonts w:ascii="Arial" w:hAnsi="Arial" w:cs="Arial"/>
          <w:sz w:val="20"/>
          <w:szCs w:val="20"/>
        </w:rPr>
        <w:t>’</w:t>
      </w:r>
      <w:r w:rsidRPr="0091313D">
        <w:rPr>
          <w:rFonts w:ascii="Arial" w:hAnsi="Arial" w:cs="Arial"/>
          <w:sz w:val="20"/>
          <w:szCs w:val="20"/>
        </w:rPr>
        <w:t>s external sector from different angles.</w:t>
      </w:r>
    </w:p>
    <w:p w14:paraId="70D6AE2A" w14:textId="07202F27"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t xml:space="preserve">Figures </w:t>
      </w:r>
      <w:r w:rsidR="00BC42DB" w:rsidRPr="0091313D">
        <w:rPr>
          <w:rFonts w:ascii="Arial" w:hAnsi="Arial" w:cs="Arial"/>
          <w:sz w:val="20"/>
          <w:szCs w:val="20"/>
        </w:rPr>
        <w:t>4</w:t>
      </w:r>
      <w:r w:rsidRPr="0091313D">
        <w:rPr>
          <w:rFonts w:ascii="Arial" w:hAnsi="Arial" w:cs="Arial"/>
          <w:sz w:val="20"/>
          <w:szCs w:val="20"/>
        </w:rPr>
        <w:t xml:space="preserve"> and </w:t>
      </w:r>
      <w:r w:rsidR="00BC42DB" w:rsidRPr="0091313D">
        <w:rPr>
          <w:rFonts w:ascii="Arial" w:hAnsi="Arial" w:cs="Arial"/>
          <w:sz w:val="20"/>
          <w:szCs w:val="20"/>
        </w:rPr>
        <w:t>5</w:t>
      </w:r>
      <w:r w:rsidRPr="0091313D">
        <w:rPr>
          <w:rFonts w:ascii="Arial" w:hAnsi="Arial" w:cs="Arial"/>
          <w:sz w:val="20"/>
          <w:szCs w:val="20"/>
        </w:rPr>
        <w:t xml:space="preserve"> plot rolling mean and rolling volatility estimates for the major macroeconomic variables, using a 3-year moving average to smooth short-run noise and surface medium-term trends. Figure </w:t>
      </w:r>
      <w:r w:rsidR="00D32AD6" w:rsidRPr="0091313D">
        <w:rPr>
          <w:rFonts w:ascii="Arial" w:hAnsi="Arial" w:cs="Arial"/>
          <w:sz w:val="20"/>
          <w:szCs w:val="20"/>
        </w:rPr>
        <w:t>4</w:t>
      </w:r>
      <w:r w:rsidRPr="0091313D">
        <w:rPr>
          <w:rFonts w:ascii="Arial" w:hAnsi="Arial" w:cs="Arial"/>
          <w:sz w:val="20"/>
          <w:szCs w:val="20"/>
        </w:rPr>
        <w:t xml:space="preserve"> shows trade openness climbing steadily after 1991, with GDP growth cycling through expansion and slowdown phases across the same period. Gross capital formation and FDI inflows both picked up during the post-liberalization decades, though neither as consistently as trade openness.</w:t>
      </w:r>
    </w:p>
    <w:p w14:paraId="2DF01E55" w14:textId="10DED357" w:rsidR="00923370" w:rsidRPr="0091313D" w:rsidRDefault="00923370"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424F6383" wp14:editId="0669C1B0">
            <wp:extent cx="5731510" cy="3806190"/>
            <wp:effectExtent l="19050" t="19050" r="21590" b="22860"/>
            <wp:docPr id="158108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40"/>
                    <a:stretch>
                      <a:fillRect/>
                    </a:stretch>
                  </pic:blipFill>
                  <pic:spPr bwMode="auto">
                    <a:xfrm>
                      <a:off x="0" y="0"/>
                      <a:ext cx="5731510" cy="38061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820E0A" w14:textId="0B4742F4" w:rsidR="00923370" w:rsidRPr="0091313D" w:rsidRDefault="00923370"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4</w:t>
      </w:r>
      <w:r w:rsidRPr="0091313D">
        <w:rPr>
          <w:rFonts w:ascii="Arial" w:hAnsi="Arial" w:cs="Arial"/>
          <w:b/>
          <w:bCs/>
          <w:sz w:val="20"/>
          <w:szCs w:val="20"/>
        </w:rPr>
        <w:t xml:space="preserve">. </w:t>
      </w:r>
      <w:r w:rsidR="00E8306F">
        <w:rPr>
          <w:rFonts w:ascii="Arial" w:hAnsi="Arial" w:cs="Arial"/>
          <w:b/>
          <w:bCs/>
          <w:sz w:val="20"/>
          <w:szCs w:val="20"/>
        </w:rPr>
        <w:t xml:space="preserve">: </w:t>
      </w:r>
      <w:r w:rsidRPr="0091313D">
        <w:rPr>
          <w:rFonts w:ascii="Arial" w:hAnsi="Arial" w:cs="Arial"/>
          <w:b/>
          <w:bCs/>
          <w:sz w:val="20"/>
          <w:szCs w:val="20"/>
        </w:rPr>
        <w:t>3- Year Rolling Mean Trends of Key Economic Variables (1975-2024)</w:t>
      </w:r>
    </w:p>
    <w:p w14:paraId="30B46C30" w14:textId="77777777" w:rsidR="00B16CEC" w:rsidRDefault="00B16CEC" w:rsidP="00EF4B44">
      <w:pPr>
        <w:spacing w:after="0" w:line="240" w:lineRule="auto"/>
        <w:jc w:val="both"/>
        <w:rPr>
          <w:rFonts w:ascii="Arial" w:hAnsi="Arial" w:cs="Arial"/>
          <w:sz w:val="20"/>
          <w:szCs w:val="20"/>
        </w:rPr>
      </w:pPr>
    </w:p>
    <w:p w14:paraId="76E486ED" w14:textId="40A5B8EE"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Figure </w:t>
      </w:r>
      <w:r w:rsidR="00D32AD6" w:rsidRPr="0091313D">
        <w:rPr>
          <w:rFonts w:ascii="Arial" w:hAnsi="Arial" w:cs="Arial"/>
          <w:sz w:val="20"/>
          <w:szCs w:val="20"/>
        </w:rPr>
        <w:t>5</w:t>
      </w:r>
      <w:r w:rsidRPr="0091313D">
        <w:rPr>
          <w:rFonts w:ascii="Arial" w:hAnsi="Arial" w:cs="Arial"/>
          <w:sz w:val="20"/>
          <w:szCs w:val="20"/>
        </w:rPr>
        <w:t xml:space="preserve"> tracks GDP growth volatility using a 5-year rolling standard deviation. Volatility spikes around the 1991 adjustment period, the 2008 Global Financial Crisis, and the COVID-19 shock, the three biggest external disruptions in the sample.</w:t>
      </w:r>
    </w:p>
    <w:p w14:paraId="5CB7465D" w14:textId="507902B3" w:rsidR="00923370" w:rsidRPr="0091313D" w:rsidRDefault="00923370"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31585E98" wp14:editId="6804E6F7">
            <wp:extent cx="5731510" cy="2712085"/>
            <wp:effectExtent l="19050" t="19050" r="21590" b="12065"/>
            <wp:docPr id="1698911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2">
                      <a:extLst>
                        <a:ext uri="{28A0092B-C50C-407E-A947-70E740481C1C}">
                          <a14:useLocalDpi xmlns:a14="http://schemas.microsoft.com/office/drawing/2010/main" val="0"/>
                        </a:ext>
                      </a:extLst>
                    </a:blip>
                    <a:srcRect t="4686"/>
                    <a:stretch>
                      <a:fillRect/>
                    </a:stretch>
                  </pic:blipFill>
                  <pic:spPr bwMode="auto">
                    <a:xfrm>
                      <a:off x="0" y="0"/>
                      <a:ext cx="5731510" cy="2712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FDE6E7" w14:textId="21DF59F2" w:rsidR="00923370" w:rsidRPr="0091313D" w:rsidRDefault="00923370"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5</w:t>
      </w:r>
      <w:r w:rsidRPr="0091313D">
        <w:rPr>
          <w:rFonts w:ascii="Arial" w:hAnsi="Arial" w:cs="Arial"/>
          <w:b/>
          <w:bCs/>
          <w:sz w:val="20"/>
          <w:szCs w:val="20"/>
        </w:rPr>
        <w:t>. India GDP Growth Volatility (5- Year Rolling Standard Deviation)</w:t>
      </w:r>
    </w:p>
    <w:p w14:paraId="6C588F26" w14:textId="77777777" w:rsidR="00B16CEC" w:rsidRDefault="00B16CEC" w:rsidP="00EF4B44">
      <w:pPr>
        <w:spacing w:after="0" w:line="240" w:lineRule="auto"/>
        <w:jc w:val="both"/>
        <w:rPr>
          <w:rFonts w:ascii="Arial" w:hAnsi="Arial" w:cs="Arial"/>
          <w:sz w:val="20"/>
          <w:szCs w:val="20"/>
        </w:rPr>
      </w:pPr>
    </w:p>
    <w:p w14:paraId="38193419" w14:textId="14A72C3B"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t>The two plots together separate short-run noise from longer-term structural movement. Sustained volatility tends to weigh on investment confidence; stable medium-term trends do the opposite. Both matter for how policymakers read the growth trajectory.</w:t>
      </w:r>
    </w:p>
    <w:p w14:paraId="39F0829E" w14:textId="17D63C02" w:rsidR="00923370" w:rsidRPr="0091313D" w:rsidRDefault="00923370" w:rsidP="00EF4B44">
      <w:pPr>
        <w:spacing w:after="0" w:line="240" w:lineRule="auto"/>
        <w:jc w:val="both"/>
        <w:rPr>
          <w:rFonts w:ascii="Arial" w:hAnsi="Arial" w:cs="Arial"/>
          <w:sz w:val="20"/>
          <w:szCs w:val="20"/>
        </w:rPr>
      </w:pPr>
    </w:p>
    <w:p w14:paraId="05E0B448" w14:textId="77777777" w:rsidR="00333EDD" w:rsidRPr="00174A53" w:rsidRDefault="00333EDD" w:rsidP="00EF4B44">
      <w:pPr>
        <w:spacing w:after="0" w:line="240" w:lineRule="auto"/>
        <w:jc w:val="both"/>
        <w:rPr>
          <w:rFonts w:ascii="Arial" w:hAnsi="Arial" w:cs="Arial"/>
          <w:b/>
          <w:bCs/>
        </w:rPr>
      </w:pPr>
      <w:r w:rsidRPr="00174A53">
        <w:rPr>
          <w:rFonts w:ascii="Arial" w:hAnsi="Arial" w:cs="Arial"/>
          <w:b/>
          <w:bCs/>
        </w:rPr>
        <w:t>4.2 Stationarity and Structural Break Analysis</w:t>
      </w:r>
    </w:p>
    <w:p w14:paraId="7F044483" w14:textId="77777777" w:rsidR="00174A53" w:rsidRDefault="00174A53" w:rsidP="00EF4B44">
      <w:pPr>
        <w:spacing w:after="0" w:line="240" w:lineRule="auto"/>
        <w:jc w:val="both"/>
        <w:rPr>
          <w:rFonts w:ascii="Arial" w:hAnsi="Arial" w:cs="Arial"/>
          <w:sz w:val="20"/>
          <w:szCs w:val="20"/>
        </w:rPr>
      </w:pPr>
    </w:p>
    <w:p w14:paraId="2FBE5DBE" w14:textId="6229F762" w:rsidR="0057030B" w:rsidRPr="0091313D" w:rsidRDefault="0057030B" w:rsidP="00EF4B44">
      <w:pPr>
        <w:spacing w:after="0" w:line="240" w:lineRule="auto"/>
        <w:jc w:val="both"/>
        <w:rPr>
          <w:rFonts w:ascii="Arial" w:hAnsi="Arial" w:cs="Arial"/>
          <w:sz w:val="20"/>
          <w:szCs w:val="20"/>
        </w:rPr>
      </w:pPr>
      <w:r w:rsidRPr="0091313D">
        <w:rPr>
          <w:rFonts w:ascii="Arial" w:hAnsi="Arial" w:cs="Arial"/>
          <w:sz w:val="20"/>
          <w:szCs w:val="20"/>
        </w:rPr>
        <w:t xml:space="preserve">Three-unit root tests were run such as ADF, Phillips-Perron, and KPSS. GDP growth and inflation are stationary at level; trade openness, exchange rate, FDI inflows, and gross capital formation are not, but become stationary after differencing. The results reported in Table </w:t>
      </w:r>
      <w:r w:rsidR="00D32AD6" w:rsidRPr="0091313D">
        <w:rPr>
          <w:rFonts w:ascii="Arial" w:hAnsi="Arial" w:cs="Arial"/>
          <w:sz w:val="20"/>
          <w:szCs w:val="20"/>
        </w:rPr>
        <w:t>4</w:t>
      </w:r>
      <w:r w:rsidRPr="0091313D">
        <w:rPr>
          <w:rFonts w:ascii="Arial" w:hAnsi="Arial" w:cs="Arial"/>
          <w:sz w:val="20"/>
          <w:szCs w:val="20"/>
        </w:rPr>
        <w:t>. No variable integrates at I(2), so ARDL and NARDL remain valid for the analysis.</w:t>
      </w:r>
    </w:p>
    <w:p w14:paraId="5A08FEC9" w14:textId="77777777" w:rsidR="00B16CEC" w:rsidRDefault="00B16CEC" w:rsidP="00EF4B44">
      <w:pPr>
        <w:spacing w:after="0" w:line="240" w:lineRule="auto"/>
        <w:jc w:val="center"/>
        <w:rPr>
          <w:rFonts w:ascii="Arial" w:hAnsi="Arial" w:cs="Arial"/>
          <w:b/>
          <w:bCs/>
          <w:sz w:val="20"/>
          <w:szCs w:val="20"/>
        </w:rPr>
      </w:pPr>
    </w:p>
    <w:p w14:paraId="27DF4BC8" w14:textId="1C789C18" w:rsidR="0057030B" w:rsidRPr="0091313D" w:rsidRDefault="0057030B" w:rsidP="00EF4B44">
      <w:pPr>
        <w:spacing w:after="0" w:line="240" w:lineRule="auto"/>
        <w:jc w:val="center"/>
        <w:rPr>
          <w:rFonts w:ascii="Arial" w:hAnsi="Arial" w:cs="Arial"/>
          <w:sz w:val="20"/>
          <w:szCs w:val="20"/>
        </w:rPr>
      </w:pPr>
      <w:r w:rsidRPr="0091313D">
        <w:rPr>
          <w:rFonts w:ascii="Arial" w:hAnsi="Arial" w:cs="Arial"/>
          <w:b/>
          <w:bCs/>
          <w:sz w:val="20"/>
          <w:szCs w:val="20"/>
        </w:rPr>
        <w:t xml:space="preserve">Table </w:t>
      </w:r>
      <w:r w:rsidR="00D32AD6" w:rsidRPr="0091313D">
        <w:rPr>
          <w:rFonts w:ascii="Arial" w:hAnsi="Arial" w:cs="Arial"/>
          <w:b/>
          <w:bCs/>
          <w:sz w:val="20"/>
          <w:szCs w:val="20"/>
        </w:rPr>
        <w:t>4</w:t>
      </w:r>
      <w:r w:rsidRPr="0091313D">
        <w:rPr>
          <w:rFonts w:ascii="Arial" w:hAnsi="Arial" w:cs="Arial"/>
          <w:b/>
          <w:bCs/>
          <w:sz w:val="20"/>
          <w:szCs w:val="20"/>
        </w:rPr>
        <w:t>. Summary of Unit Root Test Results</w:t>
      </w:r>
    </w:p>
    <w:tbl>
      <w:tblPr>
        <w:tblStyle w:val="TableGrid"/>
        <w:tblW w:w="0" w:type="auto"/>
        <w:jc w:val="center"/>
        <w:tblLook w:val="04A0" w:firstRow="1" w:lastRow="0" w:firstColumn="1" w:lastColumn="0" w:noHBand="0" w:noVBand="1"/>
      </w:tblPr>
      <w:tblGrid>
        <w:gridCol w:w="2342"/>
        <w:gridCol w:w="1536"/>
        <w:gridCol w:w="1536"/>
        <w:gridCol w:w="1536"/>
        <w:gridCol w:w="2066"/>
      </w:tblGrid>
      <w:tr w:rsidR="0057030B" w:rsidRPr="0091313D" w14:paraId="6BA9B57F" w14:textId="77777777" w:rsidTr="0057030B">
        <w:trPr>
          <w:jc w:val="center"/>
        </w:trPr>
        <w:tc>
          <w:tcPr>
            <w:tcW w:w="0" w:type="auto"/>
            <w:hideMark/>
          </w:tcPr>
          <w:p w14:paraId="3C6AF40D"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6E2159A2"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ADF</w:t>
            </w:r>
          </w:p>
        </w:tc>
        <w:tc>
          <w:tcPr>
            <w:tcW w:w="0" w:type="auto"/>
            <w:hideMark/>
          </w:tcPr>
          <w:p w14:paraId="10787D90"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PP</w:t>
            </w:r>
          </w:p>
        </w:tc>
        <w:tc>
          <w:tcPr>
            <w:tcW w:w="0" w:type="auto"/>
            <w:hideMark/>
          </w:tcPr>
          <w:p w14:paraId="7975AB64"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KPSS</w:t>
            </w:r>
          </w:p>
        </w:tc>
        <w:tc>
          <w:tcPr>
            <w:tcW w:w="0" w:type="auto"/>
            <w:hideMark/>
          </w:tcPr>
          <w:p w14:paraId="323D105E"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Order of Integration</w:t>
            </w:r>
          </w:p>
        </w:tc>
      </w:tr>
      <w:tr w:rsidR="0057030B" w:rsidRPr="0091313D" w14:paraId="33BDF111" w14:textId="77777777" w:rsidTr="0057030B">
        <w:trPr>
          <w:jc w:val="center"/>
        </w:trPr>
        <w:tc>
          <w:tcPr>
            <w:tcW w:w="0" w:type="auto"/>
            <w:hideMark/>
          </w:tcPr>
          <w:p w14:paraId="68A4B0A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GDP Growth</w:t>
            </w:r>
          </w:p>
        </w:tc>
        <w:tc>
          <w:tcPr>
            <w:tcW w:w="0" w:type="auto"/>
            <w:hideMark/>
          </w:tcPr>
          <w:p w14:paraId="111B2AF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5A4C86E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44DFE35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5C2287B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w:t>
            </w:r>
          </w:p>
        </w:tc>
      </w:tr>
      <w:tr w:rsidR="0057030B" w:rsidRPr="0091313D" w14:paraId="2BCCE28F" w14:textId="77777777" w:rsidTr="0057030B">
        <w:trPr>
          <w:jc w:val="center"/>
        </w:trPr>
        <w:tc>
          <w:tcPr>
            <w:tcW w:w="0" w:type="auto"/>
            <w:hideMark/>
          </w:tcPr>
          <w:p w14:paraId="18D5F4B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631ACF26"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1689D28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05D4F5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56B9AA7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043C5D6F" w14:textId="77777777" w:rsidTr="0057030B">
        <w:trPr>
          <w:jc w:val="center"/>
        </w:trPr>
        <w:tc>
          <w:tcPr>
            <w:tcW w:w="0" w:type="auto"/>
            <w:hideMark/>
          </w:tcPr>
          <w:p w14:paraId="6E1C4730"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Exchange Rate</w:t>
            </w:r>
          </w:p>
        </w:tc>
        <w:tc>
          <w:tcPr>
            <w:tcW w:w="0" w:type="auto"/>
            <w:hideMark/>
          </w:tcPr>
          <w:p w14:paraId="4DE3E1F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A609F5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27CE9C70"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C542C82"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15C99C65" w14:textId="77777777" w:rsidTr="0057030B">
        <w:trPr>
          <w:jc w:val="center"/>
        </w:trPr>
        <w:tc>
          <w:tcPr>
            <w:tcW w:w="0" w:type="auto"/>
            <w:hideMark/>
          </w:tcPr>
          <w:p w14:paraId="1AD9158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FDI Inflows</w:t>
            </w:r>
          </w:p>
        </w:tc>
        <w:tc>
          <w:tcPr>
            <w:tcW w:w="0" w:type="auto"/>
            <w:hideMark/>
          </w:tcPr>
          <w:p w14:paraId="151B002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7E2CA6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627B2476"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29329D4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77B6B487" w14:textId="77777777" w:rsidTr="0057030B">
        <w:trPr>
          <w:jc w:val="center"/>
        </w:trPr>
        <w:tc>
          <w:tcPr>
            <w:tcW w:w="0" w:type="auto"/>
            <w:hideMark/>
          </w:tcPr>
          <w:p w14:paraId="7281871C"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6E2934C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DD9CC6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67840BE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FC9470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3E1B814E" w14:textId="77777777" w:rsidTr="0057030B">
        <w:trPr>
          <w:jc w:val="center"/>
        </w:trPr>
        <w:tc>
          <w:tcPr>
            <w:tcW w:w="0" w:type="auto"/>
            <w:hideMark/>
          </w:tcPr>
          <w:p w14:paraId="373888D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0EE68C3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Mixed</w:t>
            </w:r>
          </w:p>
        </w:tc>
        <w:tc>
          <w:tcPr>
            <w:tcW w:w="0" w:type="auto"/>
            <w:hideMark/>
          </w:tcPr>
          <w:p w14:paraId="3D9E6B0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017CE33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2F251EC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I(0)/I(1)</w:t>
            </w:r>
          </w:p>
        </w:tc>
      </w:tr>
      <w:tr w:rsidR="0057030B" w:rsidRPr="0091313D" w14:paraId="678D8D0C" w14:textId="77777777" w:rsidTr="0057030B">
        <w:trPr>
          <w:jc w:val="center"/>
        </w:trPr>
        <w:tc>
          <w:tcPr>
            <w:tcW w:w="0" w:type="auto"/>
            <w:hideMark/>
          </w:tcPr>
          <w:p w14:paraId="403C62B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Inflation</w:t>
            </w:r>
          </w:p>
        </w:tc>
        <w:tc>
          <w:tcPr>
            <w:tcW w:w="0" w:type="auto"/>
            <w:hideMark/>
          </w:tcPr>
          <w:p w14:paraId="67A3F2AD"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17A1BBC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32AD8E7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473F6EE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w:t>
            </w:r>
          </w:p>
        </w:tc>
      </w:tr>
    </w:tbl>
    <w:p w14:paraId="4E3FD405" w14:textId="77777777" w:rsidR="0057030B" w:rsidRPr="0091313D" w:rsidRDefault="0057030B" w:rsidP="00EF4B44">
      <w:pPr>
        <w:spacing w:after="0" w:line="240" w:lineRule="auto"/>
        <w:jc w:val="both"/>
        <w:rPr>
          <w:rFonts w:ascii="Arial" w:hAnsi="Arial" w:cs="Arial"/>
          <w:sz w:val="20"/>
          <w:szCs w:val="20"/>
        </w:rPr>
      </w:pPr>
    </w:p>
    <w:p w14:paraId="077299A4" w14:textId="77777777" w:rsidR="0057030B" w:rsidRPr="0091313D" w:rsidRDefault="0057030B" w:rsidP="00EF4B44">
      <w:pPr>
        <w:spacing w:after="0" w:line="240" w:lineRule="auto"/>
        <w:jc w:val="both"/>
        <w:rPr>
          <w:rFonts w:ascii="Arial" w:hAnsi="Arial" w:cs="Arial"/>
          <w:sz w:val="20"/>
          <w:szCs w:val="20"/>
        </w:rPr>
      </w:pPr>
      <w:r w:rsidRPr="0091313D">
        <w:rPr>
          <w:rFonts w:ascii="Arial" w:hAnsi="Arial" w:cs="Arial"/>
          <w:sz w:val="20"/>
          <w:szCs w:val="20"/>
        </w:rPr>
        <w:t xml:space="preserve">Standard unit root tests can produce misleading results when structural breaks are present, so the </w:t>
      </w:r>
      <w:proofErr w:type="spellStart"/>
      <w:r w:rsidRPr="0091313D">
        <w:rPr>
          <w:rFonts w:ascii="Arial" w:hAnsi="Arial" w:cs="Arial"/>
          <w:sz w:val="20"/>
          <w:szCs w:val="20"/>
        </w:rPr>
        <w:t>Zivot</w:t>
      </w:r>
      <w:proofErr w:type="spellEnd"/>
      <w:r w:rsidRPr="0091313D">
        <w:rPr>
          <w:rFonts w:ascii="Arial" w:hAnsi="Arial" w:cs="Arial"/>
          <w:sz w:val="20"/>
          <w:szCs w:val="20"/>
        </w:rPr>
        <w:t>-Andrews test was run alongside them. The identified break points correspond to the 1991 reforms, the 2008 Global Financial Crisis, and the COVID-19 period- all plausible candidates given the scale of disruption each caused.</w:t>
      </w:r>
    </w:p>
    <w:p w14:paraId="65664388" w14:textId="23BE9160" w:rsidR="00333EDD" w:rsidRDefault="00333EDD"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D32AD6" w:rsidRPr="0091313D">
        <w:rPr>
          <w:rFonts w:ascii="Arial" w:hAnsi="Arial" w:cs="Arial"/>
          <w:sz w:val="20"/>
          <w:szCs w:val="20"/>
        </w:rPr>
        <w:t>5</w:t>
      </w:r>
      <w:r w:rsidRPr="0091313D">
        <w:rPr>
          <w:rFonts w:ascii="Arial" w:hAnsi="Arial" w:cs="Arial"/>
          <w:sz w:val="20"/>
          <w:szCs w:val="20"/>
        </w:rPr>
        <w:t xml:space="preserve"> reports the results</w:t>
      </w:r>
      <w:r w:rsidR="0057030B" w:rsidRPr="0091313D">
        <w:rPr>
          <w:rFonts w:ascii="Arial" w:hAnsi="Arial" w:cs="Arial"/>
          <w:sz w:val="20"/>
          <w:szCs w:val="20"/>
        </w:rPr>
        <w:t xml:space="preserve"> of </w:t>
      </w:r>
      <w:proofErr w:type="spellStart"/>
      <w:r w:rsidR="0057030B" w:rsidRPr="0091313D">
        <w:rPr>
          <w:rFonts w:ascii="Arial" w:hAnsi="Arial" w:cs="Arial"/>
          <w:sz w:val="20"/>
          <w:szCs w:val="20"/>
        </w:rPr>
        <w:t>Zivot</w:t>
      </w:r>
      <w:proofErr w:type="spellEnd"/>
      <w:r w:rsidR="0057030B" w:rsidRPr="0091313D">
        <w:rPr>
          <w:rFonts w:ascii="Arial" w:hAnsi="Arial" w:cs="Arial"/>
          <w:sz w:val="20"/>
          <w:szCs w:val="20"/>
        </w:rPr>
        <w:t>-Andrews test</w:t>
      </w:r>
      <w:r w:rsidRPr="0091313D">
        <w:rPr>
          <w:rFonts w:ascii="Arial" w:hAnsi="Arial" w:cs="Arial"/>
          <w:sz w:val="20"/>
          <w:szCs w:val="20"/>
        </w:rPr>
        <w:t>. The identified break points line up with recognizable events: the 1991 reforms, the 2008 Global Financial Crisis, and periods of domestic inflationary pressure.</w:t>
      </w:r>
    </w:p>
    <w:p w14:paraId="432062B0" w14:textId="77777777" w:rsidR="009A13AA" w:rsidRDefault="009A13AA" w:rsidP="00EF4B44">
      <w:pPr>
        <w:spacing w:after="0" w:line="240" w:lineRule="auto"/>
        <w:jc w:val="both"/>
        <w:rPr>
          <w:rFonts w:ascii="Arial" w:hAnsi="Arial" w:cs="Arial"/>
          <w:sz w:val="20"/>
          <w:szCs w:val="20"/>
        </w:rPr>
      </w:pPr>
    </w:p>
    <w:p w14:paraId="03C460B2" w14:textId="77777777" w:rsidR="009A13AA" w:rsidRPr="0091313D" w:rsidRDefault="009A13AA" w:rsidP="00EF4B44">
      <w:pPr>
        <w:spacing w:after="0" w:line="240" w:lineRule="auto"/>
        <w:jc w:val="both"/>
        <w:rPr>
          <w:rFonts w:ascii="Arial" w:hAnsi="Arial" w:cs="Arial"/>
          <w:sz w:val="20"/>
          <w:szCs w:val="20"/>
        </w:rPr>
      </w:pPr>
    </w:p>
    <w:p w14:paraId="089D3C80" w14:textId="77777777" w:rsidR="00B16CEC" w:rsidRDefault="00B16CEC" w:rsidP="00EF4B44">
      <w:pPr>
        <w:spacing w:after="0" w:line="240" w:lineRule="auto"/>
        <w:jc w:val="center"/>
        <w:rPr>
          <w:rFonts w:ascii="Arial" w:hAnsi="Arial" w:cs="Arial"/>
          <w:b/>
          <w:bCs/>
          <w:sz w:val="20"/>
          <w:szCs w:val="20"/>
        </w:rPr>
      </w:pPr>
    </w:p>
    <w:p w14:paraId="2D6FA16A" w14:textId="633F25E2" w:rsidR="00333EDD" w:rsidRPr="0091313D" w:rsidRDefault="00333EDD" w:rsidP="00EF4B44">
      <w:pPr>
        <w:spacing w:after="0" w:line="240" w:lineRule="auto"/>
        <w:jc w:val="center"/>
        <w:rPr>
          <w:rFonts w:ascii="Arial" w:hAnsi="Arial" w:cs="Arial"/>
          <w:sz w:val="20"/>
          <w:szCs w:val="20"/>
        </w:rPr>
      </w:pPr>
      <w:r w:rsidRPr="0091313D">
        <w:rPr>
          <w:rFonts w:ascii="Arial" w:hAnsi="Arial" w:cs="Arial"/>
          <w:b/>
          <w:bCs/>
          <w:sz w:val="20"/>
          <w:szCs w:val="20"/>
        </w:rPr>
        <w:lastRenderedPageBreak/>
        <w:t xml:space="preserve">Table </w:t>
      </w:r>
      <w:r w:rsidR="00D32AD6" w:rsidRPr="0091313D">
        <w:rPr>
          <w:rFonts w:ascii="Arial" w:hAnsi="Arial" w:cs="Arial"/>
          <w:b/>
          <w:bCs/>
          <w:sz w:val="20"/>
          <w:szCs w:val="20"/>
        </w:rPr>
        <w:t>5</w:t>
      </w:r>
      <w:r w:rsidR="00285F42" w:rsidRPr="0091313D">
        <w:rPr>
          <w:rFonts w:ascii="Arial" w:hAnsi="Arial" w:cs="Arial"/>
          <w:b/>
          <w:bCs/>
          <w:sz w:val="20"/>
          <w:szCs w:val="20"/>
        </w:rPr>
        <w:t>.</w:t>
      </w:r>
      <w:r w:rsidRPr="0091313D">
        <w:rPr>
          <w:rFonts w:ascii="Arial" w:hAnsi="Arial" w:cs="Arial"/>
          <w:b/>
          <w:bCs/>
          <w:sz w:val="20"/>
          <w:szCs w:val="20"/>
        </w:rPr>
        <w:t xml:space="preserve"> </w:t>
      </w:r>
      <w:proofErr w:type="spellStart"/>
      <w:r w:rsidRPr="0091313D">
        <w:rPr>
          <w:rFonts w:ascii="Arial" w:hAnsi="Arial" w:cs="Arial"/>
          <w:b/>
          <w:bCs/>
          <w:sz w:val="20"/>
          <w:szCs w:val="20"/>
        </w:rPr>
        <w:t>Zivot</w:t>
      </w:r>
      <w:proofErr w:type="spellEnd"/>
      <w:r w:rsidRPr="0091313D">
        <w:rPr>
          <w:rFonts w:ascii="Arial" w:hAnsi="Arial" w:cs="Arial"/>
          <w:b/>
          <w:bCs/>
          <w:sz w:val="20"/>
          <w:szCs w:val="20"/>
        </w:rPr>
        <w:t>-Andrews Structural Break Test Results</w:t>
      </w:r>
    </w:p>
    <w:tbl>
      <w:tblPr>
        <w:tblStyle w:val="TableGrid"/>
        <w:tblW w:w="0" w:type="auto"/>
        <w:jc w:val="center"/>
        <w:tblLook w:val="04A0" w:firstRow="1" w:lastRow="0" w:firstColumn="1" w:lastColumn="0" w:noHBand="0" w:noVBand="1"/>
      </w:tblPr>
      <w:tblGrid>
        <w:gridCol w:w="3462"/>
        <w:gridCol w:w="1247"/>
        <w:gridCol w:w="1309"/>
        <w:gridCol w:w="917"/>
        <w:gridCol w:w="2039"/>
      </w:tblGrid>
      <w:tr w:rsidR="00333EDD" w:rsidRPr="0091313D" w14:paraId="06B96992" w14:textId="77777777" w:rsidTr="00285F42">
        <w:trPr>
          <w:jc w:val="center"/>
        </w:trPr>
        <w:tc>
          <w:tcPr>
            <w:tcW w:w="0" w:type="auto"/>
            <w:hideMark/>
          </w:tcPr>
          <w:p w14:paraId="2E901861"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690415E8"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Break Year</w:t>
            </w:r>
          </w:p>
        </w:tc>
        <w:tc>
          <w:tcPr>
            <w:tcW w:w="0" w:type="auto"/>
            <w:hideMark/>
          </w:tcPr>
          <w:p w14:paraId="5CC948DC"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ZA Statistic</w:t>
            </w:r>
          </w:p>
        </w:tc>
        <w:tc>
          <w:tcPr>
            <w:tcW w:w="0" w:type="auto"/>
            <w:hideMark/>
          </w:tcPr>
          <w:p w14:paraId="30FD091F"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p-value</w:t>
            </w:r>
          </w:p>
        </w:tc>
        <w:tc>
          <w:tcPr>
            <w:tcW w:w="0" w:type="auto"/>
            <w:hideMark/>
          </w:tcPr>
          <w:p w14:paraId="7653C4FF"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Inference</w:t>
            </w:r>
          </w:p>
        </w:tc>
      </w:tr>
      <w:tr w:rsidR="00333EDD" w:rsidRPr="0091313D" w14:paraId="34DBEA6E" w14:textId="77777777" w:rsidTr="00285F42">
        <w:trPr>
          <w:jc w:val="center"/>
        </w:trPr>
        <w:tc>
          <w:tcPr>
            <w:tcW w:w="0" w:type="auto"/>
            <w:hideMark/>
          </w:tcPr>
          <w:p w14:paraId="1213AE2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India GDP Growth (%)</w:t>
            </w:r>
          </w:p>
        </w:tc>
        <w:tc>
          <w:tcPr>
            <w:tcW w:w="0" w:type="auto"/>
            <w:hideMark/>
          </w:tcPr>
          <w:p w14:paraId="180BE24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1991</w:t>
            </w:r>
          </w:p>
        </w:tc>
        <w:tc>
          <w:tcPr>
            <w:tcW w:w="0" w:type="auto"/>
            <w:hideMark/>
          </w:tcPr>
          <w:p w14:paraId="1AF4CA23"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-8.161</w:t>
            </w:r>
          </w:p>
        </w:tc>
        <w:tc>
          <w:tcPr>
            <w:tcW w:w="0" w:type="auto"/>
            <w:hideMark/>
          </w:tcPr>
          <w:p w14:paraId="3BFB5C5C"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0.000</w:t>
            </w:r>
          </w:p>
        </w:tc>
        <w:tc>
          <w:tcPr>
            <w:tcW w:w="0" w:type="auto"/>
            <w:hideMark/>
          </w:tcPr>
          <w:p w14:paraId="3512FF6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r w:rsidR="00333EDD" w:rsidRPr="0091313D" w14:paraId="49C0A705" w14:textId="77777777" w:rsidTr="00285F42">
        <w:trPr>
          <w:jc w:val="center"/>
        </w:trPr>
        <w:tc>
          <w:tcPr>
            <w:tcW w:w="0" w:type="auto"/>
            <w:hideMark/>
          </w:tcPr>
          <w:p w14:paraId="73BD4EA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407F74EC"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2015</w:t>
            </w:r>
          </w:p>
        </w:tc>
        <w:tc>
          <w:tcPr>
            <w:tcW w:w="0" w:type="auto"/>
            <w:hideMark/>
          </w:tcPr>
          <w:p w14:paraId="74B55F2B"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-2.897</w:t>
            </w:r>
          </w:p>
        </w:tc>
        <w:tc>
          <w:tcPr>
            <w:tcW w:w="0" w:type="auto"/>
            <w:hideMark/>
          </w:tcPr>
          <w:p w14:paraId="6D10E1D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0.936</w:t>
            </w:r>
          </w:p>
        </w:tc>
        <w:tc>
          <w:tcPr>
            <w:tcW w:w="0" w:type="auto"/>
            <w:hideMark/>
          </w:tcPr>
          <w:p w14:paraId="3BB5D53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7F531479" w14:textId="77777777" w:rsidTr="00285F42">
        <w:trPr>
          <w:jc w:val="center"/>
        </w:trPr>
        <w:tc>
          <w:tcPr>
            <w:tcW w:w="0" w:type="auto"/>
            <w:hideMark/>
          </w:tcPr>
          <w:p w14:paraId="7ED44C1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317745E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1997</w:t>
            </w:r>
          </w:p>
        </w:tc>
        <w:tc>
          <w:tcPr>
            <w:tcW w:w="0" w:type="auto"/>
            <w:hideMark/>
          </w:tcPr>
          <w:p w14:paraId="47C1700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-3.198</w:t>
            </w:r>
          </w:p>
        </w:tc>
        <w:tc>
          <w:tcPr>
            <w:tcW w:w="0" w:type="auto"/>
            <w:hideMark/>
          </w:tcPr>
          <w:p w14:paraId="62F3B6D3"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0.841</w:t>
            </w:r>
          </w:p>
        </w:tc>
        <w:tc>
          <w:tcPr>
            <w:tcW w:w="0" w:type="auto"/>
            <w:hideMark/>
          </w:tcPr>
          <w:p w14:paraId="3AB9A74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11F28DE4" w14:textId="77777777" w:rsidTr="00285F42">
        <w:trPr>
          <w:jc w:val="center"/>
        </w:trPr>
        <w:tc>
          <w:tcPr>
            <w:tcW w:w="0" w:type="auto"/>
            <w:hideMark/>
          </w:tcPr>
          <w:p w14:paraId="31456350"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4DFFC98E"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2013</w:t>
            </w:r>
          </w:p>
        </w:tc>
        <w:tc>
          <w:tcPr>
            <w:tcW w:w="0" w:type="auto"/>
            <w:hideMark/>
          </w:tcPr>
          <w:p w14:paraId="68E4301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-4.047</w:t>
            </w:r>
          </w:p>
        </w:tc>
        <w:tc>
          <w:tcPr>
            <w:tcW w:w="0" w:type="auto"/>
            <w:hideMark/>
          </w:tcPr>
          <w:p w14:paraId="1515C49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0.324</w:t>
            </w:r>
          </w:p>
        </w:tc>
        <w:tc>
          <w:tcPr>
            <w:tcW w:w="0" w:type="auto"/>
            <w:hideMark/>
          </w:tcPr>
          <w:p w14:paraId="7F238D5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73ED1C21" w14:textId="77777777" w:rsidTr="00285F42">
        <w:trPr>
          <w:jc w:val="center"/>
        </w:trPr>
        <w:tc>
          <w:tcPr>
            <w:tcW w:w="0" w:type="auto"/>
            <w:hideMark/>
          </w:tcPr>
          <w:p w14:paraId="213A0F5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World GDP Growth (%)</w:t>
            </w:r>
          </w:p>
        </w:tc>
        <w:tc>
          <w:tcPr>
            <w:tcW w:w="0" w:type="auto"/>
            <w:hideMark/>
          </w:tcPr>
          <w:p w14:paraId="4B6C2AB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1991</w:t>
            </w:r>
          </w:p>
        </w:tc>
        <w:tc>
          <w:tcPr>
            <w:tcW w:w="0" w:type="auto"/>
            <w:hideMark/>
          </w:tcPr>
          <w:p w14:paraId="0FAF96B6"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-7.594</w:t>
            </w:r>
          </w:p>
        </w:tc>
        <w:tc>
          <w:tcPr>
            <w:tcW w:w="0" w:type="auto"/>
            <w:hideMark/>
          </w:tcPr>
          <w:p w14:paraId="5E356AA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0.000</w:t>
            </w:r>
          </w:p>
        </w:tc>
        <w:tc>
          <w:tcPr>
            <w:tcW w:w="0" w:type="auto"/>
            <w:hideMark/>
          </w:tcPr>
          <w:p w14:paraId="42488A44"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r w:rsidR="00333EDD" w:rsidRPr="0091313D" w14:paraId="5644C75D" w14:textId="77777777" w:rsidTr="00285F42">
        <w:trPr>
          <w:jc w:val="center"/>
        </w:trPr>
        <w:tc>
          <w:tcPr>
            <w:tcW w:w="0" w:type="auto"/>
            <w:hideMark/>
          </w:tcPr>
          <w:p w14:paraId="6A5D1E7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Inflation (%)</w:t>
            </w:r>
          </w:p>
        </w:tc>
        <w:tc>
          <w:tcPr>
            <w:tcW w:w="0" w:type="auto"/>
            <w:hideMark/>
          </w:tcPr>
          <w:p w14:paraId="11678F0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1989</w:t>
            </w:r>
          </w:p>
        </w:tc>
        <w:tc>
          <w:tcPr>
            <w:tcW w:w="0" w:type="auto"/>
            <w:hideMark/>
          </w:tcPr>
          <w:p w14:paraId="4CE6F5C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-5.462</w:t>
            </w:r>
          </w:p>
        </w:tc>
        <w:tc>
          <w:tcPr>
            <w:tcW w:w="0" w:type="auto"/>
            <w:hideMark/>
          </w:tcPr>
          <w:p w14:paraId="536FC54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0.005</w:t>
            </w:r>
          </w:p>
        </w:tc>
        <w:tc>
          <w:tcPr>
            <w:tcW w:w="0" w:type="auto"/>
            <w:hideMark/>
          </w:tcPr>
          <w:p w14:paraId="01EF596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bl>
    <w:p w14:paraId="4F0C948F" w14:textId="77777777" w:rsidR="00B16CEC" w:rsidRDefault="00B16CEC" w:rsidP="00EF4B44">
      <w:pPr>
        <w:spacing w:after="0" w:line="240" w:lineRule="auto"/>
        <w:jc w:val="both"/>
        <w:rPr>
          <w:rFonts w:ascii="Arial" w:hAnsi="Arial" w:cs="Arial"/>
          <w:sz w:val="20"/>
          <w:szCs w:val="20"/>
        </w:rPr>
      </w:pPr>
    </w:p>
    <w:p w14:paraId="1F39AA86" w14:textId="1326B579" w:rsidR="00333EDD" w:rsidRPr="0091313D" w:rsidRDefault="00333EDD" w:rsidP="00EF4B44">
      <w:pPr>
        <w:spacing w:after="0" w:line="240" w:lineRule="auto"/>
        <w:jc w:val="both"/>
        <w:rPr>
          <w:rFonts w:ascii="Arial" w:hAnsi="Arial" w:cs="Arial"/>
          <w:sz w:val="20"/>
          <w:szCs w:val="20"/>
        </w:rPr>
      </w:pPr>
      <w:r w:rsidRPr="0091313D">
        <w:rPr>
          <w:rFonts w:ascii="Arial" w:hAnsi="Arial" w:cs="Arial"/>
          <w:sz w:val="20"/>
          <w:szCs w:val="20"/>
        </w:rPr>
        <w:t>GDP growth shows a sharp structural break in 1991 (ZA statistic = -8.161, p &lt; 0.01), consistent with the scale of the liberalization shock that year. World GDP growth and inflation are stationary around their own break points, reflecting the imprint of major global and domestic disruptions. Trade openness, FDI inflows, and gross capital formation, on the other hand, carry unit roots even after accounting for breaks</w:t>
      </w:r>
      <w:r w:rsidR="00285F42" w:rsidRPr="0091313D">
        <w:rPr>
          <w:rFonts w:ascii="Arial" w:hAnsi="Arial" w:cs="Arial"/>
          <w:sz w:val="20"/>
          <w:szCs w:val="20"/>
        </w:rPr>
        <w:t>,</w:t>
      </w:r>
      <w:r w:rsidRPr="0091313D">
        <w:rPr>
          <w:rFonts w:ascii="Arial" w:hAnsi="Arial" w:cs="Arial"/>
          <w:sz w:val="20"/>
          <w:szCs w:val="20"/>
        </w:rPr>
        <w:t xml:space="preserve"> they trend persistently rather than mean-revert.</w:t>
      </w:r>
    </w:p>
    <w:p w14:paraId="024FA2A9" w14:textId="77777777" w:rsidR="00333EDD" w:rsidRPr="0091313D" w:rsidRDefault="00333EDD" w:rsidP="00EF4B44">
      <w:pPr>
        <w:spacing w:after="0" w:line="240" w:lineRule="auto"/>
        <w:jc w:val="both"/>
        <w:rPr>
          <w:rFonts w:ascii="Arial" w:hAnsi="Arial" w:cs="Arial"/>
          <w:sz w:val="20"/>
          <w:szCs w:val="20"/>
        </w:rPr>
      </w:pPr>
      <w:r w:rsidRPr="0091313D">
        <w:rPr>
          <w:rFonts w:ascii="Arial" w:hAnsi="Arial" w:cs="Arial"/>
          <w:sz w:val="20"/>
          <w:szCs w:val="20"/>
        </w:rPr>
        <w:t>The combination of structural breaks and likely asymmetric adjustment is what makes NARDL the natural choice. A linear model would treat positive and negative shocks as mirror images; the data suggest they are not</w:t>
      </w:r>
    </w:p>
    <w:p w14:paraId="5587EFF7" w14:textId="7FEF553A" w:rsidR="002B5478" w:rsidRPr="0091313D" w:rsidRDefault="002B5478" w:rsidP="00EF4B44">
      <w:pPr>
        <w:spacing w:after="0" w:line="240" w:lineRule="auto"/>
        <w:jc w:val="both"/>
        <w:rPr>
          <w:rFonts w:ascii="Arial" w:hAnsi="Arial" w:cs="Arial"/>
          <w:sz w:val="20"/>
          <w:szCs w:val="20"/>
        </w:rPr>
      </w:pPr>
    </w:p>
    <w:p w14:paraId="2A85FED9" w14:textId="77777777" w:rsidR="00285F42" w:rsidRPr="0091313D" w:rsidRDefault="00285F42" w:rsidP="00EF4B44">
      <w:pPr>
        <w:spacing w:after="0" w:line="240" w:lineRule="auto"/>
        <w:jc w:val="both"/>
        <w:rPr>
          <w:rFonts w:ascii="Arial" w:hAnsi="Arial" w:cs="Arial"/>
          <w:sz w:val="20"/>
          <w:szCs w:val="20"/>
        </w:rPr>
      </w:pPr>
      <w:r w:rsidRPr="00B16CEC">
        <w:rPr>
          <w:rFonts w:ascii="Arial" w:hAnsi="Arial" w:cs="Arial"/>
          <w:b/>
          <w:bCs/>
        </w:rPr>
        <w:t>4.3 Linear and Nonlinear Cointegration Dynamics (ARDL and NARDL)</w:t>
      </w:r>
    </w:p>
    <w:p w14:paraId="52A76608" w14:textId="77777777" w:rsidR="00B16CEC" w:rsidRDefault="00B16CEC" w:rsidP="00EF4B44">
      <w:pPr>
        <w:spacing w:after="0" w:line="240" w:lineRule="auto"/>
        <w:jc w:val="both"/>
        <w:rPr>
          <w:rFonts w:ascii="Arial" w:hAnsi="Arial" w:cs="Arial"/>
          <w:sz w:val="20"/>
          <w:szCs w:val="20"/>
        </w:rPr>
      </w:pPr>
    </w:p>
    <w:p w14:paraId="718E819A" w14:textId="5D885811"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The ARDL framework examines the long-run and short-run relationship between trade openness and economic growth. Based on the Bayesian Information Criterion, the optimal specification is ARDL (0,0,0), with gross capital formation and world GDP growth as the significant explanatory variables.</w:t>
      </w:r>
    </w:p>
    <w:p w14:paraId="030EE8AF" w14:textId="75476CD6"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In the long run, world GDP growth has a positive and statistically significant effect on India's GDP growth (β = 0.657, p &lt; 0.05). Gross capital formation also contributes positively, though only at the 10% level. Global conditions, in other words, matter more for India’s growth than domestic investment, at least within this specification.</w:t>
      </w:r>
    </w:p>
    <w:p w14:paraId="6E013F3D" w14:textId="44C56E3D"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 xml:space="preserve">The Error Correction Model puts the ECT at -1.197 (p &lt; 0.01), negative and significant, which confirms a stable long-run relationship among the variables. </w:t>
      </w:r>
      <w:r w:rsidR="00634433" w:rsidRPr="0091313D">
        <w:rPr>
          <w:rFonts w:ascii="Arial" w:hAnsi="Arial" w:cs="Arial"/>
          <w:sz w:val="20"/>
          <w:szCs w:val="20"/>
        </w:rPr>
        <w:t>The magnitude above one suggests rapid adjustment toward equilibrium, though with some degree of short-run overshooting before stabilization.</w:t>
      </w:r>
      <w:r w:rsidRPr="0091313D">
        <w:rPr>
          <w:rFonts w:ascii="Arial" w:hAnsi="Arial" w:cs="Arial"/>
          <w:sz w:val="20"/>
          <w:szCs w:val="20"/>
        </w:rPr>
        <w:t xml:space="preserve"> That is fast, and suggests the economy overshoots somewhat before settling back toward equilibrium.</w:t>
      </w:r>
    </w:p>
    <w:p w14:paraId="40E3F3CF" w14:textId="1D171405"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Short-run dynamics tell a different story. World GDP growth drives India’s growth in the short run as well, but trade openness and FDI both show weak or negative short-run coefficients. This is not unusual: greater external integration can initially increase import dependence and exposure to external shocks, with growth benefits arriving later if at all.</w:t>
      </w:r>
    </w:p>
    <w:p w14:paraId="075C609A" w14:textId="5E867620"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 xml:space="preserve">To test for asymmetry, trade openness was decomposed into positive and negative partial sums and re-estimated as a NARDL model. </w:t>
      </w:r>
      <w:r w:rsidR="009E48E5" w:rsidRPr="009E48E5">
        <w:rPr>
          <w:rFonts w:ascii="Arial" w:hAnsi="Arial" w:cs="Arial"/>
          <w:sz w:val="20"/>
          <w:szCs w:val="20"/>
        </w:rPr>
        <w:t xml:space="preserve">To formally assess asymmetry, a Wald test was conducted under the null hypothesis that the cumulative effects of positive and negative trade shocks are equal. The test statistic (χ² = 0.417, p = 0.522) fails to reject the null at conventional significance levels. So even though the estimated coefficients differ in sign and magnitude, the short-run effects of positive and negative trade openness shocks on GDP growth are not statistically distinguishable. </w:t>
      </w:r>
      <w:r w:rsidRPr="0091313D">
        <w:rPr>
          <w:rFonts w:ascii="Arial" w:hAnsi="Arial" w:cs="Arial"/>
          <w:sz w:val="20"/>
          <w:szCs w:val="20"/>
        </w:rPr>
        <w:t xml:space="preserve">The results are </w:t>
      </w:r>
      <w:r w:rsidR="002E08B8" w:rsidRPr="0091313D">
        <w:rPr>
          <w:rFonts w:ascii="Arial" w:hAnsi="Arial" w:cs="Arial"/>
          <w:sz w:val="20"/>
          <w:szCs w:val="20"/>
        </w:rPr>
        <w:t>reported in Table 7</w:t>
      </w:r>
      <w:r w:rsidRPr="0091313D">
        <w:rPr>
          <w:rFonts w:ascii="Arial" w:hAnsi="Arial" w:cs="Arial"/>
          <w:sz w:val="20"/>
          <w:szCs w:val="20"/>
        </w:rPr>
        <w:t>. Positive trade shocks increase in openness and produce weak positive effects on growth. Negative shocks produce stronger adverse effects.</w:t>
      </w:r>
      <w:r w:rsidR="00B312AE" w:rsidRPr="00B312AE">
        <w:t xml:space="preserve"> </w:t>
      </w:r>
      <w:r w:rsidR="00B312AE" w:rsidRPr="00B312AE">
        <w:rPr>
          <w:rFonts w:ascii="Arial" w:hAnsi="Arial" w:cs="Arial"/>
          <w:sz w:val="20"/>
          <w:szCs w:val="20"/>
        </w:rPr>
        <w:t>Although the coefficients of positive and negative trade shocks differ in sign and magnitude, they are not statistically significant.</w:t>
      </w:r>
      <w:r w:rsidRPr="0091313D">
        <w:rPr>
          <w:rFonts w:ascii="Arial" w:hAnsi="Arial" w:cs="Arial"/>
          <w:sz w:val="20"/>
          <w:szCs w:val="20"/>
        </w:rPr>
        <w:t xml:space="preserve"> A reduction in trade openness, in other words, does more damage than an equivalent expansion does good. Table </w:t>
      </w:r>
      <w:r w:rsidR="00D32AD6" w:rsidRPr="0091313D">
        <w:rPr>
          <w:rFonts w:ascii="Arial" w:hAnsi="Arial" w:cs="Arial"/>
          <w:sz w:val="20"/>
          <w:szCs w:val="20"/>
        </w:rPr>
        <w:t>6</w:t>
      </w:r>
      <w:r w:rsidRPr="0091313D">
        <w:rPr>
          <w:rFonts w:ascii="Arial" w:hAnsi="Arial" w:cs="Arial"/>
          <w:sz w:val="20"/>
          <w:szCs w:val="20"/>
        </w:rPr>
        <w:t xml:space="preserve"> reports the full ARDL and ECM estimates.</w:t>
      </w:r>
    </w:p>
    <w:p w14:paraId="54B745C2" w14:textId="77777777" w:rsidR="00B16CEC" w:rsidRDefault="00B16CEC" w:rsidP="00EF4B44">
      <w:pPr>
        <w:spacing w:after="0" w:line="240" w:lineRule="auto"/>
        <w:jc w:val="center"/>
        <w:rPr>
          <w:rFonts w:ascii="Arial" w:hAnsi="Arial" w:cs="Arial"/>
          <w:b/>
          <w:bCs/>
          <w:sz w:val="20"/>
          <w:szCs w:val="20"/>
        </w:rPr>
      </w:pPr>
    </w:p>
    <w:p w14:paraId="6169A7C4" w14:textId="30AC153B" w:rsidR="00285F42" w:rsidRPr="0091313D" w:rsidRDefault="00285F42"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D32AD6" w:rsidRPr="0091313D">
        <w:rPr>
          <w:rFonts w:ascii="Arial" w:hAnsi="Arial" w:cs="Arial"/>
          <w:b/>
          <w:bCs/>
          <w:sz w:val="20"/>
          <w:szCs w:val="20"/>
        </w:rPr>
        <w:t>6</w:t>
      </w:r>
      <w:r w:rsidRPr="0091313D">
        <w:rPr>
          <w:rFonts w:ascii="Arial" w:hAnsi="Arial" w:cs="Arial"/>
          <w:b/>
          <w:bCs/>
          <w:sz w:val="20"/>
          <w:szCs w:val="20"/>
        </w:rPr>
        <w:t>. ARDL and ECM Estimation Results</w:t>
      </w:r>
    </w:p>
    <w:tbl>
      <w:tblPr>
        <w:tblStyle w:val="TableGrid"/>
        <w:tblW w:w="0" w:type="auto"/>
        <w:jc w:val="center"/>
        <w:tblLook w:val="04A0" w:firstRow="1" w:lastRow="0" w:firstColumn="1" w:lastColumn="0" w:noHBand="0" w:noVBand="1"/>
      </w:tblPr>
      <w:tblGrid>
        <w:gridCol w:w="1327"/>
        <w:gridCol w:w="2724"/>
        <w:gridCol w:w="1250"/>
        <w:gridCol w:w="917"/>
      </w:tblGrid>
      <w:tr w:rsidR="00285F42" w:rsidRPr="0091313D" w14:paraId="1B82D57A" w14:textId="77777777" w:rsidTr="00285F42">
        <w:trPr>
          <w:jc w:val="center"/>
        </w:trPr>
        <w:tc>
          <w:tcPr>
            <w:tcW w:w="0" w:type="auto"/>
            <w:hideMark/>
          </w:tcPr>
          <w:p w14:paraId="2D55F953"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Component</w:t>
            </w:r>
          </w:p>
        </w:tc>
        <w:tc>
          <w:tcPr>
            <w:tcW w:w="0" w:type="auto"/>
            <w:hideMark/>
          </w:tcPr>
          <w:p w14:paraId="564AA6F0"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08F33176"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Coefficient</w:t>
            </w:r>
          </w:p>
        </w:tc>
        <w:tc>
          <w:tcPr>
            <w:tcW w:w="0" w:type="auto"/>
            <w:hideMark/>
          </w:tcPr>
          <w:p w14:paraId="74BD4166"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p-value</w:t>
            </w:r>
          </w:p>
        </w:tc>
      </w:tr>
      <w:tr w:rsidR="00285F42" w:rsidRPr="0091313D" w14:paraId="66A5E46E" w14:textId="77777777" w:rsidTr="00285F42">
        <w:trPr>
          <w:jc w:val="center"/>
        </w:trPr>
        <w:tc>
          <w:tcPr>
            <w:tcW w:w="0" w:type="auto"/>
            <w:hideMark/>
          </w:tcPr>
          <w:p w14:paraId="054460B2"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Long-run</w:t>
            </w:r>
          </w:p>
        </w:tc>
        <w:tc>
          <w:tcPr>
            <w:tcW w:w="0" w:type="auto"/>
            <w:hideMark/>
          </w:tcPr>
          <w:p w14:paraId="2B3E490F"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0F85875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0.1302</w:t>
            </w:r>
          </w:p>
        </w:tc>
        <w:tc>
          <w:tcPr>
            <w:tcW w:w="0" w:type="auto"/>
            <w:hideMark/>
          </w:tcPr>
          <w:p w14:paraId="10A6B622"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0.061</w:t>
            </w:r>
          </w:p>
        </w:tc>
      </w:tr>
      <w:tr w:rsidR="00285F42" w:rsidRPr="0091313D" w14:paraId="22025883" w14:textId="77777777" w:rsidTr="00285F42">
        <w:trPr>
          <w:jc w:val="center"/>
        </w:trPr>
        <w:tc>
          <w:tcPr>
            <w:tcW w:w="0" w:type="auto"/>
            <w:hideMark/>
          </w:tcPr>
          <w:p w14:paraId="0539450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Long-run</w:t>
            </w:r>
          </w:p>
        </w:tc>
        <w:tc>
          <w:tcPr>
            <w:tcW w:w="0" w:type="auto"/>
            <w:hideMark/>
          </w:tcPr>
          <w:p w14:paraId="0118E03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325DDE25"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0.6574</w:t>
            </w:r>
          </w:p>
        </w:tc>
        <w:tc>
          <w:tcPr>
            <w:tcW w:w="0" w:type="auto"/>
            <w:hideMark/>
          </w:tcPr>
          <w:p w14:paraId="561FEE35"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0.015</w:t>
            </w:r>
          </w:p>
        </w:tc>
      </w:tr>
      <w:tr w:rsidR="00285F42" w:rsidRPr="0091313D" w14:paraId="351418CD" w14:textId="77777777" w:rsidTr="00285F42">
        <w:trPr>
          <w:jc w:val="center"/>
        </w:trPr>
        <w:tc>
          <w:tcPr>
            <w:tcW w:w="0" w:type="auto"/>
            <w:hideMark/>
          </w:tcPr>
          <w:p w14:paraId="4F0A4EF0"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ECM</w:t>
            </w:r>
          </w:p>
        </w:tc>
        <w:tc>
          <w:tcPr>
            <w:tcW w:w="0" w:type="auto"/>
            <w:hideMark/>
          </w:tcPr>
          <w:p w14:paraId="5983339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Error Correction Term (ECT)</w:t>
            </w:r>
          </w:p>
        </w:tc>
        <w:tc>
          <w:tcPr>
            <w:tcW w:w="0" w:type="auto"/>
            <w:hideMark/>
          </w:tcPr>
          <w:p w14:paraId="195FF37E"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−1.1972</w:t>
            </w:r>
          </w:p>
        </w:tc>
        <w:tc>
          <w:tcPr>
            <w:tcW w:w="0" w:type="auto"/>
            <w:hideMark/>
          </w:tcPr>
          <w:p w14:paraId="110CDA0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0.000</w:t>
            </w:r>
          </w:p>
        </w:tc>
      </w:tr>
      <w:tr w:rsidR="00285F42" w:rsidRPr="0091313D" w14:paraId="49DA05DD" w14:textId="77777777" w:rsidTr="00285F42">
        <w:trPr>
          <w:jc w:val="center"/>
        </w:trPr>
        <w:tc>
          <w:tcPr>
            <w:tcW w:w="0" w:type="auto"/>
            <w:hideMark/>
          </w:tcPr>
          <w:p w14:paraId="5F085267"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5D4E22C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Trade Openness</w:t>
            </w:r>
          </w:p>
        </w:tc>
        <w:tc>
          <w:tcPr>
            <w:tcW w:w="0" w:type="auto"/>
            <w:hideMark/>
          </w:tcPr>
          <w:p w14:paraId="1998A1E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−0.2012</w:t>
            </w:r>
          </w:p>
        </w:tc>
        <w:tc>
          <w:tcPr>
            <w:tcW w:w="0" w:type="auto"/>
            <w:hideMark/>
          </w:tcPr>
          <w:p w14:paraId="0F87051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0.146</w:t>
            </w:r>
          </w:p>
        </w:tc>
      </w:tr>
      <w:tr w:rsidR="00285F42" w:rsidRPr="0091313D" w14:paraId="5F746115" w14:textId="77777777" w:rsidTr="00285F42">
        <w:trPr>
          <w:jc w:val="center"/>
        </w:trPr>
        <w:tc>
          <w:tcPr>
            <w:tcW w:w="0" w:type="auto"/>
            <w:hideMark/>
          </w:tcPr>
          <w:p w14:paraId="4C1FBAF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78545ABC"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FDI</w:t>
            </w:r>
          </w:p>
        </w:tc>
        <w:tc>
          <w:tcPr>
            <w:tcW w:w="0" w:type="auto"/>
            <w:hideMark/>
          </w:tcPr>
          <w:p w14:paraId="5729E9A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−1.5519</w:t>
            </w:r>
          </w:p>
        </w:tc>
        <w:tc>
          <w:tcPr>
            <w:tcW w:w="0" w:type="auto"/>
            <w:hideMark/>
          </w:tcPr>
          <w:p w14:paraId="7DF5F2E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0.129</w:t>
            </w:r>
          </w:p>
        </w:tc>
      </w:tr>
      <w:tr w:rsidR="00285F42" w:rsidRPr="0091313D" w14:paraId="696A422F" w14:textId="77777777" w:rsidTr="00285F42">
        <w:trPr>
          <w:jc w:val="center"/>
        </w:trPr>
        <w:tc>
          <w:tcPr>
            <w:tcW w:w="0" w:type="auto"/>
            <w:hideMark/>
          </w:tcPr>
          <w:p w14:paraId="0EBD4277"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0DAB8EEC"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World GDP Growth</w:t>
            </w:r>
          </w:p>
        </w:tc>
        <w:tc>
          <w:tcPr>
            <w:tcW w:w="0" w:type="auto"/>
            <w:hideMark/>
          </w:tcPr>
          <w:p w14:paraId="0996B659"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0.8146</w:t>
            </w:r>
          </w:p>
        </w:tc>
        <w:tc>
          <w:tcPr>
            <w:tcW w:w="0" w:type="auto"/>
            <w:hideMark/>
          </w:tcPr>
          <w:p w14:paraId="75DE3A2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0.001</w:t>
            </w:r>
          </w:p>
        </w:tc>
      </w:tr>
      <w:tr w:rsidR="00285F42" w:rsidRPr="0091313D" w14:paraId="22E4D8AC" w14:textId="77777777" w:rsidTr="00285F42">
        <w:trPr>
          <w:jc w:val="center"/>
        </w:trPr>
        <w:tc>
          <w:tcPr>
            <w:tcW w:w="0" w:type="auto"/>
            <w:hideMark/>
          </w:tcPr>
          <w:p w14:paraId="2C79F8B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5E465C3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Inflation</w:t>
            </w:r>
          </w:p>
        </w:tc>
        <w:tc>
          <w:tcPr>
            <w:tcW w:w="0" w:type="auto"/>
            <w:hideMark/>
          </w:tcPr>
          <w:p w14:paraId="4C4B9EF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0.1329</w:t>
            </w:r>
          </w:p>
        </w:tc>
        <w:tc>
          <w:tcPr>
            <w:tcW w:w="0" w:type="auto"/>
            <w:hideMark/>
          </w:tcPr>
          <w:p w14:paraId="0C1F2BE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0.182</w:t>
            </w:r>
          </w:p>
        </w:tc>
      </w:tr>
      <w:tr w:rsidR="00285F42" w:rsidRPr="0091313D" w14:paraId="4EE3E079" w14:textId="77777777" w:rsidTr="00285F42">
        <w:trPr>
          <w:jc w:val="center"/>
        </w:trPr>
        <w:tc>
          <w:tcPr>
            <w:tcW w:w="0" w:type="auto"/>
            <w:hideMark/>
          </w:tcPr>
          <w:p w14:paraId="4059137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344C223B"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Exchange Rate</w:t>
            </w:r>
          </w:p>
        </w:tc>
        <w:tc>
          <w:tcPr>
            <w:tcW w:w="0" w:type="auto"/>
            <w:hideMark/>
          </w:tcPr>
          <w:p w14:paraId="67CA0A2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−0.0920</w:t>
            </w:r>
          </w:p>
        </w:tc>
        <w:tc>
          <w:tcPr>
            <w:tcW w:w="0" w:type="auto"/>
            <w:hideMark/>
          </w:tcPr>
          <w:p w14:paraId="4CF4300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0.642</w:t>
            </w:r>
          </w:p>
        </w:tc>
      </w:tr>
    </w:tbl>
    <w:p w14:paraId="2953A2A4" w14:textId="77777777" w:rsidR="00940895" w:rsidRPr="0091313D" w:rsidRDefault="00940895" w:rsidP="00EF4B44">
      <w:pPr>
        <w:spacing w:after="0" w:line="240" w:lineRule="auto"/>
        <w:jc w:val="both"/>
        <w:rPr>
          <w:rFonts w:ascii="Arial" w:hAnsi="Arial" w:cs="Arial"/>
          <w:sz w:val="20"/>
          <w:szCs w:val="20"/>
        </w:rPr>
      </w:pPr>
    </w:p>
    <w:p w14:paraId="16F28DD7" w14:textId="79E6CC3E" w:rsidR="00940895" w:rsidRPr="0091313D" w:rsidRDefault="00940895"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Figure </w:t>
      </w:r>
      <w:r w:rsidR="00D32AD6" w:rsidRPr="0091313D">
        <w:rPr>
          <w:rFonts w:ascii="Arial" w:hAnsi="Arial" w:cs="Arial"/>
          <w:sz w:val="20"/>
          <w:szCs w:val="20"/>
        </w:rPr>
        <w:t>6</w:t>
      </w:r>
      <w:r w:rsidRPr="0091313D">
        <w:rPr>
          <w:rFonts w:ascii="Arial" w:hAnsi="Arial" w:cs="Arial"/>
          <w:sz w:val="20"/>
          <w:szCs w:val="20"/>
        </w:rPr>
        <w:t xml:space="preserve"> plots actual against fitted GDP growth from the ARDL model. The fitted series tracks the overall trajectory well, but visibly struggles around major crisis periods </w:t>
      </w:r>
      <w:r w:rsidR="0057030B" w:rsidRPr="0091313D">
        <w:rPr>
          <w:rFonts w:ascii="Arial" w:hAnsi="Arial" w:cs="Arial"/>
          <w:sz w:val="20"/>
          <w:szCs w:val="20"/>
        </w:rPr>
        <w:t>-</w:t>
      </w:r>
      <w:r w:rsidRPr="0091313D">
        <w:rPr>
          <w:rFonts w:ascii="Arial" w:hAnsi="Arial" w:cs="Arial"/>
          <w:sz w:val="20"/>
          <w:szCs w:val="20"/>
        </w:rPr>
        <w:t xml:space="preserve"> the gaps are largest precisely where shocks were sharpest. That pattern points to nonlinear and asymmetric dynamics that a linear model cannot fully absorb, which is the practical case for moving to NARDL.</w:t>
      </w:r>
    </w:p>
    <w:p w14:paraId="01CCC019" w14:textId="77777777" w:rsidR="00B16CEC" w:rsidRDefault="00B16CEC" w:rsidP="00EF4B44">
      <w:pPr>
        <w:spacing w:after="0" w:line="240" w:lineRule="auto"/>
        <w:jc w:val="both"/>
        <w:rPr>
          <w:rFonts w:ascii="Arial" w:hAnsi="Arial" w:cs="Arial"/>
          <w:b/>
          <w:bCs/>
          <w:sz w:val="20"/>
          <w:szCs w:val="20"/>
        </w:rPr>
      </w:pPr>
    </w:p>
    <w:p w14:paraId="45C24AC5" w14:textId="15FC0EB4" w:rsidR="00B60128" w:rsidRPr="0091313D" w:rsidRDefault="00B60128" w:rsidP="00EF4B44">
      <w:pPr>
        <w:spacing w:after="0" w:line="240" w:lineRule="auto"/>
        <w:jc w:val="both"/>
        <w:rPr>
          <w:rFonts w:ascii="Arial" w:hAnsi="Arial" w:cs="Arial"/>
          <w:b/>
          <w:bCs/>
          <w:sz w:val="20"/>
          <w:szCs w:val="20"/>
        </w:rPr>
      </w:pPr>
      <w:r w:rsidRPr="0091313D">
        <w:rPr>
          <w:rFonts w:ascii="Arial" w:hAnsi="Arial" w:cs="Arial"/>
          <w:b/>
          <w:bCs/>
          <w:sz w:val="20"/>
          <w:szCs w:val="20"/>
        </w:rPr>
        <w:t>Table 7. NARDL Estimation Results: Asymmetric Effects of Trade Openness on GDP Growth</w:t>
      </w:r>
    </w:p>
    <w:tbl>
      <w:tblPr>
        <w:tblStyle w:val="TableGrid"/>
        <w:tblW w:w="0" w:type="auto"/>
        <w:jc w:val="center"/>
        <w:tblLook w:val="04A0" w:firstRow="1" w:lastRow="0" w:firstColumn="1" w:lastColumn="0" w:noHBand="0" w:noVBand="1"/>
      </w:tblPr>
      <w:tblGrid>
        <w:gridCol w:w="3040"/>
        <w:gridCol w:w="1250"/>
        <w:gridCol w:w="1139"/>
        <w:gridCol w:w="1128"/>
        <w:gridCol w:w="917"/>
      </w:tblGrid>
      <w:tr w:rsidR="00B60128" w:rsidRPr="0091313D" w14:paraId="51263934" w14:textId="77777777" w:rsidTr="00B60128">
        <w:trPr>
          <w:jc w:val="center"/>
        </w:trPr>
        <w:tc>
          <w:tcPr>
            <w:tcW w:w="0" w:type="auto"/>
            <w:hideMark/>
          </w:tcPr>
          <w:p w14:paraId="49BB4D8B"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319AAF81"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Coefficient</w:t>
            </w:r>
          </w:p>
        </w:tc>
        <w:tc>
          <w:tcPr>
            <w:tcW w:w="0" w:type="auto"/>
            <w:hideMark/>
          </w:tcPr>
          <w:p w14:paraId="164BB1D2"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Std. Error</w:t>
            </w:r>
          </w:p>
        </w:tc>
        <w:tc>
          <w:tcPr>
            <w:tcW w:w="0" w:type="auto"/>
            <w:hideMark/>
          </w:tcPr>
          <w:p w14:paraId="70F1837A"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t-Statistic</w:t>
            </w:r>
          </w:p>
        </w:tc>
        <w:tc>
          <w:tcPr>
            <w:tcW w:w="0" w:type="auto"/>
            <w:hideMark/>
          </w:tcPr>
          <w:p w14:paraId="7C4DD661"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p-value</w:t>
            </w:r>
          </w:p>
        </w:tc>
      </w:tr>
      <w:tr w:rsidR="00B60128" w:rsidRPr="0091313D" w14:paraId="3999C19A" w14:textId="77777777" w:rsidTr="00B60128">
        <w:trPr>
          <w:jc w:val="center"/>
        </w:trPr>
        <w:tc>
          <w:tcPr>
            <w:tcW w:w="0" w:type="auto"/>
            <w:hideMark/>
          </w:tcPr>
          <w:p w14:paraId="426D645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Constant</w:t>
            </w:r>
          </w:p>
        </w:tc>
        <w:tc>
          <w:tcPr>
            <w:tcW w:w="0" w:type="auto"/>
            <w:hideMark/>
          </w:tcPr>
          <w:p w14:paraId="79B05A3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2.3711</w:t>
            </w:r>
          </w:p>
        </w:tc>
        <w:tc>
          <w:tcPr>
            <w:tcW w:w="0" w:type="auto"/>
            <w:hideMark/>
          </w:tcPr>
          <w:p w14:paraId="7D82CC2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5.762</w:t>
            </w:r>
          </w:p>
        </w:tc>
        <w:tc>
          <w:tcPr>
            <w:tcW w:w="0" w:type="auto"/>
            <w:hideMark/>
          </w:tcPr>
          <w:p w14:paraId="1DDF911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0.412</w:t>
            </w:r>
          </w:p>
        </w:tc>
        <w:tc>
          <w:tcPr>
            <w:tcW w:w="0" w:type="auto"/>
            <w:hideMark/>
          </w:tcPr>
          <w:p w14:paraId="24CF23B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0.683</w:t>
            </w:r>
          </w:p>
        </w:tc>
      </w:tr>
      <w:tr w:rsidR="00B60128" w:rsidRPr="0091313D" w14:paraId="2DAF2A3A" w14:textId="77777777" w:rsidTr="00B60128">
        <w:trPr>
          <w:jc w:val="center"/>
        </w:trPr>
        <w:tc>
          <w:tcPr>
            <w:tcW w:w="0" w:type="auto"/>
            <w:hideMark/>
          </w:tcPr>
          <w:p w14:paraId="5AA50B88"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GDP Growth (-1)</w:t>
            </w:r>
          </w:p>
        </w:tc>
        <w:tc>
          <w:tcPr>
            <w:tcW w:w="0" w:type="auto"/>
            <w:hideMark/>
          </w:tcPr>
          <w:p w14:paraId="08B85167"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-0.0468</w:t>
            </w:r>
          </w:p>
        </w:tc>
        <w:tc>
          <w:tcPr>
            <w:tcW w:w="0" w:type="auto"/>
            <w:hideMark/>
          </w:tcPr>
          <w:p w14:paraId="22178C9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0.167</w:t>
            </w:r>
          </w:p>
        </w:tc>
        <w:tc>
          <w:tcPr>
            <w:tcW w:w="0" w:type="auto"/>
            <w:hideMark/>
          </w:tcPr>
          <w:p w14:paraId="7C799B8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-0.281</w:t>
            </w:r>
          </w:p>
        </w:tc>
        <w:tc>
          <w:tcPr>
            <w:tcW w:w="0" w:type="auto"/>
            <w:hideMark/>
          </w:tcPr>
          <w:p w14:paraId="6051657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0.780</w:t>
            </w:r>
          </w:p>
        </w:tc>
      </w:tr>
      <w:tr w:rsidR="00B60128" w:rsidRPr="0091313D" w14:paraId="39F42ABB" w14:textId="77777777" w:rsidTr="00B60128">
        <w:trPr>
          <w:jc w:val="center"/>
        </w:trPr>
        <w:tc>
          <w:tcPr>
            <w:tcW w:w="0" w:type="auto"/>
            <w:hideMark/>
          </w:tcPr>
          <w:p w14:paraId="33F3C74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Positive Trade Shock (TO</w:t>
            </w:r>
            <w:r w:rsidRPr="0091313D">
              <w:rPr>
                <w:rFonts w:ascii="Cambria Math" w:hAnsi="Cambria Math" w:cs="Cambria Math"/>
                <w:sz w:val="20"/>
                <w:szCs w:val="20"/>
              </w:rPr>
              <w:t>⁺</w:t>
            </w:r>
            <w:r w:rsidRPr="0091313D">
              <w:rPr>
                <w:rFonts w:ascii="Arial" w:hAnsi="Arial" w:cs="Arial"/>
                <w:sz w:val="20"/>
                <w:szCs w:val="20"/>
              </w:rPr>
              <w:t>)</w:t>
            </w:r>
          </w:p>
        </w:tc>
        <w:tc>
          <w:tcPr>
            <w:tcW w:w="0" w:type="auto"/>
            <w:hideMark/>
          </w:tcPr>
          <w:p w14:paraId="2A31420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0.2230</w:t>
            </w:r>
          </w:p>
        </w:tc>
        <w:tc>
          <w:tcPr>
            <w:tcW w:w="0" w:type="auto"/>
            <w:hideMark/>
          </w:tcPr>
          <w:p w14:paraId="3EBE6F0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0.284</w:t>
            </w:r>
          </w:p>
        </w:tc>
        <w:tc>
          <w:tcPr>
            <w:tcW w:w="0" w:type="auto"/>
            <w:hideMark/>
          </w:tcPr>
          <w:p w14:paraId="2AB5C4F2"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0.786</w:t>
            </w:r>
          </w:p>
        </w:tc>
        <w:tc>
          <w:tcPr>
            <w:tcW w:w="0" w:type="auto"/>
            <w:hideMark/>
          </w:tcPr>
          <w:p w14:paraId="1A513F4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0.436</w:t>
            </w:r>
          </w:p>
        </w:tc>
      </w:tr>
      <w:tr w:rsidR="00B60128" w:rsidRPr="0091313D" w14:paraId="7836993A" w14:textId="77777777" w:rsidTr="00B60128">
        <w:trPr>
          <w:jc w:val="center"/>
        </w:trPr>
        <w:tc>
          <w:tcPr>
            <w:tcW w:w="0" w:type="auto"/>
            <w:hideMark/>
          </w:tcPr>
          <w:p w14:paraId="67180F6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Positive Trade Shock (TO</w:t>
            </w:r>
            <w:r w:rsidRPr="0091313D">
              <w:rPr>
                <w:rFonts w:ascii="Cambria Math" w:hAnsi="Cambria Math" w:cs="Cambria Math"/>
                <w:sz w:val="20"/>
                <w:szCs w:val="20"/>
              </w:rPr>
              <w:t>⁺</w:t>
            </w:r>
            <w:r w:rsidRPr="0091313D">
              <w:rPr>
                <w:rFonts w:ascii="Arial" w:hAnsi="Arial" w:cs="Arial"/>
                <w:sz w:val="20"/>
                <w:szCs w:val="20"/>
              </w:rPr>
              <w:t>(-1))</w:t>
            </w:r>
          </w:p>
        </w:tc>
        <w:tc>
          <w:tcPr>
            <w:tcW w:w="0" w:type="auto"/>
            <w:hideMark/>
          </w:tcPr>
          <w:p w14:paraId="21143A4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-0.1179</w:t>
            </w:r>
          </w:p>
        </w:tc>
        <w:tc>
          <w:tcPr>
            <w:tcW w:w="0" w:type="auto"/>
            <w:hideMark/>
          </w:tcPr>
          <w:p w14:paraId="200CE82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0.276</w:t>
            </w:r>
          </w:p>
        </w:tc>
        <w:tc>
          <w:tcPr>
            <w:tcW w:w="0" w:type="auto"/>
            <w:hideMark/>
          </w:tcPr>
          <w:p w14:paraId="2A31D2C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-0.427</w:t>
            </w:r>
          </w:p>
        </w:tc>
        <w:tc>
          <w:tcPr>
            <w:tcW w:w="0" w:type="auto"/>
            <w:hideMark/>
          </w:tcPr>
          <w:p w14:paraId="54706DF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0.672</w:t>
            </w:r>
          </w:p>
        </w:tc>
      </w:tr>
      <w:tr w:rsidR="00B60128" w:rsidRPr="0091313D" w14:paraId="2DFCF43D" w14:textId="77777777" w:rsidTr="00B60128">
        <w:trPr>
          <w:jc w:val="center"/>
        </w:trPr>
        <w:tc>
          <w:tcPr>
            <w:tcW w:w="0" w:type="auto"/>
            <w:hideMark/>
          </w:tcPr>
          <w:p w14:paraId="61A14EB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Negative Trade Shock (TO</w:t>
            </w:r>
            <w:r w:rsidRPr="0091313D">
              <w:rPr>
                <w:rFonts w:ascii="Cambria Math" w:hAnsi="Cambria Math" w:cs="Cambria Math"/>
                <w:sz w:val="20"/>
                <w:szCs w:val="20"/>
              </w:rPr>
              <w:t>⁻</w:t>
            </w:r>
            <w:r w:rsidRPr="0091313D">
              <w:rPr>
                <w:rFonts w:ascii="Arial" w:hAnsi="Arial" w:cs="Arial"/>
                <w:sz w:val="20"/>
                <w:szCs w:val="20"/>
              </w:rPr>
              <w:t>)</w:t>
            </w:r>
          </w:p>
        </w:tc>
        <w:tc>
          <w:tcPr>
            <w:tcW w:w="0" w:type="auto"/>
            <w:hideMark/>
          </w:tcPr>
          <w:p w14:paraId="04568E7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-0.1980</w:t>
            </w:r>
          </w:p>
        </w:tc>
        <w:tc>
          <w:tcPr>
            <w:tcW w:w="0" w:type="auto"/>
            <w:hideMark/>
          </w:tcPr>
          <w:p w14:paraId="07A5257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0.344</w:t>
            </w:r>
          </w:p>
        </w:tc>
        <w:tc>
          <w:tcPr>
            <w:tcW w:w="0" w:type="auto"/>
            <w:hideMark/>
          </w:tcPr>
          <w:p w14:paraId="659BB1E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-0.576</w:t>
            </w:r>
          </w:p>
        </w:tc>
        <w:tc>
          <w:tcPr>
            <w:tcW w:w="0" w:type="auto"/>
            <w:hideMark/>
          </w:tcPr>
          <w:p w14:paraId="2103E88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0.568</w:t>
            </w:r>
          </w:p>
        </w:tc>
      </w:tr>
      <w:tr w:rsidR="00B60128" w:rsidRPr="0091313D" w14:paraId="3E15F252" w14:textId="77777777" w:rsidTr="00B60128">
        <w:trPr>
          <w:jc w:val="center"/>
        </w:trPr>
        <w:tc>
          <w:tcPr>
            <w:tcW w:w="0" w:type="auto"/>
            <w:hideMark/>
          </w:tcPr>
          <w:p w14:paraId="5C32968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Negative Trade Shock (TO</w:t>
            </w:r>
            <w:r w:rsidRPr="0091313D">
              <w:rPr>
                <w:rFonts w:ascii="Cambria Math" w:hAnsi="Cambria Math" w:cs="Cambria Math"/>
                <w:sz w:val="20"/>
                <w:szCs w:val="20"/>
              </w:rPr>
              <w:t>⁻</w:t>
            </w:r>
            <w:r w:rsidRPr="0091313D">
              <w:rPr>
                <w:rFonts w:ascii="Arial" w:hAnsi="Arial" w:cs="Arial"/>
                <w:sz w:val="20"/>
                <w:szCs w:val="20"/>
              </w:rPr>
              <w:t>(-1))</w:t>
            </w:r>
          </w:p>
        </w:tc>
        <w:tc>
          <w:tcPr>
            <w:tcW w:w="0" w:type="auto"/>
            <w:hideMark/>
          </w:tcPr>
          <w:p w14:paraId="1BC5DF7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0.3440</w:t>
            </w:r>
          </w:p>
        </w:tc>
        <w:tc>
          <w:tcPr>
            <w:tcW w:w="0" w:type="auto"/>
            <w:hideMark/>
          </w:tcPr>
          <w:p w14:paraId="111A759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0.336</w:t>
            </w:r>
          </w:p>
        </w:tc>
        <w:tc>
          <w:tcPr>
            <w:tcW w:w="0" w:type="auto"/>
            <w:hideMark/>
          </w:tcPr>
          <w:p w14:paraId="3F1E769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1.024</w:t>
            </w:r>
          </w:p>
        </w:tc>
        <w:tc>
          <w:tcPr>
            <w:tcW w:w="0" w:type="auto"/>
            <w:hideMark/>
          </w:tcPr>
          <w:p w14:paraId="0EB7D93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0.312</w:t>
            </w:r>
          </w:p>
        </w:tc>
      </w:tr>
      <w:tr w:rsidR="00B60128" w:rsidRPr="0091313D" w14:paraId="1192B404" w14:textId="77777777" w:rsidTr="00B60128">
        <w:trPr>
          <w:jc w:val="center"/>
        </w:trPr>
        <w:tc>
          <w:tcPr>
            <w:tcW w:w="0" w:type="auto"/>
            <w:hideMark/>
          </w:tcPr>
          <w:p w14:paraId="6AFE029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2DB71E2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-3.1239</w:t>
            </w:r>
          </w:p>
        </w:tc>
        <w:tc>
          <w:tcPr>
            <w:tcW w:w="0" w:type="auto"/>
            <w:hideMark/>
          </w:tcPr>
          <w:p w14:paraId="650D4F6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1.197</w:t>
            </w:r>
          </w:p>
        </w:tc>
        <w:tc>
          <w:tcPr>
            <w:tcW w:w="0" w:type="auto"/>
            <w:hideMark/>
          </w:tcPr>
          <w:p w14:paraId="4AAD19C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-2.610</w:t>
            </w:r>
          </w:p>
        </w:tc>
        <w:tc>
          <w:tcPr>
            <w:tcW w:w="0" w:type="auto"/>
            <w:hideMark/>
          </w:tcPr>
          <w:p w14:paraId="6DC3F4C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0.013**</w:t>
            </w:r>
          </w:p>
        </w:tc>
      </w:tr>
      <w:tr w:rsidR="00B60128" w:rsidRPr="0091313D" w14:paraId="60EF0975" w14:textId="77777777" w:rsidTr="00B60128">
        <w:trPr>
          <w:jc w:val="center"/>
        </w:trPr>
        <w:tc>
          <w:tcPr>
            <w:tcW w:w="0" w:type="auto"/>
            <w:hideMark/>
          </w:tcPr>
          <w:p w14:paraId="4410ADA2"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FDI Inflows (% of GDP)(-1)</w:t>
            </w:r>
          </w:p>
        </w:tc>
        <w:tc>
          <w:tcPr>
            <w:tcW w:w="0" w:type="auto"/>
            <w:hideMark/>
          </w:tcPr>
          <w:p w14:paraId="4EE1F1D3"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1.2911</w:t>
            </w:r>
          </w:p>
        </w:tc>
        <w:tc>
          <w:tcPr>
            <w:tcW w:w="0" w:type="auto"/>
            <w:hideMark/>
          </w:tcPr>
          <w:p w14:paraId="4D06FA8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1.289</w:t>
            </w:r>
          </w:p>
        </w:tc>
        <w:tc>
          <w:tcPr>
            <w:tcW w:w="0" w:type="auto"/>
            <w:hideMark/>
          </w:tcPr>
          <w:p w14:paraId="1FC6D75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1.001</w:t>
            </w:r>
          </w:p>
        </w:tc>
        <w:tc>
          <w:tcPr>
            <w:tcW w:w="0" w:type="auto"/>
            <w:hideMark/>
          </w:tcPr>
          <w:p w14:paraId="2A3F7EC5"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0.323</w:t>
            </w:r>
          </w:p>
        </w:tc>
      </w:tr>
      <w:tr w:rsidR="00B60128" w:rsidRPr="0091313D" w14:paraId="6B63F59A" w14:textId="77777777" w:rsidTr="00B60128">
        <w:trPr>
          <w:jc w:val="center"/>
        </w:trPr>
        <w:tc>
          <w:tcPr>
            <w:tcW w:w="0" w:type="auto"/>
            <w:hideMark/>
          </w:tcPr>
          <w:p w14:paraId="4D4AA8B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44366A5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0.2061</w:t>
            </w:r>
          </w:p>
        </w:tc>
        <w:tc>
          <w:tcPr>
            <w:tcW w:w="0" w:type="auto"/>
            <w:hideMark/>
          </w:tcPr>
          <w:p w14:paraId="76995AF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0.202</w:t>
            </w:r>
          </w:p>
        </w:tc>
        <w:tc>
          <w:tcPr>
            <w:tcW w:w="0" w:type="auto"/>
            <w:hideMark/>
          </w:tcPr>
          <w:p w14:paraId="7444E3F7"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1.021</w:t>
            </w:r>
          </w:p>
        </w:tc>
        <w:tc>
          <w:tcPr>
            <w:tcW w:w="0" w:type="auto"/>
            <w:hideMark/>
          </w:tcPr>
          <w:p w14:paraId="11EA7A5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0.314</w:t>
            </w:r>
          </w:p>
        </w:tc>
      </w:tr>
      <w:tr w:rsidR="00B60128" w:rsidRPr="0091313D" w14:paraId="1FC15BBA" w14:textId="77777777" w:rsidTr="00B60128">
        <w:trPr>
          <w:jc w:val="center"/>
        </w:trPr>
        <w:tc>
          <w:tcPr>
            <w:tcW w:w="0" w:type="auto"/>
            <w:hideMark/>
          </w:tcPr>
          <w:p w14:paraId="74D21645"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Gross Capital Formation (-1)</w:t>
            </w:r>
          </w:p>
        </w:tc>
        <w:tc>
          <w:tcPr>
            <w:tcW w:w="0" w:type="auto"/>
            <w:hideMark/>
          </w:tcPr>
          <w:p w14:paraId="3AAD42B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-0.0902</w:t>
            </w:r>
          </w:p>
        </w:tc>
        <w:tc>
          <w:tcPr>
            <w:tcW w:w="0" w:type="auto"/>
            <w:hideMark/>
          </w:tcPr>
          <w:p w14:paraId="23E429E3"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0.206</w:t>
            </w:r>
          </w:p>
        </w:tc>
        <w:tc>
          <w:tcPr>
            <w:tcW w:w="0" w:type="auto"/>
            <w:hideMark/>
          </w:tcPr>
          <w:p w14:paraId="0327BC0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-0.439</w:t>
            </w:r>
          </w:p>
        </w:tc>
        <w:tc>
          <w:tcPr>
            <w:tcW w:w="0" w:type="auto"/>
            <w:hideMark/>
          </w:tcPr>
          <w:p w14:paraId="2665858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0.663</w:t>
            </w:r>
          </w:p>
        </w:tc>
      </w:tr>
    </w:tbl>
    <w:p w14:paraId="43D0DE1B" w14:textId="77777777" w:rsidR="009E48E5" w:rsidRDefault="009E48E5" w:rsidP="00EF4B44">
      <w:pPr>
        <w:spacing w:after="0" w:line="240" w:lineRule="auto"/>
        <w:jc w:val="both"/>
        <w:rPr>
          <w:rFonts w:ascii="Arial" w:hAnsi="Arial" w:cs="Arial"/>
          <w:sz w:val="20"/>
          <w:szCs w:val="20"/>
        </w:rPr>
      </w:pPr>
    </w:p>
    <w:p w14:paraId="3D42E1D0" w14:textId="77777777" w:rsidR="009E48E5" w:rsidRPr="009E48E5" w:rsidRDefault="009E48E5" w:rsidP="009E48E5">
      <w:pPr>
        <w:spacing w:after="0" w:line="240" w:lineRule="auto"/>
        <w:jc w:val="both"/>
        <w:rPr>
          <w:rFonts w:ascii="Arial" w:hAnsi="Arial" w:cs="Arial"/>
          <w:b/>
          <w:bCs/>
          <w:sz w:val="20"/>
          <w:szCs w:val="20"/>
        </w:rPr>
      </w:pPr>
      <w:r w:rsidRPr="009E48E5">
        <w:rPr>
          <w:rFonts w:ascii="Arial" w:hAnsi="Arial" w:cs="Arial"/>
          <w:b/>
          <w:bCs/>
          <w:sz w:val="20"/>
          <w:szCs w:val="20"/>
        </w:rPr>
        <w:t>Asymmetry Wald Test</w:t>
      </w:r>
    </w:p>
    <w:tbl>
      <w:tblPr>
        <w:tblStyle w:val="TableGrid"/>
        <w:tblW w:w="0" w:type="auto"/>
        <w:tblInd w:w="562" w:type="dxa"/>
        <w:tblLook w:val="04A0" w:firstRow="1" w:lastRow="0" w:firstColumn="1" w:lastColumn="0" w:noHBand="0" w:noVBand="1"/>
      </w:tblPr>
      <w:tblGrid>
        <w:gridCol w:w="2148"/>
        <w:gridCol w:w="2247"/>
        <w:gridCol w:w="1559"/>
        <w:gridCol w:w="1195"/>
        <w:gridCol w:w="1305"/>
      </w:tblGrid>
      <w:tr w:rsidR="009E48E5" w:rsidRPr="009E48E5" w14:paraId="6ABB0163" w14:textId="77777777" w:rsidTr="009E48E5">
        <w:tc>
          <w:tcPr>
            <w:tcW w:w="2148" w:type="dxa"/>
            <w:hideMark/>
          </w:tcPr>
          <w:p w14:paraId="49DDB4C4"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Test</w:t>
            </w:r>
          </w:p>
        </w:tc>
        <w:tc>
          <w:tcPr>
            <w:tcW w:w="2247" w:type="dxa"/>
            <w:hideMark/>
          </w:tcPr>
          <w:p w14:paraId="596C92A0"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Null Hypothesis</w:t>
            </w:r>
          </w:p>
        </w:tc>
        <w:tc>
          <w:tcPr>
            <w:tcW w:w="1559" w:type="dxa"/>
            <w:hideMark/>
          </w:tcPr>
          <w:p w14:paraId="3541F2A5"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Test Statistic</w:t>
            </w:r>
          </w:p>
        </w:tc>
        <w:tc>
          <w:tcPr>
            <w:tcW w:w="1195" w:type="dxa"/>
            <w:hideMark/>
          </w:tcPr>
          <w:p w14:paraId="3E067AB5"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p-value</w:t>
            </w:r>
          </w:p>
        </w:tc>
        <w:tc>
          <w:tcPr>
            <w:tcW w:w="0" w:type="auto"/>
            <w:hideMark/>
          </w:tcPr>
          <w:p w14:paraId="199E58A2"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Conclusion</w:t>
            </w:r>
          </w:p>
        </w:tc>
      </w:tr>
      <w:tr w:rsidR="009E48E5" w:rsidRPr="009E48E5" w14:paraId="75E7D17E" w14:textId="77777777" w:rsidTr="009E48E5">
        <w:tc>
          <w:tcPr>
            <w:tcW w:w="2148" w:type="dxa"/>
            <w:hideMark/>
          </w:tcPr>
          <w:p w14:paraId="23311832" w14:textId="77777777" w:rsidR="009E48E5" w:rsidRPr="009E48E5" w:rsidRDefault="009E48E5" w:rsidP="009E48E5">
            <w:pPr>
              <w:rPr>
                <w:rFonts w:ascii="Arial" w:hAnsi="Arial" w:cs="Arial"/>
                <w:sz w:val="20"/>
                <w:szCs w:val="20"/>
              </w:rPr>
            </w:pPr>
            <w:r w:rsidRPr="009E48E5">
              <w:rPr>
                <w:rFonts w:ascii="Arial" w:hAnsi="Arial" w:cs="Arial"/>
                <w:sz w:val="20"/>
                <w:szCs w:val="20"/>
              </w:rPr>
              <w:t>Wald Test (Short-run Asymmetry)</w:t>
            </w:r>
          </w:p>
        </w:tc>
        <w:tc>
          <w:tcPr>
            <w:tcW w:w="2247" w:type="dxa"/>
            <w:hideMark/>
          </w:tcPr>
          <w:p w14:paraId="2D79F8DA" w14:textId="77777777" w:rsidR="009E48E5" w:rsidRPr="009E48E5" w:rsidRDefault="009E48E5" w:rsidP="009E48E5">
            <w:pPr>
              <w:rPr>
                <w:rFonts w:ascii="Arial" w:hAnsi="Arial" w:cs="Arial"/>
                <w:sz w:val="20"/>
                <w:szCs w:val="20"/>
              </w:rPr>
            </w:pPr>
            <w:r w:rsidRPr="009E48E5">
              <w:rPr>
                <w:rFonts w:ascii="Arial" w:hAnsi="Arial" w:cs="Arial"/>
                <w:sz w:val="20"/>
                <w:szCs w:val="20"/>
              </w:rPr>
              <w:t>TO</w:t>
            </w:r>
            <w:r w:rsidRPr="009E48E5">
              <w:rPr>
                <w:rFonts w:ascii="Cambria Math" w:hAnsi="Cambria Math" w:cs="Cambria Math"/>
                <w:sz w:val="20"/>
                <w:szCs w:val="20"/>
              </w:rPr>
              <w:t>⁺</w:t>
            </w:r>
            <w:r w:rsidRPr="009E48E5">
              <w:rPr>
                <w:rFonts w:ascii="Arial" w:hAnsi="Arial" w:cs="Arial"/>
                <w:sz w:val="20"/>
                <w:szCs w:val="20"/>
              </w:rPr>
              <w:t xml:space="preserve"> + TO</w:t>
            </w:r>
            <w:r w:rsidRPr="009E48E5">
              <w:rPr>
                <w:rFonts w:ascii="Cambria Math" w:hAnsi="Cambria Math" w:cs="Cambria Math"/>
                <w:sz w:val="20"/>
                <w:szCs w:val="20"/>
              </w:rPr>
              <w:t>⁺</w:t>
            </w:r>
            <w:r w:rsidRPr="009E48E5">
              <w:rPr>
                <w:rFonts w:ascii="Arial" w:hAnsi="Arial" w:cs="Arial"/>
                <w:sz w:val="20"/>
                <w:szCs w:val="20"/>
              </w:rPr>
              <w:t>(-1) = TO</w:t>
            </w:r>
            <w:r w:rsidRPr="009E48E5">
              <w:rPr>
                <w:rFonts w:ascii="Cambria Math" w:hAnsi="Cambria Math" w:cs="Cambria Math"/>
                <w:sz w:val="20"/>
                <w:szCs w:val="20"/>
              </w:rPr>
              <w:t>⁻</w:t>
            </w:r>
            <w:r w:rsidRPr="009E48E5">
              <w:rPr>
                <w:rFonts w:ascii="Arial" w:hAnsi="Arial" w:cs="Arial"/>
                <w:sz w:val="20"/>
                <w:szCs w:val="20"/>
              </w:rPr>
              <w:t xml:space="preserve"> + TO</w:t>
            </w:r>
            <w:r w:rsidRPr="009E48E5">
              <w:rPr>
                <w:rFonts w:ascii="Cambria Math" w:hAnsi="Cambria Math" w:cs="Cambria Math"/>
                <w:sz w:val="20"/>
                <w:szCs w:val="20"/>
              </w:rPr>
              <w:t>⁻</w:t>
            </w:r>
            <w:r w:rsidRPr="009E48E5">
              <w:rPr>
                <w:rFonts w:ascii="Arial" w:hAnsi="Arial" w:cs="Arial"/>
                <w:sz w:val="20"/>
                <w:szCs w:val="20"/>
              </w:rPr>
              <w:t>(-1)</w:t>
            </w:r>
          </w:p>
        </w:tc>
        <w:tc>
          <w:tcPr>
            <w:tcW w:w="1559" w:type="dxa"/>
            <w:hideMark/>
          </w:tcPr>
          <w:p w14:paraId="3B4C8FFF" w14:textId="77777777" w:rsidR="009E48E5" w:rsidRPr="009E48E5" w:rsidRDefault="009E48E5" w:rsidP="009E48E5">
            <w:pPr>
              <w:rPr>
                <w:rFonts w:ascii="Arial" w:hAnsi="Arial" w:cs="Arial"/>
                <w:sz w:val="20"/>
                <w:szCs w:val="20"/>
              </w:rPr>
            </w:pPr>
            <w:r w:rsidRPr="009E48E5">
              <w:rPr>
                <w:rFonts w:ascii="Arial" w:hAnsi="Arial" w:cs="Arial"/>
                <w:sz w:val="20"/>
                <w:szCs w:val="20"/>
              </w:rPr>
              <w:t>0.4170</w:t>
            </w:r>
          </w:p>
        </w:tc>
        <w:tc>
          <w:tcPr>
            <w:tcW w:w="1195" w:type="dxa"/>
            <w:hideMark/>
          </w:tcPr>
          <w:p w14:paraId="033D0A73" w14:textId="77777777" w:rsidR="009E48E5" w:rsidRPr="009E48E5" w:rsidRDefault="009E48E5" w:rsidP="009E48E5">
            <w:pPr>
              <w:rPr>
                <w:rFonts w:ascii="Arial" w:hAnsi="Arial" w:cs="Arial"/>
                <w:sz w:val="20"/>
                <w:szCs w:val="20"/>
              </w:rPr>
            </w:pPr>
            <w:r w:rsidRPr="009E48E5">
              <w:rPr>
                <w:rFonts w:ascii="Arial" w:hAnsi="Arial" w:cs="Arial"/>
                <w:sz w:val="20"/>
                <w:szCs w:val="20"/>
              </w:rPr>
              <w:t>0.5223</w:t>
            </w:r>
          </w:p>
        </w:tc>
        <w:tc>
          <w:tcPr>
            <w:tcW w:w="1305" w:type="dxa"/>
            <w:hideMark/>
          </w:tcPr>
          <w:p w14:paraId="57C684F7" w14:textId="77777777" w:rsidR="009E48E5" w:rsidRPr="009E48E5" w:rsidRDefault="009E48E5" w:rsidP="009E48E5">
            <w:pPr>
              <w:rPr>
                <w:rFonts w:ascii="Arial" w:hAnsi="Arial" w:cs="Arial"/>
                <w:sz w:val="20"/>
                <w:szCs w:val="20"/>
              </w:rPr>
            </w:pPr>
            <w:r w:rsidRPr="009E48E5">
              <w:rPr>
                <w:rFonts w:ascii="Arial" w:hAnsi="Arial" w:cs="Arial"/>
                <w:sz w:val="20"/>
                <w:szCs w:val="20"/>
              </w:rPr>
              <w:t>Fail to reject H</w:t>
            </w:r>
            <w:r w:rsidRPr="009E48E5">
              <w:rPr>
                <w:rFonts w:ascii="Cambria Math" w:hAnsi="Cambria Math" w:cs="Cambria Math"/>
                <w:sz w:val="20"/>
                <w:szCs w:val="20"/>
              </w:rPr>
              <w:t>₀</w:t>
            </w:r>
          </w:p>
        </w:tc>
      </w:tr>
    </w:tbl>
    <w:p w14:paraId="08E8BCEF" w14:textId="77777777" w:rsidR="009E48E5" w:rsidRDefault="009E48E5" w:rsidP="00EF4B44">
      <w:pPr>
        <w:spacing w:after="0" w:line="240" w:lineRule="auto"/>
        <w:jc w:val="both"/>
        <w:rPr>
          <w:rFonts w:ascii="Arial" w:hAnsi="Arial" w:cs="Arial"/>
          <w:sz w:val="20"/>
          <w:szCs w:val="20"/>
        </w:rPr>
      </w:pPr>
    </w:p>
    <w:p w14:paraId="57E8AF75" w14:textId="4B4A2CE6" w:rsidR="00B60128" w:rsidRDefault="00B60128" w:rsidP="00EF4B44">
      <w:pPr>
        <w:spacing w:after="0" w:line="240" w:lineRule="auto"/>
        <w:jc w:val="both"/>
        <w:rPr>
          <w:rFonts w:ascii="Arial" w:hAnsi="Arial" w:cs="Arial"/>
          <w:sz w:val="20"/>
          <w:szCs w:val="20"/>
        </w:rPr>
      </w:pPr>
      <w:r w:rsidRPr="0091313D">
        <w:rPr>
          <w:rFonts w:ascii="Arial" w:hAnsi="Arial" w:cs="Arial"/>
          <w:sz w:val="20"/>
          <w:szCs w:val="20"/>
        </w:rPr>
        <w:t>TO</w:t>
      </w:r>
      <w:r w:rsidRPr="0091313D">
        <w:rPr>
          <w:rFonts w:ascii="Cambria Math" w:hAnsi="Cambria Math" w:cs="Cambria Math"/>
          <w:sz w:val="20"/>
          <w:szCs w:val="20"/>
        </w:rPr>
        <w:t>⁺</w:t>
      </w:r>
      <w:r w:rsidRPr="0091313D">
        <w:rPr>
          <w:rFonts w:ascii="Arial" w:hAnsi="Arial" w:cs="Arial"/>
          <w:sz w:val="20"/>
          <w:szCs w:val="20"/>
        </w:rPr>
        <w:t xml:space="preserve"> represents positive changes in trade openness, while TO</w:t>
      </w:r>
      <w:r w:rsidRPr="0091313D">
        <w:rPr>
          <w:rFonts w:ascii="Cambria Math" w:hAnsi="Cambria Math" w:cs="Cambria Math"/>
          <w:sz w:val="20"/>
          <w:szCs w:val="20"/>
        </w:rPr>
        <w:t>⁻</w:t>
      </w:r>
      <w:r w:rsidRPr="0091313D">
        <w:rPr>
          <w:rFonts w:ascii="Arial" w:hAnsi="Arial" w:cs="Arial"/>
          <w:sz w:val="20"/>
          <w:szCs w:val="20"/>
        </w:rPr>
        <w:t xml:space="preserve"> represents negative changes.</w:t>
      </w:r>
      <w:r w:rsidRPr="0091313D">
        <w:rPr>
          <w:rFonts w:ascii="Arial" w:hAnsi="Arial" w:cs="Arial"/>
          <w:sz w:val="20"/>
          <w:szCs w:val="20"/>
        </w:rPr>
        <w:br/>
        <w:t>** indicates significance at 5% level.</w:t>
      </w:r>
      <w:r w:rsidR="00B312AE">
        <w:rPr>
          <w:rFonts w:ascii="Arial" w:hAnsi="Arial" w:cs="Arial"/>
          <w:sz w:val="20"/>
          <w:szCs w:val="20"/>
        </w:rPr>
        <w:t xml:space="preserve"> </w:t>
      </w:r>
    </w:p>
    <w:p w14:paraId="34BD50DB" w14:textId="108FC7B3" w:rsidR="00B312AE" w:rsidRDefault="00B312AE" w:rsidP="00EF4B44">
      <w:pPr>
        <w:spacing w:after="0" w:line="240" w:lineRule="auto"/>
        <w:jc w:val="both"/>
        <w:rPr>
          <w:rFonts w:ascii="Arial" w:hAnsi="Arial" w:cs="Arial"/>
          <w:sz w:val="20"/>
          <w:szCs w:val="20"/>
        </w:rPr>
      </w:pPr>
      <w:r w:rsidRPr="00B312AE">
        <w:rPr>
          <w:rFonts w:ascii="Arial" w:hAnsi="Arial" w:cs="Arial"/>
          <w:sz w:val="20"/>
          <w:szCs w:val="20"/>
        </w:rPr>
        <w:t>The Wald test result (p = 0.522) indicates that the null hypothesis of symmetry cannot be rejected, suggesting no statistically significant asymmetry.</w:t>
      </w:r>
    </w:p>
    <w:p w14:paraId="34EC253A" w14:textId="77777777" w:rsidR="00B16CEC" w:rsidRPr="0091313D" w:rsidRDefault="00B16CEC" w:rsidP="00EF4B44">
      <w:pPr>
        <w:spacing w:after="0" w:line="240" w:lineRule="auto"/>
        <w:jc w:val="both"/>
        <w:rPr>
          <w:rFonts w:ascii="Arial" w:hAnsi="Arial" w:cs="Arial"/>
          <w:sz w:val="20"/>
          <w:szCs w:val="20"/>
        </w:rPr>
      </w:pPr>
    </w:p>
    <w:p w14:paraId="7BF75E21" w14:textId="057799F1" w:rsidR="0057030B" w:rsidRPr="0091313D" w:rsidRDefault="0057030B"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6797893C" wp14:editId="240C215D">
            <wp:extent cx="5731510" cy="3193415"/>
            <wp:effectExtent l="19050" t="19050" r="21590" b="26035"/>
            <wp:docPr id="2105583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solidFill>
                        <a:schemeClr val="tx1"/>
                      </a:solidFill>
                    </a:ln>
                  </pic:spPr>
                </pic:pic>
              </a:graphicData>
            </a:graphic>
          </wp:inline>
        </w:drawing>
      </w:r>
    </w:p>
    <w:p w14:paraId="4BD2B9BD" w14:textId="0DB13A89" w:rsidR="0057030B" w:rsidRPr="0091313D" w:rsidRDefault="0057030B"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6</w:t>
      </w:r>
      <w:r w:rsidRPr="0091313D">
        <w:rPr>
          <w:rFonts w:ascii="Arial" w:hAnsi="Arial" w:cs="Arial"/>
          <w:b/>
          <w:bCs/>
          <w:sz w:val="20"/>
          <w:szCs w:val="20"/>
        </w:rPr>
        <w:t>. Actual vs Fitted GDP Growth from ARDL Model</w:t>
      </w:r>
    </w:p>
    <w:p w14:paraId="52202206" w14:textId="3CBB5A34" w:rsidR="002B5478" w:rsidRPr="0091313D" w:rsidRDefault="002B5478" w:rsidP="00EF4B44">
      <w:pPr>
        <w:spacing w:after="0" w:line="240" w:lineRule="auto"/>
        <w:jc w:val="both"/>
        <w:rPr>
          <w:rFonts w:ascii="Arial" w:hAnsi="Arial" w:cs="Arial"/>
          <w:sz w:val="20"/>
          <w:szCs w:val="20"/>
        </w:rPr>
      </w:pPr>
    </w:p>
    <w:p w14:paraId="29B1AA32" w14:textId="40E67273" w:rsidR="00634433" w:rsidRPr="0091313D" w:rsidRDefault="00634433"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D32AD6" w:rsidRPr="0091313D">
        <w:rPr>
          <w:rFonts w:ascii="Arial" w:hAnsi="Arial" w:cs="Arial"/>
          <w:sz w:val="20"/>
          <w:szCs w:val="20"/>
        </w:rPr>
        <w:t>7</w:t>
      </w:r>
      <w:r w:rsidRPr="0091313D">
        <w:rPr>
          <w:rFonts w:ascii="Arial" w:hAnsi="Arial" w:cs="Arial"/>
          <w:sz w:val="20"/>
          <w:szCs w:val="20"/>
        </w:rPr>
        <w:t xml:space="preserve"> plots the CUSUM stability test for the estimated ARDL model. The cumulative residuals stay within the critical bounds across the sample, meaning the long-run coefficients hold up despite the 1991 reforms, the Global Financial Crisis, and the COVID-19 shock passing through the data.</w:t>
      </w:r>
    </w:p>
    <w:p w14:paraId="537562D9" w14:textId="3F43A649" w:rsidR="00634433" w:rsidRPr="0091313D" w:rsidRDefault="00634433"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0BC0516F" wp14:editId="15BED3CC">
            <wp:extent cx="5731510" cy="3193415"/>
            <wp:effectExtent l="0" t="0" r="2540" b="6985"/>
            <wp:docPr id="812576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noFill/>
                    </a:ln>
                  </pic:spPr>
                </pic:pic>
              </a:graphicData>
            </a:graphic>
          </wp:inline>
        </w:drawing>
      </w:r>
    </w:p>
    <w:p w14:paraId="48608067" w14:textId="114C81F2" w:rsidR="00634433" w:rsidRPr="0091313D" w:rsidRDefault="00634433"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7</w:t>
      </w:r>
      <w:r w:rsidRPr="0091313D">
        <w:rPr>
          <w:rFonts w:ascii="Arial" w:hAnsi="Arial" w:cs="Arial"/>
          <w:b/>
          <w:bCs/>
          <w:sz w:val="20"/>
          <w:szCs w:val="20"/>
        </w:rPr>
        <w:t>. CUSUM Stability Test for ARDL Model</w:t>
      </w:r>
    </w:p>
    <w:p w14:paraId="23DA0F96" w14:textId="77777777" w:rsidR="00B16CEC" w:rsidRDefault="00B16CEC" w:rsidP="00EF4B44">
      <w:pPr>
        <w:spacing w:after="0" w:line="240" w:lineRule="auto"/>
        <w:jc w:val="both"/>
        <w:rPr>
          <w:rFonts w:ascii="Arial" w:hAnsi="Arial" w:cs="Arial"/>
          <w:sz w:val="20"/>
          <w:szCs w:val="20"/>
        </w:rPr>
      </w:pPr>
    </w:p>
    <w:p w14:paraId="5EE5DF6B" w14:textId="625CF96F" w:rsidR="00634433" w:rsidRPr="0091313D" w:rsidRDefault="00634433" w:rsidP="00EF4B44">
      <w:pPr>
        <w:spacing w:after="0" w:line="240" w:lineRule="auto"/>
        <w:jc w:val="both"/>
        <w:rPr>
          <w:rFonts w:ascii="Arial" w:hAnsi="Arial" w:cs="Arial"/>
          <w:sz w:val="20"/>
          <w:szCs w:val="20"/>
        </w:rPr>
      </w:pPr>
      <w:r w:rsidRPr="0091313D">
        <w:rPr>
          <w:rFonts w:ascii="Arial" w:hAnsi="Arial" w:cs="Arial"/>
          <w:sz w:val="20"/>
          <w:szCs w:val="20"/>
        </w:rPr>
        <w:t>Diagnostic tests return clean results on most fronts. The White test finds no heteroskedasticity, and the Durbin-Watson statistic sits close to 2, indicating limited serial correlation. The Jarque-Bera test is the exception - residuals are non-normal, which is unsurprising given the extreme shocks and crisis periods in the sample. That non-normality is part of what motivates the NARDL and machine learning extensions. The ARDL and NARDL models establish the long-run relationship and asymmetric adjustment, but both are parametric and impose structure on the data. The next step applies machine learning models and Explainable AI techniques to pick up nonlinear interactions the econometric framework cannot flex to accommodate.</w:t>
      </w:r>
    </w:p>
    <w:p w14:paraId="0700D877" w14:textId="77777777" w:rsidR="00B16CEC" w:rsidRDefault="00B16CEC" w:rsidP="00EF4B44">
      <w:pPr>
        <w:spacing w:after="0" w:line="240" w:lineRule="auto"/>
        <w:jc w:val="both"/>
        <w:rPr>
          <w:rFonts w:ascii="Arial" w:hAnsi="Arial" w:cs="Arial"/>
          <w:b/>
          <w:bCs/>
        </w:rPr>
      </w:pPr>
    </w:p>
    <w:p w14:paraId="0CDC3003" w14:textId="7F94B56B" w:rsidR="001F231A" w:rsidRPr="00B16CEC" w:rsidRDefault="001F231A" w:rsidP="00EF4B44">
      <w:pPr>
        <w:spacing w:after="0" w:line="240" w:lineRule="auto"/>
        <w:jc w:val="both"/>
        <w:rPr>
          <w:rFonts w:ascii="Arial" w:hAnsi="Arial" w:cs="Arial"/>
        </w:rPr>
      </w:pPr>
      <w:r w:rsidRPr="00B16CEC">
        <w:rPr>
          <w:rFonts w:ascii="Arial" w:hAnsi="Arial" w:cs="Arial"/>
          <w:b/>
          <w:bCs/>
        </w:rPr>
        <w:t>4.4 Direction of Causality Between Trade Openness and Economic Growth</w:t>
      </w:r>
    </w:p>
    <w:p w14:paraId="5985B072" w14:textId="77777777" w:rsidR="00B16CEC" w:rsidRDefault="00B16CEC" w:rsidP="00EF4B44">
      <w:pPr>
        <w:spacing w:after="0" w:line="240" w:lineRule="auto"/>
        <w:jc w:val="both"/>
        <w:rPr>
          <w:rFonts w:ascii="Arial" w:hAnsi="Arial" w:cs="Arial"/>
          <w:sz w:val="20"/>
          <w:szCs w:val="20"/>
        </w:rPr>
      </w:pPr>
    </w:p>
    <w:p w14:paraId="5AEA89D4" w14:textId="7F9E3805"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 xml:space="preserve">Cointegration establishes that the variables move together over the long run </w:t>
      </w:r>
      <w:r w:rsidR="00751C8F" w:rsidRPr="0091313D">
        <w:rPr>
          <w:rFonts w:ascii="Arial" w:hAnsi="Arial" w:cs="Arial"/>
          <w:sz w:val="20"/>
          <w:szCs w:val="20"/>
        </w:rPr>
        <w:t>and</w:t>
      </w:r>
      <w:r w:rsidRPr="0091313D">
        <w:rPr>
          <w:rFonts w:ascii="Arial" w:hAnsi="Arial" w:cs="Arial"/>
          <w:sz w:val="20"/>
          <w:szCs w:val="20"/>
        </w:rPr>
        <w:t xml:space="preserve"> it does not say which drives which. Granger causality and Toda-Yamamoto tests were run to examine that question.</w:t>
      </w:r>
      <w:r w:rsidR="0041707B" w:rsidRPr="0091313D">
        <w:rPr>
          <w:rFonts w:ascii="Arial" w:hAnsi="Arial" w:cs="Arial"/>
          <w:sz w:val="20"/>
          <w:szCs w:val="20"/>
        </w:rPr>
        <w:t xml:space="preserve"> </w:t>
      </w:r>
      <w:r w:rsidR="008C32D8" w:rsidRPr="008C32D8">
        <w:rPr>
          <w:rFonts w:ascii="Arial" w:hAnsi="Arial" w:cs="Arial"/>
          <w:sz w:val="20"/>
          <w:szCs w:val="20"/>
        </w:rPr>
        <w:t>The Granger test rejects the null that trade openness does not cause GDP growth at the 5% level (p = 0.047). Growth does not Granger-cause trade openness, so the relationship runs one way: trade to output, not the reverse.</w:t>
      </w:r>
      <w:r w:rsidRPr="0091313D">
        <w:rPr>
          <w:rFonts w:ascii="Arial" w:hAnsi="Arial" w:cs="Arial"/>
          <w:sz w:val="20"/>
          <w:szCs w:val="20"/>
        </w:rPr>
        <w:t xml:space="preserve"> GDP growth shows no evidence of causing trade openness in either direction.</w:t>
      </w:r>
    </w:p>
    <w:p w14:paraId="62A16EAC" w14:textId="71AF50C7" w:rsidR="008C32D8" w:rsidRPr="008C32D8" w:rsidRDefault="008C32D8" w:rsidP="008C32D8">
      <w:pPr>
        <w:spacing w:after="0" w:line="240" w:lineRule="auto"/>
        <w:jc w:val="both"/>
        <w:rPr>
          <w:rFonts w:ascii="Arial" w:hAnsi="Arial" w:cs="Arial"/>
          <w:sz w:val="20"/>
          <w:szCs w:val="20"/>
        </w:rPr>
      </w:pPr>
      <w:r w:rsidRPr="008C32D8">
        <w:rPr>
          <w:rFonts w:ascii="Arial" w:hAnsi="Arial" w:cs="Arial"/>
          <w:sz w:val="20"/>
          <w:szCs w:val="20"/>
        </w:rPr>
        <w:t xml:space="preserve">The Toda–Yamamoto test, better suited to variables with mixed integration orders, does not confirm this. The Wald statistic (χ² = 4.166, p = 0.125) fails to reject the same null </w:t>
      </w:r>
      <w:r>
        <w:rPr>
          <w:rFonts w:ascii="Arial" w:hAnsi="Arial" w:cs="Arial"/>
          <w:sz w:val="20"/>
          <w:szCs w:val="20"/>
        </w:rPr>
        <w:t>-</w:t>
      </w:r>
      <w:r w:rsidRPr="008C32D8">
        <w:rPr>
          <w:rFonts w:ascii="Arial" w:hAnsi="Arial" w:cs="Arial"/>
          <w:sz w:val="20"/>
          <w:szCs w:val="20"/>
        </w:rPr>
        <w:t xml:space="preserve"> the Granger result does not hold under a more demanding method.</w:t>
      </w:r>
      <w:r>
        <w:rPr>
          <w:rFonts w:ascii="Arial" w:hAnsi="Arial" w:cs="Arial"/>
          <w:sz w:val="20"/>
          <w:szCs w:val="20"/>
        </w:rPr>
        <w:t xml:space="preserve"> T</w:t>
      </w:r>
      <w:r w:rsidRPr="008C32D8">
        <w:rPr>
          <w:rFonts w:ascii="Arial" w:hAnsi="Arial" w:cs="Arial"/>
          <w:sz w:val="20"/>
          <w:szCs w:val="20"/>
        </w:rPr>
        <w:t>he causality evidence is therefore limited and sensitive to methodology. Neither test supports bidirectional causality. Detailed results appear in Table 8.</w:t>
      </w:r>
    </w:p>
    <w:p w14:paraId="5D5D74FC" w14:textId="7A6F3200" w:rsidR="001F231A" w:rsidRPr="0091313D" w:rsidRDefault="001F231A" w:rsidP="00EF4B44">
      <w:pPr>
        <w:spacing w:after="0" w:line="240" w:lineRule="auto"/>
        <w:jc w:val="both"/>
        <w:rPr>
          <w:rFonts w:ascii="Arial" w:hAnsi="Arial" w:cs="Arial"/>
          <w:sz w:val="20"/>
          <w:szCs w:val="20"/>
        </w:rPr>
      </w:pPr>
    </w:p>
    <w:p w14:paraId="655DC37B" w14:textId="7765AF86" w:rsidR="001F231A" w:rsidRPr="0091313D" w:rsidRDefault="001F231A" w:rsidP="00EF4B44">
      <w:pPr>
        <w:spacing w:after="0" w:line="240" w:lineRule="auto"/>
        <w:jc w:val="both"/>
        <w:rPr>
          <w:rFonts w:ascii="Arial" w:hAnsi="Arial" w:cs="Arial"/>
          <w:sz w:val="20"/>
          <w:szCs w:val="20"/>
        </w:rPr>
      </w:pPr>
    </w:p>
    <w:p w14:paraId="59214104" w14:textId="189D39E3" w:rsidR="001F231A" w:rsidRPr="0091313D" w:rsidRDefault="001F231A"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F700C4" w:rsidRPr="0091313D">
        <w:rPr>
          <w:rFonts w:ascii="Arial" w:hAnsi="Arial" w:cs="Arial"/>
          <w:b/>
          <w:bCs/>
          <w:sz w:val="20"/>
          <w:szCs w:val="20"/>
        </w:rPr>
        <w:t>8</w:t>
      </w:r>
      <w:r w:rsidR="00751C8F" w:rsidRPr="0091313D">
        <w:rPr>
          <w:rFonts w:ascii="Arial" w:hAnsi="Arial" w:cs="Arial"/>
          <w:b/>
          <w:bCs/>
          <w:sz w:val="20"/>
          <w:szCs w:val="20"/>
        </w:rPr>
        <w:t>.</w:t>
      </w:r>
      <w:r w:rsidRPr="0091313D">
        <w:rPr>
          <w:rFonts w:ascii="Arial" w:hAnsi="Arial" w:cs="Arial"/>
          <w:b/>
          <w:bCs/>
          <w:sz w:val="20"/>
          <w:szCs w:val="20"/>
        </w:rPr>
        <w:t xml:space="preserve"> Granger and Toda-Yamamoto Causality Results</w:t>
      </w:r>
    </w:p>
    <w:tbl>
      <w:tblPr>
        <w:tblStyle w:val="TableGrid"/>
        <w:tblW w:w="0" w:type="auto"/>
        <w:tblLook w:val="04A0" w:firstRow="1" w:lastRow="0" w:firstColumn="1" w:lastColumn="0" w:noHBand="0" w:noVBand="1"/>
      </w:tblPr>
      <w:tblGrid>
        <w:gridCol w:w="1953"/>
        <w:gridCol w:w="2949"/>
        <w:gridCol w:w="1244"/>
        <w:gridCol w:w="832"/>
        <w:gridCol w:w="2038"/>
      </w:tblGrid>
      <w:tr w:rsidR="00751C8F" w:rsidRPr="0091313D" w14:paraId="5488BE66" w14:textId="77777777" w:rsidTr="00751C8F">
        <w:tc>
          <w:tcPr>
            <w:tcW w:w="0" w:type="auto"/>
            <w:hideMark/>
          </w:tcPr>
          <w:p w14:paraId="39310871"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Test</w:t>
            </w:r>
          </w:p>
        </w:tc>
        <w:tc>
          <w:tcPr>
            <w:tcW w:w="0" w:type="auto"/>
            <w:hideMark/>
          </w:tcPr>
          <w:p w14:paraId="291DB1A4"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Null Hypothesis</w:t>
            </w:r>
          </w:p>
        </w:tc>
        <w:tc>
          <w:tcPr>
            <w:tcW w:w="0" w:type="auto"/>
            <w:hideMark/>
          </w:tcPr>
          <w:p w14:paraId="7334AB34"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Test Statistic</w:t>
            </w:r>
          </w:p>
        </w:tc>
        <w:tc>
          <w:tcPr>
            <w:tcW w:w="0" w:type="auto"/>
            <w:hideMark/>
          </w:tcPr>
          <w:p w14:paraId="4698E6CC"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p-value</w:t>
            </w:r>
          </w:p>
        </w:tc>
        <w:tc>
          <w:tcPr>
            <w:tcW w:w="0" w:type="auto"/>
            <w:hideMark/>
          </w:tcPr>
          <w:p w14:paraId="72DAF227"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Conclusion</w:t>
            </w:r>
          </w:p>
        </w:tc>
      </w:tr>
      <w:tr w:rsidR="00751C8F" w:rsidRPr="0091313D" w14:paraId="4FF6F126" w14:textId="77777777" w:rsidTr="00751C8F">
        <w:tc>
          <w:tcPr>
            <w:tcW w:w="0" w:type="auto"/>
            <w:hideMark/>
          </w:tcPr>
          <w:p w14:paraId="1CFD2F31"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Granger Causality (Lag 1)</w:t>
            </w:r>
          </w:p>
        </w:tc>
        <w:tc>
          <w:tcPr>
            <w:tcW w:w="0" w:type="auto"/>
            <w:hideMark/>
          </w:tcPr>
          <w:p w14:paraId="38082000"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2AC0787E"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3.937</w:t>
            </w:r>
          </w:p>
        </w:tc>
        <w:tc>
          <w:tcPr>
            <w:tcW w:w="0" w:type="auto"/>
            <w:hideMark/>
          </w:tcPr>
          <w:p w14:paraId="34DB411B"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0.047</w:t>
            </w:r>
          </w:p>
        </w:tc>
        <w:tc>
          <w:tcPr>
            <w:tcW w:w="0" w:type="auto"/>
            <w:hideMark/>
          </w:tcPr>
          <w:p w14:paraId="5A5D7FA6"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Weak evidence of causality</w:t>
            </w:r>
          </w:p>
        </w:tc>
      </w:tr>
      <w:tr w:rsidR="00751C8F" w:rsidRPr="0091313D" w14:paraId="4D7A1A19" w14:textId="77777777" w:rsidTr="00751C8F">
        <w:tc>
          <w:tcPr>
            <w:tcW w:w="0" w:type="auto"/>
            <w:hideMark/>
          </w:tcPr>
          <w:p w14:paraId="4F8E2395"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Granger Causality (Lag 2)</w:t>
            </w:r>
          </w:p>
        </w:tc>
        <w:tc>
          <w:tcPr>
            <w:tcW w:w="0" w:type="auto"/>
            <w:hideMark/>
          </w:tcPr>
          <w:p w14:paraId="1AF7F0BC"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34DB1B76"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4.650</w:t>
            </w:r>
          </w:p>
        </w:tc>
        <w:tc>
          <w:tcPr>
            <w:tcW w:w="0" w:type="auto"/>
            <w:hideMark/>
          </w:tcPr>
          <w:p w14:paraId="54B95C6D"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0.098</w:t>
            </w:r>
          </w:p>
        </w:tc>
        <w:tc>
          <w:tcPr>
            <w:tcW w:w="0" w:type="auto"/>
            <w:hideMark/>
          </w:tcPr>
          <w:p w14:paraId="661BA447"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Not significant at 5%</w:t>
            </w:r>
          </w:p>
        </w:tc>
      </w:tr>
      <w:tr w:rsidR="00751C8F" w:rsidRPr="0091313D" w14:paraId="00653286" w14:textId="77777777" w:rsidTr="00751C8F">
        <w:tc>
          <w:tcPr>
            <w:tcW w:w="0" w:type="auto"/>
            <w:hideMark/>
          </w:tcPr>
          <w:p w14:paraId="604816E8"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Toda-Yamamoto Wald Test</w:t>
            </w:r>
          </w:p>
        </w:tc>
        <w:tc>
          <w:tcPr>
            <w:tcW w:w="0" w:type="auto"/>
            <w:hideMark/>
          </w:tcPr>
          <w:p w14:paraId="48A3BCB7"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4C8B8AAD"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4.166</w:t>
            </w:r>
          </w:p>
        </w:tc>
        <w:tc>
          <w:tcPr>
            <w:tcW w:w="0" w:type="auto"/>
            <w:hideMark/>
          </w:tcPr>
          <w:p w14:paraId="2053F2A8"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0.125</w:t>
            </w:r>
          </w:p>
        </w:tc>
        <w:tc>
          <w:tcPr>
            <w:tcW w:w="0" w:type="auto"/>
            <w:hideMark/>
          </w:tcPr>
          <w:p w14:paraId="4F90C869"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Fail to reject null</w:t>
            </w:r>
          </w:p>
        </w:tc>
      </w:tr>
    </w:tbl>
    <w:p w14:paraId="653CCDD6" w14:textId="222B6F9D" w:rsidR="001F231A" w:rsidRPr="0091313D" w:rsidRDefault="001F231A" w:rsidP="00EF4B44">
      <w:pPr>
        <w:spacing w:after="0" w:line="240" w:lineRule="auto"/>
        <w:jc w:val="both"/>
        <w:rPr>
          <w:rFonts w:ascii="Arial" w:hAnsi="Arial" w:cs="Arial"/>
          <w:sz w:val="20"/>
          <w:szCs w:val="20"/>
        </w:rPr>
      </w:pPr>
    </w:p>
    <w:p w14:paraId="68B16CF9" w14:textId="1FEE4C1F"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The findings suggest trade openness is not a reliable short-run growth driver on its own. Whatever effect it has likely works through investment, productivity, or global demand rather than directly. That sits comfortably with the earlier NARDL finding</w:t>
      </w:r>
      <w:r w:rsidR="00751C8F" w:rsidRPr="0091313D">
        <w:rPr>
          <w:rFonts w:ascii="Arial" w:hAnsi="Arial" w:cs="Arial"/>
          <w:sz w:val="20"/>
          <w:szCs w:val="20"/>
        </w:rPr>
        <w:t xml:space="preserve">- </w:t>
      </w:r>
      <w:r w:rsidRPr="0091313D">
        <w:rPr>
          <w:rFonts w:ascii="Arial" w:hAnsi="Arial" w:cs="Arial"/>
          <w:sz w:val="20"/>
          <w:szCs w:val="20"/>
        </w:rPr>
        <w:t xml:space="preserve">the trade-growth relationship in India is asymmetric and </w:t>
      </w:r>
      <w:r w:rsidRPr="0091313D">
        <w:rPr>
          <w:rFonts w:ascii="Arial" w:hAnsi="Arial" w:cs="Arial"/>
          <w:sz w:val="20"/>
          <w:szCs w:val="20"/>
        </w:rPr>
        <w:lastRenderedPageBreak/>
        <w:t>regime-dependent, not a stable linear mechanism that causality tests would be expected to pick up cleanly.</w:t>
      </w:r>
    </w:p>
    <w:p w14:paraId="0BC3DF87" w14:textId="77777777" w:rsidR="001F231A" w:rsidRPr="0091313D" w:rsidRDefault="001F231A" w:rsidP="00EF4B44">
      <w:pPr>
        <w:spacing w:after="0" w:line="240" w:lineRule="auto"/>
        <w:jc w:val="both"/>
        <w:rPr>
          <w:rFonts w:ascii="Arial" w:hAnsi="Arial" w:cs="Arial"/>
          <w:sz w:val="20"/>
          <w:szCs w:val="20"/>
        </w:rPr>
      </w:pPr>
    </w:p>
    <w:p w14:paraId="673E0175" w14:textId="77777777" w:rsidR="00707583" w:rsidRPr="0091313D" w:rsidRDefault="00707583" w:rsidP="00EF4B44">
      <w:pPr>
        <w:spacing w:after="0" w:line="240" w:lineRule="auto"/>
        <w:jc w:val="both"/>
        <w:rPr>
          <w:rFonts w:ascii="Arial" w:hAnsi="Arial" w:cs="Arial"/>
          <w:sz w:val="20"/>
          <w:szCs w:val="20"/>
        </w:rPr>
      </w:pPr>
      <w:r w:rsidRPr="00B16CEC">
        <w:rPr>
          <w:rFonts w:ascii="Arial" w:hAnsi="Arial" w:cs="Arial"/>
          <w:b/>
          <w:bCs/>
        </w:rPr>
        <w:t>4.5 Machine Learning Prediction, Model Comparison, and Explainable AI Analysis</w:t>
      </w:r>
    </w:p>
    <w:p w14:paraId="344EC72A" w14:textId="77777777" w:rsidR="00B16CEC" w:rsidRDefault="00B16CEC" w:rsidP="00EF4B44">
      <w:pPr>
        <w:spacing w:after="0" w:line="240" w:lineRule="auto"/>
        <w:jc w:val="both"/>
        <w:rPr>
          <w:rFonts w:ascii="Arial" w:hAnsi="Arial" w:cs="Arial"/>
          <w:sz w:val="20"/>
          <w:szCs w:val="20"/>
        </w:rPr>
      </w:pPr>
    </w:p>
    <w:p w14:paraId="49DB76D5" w14:textId="77777777"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 xml:space="preserve">To complement the econometric analysis, machine learning models were employed to assess predictive performance and capture potential nonlinear interactions that ARDL and NARDL specifications may not fully represent. While econometric models focus on long-run relationships and adjustment dynamics, machine learning models prioritize predictive accuracy and flexible </w:t>
      </w:r>
      <w:proofErr w:type="spellStart"/>
      <w:r w:rsidRPr="008C7FF4">
        <w:rPr>
          <w:rFonts w:ascii="Arial" w:hAnsi="Arial" w:cs="Arial"/>
          <w:sz w:val="20"/>
          <w:szCs w:val="20"/>
        </w:rPr>
        <w:t>modeling</w:t>
      </w:r>
      <w:proofErr w:type="spellEnd"/>
      <w:r w:rsidRPr="008C7FF4">
        <w:rPr>
          <w:rFonts w:ascii="Arial" w:hAnsi="Arial" w:cs="Arial"/>
          <w:sz w:val="20"/>
          <w:szCs w:val="20"/>
        </w:rPr>
        <w:t xml:space="preserve"> of complex interactions.</w:t>
      </w:r>
    </w:p>
    <w:p w14:paraId="0B0B9089" w14:textId="77777777" w:rsidR="008C7FF4" w:rsidRDefault="008C7FF4" w:rsidP="008C7FF4">
      <w:pPr>
        <w:spacing w:after="0" w:line="240" w:lineRule="auto"/>
        <w:jc w:val="both"/>
        <w:rPr>
          <w:rFonts w:ascii="Arial" w:hAnsi="Arial" w:cs="Arial"/>
          <w:sz w:val="20"/>
          <w:szCs w:val="20"/>
        </w:rPr>
      </w:pPr>
    </w:p>
    <w:p w14:paraId="036AA625" w14:textId="14F80CB1"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 xml:space="preserve">The predictive framework uses lagged values of trade openness, gross capital formation, inflation, FDI inflows, exports, imports, exchange rate, and world GDP growth to forecast India’s GDP growth. Two nonlinear algorithms, namely Random Forest and </w:t>
      </w:r>
      <w:proofErr w:type="spellStart"/>
      <w:r w:rsidRPr="008C7FF4">
        <w:rPr>
          <w:rFonts w:ascii="Arial" w:hAnsi="Arial" w:cs="Arial"/>
          <w:sz w:val="20"/>
          <w:szCs w:val="20"/>
        </w:rPr>
        <w:t>XGBoost</w:t>
      </w:r>
      <w:proofErr w:type="spellEnd"/>
      <w:r w:rsidRPr="008C7FF4">
        <w:rPr>
          <w:rFonts w:ascii="Arial" w:hAnsi="Arial" w:cs="Arial"/>
          <w:sz w:val="20"/>
          <w:szCs w:val="20"/>
        </w:rPr>
        <w:t>, were estimated and compared with ARDL and NARDL models.</w:t>
      </w:r>
    </w:p>
    <w:p w14:paraId="123A40AD" w14:textId="52C0CF3F" w:rsidR="00707583" w:rsidRPr="0091313D" w:rsidRDefault="00707583" w:rsidP="00EF4B44">
      <w:pPr>
        <w:spacing w:after="0" w:line="240" w:lineRule="auto"/>
        <w:jc w:val="both"/>
        <w:rPr>
          <w:rFonts w:ascii="Arial" w:hAnsi="Arial" w:cs="Arial"/>
          <w:sz w:val="20"/>
          <w:szCs w:val="20"/>
        </w:rPr>
      </w:pPr>
    </w:p>
    <w:p w14:paraId="1CFB5E8A" w14:textId="467CF3D2" w:rsidR="00552731" w:rsidRPr="0091313D" w:rsidRDefault="00552731"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F700C4" w:rsidRPr="0091313D">
        <w:rPr>
          <w:rFonts w:ascii="Arial" w:hAnsi="Arial" w:cs="Arial"/>
          <w:b/>
          <w:bCs/>
          <w:sz w:val="20"/>
          <w:szCs w:val="20"/>
        </w:rPr>
        <w:t>9</w:t>
      </w:r>
      <w:r w:rsidRPr="0091313D">
        <w:rPr>
          <w:rFonts w:ascii="Arial" w:hAnsi="Arial" w:cs="Arial"/>
          <w:b/>
          <w:bCs/>
          <w:sz w:val="20"/>
          <w:szCs w:val="20"/>
        </w:rPr>
        <w:t>. Final Integrated Model Comparison</w:t>
      </w:r>
    </w:p>
    <w:tbl>
      <w:tblPr>
        <w:tblStyle w:val="TableGrid"/>
        <w:tblW w:w="0" w:type="auto"/>
        <w:tblLook w:val="04A0" w:firstRow="1" w:lastRow="0" w:firstColumn="1" w:lastColumn="0" w:noHBand="0" w:noVBand="1"/>
      </w:tblPr>
      <w:tblGrid>
        <w:gridCol w:w="1311"/>
        <w:gridCol w:w="2976"/>
        <w:gridCol w:w="828"/>
        <w:gridCol w:w="3901"/>
      </w:tblGrid>
      <w:tr w:rsidR="00552731" w:rsidRPr="0091313D" w14:paraId="0975639B" w14:textId="77777777" w:rsidTr="00552731">
        <w:tc>
          <w:tcPr>
            <w:tcW w:w="0" w:type="auto"/>
            <w:hideMark/>
          </w:tcPr>
          <w:p w14:paraId="72668A27"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Model</w:t>
            </w:r>
          </w:p>
        </w:tc>
        <w:tc>
          <w:tcPr>
            <w:tcW w:w="0" w:type="auto"/>
            <w:hideMark/>
          </w:tcPr>
          <w:p w14:paraId="62CEF8F2"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Method</w:t>
            </w:r>
          </w:p>
        </w:tc>
        <w:tc>
          <w:tcPr>
            <w:tcW w:w="0" w:type="auto"/>
            <w:hideMark/>
          </w:tcPr>
          <w:p w14:paraId="393142A4"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RMSE</w:t>
            </w:r>
          </w:p>
        </w:tc>
        <w:tc>
          <w:tcPr>
            <w:tcW w:w="0" w:type="auto"/>
            <w:hideMark/>
          </w:tcPr>
          <w:p w14:paraId="31D6688B"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Economic Interpretation</w:t>
            </w:r>
          </w:p>
        </w:tc>
      </w:tr>
      <w:tr w:rsidR="00552731" w:rsidRPr="0091313D" w14:paraId="60DEBDE7" w14:textId="77777777" w:rsidTr="00552731">
        <w:tc>
          <w:tcPr>
            <w:tcW w:w="0" w:type="auto"/>
            <w:hideMark/>
          </w:tcPr>
          <w:p w14:paraId="777AF33E"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ARDL</w:t>
            </w:r>
          </w:p>
        </w:tc>
        <w:tc>
          <w:tcPr>
            <w:tcW w:w="0" w:type="auto"/>
            <w:hideMark/>
          </w:tcPr>
          <w:p w14:paraId="42D28B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Linear long-run and short-run econometric model</w:t>
            </w:r>
          </w:p>
        </w:tc>
        <w:tc>
          <w:tcPr>
            <w:tcW w:w="0" w:type="auto"/>
            <w:hideMark/>
          </w:tcPr>
          <w:p w14:paraId="224768AA"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2.7449</w:t>
            </w:r>
          </w:p>
        </w:tc>
        <w:tc>
          <w:tcPr>
            <w:tcW w:w="0" w:type="auto"/>
            <w:hideMark/>
          </w:tcPr>
          <w:p w14:paraId="28871288"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equilibrium trade-growth relationship</w:t>
            </w:r>
          </w:p>
        </w:tc>
      </w:tr>
      <w:tr w:rsidR="00552731" w:rsidRPr="0091313D" w14:paraId="7D1F377F" w14:textId="77777777" w:rsidTr="00552731">
        <w:tc>
          <w:tcPr>
            <w:tcW w:w="0" w:type="auto"/>
            <w:hideMark/>
          </w:tcPr>
          <w:p w14:paraId="5C28203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NARDL</w:t>
            </w:r>
          </w:p>
        </w:tc>
        <w:tc>
          <w:tcPr>
            <w:tcW w:w="0" w:type="auto"/>
            <w:hideMark/>
          </w:tcPr>
          <w:p w14:paraId="0A69650F"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Asymmetric nonlinear distributed lag model</w:t>
            </w:r>
          </w:p>
        </w:tc>
        <w:tc>
          <w:tcPr>
            <w:tcW w:w="0" w:type="auto"/>
            <w:hideMark/>
          </w:tcPr>
          <w:p w14:paraId="085699F7"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2.5900</w:t>
            </w:r>
          </w:p>
        </w:tc>
        <w:tc>
          <w:tcPr>
            <w:tcW w:w="0" w:type="auto"/>
            <w:hideMark/>
          </w:tcPr>
          <w:p w14:paraId="7D5D3DF7"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asymmetric effects of positive and negative trade shocks</w:t>
            </w:r>
          </w:p>
        </w:tc>
      </w:tr>
      <w:tr w:rsidR="00552731" w:rsidRPr="0091313D" w14:paraId="35493C47" w14:textId="77777777" w:rsidTr="00552731">
        <w:tc>
          <w:tcPr>
            <w:tcW w:w="0" w:type="auto"/>
            <w:hideMark/>
          </w:tcPr>
          <w:p w14:paraId="31A0EC43"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Random Forest</w:t>
            </w:r>
          </w:p>
        </w:tc>
        <w:tc>
          <w:tcPr>
            <w:tcW w:w="0" w:type="auto"/>
            <w:hideMark/>
          </w:tcPr>
          <w:p w14:paraId="05949A30"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Nonlinear ensemble tree-based machine learning</w:t>
            </w:r>
          </w:p>
        </w:tc>
        <w:tc>
          <w:tcPr>
            <w:tcW w:w="0" w:type="auto"/>
            <w:hideMark/>
          </w:tcPr>
          <w:p w14:paraId="30EBE0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3.8875</w:t>
            </w:r>
          </w:p>
        </w:tc>
        <w:tc>
          <w:tcPr>
            <w:tcW w:w="0" w:type="auto"/>
            <w:hideMark/>
          </w:tcPr>
          <w:p w14:paraId="64192FBC"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nonlinear macroeconomic interactions</w:t>
            </w:r>
          </w:p>
        </w:tc>
      </w:tr>
      <w:tr w:rsidR="00552731" w:rsidRPr="0091313D" w14:paraId="7CA08186" w14:textId="77777777" w:rsidTr="00552731">
        <w:tc>
          <w:tcPr>
            <w:tcW w:w="0" w:type="auto"/>
            <w:hideMark/>
          </w:tcPr>
          <w:p w14:paraId="559A48BB" w14:textId="77777777" w:rsidR="00552731" w:rsidRPr="0091313D" w:rsidRDefault="00552731" w:rsidP="00EF4B44">
            <w:pPr>
              <w:jc w:val="both"/>
              <w:rPr>
                <w:rFonts w:ascii="Arial" w:hAnsi="Arial" w:cs="Arial"/>
                <w:sz w:val="20"/>
                <w:szCs w:val="20"/>
              </w:rPr>
            </w:pPr>
            <w:proofErr w:type="spellStart"/>
            <w:r w:rsidRPr="0091313D">
              <w:rPr>
                <w:rFonts w:ascii="Arial" w:hAnsi="Arial" w:cs="Arial"/>
                <w:sz w:val="20"/>
                <w:szCs w:val="20"/>
              </w:rPr>
              <w:t>XGBoost</w:t>
            </w:r>
            <w:proofErr w:type="spellEnd"/>
          </w:p>
        </w:tc>
        <w:tc>
          <w:tcPr>
            <w:tcW w:w="0" w:type="auto"/>
            <w:hideMark/>
          </w:tcPr>
          <w:p w14:paraId="1AE51F14"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Gradient boosting machine learning model</w:t>
            </w:r>
          </w:p>
        </w:tc>
        <w:tc>
          <w:tcPr>
            <w:tcW w:w="0" w:type="auto"/>
            <w:hideMark/>
          </w:tcPr>
          <w:p w14:paraId="62E60061"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3.7690</w:t>
            </w:r>
          </w:p>
        </w:tc>
        <w:tc>
          <w:tcPr>
            <w:tcW w:w="0" w:type="auto"/>
            <w:hideMark/>
          </w:tcPr>
          <w:p w14:paraId="2CA97955"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Provides nonlinear forecasting and interaction effects</w:t>
            </w:r>
          </w:p>
        </w:tc>
      </w:tr>
    </w:tbl>
    <w:p w14:paraId="65ED9B30" w14:textId="77777777" w:rsidR="00552731" w:rsidRPr="0091313D" w:rsidRDefault="00552731" w:rsidP="00EF4B44">
      <w:pPr>
        <w:spacing w:after="0" w:line="240" w:lineRule="auto"/>
        <w:jc w:val="both"/>
        <w:rPr>
          <w:rFonts w:ascii="Arial" w:hAnsi="Arial" w:cs="Arial"/>
          <w:sz w:val="20"/>
          <w:szCs w:val="20"/>
        </w:rPr>
      </w:pPr>
    </w:p>
    <w:p w14:paraId="3F19703D" w14:textId="3D3E7ED5"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Table 9 shows that NARDL slightly outperforms ARDL in terms of predictive accuracy (RMSE 2.59 vs. 2.74). This suggests that allowing for nonlinear decomposition of trade openness improves model fit, although earlier Wald test results indicate that these differences are not statistically significant in terms of asymmetry.</w:t>
      </w:r>
      <w:r>
        <w:rPr>
          <w:rFonts w:ascii="Arial" w:hAnsi="Arial" w:cs="Arial"/>
          <w:sz w:val="20"/>
          <w:szCs w:val="20"/>
        </w:rPr>
        <w:t xml:space="preserve"> </w:t>
      </w:r>
      <w:r w:rsidRPr="008C7FF4">
        <w:rPr>
          <w:rFonts w:ascii="Arial" w:hAnsi="Arial" w:cs="Arial"/>
          <w:sz w:val="20"/>
          <w:szCs w:val="20"/>
        </w:rPr>
        <w:t xml:space="preserve">The machine learning models exhibit higher prediction errors in this dataset, with Random Forest reporting RMSE of 3.89 (R² = 0.16) and </w:t>
      </w:r>
      <w:proofErr w:type="spellStart"/>
      <w:r w:rsidRPr="008C7FF4">
        <w:rPr>
          <w:rFonts w:ascii="Arial" w:hAnsi="Arial" w:cs="Arial"/>
          <w:sz w:val="20"/>
          <w:szCs w:val="20"/>
        </w:rPr>
        <w:t>XGBoost</w:t>
      </w:r>
      <w:proofErr w:type="spellEnd"/>
      <w:r w:rsidRPr="008C7FF4">
        <w:rPr>
          <w:rFonts w:ascii="Arial" w:hAnsi="Arial" w:cs="Arial"/>
          <w:sz w:val="20"/>
          <w:szCs w:val="20"/>
        </w:rPr>
        <w:t xml:space="preserve"> reporting RMSE of 3.77 (R² = 0.21). These results suggest that, despite their flexibility, machine learning models do not outperform econometric approaches in small-sample macroeconomic settings.</w:t>
      </w:r>
      <w:r>
        <w:rPr>
          <w:rFonts w:ascii="Arial" w:hAnsi="Arial" w:cs="Arial"/>
          <w:sz w:val="20"/>
          <w:szCs w:val="20"/>
        </w:rPr>
        <w:t xml:space="preserve"> </w:t>
      </w:r>
      <w:r w:rsidRPr="008C7FF4">
        <w:rPr>
          <w:rFonts w:ascii="Arial" w:hAnsi="Arial" w:cs="Arial"/>
          <w:sz w:val="20"/>
          <w:szCs w:val="20"/>
        </w:rPr>
        <w:t>Walk-forward validation was used to assess out-of-sample forecasting performance. The dataset was split into training and testing subsets using an expanding-window approach, where the model is iteratively re-estimated as new observations are added. This approach preserves temporal ordering and avoids look-ahead bias. The resulting walk-forward RMSE of 2.8918 indicates that the models maintain reasonable predictive stability over time.</w:t>
      </w:r>
    </w:p>
    <w:p w14:paraId="3914C443" w14:textId="77777777" w:rsidR="00B16CEC" w:rsidRDefault="00B16CEC" w:rsidP="00EF4B44">
      <w:pPr>
        <w:spacing w:after="0" w:line="240" w:lineRule="auto"/>
        <w:jc w:val="center"/>
        <w:rPr>
          <w:rFonts w:ascii="Arial" w:hAnsi="Arial" w:cs="Arial"/>
          <w:b/>
          <w:bCs/>
          <w:sz w:val="20"/>
          <w:szCs w:val="20"/>
        </w:rPr>
      </w:pPr>
    </w:p>
    <w:p w14:paraId="57AB6D79" w14:textId="703B96CA" w:rsidR="00707583" w:rsidRPr="0091313D" w:rsidRDefault="00707583"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9263DA" w:rsidRPr="0091313D">
        <w:rPr>
          <w:rFonts w:ascii="Arial" w:hAnsi="Arial" w:cs="Arial"/>
          <w:b/>
          <w:bCs/>
          <w:sz w:val="20"/>
          <w:szCs w:val="20"/>
        </w:rPr>
        <w:t>10</w:t>
      </w:r>
      <w:r w:rsidR="00D22F59" w:rsidRPr="0091313D">
        <w:rPr>
          <w:rFonts w:ascii="Arial" w:hAnsi="Arial" w:cs="Arial"/>
          <w:b/>
          <w:bCs/>
          <w:sz w:val="20"/>
          <w:szCs w:val="20"/>
        </w:rPr>
        <w:t>.</w:t>
      </w:r>
      <w:r w:rsidRPr="0091313D">
        <w:rPr>
          <w:rFonts w:ascii="Arial" w:hAnsi="Arial" w:cs="Arial"/>
          <w:b/>
          <w:bCs/>
          <w:sz w:val="20"/>
          <w:szCs w:val="20"/>
        </w:rPr>
        <w:t xml:space="preserve"> Machine Learning Predictive Performance</w:t>
      </w:r>
    </w:p>
    <w:tbl>
      <w:tblPr>
        <w:tblStyle w:val="TableGrid"/>
        <w:tblW w:w="0" w:type="auto"/>
        <w:jc w:val="center"/>
        <w:tblLook w:val="04A0" w:firstRow="1" w:lastRow="0" w:firstColumn="1" w:lastColumn="0" w:noHBand="0" w:noVBand="1"/>
      </w:tblPr>
      <w:tblGrid>
        <w:gridCol w:w="1595"/>
        <w:gridCol w:w="828"/>
        <w:gridCol w:w="828"/>
        <w:gridCol w:w="828"/>
      </w:tblGrid>
      <w:tr w:rsidR="00707583" w:rsidRPr="0091313D" w14:paraId="72C48CF8" w14:textId="77777777" w:rsidTr="00D22F59">
        <w:trPr>
          <w:jc w:val="center"/>
        </w:trPr>
        <w:tc>
          <w:tcPr>
            <w:tcW w:w="0" w:type="auto"/>
            <w:hideMark/>
          </w:tcPr>
          <w:p w14:paraId="6693A7D3"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Model</w:t>
            </w:r>
          </w:p>
        </w:tc>
        <w:tc>
          <w:tcPr>
            <w:tcW w:w="0" w:type="auto"/>
            <w:hideMark/>
          </w:tcPr>
          <w:p w14:paraId="499A46EF"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RMSE</w:t>
            </w:r>
          </w:p>
        </w:tc>
        <w:tc>
          <w:tcPr>
            <w:tcW w:w="0" w:type="auto"/>
            <w:hideMark/>
          </w:tcPr>
          <w:p w14:paraId="3EA00D46"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MAE</w:t>
            </w:r>
          </w:p>
        </w:tc>
        <w:tc>
          <w:tcPr>
            <w:tcW w:w="0" w:type="auto"/>
            <w:hideMark/>
          </w:tcPr>
          <w:p w14:paraId="1D2A1717"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R²</w:t>
            </w:r>
          </w:p>
        </w:tc>
      </w:tr>
      <w:tr w:rsidR="00707583" w:rsidRPr="0091313D" w14:paraId="50A666EE" w14:textId="77777777" w:rsidTr="00D22F59">
        <w:trPr>
          <w:jc w:val="center"/>
        </w:trPr>
        <w:tc>
          <w:tcPr>
            <w:tcW w:w="0" w:type="auto"/>
            <w:hideMark/>
          </w:tcPr>
          <w:p w14:paraId="7960E819"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Random Forest</w:t>
            </w:r>
          </w:p>
        </w:tc>
        <w:tc>
          <w:tcPr>
            <w:tcW w:w="0" w:type="auto"/>
            <w:hideMark/>
          </w:tcPr>
          <w:p w14:paraId="15B4F767"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3.8875</w:t>
            </w:r>
          </w:p>
        </w:tc>
        <w:tc>
          <w:tcPr>
            <w:tcW w:w="0" w:type="auto"/>
            <w:hideMark/>
          </w:tcPr>
          <w:p w14:paraId="5A83E8AF"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2.4047</w:t>
            </w:r>
          </w:p>
        </w:tc>
        <w:tc>
          <w:tcPr>
            <w:tcW w:w="0" w:type="auto"/>
            <w:hideMark/>
          </w:tcPr>
          <w:p w14:paraId="1182593E"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0.1593</w:t>
            </w:r>
          </w:p>
        </w:tc>
      </w:tr>
      <w:tr w:rsidR="00707583" w:rsidRPr="0091313D" w14:paraId="509210DC" w14:textId="77777777" w:rsidTr="00D22F59">
        <w:trPr>
          <w:jc w:val="center"/>
        </w:trPr>
        <w:tc>
          <w:tcPr>
            <w:tcW w:w="0" w:type="auto"/>
            <w:hideMark/>
          </w:tcPr>
          <w:p w14:paraId="1AC79646" w14:textId="77777777" w:rsidR="00707583" w:rsidRPr="0091313D" w:rsidRDefault="00707583" w:rsidP="00EF4B44">
            <w:pPr>
              <w:jc w:val="both"/>
              <w:rPr>
                <w:rFonts w:ascii="Arial" w:hAnsi="Arial" w:cs="Arial"/>
                <w:sz w:val="20"/>
                <w:szCs w:val="20"/>
              </w:rPr>
            </w:pPr>
            <w:proofErr w:type="spellStart"/>
            <w:r w:rsidRPr="0091313D">
              <w:rPr>
                <w:rFonts w:ascii="Arial" w:hAnsi="Arial" w:cs="Arial"/>
                <w:sz w:val="20"/>
                <w:szCs w:val="20"/>
              </w:rPr>
              <w:t>XGBoost</w:t>
            </w:r>
            <w:proofErr w:type="spellEnd"/>
          </w:p>
        </w:tc>
        <w:tc>
          <w:tcPr>
            <w:tcW w:w="0" w:type="auto"/>
            <w:hideMark/>
          </w:tcPr>
          <w:p w14:paraId="75DCBECA"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3.7690</w:t>
            </w:r>
          </w:p>
        </w:tc>
        <w:tc>
          <w:tcPr>
            <w:tcW w:w="0" w:type="auto"/>
            <w:hideMark/>
          </w:tcPr>
          <w:p w14:paraId="3090308A"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2.3176</w:t>
            </w:r>
          </w:p>
        </w:tc>
        <w:tc>
          <w:tcPr>
            <w:tcW w:w="0" w:type="auto"/>
            <w:hideMark/>
          </w:tcPr>
          <w:p w14:paraId="26A2DA01"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0.2097</w:t>
            </w:r>
          </w:p>
        </w:tc>
      </w:tr>
    </w:tbl>
    <w:p w14:paraId="447A9D58" w14:textId="77777777" w:rsidR="00D22F59" w:rsidRPr="0091313D" w:rsidRDefault="00D22F59" w:rsidP="00EF4B44">
      <w:pPr>
        <w:spacing w:after="0" w:line="240" w:lineRule="auto"/>
        <w:jc w:val="both"/>
        <w:rPr>
          <w:rFonts w:ascii="Arial" w:hAnsi="Arial" w:cs="Arial"/>
          <w:sz w:val="20"/>
          <w:szCs w:val="20"/>
        </w:rPr>
      </w:pPr>
    </w:p>
    <w:p w14:paraId="742997D5" w14:textId="77777777"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While NARDL demonstrates a modest predictive advantage over ARDL, the absence of statistically significant asymmetry suggests that this improvement reflects flexible model structure rather than confirmed asymmetric effects. The machine learning models, despite higher error metrics, provide additional insights into nonlinear relationships and interaction effects among macroeconomic variables.</w:t>
      </w:r>
    </w:p>
    <w:p w14:paraId="7AB2A9A8" w14:textId="77777777"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 xml:space="preserve">To enhance interpretability, SHAP analysis was applied to the </w:t>
      </w:r>
      <w:proofErr w:type="spellStart"/>
      <w:r w:rsidRPr="008C7FF4">
        <w:rPr>
          <w:rFonts w:ascii="Arial" w:hAnsi="Arial" w:cs="Arial"/>
          <w:sz w:val="20"/>
          <w:szCs w:val="20"/>
        </w:rPr>
        <w:t>XGBoost</w:t>
      </w:r>
      <w:proofErr w:type="spellEnd"/>
      <w:r w:rsidRPr="008C7FF4">
        <w:rPr>
          <w:rFonts w:ascii="Arial" w:hAnsi="Arial" w:cs="Arial"/>
          <w:sz w:val="20"/>
          <w:szCs w:val="20"/>
        </w:rPr>
        <w:t xml:space="preserve"> model. The results indicate that lagged trade openness, global GDP growth, and gross capital formation are among the most influential predictors of economic growth. These findings are broadly consistent with the econometric results, reinforcing the robustness of the identified growth drivers across different methodological approaches.</w:t>
      </w:r>
    </w:p>
    <w:p w14:paraId="50144A5B" w14:textId="36444576" w:rsidR="00707583" w:rsidRDefault="00707583" w:rsidP="00EF4B44">
      <w:pPr>
        <w:spacing w:after="0" w:line="240" w:lineRule="auto"/>
        <w:jc w:val="both"/>
        <w:rPr>
          <w:rFonts w:ascii="Arial" w:hAnsi="Arial" w:cs="Arial"/>
          <w:sz w:val="20"/>
          <w:szCs w:val="20"/>
        </w:rPr>
      </w:pPr>
    </w:p>
    <w:p w14:paraId="36EB94AA" w14:textId="77777777" w:rsidR="00B16CEC" w:rsidRPr="0091313D" w:rsidRDefault="00B16CEC" w:rsidP="00EF4B44">
      <w:pPr>
        <w:spacing w:after="0" w:line="240" w:lineRule="auto"/>
        <w:jc w:val="both"/>
        <w:rPr>
          <w:rFonts w:ascii="Arial" w:hAnsi="Arial" w:cs="Arial"/>
          <w:sz w:val="20"/>
          <w:szCs w:val="20"/>
        </w:rPr>
      </w:pPr>
    </w:p>
    <w:p w14:paraId="59952CC4" w14:textId="5570587A" w:rsidR="00D22F59" w:rsidRPr="0091313D" w:rsidRDefault="00D22F59"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7E281DAA" wp14:editId="23A138C7">
            <wp:extent cx="5731510" cy="3131185"/>
            <wp:effectExtent l="19050" t="19050" r="21590" b="12065"/>
            <wp:docPr id="162191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solidFill>
                        <a:schemeClr val="tx1"/>
                      </a:solidFill>
                    </a:ln>
                  </pic:spPr>
                </pic:pic>
              </a:graphicData>
            </a:graphic>
          </wp:inline>
        </w:drawing>
      </w:r>
    </w:p>
    <w:p w14:paraId="386E398E" w14:textId="5E9A5FD5" w:rsidR="00D22F59" w:rsidRPr="0091313D" w:rsidRDefault="00D22F59"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384D22" w:rsidRPr="0091313D">
        <w:rPr>
          <w:rFonts w:ascii="Arial" w:hAnsi="Arial" w:cs="Arial"/>
          <w:b/>
          <w:bCs/>
          <w:sz w:val="20"/>
          <w:szCs w:val="20"/>
        </w:rPr>
        <w:t>8</w:t>
      </w:r>
      <w:r w:rsidRPr="0091313D">
        <w:rPr>
          <w:rFonts w:ascii="Arial" w:hAnsi="Arial" w:cs="Arial"/>
          <w:b/>
          <w:bCs/>
          <w:sz w:val="20"/>
          <w:szCs w:val="20"/>
        </w:rPr>
        <w:t>. Actual vs Predicted GDP Growth Using Machine Learning Models</w:t>
      </w:r>
    </w:p>
    <w:p w14:paraId="7AD8514E" w14:textId="77777777" w:rsidR="00B16CEC" w:rsidRDefault="00B16CEC" w:rsidP="00EF4B44">
      <w:pPr>
        <w:spacing w:after="0" w:line="240" w:lineRule="auto"/>
        <w:jc w:val="both"/>
        <w:rPr>
          <w:rFonts w:ascii="Arial" w:hAnsi="Arial" w:cs="Arial"/>
          <w:sz w:val="20"/>
          <w:szCs w:val="20"/>
        </w:rPr>
      </w:pPr>
    </w:p>
    <w:p w14:paraId="35756C63" w14:textId="4D3B6681"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384D22" w:rsidRPr="0091313D">
        <w:rPr>
          <w:rFonts w:ascii="Arial" w:hAnsi="Arial" w:cs="Arial"/>
          <w:sz w:val="20"/>
          <w:szCs w:val="20"/>
        </w:rPr>
        <w:t>8</w:t>
      </w:r>
      <w:r w:rsidRPr="0091313D">
        <w:rPr>
          <w:rFonts w:ascii="Arial" w:hAnsi="Arial" w:cs="Arial"/>
          <w:sz w:val="20"/>
          <w:szCs w:val="20"/>
        </w:rPr>
        <w:t xml:space="preserve"> plots actual GDP growth against machine learning predictions. The models track medium-term movements reasonably well, but errors widen sharply during the Global Financial Crisis and the COVID-19 contraction. Abrupt, large-scale disruptions are where data-driven methods struggle most </w:t>
      </w:r>
      <w:r w:rsidR="00D22F59" w:rsidRPr="0091313D">
        <w:rPr>
          <w:rFonts w:ascii="Arial" w:hAnsi="Arial" w:cs="Arial"/>
          <w:sz w:val="20"/>
          <w:szCs w:val="20"/>
        </w:rPr>
        <w:t>-</w:t>
      </w:r>
      <w:r w:rsidRPr="0091313D">
        <w:rPr>
          <w:rFonts w:ascii="Arial" w:hAnsi="Arial" w:cs="Arial"/>
          <w:sz w:val="20"/>
          <w:szCs w:val="20"/>
        </w:rPr>
        <w:t xml:space="preserve"> there simply is not enough historical precedent to learn from.</w:t>
      </w:r>
    </w:p>
    <w:p w14:paraId="74CBD7F2" w14:textId="40D63A7E" w:rsidR="00707583" w:rsidRDefault="00707583" w:rsidP="00EF4B44">
      <w:pPr>
        <w:spacing w:after="0" w:line="240" w:lineRule="auto"/>
        <w:jc w:val="both"/>
        <w:rPr>
          <w:rFonts w:ascii="Arial" w:hAnsi="Arial" w:cs="Arial"/>
          <w:sz w:val="20"/>
          <w:szCs w:val="20"/>
        </w:rPr>
      </w:pPr>
      <w:r w:rsidRPr="0091313D">
        <w:rPr>
          <w:rFonts w:ascii="Arial" w:hAnsi="Arial" w:cs="Arial"/>
          <w:sz w:val="20"/>
          <w:szCs w:val="20"/>
        </w:rPr>
        <w:t>SHAP (</w:t>
      </w:r>
      <w:proofErr w:type="spellStart"/>
      <w:r w:rsidRPr="0091313D">
        <w:rPr>
          <w:rFonts w:ascii="Arial" w:hAnsi="Arial" w:cs="Arial"/>
          <w:sz w:val="20"/>
          <w:szCs w:val="20"/>
        </w:rPr>
        <w:t>SHapley</w:t>
      </w:r>
      <w:proofErr w:type="spellEnd"/>
      <w:r w:rsidRPr="0091313D">
        <w:rPr>
          <w:rFonts w:ascii="Arial" w:hAnsi="Arial" w:cs="Arial"/>
          <w:sz w:val="20"/>
          <w:szCs w:val="20"/>
        </w:rPr>
        <w:t xml:space="preserve"> Additive </w:t>
      </w:r>
      <w:proofErr w:type="spellStart"/>
      <w:r w:rsidRPr="0091313D">
        <w:rPr>
          <w:rFonts w:ascii="Arial" w:hAnsi="Arial" w:cs="Arial"/>
          <w:sz w:val="20"/>
          <w:szCs w:val="20"/>
        </w:rPr>
        <w:t>exPlanations</w:t>
      </w:r>
      <w:proofErr w:type="spellEnd"/>
      <w:r w:rsidRPr="0091313D">
        <w:rPr>
          <w:rFonts w:ascii="Arial" w:hAnsi="Arial" w:cs="Arial"/>
          <w:sz w:val="20"/>
          <w:szCs w:val="20"/>
        </w:rPr>
        <w:t xml:space="preserve">) was applied to get inside the machine learning models and move past black-box predictions. Figure </w:t>
      </w:r>
      <w:r w:rsidR="00384D22" w:rsidRPr="0091313D">
        <w:rPr>
          <w:rFonts w:ascii="Arial" w:hAnsi="Arial" w:cs="Arial"/>
          <w:sz w:val="20"/>
          <w:szCs w:val="20"/>
        </w:rPr>
        <w:t>9</w:t>
      </w:r>
      <w:r w:rsidRPr="0091313D">
        <w:rPr>
          <w:rFonts w:ascii="Arial" w:hAnsi="Arial" w:cs="Arial"/>
          <w:sz w:val="20"/>
          <w:szCs w:val="20"/>
        </w:rPr>
        <w:t xml:space="preserve"> shows the summary plot. Variables are ranked by overall contribution on the vertical axis; the horizontal axis shows direction and magnitude. Blue points correspond to low variable values, red to high.</w:t>
      </w:r>
    </w:p>
    <w:p w14:paraId="6CF65E45" w14:textId="189A2415" w:rsidR="008C7FF4" w:rsidRPr="0091313D" w:rsidRDefault="008C7FF4" w:rsidP="00EF4B44">
      <w:pPr>
        <w:spacing w:after="0" w:line="240" w:lineRule="auto"/>
        <w:jc w:val="both"/>
        <w:rPr>
          <w:rFonts w:ascii="Arial" w:hAnsi="Arial" w:cs="Arial"/>
          <w:sz w:val="20"/>
          <w:szCs w:val="20"/>
        </w:rPr>
      </w:pPr>
    </w:p>
    <w:p w14:paraId="60482272" w14:textId="4BB0FF4D" w:rsidR="00D22F59" w:rsidRPr="0091313D" w:rsidRDefault="00D22F59"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3FA0EB52" wp14:editId="04EAA7F7">
            <wp:extent cx="5731510" cy="2693670"/>
            <wp:effectExtent l="19050" t="19050" r="21590" b="11430"/>
            <wp:docPr id="1708231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solidFill>
                        <a:schemeClr val="tx1"/>
                      </a:solidFill>
                    </a:ln>
                  </pic:spPr>
                </pic:pic>
              </a:graphicData>
            </a:graphic>
          </wp:inline>
        </w:drawing>
      </w:r>
    </w:p>
    <w:p w14:paraId="7F0C3D69" w14:textId="7B8704D1" w:rsidR="00AD0E91" w:rsidRPr="0091313D" w:rsidRDefault="00AD0E91"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384D22" w:rsidRPr="0091313D">
        <w:rPr>
          <w:rFonts w:ascii="Arial" w:hAnsi="Arial" w:cs="Arial"/>
          <w:b/>
          <w:bCs/>
          <w:sz w:val="20"/>
          <w:szCs w:val="20"/>
        </w:rPr>
        <w:t>9</w:t>
      </w:r>
      <w:r w:rsidRPr="0091313D">
        <w:rPr>
          <w:rFonts w:ascii="Arial" w:hAnsi="Arial" w:cs="Arial"/>
          <w:b/>
          <w:bCs/>
          <w:sz w:val="20"/>
          <w:szCs w:val="20"/>
        </w:rPr>
        <w:t xml:space="preserve">. </w:t>
      </w:r>
      <w:r w:rsidR="00744B5C" w:rsidRPr="0091313D">
        <w:rPr>
          <w:rFonts w:ascii="Arial" w:hAnsi="Arial" w:cs="Arial"/>
          <w:b/>
          <w:bCs/>
          <w:sz w:val="20"/>
          <w:szCs w:val="20"/>
        </w:rPr>
        <w:t>SHAP Analysis of</w:t>
      </w:r>
      <w:r w:rsidR="00AC22A8" w:rsidRPr="0091313D">
        <w:rPr>
          <w:rFonts w:ascii="Arial" w:hAnsi="Arial" w:cs="Arial"/>
          <w:b/>
          <w:bCs/>
          <w:sz w:val="20"/>
          <w:szCs w:val="20"/>
        </w:rPr>
        <w:t xml:space="preserve"> </w:t>
      </w:r>
      <w:proofErr w:type="spellStart"/>
      <w:r w:rsidR="008C7FF4">
        <w:rPr>
          <w:rFonts w:ascii="Arial" w:hAnsi="Arial" w:cs="Arial"/>
          <w:b/>
          <w:bCs/>
          <w:sz w:val="20"/>
          <w:szCs w:val="20"/>
        </w:rPr>
        <w:t>XG</w:t>
      </w:r>
      <w:r w:rsidR="00D14483">
        <w:rPr>
          <w:rFonts w:ascii="Arial" w:hAnsi="Arial" w:cs="Arial"/>
          <w:b/>
          <w:bCs/>
          <w:sz w:val="20"/>
          <w:szCs w:val="20"/>
        </w:rPr>
        <w:t>Boost</w:t>
      </w:r>
      <w:proofErr w:type="spellEnd"/>
      <w:r w:rsidR="00AC22A8" w:rsidRPr="0091313D">
        <w:rPr>
          <w:rFonts w:ascii="Arial" w:hAnsi="Arial" w:cs="Arial"/>
          <w:b/>
          <w:bCs/>
          <w:sz w:val="20"/>
          <w:szCs w:val="20"/>
        </w:rPr>
        <w:t xml:space="preserve"> Model</w:t>
      </w:r>
    </w:p>
    <w:p w14:paraId="1E66A839" w14:textId="77777777" w:rsidR="00B16CEC" w:rsidRDefault="00B16CEC" w:rsidP="00EF4B44">
      <w:pPr>
        <w:spacing w:after="0" w:line="240" w:lineRule="auto"/>
        <w:jc w:val="both"/>
        <w:rPr>
          <w:rFonts w:ascii="Arial" w:hAnsi="Arial" w:cs="Arial"/>
          <w:sz w:val="20"/>
          <w:szCs w:val="20"/>
        </w:rPr>
      </w:pPr>
    </w:p>
    <w:p w14:paraId="4B2851C7" w14:textId="06B30F82"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Lagged trade openness ranks first. Higher prior-period openness consistently produces positive SHAP values; lower openness does the opposite. That result sits squarely with the ARDL and NARDL evidence for trade-led growth.</w:t>
      </w:r>
    </w:p>
    <w:p w14:paraId="64D62AAA" w14:textId="003121CD"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Gross capital formation ranks second </w:t>
      </w:r>
      <w:r w:rsidR="00D22F59" w:rsidRPr="0091313D">
        <w:rPr>
          <w:rFonts w:ascii="Arial" w:hAnsi="Arial" w:cs="Arial"/>
          <w:sz w:val="20"/>
          <w:szCs w:val="20"/>
        </w:rPr>
        <w:t>with</w:t>
      </w:r>
      <w:r w:rsidRPr="0091313D">
        <w:rPr>
          <w:rFonts w:ascii="Arial" w:hAnsi="Arial" w:cs="Arial"/>
          <w:sz w:val="20"/>
          <w:szCs w:val="20"/>
        </w:rPr>
        <w:t xml:space="preserve"> high investment activity pushes predictions upward, consistent with the long-run ARDL coefficient. World GDP growth follows the same pattern, reflecting how tightly India's growth tracks the global cycle.</w:t>
      </w:r>
    </w:p>
    <w:p w14:paraId="072FA0C4" w14:textId="6F84AAB9"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Inflation runs the other way. High inflation values cluster on the negative side of the distribution, consistent with price instability weighing on growth. Exports contribute positively but less strongly than aggregate trade openness. FDI and imports sit close to zero </w:t>
      </w:r>
      <w:r w:rsidR="00D22F59" w:rsidRPr="0091313D">
        <w:rPr>
          <w:rFonts w:ascii="Arial" w:hAnsi="Arial" w:cs="Arial"/>
          <w:sz w:val="20"/>
          <w:szCs w:val="20"/>
        </w:rPr>
        <w:t>and</w:t>
      </w:r>
      <w:r w:rsidRPr="0091313D">
        <w:rPr>
          <w:rFonts w:ascii="Arial" w:hAnsi="Arial" w:cs="Arial"/>
          <w:sz w:val="20"/>
          <w:szCs w:val="20"/>
        </w:rPr>
        <w:t xml:space="preserve"> their marginal predictive contribution is small within this specification.</w:t>
      </w:r>
    </w:p>
    <w:p w14:paraId="49372CFC" w14:textId="77777777"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The SHAP results and the econometric findings are pointing in the same direction. Trade integration supports growth during stable periods; contractions in openness and adverse external shocks hit harder than equivalent expansions help. Two methods, same asymmetry.</w:t>
      </w:r>
    </w:p>
    <w:p w14:paraId="64C598B6" w14:textId="75D7D229" w:rsidR="00707583" w:rsidRDefault="00707583" w:rsidP="00EF4B44">
      <w:pPr>
        <w:spacing w:after="0" w:line="240" w:lineRule="auto"/>
        <w:jc w:val="both"/>
        <w:rPr>
          <w:rFonts w:ascii="Arial" w:hAnsi="Arial" w:cs="Arial"/>
          <w:sz w:val="20"/>
          <w:szCs w:val="20"/>
        </w:rPr>
      </w:pPr>
      <w:r w:rsidRPr="0091313D">
        <w:rPr>
          <w:rFonts w:ascii="Arial" w:hAnsi="Arial" w:cs="Arial"/>
          <w:sz w:val="20"/>
          <w:szCs w:val="20"/>
        </w:rPr>
        <w:t>The ARDL, NARDL, and machine learning models are telling a consistent story. Econometrics provides the interpretable long-run structure; machine learning surfaces the nonlinear interactions. Trade openness contributes positively to India</w:t>
      </w:r>
      <w:r w:rsidR="00D22F59" w:rsidRPr="0091313D">
        <w:rPr>
          <w:rFonts w:ascii="Arial" w:hAnsi="Arial" w:cs="Arial"/>
          <w:sz w:val="20"/>
          <w:szCs w:val="20"/>
        </w:rPr>
        <w:t>’</w:t>
      </w:r>
      <w:r w:rsidRPr="0091313D">
        <w:rPr>
          <w:rFonts w:ascii="Arial" w:hAnsi="Arial" w:cs="Arial"/>
          <w:sz w:val="20"/>
          <w:szCs w:val="20"/>
        </w:rPr>
        <w:t xml:space="preserve">s growth, but how much and in which direction depends on global conditions, investment </w:t>
      </w:r>
      <w:proofErr w:type="spellStart"/>
      <w:r w:rsidRPr="0091313D">
        <w:rPr>
          <w:rFonts w:ascii="Arial" w:hAnsi="Arial" w:cs="Arial"/>
          <w:sz w:val="20"/>
          <w:szCs w:val="20"/>
        </w:rPr>
        <w:t>behavior</w:t>
      </w:r>
      <w:proofErr w:type="spellEnd"/>
      <w:r w:rsidRPr="0091313D">
        <w:rPr>
          <w:rFonts w:ascii="Arial" w:hAnsi="Arial" w:cs="Arial"/>
          <w:sz w:val="20"/>
          <w:szCs w:val="20"/>
        </w:rPr>
        <w:t>, inflation, and whether trade is expanding or contracting.</w:t>
      </w:r>
    </w:p>
    <w:p w14:paraId="08FFB449" w14:textId="77777777" w:rsidR="006615B5" w:rsidRDefault="006615B5" w:rsidP="00EF4B44">
      <w:pPr>
        <w:spacing w:after="0" w:line="240" w:lineRule="auto"/>
        <w:jc w:val="both"/>
        <w:rPr>
          <w:rFonts w:ascii="Arial" w:hAnsi="Arial" w:cs="Arial"/>
          <w:sz w:val="20"/>
          <w:szCs w:val="20"/>
        </w:rPr>
      </w:pPr>
    </w:p>
    <w:p w14:paraId="1730EF81" w14:textId="003EC41B" w:rsidR="006615B5" w:rsidRDefault="006615B5" w:rsidP="00EF4B44">
      <w:pPr>
        <w:spacing w:after="0" w:line="240" w:lineRule="auto"/>
        <w:jc w:val="both"/>
        <w:rPr>
          <w:rFonts w:ascii="Arial" w:hAnsi="Arial" w:cs="Arial"/>
          <w:b/>
          <w:bCs/>
        </w:rPr>
      </w:pPr>
      <w:r w:rsidRPr="006615B5">
        <w:rPr>
          <w:rFonts w:ascii="Arial" w:hAnsi="Arial" w:cs="Arial"/>
          <w:b/>
          <w:bCs/>
        </w:rPr>
        <w:t>5. Conclusion</w:t>
      </w:r>
      <w:r w:rsidR="008C3E5B">
        <w:rPr>
          <w:rFonts w:ascii="Arial" w:hAnsi="Arial" w:cs="Arial"/>
          <w:b/>
          <w:bCs/>
        </w:rPr>
        <w:t>, Limitations</w:t>
      </w:r>
      <w:r w:rsidRPr="006615B5">
        <w:rPr>
          <w:rFonts w:ascii="Arial" w:hAnsi="Arial" w:cs="Arial"/>
          <w:b/>
          <w:bCs/>
        </w:rPr>
        <w:t xml:space="preserve"> and Policy Implications</w:t>
      </w:r>
    </w:p>
    <w:p w14:paraId="738F847E" w14:textId="3FB4845E"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 xml:space="preserve">This study examines the trade–growth relationship in India using ARDL and NARDL models alongside Random Forest, </w:t>
      </w:r>
      <w:proofErr w:type="spellStart"/>
      <w:r w:rsidRPr="008C3E5B">
        <w:rPr>
          <w:rFonts w:ascii="Arial" w:hAnsi="Arial" w:cs="Arial"/>
          <w:sz w:val="20"/>
          <w:szCs w:val="20"/>
        </w:rPr>
        <w:t>XGBoost</w:t>
      </w:r>
      <w:proofErr w:type="spellEnd"/>
      <w:r w:rsidRPr="008C3E5B">
        <w:rPr>
          <w:rFonts w:ascii="Arial" w:hAnsi="Arial" w:cs="Arial"/>
          <w:sz w:val="20"/>
          <w:szCs w:val="20"/>
        </w:rPr>
        <w:t>, and SHAP-based interpretation. A stable long-run cointegrating relationship between trade openness and economic growth holds up but it is conditional and sensitive to macroeconomic context, not strongly asymmetric in any statistical sense.</w:t>
      </w:r>
      <w:r>
        <w:rPr>
          <w:rFonts w:ascii="Arial" w:hAnsi="Arial" w:cs="Arial"/>
          <w:sz w:val="20"/>
          <w:szCs w:val="20"/>
        </w:rPr>
        <w:t xml:space="preserve"> </w:t>
      </w:r>
      <w:r w:rsidRPr="008C3E5B">
        <w:rPr>
          <w:rFonts w:ascii="Arial" w:hAnsi="Arial" w:cs="Arial"/>
          <w:sz w:val="20"/>
          <w:szCs w:val="20"/>
        </w:rPr>
        <w:t>NARDL estimates show differences in how positive and negative trade shocks affect output, but the Wald test does not confirm significant asymmetry. The coefficients differ; that difference is not robust enough to call structural. The trade–growth relationship in India reads better as context-dependent than as asymmetric.</w:t>
      </w:r>
    </w:p>
    <w:p w14:paraId="36ED91E1" w14:textId="77777777" w:rsidR="008C3E5B" w:rsidRDefault="008C3E5B" w:rsidP="008C3E5B">
      <w:pPr>
        <w:spacing w:after="0" w:line="240" w:lineRule="auto"/>
        <w:jc w:val="both"/>
        <w:rPr>
          <w:rFonts w:ascii="Arial" w:hAnsi="Arial" w:cs="Arial"/>
          <w:sz w:val="20"/>
          <w:szCs w:val="20"/>
        </w:rPr>
      </w:pPr>
    </w:p>
    <w:p w14:paraId="7BCA2B91" w14:textId="443D8970"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World GDP growth is the strongest predictor of India's output across all model specifications by some distance. Domestic investment contributes positively but with a smaller effect. Trade openness does not drive short-run growth on its own; it works through investment, productivity, and external demand rather than directly.</w:t>
      </w:r>
      <w:r>
        <w:rPr>
          <w:rFonts w:ascii="Arial" w:hAnsi="Arial" w:cs="Arial"/>
          <w:sz w:val="20"/>
          <w:szCs w:val="20"/>
        </w:rPr>
        <w:t xml:space="preserve"> </w:t>
      </w:r>
      <w:r w:rsidRPr="008C3E5B">
        <w:rPr>
          <w:rFonts w:ascii="Arial" w:hAnsi="Arial" w:cs="Arial"/>
          <w:sz w:val="20"/>
          <w:szCs w:val="20"/>
        </w:rPr>
        <w:t>The causality evidence is split. The standard Granger test finds short-run causality running from trade to growth; the Toda–Yamamoto approach does not. The causal link does not survive a more demanding method. Trade openness appears to be one of several interacting factors, not a dominant driver.</w:t>
      </w:r>
      <w:r>
        <w:rPr>
          <w:rFonts w:ascii="Arial" w:hAnsi="Arial" w:cs="Arial"/>
          <w:sz w:val="20"/>
          <w:szCs w:val="20"/>
        </w:rPr>
        <w:t xml:space="preserve"> </w:t>
      </w:r>
      <w:r w:rsidRPr="008C3E5B">
        <w:rPr>
          <w:rFonts w:ascii="Arial" w:hAnsi="Arial" w:cs="Arial"/>
          <w:sz w:val="20"/>
          <w:szCs w:val="20"/>
        </w:rPr>
        <w:t xml:space="preserve">The machine learning results land in the same place as the econometrics. Random Forest and </w:t>
      </w:r>
      <w:proofErr w:type="spellStart"/>
      <w:r w:rsidRPr="008C3E5B">
        <w:rPr>
          <w:rFonts w:ascii="Arial" w:hAnsi="Arial" w:cs="Arial"/>
          <w:sz w:val="20"/>
          <w:szCs w:val="20"/>
        </w:rPr>
        <w:t>XGBoost</w:t>
      </w:r>
      <w:proofErr w:type="spellEnd"/>
      <w:r w:rsidRPr="008C3E5B">
        <w:rPr>
          <w:rFonts w:ascii="Arial" w:hAnsi="Arial" w:cs="Arial"/>
          <w:sz w:val="20"/>
          <w:szCs w:val="20"/>
        </w:rPr>
        <w:t xml:space="preserve"> produce higher prediction errors than ARDL and NARDL, but SHAP analysis identifies lagged trade openness, global growth, and capital formation as the most influential predictors</w:t>
      </w:r>
      <w:r>
        <w:rPr>
          <w:rFonts w:ascii="Arial" w:hAnsi="Arial" w:cs="Arial"/>
          <w:sz w:val="20"/>
          <w:szCs w:val="20"/>
        </w:rPr>
        <w:t>,</w:t>
      </w:r>
      <w:r w:rsidRPr="008C3E5B">
        <w:rPr>
          <w:rFonts w:ascii="Arial" w:hAnsi="Arial" w:cs="Arial"/>
          <w:sz w:val="20"/>
          <w:szCs w:val="20"/>
        </w:rPr>
        <w:t xml:space="preserve"> the same variables the econometric models highlight. The agreement across methods adds confidence, and it shows what machine learning brings to this kind of analysis: a way to surface nonlinear interactions that standard models are not built to catch.</w:t>
      </w:r>
    </w:p>
    <w:p w14:paraId="71CDD11E" w14:textId="77777777" w:rsidR="008C3E5B" w:rsidRDefault="008C3E5B" w:rsidP="008C3E5B">
      <w:pPr>
        <w:spacing w:after="0" w:line="240" w:lineRule="auto"/>
        <w:jc w:val="both"/>
        <w:rPr>
          <w:rFonts w:ascii="Arial" w:hAnsi="Arial" w:cs="Arial"/>
          <w:sz w:val="20"/>
          <w:szCs w:val="20"/>
        </w:rPr>
      </w:pPr>
    </w:p>
    <w:p w14:paraId="15F663EC" w14:textId="7FF19428"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For policy, the case for stable and predictable trade regimes rests not on confirmed asymmetric effects but on the sensitivity of growth outcomes to external shocks and domestic policy conditions. India's dependence on global cycles is a vulnerability. Export diversification, stronger domestic demand, and adequate foreign exchange buffers are reasonable responses to it. Domestic investment quality matters more than volume, particularly the extent to which capital inflows translate into productivity gains.</w:t>
      </w:r>
    </w:p>
    <w:p w14:paraId="28640D28" w14:textId="14B354BE"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 xml:space="preserve">Exchange rate management and inflation control are not optional extras </w:t>
      </w:r>
      <w:r>
        <w:rPr>
          <w:rFonts w:ascii="Arial" w:hAnsi="Arial" w:cs="Arial"/>
          <w:sz w:val="20"/>
          <w:szCs w:val="20"/>
        </w:rPr>
        <w:t>and</w:t>
      </w:r>
      <w:r w:rsidRPr="008C3E5B">
        <w:rPr>
          <w:rFonts w:ascii="Arial" w:hAnsi="Arial" w:cs="Arial"/>
          <w:sz w:val="20"/>
          <w:szCs w:val="20"/>
        </w:rPr>
        <w:t xml:space="preserve"> they are conditions for trade openness to convert into sustained growth at all. And since the data do not support strong asymmetry, there is little basis for treating expansions and contractions differently in policy terms. Consistency matters more than calibration.</w:t>
      </w:r>
    </w:p>
    <w:p w14:paraId="6853E5D3" w14:textId="77777777" w:rsidR="008C3E5B" w:rsidRDefault="008C3E5B" w:rsidP="008C3E5B">
      <w:pPr>
        <w:spacing w:after="0" w:line="240" w:lineRule="auto"/>
        <w:jc w:val="both"/>
        <w:rPr>
          <w:rFonts w:ascii="Arial" w:hAnsi="Arial" w:cs="Arial"/>
          <w:sz w:val="20"/>
          <w:szCs w:val="20"/>
        </w:rPr>
      </w:pPr>
    </w:p>
    <w:p w14:paraId="215988C1" w14:textId="4B4BBE52"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The study has real limits. Annual data over fifty years is not a large sample for detecting subtle nonlinear effects. Structural breaks from the 1991 liberalization, the financial crisis, and COVID-19 are not explicitly modelled. Institutional quality, financial development, and policy uncertainty are excluded, and their absence likely shows. Machine learning performance is bounded by dataset size, and SHAP values measure importance not causality.</w:t>
      </w:r>
    </w:p>
    <w:p w14:paraId="02E02A0F" w14:textId="6664D319"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 xml:space="preserve">Trade openness can support growth in India. Whether it does </w:t>
      </w:r>
      <w:r w:rsidRPr="008C3E5B">
        <w:rPr>
          <w:rFonts w:ascii="Arial" w:hAnsi="Arial" w:cs="Arial"/>
          <w:sz w:val="20"/>
          <w:szCs w:val="20"/>
        </w:rPr>
        <w:t>depend</w:t>
      </w:r>
      <w:r w:rsidRPr="008C3E5B">
        <w:rPr>
          <w:rFonts w:ascii="Arial" w:hAnsi="Arial" w:cs="Arial"/>
          <w:sz w:val="20"/>
          <w:szCs w:val="20"/>
        </w:rPr>
        <w:t xml:space="preserve"> on what else is happening globally, domestically, and in the policy environment more than on how open the economy is.</w:t>
      </w:r>
    </w:p>
    <w:p w14:paraId="3A523846" w14:textId="04763203" w:rsidR="009834F6" w:rsidRPr="009834F6" w:rsidRDefault="009834F6" w:rsidP="009834F6">
      <w:pPr>
        <w:spacing w:after="0" w:line="240" w:lineRule="auto"/>
        <w:jc w:val="both"/>
        <w:rPr>
          <w:rFonts w:ascii="Arial" w:hAnsi="Arial" w:cs="Arial"/>
          <w:sz w:val="20"/>
          <w:szCs w:val="20"/>
        </w:rPr>
      </w:pPr>
    </w:p>
    <w:p w14:paraId="10E6927D" w14:textId="253E9946" w:rsidR="00DC1AA6" w:rsidRDefault="00DC1AA6" w:rsidP="009834F6">
      <w:pPr>
        <w:spacing w:after="0" w:line="240" w:lineRule="auto"/>
        <w:jc w:val="both"/>
        <w:rPr>
          <w:rFonts w:ascii="Arial" w:hAnsi="Arial" w:cs="Arial"/>
          <w:sz w:val="20"/>
          <w:szCs w:val="20"/>
        </w:rPr>
      </w:pPr>
    </w:p>
    <w:p w14:paraId="6F29E9F7" w14:textId="77777777" w:rsidR="00CE5723" w:rsidRPr="00005ED1" w:rsidRDefault="00CE5723" w:rsidP="00CE5723">
      <w:pPr>
        <w:pStyle w:val="NoSpacing"/>
        <w:rPr>
          <w:rFonts w:ascii="Arial" w:hAnsi="Arial" w:cs="Arial"/>
          <w:highlight w:val="yellow"/>
        </w:rPr>
      </w:pPr>
      <w:bookmarkStart w:id="0" w:name="_Hlk226454370"/>
      <w:bookmarkStart w:id="1" w:name="_Hlk218868534"/>
      <w:bookmarkStart w:id="2" w:name="_Hlk221624953"/>
      <w:r w:rsidRPr="00005ED1">
        <w:rPr>
          <w:rFonts w:ascii="Arial" w:hAnsi="Arial" w:cs="Arial"/>
          <w:highlight w:val="yellow"/>
        </w:rPr>
        <w:t>Disclaimer (Artificial intelligence)</w:t>
      </w:r>
    </w:p>
    <w:p w14:paraId="36018B30" w14:textId="77777777" w:rsidR="00CE5723" w:rsidRPr="00005ED1" w:rsidRDefault="00CE5723" w:rsidP="00CE5723">
      <w:pPr>
        <w:pStyle w:val="NoSpacing"/>
        <w:rPr>
          <w:rFonts w:ascii="Arial" w:hAnsi="Arial" w:cs="Arial"/>
          <w:highlight w:val="yellow"/>
        </w:rPr>
      </w:pPr>
    </w:p>
    <w:p w14:paraId="74457DFC" w14:textId="77777777" w:rsidR="00CE5723" w:rsidRDefault="00CE5723" w:rsidP="008C3E5B">
      <w:pPr>
        <w:pStyle w:val="NoSpacing"/>
        <w:jc w:val="both"/>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1"/>
    </w:p>
    <w:bookmarkEnd w:id="2"/>
    <w:p w14:paraId="28FF2CAD" w14:textId="77777777" w:rsidR="00CE5723" w:rsidRDefault="00CE5723" w:rsidP="00CE5723">
      <w:pPr>
        <w:pStyle w:val="NoSpacing"/>
        <w:rPr>
          <w:rFonts w:ascii="Arial" w:hAnsi="Arial" w:cs="Arial"/>
          <w:highlight w:val="yellow"/>
        </w:rPr>
      </w:pPr>
    </w:p>
    <w:bookmarkEnd w:id="0"/>
    <w:p w14:paraId="732B84B4" w14:textId="77777777" w:rsidR="00CE5723" w:rsidRDefault="00CE5723" w:rsidP="009834F6">
      <w:pPr>
        <w:spacing w:after="0" w:line="240" w:lineRule="auto"/>
        <w:jc w:val="both"/>
        <w:rPr>
          <w:rFonts w:ascii="Arial" w:hAnsi="Arial" w:cs="Arial"/>
          <w:sz w:val="20"/>
          <w:szCs w:val="20"/>
        </w:rPr>
      </w:pPr>
    </w:p>
    <w:p w14:paraId="30E8F67A" w14:textId="215C8E74" w:rsidR="00DC1AA6" w:rsidRPr="00DC1AA6" w:rsidRDefault="00DC1AA6" w:rsidP="009834F6">
      <w:pPr>
        <w:spacing w:after="0" w:line="240" w:lineRule="auto"/>
        <w:jc w:val="both"/>
        <w:rPr>
          <w:rFonts w:ascii="Arial" w:hAnsi="Arial" w:cs="Arial"/>
          <w:b/>
          <w:bCs/>
        </w:rPr>
      </w:pPr>
      <w:r w:rsidRPr="00DC1AA6">
        <w:rPr>
          <w:rFonts w:ascii="Arial" w:hAnsi="Arial" w:cs="Arial"/>
          <w:b/>
          <w:bCs/>
        </w:rPr>
        <w:t>References:</w:t>
      </w:r>
    </w:p>
    <w:sdt>
      <w:sdtPr>
        <w:rPr>
          <w:rFonts w:ascii="Arial" w:hAnsi="Arial" w:cs="Arial"/>
          <w:color w:val="000000"/>
          <w:sz w:val="20"/>
          <w:szCs w:val="20"/>
        </w:rPr>
        <w:tag w:val="MENDELEY_BIBLIOGRAPHY"/>
        <w:id w:val="-665091474"/>
        <w:placeholder>
          <w:docPart w:val="DefaultPlaceholder_-1854013440"/>
        </w:placeholder>
      </w:sdtPr>
      <w:sdtContent>
        <w:p w14:paraId="59389370" w14:textId="77777777" w:rsidR="00DC1AA6" w:rsidRPr="00DC1AA6" w:rsidRDefault="00DC1AA6" w:rsidP="00CF0EA6">
          <w:pPr>
            <w:autoSpaceDE w:val="0"/>
            <w:autoSpaceDN w:val="0"/>
            <w:spacing w:after="0"/>
            <w:ind w:hanging="640"/>
            <w:divId w:val="1204249332"/>
            <w:rPr>
              <w:rFonts w:ascii="Arial" w:eastAsia="Times New Roman" w:hAnsi="Arial" w:cs="Arial"/>
              <w:color w:val="000000"/>
              <w:kern w:val="0"/>
              <w:sz w:val="20"/>
              <w:szCs w:val="24"/>
              <w14:ligatures w14:val="none"/>
            </w:rPr>
          </w:pPr>
          <w:r w:rsidRPr="00DC1AA6">
            <w:rPr>
              <w:rFonts w:ascii="Arial" w:eastAsia="Times New Roman" w:hAnsi="Arial" w:cs="Arial"/>
              <w:color w:val="000000"/>
              <w:sz w:val="20"/>
            </w:rPr>
            <w:t>[1]</w:t>
          </w:r>
          <w:r w:rsidRPr="00DC1AA6">
            <w:rPr>
              <w:rFonts w:ascii="Arial" w:eastAsia="Times New Roman" w:hAnsi="Arial" w:cs="Arial"/>
              <w:color w:val="000000"/>
              <w:sz w:val="20"/>
            </w:rPr>
            <w:tab/>
            <w:t xml:space="preserve">J. Sachs, A. Warner, A. Åslund, and S. Fischer, “Economic Reform and the Process of Global Integration,” </w:t>
          </w:r>
          <w:r w:rsidRPr="00DC1AA6">
            <w:rPr>
              <w:rFonts w:ascii="Arial" w:eastAsia="Times New Roman" w:hAnsi="Arial" w:cs="Arial"/>
              <w:i/>
              <w:iCs/>
              <w:color w:val="000000"/>
              <w:sz w:val="20"/>
            </w:rPr>
            <w:t>Brookings Pap. Econ. Act.</w:t>
          </w:r>
          <w:r w:rsidRPr="00DC1AA6">
            <w:rPr>
              <w:rFonts w:ascii="Arial" w:eastAsia="Times New Roman" w:hAnsi="Arial" w:cs="Arial"/>
              <w:color w:val="000000"/>
              <w:sz w:val="20"/>
            </w:rPr>
            <w:t xml:space="preserve">, vol. 1995, pp. 1–118, Jan. 1995,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10.2307/2534573.</w:t>
          </w:r>
        </w:p>
        <w:p w14:paraId="6A7D258C" w14:textId="77777777" w:rsidR="00DC1AA6" w:rsidRPr="00DC1AA6" w:rsidRDefault="00DC1AA6" w:rsidP="00CF0EA6">
          <w:pPr>
            <w:autoSpaceDE w:val="0"/>
            <w:autoSpaceDN w:val="0"/>
            <w:spacing w:after="0"/>
            <w:ind w:hanging="640"/>
            <w:divId w:val="885412099"/>
            <w:rPr>
              <w:rFonts w:ascii="Arial" w:eastAsia="Times New Roman" w:hAnsi="Arial" w:cs="Arial"/>
              <w:color w:val="000000"/>
              <w:sz w:val="20"/>
            </w:rPr>
          </w:pPr>
          <w:r w:rsidRPr="00DC1AA6">
            <w:rPr>
              <w:rFonts w:ascii="Arial" w:eastAsia="Times New Roman" w:hAnsi="Arial" w:cs="Arial"/>
              <w:color w:val="000000"/>
              <w:sz w:val="20"/>
            </w:rPr>
            <w:t>[2]</w:t>
          </w:r>
          <w:r w:rsidRPr="00DC1AA6">
            <w:rPr>
              <w:rFonts w:ascii="Arial" w:eastAsia="Times New Roman" w:hAnsi="Arial" w:cs="Arial"/>
              <w:color w:val="000000"/>
              <w:sz w:val="20"/>
            </w:rPr>
            <w:tab/>
            <w:t xml:space="preserve">J. A. Frankel and D. H. Romer, “Does Trade Cause Growth?,” </w:t>
          </w:r>
          <w:r w:rsidRPr="00DC1AA6">
            <w:rPr>
              <w:rFonts w:ascii="Arial" w:eastAsia="Times New Roman" w:hAnsi="Arial" w:cs="Arial"/>
              <w:i/>
              <w:iCs/>
              <w:color w:val="000000"/>
              <w:sz w:val="20"/>
            </w:rPr>
            <w:t>American Economic Review</w:t>
          </w:r>
          <w:r w:rsidRPr="00DC1AA6">
            <w:rPr>
              <w:rFonts w:ascii="Arial" w:eastAsia="Times New Roman" w:hAnsi="Arial" w:cs="Arial"/>
              <w:color w:val="000000"/>
              <w:sz w:val="20"/>
            </w:rPr>
            <w:t xml:space="preserve">, vol. 89, no. 3, pp. 379–399, Jun. 1999,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10.1257/aer.89.3.379.</w:t>
          </w:r>
        </w:p>
        <w:p w14:paraId="5E166158" w14:textId="77777777" w:rsidR="00DC1AA6" w:rsidRPr="00DC1AA6" w:rsidRDefault="00DC1AA6" w:rsidP="00CF0EA6">
          <w:pPr>
            <w:autoSpaceDE w:val="0"/>
            <w:autoSpaceDN w:val="0"/>
            <w:spacing w:after="0"/>
            <w:ind w:hanging="640"/>
            <w:divId w:val="1935278702"/>
            <w:rPr>
              <w:rFonts w:ascii="Arial" w:eastAsia="Times New Roman" w:hAnsi="Arial" w:cs="Arial"/>
              <w:color w:val="000000"/>
              <w:sz w:val="20"/>
            </w:rPr>
          </w:pPr>
          <w:r w:rsidRPr="00DC1AA6">
            <w:rPr>
              <w:rFonts w:ascii="Arial" w:eastAsia="Times New Roman" w:hAnsi="Arial" w:cs="Arial"/>
              <w:color w:val="000000"/>
              <w:sz w:val="20"/>
            </w:rPr>
            <w:t>[3]</w:t>
          </w:r>
          <w:r w:rsidRPr="00DC1AA6">
            <w:rPr>
              <w:rFonts w:ascii="Arial" w:eastAsia="Times New Roman" w:hAnsi="Arial" w:cs="Arial"/>
              <w:color w:val="000000"/>
              <w:sz w:val="20"/>
            </w:rPr>
            <w:tab/>
            <w:t xml:space="preserve">S. Edwards, “Openness, Productivity and Growth: What Do We Really Know?,” </w:t>
          </w:r>
          <w:r w:rsidRPr="00DC1AA6">
            <w:rPr>
              <w:rFonts w:ascii="Arial" w:eastAsia="Times New Roman" w:hAnsi="Arial" w:cs="Arial"/>
              <w:i/>
              <w:iCs/>
              <w:color w:val="000000"/>
              <w:sz w:val="20"/>
            </w:rPr>
            <w:t>Economic Journal</w:t>
          </w:r>
          <w:r w:rsidRPr="00DC1AA6">
            <w:rPr>
              <w:rFonts w:ascii="Arial" w:eastAsia="Times New Roman" w:hAnsi="Arial" w:cs="Arial"/>
              <w:color w:val="000000"/>
              <w:sz w:val="20"/>
            </w:rPr>
            <w:t xml:space="preserve">, vol. 108, no. 447, pp. 383–398, Mar. 1998,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None.</w:t>
          </w:r>
        </w:p>
        <w:p w14:paraId="1BA165FB" w14:textId="77777777" w:rsidR="00DC1AA6" w:rsidRPr="00DC1AA6" w:rsidRDefault="00DC1AA6" w:rsidP="00CF0EA6">
          <w:pPr>
            <w:autoSpaceDE w:val="0"/>
            <w:autoSpaceDN w:val="0"/>
            <w:spacing w:after="0"/>
            <w:ind w:hanging="640"/>
            <w:divId w:val="911231084"/>
            <w:rPr>
              <w:rFonts w:ascii="Arial" w:eastAsia="Times New Roman" w:hAnsi="Arial" w:cs="Arial"/>
              <w:color w:val="000000"/>
              <w:sz w:val="20"/>
            </w:rPr>
          </w:pPr>
          <w:r w:rsidRPr="00DC1AA6">
            <w:rPr>
              <w:rFonts w:ascii="Arial" w:eastAsia="Times New Roman" w:hAnsi="Arial" w:cs="Arial"/>
              <w:color w:val="000000"/>
              <w:sz w:val="20"/>
            </w:rPr>
            <w:t>[4]</w:t>
          </w:r>
          <w:r w:rsidRPr="00DC1AA6">
            <w:rPr>
              <w:rFonts w:ascii="Arial" w:eastAsia="Times New Roman" w:hAnsi="Arial" w:cs="Arial"/>
              <w:color w:val="000000"/>
              <w:sz w:val="20"/>
            </w:rPr>
            <w:tab/>
            <w:t xml:space="preserve">Q. M. A. Hye and W.-Y. Lau, “Trade openness and economic growth: empirical evidence from India,” </w:t>
          </w:r>
          <w:r w:rsidRPr="00DC1AA6">
            <w:rPr>
              <w:rFonts w:ascii="Arial" w:eastAsia="Times New Roman" w:hAnsi="Arial" w:cs="Arial"/>
              <w:i/>
              <w:iCs/>
              <w:color w:val="000000"/>
              <w:sz w:val="20"/>
            </w:rPr>
            <w:t>Journal of Business Economics and Management</w:t>
          </w:r>
          <w:r w:rsidRPr="00DC1AA6">
            <w:rPr>
              <w:rFonts w:ascii="Arial" w:eastAsia="Times New Roman" w:hAnsi="Arial" w:cs="Arial"/>
              <w:color w:val="000000"/>
              <w:sz w:val="20"/>
            </w:rPr>
            <w:t xml:space="preserve">, vol. 16, no. 1, pp. 188–205, Feb. 2015,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10.3846/16111699.2012.720587.</w:t>
          </w:r>
        </w:p>
        <w:p w14:paraId="19D20F13" w14:textId="77777777" w:rsidR="00DC1AA6" w:rsidRPr="00DC1AA6" w:rsidRDefault="00DC1AA6" w:rsidP="00CF0EA6">
          <w:pPr>
            <w:autoSpaceDE w:val="0"/>
            <w:autoSpaceDN w:val="0"/>
            <w:spacing w:after="0"/>
            <w:ind w:hanging="640"/>
            <w:divId w:val="16591250"/>
            <w:rPr>
              <w:rFonts w:ascii="Arial" w:eastAsia="Times New Roman" w:hAnsi="Arial" w:cs="Arial"/>
              <w:color w:val="000000"/>
              <w:sz w:val="20"/>
            </w:rPr>
          </w:pPr>
          <w:r w:rsidRPr="00DC1AA6">
            <w:rPr>
              <w:rFonts w:ascii="Arial" w:eastAsia="Times New Roman" w:hAnsi="Arial" w:cs="Arial"/>
              <w:color w:val="000000"/>
              <w:sz w:val="20"/>
            </w:rPr>
            <w:t>[5]</w:t>
          </w:r>
          <w:r w:rsidRPr="00DC1AA6">
            <w:rPr>
              <w:rFonts w:ascii="Arial" w:eastAsia="Times New Roman" w:hAnsi="Arial" w:cs="Arial"/>
              <w:color w:val="000000"/>
              <w:sz w:val="20"/>
            </w:rPr>
            <w:tab/>
            <w:t xml:space="preserve">M. </w:t>
          </w:r>
          <w:proofErr w:type="spellStart"/>
          <w:r w:rsidRPr="00DC1AA6">
            <w:rPr>
              <w:rFonts w:ascii="Arial" w:eastAsia="Times New Roman" w:hAnsi="Arial" w:cs="Arial"/>
              <w:color w:val="000000"/>
              <w:sz w:val="20"/>
            </w:rPr>
            <w:t>Sehrawat</w:t>
          </w:r>
          <w:proofErr w:type="spellEnd"/>
          <w:r w:rsidRPr="00DC1AA6">
            <w:rPr>
              <w:rFonts w:ascii="Arial" w:eastAsia="Times New Roman" w:hAnsi="Arial" w:cs="Arial"/>
              <w:color w:val="000000"/>
              <w:sz w:val="20"/>
            </w:rPr>
            <w:t xml:space="preserve"> and A. K. Giri, “Financial Structure, Interest Rate, Trade Openness and Growth: Time Series Analysis of Indian Economy,” </w:t>
          </w:r>
          <w:r w:rsidRPr="00DC1AA6">
            <w:rPr>
              <w:rFonts w:ascii="Arial" w:eastAsia="Times New Roman" w:hAnsi="Arial" w:cs="Arial"/>
              <w:i/>
              <w:iCs/>
              <w:color w:val="000000"/>
              <w:sz w:val="20"/>
            </w:rPr>
            <w:t>Global Business Review</w:t>
          </w:r>
          <w:r w:rsidRPr="00DC1AA6">
            <w:rPr>
              <w:rFonts w:ascii="Arial" w:eastAsia="Times New Roman" w:hAnsi="Arial" w:cs="Arial"/>
              <w:color w:val="000000"/>
              <w:sz w:val="20"/>
            </w:rPr>
            <w:t xml:space="preserve">, vol. 18, no. 5, pp. 1278–1290, Oct. 2017,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10.1177/0972150917710150.</w:t>
          </w:r>
        </w:p>
        <w:p w14:paraId="2A990AEB" w14:textId="77777777" w:rsidR="00DC1AA6" w:rsidRPr="00DC1AA6" w:rsidRDefault="00DC1AA6" w:rsidP="00CF0EA6">
          <w:pPr>
            <w:autoSpaceDE w:val="0"/>
            <w:autoSpaceDN w:val="0"/>
            <w:spacing w:after="0"/>
            <w:ind w:hanging="640"/>
            <w:divId w:val="1026977506"/>
            <w:rPr>
              <w:rFonts w:ascii="Arial" w:eastAsia="Times New Roman" w:hAnsi="Arial" w:cs="Arial"/>
              <w:color w:val="000000"/>
              <w:sz w:val="20"/>
            </w:rPr>
          </w:pPr>
          <w:r w:rsidRPr="00DC1AA6">
            <w:rPr>
              <w:rFonts w:ascii="Arial" w:eastAsia="Times New Roman" w:hAnsi="Arial" w:cs="Arial"/>
              <w:color w:val="000000"/>
              <w:sz w:val="20"/>
            </w:rPr>
            <w:t>[6]</w:t>
          </w:r>
          <w:r w:rsidRPr="00DC1AA6">
            <w:rPr>
              <w:rFonts w:ascii="Arial" w:eastAsia="Times New Roman" w:hAnsi="Arial" w:cs="Arial"/>
              <w:color w:val="000000"/>
              <w:sz w:val="20"/>
            </w:rPr>
            <w:tab/>
            <w:t xml:space="preserve">M. H. </w:t>
          </w:r>
          <w:proofErr w:type="spellStart"/>
          <w:r w:rsidRPr="00DC1AA6">
            <w:rPr>
              <w:rFonts w:ascii="Arial" w:eastAsia="Times New Roman" w:hAnsi="Arial" w:cs="Arial"/>
              <w:color w:val="000000"/>
              <w:sz w:val="20"/>
            </w:rPr>
            <w:t>Pesaran</w:t>
          </w:r>
          <w:proofErr w:type="spellEnd"/>
          <w:r w:rsidRPr="00DC1AA6">
            <w:rPr>
              <w:rFonts w:ascii="Arial" w:eastAsia="Times New Roman" w:hAnsi="Arial" w:cs="Arial"/>
              <w:color w:val="000000"/>
              <w:sz w:val="20"/>
            </w:rPr>
            <w:t xml:space="preserve">, Y. Shin, and R. J. Smith, “Bounds testing approaches to the analysis of level relationships,” </w:t>
          </w:r>
          <w:r w:rsidRPr="00DC1AA6">
            <w:rPr>
              <w:rFonts w:ascii="Arial" w:eastAsia="Times New Roman" w:hAnsi="Arial" w:cs="Arial"/>
              <w:i/>
              <w:iCs/>
              <w:color w:val="000000"/>
              <w:sz w:val="20"/>
            </w:rPr>
            <w:t>Journal of Applied Econometrics</w:t>
          </w:r>
          <w:r w:rsidRPr="00DC1AA6">
            <w:rPr>
              <w:rFonts w:ascii="Arial" w:eastAsia="Times New Roman" w:hAnsi="Arial" w:cs="Arial"/>
              <w:color w:val="000000"/>
              <w:sz w:val="20"/>
            </w:rPr>
            <w:t xml:space="preserve">, vol. 16, no. 3, pp. 289–326, May 2001,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https://doi.org/10.1002/jae.616.</w:t>
          </w:r>
        </w:p>
        <w:p w14:paraId="4C44A9FE" w14:textId="77777777" w:rsidR="00DC1AA6" w:rsidRPr="00DC1AA6" w:rsidRDefault="00DC1AA6" w:rsidP="00CF0EA6">
          <w:pPr>
            <w:autoSpaceDE w:val="0"/>
            <w:autoSpaceDN w:val="0"/>
            <w:spacing w:after="0"/>
            <w:ind w:hanging="640"/>
            <w:divId w:val="1178345240"/>
            <w:rPr>
              <w:rFonts w:ascii="Arial" w:eastAsia="Times New Roman" w:hAnsi="Arial" w:cs="Arial"/>
              <w:color w:val="000000"/>
              <w:sz w:val="20"/>
            </w:rPr>
          </w:pPr>
          <w:r w:rsidRPr="00DC1AA6">
            <w:rPr>
              <w:rFonts w:ascii="Arial" w:eastAsia="Times New Roman" w:hAnsi="Arial" w:cs="Arial"/>
              <w:color w:val="000000"/>
              <w:sz w:val="20"/>
            </w:rPr>
            <w:t>[7]</w:t>
          </w:r>
          <w:r w:rsidRPr="00DC1AA6">
            <w:rPr>
              <w:rFonts w:ascii="Arial" w:eastAsia="Times New Roman" w:hAnsi="Arial" w:cs="Arial"/>
              <w:color w:val="000000"/>
              <w:sz w:val="20"/>
            </w:rPr>
            <w:tab/>
            <w:t xml:space="preserve">Y. Shin, B. Yu, and M. Greenwood-Nimmo, “Modelling Asymmetric Cointegration and Dynamic Multipliers in a Nonlinear ARDL Framework,” in </w:t>
          </w:r>
          <w:r w:rsidRPr="00DC1AA6">
            <w:rPr>
              <w:rFonts w:ascii="Arial" w:eastAsia="Times New Roman" w:hAnsi="Arial" w:cs="Arial"/>
              <w:i/>
              <w:iCs/>
              <w:color w:val="000000"/>
              <w:sz w:val="20"/>
            </w:rPr>
            <w:t>Festschrift in Honor of Peter Schmidt: Econometric Methods and Applications</w:t>
          </w:r>
          <w:r w:rsidRPr="00DC1AA6">
            <w:rPr>
              <w:rFonts w:ascii="Arial" w:eastAsia="Times New Roman" w:hAnsi="Arial" w:cs="Arial"/>
              <w:color w:val="000000"/>
              <w:sz w:val="20"/>
            </w:rPr>
            <w:t xml:space="preserve">, R. C. Sickles and W. C. Horrace, Eds., New York, NY: Springer New York, 2014, pp. 281–314.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10.1007/978-1-4899-8008-3_9.</w:t>
          </w:r>
        </w:p>
        <w:p w14:paraId="013A6033" w14:textId="77777777" w:rsidR="00DC1AA6" w:rsidRPr="00DC1AA6" w:rsidRDefault="00DC1AA6" w:rsidP="00CF0EA6">
          <w:pPr>
            <w:autoSpaceDE w:val="0"/>
            <w:autoSpaceDN w:val="0"/>
            <w:spacing w:after="0"/>
            <w:ind w:hanging="640"/>
            <w:divId w:val="1659915866"/>
            <w:rPr>
              <w:rFonts w:ascii="Arial" w:eastAsia="Times New Roman" w:hAnsi="Arial" w:cs="Arial"/>
              <w:color w:val="000000"/>
              <w:sz w:val="20"/>
            </w:rPr>
          </w:pPr>
          <w:r w:rsidRPr="00DC1AA6">
            <w:rPr>
              <w:rFonts w:ascii="Arial" w:eastAsia="Times New Roman" w:hAnsi="Arial" w:cs="Arial"/>
              <w:color w:val="000000"/>
              <w:sz w:val="20"/>
            </w:rPr>
            <w:t>[8]</w:t>
          </w:r>
          <w:r w:rsidRPr="00DC1AA6">
            <w:rPr>
              <w:rFonts w:ascii="Arial" w:eastAsia="Times New Roman" w:hAnsi="Arial" w:cs="Arial"/>
              <w:color w:val="000000"/>
              <w:sz w:val="20"/>
            </w:rPr>
            <w:tab/>
            <w:t xml:space="preserve">S. Mullainathan and J. Spiess, “Machine Learning: An Applied Econometric Approach,” </w:t>
          </w:r>
          <w:r w:rsidRPr="00DC1AA6">
            <w:rPr>
              <w:rFonts w:ascii="Arial" w:eastAsia="Times New Roman" w:hAnsi="Arial" w:cs="Arial"/>
              <w:i/>
              <w:iCs/>
              <w:color w:val="000000"/>
              <w:sz w:val="20"/>
            </w:rPr>
            <w:t>Journal of Economic Perspectives</w:t>
          </w:r>
          <w:r w:rsidRPr="00DC1AA6">
            <w:rPr>
              <w:rFonts w:ascii="Arial" w:eastAsia="Times New Roman" w:hAnsi="Arial" w:cs="Arial"/>
              <w:color w:val="000000"/>
              <w:sz w:val="20"/>
            </w:rPr>
            <w:t xml:space="preserve">, vol. 31, no. 2, pp. 87–106, May 2017,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10.1257/jep.31.2.87.</w:t>
          </w:r>
        </w:p>
        <w:p w14:paraId="37893FB9" w14:textId="77777777" w:rsidR="00DC1AA6" w:rsidRPr="00DC1AA6" w:rsidRDefault="00DC1AA6" w:rsidP="00CF0EA6">
          <w:pPr>
            <w:autoSpaceDE w:val="0"/>
            <w:autoSpaceDN w:val="0"/>
            <w:spacing w:after="0"/>
            <w:ind w:hanging="640"/>
            <w:divId w:val="619996032"/>
            <w:rPr>
              <w:rFonts w:ascii="Arial" w:eastAsia="Times New Roman" w:hAnsi="Arial" w:cs="Arial"/>
              <w:color w:val="000000"/>
              <w:sz w:val="20"/>
            </w:rPr>
          </w:pPr>
          <w:r w:rsidRPr="00DC1AA6">
            <w:rPr>
              <w:rFonts w:ascii="Arial" w:eastAsia="Times New Roman" w:hAnsi="Arial" w:cs="Arial"/>
              <w:color w:val="000000"/>
              <w:sz w:val="20"/>
            </w:rPr>
            <w:t>[9]</w:t>
          </w:r>
          <w:r w:rsidRPr="00DC1AA6">
            <w:rPr>
              <w:rFonts w:ascii="Arial" w:eastAsia="Times New Roman" w:hAnsi="Arial" w:cs="Arial"/>
              <w:color w:val="000000"/>
              <w:sz w:val="20"/>
            </w:rPr>
            <w:tab/>
            <w:t xml:space="preserve">S. Lundberg and S.-I. Lee, </w:t>
          </w:r>
          <w:r w:rsidRPr="00DC1AA6">
            <w:rPr>
              <w:rFonts w:ascii="Arial" w:eastAsia="Times New Roman" w:hAnsi="Arial" w:cs="Arial"/>
              <w:i/>
              <w:iCs/>
              <w:color w:val="000000"/>
              <w:sz w:val="20"/>
            </w:rPr>
            <w:t>A Unified Approach to Interpreting Model Predictions</w:t>
          </w:r>
          <w:r w:rsidRPr="00DC1AA6">
            <w:rPr>
              <w:rFonts w:ascii="Arial" w:eastAsia="Times New Roman" w:hAnsi="Arial" w:cs="Arial"/>
              <w:color w:val="000000"/>
              <w:sz w:val="20"/>
            </w:rPr>
            <w:t xml:space="preserve">. 2017.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10.48550/arXiv.1705.07874.</w:t>
          </w:r>
        </w:p>
        <w:p w14:paraId="275E62B8" w14:textId="77777777" w:rsidR="00DC1AA6" w:rsidRPr="00DC1AA6" w:rsidRDefault="00DC1AA6" w:rsidP="00CF0EA6">
          <w:pPr>
            <w:autoSpaceDE w:val="0"/>
            <w:autoSpaceDN w:val="0"/>
            <w:spacing w:after="0"/>
            <w:ind w:hanging="640"/>
            <w:divId w:val="1012150094"/>
            <w:rPr>
              <w:rFonts w:ascii="Arial" w:eastAsia="Times New Roman" w:hAnsi="Arial" w:cs="Arial"/>
              <w:color w:val="000000"/>
              <w:sz w:val="20"/>
            </w:rPr>
          </w:pPr>
          <w:r w:rsidRPr="00DC1AA6">
            <w:rPr>
              <w:rFonts w:ascii="Arial" w:eastAsia="Times New Roman" w:hAnsi="Arial" w:cs="Arial"/>
              <w:color w:val="000000"/>
              <w:sz w:val="20"/>
            </w:rPr>
            <w:t>[10]</w:t>
          </w:r>
          <w:r w:rsidRPr="00DC1AA6">
            <w:rPr>
              <w:rFonts w:ascii="Arial" w:eastAsia="Times New Roman" w:hAnsi="Arial" w:cs="Arial"/>
              <w:color w:val="000000"/>
              <w:sz w:val="20"/>
            </w:rPr>
            <w:tab/>
            <w:t xml:space="preserve">S. K. </w:t>
          </w:r>
          <w:proofErr w:type="spellStart"/>
          <w:r w:rsidRPr="00DC1AA6">
            <w:rPr>
              <w:rFonts w:ascii="Arial" w:eastAsia="Times New Roman" w:hAnsi="Arial" w:cs="Arial"/>
              <w:color w:val="000000"/>
              <w:sz w:val="20"/>
            </w:rPr>
            <w:t>Chejarla</w:t>
          </w:r>
          <w:proofErr w:type="spellEnd"/>
          <w:r w:rsidRPr="00DC1AA6">
            <w:rPr>
              <w:rFonts w:ascii="Arial" w:eastAsia="Times New Roman" w:hAnsi="Arial" w:cs="Arial"/>
              <w:color w:val="000000"/>
              <w:sz w:val="20"/>
            </w:rPr>
            <w:t xml:space="preserve">, S. K. Duvvuri, B. Rajana, P. T. </w:t>
          </w:r>
          <w:proofErr w:type="spellStart"/>
          <w:r w:rsidRPr="00DC1AA6">
            <w:rPr>
              <w:rFonts w:ascii="Arial" w:eastAsia="Times New Roman" w:hAnsi="Arial" w:cs="Arial"/>
              <w:color w:val="000000"/>
              <w:sz w:val="20"/>
            </w:rPr>
            <w:t>Dakey</w:t>
          </w:r>
          <w:proofErr w:type="spellEnd"/>
          <w:r w:rsidRPr="00DC1AA6">
            <w:rPr>
              <w:rFonts w:ascii="Arial" w:eastAsia="Times New Roman" w:hAnsi="Arial" w:cs="Arial"/>
              <w:color w:val="000000"/>
              <w:sz w:val="20"/>
            </w:rPr>
            <w:t xml:space="preserve">, K. R. Rao, and M. R. Goutham, “Forecasting and Explaining Non-Performing Assets in Indian Banking Groups Using Panel Econometrics and Explainable Machine Learning Models,” </w:t>
          </w:r>
          <w:r w:rsidRPr="00DC1AA6">
            <w:rPr>
              <w:rFonts w:ascii="Arial" w:eastAsia="Times New Roman" w:hAnsi="Arial" w:cs="Arial"/>
              <w:i/>
              <w:iCs/>
              <w:color w:val="000000"/>
              <w:sz w:val="20"/>
            </w:rPr>
            <w:t>Journal of Global Economics, Management and Business Research</w:t>
          </w:r>
          <w:r w:rsidRPr="00DC1AA6">
            <w:rPr>
              <w:rFonts w:ascii="Arial" w:eastAsia="Times New Roman" w:hAnsi="Arial" w:cs="Arial"/>
              <w:color w:val="000000"/>
              <w:sz w:val="20"/>
            </w:rPr>
            <w:t xml:space="preserve">, vol. 18, no. 2, pp. 58–78, 2026,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10.56557/</w:t>
          </w:r>
          <w:proofErr w:type="spellStart"/>
          <w:r w:rsidRPr="00DC1AA6">
            <w:rPr>
              <w:rFonts w:ascii="Arial" w:eastAsia="Times New Roman" w:hAnsi="Arial" w:cs="Arial"/>
              <w:color w:val="000000"/>
              <w:sz w:val="20"/>
            </w:rPr>
            <w:t>jgembr</w:t>
          </w:r>
          <w:proofErr w:type="spellEnd"/>
          <w:r w:rsidRPr="00DC1AA6">
            <w:rPr>
              <w:rFonts w:ascii="Arial" w:eastAsia="Times New Roman" w:hAnsi="Arial" w:cs="Arial"/>
              <w:color w:val="000000"/>
              <w:sz w:val="20"/>
            </w:rPr>
            <w:t>/2026/v18i210427.</w:t>
          </w:r>
        </w:p>
        <w:p w14:paraId="6AFDE8DC" w14:textId="77777777" w:rsidR="00DC1AA6" w:rsidRPr="00DC1AA6" w:rsidRDefault="00DC1AA6" w:rsidP="00CF0EA6">
          <w:pPr>
            <w:autoSpaceDE w:val="0"/>
            <w:autoSpaceDN w:val="0"/>
            <w:spacing w:after="0"/>
            <w:ind w:hanging="640"/>
            <w:divId w:val="812211697"/>
            <w:rPr>
              <w:rFonts w:ascii="Arial" w:eastAsia="Times New Roman" w:hAnsi="Arial" w:cs="Arial"/>
              <w:color w:val="000000"/>
              <w:sz w:val="20"/>
            </w:rPr>
          </w:pPr>
          <w:r w:rsidRPr="00DC1AA6">
            <w:rPr>
              <w:rFonts w:ascii="Arial" w:eastAsia="Times New Roman" w:hAnsi="Arial" w:cs="Arial"/>
              <w:color w:val="000000"/>
              <w:sz w:val="20"/>
            </w:rPr>
            <w:t>[11]</w:t>
          </w:r>
          <w:r w:rsidRPr="00DC1AA6">
            <w:rPr>
              <w:rFonts w:ascii="Arial" w:eastAsia="Times New Roman" w:hAnsi="Arial" w:cs="Arial"/>
              <w:color w:val="000000"/>
              <w:sz w:val="20"/>
            </w:rPr>
            <w:tab/>
            <w:t xml:space="preserve">B. Rajana, S. K. Duvvuri, S. K. </w:t>
          </w:r>
          <w:proofErr w:type="spellStart"/>
          <w:r w:rsidRPr="00DC1AA6">
            <w:rPr>
              <w:rFonts w:ascii="Arial" w:eastAsia="Times New Roman" w:hAnsi="Arial" w:cs="Arial"/>
              <w:color w:val="000000"/>
              <w:sz w:val="20"/>
            </w:rPr>
            <w:t>Chejarla</w:t>
          </w:r>
          <w:proofErr w:type="spellEnd"/>
          <w:r w:rsidRPr="00DC1AA6">
            <w:rPr>
              <w:rFonts w:ascii="Arial" w:eastAsia="Times New Roman" w:hAnsi="Arial" w:cs="Arial"/>
              <w:color w:val="000000"/>
              <w:sz w:val="20"/>
            </w:rPr>
            <w:t xml:space="preserve">, P. T. </w:t>
          </w:r>
          <w:proofErr w:type="spellStart"/>
          <w:r w:rsidRPr="00DC1AA6">
            <w:rPr>
              <w:rFonts w:ascii="Arial" w:eastAsia="Times New Roman" w:hAnsi="Arial" w:cs="Arial"/>
              <w:color w:val="000000"/>
              <w:sz w:val="20"/>
            </w:rPr>
            <w:t>Dakey</w:t>
          </w:r>
          <w:proofErr w:type="spellEnd"/>
          <w:r w:rsidRPr="00DC1AA6">
            <w:rPr>
              <w:rFonts w:ascii="Arial" w:eastAsia="Times New Roman" w:hAnsi="Arial" w:cs="Arial"/>
              <w:color w:val="000000"/>
              <w:sz w:val="20"/>
            </w:rPr>
            <w:t xml:space="preserve">, K. Ramachandra Rao, and T. R. </w:t>
          </w:r>
          <w:proofErr w:type="spellStart"/>
          <w:r w:rsidRPr="00DC1AA6">
            <w:rPr>
              <w:rFonts w:ascii="Arial" w:eastAsia="Times New Roman" w:hAnsi="Arial" w:cs="Arial"/>
              <w:color w:val="000000"/>
              <w:sz w:val="20"/>
            </w:rPr>
            <w:t>Gandam</w:t>
          </w:r>
          <w:proofErr w:type="spellEnd"/>
          <w:r w:rsidRPr="00DC1AA6">
            <w:rPr>
              <w:rFonts w:ascii="Arial" w:eastAsia="Times New Roman" w:hAnsi="Arial" w:cs="Arial"/>
              <w:color w:val="000000"/>
              <w:sz w:val="20"/>
            </w:rPr>
            <w:t xml:space="preserve">, “Hybrid Econometric and Deep Learning Framework for Forecasting Global Commodity Price Dynamics: Evidence from Multi-Commodity Time Series (2000-2026),” </w:t>
          </w:r>
          <w:r w:rsidRPr="00DC1AA6">
            <w:rPr>
              <w:rFonts w:ascii="Arial" w:eastAsia="Times New Roman" w:hAnsi="Arial" w:cs="Arial"/>
              <w:i/>
              <w:iCs/>
              <w:color w:val="000000"/>
              <w:sz w:val="20"/>
            </w:rPr>
            <w:t>Global Academic Journal of Economics and Business</w:t>
          </w:r>
          <w:r w:rsidRPr="00DC1AA6">
            <w:rPr>
              <w:rFonts w:ascii="Arial" w:eastAsia="Times New Roman" w:hAnsi="Arial" w:cs="Arial"/>
              <w:color w:val="000000"/>
              <w:sz w:val="20"/>
            </w:rPr>
            <w:t xml:space="preserve">, vol. 8, no. 2, pp. 166–182, 2026,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10.36348/gajeb.2026.v08i02.010.</w:t>
          </w:r>
        </w:p>
        <w:p w14:paraId="29DB2CB8" w14:textId="77777777" w:rsidR="00DC1AA6" w:rsidRPr="00DC1AA6" w:rsidRDefault="00DC1AA6" w:rsidP="00CF0EA6">
          <w:pPr>
            <w:autoSpaceDE w:val="0"/>
            <w:autoSpaceDN w:val="0"/>
            <w:spacing w:after="0"/>
            <w:ind w:hanging="640"/>
            <w:divId w:val="1149439020"/>
            <w:rPr>
              <w:rFonts w:ascii="Arial" w:eastAsia="Times New Roman" w:hAnsi="Arial" w:cs="Arial"/>
              <w:color w:val="000000"/>
              <w:sz w:val="20"/>
            </w:rPr>
          </w:pPr>
          <w:r w:rsidRPr="00DC1AA6">
            <w:rPr>
              <w:rFonts w:ascii="Arial" w:eastAsia="Times New Roman" w:hAnsi="Arial" w:cs="Arial"/>
              <w:color w:val="000000"/>
              <w:sz w:val="20"/>
            </w:rPr>
            <w:t>[12]</w:t>
          </w:r>
          <w:r w:rsidRPr="00DC1AA6">
            <w:rPr>
              <w:rFonts w:ascii="Arial" w:eastAsia="Times New Roman" w:hAnsi="Arial" w:cs="Arial"/>
              <w:color w:val="000000"/>
              <w:sz w:val="20"/>
            </w:rPr>
            <w:tab/>
            <w:t xml:space="preserve">A. Harrison, “Openness and growth: A time-series, cross-country analysis for developing countries,”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48, no. 2, pp. 419–447, 1996,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https://doi.org/10.1016/0304-3878(95)00042-9.</w:t>
          </w:r>
        </w:p>
        <w:p w14:paraId="584F5ECB" w14:textId="77777777" w:rsidR="00DC1AA6" w:rsidRPr="00DC1AA6" w:rsidRDefault="00DC1AA6" w:rsidP="00CF0EA6">
          <w:pPr>
            <w:autoSpaceDE w:val="0"/>
            <w:autoSpaceDN w:val="0"/>
            <w:spacing w:after="0"/>
            <w:ind w:hanging="640"/>
            <w:divId w:val="869299161"/>
            <w:rPr>
              <w:rFonts w:ascii="Arial" w:eastAsia="Times New Roman" w:hAnsi="Arial" w:cs="Arial"/>
              <w:color w:val="000000"/>
              <w:sz w:val="20"/>
            </w:rPr>
          </w:pPr>
          <w:r w:rsidRPr="00DC1AA6">
            <w:rPr>
              <w:rFonts w:ascii="Arial" w:eastAsia="Times New Roman" w:hAnsi="Arial" w:cs="Arial"/>
              <w:color w:val="000000"/>
              <w:sz w:val="20"/>
            </w:rPr>
            <w:t>[13]</w:t>
          </w:r>
          <w:r w:rsidRPr="00DC1AA6">
            <w:rPr>
              <w:rFonts w:ascii="Arial" w:eastAsia="Times New Roman" w:hAnsi="Arial" w:cs="Arial"/>
              <w:color w:val="000000"/>
              <w:sz w:val="20"/>
            </w:rPr>
            <w:tab/>
            <w:t xml:space="preserve">H. </w:t>
          </w:r>
          <w:proofErr w:type="spellStart"/>
          <w:r w:rsidRPr="00DC1AA6">
            <w:rPr>
              <w:rFonts w:ascii="Arial" w:eastAsia="Times New Roman" w:hAnsi="Arial" w:cs="Arial"/>
              <w:color w:val="000000"/>
              <w:sz w:val="20"/>
            </w:rPr>
            <w:t>Yanikkaya</w:t>
          </w:r>
          <w:proofErr w:type="spellEnd"/>
          <w:r w:rsidRPr="00DC1AA6">
            <w:rPr>
              <w:rFonts w:ascii="Arial" w:eastAsia="Times New Roman" w:hAnsi="Arial" w:cs="Arial"/>
              <w:color w:val="000000"/>
              <w:sz w:val="20"/>
            </w:rPr>
            <w:t xml:space="preserve">, “Trade openness and economic growth: a cross-country empirical investigation,”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72, no. 1, pp. 57–89, 2003,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https://doi.org/10.1016/S0304-3878(03)00068-3.</w:t>
          </w:r>
        </w:p>
        <w:p w14:paraId="77F46450" w14:textId="77777777" w:rsidR="00DC1AA6" w:rsidRPr="00DC1AA6" w:rsidRDefault="00DC1AA6" w:rsidP="00CF0EA6">
          <w:pPr>
            <w:autoSpaceDE w:val="0"/>
            <w:autoSpaceDN w:val="0"/>
            <w:spacing w:after="0"/>
            <w:ind w:hanging="640"/>
            <w:divId w:val="405807364"/>
            <w:rPr>
              <w:rFonts w:ascii="Arial" w:eastAsia="Times New Roman" w:hAnsi="Arial" w:cs="Arial"/>
              <w:color w:val="000000"/>
              <w:sz w:val="20"/>
            </w:rPr>
          </w:pPr>
          <w:r w:rsidRPr="00DC1AA6">
            <w:rPr>
              <w:rFonts w:ascii="Arial" w:eastAsia="Times New Roman" w:hAnsi="Arial" w:cs="Arial"/>
              <w:color w:val="000000"/>
              <w:sz w:val="20"/>
            </w:rPr>
            <w:t>[14]</w:t>
          </w:r>
          <w:r w:rsidRPr="00DC1AA6">
            <w:rPr>
              <w:rFonts w:ascii="Arial" w:eastAsia="Times New Roman" w:hAnsi="Arial" w:cs="Arial"/>
              <w:color w:val="000000"/>
              <w:sz w:val="20"/>
            </w:rPr>
            <w:tab/>
            <w:t xml:space="preserve">H. Y. Lee, L. A. Ricci, and R. </w:t>
          </w:r>
          <w:proofErr w:type="spellStart"/>
          <w:r w:rsidRPr="00DC1AA6">
            <w:rPr>
              <w:rFonts w:ascii="Arial" w:eastAsia="Times New Roman" w:hAnsi="Arial" w:cs="Arial"/>
              <w:color w:val="000000"/>
              <w:sz w:val="20"/>
            </w:rPr>
            <w:t>Rigobon</w:t>
          </w:r>
          <w:proofErr w:type="spellEnd"/>
          <w:r w:rsidRPr="00DC1AA6">
            <w:rPr>
              <w:rFonts w:ascii="Arial" w:eastAsia="Times New Roman" w:hAnsi="Arial" w:cs="Arial"/>
              <w:color w:val="000000"/>
              <w:sz w:val="20"/>
            </w:rPr>
            <w:t xml:space="preserve">, “Once again, is openness good for growth?,”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75, no. 2, pp. 451–472, 2004,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https://doi.org/10.1016/j.jdeveco.2004.06.006.</w:t>
          </w:r>
        </w:p>
        <w:p w14:paraId="75B957B5" w14:textId="77777777" w:rsidR="00DC1AA6" w:rsidRPr="00DC1AA6" w:rsidRDefault="00DC1AA6" w:rsidP="00CF0EA6">
          <w:pPr>
            <w:autoSpaceDE w:val="0"/>
            <w:autoSpaceDN w:val="0"/>
            <w:spacing w:after="0"/>
            <w:ind w:hanging="640"/>
            <w:divId w:val="2049988921"/>
            <w:rPr>
              <w:rFonts w:ascii="Arial" w:eastAsia="Times New Roman" w:hAnsi="Arial" w:cs="Arial"/>
              <w:color w:val="000000"/>
              <w:sz w:val="20"/>
            </w:rPr>
          </w:pPr>
          <w:r w:rsidRPr="00DC1AA6">
            <w:rPr>
              <w:rFonts w:ascii="Arial" w:eastAsia="Times New Roman" w:hAnsi="Arial" w:cs="Arial"/>
              <w:color w:val="000000"/>
              <w:sz w:val="20"/>
            </w:rPr>
            <w:t>[15]</w:t>
          </w:r>
          <w:r w:rsidRPr="00DC1AA6">
            <w:rPr>
              <w:rFonts w:ascii="Arial" w:eastAsia="Times New Roman" w:hAnsi="Arial" w:cs="Arial"/>
              <w:color w:val="000000"/>
              <w:sz w:val="20"/>
            </w:rPr>
            <w:tab/>
            <w:t xml:space="preserve">D. Greenaway, W. Morgan, and P. Wright, “Trade liberalisation and growth in developing countries,”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67, no. 1, pp. 229–244, 2002,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https://doi.org/10.1016/S0304-3878(01)00185-7.</w:t>
          </w:r>
        </w:p>
        <w:p w14:paraId="6266A453" w14:textId="77777777" w:rsidR="00DC1AA6" w:rsidRPr="00DC1AA6" w:rsidRDefault="00DC1AA6" w:rsidP="00CF0EA6">
          <w:pPr>
            <w:autoSpaceDE w:val="0"/>
            <w:autoSpaceDN w:val="0"/>
            <w:spacing w:after="0"/>
            <w:ind w:hanging="640"/>
            <w:divId w:val="369113740"/>
            <w:rPr>
              <w:rFonts w:ascii="Arial" w:eastAsia="Times New Roman" w:hAnsi="Arial" w:cs="Arial"/>
              <w:color w:val="000000"/>
              <w:sz w:val="20"/>
            </w:rPr>
          </w:pPr>
          <w:r w:rsidRPr="00DC1AA6">
            <w:rPr>
              <w:rFonts w:ascii="Arial" w:eastAsia="Times New Roman" w:hAnsi="Arial" w:cs="Arial"/>
              <w:color w:val="000000"/>
              <w:sz w:val="20"/>
            </w:rPr>
            <w:t>[16]</w:t>
          </w:r>
          <w:r w:rsidRPr="00DC1AA6">
            <w:rPr>
              <w:rFonts w:ascii="Arial" w:eastAsia="Times New Roman" w:hAnsi="Arial" w:cs="Arial"/>
              <w:color w:val="000000"/>
              <w:sz w:val="20"/>
            </w:rPr>
            <w:tab/>
            <w:t xml:space="preserve">A. Vamvakidis, “How Robust is the Growth-Openness Connection? Historical Evidence,” </w:t>
          </w:r>
          <w:r w:rsidRPr="00DC1AA6">
            <w:rPr>
              <w:rFonts w:ascii="Arial" w:eastAsia="Times New Roman" w:hAnsi="Arial" w:cs="Arial"/>
              <w:i/>
              <w:iCs/>
              <w:color w:val="000000"/>
              <w:sz w:val="20"/>
            </w:rPr>
            <w:t>Journal of Economic Growth</w:t>
          </w:r>
          <w:r w:rsidRPr="00DC1AA6">
            <w:rPr>
              <w:rFonts w:ascii="Arial" w:eastAsia="Times New Roman" w:hAnsi="Arial" w:cs="Arial"/>
              <w:color w:val="000000"/>
              <w:sz w:val="20"/>
            </w:rPr>
            <w:t xml:space="preserve">, vol. 7, no. 1, pp. 57–80, 2002,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10.1023/A:1013418610712.</w:t>
          </w:r>
        </w:p>
        <w:p w14:paraId="16BB01CF" w14:textId="77777777" w:rsidR="00DC1AA6" w:rsidRPr="00DC1AA6" w:rsidRDefault="00DC1AA6" w:rsidP="00CF0EA6">
          <w:pPr>
            <w:autoSpaceDE w:val="0"/>
            <w:autoSpaceDN w:val="0"/>
            <w:spacing w:after="0"/>
            <w:ind w:hanging="640"/>
            <w:divId w:val="2034574384"/>
            <w:rPr>
              <w:rFonts w:ascii="Arial" w:eastAsia="Times New Roman" w:hAnsi="Arial" w:cs="Arial"/>
              <w:color w:val="000000"/>
              <w:sz w:val="20"/>
            </w:rPr>
          </w:pPr>
          <w:r w:rsidRPr="00DC1AA6">
            <w:rPr>
              <w:rFonts w:ascii="Arial" w:eastAsia="Times New Roman" w:hAnsi="Arial" w:cs="Arial"/>
              <w:color w:val="000000"/>
              <w:sz w:val="20"/>
            </w:rPr>
            <w:t>[17]</w:t>
          </w:r>
          <w:r w:rsidRPr="00DC1AA6">
            <w:rPr>
              <w:rFonts w:ascii="Arial" w:eastAsia="Times New Roman" w:hAnsi="Arial" w:cs="Arial"/>
              <w:color w:val="000000"/>
              <w:sz w:val="20"/>
            </w:rPr>
            <w:tab/>
            <w:t xml:space="preserve">R. </w:t>
          </w:r>
          <w:proofErr w:type="spellStart"/>
          <w:r w:rsidRPr="00DC1AA6">
            <w:rPr>
              <w:rFonts w:ascii="Arial" w:eastAsia="Times New Roman" w:hAnsi="Arial" w:cs="Arial"/>
              <w:color w:val="000000"/>
              <w:sz w:val="20"/>
            </w:rPr>
            <w:t>Wacziarg</w:t>
          </w:r>
          <w:proofErr w:type="spellEnd"/>
          <w:r w:rsidRPr="00DC1AA6">
            <w:rPr>
              <w:rFonts w:ascii="Arial" w:eastAsia="Times New Roman" w:hAnsi="Arial" w:cs="Arial"/>
              <w:color w:val="000000"/>
              <w:sz w:val="20"/>
            </w:rPr>
            <w:t xml:space="preserve"> and K. H. Welch, “Trade Liberalization and Growth: New Evidence,” </w:t>
          </w:r>
          <w:r w:rsidRPr="00DC1AA6">
            <w:rPr>
              <w:rFonts w:ascii="Arial" w:eastAsia="Times New Roman" w:hAnsi="Arial" w:cs="Arial"/>
              <w:i/>
              <w:iCs/>
              <w:color w:val="000000"/>
              <w:sz w:val="20"/>
            </w:rPr>
            <w:t>World Bank Econ. Rev.</w:t>
          </w:r>
          <w:r w:rsidRPr="00DC1AA6">
            <w:rPr>
              <w:rFonts w:ascii="Arial" w:eastAsia="Times New Roman" w:hAnsi="Arial" w:cs="Arial"/>
              <w:color w:val="000000"/>
              <w:sz w:val="20"/>
            </w:rPr>
            <w:t>, vol. 22, no. 2, pp. 187–231, 2008, [Online]. Available: https://EconPapers.repec.org/RePEc:oup:wbecrv:v:22:y:2008:i:2:p:187-231</w:t>
          </w:r>
        </w:p>
        <w:p w14:paraId="1F412D21" w14:textId="77777777" w:rsidR="00DC1AA6" w:rsidRPr="00DC1AA6" w:rsidRDefault="00DC1AA6" w:rsidP="00CF0EA6">
          <w:pPr>
            <w:autoSpaceDE w:val="0"/>
            <w:autoSpaceDN w:val="0"/>
            <w:spacing w:after="0"/>
            <w:ind w:hanging="640"/>
            <w:divId w:val="348264650"/>
            <w:rPr>
              <w:rFonts w:ascii="Arial" w:eastAsia="Times New Roman" w:hAnsi="Arial" w:cs="Arial"/>
              <w:color w:val="000000"/>
              <w:sz w:val="20"/>
            </w:rPr>
          </w:pPr>
          <w:r w:rsidRPr="00DC1AA6">
            <w:rPr>
              <w:rFonts w:ascii="Arial" w:eastAsia="Times New Roman" w:hAnsi="Arial" w:cs="Arial"/>
              <w:color w:val="000000"/>
              <w:sz w:val="20"/>
            </w:rPr>
            <w:t>[18]</w:t>
          </w:r>
          <w:r w:rsidRPr="00DC1AA6">
            <w:rPr>
              <w:rFonts w:ascii="Arial" w:eastAsia="Times New Roman" w:hAnsi="Arial" w:cs="Arial"/>
              <w:color w:val="000000"/>
              <w:sz w:val="20"/>
            </w:rPr>
            <w:tab/>
            <w:t xml:space="preserve">R. Chang, L. </w:t>
          </w:r>
          <w:proofErr w:type="spellStart"/>
          <w:r w:rsidRPr="00DC1AA6">
            <w:rPr>
              <w:rFonts w:ascii="Arial" w:eastAsia="Times New Roman" w:hAnsi="Arial" w:cs="Arial"/>
              <w:color w:val="000000"/>
              <w:sz w:val="20"/>
            </w:rPr>
            <w:t>Kaltani</w:t>
          </w:r>
          <w:proofErr w:type="spellEnd"/>
          <w:r w:rsidRPr="00DC1AA6">
            <w:rPr>
              <w:rFonts w:ascii="Arial" w:eastAsia="Times New Roman" w:hAnsi="Arial" w:cs="Arial"/>
              <w:color w:val="000000"/>
              <w:sz w:val="20"/>
            </w:rPr>
            <w:t xml:space="preserve">, and N. V Loayza, “Openness can be good for growth: The role of policy complementarities,”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90, no. 1, pp. 33–49, 2009,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https://doi.org/10.1016/j.jdeveco.2008.06.011.</w:t>
          </w:r>
        </w:p>
        <w:p w14:paraId="226D170B" w14:textId="77777777" w:rsidR="00DC1AA6" w:rsidRPr="00DC1AA6" w:rsidRDefault="00DC1AA6" w:rsidP="00CF0EA6">
          <w:pPr>
            <w:autoSpaceDE w:val="0"/>
            <w:autoSpaceDN w:val="0"/>
            <w:spacing w:after="0"/>
            <w:ind w:hanging="640"/>
            <w:divId w:val="1276328148"/>
            <w:rPr>
              <w:rFonts w:ascii="Arial" w:eastAsia="Times New Roman" w:hAnsi="Arial" w:cs="Arial"/>
              <w:color w:val="000000"/>
              <w:sz w:val="20"/>
            </w:rPr>
          </w:pPr>
          <w:r w:rsidRPr="00DC1AA6">
            <w:rPr>
              <w:rFonts w:ascii="Arial" w:eastAsia="Times New Roman" w:hAnsi="Arial" w:cs="Arial"/>
              <w:color w:val="000000"/>
              <w:sz w:val="20"/>
            </w:rPr>
            <w:lastRenderedPageBreak/>
            <w:t>[19]</w:t>
          </w:r>
          <w:r w:rsidRPr="00DC1AA6">
            <w:rPr>
              <w:rFonts w:ascii="Arial" w:eastAsia="Times New Roman" w:hAnsi="Arial" w:cs="Arial"/>
              <w:color w:val="000000"/>
              <w:sz w:val="20"/>
            </w:rPr>
            <w:tab/>
            <w:t xml:space="preserve">D. Herzer, “Cross-Country Heterogeneity and the Trade-Income Relationship,” </w:t>
          </w:r>
          <w:r w:rsidRPr="00DC1AA6">
            <w:rPr>
              <w:rFonts w:ascii="Arial" w:eastAsia="Times New Roman" w:hAnsi="Arial" w:cs="Arial"/>
              <w:i/>
              <w:iCs/>
              <w:color w:val="000000"/>
              <w:sz w:val="20"/>
            </w:rPr>
            <w:t>FIW, FIW Working Paper series</w:t>
          </w:r>
          <w:r w:rsidRPr="00DC1AA6">
            <w:rPr>
              <w:rFonts w:ascii="Arial" w:eastAsia="Times New Roman" w:hAnsi="Arial" w:cs="Arial"/>
              <w:color w:val="000000"/>
              <w:sz w:val="20"/>
            </w:rPr>
            <w:t xml:space="preserve">, vol. 44, Apr. 2013,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10.1016/j.worlddev.2012.09.014.</w:t>
          </w:r>
        </w:p>
        <w:p w14:paraId="4E19C27C" w14:textId="77777777" w:rsidR="00DC1AA6" w:rsidRPr="00DC1AA6" w:rsidRDefault="00DC1AA6" w:rsidP="00CF0EA6">
          <w:pPr>
            <w:autoSpaceDE w:val="0"/>
            <w:autoSpaceDN w:val="0"/>
            <w:spacing w:after="0"/>
            <w:ind w:hanging="640"/>
            <w:divId w:val="1096708317"/>
            <w:rPr>
              <w:rFonts w:ascii="Arial" w:eastAsia="Times New Roman" w:hAnsi="Arial" w:cs="Arial"/>
              <w:color w:val="000000"/>
              <w:sz w:val="20"/>
            </w:rPr>
          </w:pPr>
          <w:r w:rsidRPr="00DC1AA6">
            <w:rPr>
              <w:rFonts w:ascii="Arial" w:eastAsia="Times New Roman" w:hAnsi="Arial" w:cs="Arial"/>
              <w:color w:val="000000"/>
              <w:sz w:val="20"/>
            </w:rPr>
            <w:t>[20]</w:t>
          </w:r>
          <w:r w:rsidRPr="00DC1AA6">
            <w:rPr>
              <w:rFonts w:ascii="Arial" w:eastAsia="Times New Roman" w:hAnsi="Arial" w:cs="Arial"/>
              <w:color w:val="000000"/>
              <w:sz w:val="20"/>
            </w:rPr>
            <w:tab/>
            <w:t xml:space="preserve">P. Howitt, P. Aghion, and D. Mayer-Foulkes, “The Effect of Financial Development on Convergence: Theory and Evidence,” </w:t>
          </w:r>
          <w:r w:rsidRPr="00DC1AA6">
            <w:rPr>
              <w:rFonts w:ascii="Arial" w:eastAsia="Times New Roman" w:hAnsi="Arial" w:cs="Arial"/>
              <w:i/>
              <w:iCs/>
              <w:color w:val="000000"/>
              <w:sz w:val="20"/>
            </w:rPr>
            <w:t>Q. J. Econ.</w:t>
          </w:r>
          <w:r w:rsidRPr="00DC1AA6">
            <w:rPr>
              <w:rFonts w:ascii="Arial" w:eastAsia="Times New Roman" w:hAnsi="Arial" w:cs="Arial"/>
              <w:color w:val="000000"/>
              <w:sz w:val="20"/>
            </w:rPr>
            <w:t xml:space="preserve">, vol. 120, pp. 173–222, Feb. 2005,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10.1162/qjec.2005.120.1.173.</w:t>
          </w:r>
        </w:p>
        <w:p w14:paraId="4D46DF72" w14:textId="77777777" w:rsidR="00DC1AA6" w:rsidRPr="00DC1AA6" w:rsidRDefault="00DC1AA6" w:rsidP="00CF0EA6">
          <w:pPr>
            <w:autoSpaceDE w:val="0"/>
            <w:autoSpaceDN w:val="0"/>
            <w:spacing w:after="0"/>
            <w:ind w:hanging="640"/>
            <w:divId w:val="1804496749"/>
            <w:rPr>
              <w:rFonts w:ascii="Arial" w:eastAsia="Times New Roman" w:hAnsi="Arial" w:cs="Arial"/>
              <w:color w:val="000000"/>
              <w:sz w:val="20"/>
            </w:rPr>
          </w:pPr>
          <w:r w:rsidRPr="00DC1AA6">
            <w:rPr>
              <w:rFonts w:ascii="Arial" w:eastAsia="Times New Roman" w:hAnsi="Arial" w:cs="Arial"/>
              <w:color w:val="000000"/>
              <w:sz w:val="20"/>
            </w:rPr>
            <w:t>[21]</w:t>
          </w:r>
          <w:r w:rsidRPr="00DC1AA6">
            <w:rPr>
              <w:rFonts w:ascii="Arial" w:eastAsia="Times New Roman" w:hAnsi="Arial" w:cs="Arial"/>
              <w:color w:val="000000"/>
              <w:sz w:val="20"/>
            </w:rPr>
            <w:tab/>
            <w:t xml:space="preserve">S. Sengupta, “How trade openness influenced economic growth in India: An empirical investigation,” </w:t>
          </w:r>
          <w:r w:rsidRPr="00DC1AA6">
            <w:rPr>
              <w:rFonts w:ascii="Arial" w:eastAsia="Times New Roman" w:hAnsi="Arial" w:cs="Arial"/>
              <w:i/>
              <w:iCs/>
              <w:color w:val="000000"/>
              <w:sz w:val="20"/>
            </w:rPr>
            <w:t>Indian J. Econ. Dev.</w:t>
          </w:r>
          <w:r w:rsidRPr="00DC1AA6">
            <w:rPr>
              <w:rFonts w:ascii="Arial" w:eastAsia="Times New Roman" w:hAnsi="Arial" w:cs="Arial"/>
              <w:color w:val="000000"/>
              <w:sz w:val="20"/>
            </w:rPr>
            <w:t xml:space="preserve">, pp. 1–14, Sep. 2020,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10.17485/IJED/v8.21.</w:t>
          </w:r>
        </w:p>
        <w:p w14:paraId="32F6EE6F" w14:textId="77777777" w:rsidR="00DC1AA6" w:rsidRPr="00DC1AA6" w:rsidRDefault="00DC1AA6" w:rsidP="00CF0EA6">
          <w:pPr>
            <w:autoSpaceDE w:val="0"/>
            <w:autoSpaceDN w:val="0"/>
            <w:spacing w:after="0"/>
            <w:ind w:hanging="640"/>
            <w:divId w:val="564027595"/>
            <w:rPr>
              <w:rFonts w:ascii="Arial" w:eastAsia="Times New Roman" w:hAnsi="Arial" w:cs="Arial"/>
              <w:color w:val="000000"/>
              <w:sz w:val="20"/>
            </w:rPr>
          </w:pPr>
          <w:r w:rsidRPr="00DC1AA6">
            <w:rPr>
              <w:rFonts w:ascii="Arial" w:eastAsia="Times New Roman" w:hAnsi="Arial" w:cs="Arial"/>
              <w:color w:val="000000"/>
              <w:sz w:val="20"/>
            </w:rPr>
            <w:t>[22]</w:t>
          </w:r>
          <w:r w:rsidRPr="00DC1AA6">
            <w:rPr>
              <w:rFonts w:ascii="Arial" w:eastAsia="Times New Roman" w:hAnsi="Arial" w:cs="Arial"/>
              <w:color w:val="000000"/>
              <w:sz w:val="20"/>
            </w:rPr>
            <w:tab/>
            <w:t xml:space="preserve">R. </w:t>
          </w:r>
          <w:proofErr w:type="spellStart"/>
          <w:r w:rsidRPr="00DC1AA6">
            <w:rPr>
              <w:rFonts w:ascii="Arial" w:eastAsia="Times New Roman" w:hAnsi="Arial" w:cs="Arial"/>
              <w:color w:val="000000"/>
              <w:sz w:val="20"/>
            </w:rPr>
            <w:t>Raghuramapatruni</w:t>
          </w:r>
          <w:proofErr w:type="spellEnd"/>
          <w:r w:rsidRPr="00DC1AA6">
            <w:rPr>
              <w:rFonts w:ascii="Arial" w:eastAsia="Times New Roman" w:hAnsi="Arial" w:cs="Arial"/>
              <w:color w:val="000000"/>
              <w:sz w:val="20"/>
            </w:rPr>
            <w:t xml:space="preserve"> and V. S. C. Reddy, “An Appraisal of the Impact of International Trade on Economic Growth of India- through the ARDL Approach,” </w:t>
          </w:r>
          <w:r w:rsidRPr="00DC1AA6">
            <w:rPr>
              <w:rFonts w:ascii="Arial" w:eastAsia="Times New Roman" w:hAnsi="Arial" w:cs="Arial"/>
              <w:i/>
              <w:iCs/>
              <w:color w:val="000000"/>
              <w:sz w:val="20"/>
            </w:rPr>
            <w:t>International Journal of Economics and Business Administration</w:t>
          </w:r>
          <w:r w:rsidRPr="00DC1AA6">
            <w:rPr>
              <w:rFonts w:ascii="Arial" w:eastAsia="Times New Roman" w:hAnsi="Arial" w:cs="Arial"/>
              <w:color w:val="000000"/>
              <w:sz w:val="20"/>
            </w:rPr>
            <w:t>, vol. VIII, no. 2, pp. 376–387, 2020.</w:t>
          </w:r>
        </w:p>
        <w:p w14:paraId="4625DFE1" w14:textId="77777777" w:rsidR="00DC1AA6" w:rsidRPr="00DC1AA6" w:rsidRDefault="00DC1AA6" w:rsidP="00CF0EA6">
          <w:pPr>
            <w:autoSpaceDE w:val="0"/>
            <w:autoSpaceDN w:val="0"/>
            <w:spacing w:after="0"/>
            <w:ind w:hanging="640"/>
            <w:divId w:val="1409379139"/>
            <w:rPr>
              <w:rFonts w:ascii="Arial" w:eastAsia="Times New Roman" w:hAnsi="Arial" w:cs="Arial"/>
              <w:color w:val="000000"/>
              <w:sz w:val="20"/>
            </w:rPr>
          </w:pPr>
          <w:r w:rsidRPr="00DC1AA6">
            <w:rPr>
              <w:rFonts w:ascii="Arial" w:eastAsia="Times New Roman" w:hAnsi="Arial" w:cs="Arial"/>
              <w:color w:val="000000"/>
              <w:sz w:val="20"/>
            </w:rPr>
            <w:t>[23]</w:t>
          </w:r>
          <w:r w:rsidRPr="00DC1AA6">
            <w:rPr>
              <w:rFonts w:ascii="Arial" w:eastAsia="Times New Roman" w:hAnsi="Arial" w:cs="Arial"/>
              <w:color w:val="000000"/>
              <w:sz w:val="20"/>
            </w:rPr>
            <w:tab/>
            <w:t xml:space="preserve">S. Wani, “Trade Openness, Capital Formation, and Economic Growth: Empirical Evidence from India,” </w:t>
          </w:r>
          <w:r w:rsidRPr="00DC1AA6">
            <w:rPr>
              <w:rFonts w:ascii="Arial" w:eastAsia="Times New Roman" w:hAnsi="Arial" w:cs="Arial"/>
              <w:i/>
              <w:iCs/>
              <w:color w:val="000000"/>
              <w:sz w:val="20"/>
            </w:rPr>
            <w:t>Eurasian Journal of Business and Economics</w:t>
          </w:r>
          <w:r w:rsidRPr="00DC1AA6">
            <w:rPr>
              <w:rFonts w:ascii="Arial" w:eastAsia="Times New Roman" w:hAnsi="Arial" w:cs="Arial"/>
              <w:color w:val="000000"/>
              <w:sz w:val="20"/>
            </w:rPr>
            <w:t xml:space="preserve">, vol. 15, pp. 36–49, May 2022,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10.17015/ejbe.2022.029.03.</w:t>
          </w:r>
        </w:p>
        <w:p w14:paraId="360AA67C" w14:textId="77777777" w:rsidR="00DC1AA6" w:rsidRPr="00DC1AA6" w:rsidRDefault="00DC1AA6" w:rsidP="00CF0EA6">
          <w:pPr>
            <w:autoSpaceDE w:val="0"/>
            <w:autoSpaceDN w:val="0"/>
            <w:spacing w:after="0"/>
            <w:ind w:hanging="640"/>
            <w:divId w:val="1408073180"/>
            <w:rPr>
              <w:rFonts w:ascii="Arial" w:eastAsia="Times New Roman" w:hAnsi="Arial" w:cs="Arial"/>
              <w:color w:val="000000"/>
              <w:sz w:val="20"/>
            </w:rPr>
          </w:pPr>
          <w:r w:rsidRPr="00DC1AA6">
            <w:rPr>
              <w:rFonts w:ascii="Arial" w:eastAsia="Times New Roman" w:hAnsi="Arial" w:cs="Arial"/>
              <w:color w:val="000000"/>
              <w:sz w:val="20"/>
            </w:rPr>
            <w:t>[24]</w:t>
          </w:r>
          <w:r w:rsidRPr="00DC1AA6">
            <w:rPr>
              <w:rFonts w:ascii="Arial" w:eastAsia="Times New Roman" w:hAnsi="Arial" w:cs="Arial"/>
              <w:color w:val="000000"/>
              <w:sz w:val="20"/>
            </w:rPr>
            <w:tab/>
            <w:t xml:space="preserve">S. Wani, E. Yasmin, and M. A. </w:t>
          </w:r>
          <w:proofErr w:type="spellStart"/>
          <w:r w:rsidRPr="00DC1AA6">
            <w:rPr>
              <w:rFonts w:ascii="Arial" w:eastAsia="Times New Roman" w:hAnsi="Arial" w:cs="Arial"/>
              <w:color w:val="000000"/>
              <w:sz w:val="20"/>
            </w:rPr>
            <w:t>Soudager</w:t>
          </w:r>
          <w:proofErr w:type="spellEnd"/>
          <w:r w:rsidRPr="00DC1AA6">
            <w:rPr>
              <w:rFonts w:ascii="Arial" w:eastAsia="Times New Roman" w:hAnsi="Arial" w:cs="Arial"/>
              <w:color w:val="000000"/>
              <w:sz w:val="20"/>
            </w:rPr>
            <w:t xml:space="preserve">, “Role of Institutional Quality in Trade Openness and Economic Growth Nexus: Empirical Evidence from India,” </w:t>
          </w:r>
          <w:proofErr w:type="spellStart"/>
          <w:r w:rsidRPr="00DC1AA6">
            <w:rPr>
              <w:rFonts w:ascii="Arial" w:eastAsia="Times New Roman" w:hAnsi="Arial" w:cs="Arial"/>
              <w:i/>
              <w:iCs/>
              <w:color w:val="000000"/>
              <w:sz w:val="20"/>
            </w:rPr>
            <w:t>Statistika</w:t>
          </w:r>
          <w:proofErr w:type="spellEnd"/>
          <w:r w:rsidRPr="00DC1AA6">
            <w:rPr>
              <w:rFonts w:ascii="Arial" w:eastAsia="Times New Roman" w:hAnsi="Arial" w:cs="Arial"/>
              <w:i/>
              <w:iCs/>
              <w:color w:val="000000"/>
              <w:sz w:val="20"/>
            </w:rPr>
            <w:t>: Statistics and Economy Journal</w:t>
          </w:r>
          <w:r w:rsidRPr="00DC1AA6">
            <w:rPr>
              <w:rFonts w:ascii="Arial" w:eastAsia="Times New Roman" w:hAnsi="Arial" w:cs="Arial"/>
              <w:color w:val="000000"/>
              <w:sz w:val="20"/>
            </w:rPr>
            <w:t xml:space="preserve">, vol. 103, pp. 180–197, Jun. 2023,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10.54694/stat.2023.2.</w:t>
          </w:r>
        </w:p>
        <w:p w14:paraId="51A1C487" w14:textId="77777777" w:rsidR="00DC1AA6" w:rsidRPr="00DC1AA6" w:rsidRDefault="00DC1AA6" w:rsidP="00CF0EA6">
          <w:pPr>
            <w:autoSpaceDE w:val="0"/>
            <w:autoSpaceDN w:val="0"/>
            <w:spacing w:after="0"/>
            <w:ind w:hanging="640"/>
            <w:divId w:val="86076747"/>
            <w:rPr>
              <w:rFonts w:ascii="Arial" w:eastAsia="Times New Roman" w:hAnsi="Arial" w:cs="Arial"/>
              <w:color w:val="000000"/>
              <w:sz w:val="20"/>
            </w:rPr>
          </w:pPr>
          <w:r w:rsidRPr="00DC1AA6">
            <w:rPr>
              <w:rFonts w:ascii="Arial" w:eastAsia="Times New Roman" w:hAnsi="Arial" w:cs="Arial"/>
              <w:color w:val="000000"/>
              <w:sz w:val="20"/>
            </w:rPr>
            <w:t>[25]</w:t>
          </w:r>
          <w:r w:rsidRPr="00DC1AA6">
            <w:rPr>
              <w:rFonts w:ascii="Arial" w:eastAsia="Times New Roman" w:hAnsi="Arial" w:cs="Arial"/>
              <w:color w:val="000000"/>
              <w:sz w:val="20"/>
            </w:rPr>
            <w:tab/>
            <w:t xml:space="preserve">P. Roy Chowdhury, “Relationship Of </w:t>
          </w:r>
          <w:proofErr w:type="spellStart"/>
          <w:r w:rsidRPr="00DC1AA6">
            <w:rPr>
              <w:rFonts w:ascii="Arial" w:eastAsia="Times New Roman" w:hAnsi="Arial" w:cs="Arial"/>
              <w:color w:val="000000"/>
              <w:sz w:val="20"/>
            </w:rPr>
            <w:t>Gdp</w:t>
          </w:r>
          <w:proofErr w:type="spellEnd"/>
          <w:r w:rsidRPr="00DC1AA6">
            <w:rPr>
              <w:rFonts w:ascii="Arial" w:eastAsia="Times New Roman" w:hAnsi="Arial" w:cs="Arial"/>
              <w:color w:val="000000"/>
              <w:sz w:val="20"/>
            </w:rPr>
            <w:t xml:space="preserve"> Growth Rate, Trade Openness And Real Exchange Rate In India: An Analysis Through Auto Regressive Distributor Lag (</w:t>
          </w:r>
          <w:proofErr w:type="spellStart"/>
          <w:r w:rsidRPr="00DC1AA6">
            <w:rPr>
              <w:rFonts w:ascii="Arial" w:eastAsia="Times New Roman" w:hAnsi="Arial" w:cs="Arial"/>
              <w:color w:val="000000"/>
              <w:sz w:val="20"/>
            </w:rPr>
            <w:t>Ardl</w:t>
          </w:r>
          <w:proofErr w:type="spellEnd"/>
          <w:r w:rsidRPr="00DC1AA6">
            <w:rPr>
              <w:rFonts w:ascii="Arial" w:eastAsia="Times New Roman" w:hAnsi="Arial" w:cs="Arial"/>
              <w:color w:val="000000"/>
              <w:sz w:val="20"/>
            </w:rPr>
            <w:t xml:space="preserve">) Model,” </w:t>
          </w:r>
          <w:r w:rsidRPr="00DC1AA6">
            <w:rPr>
              <w:rFonts w:ascii="Arial" w:eastAsia="Times New Roman" w:hAnsi="Arial" w:cs="Arial"/>
              <w:i/>
              <w:iCs/>
              <w:color w:val="000000"/>
              <w:sz w:val="20"/>
            </w:rPr>
            <w:t>Journal of Informatics Education and Research</w:t>
          </w:r>
          <w:r w:rsidRPr="00DC1AA6">
            <w:rPr>
              <w:rFonts w:ascii="Arial" w:eastAsia="Times New Roman" w:hAnsi="Arial" w:cs="Arial"/>
              <w:color w:val="000000"/>
              <w:sz w:val="20"/>
            </w:rPr>
            <w:t xml:space="preserve">, vol. 5, Jul. 2025,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10.52783/jier.v5i2.3101.</w:t>
          </w:r>
        </w:p>
        <w:p w14:paraId="45FD54F2" w14:textId="77777777" w:rsidR="00DC1AA6" w:rsidRPr="00DC1AA6" w:rsidRDefault="00DC1AA6" w:rsidP="00CF0EA6">
          <w:pPr>
            <w:autoSpaceDE w:val="0"/>
            <w:autoSpaceDN w:val="0"/>
            <w:spacing w:after="0"/>
            <w:ind w:hanging="640"/>
            <w:divId w:val="126751859"/>
            <w:rPr>
              <w:rFonts w:ascii="Arial" w:eastAsia="Times New Roman" w:hAnsi="Arial" w:cs="Arial"/>
              <w:color w:val="000000"/>
              <w:sz w:val="20"/>
            </w:rPr>
          </w:pPr>
          <w:r w:rsidRPr="00DC1AA6">
            <w:rPr>
              <w:rFonts w:ascii="Arial" w:eastAsia="Times New Roman" w:hAnsi="Arial" w:cs="Arial"/>
              <w:color w:val="000000"/>
              <w:sz w:val="20"/>
            </w:rPr>
            <w:t>[26]</w:t>
          </w:r>
          <w:r w:rsidRPr="00DC1AA6">
            <w:rPr>
              <w:rFonts w:ascii="Arial" w:eastAsia="Times New Roman" w:hAnsi="Arial" w:cs="Arial"/>
              <w:color w:val="000000"/>
              <w:sz w:val="20"/>
            </w:rPr>
            <w:tab/>
            <w:t xml:space="preserve">U. J. Banday, S. Murugan, and J. Maryam, “Foreign direct investment, trade openness and economic growth in BRICS countries: evidences from panel data,” </w:t>
          </w:r>
          <w:r w:rsidRPr="00DC1AA6">
            <w:rPr>
              <w:rFonts w:ascii="Arial" w:eastAsia="Times New Roman" w:hAnsi="Arial" w:cs="Arial"/>
              <w:i/>
              <w:iCs/>
              <w:color w:val="000000"/>
              <w:sz w:val="20"/>
            </w:rPr>
            <w:t>Transnational Corporations Review</w:t>
          </w:r>
          <w:r w:rsidRPr="00DC1AA6">
            <w:rPr>
              <w:rFonts w:ascii="Arial" w:eastAsia="Times New Roman" w:hAnsi="Arial" w:cs="Arial"/>
              <w:color w:val="000000"/>
              <w:sz w:val="20"/>
            </w:rPr>
            <w:t xml:space="preserve">, vol. 13, no. 2, pp. 211–221, 2021,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https://doi.org/10.1080/19186444.2020.1851162.</w:t>
          </w:r>
        </w:p>
        <w:p w14:paraId="22B0A2F4" w14:textId="77777777" w:rsidR="00DC1AA6" w:rsidRPr="00DC1AA6" w:rsidRDefault="00DC1AA6" w:rsidP="00CF0EA6">
          <w:pPr>
            <w:autoSpaceDE w:val="0"/>
            <w:autoSpaceDN w:val="0"/>
            <w:spacing w:after="0"/>
            <w:ind w:hanging="640"/>
            <w:divId w:val="1265386408"/>
            <w:rPr>
              <w:rFonts w:ascii="Arial" w:eastAsia="Times New Roman" w:hAnsi="Arial" w:cs="Arial"/>
              <w:color w:val="000000"/>
              <w:sz w:val="20"/>
            </w:rPr>
          </w:pPr>
          <w:r w:rsidRPr="00DC1AA6">
            <w:rPr>
              <w:rFonts w:ascii="Arial" w:eastAsia="Times New Roman" w:hAnsi="Arial" w:cs="Arial"/>
              <w:color w:val="000000"/>
              <w:sz w:val="20"/>
            </w:rPr>
            <w:t>[27]</w:t>
          </w:r>
          <w:r w:rsidRPr="00DC1AA6">
            <w:rPr>
              <w:rFonts w:ascii="Arial" w:eastAsia="Times New Roman" w:hAnsi="Arial" w:cs="Arial"/>
              <w:color w:val="000000"/>
              <w:sz w:val="20"/>
            </w:rPr>
            <w:tab/>
            <w:t xml:space="preserve">R. Kumar and D. </w:t>
          </w:r>
          <w:proofErr w:type="spellStart"/>
          <w:r w:rsidRPr="00DC1AA6">
            <w:rPr>
              <w:rFonts w:ascii="Arial" w:eastAsia="Times New Roman" w:hAnsi="Arial" w:cs="Arial"/>
              <w:color w:val="000000"/>
              <w:sz w:val="20"/>
            </w:rPr>
            <w:t>Neogi</w:t>
          </w:r>
          <w:proofErr w:type="spellEnd"/>
          <w:r w:rsidRPr="00DC1AA6">
            <w:rPr>
              <w:rFonts w:ascii="Arial" w:eastAsia="Times New Roman" w:hAnsi="Arial" w:cs="Arial"/>
              <w:color w:val="000000"/>
              <w:sz w:val="20"/>
            </w:rPr>
            <w:t xml:space="preserve">, “Strategic Economic Management : ARDL Analysis of Trade, FDI, and Growth in G20 Nations,” </w:t>
          </w:r>
          <w:proofErr w:type="spellStart"/>
          <w:r w:rsidRPr="00DC1AA6">
            <w:rPr>
              <w:rFonts w:ascii="Arial" w:eastAsia="Times New Roman" w:hAnsi="Arial" w:cs="Arial"/>
              <w:i/>
              <w:iCs/>
              <w:color w:val="000000"/>
              <w:sz w:val="20"/>
            </w:rPr>
            <w:t>Prabandhan</w:t>
          </w:r>
          <w:proofErr w:type="spellEnd"/>
          <w:r w:rsidRPr="00DC1AA6">
            <w:rPr>
              <w:rFonts w:ascii="Arial" w:eastAsia="Times New Roman" w:hAnsi="Arial" w:cs="Arial"/>
              <w:i/>
              <w:iCs/>
              <w:color w:val="000000"/>
              <w:sz w:val="20"/>
            </w:rPr>
            <w:t>: Indian Journal of Management</w:t>
          </w:r>
          <w:r w:rsidRPr="00DC1AA6">
            <w:rPr>
              <w:rFonts w:ascii="Arial" w:eastAsia="Times New Roman" w:hAnsi="Arial" w:cs="Arial"/>
              <w:color w:val="000000"/>
              <w:sz w:val="20"/>
            </w:rPr>
            <w:t xml:space="preserve">, vol. 18, no. 7, pp. 8–25, Jul. 2025,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10.17010/</w:t>
          </w:r>
          <w:proofErr w:type="spellStart"/>
          <w:r w:rsidRPr="00DC1AA6">
            <w:rPr>
              <w:rFonts w:ascii="Arial" w:eastAsia="Times New Roman" w:hAnsi="Arial" w:cs="Arial"/>
              <w:color w:val="000000"/>
              <w:sz w:val="20"/>
            </w:rPr>
            <w:t>pijom</w:t>
          </w:r>
          <w:proofErr w:type="spellEnd"/>
          <w:r w:rsidRPr="00DC1AA6">
            <w:rPr>
              <w:rFonts w:ascii="Arial" w:eastAsia="Times New Roman" w:hAnsi="Arial" w:cs="Arial"/>
              <w:color w:val="000000"/>
              <w:sz w:val="20"/>
            </w:rPr>
            <w:t>/2025/v18i7/174562.</w:t>
          </w:r>
        </w:p>
        <w:p w14:paraId="6D6838B7" w14:textId="77777777" w:rsidR="00DC1AA6" w:rsidRPr="00DC1AA6" w:rsidRDefault="00DC1AA6" w:rsidP="00CF0EA6">
          <w:pPr>
            <w:autoSpaceDE w:val="0"/>
            <w:autoSpaceDN w:val="0"/>
            <w:spacing w:after="0"/>
            <w:ind w:hanging="640"/>
            <w:divId w:val="49774243"/>
            <w:rPr>
              <w:rFonts w:ascii="Arial" w:eastAsia="Times New Roman" w:hAnsi="Arial" w:cs="Arial"/>
              <w:color w:val="000000"/>
              <w:sz w:val="20"/>
            </w:rPr>
          </w:pPr>
          <w:r w:rsidRPr="00DC1AA6">
            <w:rPr>
              <w:rFonts w:ascii="Arial" w:eastAsia="Times New Roman" w:hAnsi="Arial" w:cs="Arial"/>
              <w:color w:val="000000"/>
              <w:sz w:val="20"/>
            </w:rPr>
            <w:t>[28]</w:t>
          </w:r>
          <w:r w:rsidRPr="00DC1AA6">
            <w:rPr>
              <w:rFonts w:ascii="Arial" w:eastAsia="Times New Roman" w:hAnsi="Arial" w:cs="Arial"/>
              <w:color w:val="000000"/>
              <w:sz w:val="20"/>
            </w:rPr>
            <w:tab/>
            <w:t xml:space="preserve">L. Mallick and S. R. Behera, “Does trade openness affect economic growth in India? Evidence from threshold cointegration with asymmetric adjustment,” </w:t>
          </w:r>
          <w:r w:rsidRPr="00DC1AA6">
            <w:rPr>
              <w:rFonts w:ascii="Arial" w:eastAsia="Times New Roman" w:hAnsi="Arial" w:cs="Arial"/>
              <w:i/>
              <w:iCs/>
              <w:color w:val="000000"/>
              <w:sz w:val="20"/>
            </w:rPr>
            <w:t>Cogent Economics &amp; Finance</w:t>
          </w:r>
          <w:r w:rsidRPr="00DC1AA6">
            <w:rPr>
              <w:rFonts w:ascii="Arial" w:eastAsia="Times New Roman" w:hAnsi="Arial" w:cs="Arial"/>
              <w:color w:val="000000"/>
              <w:sz w:val="20"/>
            </w:rPr>
            <w:t xml:space="preserve">, vol. 8, no. 1, p. 1782659, 2020,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10.1080/23322039.2020.1782659.</w:t>
          </w:r>
        </w:p>
        <w:p w14:paraId="5254A8A9" w14:textId="77777777" w:rsidR="00DC1AA6" w:rsidRPr="00DC1AA6" w:rsidRDefault="00DC1AA6" w:rsidP="00CF0EA6">
          <w:pPr>
            <w:autoSpaceDE w:val="0"/>
            <w:autoSpaceDN w:val="0"/>
            <w:spacing w:after="0"/>
            <w:ind w:hanging="640"/>
            <w:divId w:val="1897667408"/>
            <w:rPr>
              <w:rFonts w:ascii="Arial" w:eastAsia="Times New Roman" w:hAnsi="Arial" w:cs="Arial"/>
              <w:color w:val="000000"/>
              <w:sz w:val="20"/>
            </w:rPr>
          </w:pPr>
          <w:r w:rsidRPr="00DC1AA6">
            <w:rPr>
              <w:rFonts w:ascii="Arial" w:eastAsia="Times New Roman" w:hAnsi="Arial" w:cs="Arial"/>
              <w:color w:val="000000"/>
              <w:sz w:val="20"/>
            </w:rPr>
            <w:t>[29]</w:t>
          </w:r>
          <w:r w:rsidRPr="00DC1AA6">
            <w:rPr>
              <w:rFonts w:ascii="Arial" w:eastAsia="Times New Roman" w:hAnsi="Arial" w:cs="Arial"/>
              <w:color w:val="000000"/>
              <w:sz w:val="20"/>
            </w:rPr>
            <w:tab/>
            <w:t xml:space="preserve">T. Ghazouani, J. Boukhatem, and C. Yan Sam, “Causal interactions between trade openness, renewable electricity consumption, and economic growth in Asia-Pacific countries: Fresh evidence from a bootstrap ARDL approach,” </w:t>
          </w:r>
          <w:r w:rsidRPr="00DC1AA6">
            <w:rPr>
              <w:rFonts w:ascii="Arial" w:eastAsia="Times New Roman" w:hAnsi="Arial" w:cs="Arial"/>
              <w:i/>
              <w:iCs/>
              <w:color w:val="000000"/>
              <w:sz w:val="20"/>
            </w:rPr>
            <w:t>Renewable and Sustainable Energy Reviews</w:t>
          </w:r>
          <w:r w:rsidRPr="00DC1AA6">
            <w:rPr>
              <w:rFonts w:ascii="Arial" w:eastAsia="Times New Roman" w:hAnsi="Arial" w:cs="Arial"/>
              <w:color w:val="000000"/>
              <w:sz w:val="20"/>
            </w:rPr>
            <w:t xml:space="preserve">, vol. 133, p. 110094, 2020,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https://doi.org/10.1016/j.rser.2020.110094.</w:t>
          </w:r>
        </w:p>
        <w:p w14:paraId="14D72FB1" w14:textId="77777777" w:rsidR="00DC1AA6" w:rsidRPr="00DC1AA6" w:rsidRDefault="00DC1AA6" w:rsidP="00CF0EA6">
          <w:pPr>
            <w:autoSpaceDE w:val="0"/>
            <w:autoSpaceDN w:val="0"/>
            <w:spacing w:after="0"/>
            <w:ind w:hanging="640"/>
            <w:divId w:val="249851873"/>
            <w:rPr>
              <w:rFonts w:ascii="Arial" w:eastAsia="Times New Roman" w:hAnsi="Arial" w:cs="Arial"/>
              <w:color w:val="000000"/>
              <w:sz w:val="20"/>
            </w:rPr>
          </w:pPr>
          <w:r w:rsidRPr="00DC1AA6">
            <w:rPr>
              <w:rFonts w:ascii="Arial" w:eastAsia="Times New Roman" w:hAnsi="Arial" w:cs="Arial"/>
              <w:color w:val="000000"/>
              <w:sz w:val="20"/>
            </w:rPr>
            <w:t>[30]</w:t>
          </w:r>
          <w:r w:rsidRPr="00DC1AA6">
            <w:rPr>
              <w:rFonts w:ascii="Arial" w:eastAsia="Times New Roman" w:hAnsi="Arial" w:cs="Arial"/>
              <w:color w:val="000000"/>
              <w:sz w:val="20"/>
            </w:rPr>
            <w:tab/>
            <w:t xml:space="preserve">K. Usman, “The linkages between trade, financial openness, and economic growth in China: an ARDL-bound test approach,” </w:t>
          </w:r>
          <w:r w:rsidRPr="00DC1AA6">
            <w:rPr>
              <w:rFonts w:ascii="Arial" w:eastAsia="Times New Roman" w:hAnsi="Arial" w:cs="Arial"/>
              <w:i/>
              <w:iCs/>
              <w:color w:val="000000"/>
              <w:sz w:val="20"/>
            </w:rPr>
            <w:t>J. Appl. Econ.</w:t>
          </w:r>
          <w:r w:rsidRPr="00DC1AA6">
            <w:rPr>
              <w:rFonts w:ascii="Arial" w:eastAsia="Times New Roman" w:hAnsi="Arial" w:cs="Arial"/>
              <w:color w:val="000000"/>
              <w:sz w:val="20"/>
            </w:rPr>
            <w:t xml:space="preserve">, vol. 26, no. 1, p. 2258616, Dec. 2023,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10.1080/15140326.2023.2258616.</w:t>
          </w:r>
        </w:p>
        <w:p w14:paraId="1E4D5A0B" w14:textId="77777777" w:rsidR="00DC1AA6" w:rsidRPr="00DC1AA6" w:rsidRDefault="00DC1AA6" w:rsidP="00CF0EA6">
          <w:pPr>
            <w:autoSpaceDE w:val="0"/>
            <w:autoSpaceDN w:val="0"/>
            <w:spacing w:after="0"/>
            <w:ind w:hanging="640"/>
            <w:divId w:val="1469937614"/>
            <w:rPr>
              <w:rFonts w:ascii="Arial" w:eastAsia="Times New Roman" w:hAnsi="Arial" w:cs="Arial"/>
              <w:color w:val="000000"/>
              <w:sz w:val="20"/>
            </w:rPr>
          </w:pPr>
          <w:r w:rsidRPr="00DC1AA6">
            <w:rPr>
              <w:rFonts w:ascii="Arial" w:eastAsia="Times New Roman" w:hAnsi="Arial" w:cs="Arial"/>
              <w:color w:val="000000"/>
              <w:sz w:val="20"/>
            </w:rPr>
            <w:t>[31]</w:t>
          </w:r>
          <w:r w:rsidRPr="00DC1AA6">
            <w:rPr>
              <w:rFonts w:ascii="Arial" w:eastAsia="Times New Roman" w:hAnsi="Arial" w:cs="Arial"/>
              <w:color w:val="000000"/>
              <w:sz w:val="20"/>
            </w:rPr>
            <w:tab/>
            <w:t xml:space="preserve">A. U. H. Ganie and M. Ahmad, “Reassessing the energy – finance – growth triangle in India: evidence from asymmetric and non-linear modelling,” </w:t>
          </w:r>
          <w:r w:rsidRPr="00DC1AA6">
            <w:rPr>
              <w:rFonts w:ascii="Arial" w:eastAsia="Times New Roman" w:hAnsi="Arial" w:cs="Arial"/>
              <w:i/>
              <w:iCs/>
              <w:color w:val="000000"/>
              <w:sz w:val="20"/>
            </w:rPr>
            <w:t>Journal of Financial Economic Policy</w:t>
          </w:r>
          <w:r w:rsidRPr="00DC1AA6">
            <w:rPr>
              <w:rFonts w:ascii="Arial" w:eastAsia="Times New Roman" w:hAnsi="Arial" w:cs="Arial"/>
              <w:color w:val="000000"/>
              <w:sz w:val="20"/>
            </w:rPr>
            <w:t xml:space="preserve">, pp. 1–27, Dec. 2025,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10.1108/JFEP-07-2025-0279.</w:t>
          </w:r>
        </w:p>
        <w:p w14:paraId="18840914" w14:textId="77777777" w:rsidR="00DC1AA6" w:rsidRPr="00DC1AA6" w:rsidRDefault="00DC1AA6" w:rsidP="00CF0EA6">
          <w:pPr>
            <w:autoSpaceDE w:val="0"/>
            <w:autoSpaceDN w:val="0"/>
            <w:spacing w:after="0"/>
            <w:ind w:hanging="640"/>
            <w:divId w:val="1135610159"/>
            <w:rPr>
              <w:rFonts w:ascii="Arial" w:eastAsia="Times New Roman" w:hAnsi="Arial" w:cs="Arial"/>
              <w:color w:val="000000"/>
              <w:sz w:val="20"/>
            </w:rPr>
          </w:pPr>
          <w:r w:rsidRPr="00DC1AA6">
            <w:rPr>
              <w:rFonts w:ascii="Arial" w:eastAsia="Times New Roman" w:hAnsi="Arial" w:cs="Arial"/>
              <w:color w:val="000000"/>
              <w:sz w:val="20"/>
            </w:rPr>
            <w:t>[32]</w:t>
          </w:r>
          <w:r w:rsidRPr="00DC1AA6">
            <w:rPr>
              <w:rFonts w:ascii="Arial" w:eastAsia="Times New Roman" w:hAnsi="Arial" w:cs="Arial"/>
              <w:color w:val="000000"/>
              <w:sz w:val="20"/>
            </w:rPr>
            <w:tab/>
            <w:t xml:space="preserve">S. K. </w:t>
          </w:r>
          <w:proofErr w:type="spellStart"/>
          <w:r w:rsidRPr="00DC1AA6">
            <w:rPr>
              <w:rFonts w:ascii="Arial" w:eastAsia="Times New Roman" w:hAnsi="Arial" w:cs="Arial"/>
              <w:color w:val="000000"/>
              <w:sz w:val="20"/>
            </w:rPr>
            <w:t>Chejarla</w:t>
          </w:r>
          <w:proofErr w:type="spellEnd"/>
          <w:r w:rsidRPr="00DC1AA6">
            <w:rPr>
              <w:rFonts w:ascii="Arial" w:eastAsia="Times New Roman" w:hAnsi="Arial" w:cs="Arial"/>
              <w:color w:val="000000"/>
              <w:sz w:val="20"/>
            </w:rPr>
            <w:t xml:space="preserve">, S. K. Duvvuri, B. Rajana, P. T. </w:t>
          </w:r>
          <w:proofErr w:type="spellStart"/>
          <w:r w:rsidRPr="00DC1AA6">
            <w:rPr>
              <w:rFonts w:ascii="Arial" w:eastAsia="Times New Roman" w:hAnsi="Arial" w:cs="Arial"/>
              <w:color w:val="000000"/>
              <w:sz w:val="20"/>
            </w:rPr>
            <w:t>Dakey</w:t>
          </w:r>
          <w:proofErr w:type="spellEnd"/>
          <w:r w:rsidRPr="00DC1AA6">
            <w:rPr>
              <w:rFonts w:ascii="Arial" w:eastAsia="Times New Roman" w:hAnsi="Arial" w:cs="Arial"/>
              <w:color w:val="000000"/>
              <w:sz w:val="20"/>
            </w:rPr>
            <w:t xml:space="preserve">, R. K. Rao, and M. R. Goutham, “Geopolitical shocks and financial contagion in the Indian equity market during the Iran-Israel conflict using advanced econometric and machine learning methods,” </w:t>
          </w:r>
          <w:r w:rsidRPr="00DC1AA6">
            <w:rPr>
              <w:rFonts w:ascii="Arial" w:eastAsia="Times New Roman" w:hAnsi="Arial" w:cs="Arial"/>
              <w:i/>
              <w:iCs/>
              <w:color w:val="000000"/>
              <w:sz w:val="20"/>
            </w:rPr>
            <w:t>International Journal of Finance and Management Economics</w:t>
          </w:r>
          <w:r w:rsidRPr="00DC1AA6">
            <w:rPr>
              <w:rFonts w:ascii="Arial" w:eastAsia="Times New Roman" w:hAnsi="Arial" w:cs="Arial"/>
              <w:color w:val="000000"/>
              <w:sz w:val="20"/>
            </w:rPr>
            <w:t xml:space="preserve">, vol. 9, no. 3, pp. 184–197, 2026,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10.33545/26179210.2026.v9.i3.785.</w:t>
          </w:r>
        </w:p>
        <w:p w14:paraId="6DA65155" w14:textId="1C5CF6C5" w:rsidR="00DC1AA6" w:rsidRDefault="00DC1AA6" w:rsidP="00CF0EA6">
          <w:pPr>
            <w:spacing w:after="0" w:line="240" w:lineRule="auto"/>
            <w:jc w:val="both"/>
            <w:rPr>
              <w:rFonts w:ascii="Arial" w:hAnsi="Arial" w:cs="Arial"/>
              <w:sz w:val="20"/>
              <w:szCs w:val="20"/>
            </w:rPr>
          </w:pPr>
          <w:r w:rsidRPr="00DC1AA6">
            <w:rPr>
              <w:rFonts w:ascii="Arial" w:eastAsia="Times New Roman" w:hAnsi="Arial" w:cs="Arial"/>
              <w:color w:val="000000"/>
              <w:sz w:val="20"/>
            </w:rPr>
            <w:t> </w:t>
          </w:r>
        </w:p>
      </w:sdtContent>
    </w:sdt>
    <w:sectPr w:rsidR="00DC1AA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8F9C3" w14:textId="77777777" w:rsidR="003B69C7" w:rsidRDefault="003B69C7" w:rsidP="008D3C04">
      <w:pPr>
        <w:spacing w:after="0" w:line="240" w:lineRule="auto"/>
      </w:pPr>
      <w:r>
        <w:separator/>
      </w:r>
    </w:p>
  </w:endnote>
  <w:endnote w:type="continuationSeparator" w:id="0">
    <w:p w14:paraId="4B39C874" w14:textId="77777777" w:rsidR="003B69C7" w:rsidRDefault="003B69C7" w:rsidP="008D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F5E6" w14:textId="77777777" w:rsidR="008D3C04" w:rsidRDefault="008D3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805D" w14:textId="77777777" w:rsidR="008D3C04" w:rsidRDefault="008D3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B2F9" w14:textId="77777777" w:rsidR="008D3C04" w:rsidRDefault="008D3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45C5" w14:textId="77777777" w:rsidR="003B69C7" w:rsidRDefault="003B69C7" w:rsidP="008D3C04">
      <w:pPr>
        <w:spacing w:after="0" w:line="240" w:lineRule="auto"/>
      </w:pPr>
      <w:r>
        <w:separator/>
      </w:r>
    </w:p>
  </w:footnote>
  <w:footnote w:type="continuationSeparator" w:id="0">
    <w:p w14:paraId="5EFA6420" w14:textId="77777777" w:rsidR="003B69C7" w:rsidRDefault="003B69C7" w:rsidP="008D3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F2B7" w14:textId="77F277D0" w:rsidR="008D3C04" w:rsidRDefault="00000000">
    <w:pPr>
      <w:pStyle w:val="Header"/>
    </w:pPr>
    <w:r>
      <w:rPr>
        <w:noProof/>
      </w:rPr>
      <w:pict w14:anchorId="036C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7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101E" w14:textId="3D09FA4F" w:rsidR="008D3C04" w:rsidRDefault="00000000">
    <w:pPr>
      <w:pStyle w:val="Header"/>
    </w:pPr>
    <w:r>
      <w:rPr>
        <w:noProof/>
      </w:rPr>
      <w:pict w14:anchorId="50753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8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8ACB" w14:textId="3CD2819D" w:rsidR="008D3C04" w:rsidRDefault="00000000">
    <w:pPr>
      <w:pStyle w:val="Header"/>
    </w:pPr>
    <w:r>
      <w:rPr>
        <w:noProof/>
      </w:rPr>
      <w:pict w14:anchorId="2AA95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7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2AC4"/>
    <w:multiLevelType w:val="multilevel"/>
    <w:tmpl w:val="C0D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D1D23"/>
    <w:multiLevelType w:val="multilevel"/>
    <w:tmpl w:val="F8D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75A79"/>
    <w:multiLevelType w:val="multilevel"/>
    <w:tmpl w:val="54E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D31D2"/>
    <w:multiLevelType w:val="hybridMultilevel"/>
    <w:tmpl w:val="64A46CD2"/>
    <w:lvl w:ilvl="0" w:tplc="50E84C74">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C8418E2"/>
    <w:multiLevelType w:val="multilevel"/>
    <w:tmpl w:val="AD72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44B38"/>
    <w:multiLevelType w:val="hybridMultilevel"/>
    <w:tmpl w:val="87E60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5626CA4"/>
    <w:multiLevelType w:val="multilevel"/>
    <w:tmpl w:val="4E8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826A91"/>
    <w:multiLevelType w:val="multilevel"/>
    <w:tmpl w:val="300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1038A"/>
    <w:multiLevelType w:val="multilevel"/>
    <w:tmpl w:val="018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72566"/>
    <w:multiLevelType w:val="hybridMultilevel"/>
    <w:tmpl w:val="CC883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8B0FC5"/>
    <w:multiLevelType w:val="multilevel"/>
    <w:tmpl w:val="68D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1D5358"/>
    <w:multiLevelType w:val="multilevel"/>
    <w:tmpl w:val="581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30B55"/>
    <w:multiLevelType w:val="multilevel"/>
    <w:tmpl w:val="FA86B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B3498F"/>
    <w:multiLevelType w:val="multilevel"/>
    <w:tmpl w:val="8BB2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1E"/>
    <w:multiLevelType w:val="hybridMultilevel"/>
    <w:tmpl w:val="33280B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8A616C1"/>
    <w:multiLevelType w:val="multilevel"/>
    <w:tmpl w:val="47BA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437B2F"/>
    <w:multiLevelType w:val="multilevel"/>
    <w:tmpl w:val="145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D154B"/>
    <w:multiLevelType w:val="multilevel"/>
    <w:tmpl w:val="28CE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11964"/>
    <w:multiLevelType w:val="multilevel"/>
    <w:tmpl w:val="7768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C53004"/>
    <w:multiLevelType w:val="multilevel"/>
    <w:tmpl w:val="794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6441579">
    <w:abstractNumId w:val="2"/>
  </w:num>
  <w:num w:numId="2" w16cid:durableId="804129031">
    <w:abstractNumId w:val="11"/>
  </w:num>
  <w:num w:numId="3" w16cid:durableId="1673994829">
    <w:abstractNumId w:val="0"/>
  </w:num>
  <w:num w:numId="4" w16cid:durableId="574586850">
    <w:abstractNumId w:val="15"/>
  </w:num>
  <w:num w:numId="5" w16cid:durableId="356128687">
    <w:abstractNumId w:val="7"/>
  </w:num>
  <w:num w:numId="6" w16cid:durableId="1370574045">
    <w:abstractNumId w:val="6"/>
  </w:num>
  <w:num w:numId="7" w16cid:durableId="1571111955">
    <w:abstractNumId w:val="13"/>
  </w:num>
  <w:num w:numId="8" w16cid:durableId="463079125">
    <w:abstractNumId w:val="8"/>
  </w:num>
  <w:num w:numId="9" w16cid:durableId="1991012002">
    <w:abstractNumId w:val="10"/>
  </w:num>
  <w:num w:numId="10" w16cid:durableId="1782919022">
    <w:abstractNumId w:val="19"/>
  </w:num>
  <w:num w:numId="11" w16cid:durableId="850871648">
    <w:abstractNumId w:val="17"/>
  </w:num>
  <w:num w:numId="12" w16cid:durableId="1763138457">
    <w:abstractNumId w:val="16"/>
  </w:num>
  <w:num w:numId="13" w16cid:durableId="31350652">
    <w:abstractNumId w:val="1"/>
  </w:num>
  <w:num w:numId="14" w16cid:durableId="500580808">
    <w:abstractNumId w:val="12"/>
  </w:num>
  <w:num w:numId="15" w16cid:durableId="995912184">
    <w:abstractNumId w:val="18"/>
  </w:num>
  <w:num w:numId="16" w16cid:durableId="939067538">
    <w:abstractNumId w:val="4"/>
  </w:num>
  <w:num w:numId="17" w16cid:durableId="1051614228">
    <w:abstractNumId w:val="5"/>
  </w:num>
  <w:num w:numId="18" w16cid:durableId="2121876486">
    <w:abstractNumId w:val="14"/>
  </w:num>
  <w:num w:numId="19" w16cid:durableId="435249896">
    <w:abstractNumId w:val="9"/>
  </w:num>
  <w:num w:numId="20" w16cid:durableId="718238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78"/>
    <w:rsid w:val="00013458"/>
    <w:rsid w:val="00086F1D"/>
    <w:rsid w:val="000A7650"/>
    <w:rsid w:val="000B34CE"/>
    <w:rsid w:val="000F7822"/>
    <w:rsid w:val="00102404"/>
    <w:rsid w:val="001164A6"/>
    <w:rsid w:val="0012564D"/>
    <w:rsid w:val="00140FDE"/>
    <w:rsid w:val="00154D62"/>
    <w:rsid w:val="00171BD0"/>
    <w:rsid w:val="00174A53"/>
    <w:rsid w:val="0019224E"/>
    <w:rsid w:val="001B7F13"/>
    <w:rsid w:val="001D5C9D"/>
    <w:rsid w:val="001F231A"/>
    <w:rsid w:val="0023564C"/>
    <w:rsid w:val="00265896"/>
    <w:rsid w:val="00285F42"/>
    <w:rsid w:val="00290BCF"/>
    <w:rsid w:val="002929E4"/>
    <w:rsid w:val="002B5478"/>
    <w:rsid w:val="002E013C"/>
    <w:rsid w:val="002E08B8"/>
    <w:rsid w:val="002F11BB"/>
    <w:rsid w:val="00301036"/>
    <w:rsid w:val="00305E06"/>
    <w:rsid w:val="00316EC6"/>
    <w:rsid w:val="00333EDD"/>
    <w:rsid w:val="00345429"/>
    <w:rsid w:val="003613D2"/>
    <w:rsid w:val="00384D22"/>
    <w:rsid w:val="003A2A4F"/>
    <w:rsid w:val="003B3320"/>
    <w:rsid w:val="003B69C7"/>
    <w:rsid w:val="003C7898"/>
    <w:rsid w:val="0041707B"/>
    <w:rsid w:val="004628D0"/>
    <w:rsid w:val="004B083D"/>
    <w:rsid w:val="004B682E"/>
    <w:rsid w:val="00535548"/>
    <w:rsid w:val="00552731"/>
    <w:rsid w:val="005649AF"/>
    <w:rsid w:val="0057030B"/>
    <w:rsid w:val="005715DC"/>
    <w:rsid w:val="00575134"/>
    <w:rsid w:val="0059502A"/>
    <w:rsid w:val="005B3039"/>
    <w:rsid w:val="005E263E"/>
    <w:rsid w:val="005E3551"/>
    <w:rsid w:val="006142CA"/>
    <w:rsid w:val="00634433"/>
    <w:rsid w:val="006615B5"/>
    <w:rsid w:val="006616B1"/>
    <w:rsid w:val="00685F90"/>
    <w:rsid w:val="00692E1F"/>
    <w:rsid w:val="006A11F0"/>
    <w:rsid w:val="006A635A"/>
    <w:rsid w:val="00707583"/>
    <w:rsid w:val="00711C1D"/>
    <w:rsid w:val="00742597"/>
    <w:rsid w:val="00744B5C"/>
    <w:rsid w:val="00746387"/>
    <w:rsid w:val="00751C8F"/>
    <w:rsid w:val="0075423D"/>
    <w:rsid w:val="00762238"/>
    <w:rsid w:val="00782BA3"/>
    <w:rsid w:val="007F5B6D"/>
    <w:rsid w:val="00803474"/>
    <w:rsid w:val="00805ABC"/>
    <w:rsid w:val="00806BBC"/>
    <w:rsid w:val="00893482"/>
    <w:rsid w:val="008A6360"/>
    <w:rsid w:val="008C32D8"/>
    <w:rsid w:val="008C3E5B"/>
    <w:rsid w:val="008C7FF4"/>
    <w:rsid w:val="008D0945"/>
    <w:rsid w:val="008D3C04"/>
    <w:rsid w:val="008D7601"/>
    <w:rsid w:val="009107B9"/>
    <w:rsid w:val="00912240"/>
    <w:rsid w:val="0091313D"/>
    <w:rsid w:val="00923370"/>
    <w:rsid w:val="009263DA"/>
    <w:rsid w:val="00937B76"/>
    <w:rsid w:val="00940895"/>
    <w:rsid w:val="00947AC8"/>
    <w:rsid w:val="00956E4C"/>
    <w:rsid w:val="009623C9"/>
    <w:rsid w:val="00981594"/>
    <w:rsid w:val="009834F6"/>
    <w:rsid w:val="009A13AA"/>
    <w:rsid w:val="009B3852"/>
    <w:rsid w:val="009C1ECF"/>
    <w:rsid w:val="009C60C9"/>
    <w:rsid w:val="009E01DF"/>
    <w:rsid w:val="009E1D55"/>
    <w:rsid w:val="009E48E5"/>
    <w:rsid w:val="00A07472"/>
    <w:rsid w:val="00A421D2"/>
    <w:rsid w:val="00A63952"/>
    <w:rsid w:val="00A8595D"/>
    <w:rsid w:val="00AA42C6"/>
    <w:rsid w:val="00AC22A8"/>
    <w:rsid w:val="00AC4757"/>
    <w:rsid w:val="00AD0E91"/>
    <w:rsid w:val="00AD1144"/>
    <w:rsid w:val="00AE7352"/>
    <w:rsid w:val="00B05649"/>
    <w:rsid w:val="00B15255"/>
    <w:rsid w:val="00B16CEC"/>
    <w:rsid w:val="00B312AE"/>
    <w:rsid w:val="00B336E9"/>
    <w:rsid w:val="00B44406"/>
    <w:rsid w:val="00B60128"/>
    <w:rsid w:val="00B60FB9"/>
    <w:rsid w:val="00B94A11"/>
    <w:rsid w:val="00BC42DB"/>
    <w:rsid w:val="00C0618A"/>
    <w:rsid w:val="00C076F8"/>
    <w:rsid w:val="00C93924"/>
    <w:rsid w:val="00C9633C"/>
    <w:rsid w:val="00CE3ABE"/>
    <w:rsid w:val="00CE5723"/>
    <w:rsid w:val="00CF0EA6"/>
    <w:rsid w:val="00CF15AC"/>
    <w:rsid w:val="00D05691"/>
    <w:rsid w:val="00D1401F"/>
    <w:rsid w:val="00D14483"/>
    <w:rsid w:val="00D22F59"/>
    <w:rsid w:val="00D32AD6"/>
    <w:rsid w:val="00D53804"/>
    <w:rsid w:val="00D61C17"/>
    <w:rsid w:val="00D8084E"/>
    <w:rsid w:val="00D93323"/>
    <w:rsid w:val="00DC1155"/>
    <w:rsid w:val="00DC1AA6"/>
    <w:rsid w:val="00DC4D54"/>
    <w:rsid w:val="00E41A6C"/>
    <w:rsid w:val="00E61C4B"/>
    <w:rsid w:val="00E800DE"/>
    <w:rsid w:val="00E8306F"/>
    <w:rsid w:val="00EF4B44"/>
    <w:rsid w:val="00F700C4"/>
    <w:rsid w:val="00F84EAE"/>
    <w:rsid w:val="00FA3A9A"/>
    <w:rsid w:val="00FE526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7D402"/>
  <w15:chartTrackingRefBased/>
  <w15:docId w15:val="{EC5F8273-F16B-4EF6-93B8-1392791A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2B54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4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4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B54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4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4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4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4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4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4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4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4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B54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4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478"/>
    <w:rPr>
      <w:rFonts w:eastAsiaTheme="majorEastAsia" w:cstheme="majorBidi"/>
      <w:color w:val="272727" w:themeColor="text1" w:themeTint="D8"/>
    </w:rPr>
  </w:style>
  <w:style w:type="paragraph" w:styleId="Title">
    <w:name w:val="Title"/>
    <w:basedOn w:val="Normal"/>
    <w:next w:val="Normal"/>
    <w:link w:val="TitleChar"/>
    <w:uiPriority w:val="10"/>
    <w:qFormat/>
    <w:rsid w:val="002B54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4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478"/>
    <w:pPr>
      <w:spacing w:before="160"/>
      <w:jc w:val="center"/>
    </w:pPr>
    <w:rPr>
      <w:i/>
      <w:iCs/>
      <w:color w:val="404040" w:themeColor="text1" w:themeTint="BF"/>
    </w:rPr>
  </w:style>
  <w:style w:type="character" w:customStyle="1" w:styleId="QuoteChar">
    <w:name w:val="Quote Char"/>
    <w:basedOn w:val="DefaultParagraphFont"/>
    <w:link w:val="Quote"/>
    <w:uiPriority w:val="29"/>
    <w:rsid w:val="002B5478"/>
    <w:rPr>
      <w:rFonts w:cs="Gautami"/>
      <w:i/>
      <w:iCs/>
      <w:color w:val="404040" w:themeColor="text1" w:themeTint="BF"/>
    </w:rPr>
  </w:style>
  <w:style w:type="paragraph" w:styleId="ListParagraph">
    <w:name w:val="List Paragraph"/>
    <w:basedOn w:val="Normal"/>
    <w:uiPriority w:val="34"/>
    <w:qFormat/>
    <w:rsid w:val="002B5478"/>
    <w:pPr>
      <w:ind w:left="720"/>
      <w:contextualSpacing/>
    </w:pPr>
  </w:style>
  <w:style w:type="character" w:styleId="IntenseEmphasis">
    <w:name w:val="Intense Emphasis"/>
    <w:basedOn w:val="DefaultParagraphFont"/>
    <w:uiPriority w:val="21"/>
    <w:qFormat/>
    <w:rsid w:val="002B5478"/>
    <w:rPr>
      <w:i/>
      <w:iCs/>
      <w:color w:val="2F5496" w:themeColor="accent1" w:themeShade="BF"/>
    </w:rPr>
  </w:style>
  <w:style w:type="paragraph" w:styleId="IntenseQuote">
    <w:name w:val="Intense Quote"/>
    <w:basedOn w:val="Normal"/>
    <w:next w:val="Normal"/>
    <w:link w:val="IntenseQuoteChar"/>
    <w:uiPriority w:val="30"/>
    <w:qFormat/>
    <w:rsid w:val="002B54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478"/>
    <w:rPr>
      <w:rFonts w:cs="Gautami"/>
      <w:i/>
      <w:iCs/>
      <w:color w:val="2F5496" w:themeColor="accent1" w:themeShade="BF"/>
    </w:rPr>
  </w:style>
  <w:style w:type="character" w:styleId="IntenseReference">
    <w:name w:val="Intense Reference"/>
    <w:basedOn w:val="DefaultParagraphFont"/>
    <w:uiPriority w:val="32"/>
    <w:qFormat/>
    <w:rsid w:val="002B5478"/>
    <w:rPr>
      <w:b/>
      <w:bCs/>
      <w:smallCaps/>
      <w:color w:val="2F5496" w:themeColor="accent1" w:themeShade="BF"/>
      <w:spacing w:val="5"/>
    </w:rPr>
  </w:style>
  <w:style w:type="table" w:styleId="TableGrid">
    <w:name w:val="Table Grid"/>
    <w:basedOn w:val="TableNormal"/>
    <w:uiPriority w:val="39"/>
    <w:rsid w:val="002B5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616B1"/>
    <w:rPr>
      <w:color w:val="666666"/>
    </w:rPr>
  </w:style>
  <w:style w:type="paragraph" w:styleId="NormalWeb">
    <w:name w:val="Normal (Web)"/>
    <w:basedOn w:val="Normal"/>
    <w:uiPriority w:val="99"/>
    <w:semiHidden/>
    <w:unhideWhenUsed/>
    <w:rsid w:val="00301036"/>
    <w:rPr>
      <w:rFonts w:ascii="Times New Roman" w:hAnsi="Times New Roman" w:cs="Times New Roman"/>
      <w:sz w:val="24"/>
      <w:szCs w:val="24"/>
    </w:rPr>
  </w:style>
  <w:style w:type="character" w:styleId="Hyperlink">
    <w:name w:val="Hyperlink"/>
    <w:basedOn w:val="DefaultParagraphFont"/>
    <w:uiPriority w:val="99"/>
    <w:unhideWhenUsed/>
    <w:rsid w:val="00D61C17"/>
    <w:rPr>
      <w:color w:val="0563C1" w:themeColor="hyperlink"/>
      <w:u w:val="single"/>
    </w:rPr>
  </w:style>
  <w:style w:type="character" w:styleId="UnresolvedMention">
    <w:name w:val="Unresolved Mention"/>
    <w:basedOn w:val="DefaultParagraphFont"/>
    <w:uiPriority w:val="99"/>
    <w:semiHidden/>
    <w:unhideWhenUsed/>
    <w:rsid w:val="00D61C17"/>
    <w:rPr>
      <w:color w:val="605E5C"/>
      <w:shd w:val="clear" w:color="auto" w:fill="E1DFDD"/>
    </w:rPr>
  </w:style>
  <w:style w:type="paragraph" w:styleId="Header">
    <w:name w:val="header"/>
    <w:basedOn w:val="Normal"/>
    <w:link w:val="HeaderChar"/>
    <w:uiPriority w:val="99"/>
    <w:unhideWhenUsed/>
    <w:rsid w:val="008D3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C04"/>
    <w:rPr>
      <w:rFonts w:cs="Gautami"/>
    </w:rPr>
  </w:style>
  <w:style w:type="paragraph" w:styleId="Footer">
    <w:name w:val="footer"/>
    <w:basedOn w:val="Normal"/>
    <w:link w:val="FooterChar"/>
    <w:uiPriority w:val="99"/>
    <w:unhideWhenUsed/>
    <w:rsid w:val="008D3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C04"/>
    <w:rPr>
      <w:rFonts w:cs="Gautami"/>
    </w:rPr>
  </w:style>
  <w:style w:type="paragraph" w:styleId="NoSpacing">
    <w:name w:val="No Spacing"/>
    <w:uiPriority w:val="1"/>
    <w:qFormat/>
    <w:rsid w:val="00CE5723"/>
    <w:pPr>
      <w:spacing w:after="0" w:line="240" w:lineRule="auto"/>
    </w:pPr>
    <w:rPr>
      <w:kern w:val="0"/>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1250">
      <w:marLeft w:val="640"/>
      <w:marRight w:val="0"/>
      <w:marTop w:val="0"/>
      <w:marBottom w:val="0"/>
      <w:divBdr>
        <w:top w:val="none" w:sz="0" w:space="0" w:color="auto"/>
        <w:left w:val="none" w:sz="0" w:space="0" w:color="auto"/>
        <w:bottom w:val="none" w:sz="0" w:space="0" w:color="auto"/>
        <w:right w:val="none" w:sz="0" w:space="0" w:color="auto"/>
      </w:divBdr>
    </w:div>
    <w:div w:id="49774243">
      <w:marLeft w:val="640"/>
      <w:marRight w:val="0"/>
      <w:marTop w:val="0"/>
      <w:marBottom w:val="0"/>
      <w:divBdr>
        <w:top w:val="none" w:sz="0" w:space="0" w:color="auto"/>
        <w:left w:val="none" w:sz="0" w:space="0" w:color="auto"/>
        <w:bottom w:val="none" w:sz="0" w:space="0" w:color="auto"/>
        <w:right w:val="none" w:sz="0" w:space="0" w:color="auto"/>
      </w:divBdr>
    </w:div>
    <w:div w:id="86076747">
      <w:marLeft w:val="640"/>
      <w:marRight w:val="0"/>
      <w:marTop w:val="0"/>
      <w:marBottom w:val="0"/>
      <w:divBdr>
        <w:top w:val="none" w:sz="0" w:space="0" w:color="auto"/>
        <w:left w:val="none" w:sz="0" w:space="0" w:color="auto"/>
        <w:bottom w:val="none" w:sz="0" w:space="0" w:color="auto"/>
        <w:right w:val="none" w:sz="0" w:space="0" w:color="auto"/>
      </w:divBdr>
    </w:div>
    <w:div w:id="92550742">
      <w:marLeft w:val="480"/>
      <w:marRight w:val="0"/>
      <w:marTop w:val="0"/>
      <w:marBottom w:val="0"/>
      <w:divBdr>
        <w:top w:val="none" w:sz="0" w:space="0" w:color="auto"/>
        <w:left w:val="none" w:sz="0" w:space="0" w:color="auto"/>
        <w:bottom w:val="none" w:sz="0" w:space="0" w:color="auto"/>
        <w:right w:val="none" w:sz="0" w:space="0" w:color="auto"/>
      </w:divBdr>
    </w:div>
    <w:div w:id="126751859">
      <w:marLeft w:val="640"/>
      <w:marRight w:val="0"/>
      <w:marTop w:val="0"/>
      <w:marBottom w:val="0"/>
      <w:divBdr>
        <w:top w:val="none" w:sz="0" w:space="0" w:color="auto"/>
        <w:left w:val="none" w:sz="0" w:space="0" w:color="auto"/>
        <w:bottom w:val="none" w:sz="0" w:space="0" w:color="auto"/>
        <w:right w:val="none" w:sz="0" w:space="0" w:color="auto"/>
      </w:divBdr>
    </w:div>
    <w:div w:id="133987658">
      <w:marLeft w:val="480"/>
      <w:marRight w:val="0"/>
      <w:marTop w:val="0"/>
      <w:marBottom w:val="0"/>
      <w:divBdr>
        <w:top w:val="none" w:sz="0" w:space="0" w:color="auto"/>
        <w:left w:val="none" w:sz="0" w:space="0" w:color="auto"/>
        <w:bottom w:val="none" w:sz="0" w:space="0" w:color="auto"/>
        <w:right w:val="none" w:sz="0" w:space="0" w:color="auto"/>
      </w:divBdr>
    </w:div>
    <w:div w:id="178280945">
      <w:marLeft w:val="480"/>
      <w:marRight w:val="0"/>
      <w:marTop w:val="0"/>
      <w:marBottom w:val="0"/>
      <w:divBdr>
        <w:top w:val="none" w:sz="0" w:space="0" w:color="auto"/>
        <w:left w:val="none" w:sz="0" w:space="0" w:color="auto"/>
        <w:bottom w:val="none" w:sz="0" w:space="0" w:color="auto"/>
        <w:right w:val="none" w:sz="0" w:space="0" w:color="auto"/>
      </w:divBdr>
    </w:div>
    <w:div w:id="249851873">
      <w:marLeft w:val="640"/>
      <w:marRight w:val="0"/>
      <w:marTop w:val="0"/>
      <w:marBottom w:val="0"/>
      <w:divBdr>
        <w:top w:val="none" w:sz="0" w:space="0" w:color="auto"/>
        <w:left w:val="none" w:sz="0" w:space="0" w:color="auto"/>
        <w:bottom w:val="none" w:sz="0" w:space="0" w:color="auto"/>
        <w:right w:val="none" w:sz="0" w:space="0" w:color="auto"/>
      </w:divBdr>
    </w:div>
    <w:div w:id="292249896">
      <w:marLeft w:val="480"/>
      <w:marRight w:val="0"/>
      <w:marTop w:val="0"/>
      <w:marBottom w:val="0"/>
      <w:divBdr>
        <w:top w:val="none" w:sz="0" w:space="0" w:color="auto"/>
        <w:left w:val="none" w:sz="0" w:space="0" w:color="auto"/>
        <w:bottom w:val="none" w:sz="0" w:space="0" w:color="auto"/>
        <w:right w:val="none" w:sz="0" w:space="0" w:color="auto"/>
      </w:divBdr>
    </w:div>
    <w:div w:id="323631139">
      <w:marLeft w:val="480"/>
      <w:marRight w:val="0"/>
      <w:marTop w:val="0"/>
      <w:marBottom w:val="0"/>
      <w:divBdr>
        <w:top w:val="none" w:sz="0" w:space="0" w:color="auto"/>
        <w:left w:val="none" w:sz="0" w:space="0" w:color="auto"/>
        <w:bottom w:val="none" w:sz="0" w:space="0" w:color="auto"/>
        <w:right w:val="none" w:sz="0" w:space="0" w:color="auto"/>
      </w:divBdr>
    </w:div>
    <w:div w:id="331493849">
      <w:marLeft w:val="480"/>
      <w:marRight w:val="0"/>
      <w:marTop w:val="0"/>
      <w:marBottom w:val="0"/>
      <w:divBdr>
        <w:top w:val="none" w:sz="0" w:space="0" w:color="auto"/>
        <w:left w:val="none" w:sz="0" w:space="0" w:color="auto"/>
        <w:bottom w:val="none" w:sz="0" w:space="0" w:color="auto"/>
        <w:right w:val="none" w:sz="0" w:space="0" w:color="auto"/>
      </w:divBdr>
    </w:div>
    <w:div w:id="348264650">
      <w:marLeft w:val="640"/>
      <w:marRight w:val="0"/>
      <w:marTop w:val="0"/>
      <w:marBottom w:val="0"/>
      <w:divBdr>
        <w:top w:val="none" w:sz="0" w:space="0" w:color="auto"/>
        <w:left w:val="none" w:sz="0" w:space="0" w:color="auto"/>
        <w:bottom w:val="none" w:sz="0" w:space="0" w:color="auto"/>
        <w:right w:val="none" w:sz="0" w:space="0" w:color="auto"/>
      </w:divBdr>
    </w:div>
    <w:div w:id="369113740">
      <w:marLeft w:val="640"/>
      <w:marRight w:val="0"/>
      <w:marTop w:val="0"/>
      <w:marBottom w:val="0"/>
      <w:divBdr>
        <w:top w:val="none" w:sz="0" w:space="0" w:color="auto"/>
        <w:left w:val="none" w:sz="0" w:space="0" w:color="auto"/>
        <w:bottom w:val="none" w:sz="0" w:space="0" w:color="auto"/>
        <w:right w:val="none" w:sz="0" w:space="0" w:color="auto"/>
      </w:divBdr>
    </w:div>
    <w:div w:id="399443221">
      <w:marLeft w:val="480"/>
      <w:marRight w:val="0"/>
      <w:marTop w:val="0"/>
      <w:marBottom w:val="0"/>
      <w:divBdr>
        <w:top w:val="none" w:sz="0" w:space="0" w:color="auto"/>
        <w:left w:val="none" w:sz="0" w:space="0" w:color="auto"/>
        <w:bottom w:val="none" w:sz="0" w:space="0" w:color="auto"/>
        <w:right w:val="none" w:sz="0" w:space="0" w:color="auto"/>
      </w:divBdr>
    </w:div>
    <w:div w:id="405417865">
      <w:marLeft w:val="480"/>
      <w:marRight w:val="0"/>
      <w:marTop w:val="0"/>
      <w:marBottom w:val="0"/>
      <w:divBdr>
        <w:top w:val="none" w:sz="0" w:space="0" w:color="auto"/>
        <w:left w:val="none" w:sz="0" w:space="0" w:color="auto"/>
        <w:bottom w:val="none" w:sz="0" w:space="0" w:color="auto"/>
        <w:right w:val="none" w:sz="0" w:space="0" w:color="auto"/>
      </w:divBdr>
    </w:div>
    <w:div w:id="405807364">
      <w:marLeft w:val="640"/>
      <w:marRight w:val="0"/>
      <w:marTop w:val="0"/>
      <w:marBottom w:val="0"/>
      <w:divBdr>
        <w:top w:val="none" w:sz="0" w:space="0" w:color="auto"/>
        <w:left w:val="none" w:sz="0" w:space="0" w:color="auto"/>
        <w:bottom w:val="none" w:sz="0" w:space="0" w:color="auto"/>
        <w:right w:val="none" w:sz="0" w:space="0" w:color="auto"/>
      </w:divBdr>
    </w:div>
    <w:div w:id="428045852">
      <w:marLeft w:val="480"/>
      <w:marRight w:val="0"/>
      <w:marTop w:val="0"/>
      <w:marBottom w:val="0"/>
      <w:divBdr>
        <w:top w:val="none" w:sz="0" w:space="0" w:color="auto"/>
        <w:left w:val="none" w:sz="0" w:space="0" w:color="auto"/>
        <w:bottom w:val="none" w:sz="0" w:space="0" w:color="auto"/>
        <w:right w:val="none" w:sz="0" w:space="0" w:color="auto"/>
      </w:divBdr>
    </w:div>
    <w:div w:id="464398590">
      <w:marLeft w:val="480"/>
      <w:marRight w:val="0"/>
      <w:marTop w:val="0"/>
      <w:marBottom w:val="0"/>
      <w:divBdr>
        <w:top w:val="none" w:sz="0" w:space="0" w:color="auto"/>
        <w:left w:val="none" w:sz="0" w:space="0" w:color="auto"/>
        <w:bottom w:val="none" w:sz="0" w:space="0" w:color="auto"/>
        <w:right w:val="none" w:sz="0" w:space="0" w:color="auto"/>
      </w:divBdr>
    </w:div>
    <w:div w:id="510998764">
      <w:marLeft w:val="480"/>
      <w:marRight w:val="0"/>
      <w:marTop w:val="0"/>
      <w:marBottom w:val="0"/>
      <w:divBdr>
        <w:top w:val="none" w:sz="0" w:space="0" w:color="auto"/>
        <w:left w:val="none" w:sz="0" w:space="0" w:color="auto"/>
        <w:bottom w:val="none" w:sz="0" w:space="0" w:color="auto"/>
        <w:right w:val="none" w:sz="0" w:space="0" w:color="auto"/>
      </w:divBdr>
    </w:div>
    <w:div w:id="536044060">
      <w:marLeft w:val="480"/>
      <w:marRight w:val="0"/>
      <w:marTop w:val="0"/>
      <w:marBottom w:val="0"/>
      <w:divBdr>
        <w:top w:val="none" w:sz="0" w:space="0" w:color="auto"/>
        <w:left w:val="none" w:sz="0" w:space="0" w:color="auto"/>
        <w:bottom w:val="none" w:sz="0" w:space="0" w:color="auto"/>
        <w:right w:val="none" w:sz="0" w:space="0" w:color="auto"/>
      </w:divBdr>
    </w:div>
    <w:div w:id="544024137">
      <w:marLeft w:val="480"/>
      <w:marRight w:val="0"/>
      <w:marTop w:val="0"/>
      <w:marBottom w:val="0"/>
      <w:divBdr>
        <w:top w:val="none" w:sz="0" w:space="0" w:color="auto"/>
        <w:left w:val="none" w:sz="0" w:space="0" w:color="auto"/>
        <w:bottom w:val="none" w:sz="0" w:space="0" w:color="auto"/>
        <w:right w:val="none" w:sz="0" w:space="0" w:color="auto"/>
      </w:divBdr>
    </w:div>
    <w:div w:id="564027595">
      <w:marLeft w:val="640"/>
      <w:marRight w:val="0"/>
      <w:marTop w:val="0"/>
      <w:marBottom w:val="0"/>
      <w:divBdr>
        <w:top w:val="none" w:sz="0" w:space="0" w:color="auto"/>
        <w:left w:val="none" w:sz="0" w:space="0" w:color="auto"/>
        <w:bottom w:val="none" w:sz="0" w:space="0" w:color="auto"/>
        <w:right w:val="none" w:sz="0" w:space="0" w:color="auto"/>
      </w:divBdr>
    </w:div>
    <w:div w:id="619996032">
      <w:marLeft w:val="640"/>
      <w:marRight w:val="0"/>
      <w:marTop w:val="0"/>
      <w:marBottom w:val="0"/>
      <w:divBdr>
        <w:top w:val="none" w:sz="0" w:space="0" w:color="auto"/>
        <w:left w:val="none" w:sz="0" w:space="0" w:color="auto"/>
        <w:bottom w:val="none" w:sz="0" w:space="0" w:color="auto"/>
        <w:right w:val="none" w:sz="0" w:space="0" w:color="auto"/>
      </w:divBdr>
    </w:div>
    <w:div w:id="741023998">
      <w:marLeft w:val="480"/>
      <w:marRight w:val="0"/>
      <w:marTop w:val="0"/>
      <w:marBottom w:val="0"/>
      <w:divBdr>
        <w:top w:val="none" w:sz="0" w:space="0" w:color="auto"/>
        <w:left w:val="none" w:sz="0" w:space="0" w:color="auto"/>
        <w:bottom w:val="none" w:sz="0" w:space="0" w:color="auto"/>
        <w:right w:val="none" w:sz="0" w:space="0" w:color="auto"/>
      </w:divBdr>
    </w:div>
    <w:div w:id="812211697">
      <w:marLeft w:val="640"/>
      <w:marRight w:val="0"/>
      <w:marTop w:val="0"/>
      <w:marBottom w:val="0"/>
      <w:divBdr>
        <w:top w:val="none" w:sz="0" w:space="0" w:color="auto"/>
        <w:left w:val="none" w:sz="0" w:space="0" w:color="auto"/>
        <w:bottom w:val="none" w:sz="0" w:space="0" w:color="auto"/>
        <w:right w:val="none" w:sz="0" w:space="0" w:color="auto"/>
      </w:divBdr>
    </w:div>
    <w:div w:id="869299161">
      <w:marLeft w:val="640"/>
      <w:marRight w:val="0"/>
      <w:marTop w:val="0"/>
      <w:marBottom w:val="0"/>
      <w:divBdr>
        <w:top w:val="none" w:sz="0" w:space="0" w:color="auto"/>
        <w:left w:val="none" w:sz="0" w:space="0" w:color="auto"/>
        <w:bottom w:val="none" w:sz="0" w:space="0" w:color="auto"/>
        <w:right w:val="none" w:sz="0" w:space="0" w:color="auto"/>
      </w:divBdr>
    </w:div>
    <w:div w:id="885412099">
      <w:marLeft w:val="640"/>
      <w:marRight w:val="0"/>
      <w:marTop w:val="0"/>
      <w:marBottom w:val="0"/>
      <w:divBdr>
        <w:top w:val="none" w:sz="0" w:space="0" w:color="auto"/>
        <w:left w:val="none" w:sz="0" w:space="0" w:color="auto"/>
        <w:bottom w:val="none" w:sz="0" w:space="0" w:color="auto"/>
        <w:right w:val="none" w:sz="0" w:space="0" w:color="auto"/>
      </w:divBdr>
    </w:div>
    <w:div w:id="903377147">
      <w:marLeft w:val="480"/>
      <w:marRight w:val="0"/>
      <w:marTop w:val="0"/>
      <w:marBottom w:val="0"/>
      <w:divBdr>
        <w:top w:val="none" w:sz="0" w:space="0" w:color="auto"/>
        <w:left w:val="none" w:sz="0" w:space="0" w:color="auto"/>
        <w:bottom w:val="none" w:sz="0" w:space="0" w:color="auto"/>
        <w:right w:val="none" w:sz="0" w:space="0" w:color="auto"/>
      </w:divBdr>
    </w:div>
    <w:div w:id="911231084">
      <w:marLeft w:val="640"/>
      <w:marRight w:val="0"/>
      <w:marTop w:val="0"/>
      <w:marBottom w:val="0"/>
      <w:divBdr>
        <w:top w:val="none" w:sz="0" w:space="0" w:color="auto"/>
        <w:left w:val="none" w:sz="0" w:space="0" w:color="auto"/>
        <w:bottom w:val="none" w:sz="0" w:space="0" w:color="auto"/>
        <w:right w:val="none" w:sz="0" w:space="0" w:color="auto"/>
      </w:divBdr>
    </w:div>
    <w:div w:id="941228421">
      <w:marLeft w:val="480"/>
      <w:marRight w:val="0"/>
      <w:marTop w:val="0"/>
      <w:marBottom w:val="0"/>
      <w:divBdr>
        <w:top w:val="none" w:sz="0" w:space="0" w:color="auto"/>
        <w:left w:val="none" w:sz="0" w:space="0" w:color="auto"/>
        <w:bottom w:val="none" w:sz="0" w:space="0" w:color="auto"/>
        <w:right w:val="none" w:sz="0" w:space="0" w:color="auto"/>
      </w:divBdr>
    </w:div>
    <w:div w:id="1012150094">
      <w:marLeft w:val="640"/>
      <w:marRight w:val="0"/>
      <w:marTop w:val="0"/>
      <w:marBottom w:val="0"/>
      <w:divBdr>
        <w:top w:val="none" w:sz="0" w:space="0" w:color="auto"/>
        <w:left w:val="none" w:sz="0" w:space="0" w:color="auto"/>
        <w:bottom w:val="none" w:sz="0" w:space="0" w:color="auto"/>
        <w:right w:val="none" w:sz="0" w:space="0" w:color="auto"/>
      </w:divBdr>
    </w:div>
    <w:div w:id="1026977506">
      <w:marLeft w:val="640"/>
      <w:marRight w:val="0"/>
      <w:marTop w:val="0"/>
      <w:marBottom w:val="0"/>
      <w:divBdr>
        <w:top w:val="none" w:sz="0" w:space="0" w:color="auto"/>
        <w:left w:val="none" w:sz="0" w:space="0" w:color="auto"/>
        <w:bottom w:val="none" w:sz="0" w:space="0" w:color="auto"/>
        <w:right w:val="none" w:sz="0" w:space="0" w:color="auto"/>
      </w:divBdr>
    </w:div>
    <w:div w:id="1055467821">
      <w:marLeft w:val="480"/>
      <w:marRight w:val="0"/>
      <w:marTop w:val="0"/>
      <w:marBottom w:val="0"/>
      <w:divBdr>
        <w:top w:val="none" w:sz="0" w:space="0" w:color="auto"/>
        <w:left w:val="none" w:sz="0" w:space="0" w:color="auto"/>
        <w:bottom w:val="none" w:sz="0" w:space="0" w:color="auto"/>
        <w:right w:val="none" w:sz="0" w:space="0" w:color="auto"/>
      </w:divBdr>
    </w:div>
    <w:div w:id="1062869894">
      <w:marLeft w:val="480"/>
      <w:marRight w:val="0"/>
      <w:marTop w:val="0"/>
      <w:marBottom w:val="0"/>
      <w:divBdr>
        <w:top w:val="none" w:sz="0" w:space="0" w:color="auto"/>
        <w:left w:val="none" w:sz="0" w:space="0" w:color="auto"/>
        <w:bottom w:val="none" w:sz="0" w:space="0" w:color="auto"/>
        <w:right w:val="none" w:sz="0" w:space="0" w:color="auto"/>
      </w:divBdr>
    </w:div>
    <w:div w:id="1084958935">
      <w:marLeft w:val="480"/>
      <w:marRight w:val="0"/>
      <w:marTop w:val="0"/>
      <w:marBottom w:val="0"/>
      <w:divBdr>
        <w:top w:val="none" w:sz="0" w:space="0" w:color="auto"/>
        <w:left w:val="none" w:sz="0" w:space="0" w:color="auto"/>
        <w:bottom w:val="none" w:sz="0" w:space="0" w:color="auto"/>
        <w:right w:val="none" w:sz="0" w:space="0" w:color="auto"/>
      </w:divBdr>
    </w:div>
    <w:div w:id="1089426549">
      <w:marLeft w:val="480"/>
      <w:marRight w:val="0"/>
      <w:marTop w:val="0"/>
      <w:marBottom w:val="0"/>
      <w:divBdr>
        <w:top w:val="none" w:sz="0" w:space="0" w:color="auto"/>
        <w:left w:val="none" w:sz="0" w:space="0" w:color="auto"/>
        <w:bottom w:val="none" w:sz="0" w:space="0" w:color="auto"/>
        <w:right w:val="none" w:sz="0" w:space="0" w:color="auto"/>
      </w:divBdr>
    </w:div>
    <w:div w:id="1096708317">
      <w:marLeft w:val="640"/>
      <w:marRight w:val="0"/>
      <w:marTop w:val="0"/>
      <w:marBottom w:val="0"/>
      <w:divBdr>
        <w:top w:val="none" w:sz="0" w:space="0" w:color="auto"/>
        <w:left w:val="none" w:sz="0" w:space="0" w:color="auto"/>
        <w:bottom w:val="none" w:sz="0" w:space="0" w:color="auto"/>
        <w:right w:val="none" w:sz="0" w:space="0" w:color="auto"/>
      </w:divBdr>
    </w:div>
    <w:div w:id="1130395143">
      <w:marLeft w:val="480"/>
      <w:marRight w:val="0"/>
      <w:marTop w:val="0"/>
      <w:marBottom w:val="0"/>
      <w:divBdr>
        <w:top w:val="none" w:sz="0" w:space="0" w:color="auto"/>
        <w:left w:val="none" w:sz="0" w:space="0" w:color="auto"/>
        <w:bottom w:val="none" w:sz="0" w:space="0" w:color="auto"/>
        <w:right w:val="none" w:sz="0" w:space="0" w:color="auto"/>
      </w:divBdr>
    </w:div>
    <w:div w:id="1135610159">
      <w:marLeft w:val="640"/>
      <w:marRight w:val="0"/>
      <w:marTop w:val="0"/>
      <w:marBottom w:val="0"/>
      <w:divBdr>
        <w:top w:val="none" w:sz="0" w:space="0" w:color="auto"/>
        <w:left w:val="none" w:sz="0" w:space="0" w:color="auto"/>
        <w:bottom w:val="none" w:sz="0" w:space="0" w:color="auto"/>
        <w:right w:val="none" w:sz="0" w:space="0" w:color="auto"/>
      </w:divBdr>
    </w:div>
    <w:div w:id="1149439020">
      <w:marLeft w:val="640"/>
      <w:marRight w:val="0"/>
      <w:marTop w:val="0"/>
      <w:marBottom w:val="0"/>
      <w:divBdr>
        <w:top w:val="none" w:sz="0" w:space="0" w:color="auto"/>
        <w:left w:val="none" w:sz="0" w:space="0" w:color="auto"/>
        <w:bottom w:val="none" w:sz="0" w:space="0" w:color="auto"/>
        <w:right w:val="none" w:sz="0" w:space="0" w:color="auto"/>
      </w:divBdr>
    </w:div>
    <w:div w:id="1178345240">
      <w:marLeft w:val="640"/>
      <w:marRight w:val="0"/>
      <w:marTop w:val="0"/>
      <w:marBottom w:val="0"/>
      <w:divBdr>
        <w:top w:val="none" w:sz="0" w:space="0" w:color="auto"/>
        <w:left w:val="none" w:sz="0" w:space="0" w:color="auto"/>
        <w:bottom w:val="none" w:sz="0" w:space="0" w:color="auto"/>
        <w:right w:val="none" w:sz="0" w:space="0" w:color="auto"/>
      </w:divBdr>
    </w:div>
    <w:div w:id="1204249332">
      <w:marLeft w:val="640"/>
      <w:marRight w:val="0"/>
      <w:marTop w:val="0"/>
      <w:marBottom w:val="0"/>
      <w:divBdr>
        <w:top w:val="none" w:sz="0" w:space="0" w:color="auto"/>
        <w:left w:val="none" w:sz="0" w:space="0" w:color="auto"/>
        <w:bottom w:val="none" w:sz="0" w:space="0" w:color="auto"/>
        <w:right w:val="none" w:sz="0" w:space="0" w:color="auto"/>
      </w:divBdr>
    </w:div>
    <w:div w:id="1237320268">
      <w:marLeft w:val="480"/>
      <w:marRight w:val="0"/>
      <w:marTop w:val="0"/>
      <w:marBottom w:val="0"/>
      <w:divBdr>
        <w:top w:val="none" w:sz="0" w:space="0" w:color="auto"/>
        <w:left w:val="none" w:sz="0" w:space="0" w:color="auto"/>
        <w:bottom w:val="none" w:sz="0" w:space="0" w:color="auto"/>
        <w:right w:val="none" w:sz="0" w:space="0" w:color="auto"/>
      </w:divBdr>
    </w:div>
    <w:div w:id="1265386408">
      <w:marLeft w:val="640"/>
      <w:marRight w:val="0"/>
      <w:marTop w:val="0"/>
      <w:marBottom w:val="0"/>
      <w:divBdr>
        <w:top w:val="none" w:sz="0" w:space="0" w:color="auto"/>
        <w:left w:val="none" w:sz="0" w:space="0" w:color="auto"/>
        <w:bottom w:val="none" w:sz="0" w:space="0" w:color="auto"/>
        <w:right w:val="none" w:sz="0" w:space="0" w:color="auto"/>
      </w:divBdr>
    </w:div>
    <w:div w:id="1276328148">
      <w:marLeft w:val="640"/>
      <w:marRight w:val="0"/>
      <w:marTop w:val="0"/>
      <w:marBottom w:val="0"/>
      <w:divBdr>
        <w:top w:val="none" w:sz="0" w:space="0" w:color="auto"/>
        <w:left w:val="none" w:sz="0" w:space="0" w:color="auto"/>
        <w:bottom w:val="none" w:sz="0" w:space="0" w:color="auto"/>
        <w:right w:val="none" w:sz="0" w:space="0" w:color="auto"/>
      </w:divBdr>
    </w:div>
    <w:div w:id="1379208744">
      <w:marLeft w:val="480"/>
      <w:marRight w:val="0"/>
      <w:marTop w:val="0"/>
      <w:marBottom w:val="0"/>
      <w:divBdr>
        <w:top w:val="none" w:sz="0" w:space="0" w:color="auto"/>
        <w:left w:val="none" w:sz="0" w:space="0" w:color="auto"/>
        <w:bottom w:val="none" w:sz="0" w:space="0" w:color="auto"/>
        <w:right w:val="none" w:sz="0" w:space="0" w:color="auto"/>
      </w:divBdr>
    </w:div>
    <w:div w:id="1384253824">
      <w:marLeft w:val="480"/>
      <w:marRight w:val="0"/>
      <w:marTop w:val="0"/>
      <w:marBottom w:val="0"/>
      <w:divBdr>
        <w:top w:val="none" w:sz="0" w:space="0" w:color="auto"/>
        <w:left w:val="none" w:sz="0" w:space="0" w:color="auto"/>
        <w:bottom w:val="none" w:sz="0" w:space="0" w:color="auto"/>
        <w:right w:val="none" w:sz="0" w:space="0" w:color="auto"/>
      </w:divBdr>
    </w:div>
    <w:div w:id="1408073180">
      <w:marLeft w:val="640"/>
      <w:marRight w:val="0"/>
      <w:marTop w:val="0"/>
      <w:marBottom w:val="0"/>
      <w:divBdr>
        <w:top w:val="none" w:sz="0" w:space="0" w:color="auto"/>
        <w:left w:val="none" w:sz="0" w:space="0" w:color="auto"/>
        <w:bottom w:val="none" w:sz="0" w:space="0" w:color="auto"/>
        <w:right w:val="none" w:sz="0" w:space="0" w:color="auto"/>
      </w:divBdr>
    </w:div>
    <w:div w:id="1409379139">
      <w:marLeft w:val="640"/>
      <w:marRight w:val="0"/>
      <w:marTop w:val="0"/>
      <w:marBottom w:val="0"/>
      <w:divBdr>
        <w:top w:val="none" w:sz="0" w:space="0" w:color="auto"/>
        <w:left w:val="none" w:sz="0" w:space="0" w:color="auto"/>
        <w:bottom w:val="none" w:sz="0" w:space="0" w:color="auto"/>
        <w:right w:val="none" w:sz="0" w:space="0" w:color="auto"/>
      </w:divBdr>
    </w:div>
    <w:div w:id="1449424736">
      <w:marLeft w:val="480"/>
      <w:marRight w:val="0"/>
      <w:marTop w:val="0"/>
      <w:marBottom w:val="0"/>
      <w:divBdr>
        <w:top w:val="none" w:sz="0" w:space="0" w:color="auto"/>
        <w:left w:val="none" w:sz="0" w:space="0" w:color="auto"/>
        <w:bottom w:val="none" w:sz="0" w:space="0" w:color="auto"/>
        <w:right w:val="none" w:sz="0" w:space="0" w:color="auto"/>
      </w:divBdr>
    </w:div>
    <w:div w:id="1469937614">
      <w:marLeft w:val="640"/>
      <w:marRight w:val="0"/>
      <w:marTop w:val="0"/>
      <w:marBottom w:val="0"/>
      <w:divBdr>
        <w:top w:val="none" w:sz="0" w:space="0" w:color="auto"/>
        <w:left w:val="none" w:sz="0" w:space="0" w:color="auto"/>
        <w:bottom w:val="none" w:sz="0" w:space="0" w:color="auto"/>
        <w:right w:val="none" w:sz="0" w:space="0" w:color="auto"/>
      </w:divBdr>
    </w:div>
    <w:div w:id="1501651010">
      <w:marLeft w:val="480"/>
      <w:marRight w:val="0"/>
      <w:marTop w:val="0"/>
      <w:marBottom w:val="0"/>
      <w:divBdr>
        <w:top w:val="none" w:sz="0" w:space="0" w:color="auto"/>
        <w:left w:val="none" w:sz="0" w:space="0" w:color="auto"/>
        <w:bottom w:val="none" w:sz="0" w:space="0" w:color="auto"/>
        <w:right w:val="none" w:sz="0" w:space="0" w:color="auto"/>
      </w:divBdr>
    </w:div>
    <w:div w:id="1563521534">
      <w:marLeft w:val="480"/>
      <w:marRight w:val="0"/>
      <w:marTop w:val="0"/>
      <w:marBottom w:val="0"/>
      <w:divBdr>
        <w:top w:val="none" w:sz="0" w:space="0" w:color="auto"/>
        <w:left w:val="none" w:sz="0" w:space="0" w:color="auto"/>
        <w:bottom w:val="none" w:sz="0" w:space="0" w:color="auto"/>
        <w:right w:val="none" w:sz="0" w:space="0" w:color="auto"/>
      </w:divBdr>
    </w:div>
    <w:div w:id="1642077143">
      <w:marLeft w:val="480"/>
      <w:marRight w:val="0"/>
      <w:marTop w:val="0"/>
      <w:marBottom w:val="0"/>
      <w:divBdr>
        <w:top w:val="none" w:sz="0" w:space="0" w:color="auto"/>
        <w:left w:val="none" w:sz="0" w:space="0" w:color="auto"/>
        <w:bottom w:val="none" w:sz="0" w:space="0" w:color="auto"/>
        <w:right w:val="none" w:sz="0" w:space="0" w:color="auto"/>
      </w:divBdr>
    </w:div>
    <w:div w:id="1659915866">
      <w:marLeft w:val="640"/>
      <w:marRight w:val="0"/>
      <w:marTop w:val="0"/>
      <w:marBottom w:val="0"/>
      <w:divBdr>
        <w:top w:val="none" w:sz="0" w:space="0" w:color="auto"/>
        <w:left w:val="none" w:sz="0" w:space="0" w:color="auto"/>
        <w:bottom w:val="none" w:sz="0" w:space="0" w:color="auto"/>
        <w:right w:val="none" w:sz="0" w:space="0" w:color="auto"/>
      </w:divBdr>
    </w:div>
    <w:div w:id="1724594848">
      <w:marLeft w:val="480"/>
      <w:marRight w:val="0"/>
      <w:marTop w:val="0"/>
      <w:marBottom w:val="0"/>
      <w:divBdr>
        <w:top w:val="none" w:sz="0" w:space="0" w:color="auto"/>
        <w:left w:val="none" w:sz="0" w:space="0" w:color="auto"/>
        <w:bottom w:val="none" w:sz="0" w:space="0" w:color="auto"/>
        <w:right w:val="none" w:sz="0" w:space="0" w:color="auto"/>
      </w:divBdr>
    </w:div>
    <w:div w:id="1781755756">
      <w:marLeft w:val="480"/>
      <w:marRight w:val="0"/>
      <w:marTop w:val="0"/>
      <w:marBottom w:val="0"/>
      <w:divBdr>
        <w:top w:val="none" w:sz="0" w:space="0" w:color="auto"/>
        <w:left w:val="none" w:sz="0" w:space="0" w:color="auto"/>
        <w:bottom w:val="none" w:sz="0" w:space="0" w:color="auto"/>
        <w:right w:val="none" w:sz="0" w:space="0" w:color="auto"/>
      </w:divBdr>
    </w:div>
    <w:div w:id="1804496749">
      <w:marLeft w:val="640"/>
      <w:marRight w:val="0"/>
      <w:marTop w:val="0"/>
      <w:marBottom w:val="0"/>
      <w:divBdr>
        <w:top w:val="none" w:sz="0" w:space="0" w:color="auto"/>
        <w:left w:val="none" w:sz="0" w:space="0" w:color="auto"/>
        <w:bottom w:val="none" w:sz="0" w:space="0" w:color="auto"/>
        <w:right w:val="none" w:sz="0" w:space="0" w:color="auto"/>
      </w:divBdr>
    </w:div>
    <w:div w:id="1859654412">
      <w:marLeft w:val="480"/>
      <w:marRight w:val="0"/>
      <w:marTop w:val="0"/>
      <w:marBottom w:val="0"/>
      <w:divBdr>
        <w:top w:val="none" w:sz="0" w:space="0" w:color="auto"/>
        <w:left w:val="none" w:sz="0" w:space="0" w:color="auto"/>
        <w:bottom w:val="none" w:sz="0" w:space="0" w:color="auto"/>
        <w:right w:val="none" w:sz="0" w:space="0" w:color="auto"/>
      </w:divBdr>
    </w:div>
    <w:div w:id="1897667408">
      <w:marLeft w:val="640"/>
      <w:marRight w:val="0"/>
      <w:marTop w:val="0"/>
      <w:marBottom w:val="0"/>
      <w:divBdr>
        <w:top w:val="none" w:sz="0" w:space="0" w:color="auto"/>
        <w:left w:val="none" w:sz="0" w:space="0" w:color="auto"/>
        <w:bottom w:val="none" w:sz="0" w:space="0" w:color="auto"/>
        <w:right w:val="none" w:sz="0" w:space="0" w:color="auto"/>
      </w:divBdr>
    </w:div>
    <w:div w:id="1935278702">
      <w:marLeft w:val="640"/>
      <w:marRight w:val="0"/>
      <w:marTop w:val="0"/>
      <w:marBottom w:val="0"/>
      <w:divBdr>
        <w:top w:val="none" w:sz="0" w:space="0" w:color="auto"/>
        <w:left w:val="none" w:sz="0" w:space="0" w:color="auto"/>
        <w:bottom w:val="none" w:sz="0" w:space="0" w:color="auto"/>
        <w:right w:val="none" w:sz="0" w:space="0" w:color="auto"/>
      </w:divBdr>
    </w:div>
    <w:div w:id="2034574384">
      <w:marLeft w:val="640"/>
      <w:marRight w:val="0"/>
      <w:marTop w:val="0"/>
      <w:marBottom w:val="0"/>
      <w:divBdr>
        <w:top w:val="none" w:sz="0" w:space="0" w:color="auto"/>
        <w:left w:val="none" w:sz="0" w:space="0" w:color="auto"/>
        <w:bottom w:val="none" w:sz="0" w:space="0" w:color="auto"/>
        <w:right w:val="none" w:sz="0" w:space="0" w:color="auto"/>
      </w:divBdr>
    </w:div>
    <w:div w:id="2049988921">
      <w:marLeft w:val="640"/>
      <w:marRight w:val="0"/>
      <w:marTop w:val="0"/>
      <w:marBottom w:val="0"/>
      <w:divBdr>
        <w:top w:val="none" w:sz="0" w:space="0" w:color="auto"/>
        <w:left w:val="none" w:sz="0" w:space="0" w:color="auto"/>
        <w:bottom w:val="none" w:sz="0" w:space="0" w:color="auto"/>
        <w:right w:val="none" w:sz="0" w:space="0" w:color="auto"/>
      </w:divBdr>
    </w:div>
    <w:div w:id="2059356671">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7F0138F-EDBE-4CF5-A61B-5014CEEE7571}"/>
      </w:docPartPr>
      <w:docPartBody>
        <w:p w:rsidR="002C71BD" w:rsidRDefault="00EF1888">
          <w:r w:rsidRPr="002B62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88"/>
    <w:rsid w:val="00017EB6"/>
    <w:rsid w:val="00086F1D"/>
    <w:rsid w:val="00197C71"/>
    <w:rsid w:val="001F7223"/>
    <w:rsid w:val="002C71BD"/>
    <w:rsid w:val="003568E0"/>
    <w:rsid w:val="003C698A"/>
    <w:rsid w:val="005649AF"/>
    <w:rsid w:val="00643345"/>
    <w:rsid w:val="00663685"/>
    <w:rsid w:val="00893482"/>
    <w:rsid w:val="00A21F25"/>
    <w:rsid w:val="00B336E9"/>
    <w:rsid w:val="00EF188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188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9AEF6B-F33F-4EB9-BE8C-6650F9011C4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7544407738"/>
    <we:property name="MENDELEY_CITATIONS" value="[{&quot;citationID&quot;:&quot;MENDELEY_CITATION_857197a0-ec97-4225-949f-4c42d7b1f52e&quot;,&quot;properties&quot;:{&quot;noteIndex&quot;:0},&quot;isEdited&quot;:false,&quot;manualOverride&quot;:{&quot;isManuallyOverridden&quot;:false,&quot;citeprocText&quot;:&quot;[1]&quot;,&quot;manualOverrideText&quot;:&quot;&quot;},&quot;citationTag&quot;:&quot;MENDELEY_CITATION_v3_eyJjaXRhdGlvbklEIjoiTUVOREVMRVlfQ0lUQVRJT05fODU3MTk3YTAtZWM5Ny00MjI1LTk0OWYtNGM0MmQ3YjFmNTJlIiwicHJvcGVydGllcyI6eyJub3RlSW5kZXgiOjB9LCJpc0VkaXRlZCI6ZmFsc2UsIm1hbnVhbE92ZXJyaWRlIjp7ImlzTWFudWFsbHlPdmVycmlkZGVuIjpmYWxzZSwiY2l0ZXByb2NUZXh0IjoiWzFdIiwibWFudWFsT3ZlcnJpZGVUZXh0IjoiIn0sImNpdGF0aW9uSXRlbXMiOlt7ImlkIjoiNzM4OTM2YmEtZjM5OS0zZWU5LTk5OWEtNGYwNDk3Zjc3YmM5IiwiaXRlbURhdGEiOnsidHlwZSI6ImFydGljbGUtam91cm5hbCIsImlkIjoiNzM4OTM2YmEtZjM5OS0zZWU5LTk5OWEtNGYwNDk3Zjc3YmM5IiwidGl0bGUiOiJFY29ub21pYyBSZWZvcm0gYW5kIHRoZSBQcm9jZXNzIG9mIEdsb2JhbCBJbnRlZ3JhdGlvbiIsImF1dGhvciI6W3siZmFtaWx5IjoiU2FjaHMiLCJnaXZlbiI6IkplZmZyZXkiLCJwYXJzZS1uYW1lcyI6ZmFsc2UsImRyb3BwaW5nLXBhcnRpY2xlIjoiIiwibm9uLWRyb3BwaW5nLXBhcnRpY2xlIjoiIn0seyJmYW1pbHkiOiJXYXJuZXIiLCJnaXZlbiI6IkFuZHJldyIsInBhcnNlLW5hbWVzIjpmYWxzZSwiZHJvcHBpbmctcGFydGljbGUiOiIiLCJub24tZHJvcHBpbmctcGFydGljbGUiOiIifSx7ImZhbWlseSI6IsOFc2x1bmQiLCJnaXZlbiI6IkFuZGVycyIsInBhcnNlLW5hbWVzIjpmYWxzZSwiZHJvcHBpbmctcGFydGljbGUiOiIiLCJub24tZHJvcHBpbmctcGFydGljbGUiOiIifSx7ImZhbWlseSI6IkZpc2NoZXIiLCJnaXZlbiI6IlN0YW5sZXkiLCJwYXJzZS1uYW1lcyI6ZmFsc2UsImRyb3BwaW5nLXBhcnRpY2xlIjoiIiwibm9uLWRyb3BwaW5nLXBhcnRpY2xlIjoiIn1dLCJjb250YWluZXItdGl0bGUiOiJCcm9va2luZ3MgUGFwZXJzIG9uIEVjb25vbWljIEFjdGl2aXR5IiwiY29udGFpbmVyLXRpdGxlLXNob3J0IjoiQnJvb2tpbmdzIFBhcC4gRWNvbi4gQWN0LiIsIkRPSSI6IjEwLjIzMDcvMjUzNDU3MyIsImlzc3VlZCI6eyJkYXRlLXBhcnRzIjpbWzE5OTUsMSwxXV19LCJwYWdlIjoiMS0xMTgiLCJ2b2x1bWUiOiIxOTk1In0sImlzVGVtcG9yYXJ5IjpmYWxzZX1dfQ==&quot;,&quot;citationItems&quot;:[{&quot;id&quot;:&quot;738936ba-f399-3ee9-999a-4f0497f77bc9&quot;,&quot;itemData&quot;:{&quot;type&quot;:&quot;article-journal&quot;,&quot;id&quot;:&quot;738936ba-f399-3ee9-999a-4f0497f77bc9&quot;,&quot;title&quot;:&quot;Economic Reform and the Process of Global Integration&quot;,&quot;author&quot;:[{&quot;family&quot;:&quot;Sachs&quot;,&quot;given&quot;:&quot;Jeffrey&quot;,&quot;parse-names&quot;:false,&quot;dropping-particle&quot;:&quot;&quot;,&quot;non-dropping-particle&quot;:&quot;&quot;},{&quot;family&quot;:&quot;Warner&quot;,&quot;given&quot;:&quot;Andrew&quot;,&quot;parse-names&quot;:false,&quot;dropping-particle&quot;:&quot;&quot;,&quot;non-dropping-particle&quot;:&quot;&quot;},{&quot;family&quot;:&quot;Åslund&quot;,&quot;given&quot;:&quot;Anders&quot;,&quot;parse-names&quot;:false,&quot;dropping-particle&quot;:&quot;&quot;,&quot;non-dropping-particle&quot;:&quot;&quot;},{&quot;family&quot;:&quot;Fischer&quot;,&quot;given&quot;:&quot;Stanley&quot;,&quot;parse-names&quot;:false,&quot;dropping-particle&quot;:&quot;&quot;,&quot;non-dropping-particle&quot;:&quot;&quot;}],&quot;container-title&quot;:&quot;Brookings Papers on Economic Activity&quot;,&quot;container-title-short&quot;:&quot;Brookings Pap. Econ. Act.&quot;,&quot;DOI&quot;:&quot;10.2307/2534573&quot;,&quot;issued&quot;:{&quot;date-parts&quot;:[[1995,1,1]]},&quot;page&quot;:&quot;1-118&quot;,&quot;volume&quot;:&quot;1995&quot;},&quot;isTemporary&quot;:false}]},{&quot;citationID&quot;:&quot;MENDELEY_CITATION_9dab509a-ae33-45cc-8b8b-3e98cf5fe3b2&quot;,&quot;properties&quot;:{&quot;noteIndex&quot;:0},&quot;isEdited&quot;:false,&quot;manualOverride&quot;:{&quot;isManuallyOverridden&quot;:false,&quot;citeprocText&quot;:&quot;[2], [3]&quot;,&quot;manualOverrideText&quot;:&quot;&quot;},&quot;citationItems&quot;:[{&quot;id&quot;:&quot;160d31cc-4209-39c0-9965-c3909829e120&quot;,&quot;itemData&quot;:{&quot;type&quot;:&quot;article-journal&quot;,&quot;id&quot;:&quot;160d31cc-4209-39c0-9965-c3909829e120&quot;,&quot;title&quot;:&quot;Does Trade Cause Growth?&quot;,&quot;author&quot;:[{&quot;family&quot;:&quot;Frankel&quot;,&quot;given&quot;:&quot;Jeffrey A&quot;,&quot;parse-names&quot;:false,&quot;dropping-particle&quot;:&quot;&quot;,&quot;non-dropping-particle&quot;:&quot;&quot;},{&quot;family&quot;:&quot;Romer&quot;,&quot;given&quot;:&quot;David H&quot;,&quot;parse-names&quot;:false,&quot;dropping-particle&quot;:&quot;&quot;,&quot;non-dropping-particle&quot;:&quot;&quot;}],&quot;container-title&quot;:&quot;American Economic Review&quot;,&quot;DOI&quot;:&quot;10.1257/aer.89.3.379&quot;,&quot;URL&quot;:&quot;https://www.aeaweb.org/articles?id=10.1257/aer.89.3.379&quot;,&quot;issued&quot;:{&quot;date-parts&quot;:[[1999,6]]},&quot;page&quot;:&quot;379-399&quot;,&quot;issue&quot;:&quot;3&quot;,&quot;volume&quot;:&quot;89&quot;,&quot;container-title-short&quot;:&quot;&quot;},&quot;isTemporary&quot;:false,&quot;suppress-author&quot;:false,&quot;composite&quot;:false,&quot;author-only&quot;:false},{&quot;id&quot;:&quot;c9bd236f-042f-3093-9d39-3938ec32b234&quot;,&quot;itemData&quot;:{&quot;type&quot;:&quot;article-journal&quot;,&quot;id&quot;:&quot;c9bd236f-042f-3093-9d39-3938ec32b234&quot;,&quot;title&quot;:&quot;Openness, Productivity and Growth: What Do We Really Know?&quot;,&quot;author&quot;:[{&quot;family&quot;:&quot;Edwards&quot;,&quot;given&quot;:&quot;Sebastian&quot;,&quot;parse-names&quot;:false,&quot;dropping-particle&quot;:&quot;&quot;,&quot;non-dropping-particle&quot;:&quot;&quot;}],&quot;container-title&quot;:&quot;Economic Journal&quot;,&quot;DOI&quot;:&quot;None&quot;,&quot;URL&quot;:&quot;https://ideas.repec.org/a/ecj/econjl/v108y1998i447p383-98.html&quot;,&quot;issued&quot;:{&quot;date-parts&quot;:[[1998,3]]},&quot;page&quot;:&quot;383-398&quot;,&quot;abstract&quot;:&quot; Comparative data for ninety-three countries are used to analyze the robustness of the relationship between openness and total factor productivity growth. Nine indexes of trade policy are used to investigate whether the evidence supports the view that total factor productivity growth is faster in more open economies. The results are robust to the use of openness indicator, estimation technique, time period, and functional form and suggest that more open countries experienced faster productivity growth. Although the use of instrumental variables help dealing with endogeneity, issues related to causality remain somewhat open and require time series analyses to be adequately addressed.&quot;,&quot;issue&quot;:&quot;447&quot;,&quot;volume&quot;:&quot;108&quot;},&quot;isTemporary&quot;:false}],&quot;citationTag&quot;:&quot;MENDELEY_CITATION_v3_eyJjaXRhdGlvbklEIjoiTUVOREVMRVlfQ0lUQVRJT05fOWRhYjUwOWEtYWUzMy00NWNjLThiOGItM2U5OGNmNWZlM2IyIiwicHJvcGVydGllcyI6eyJub3RlSW5kZXgiOjB9LCJpc0VkaXRlZCI6ZmFsc2UsIm1hbnVhbE92ZXJyaWRlIjp7ImlzTWFudWFsbHlPdmVycmlkZGVuIjpmYWxzZSwiY2l0ZXByb2NUZXh0IjoiWzJdLCBbM10iLCJtYW51YWxPdmVycmlkZVRleHQiOiIifSwiY2l0YXRpb25JdGVtcyI6W3siaWQiOiIxNjBkMzFjYy00MjA5LTM5YzAtOTk2NS1jMzkwOTgyOWUxMjAiLCJpdGVtRGF0YSI6eyJ0eXBlIjoiYXJ0aWNsZS1qb3VybmFsIiwiaWQiOiIxNjBkMzFjYy00MjA5LTM5YzAtOTk2NS1jMzkwOTgyOWUxMjAiLCJ0aXRsZSI6IkRvZXMgVHJhZGUgQ2F1c2UgR3Jvd3RoPyIsImF1dGhvciI6W3siZmFtaWx5IjoiRnJhbmtlbCIsImdpdmVuIjoiSmVmZnJleSBBIiwicGFyc2UtbmFtZXMiOmZhbHNlLCJkcm9wcGluZy1wYXJ0aWNsZSI6IiIsIm5vbi1kcm9wcGluZy1wYXJ0aWNsZSI6IiJ9LHsiZmFtaWx5IjoiUm9tZXIiLCJnaXZlbiI6IkRhdmlkIEgiLCJwYXJzZS1uYW1lcyI6ZmFsc2UsImRyb3BwaW5nLXBhcnRpY2xlIjoiIiwibm9uLWRyb3BwaW5nLXBhcnRpY2xlIjoiIn1dLCJjb250YWluZXItdGl0bGUiOiJBbWVyaWNhbiBFY29ub21pYyBSZXZpZXciLCJET0kiOiIxMC4xMjU3L2Flci44OS4zLjM3OSIsIlVSTCI6Imh0dHBzOi8vd3d3LmFlYXdlYi5vcmcvYXJ0aWNsZXM/aWQ9MTAuMTI1Ny9hZXIuODkuMy4zNzkiLCJpc3N1ZWQiOnsiZGF0ZS1wYXJ0cyI6W1sxOTk5LDZdXX0sInBhZ2UiOiIzNzktMzk5IiwiaXNzdWUiOiIzIiwidm9sdW1lIjoiODkiLCJjb250YWluZXItdGl0bGUtc2hvcnQiOiIifSwiaXNUZW1wb3JhcnkiOmZhbHNlLCJzdXBwcmVzcy1hdXRob3IiOmZhbHNlLCJjb21wb3NpdGUiOmZhbHNlLCJhdXRob3Itb25seSI6ZmFsc2V9LHsiaWQiOiJjOWJkMjM2Zi0wNDJmLTMwOTMtOWQzOS0zOTM4ZWMzMmIyMzQiLCJpdGVtRGF0YSI6eyJ0eXBlIjoiYXJ0aWNsZS1qb3VybmFsIiwiaWQiOiJjOWJkMjM2Zi0wNDJmLTMwOTMtOWQzOS0zOTM4ZWMzMmIyMzQiLCJ0aXRsZSI6Ik9wZW5uZXNzLCBQcm9kdWN0aXZpdHkgYW5kIEdyb3d0aDogV2hhdCBEbyBXZSBSZWFsbHkgS25vdz8iLCJhdXRob3IiOlt7ImZhbWlseSI6IkVkd2FyZHMiLCJnaXZlbiI6IlNlYmFzdGlhbiIsInBhcnNlLW5hbWVzIjpmYWxzZSwiZHJvcHBpbmctcGFydGljbGUiOiIiLCJub24tZHJvcHBpbmctcGFydGljbGUiOiIifV0sImNvbnRhaW5lci10aXRsZSI6IkVjb25vbWljIEpvdXJuYWwiLCJET0kiOiJOb25lIiwiVVJMIjoiaHR0cHM6Ly9pZGVhcy5yZXBlYy5vcmcvYS9lY2ovZWNvbmpsL3YxMDh5MTk5OGk0NDdwMzgzLTk4Lmh0bWwiLCJpc3N1ZWQiOnsiZGF0ZS1wYXJ0cyI6W1sxOTk4LDNdXX0sInBhZ2UiOiIzODMtMzk4IiwiYWJzdHJhY3QiOiIgQ29tcGFyYXRpdmUgZGF0YSBmb3IgbmluZXR5LXRocmVlIGNvdW50cmllcyBhcmUgdXNlZCB0byBhbmFseXplIHRoZSByb2J1c3RuZXNzIG9mIHRoZSByZWxhdGlvbnNoaXAgYmV0d2VlbiBvcGVubmVzcyBhbmQgdG90YWwgZmFjdG9yIHByb2R1Y3Rpdml0eSBncm93dGguIE5pbmUgaW5kZXhlcyBvZiB0cmFkZSBwb2xpY3kgYXJlIHVzZWQgdG8gaW52ZXN0aWdhdGUgd2hldGhlciB0aGUgZXZpZGVuY2Ugc3VwcG9ydHMgdGhlIHZpZXcgdGhhdCB0b3RhbCBmYWN0b3IgcHJvZHVjdGl2aXR5IGdyb3d0aCBpcyBmYXN0ZXIgaW4gbW9yZSBvcGVuIGVjb25vbWllcy4gVGhlIHJlc3VsdHMgYXJlIHJvYnVzdCB0byB0aGUgdXNlIG9mIG9wZW5uZXNzIGluZGljYXRvciwgZXN0aW1hdGlvbiB0ZWNobmlxdWUsIHRpbWUgcGVyaW9kLCBhbmQgZnVuY3Rpb25hbCBmb3JtIGFuZCBzdWdnZXN0IHRoYXQgbW9yZSBvcGVuIGNvdW50cmllcyBleHBlcmllbmNlZCBmYXN0ZXIgcHJvZHVjdGl2aXR5IGdyb3d0aC4gQWx0aG91Z2ggdGhlIHVzZSBvZiBpbnN0cnVtZW50YWwgdmFyaWFibGVzIGhlbHAgZGVhbGluZyB3aXRoIGVuZG9nZW5laXR5LCBpc3N1ZXMgcmVsYXRlZCB0byBjYXVzYWxpdHkgcmVtYWluIHNvbWV3aGF0IG9wZW4gYW5kIHJlcXVpcmUgdGltZSBzZXJpZXMgYW5hbHlzZXMgdG8gYmUgYWRlcXVhdGVseSBhZGRyZXNzZWQuIiwiaXNzdWUiOiI0NDciLCJ2b2x1bWUiOiIxMDgifSwiaXNUZW1wb3JhcnkiOmZhbHNlfV19&quot;},{&quot;citationID&quot;:&quot;MENDELEY_CITATION_ed2e36d3-0c1a-48b0-a0f1-8405ccde11d2&quot;,&quot;properties&quot;:{&quot;noteIndex&quot;:0},&quot;isEdited&quot;:false,&quot;manualOverride&quot;:{&quot;isManuallyOverridden&quot;:false,&quot;citeprocText&quot;:&quot;[4]&quot;,&quot;manualOverrideText&quot;:&quot;&quot;},&quot;citationTag&quot;:&quot;MENDELEY_CITATION_v3_eyJjaXRhdGlvbklEIjoiTUVOREVMRVlfQ0lUQVRJT05fZWQyZTM2ZDMtMGMxYS00OGIwLWEwZjEtODQwNWNjZGUxMWQyIiwicHJvcGVydGllcyI6eyJub3RlSW5kZXgiOjB9LCJpc0VkaXRlZCI6ZmFsc2UsIm1hbnVhbE92ZXJyaWRlIjp7ImlzTWFudWFsbHlPdmVycmlkZGVuIjpmYWxzZSwiY2l0ZXByb2NUZXh0IjoiWzRdIiwibWFudWFsT3ZlcnJpZGVUZXh0IjoiIn0sImNpdGF0aW9uSXRlbXMiOlt7ImlkIjoiNjQ3MzY3MWYtNGY0ZC0zMzI5LTkzYmYtNjc4OTYyNzRiZWJiIiwiaXRlbURhdGEiOnsidHlwZSI6ImFydGljbGUtam91cm5hbCIsImlkIjoiNjQ3MzY3MWYtNGY0ZC0zMzI5LTkzYmYtNjc4OTYyNzRiZWJiIiwidGl0bGUiOiJUcmFkZSBvcGVubmVzcyBhbmQgZWNvbm9taWMgZ3Jvd3RoOiBlbXBpcmljYWwgZXZpZGVuY2UgZnJvbSBJbmRpYSIsImF1dGhvciI6W3siZmFtaWx5IjoiSHllIiwiZ2l2ZW4iOiJRYXppIE11aGFtbWFkIEFkbmFuIiwicGFyc2UtbmFtZXMiOmZhbHNlLCJkcm9wcGluZy1wYXJ0aWNsZSI6IiIsIm5vbi1kcm9wcGluZy1wYXJ0aWNsZSI6IiJ9LHsiZmFtaWx5IjoiTGF1IiwiZ2l2ZW4iOiJXZWUtWWVhcCIsInBhcnNlLW5hbWVzIjpmYWxzZSwiZHJvcHBpbmctcGFydGljbGUiOiIiLCJub24tZHJvcHBpbmctcGFydGljbGUiOiIifV0sImNvbnRhaW5lci10aXRsZSI6IkpvdXJuYWwgb2YgQnVzaW5lc3MgRWNvbm9taWNzIGFuZCBNYW5hZ2VtZW50IiwiRE9JIjoiMTAuMzg0Ni8xNjExMTY5OS4yMDEyLjcyMDU4NyIsIlVSTCI6Imh0dHBzOi8vaWRlYXMucmVwZWMub3JnL2EvdGFmL2piZW1ndC92MTZ5MjAxNWkxcDE4OC0yMDUuaHRtbCIsImlzc3VlZCI6eyJkYXRlLXBhcnRzIjpbWzIwMTUsMl1dfSwicGFnZSI6IjE4OC0yMDUiLCJhYnN0cmFjdCI6IiBUaGUgbWFpbiBvYmplY3RpdmUgb2YgdGhpcyBzdHVkeSBpcyB0byBkZXZlbG9wIGZpcnN0IHRpbWUgdHJhZGUgb3Blbm5lc3MgaW5kZXggYW5kIHVzZSB0aGlzIGluZGV4IHRvIGV4YW1pbmUgdGhlIGxpbmsgYmV0d2VlbiB0cmFkZSBvcGVubmVzcyBhbmQgZWNvbm9taWMgZ3Jvd3RoIGluIGNhc2Ugb2YgSW5kaWEuIFRoaXMgc3R1ZHkgZW1wbG95cyBhIG5ldyBlbmRvZ2Vub3VzIGdyb3d0aCBtb2RlbCBmb3IgdGhlb3JldGljYWwgc3VwcG9ydCwgYXV0by1yZWdyZXNzaXZlIGRpc3RyaWJ1dGl2ZSBsYWcgbW9kZWwgYW5kIHJvbGxpbmcgd2luZG93IHJlZ3Jlc3Npb24gbWV0aG9kIGluIG9yZGVyIHRvIGRldGVybWluZSBsb25nIHJ1biBhbmQgc2hvcnQgcnVuIGFzc29jaWF0aW9uIGJldHdlZW4gdHJhZGUgb3Blbm5lc3MgYW5kIGVjb25vbWljIGdyb3d0aC4gRnVydGhlciBncmFuZ2VyIGNhdXNhbGl0eSB0ZXN0IGlzIHVzZWQgdG8gZGV0ZXJtaW5lIHRoZSBsb25nIHJ1biBhbmQgc2hvcnQgcnVuIGNhdXNhbCBkaXJlY3Rpb24uIFRoZSByZXN1bHRzIHJldmVhbCB0aGF0IGh1bWFuIGNhcGl0YWwgYW5kIHBoeXNpY2FsIGNhcGl0YWwgYXJlIHBvc2l0aXZlbHkgcmVsYXRlZCB0byBlY29ub21pYyBncm93dGggaW4gdGhlIGxvbmcgcnVuLiBPbiB0aGUgb3RoZXIgaGFuZCwgdHJhZGUgb3Blbm5lc3MgaW5kZXggbmVnYXRpdmVseSBpbXBhY3RzIG9uIGVjb25vbWljIGdyb3d0aCBpbiB0aGUgbG9uZyBydW4uIFRoZSBuZXcgZXZpZGVuY2UgaXMgcHJvdmlkZWQgYnkgdGhlIHJvbGxpbmcgd2luZG93IHJlZ3Jlc3Npb24gcmVzdWx0cyBpLmUuIHRoZSBpbXBhY3Qgb2YgdHJhZGUgb3Blbm5lc3MgaW5kZXggb24gZWNvbm9taWMgZ3Jvd3RoIGlzIG5vdCBzdGFibGUgdGhyb3VnaG91dCB0aGUgc2FtcGxlLiBJbiB0aGUgc2hvcnQgcnVuIHRyYWRlIG9wZW5uZXNzIGluZGV4IGlzIHBvc2l0aXZlbHkgcmVsYXRlZCB0byBlY29ub21pYyBncm93dGguIFRoZSByZXN1bHQgb2YgZ3JhbmdlciBjYXVzYWxpdHkgdGVzdCBjb25maXJtcyB0aGUgdmFsaWRpdHkgb2YgdHJhZGUgb3Blbm5lc3MtbGVkIGdyb3d0aCBhbmQgaHVtYW4gY2FwaXRhbC1sZWQgZ3Jvd3RoIGh5cG90aGVzaXMgaW4gdGhlIHNob3J0IHJ1biBhbmQgbG9uZyBydW4uIiwiaXNzdWUiOiIxIiwidm9sdW1lIjoiMTYiLCJjb250YWluZXItdGl0bGUtc2hvcnQiOiIifSwiaXNUZW1wb3JhcnkiOmZhbHNlfV19&quot;,&quot;citationItems&quot;:[{&quot;id&quot;:&quot;6473671f-4f4d-3329-93bf-67896274bebb&quot;,&quot;itemData&quot;:{&quot;type&quot;:&quot;article-journal&quot;,&quot;id&quot;:&quot;6473671f-4f4d-3329-93bf-67896274bebb&quot;,&quot;title&quot;:&quot;Trade openness and economic growth: empirical evidence from India&quot;,&quot;author&quot;:[{&quot;family&quot;:&quot;Hye&quot;,&quot;given&quot;:&quot;Qazi Muhammad Adnan&quot;,&quot;parse-names&quot;:false,&quot;dropping-particle&quot;:&quot;&quot;,&quot;non-dropping-particle&quot;:&quot;&quot;},{&quot;family&quot;:&quot;Lau&quot;,&quot;given&quot;:&quot;Wee-Yeap&quot;,&quot;parse-names&quot;:false,&quot;dropping-particle&quot;:&quot;&quot;,&quot;non-dropping-particle&quot;:&quot;&quot;}],&quot;container-title&quot;:&quot;Journal of Business Economics and Management&quot;,&quot;DOI&quot;:&quot;10.3846/16111699.2012.720587&quot;,&quot;URL&quot;:&quot;https://ideas.repec.org/a/taf/jbemgt/v16y2015i1p188-205.html&quot;,&quot;issued&quot;:{&quot;date-parts&quot;:[[2015,2]]},&quot;page&quot;:&quot;188-205&quot;,&quot;abstract&quot;:&quot; The main objective of this study is to develop first time trade openness index and use this index to examine the link between trade openness and economic growth in case of India. This study employs a new endogenous growth model for theoretical support, auto-regressive distributive lag model and rolling window regression method in order to determine long run and short run association between trade openness and economic growth. Further granger causality test is used to determine the long run and short run causal direction. The results reveal that human capital and physical capital are positively related to economic growth in the long run. On the other hand, trade openness index negatively impacts on economic growth in the long run. The new evidence is provided by the rolling window regression results i.e. the impact of trade openness index on economic growth is not stable throughout the sample. In the short run trade openness index is positively related to economic growth. The result of granger causality test confirms the validity of trade openness-led growth and human capital-led growth hypothesis in the short run and long run.&quot;,&quot;issue&quot;:&quot;1&quot;,&quot;volume&quot;:&quot;16&quot;,&quot;container-title-short&quot;:&quot;&quot;},&quot;isTemporary&quot;:false}]},{&quot;citationID&quot;:&quot;MENDELEY_CITATION_016d1a26-219f-4e42-8a6b-5b94cfe7be20&quot;,&quot;properties&quot;:{&quot;noteIndex&quot;:0},&quot;isEdited&quot;:false,&quot;manualOverride&quot;:{&quot;isManuallyOverridden&quot;:false,&quot;citeprocText&quot;:&quot;[5]&quot;,&quot;manualOverrideText&quot;:&quot;&quot;},&quot;citationItems&quot;:[{&quot;id&quot;:&quot;cf5a40d7-d0d0-3f5f-b3f7-53db00ee0415&quot;,&quot;itemData&quot;:{&quot;type&quot;:&quot;article-journal&quot;,&quot;id&quot;:&quot;cf5a40d7-d0d0-3f5f-b3f7-53db00ee0415&quot;,&quot;title&quot;:&quot;Financial Structure, Interest Rate, Trade Openness and Growth: Time Series Analysis of Indian Economy&quot;,&quot;author&quot;:[{&quot;family&quot;:&quot;Sehrawat&quot;,&quot;given&quot;:&quot;Madhu&quot;,&quot;parse-names&quot;:false,&quot;dropping-particle&quot;:&quot;&quot;,&quot;non-dropping-particle&quot;:&quot;&quot;},{&quot;family&quot;:&quot;Giri&quot;,&quot;given&quot;:&quot;A K&quot;,&quot;parse-names&quot;:false,&quot;dropping-particle&quot;:&quot;&quot;,&quot;non-dropping-particle&quot;:&quot;&quot;}],&quot;container-title&quot;:&quot;Global Business Review&quot;,&quot;DOI&quot;:&quot;10.1177/0972150917710150&quot;,&quot;URL&quot;:&quot;https://ideas.repec.org/a/sae/globus/v18y2017i5p1278-1290.html&quot;,&quot;issued&quot;:{&quot;date-parts&quot;:[[2017,10]]},&quot;page&quot;:&quot;1278-1290&quot;,&quot;abstract&quot;:&quot;The aim of this study is to construct a financial development index for Indian economy and to examine the impact of financial development index and trade openness on economic growth in India using annual data from 1982 to 2014. The results of autoregressive distributed lag (ARDL) approach to co-integration confirm the long-run relationship between financial development index, trade openness and economic growth in Indian economy. The results of Granger non-causality show that there is a unidirectional causality running from financial development to economic growth and bi-directional causality runs between economic growth and trade openness. The analysis of variance decomposition shows that influence of trade openness exerts the largest influence, whose steady contribution level for economic growth changes approaches to 15.48 per cent in India.&quot;,&quot;issue&quot;:&quot;5&quot;,&quot;volume&quot;:&quot;18&quot;,&quot;container-title-short&quot;:&quot;&quot;},&quot;isTemporary&quot;:false,&quot;suppress-author&quot;:false,&quot;composite&quot;:false,&quot;author-only&quot;:false}],&quot;citationTag&quot;:&quot;MENDELEY_CITATION_v3_eyJjaXRhdGlvbklEIjoiTUVOREVMRVlfQ0lUQVRJT05fMDE2ZDFhMjYtMjE5Zi00ZTQyLThhNmItNWI5NGNmZTdiZTIwIiwicHJvcGVydGllcyI6eyJub3RlSW5kZXgiOjB9LCJpc0VkaXRlZCI6ZmFsc2UsIm1hbnVhbE92ZXJyaWRlIjp7ImlzTWFudWFsbHlPdmVycmlkZGVuIjpmYWxzZSwiY2l0ZXByb2NUZXh0IjoiWzVdIiwibWFudWFsT3ZlcnJpZGVUZXh0IjoiIn0sImNpdGF0aW9uSXRlbXMiOlt7ImlkIjoiY2Y1YTQwZDctZDBkMC0zZjVmLWIzZjctNTNkYjAwZWUwNDE1IiwiaXRlbURhdGEiOnsidHlwZSI6ImFydGljbGUtam91cm5hbCIsImlkIjoiY2Y1YTQwZDctZDBkMC0zZjVmLWIzZjctNTNkYjAwZWUwNDE1IiwidGl0bGUiOiJGaW5hbmNpYWwgU3RydWN0dXJlLCBJbnRlcmVzdCBSYXRlLCBUcmFkZSBPcGVubmVzcyBhbmQgR3Jvd3RoOiBUaW1lIFNlcmllcyBBbmFseXNpcyBvZiBJbmRpYW4gRWNvbm9teSIsImF1dGhvciI6W3siZmFtaWx5IjoiU2VocmF3YXQiLCJnaXZlbiI6Ik1hZGh1IiwicGFyc2UtbmFtZXMiOmZhbHNlLCJkcm9wcGluZy1wYXJ0aWNsZSI6IiIsIm5vbi1kcm9wcGluZy1wYXJ0aWNsZSI6IiJ9LHsiZmFtaWx5IjoiR2lyaSIsImdpdmVuIjoiQSBLIiwicGFyc2UtbmFtZXMiOmZhbHNlLCJkcm9wcGluZy1wYXJ0aWNsZSI6IiIsIm5vbi1kcm9wcGluZy1wYXJ0aWNsZSI6IiJ9XSwiY29udGFpbmVyLXRpdGxlIjoiR2xvYmFsIEJ1c2luZXNzIFJldmlldyIsIkRPSSI6IjEwLjExNzcvMDk3MjE1MDkxNzcxMDE1MCIsIlVSTCI6Imh0dHBzOi8vaWRlYXMucmVwZWMub3JnL2Evc2FlL2dsb2J1cy92MTh5MjAxN2k1cDEyNzgtMTI5MC5odG1sIiwiaXNzdWVkIjp7ImRhdGUtcGFydHMiOltbMjAxNywxMF1dfSwicGFnZSI6IjEyNzgtMTI5MCIsImFic3RyYWN0IjoiVGhlIGFpbSBvZiB0aGlzIHN0dWR5IGlzIHRvIGNvbnN0cnVjdCBhIGZpbmFuY2lhbCBkZXZlbG9wbWVudCBpbmRleCBmb3IgSW5kaWFuIGVjb25vbXkgYW5kIHRvIGV4YW1pbmUgdGhlIGltcGFjdCBvZiBmaW5hbmNpYWwgZGV2ZWxvcG1lbnQgaW5kZXggYW5kIHRyYWRlIG9wZW5uZXNzIG9uIGVjb25vbWljIGdyb3d0aCBpbiBJbmRpYSB1c2luZyBhbm51YWwgZGF0YSBmcm9tIDE5ODIgdG8gMjAxNC4gVGhlIHJlc3VsdHMgb2YgYXV0b3JlZ3Jlc3NpdmUgZGlzdHJpYnV0ZWQgbGFnIChBUkRMKSBhcHByb2FjaCB0byBjby1pbnRlZ3JhdGlvbiBjb25maXJtIHRoZSBsb25nLXJ1biByZWxhdGlvbnNoaXAgYmV0d2VlbiBmaW5hbmNpYWwgZGV2ZWxvcG1lbnQgaW5kZXgsIHRyYWRlIG9wZW5uZXNzIGFuZCBlY29ub21pYyBncm93dGggaW4gSW5kaWFuIGVjb25vbXkuIFRoZSByZXN1bHRzIG9mIEdyYW5nZXIgbm9uLWNhdXNhbGl0eSBzaG93IHRoYXQgdGhlcmUgaXMgYSB1bmlkaXJlY3Rpb25hbCBjYXVzYWxpdHkgcnVubmluZyBmcm9tIGZpbmFuY2lhbCBkZXZlbG9wbWVudCB0byBlY29ub21pYyBncm93dGggYW5kIGJpLWRpcmVjdGlvbmFsIGNhdXNhbGl0eSBydW5zIGJldHdlZW4gZWNvbm9taWMgZ3Jvd3RoIGFuZCB0cmFkZSBvcGVubmVzcy4gVGhlIGFuYWx5c2lzIG9mIHZhcmlhbmNlIGRlY29tcG9zaXRpb24gc2hvd3MgdGhhdCBpbmZsdWVuY2Ugb2YgdHJhZGUgb3Blbm5lc3MgZXhlcnRzIHRoZSBsYXJnZXN0IGluZmx1ZW5jZSwgd2hvc2Ugc3RlYWR5IGNvbnRyaWJ1dGlvbiBsZXZlbCBmb3IgZWNvbm9taWMgZ3Jvd3RoIGNoYW5nZXMgYXBwcm9hY2hlcyB0byAxNS40OCBwZXIgY2VudCBpbiBJbmRpYS4iLCJpc3N1ZSI6IjUiLCJ2b2x1bWUiOiIxOCIsImNvbnRhaW5lci10aXRsZS1zaG9ydCI6IiJ9LCJpc1RlbXBvcmFyeSI6ZmFsc2UsInN1cHByZXNzLWF1dGhvciI6ZmFsc2UsImNvbXBvc2l0ZSI6ZmFsc2UsImF1dGhvci1vbmx5IjpmYWxzZX1dfQ==&quot;},{&quot;citationID&quot;:&quot;MENDELEY_CITATION_c95573b4-a3e4-44c9-9864-804c3f5f6d97&quot;,&quot;properties&quot;:{&quot;noteIndex&quot;:0},&quot;isEdited&quot;:false,&quot;manualOverride&quot;:{&quot;isManuallyOverridden&quot;:false,&quot;citeprocText&quot;:&quot;[6]&quot;,&quot;manualOverrideText&quot;:&quot;&quot;},&quot;citationTag&quot;:&quot;MENDELEY_CITATION_v3_eyJjaXRhdGlvbklEIjoiTUVOREVMRVlfQ0lUQVRJT05fYzk1NTczYjQtYTNlNC00NGM5LTk4NjQtODA0YzNmNWY2ZDk3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UsInN1cHByZXNzLWF1dGhvciI6ZmFsc2UsImNvbXBvc2l0ZSI6ZmFsc2UsImF1dGhvci1vbmx5IjpmYWxzZX1dfQ==&quot;,&quot;citationItems&quot;:[{&quot;id&quot;:&quot;1b7ff11f-31c3-32ff-9352-57c47c30cf66&quot;,&quot;itemData&quot;:{&quot;type&quot;:&quot;article-journal&quot;,&quot;id&quot;:&quot;1b7ff11f-31c3-32ff-9352-57c47c30cf66&quot;,&quot;title&quot;:&quot;Bounds testing approaches to the analysis of level relationship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ichard J&quot;,&quot;parse-names&quot;:false,&quot;dropping-particle&quot;:&quot;&quot;,&quot;non-dropping-particle&quot;:&quot;&quot;}],&quot;container-title&quot;:&quot;Journal of Applied Econometrics&quot;,&quot;DOI&quot;:&quot;https://doi.org/10.1002/jae.616&quot;,&quot;ISSN&quot;:&quot;0883-7252&quot;,&quot;URL&quot;:&quot;https://doi.org/10.1002/jae.616&quot;,&quot;issued&quot;:{&quot;date-parts&quot;:[[2001,5,1]]},&quot;page&quot;:&quot;289-326&quot;,&quot;abstract&quot;:&quot;Abstract This paper develops a new approach to the problem of testing the existence of a level relationship between a dependent variable and a set of regressors, when it is not known with certainty whether the underlying regressors are trend- or first-difference stationary. The proposed tests are based on standard F- and t-statistics used to test the significance of the lagged levels of the variables in a univariate equilibrium correction mechanism. The asymptotic distributions of these statistics are non-standard under the null hypothesis that there exists no level relationship, irrespective of whether the regressors are I(0) or I(1). Two sets of asymptotic critical values are provided: one when all regressors are purely I(1) and the other if they are all purely I(0). These two sets of critical values provide a band covering all possible classifications of the regressors into purely I(0), purely I(1) or mutually cointegrated. Accordingly, various bounds testing procedures are proposed. It is shown that the proposed tests are consistent, and their asymptotic distribution under the null and suitably defined local alternatives are derived. The empirical relevance of the bounds procedures is demonstrated by a re-examination of the earnings equation included in the UK Treasury macroeconometric model. Copyright ? 2001 John Wiley &amp; Sons, Ltd.&quot;,&quot;publisher&quot;:&quot;John Wiley &amp; Sons, Ltd&quot;,&quot;issue&quot;:&quot;3&quot;,&quot;volume&quot;:&quot;16&quot;,&quot;container-title-short&quot;:&quot;&quot;},&quot;isTemporary&quot;:false,&quot;suppress-author&quot;:false,&quot;composite&quot;:false,&quot;author-only&quot;:false}]},{&quot;citationID&quot;:&quot;MENDELEY_CITATION_694129c2-447b-4a29-8643-fb2f67b1d53a&quot;,&quot;properties&quot;:{&quot;noteIndex&quot;:0},&quot;isEdited&quot;:false,&quot;manualOverride&quot;:{&quot;isManuallyOverridden&quot;:false,&quot;citeprocText&quot;:&quot;[7]&quot;,&quot;manualOverrideText&quot;:&quot;&quot;},&quot;citationTag&quot;:&quot;MENDELEY_CITATION_v3_eyJjaXRhdGlvbklEIjoiTUVOREVMRVlfQ0lUQVRJT05fNjk0MTI5YzItNDQ3Yi00YTI5LTg2NDMtZmIyZjY3YjFkNTNh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quot;,&quot;citationItems&quot;:[{&quot;id&quot;:&quot;043b3e44-7e21-36fd-bdd2-10b124c10ab2&quot;,&quot;itemData&quot;:{&quot;type&quot;:&quot;chapter&quot;,&quot;id&quot;:&quot;043b3e44-7e21-36fd-bdd2-10b124c10ab2&quot;,&quot;title&quot;:&quot;Modelling Asymmetric Cointegration and Dynamic Multipliers in a Nonlinear ARDL Framework&quot;,&quot;author&quot;:[{&quot;family&quot;:&quot;Shin&quot;,&quot;given&quot;:&quot;Yongcheol&quot;,&quot;parse-names&quot;:false,&quot;dropping-particle&quot;:&quot;&quot;,&quot;non-dropping-particle&quot;:&quot;&quot;},{&quot;family&quot;:&quot;Yu&quot;,&quot;given&quot;:&quot;Byungchul&quot;,&quot;parse-names&quot;:false,&quot;dropping-particle&quot;:&quot;&quot;,&quot;non-dropping-particle&quot;:&quot;&quot;},{&quot;family&quot;:&quot;Greenwood-Nimmo&quot;,&quot;given&quot;:&quot;Matthew&quot;,&quot;parse-names&quot;:false,&quot;dropping-particle&quot;:&quot;&quot;,&quot;non-dropping-particle&quot;:&quot;&quot;}],&quot;container-title&quot;:&quot;Festschrift in Honor of Peter Schmidt: Econometric Methods and Applications&quot;,&quot;editor&quot;:[{&quot;family&quot;:&quot;Sickles&quot;,&quot;given&quot;:&quot;Robin C&quot;,&quot;parse-names&quot;:false,&quot;dropping-particle&quot;:&quot;&quot;,&quot;non-dropping-particle&quot;:&quot;&quot;},{&quot;family&quot;:&quot;Horrace&quot;,&quot;given&quot;:&quot;William C&quot;,&quot;parse-names&quot;:false,&quot;dropping-particle&quot;:&quot;&quot;,&quot;non-dropping-particle&quot;:&quot;&quot;}],&quot;DOI&quot;:&quot;10.1007/978-1-4899-8008-3_9&quot;,&quot;ISBN&quot;:&quot;978-1-4899-8008-3&quot;,&quot;URL&quot;:&quot;https://doi.org/10.1007/978-1-4899-8008-3_9&quot;,&quot;issued&quot;:{&quot;date-parts&quot;:[[2014]]},&quot;publisher-place&quot;:&quot;New York, NY&quot;,&quot;page&quot;:&quot;281-314&quot;,&quot;abstract&quot;:&quot;We develop a cointegrating nonlinear autoregressive distributed lag (NARDL) model in which short- and long-run nonlinearities are introduced via positive and negative partial sum decompositions of the explanatory variables. We demonstrate that the model is estimable by OLS and that reliable long-run inference can be achieved by bounds-testing regardless of the integration orders of the variables. Furthermore, we derive asymmetric dynamic multipliers that graphically depict the traverse between the short- and the long-run. The salient features of the model are illustrated using the example of the nonlinear unemployment-output relationship in the US, Canada and Japan.&quot;,&quot;publisher&quot;:&quot;Springer New York&quot;,&quot;container-title-short&quot;:&quot;&quot;},&quot;isTemporary&quot;:false}]},{&quot;citationID&quot;:&quot;MENDELEY_CITATION_894a8b30-1a43-405a-aef3-bd1934cb509b&quot;,&quot;properties&quot;:{&quot;noteIndex&quot;:0},&quot;isEdited&quot;:false,&quot;manualOverride&quot;:{&quot;isManuallyOverridden&quot;:false,&quot;citeprocText&quot;:&quot;[8]&quot;,&quot;manualOverrideText&quot;:&quot;&quot;},&quot;citationTag&quot;:&quot;MENDELEY_CITATION_v3_eyJjaXRhdGlvbklEIjoiTUVOREVMRVlfQ0lUQVRJT05fODk0YThiMzAtMWE0My00MDVhLWFlZjMtYmQxOTM0Y2I1MDli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V9XX0=&quot;,&quot;citationItems&quot;:[{&quot;id&quot;:&quot;c2b43adc-20fc-393e-bf20-021557bcfc00&quot;,&quot;itemData&quot;:{&quot;type&quot;:&quot;article-journal&quot;,&quot;id&quot;:&quot;c2b43adc-20fc-393e-bf20-021557bcfc00&quot;,&quot;title&quot;:&quot;Machine Learning: An Applied Econometric Approach&quot;,&quot;author&quot;:[{&quot;family&quot;:&quot;Mullainathan&quot;,&quot;given&quot;:&quot;Sendhil&quot;,&quot;parse-names&quot;:false,&quot;dropping-particle&quot;:&quot;&quot;,&quot;non-dropping-particle&quot;:&quot;&quot;},{&quot;family&quot;:&quot;Spiess&quot;,&quot;given&quot;:&quot;Jann&quot;,&quot;parse-names&quot;:false,&quot;dropping-particle&quot;:&quot;&quot;,&quot;non-dropping-particle&quot;:&quot;&quot;}],&quot;container-title&quot;:&quot;Journal of Economic Perspectives&quot;,&quot;DOI&quot;:&quot;10.1257/jep.31.2.87&quot;,&quot;URL&quot;:&quot;https://www.aeaweb.org/articles?id=10.1257/jep.31.2.87&quot;,&quot;issued&quot;:{&quot;date-parts&quot;:[[2017,5]]},&quot;page&quot;:&quot;87-106&quot;,&quot;issue&quot;:&quot;2&quot;,&quot;volume&quot;:&quot;31&quot;,&quot;container-title-short&quot;:&quot;&quot;},&quot;isTemporary&quot;:false}]},{&quot;citationID&quot;:&quot;MENDELEY_CITATION_24e2c204-57da-4a1f-bc42-e09542033aca&quot;,&quot;properties&quot;:{&quot;noteIndex&quot;:0},&quot;isEdited&quot;:false,&quot;manualOverride&quot;:{&quot;isManuallyOverridden&quot;:false,&quot;citeprocText&quot;:&quot;[9]&quot;,&quot;manualOverrideText&quot;:&quot;&quot;},&quot;citationTag&quot;:&quot;MENDELEY_CITATION_v3_eyJjaXRhdGlvbklEIjoiTUVOREVMRVlfQ0lUQVRJT05fMjRlMmMyMDQtNTdkYS00YTFmLWJjNDItZTA5NTQyMDMzYWNh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quot;,&quot;citationItems&quot;:[{&quot;id&quot;:&quot;99e8d233-43f2-3309-bf83-a8ea279f5f8c&quot;,&quot;itemData&quot;:{&quot;type&quot;:&quot;book&quot;,&quot;id&quot;:&quot;99e8d233-43f2-3309-bf83-a8ea279f5f8c&quot;,&quot;title&quot;:&quot;A Unified Approach to Interpreting Model Predictions&quot;,&quot;author&quot;:[{&quot;family&quot;:&quot;Lundberg&quot;,&quot;given&quot;:&quot;Scott&quot;,&quot;parse-names&quot;:false,&quot;dropping-particle&quot;:&quot;&quot;,&quot;non-dropping-particle&quot;:&quot;&quot;},{&quot;family&quot;:&quot;Lee&quot;,&quot;given&quot;:&quot;Su-In&quot;,&quot;parse-names&quot;:false,&quot;dropping-particle&quot;:&quot;&quot;,&quot;non-dropping-particle&quot;:&quot;&quot;}],&quot;DOI&quot;:&quot;10.48550/arXiv.1705.07874&quot;,&quot;issued&quot;:{&quot;date-parts&quot;:[[2017,12,3]]},&quot;container-title-short&quot;:&quot;&quot;},&quot;isTemporary&quot;:false,&quot;suppress-author&quot;:false,&quot;composite&quot;:false,&quot;author-only&quot;:false}]},{&quot;citationID&quot;:&quot;MENDELEY_CITATION_7138a36b-a7ce-42c6-9e54-0284743d147d&quot;,&quot;properties&quot;:{&quot;noteIndex&quot;:0},&quot;isEdited&quot;:false,&quot;manualOverride&quot;:{&quot;isManuallyOverridden&quot;:false,&quot;citeprocText&quot;:&quot;[10], [11]&quot;,&quot;manualOverrideText&quot;:&quot;&quot;},&quot;citationItems&quot;:[{&quot;id&quot;:&quot;05841937-0581-3b55-9627-052cd1ed0298&quot;,&quot;itemData&quot;:{&quot;type&quot;:&quot;article-journal&quot;,&quot;id&quot;:&quot;05841937-0581-3b55-9627-052cd1ed0298&quot;,&quot;title&quot;:&quot;Forecasting and Explaining Non-Performing Assets in Indian Banking Groups Using Panel Econometrics and Explainable Machine Learning Model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K Ramachandra&quot;,&quot;parse-names&quot;:false,&quot;dropping-particle&quot;:&quot;&quot;,&quot;non-dropping-particle&quot;:&quot;&quot;},{&quot;family&quot;:&quot;Goutham&quot;,&quot;given&quot;:&quot;M R&quot;,&quot;parse-names&quot;:false,&quot;dropping-particle&quot;:&quot;&quot;,&quot;non-dropping-particle&quot;:&quot;&quot;}],&quot;container-title&quot;:&quot;Journal of Global Economics, Management and Business Research&quot;,&quot;DOI&quot;:&quot;10.56557/jgembr/2026/v18i210427&quot;,&quot;issued&quot;:{&quot;date-parts&quot;:[[2026]]},&quot;page&quot;:&quot;58-78&quot;,&quot;issue&quot;:&quot;2&quot;,&quot;volume&quot;:&quot;18&quot;,&quot;container-title-short&quot;:&quot;&quot;},&quot;isTemporary&quot;:false},{&quot;id&quot;:&quot;4daf89f5-f87d-38be-9673-aeef38a04794&quot;,&quot;itemData&quot;:{&quot;type&quot;:&quot;article-journal&quot;,&quot;id&quot;:&quot;4daf89f5-f87d-38be-9673-aeef38a04794&quot;,&quot;title&quot;:&quot;Hybrid Econometric and Deep Learning Framework for Forecasting Global Commodity Price Dynamics: Evidence from Multi-Commodity Time Series (2000-2026)&quot;,&quot;author&quot;:[{&quot;family&quot;:&quot;Rajana&quot;,&quot;given&quot;:&quot;Balayya&quot;,&quot;parse-names&quot;:false,&quot;dropping-particle&quot;:&quot;&quot;,&quot;non-dropping-particle&quot;:&quot;&quot;},{&quot;family&quot;:&quot;Duvvuri&quot;,&quot;given&quot;:&quot;Suneel Kumar&quot;,&quot;parse-names&quot;:false,&quot;dropping-particle&quot;:&quot;&quot;,&quot;non-dropping-particle&quot;:&quot;&quot;},{&quot;family&quot;:&quot;Chejarla&quot;,&quot;given&quot;:&quot;Sanjeev Kumar&quot;,&quot;parse-names&quot;:false,&quot;dropping-particle&quot;:&quot;&quot;,&quot;non-dropping-particle&quot;:&quot;&quot;},{&quot;family&quot;:&quot;Dakey&quot;,&quot;given&quot;:&quot;Prasad Teja&quot;,&quot;parse-names&quot;:false,&quot;dropping-particle&quot;:&quot;&quot;,&quot;non-dropping-particle&quot;:&quot;&quot;},{&quot;family&quot;:&quot;Ramachandra Rao&quot;,&quot;given&quot;:&quot;K&quot;,&quot;parse-names&quot;:false,&quot;dropping-particle&quot;:&quot;&quot;,&quot;non-dropping-particle&quot;:&quot;&quot;},{&quot;family&quot;:&quot;Gandam&quot;,&quot;given&quot;:&quot;Thilothu Rao&quot;,&quot;parse-names&quot;:false,&quot;dropping-particle&quot;:&quot;&quot;,&quot;non-dropping-particle&quot;:&quot;&quot;}],&quot;container-title&quot;:&quot;Global Academic Journal of Economics and Business&quot;,&quot;DOI&quot;:&quot;10.36348/gajeb.2026.v08i02.010&quot;,&quot;URL&quot;:&quot;https://doi.org/10.36348/gajeb.2026.v08i02.010&quot;,&quot;issued&quot;:{&quot;date-parts&quot;:[[2026]]},&quot;page&quot;:&quot;166-182&quot;,&quot;issue&quot;:&quot;2&quot;,&quot;volume&quot;:&quot;8&quot;},&quot;isTemporary&quot;:false}],&quot;citationTag&quot;:&quot;MENDELEY_CITATION_v3_eyJjaXRhdGlvbklEIjoiTUVOREVMRVlfQ0lUQVRJT05fNzEzOGEzNmItYTdjZS00MmM2LTllNTQtMDI4NDc0M2QxNDdkIiwicHJvcGVydGllcyI6eyJub3RlSW5kZXgiOjB9LCJpc0VkaXRlZCI6ZmFsc2UsIm1hbnVhbE92ZXJyaWRlIjp7ImlzTWFudWFsbHlPdmVycmlkZGVuIjpmYWxzZSwiY2l0ZXByb2NUZXh0IjoiWzEwXSwgWzEx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fSx7ImlkIjoiNGRhZjg5ZjUtZjg3ZC0zOGJlLTk2NzMtYWVlZjM4YTA0Nzk0IiwiaXRlbURhdGEiOnsidHlwZSI6ImFydGljbGUtam91cm5hbCIsImlkIjoiNGRhZjg5ZjUtZjg3ZC0zOGJlLTk2NzMtYWVlZjM4YTA0Nzk0IiwidGl0bGUiOiJIeWJyaWQgRWNvbm9tZXRyaWMgYW5kIERlZXAgTGVhcm5pbmcgRnJhbWV3b3JrIGZvciBGb3JlY2FzdGluZyBHbG9iYWwgQ29tbW9kaXR5IFByaWNlIER5bmFtaWNzOiBFdmlkZW5jZSBmcm9tIE11bHRpLUNvbW1vZGl0eSBUaW1lIFNlcmllcyAoMjAwMC0yMDI2KSIsImF1dGhvciI6W3siZmFtaWx5IjoiUmFqYW5hIiwiZ2l2ZW4iOiJCYWxheXlhIiwicGFyc2UtbmFtZXMiOmZhbHNlLCJkcm9wcGluZy1wYXJ0aWNsZSI6IiIsIm5vbi1kcm9wcGluZy1wYXJ0aWNsZSI6IiJ9LHsiZmFtaWx5IjoiRHV2dnVyaSIsImdpdmVuIjoiU3VuZWVsIEt1bWFyIiwicGFyc2UtbmFtZXMiOmZhbHNlLCJkcm9wcGluZy1wYXJ0aWNsZSI6IiIsIm5vbi1kcm9wcGluZy1wYXJ0aWNsZSI6IiJ9LHsiZmFtaWx5IjoiQ2hlamFybGEiLCJnaXZlbiI6IlNhbmplZXYgS3VtYXIiLCJwYXJzZS1uYW1lcyI6ZmFsc2UsImRyb3BwaW5nLXBhcnRpY2xlIjoiIiwibm9uLWRyb3BwaW5nLXBhcnRpY2xlIjoiIn0seyJmYW1pbHkiOiJEYWtleSIsImdpdmVuIjoiUHJhc2FkIFRlamEiLCJwYXJzZS1uYW1lcyI6ZmFsc2UsImRyb3BwaW5nLXBhcnRpY2xlIjoiIiwibm9uLWRyb3BwaW5nLXBhcnRpY2xlIjoiIn0seyJmYW1pbHkiOiJSYW1hY2hhbmRyYSBSYW8iLCJnaXZlbiI6IksiLCJwYXJzZS1uYW1lcyI6ZmFsc2UsImRyb3BwaW5nLXBhcnRpY2xlIjoiIiwibm9uLWRyb3BwaW5nLXBhcnRpY2xlIjoiIn0seyJmYW1pbHkiOiJHYW5kYW0iLCJnaXZlbiI6IlRoaWxvdGh1IFJhbyIsInBhcnNlLW5hbWVzIjpmYWxzZSwiZHJvcHBpbmctcGFydGljbGUiOiIiLCJub24tZHJvcHBpbmctcGFydGljbGUiOiIifV0sImNvbnRhaW5lci10aXRsZSI6Ikdsb2JhbCBBY2FkZW1pYyBKb3VybmFsIG9mIEVjb25vbWljcyBhbmQgQnVzaW5lc3MiLCJET0kiOiIxMC4zNjM0OC9nYWplYi4yMDI2LnYwOGkwMi4wMTAiLCJVUkwiOiJodHRwczovL2RvaS5vcmcvMTAuMzYzNDgvZ2FqZWIuMjAyNi52MDhpMDIuMDEwIiwiaXNzdWVkIjp7ImRhdGUtcGFydHMiOltbMjAyNl1dfSwicGFnZSI6IjE2Ni0xODIiLCJpc3N1ZSI6IjIiLCJ2b2x1bWUiOiI4In0sImlzVGVtcG9yYXJ5IjpmYWxzZX1dfQ==&quot;},{&quot;citationID&quot;:&quot;MENDELEY_CITATION_56740969-3247-4fd5-b88e-680cd4404d17&quot;,&quot;properties&quot;:{&quot;noteIndex&quot;:0},&quot;isEdited&quot;:false,&quot;manualOverride&quot;:{&quot;isManuallyOverridden&quot;:false,&quot;citeprocText&quot;:&quot;[12]&quot;,&quot;manualOverrideText&quot;:&quot;&quot;},&quot;citationTag&quot;:&quot;MENDELEY_CITATION_v3_eyJjaXRhdGlvbklEIjoiTUVOREVMRVlfQ0lUQVRJT05fNTY3NDA5NjktMzI0Ny00ZmQ1LWI4OGUtNjgwY2Q0NDA0ZDE3IiwicHJvcGVydGllcyI6eyJub3RlSW5kZXgiOjB9LCJpc0VkaXRlZCI6ZmFsc2UsIm1hbnVhbE92ZXJyaWRlIjp7ImlzTWFudWFsbHlPdmVycmlkZGVuIjpmYWxzZSwiY2l0ZXByb2NUZXh0IjoiWzEyXSIsIm1hbnVhbE92ZXJyaWRlVGV4dCI6IiJ9LCJjaXRhdGlvbkl0ZW1zIjpbeyJpZCI6ImYzNGU5YmJmLTY1NDEtMzQ4Yy04YmY1LWI1YjkwOTJjNTc2YSIsIml0ZW1EYXRhIjp7InR5cGUiOiJhcnRpY2xlLWpvdXJuYWwiLCJpZCI6ImYzNGU5YmJmLTY1NDEtMzQ4Yy04YmY1LWI1YjkwOTJjNTc2YSIsInRpdGxlIjoiT3Blbm5lc3MgYW5kIGdyb3d0aDogQSB0aW1lLXNlcmllcywgY3Jvc3MtY291bnRyeSBhbmFseXNpcyBmb3IgZGV2ZWxvcGluZyBjb3VudHJpZXMiLCJhdXRob3IiOlt7ImZhbWlseSI6IkhhcnJpc29uIiwiZ2l2ZW4iOiJBbm4iLCJwYXJzZS1uYW1lcyI6ZmFsc2UsImRyb3BwaW5nLXBhcnRpY2xlIjoiIiwibm9uLWRyb3BwaW5nLXBhcnRpY2xlIjoiIn1dLCJjb250YWluZXItdGl0bGUiOiJKb3VybmFsIG9mIERldmVsb3BtZW50IEVjb25vbWljcyIsImNvbnRhaW5lci10aXRsZS1zaG9ydCI6IkouIERldi4gRWNvbi4iLCJET0kiOiJodHRwczovL2RvaS5vcmcvMTAuMTAxNi8wMzA0LTM4NzgoOTUpMDAwNDItOSIsIklTU04iOiIwMzA0LTM4NzgiLCJVUkwiOiJodHRwczovL3d3dy5zY2llbmNlZGlyZWN0LmNvbS9zY2llbmNlL2FydGljbGUvcGlpLzAzMDQzODc4OTUwMDA0MjkiLCJpc3N1ZWQiOnsiZGF0ZS1wYXJ0cyI6W1sxOTk2XV19LCJwYWdlIjoiNDE5LTQ0NyIsImFic3RyYWN0IjoiVGhpcyBwYXBlciBkcmF3cyB0b2dldGhlciBhIHZhcmlldHkgb2Ygb3Blbm5lc3MgbWVhc3VyZXMgdG8gdGVzdCB0aGUgYXNzb2NpYXRpb24gYmV0d2VlbiBvcGVubmVzcyBhbmQgZ3Jvd3RoLiBBbHRob3VnaCB0aGUgY29ycmVsYXRpb24gYWNyb3NzIGRpZmZlcmVudCB0eXBlcyBvZiBvcGVubmVzcyBpcyBub3QgYWx3YXlzIHN0cm9uZywgdGhlcmUgaXMgZ2VuZXJhbGx5IGEgcG9zaXRpdmUgYXNzb2NpYXRpb24gYmV0d2VlbiBncm93dGggYW5kIGRpZmZlcmVudCBtZWFzdXJlcyBvZiBvcGVubmVzcy4gVGhlIHN0cmVuZ3RoIG9mIHRoZSBhc3NvY2lhdGlvbiBkZXBlbmRzIG9uIHdoZXRoZXIgdGhlIHNwZWNpZmljYXRpb24gdXNlcyBjcm9zcy1zZWN0aW9uIG9yIHBhbmVsIGRhdGEgKHdoaWNoIGNvbWJpbmVzIGNyb3NzLXNlY3Rpb24gYW5kIHRpbWUgc2VyaWVzKS4gRm9yIGluZHVzdHJpYWxpemluZyBjb3VudHJpZXMsIHdoaWNoIGhhdmUgZXhoaWJpdGVkIHNpZ25pZmljYW50IGZsdWN0dWF0aW9ucyBpbiB0cmFkZSByZWdpbWVzIG92ZXIgdGltZSwgbG9uZy1ydW4gYXZlcmFnZXMgbWF5IG5vdCBzZXJ2ZSBhcyB2ZXJ5IG1lYW5pbmdmdWwgaW5kaWNhdG9ycyBvZiBwb2xpY3kuIiwiaXNzdWUiOiIyIiwidm9sdW1lIjoiNDgifSwiaXNUZW1wb3JhcnkiOmZhbHNlLCJzdXBwcmVzcy1hdXRob3IiOmZhbHNlLCJjb21wb3NpdGUiOmZhbHNlLCJhdXRob3Itb25seSI6ZmFsc2V9XX0=&quot;,&quot;citationItems&quot;:[{&quot;id&quot;:&quot;f34e9bbf-6541-348c-8bf5-b5b9092c576a&quot;,&quot;itemData&quot;:{&quot;type&quot;:&quot;article-journal&quot;,&quot;id&quot;:&quot;f34e9bbf-6541-348c-8bf5-b5b9092c576a&quot;,&quot;title&quot;:&quot;Openness and growth: A time-series, cross-country analysis for developing countries&quot;,&quot;author&quot;:[{&quot;family&quot;:&quot;Harrison&quot;,&quot;given&quot;:&quot;Ann&quot;,&quot;parse-names&quot;:false,&quot;dropping-particle&quot;:&quot;&quot;,&quot;non-dropping-particle&quot;:&quot;&quot;}],&quot;container-title&quot;:&quot;Journal of Development Economics&quot;,&quot;container-title-short&quot;:&quot;J. Dev. Econ.&quot;,&quot;DOI&quot;:&quot;https://doi.org/10.1016/0304-3878(95)00042-9&quot;,&quot;ISSN&quot;:&quot;0304-3878&quot;,&quot;URL&quot;:&quot;https://www.sciencedirect.com/science/article/pii/0304387895000429&quot;,&quot;issued&quot;:{&quot;date-parts&quot;:[[1996]]},&quot;page&quot;:&quot;419-447&quot;,&quot;abstract&quot;:&quot;This paper draws together a variety of openness measures to test the association between openness and growth. Although the correlation across different types of openness is not always strong, there is generally a positive association between growth and different measures of openness. The strength of the association depends on whether the specification uses cross-section or panel data (which combines cross-section and time series). For industrializing countries, which have exhibited significant fluctuations in trade regimes over time, long-run averages may not serve as very meaningful indicators of policy.&quot;,&quot;issue&quot;:&quot;2&quot;,&quot;volume&quot;:&quot;48&quot;},&quot;isTemporary&quot;:false,&quot;suppress-author&quot;:false,&quot;composite&quot;:false,&quot;author-only&quot;:false}]},{&quot;citationID&quot;:&quot;MENDELEY_CITATION_7502dc79-f4a1-4f18-a8a4-9c90c5a29343&quot;,&quot;properties&quot;:{&quot;noteIndex&quot;:0},&quot;isEdited&quot;:false,&quot;manualOverride&quot;:{&quot;isManuallyOverridden&quot;:false,&quot;citeprocText&quot;:&quot;[13]&quot;,&quot;manualOverrideText&quot;:&quot;&quot;},&quot;citationTag&quot;:&quot;MENDELEY_CITATION_v3_eyJjaXRhdGlvbklEIjoiTUVOREVMRVlfQ0lUQVRJT05fNzUwMmRjNzktZjRhMS00ZjE4LWE4YTQtOWM5MGM1YTI5MzQzIiwicHJvcGVydGllcyI6eyJub3RlSW5kZXgiOjB9LCJpc0VkaXRlZCI6ZmFsc2UsIm1hbnVhbE92ZXJyaWRlIjp7ImlzTWFudWFsbHlPdmVycmlkZGVuIjpmYWxzZSwiY2l0ZXByb2NUZXh0IjoiWzEzXSIsIm1hbnVhbE92ZXJyaWRlVGV4dCI6IiJ9LCJjaXRhdGlvbkl0ZW1zIjpbeyJpZCI6IjZlM2YxZTYyLWZlYjItMzM5My04OGY1LWI5ODllOTIyMzNhNCIsIml0ZW1EYXRhIjp7InR5cGUiOiJhcnRpY2xlLWpvdXJuYWwiLCJpZCI6IjZlM2YxZTYyLWZlYjItMzM5My04OGY1LWI5ODllOTIyMzNhNCIsInRpdGxlIjoiVHJhZGUgb3Blbm5lc3MgYW5kIGVjb25vbWljIGdyb3d0aDogYSBjcm9zcy1jb3VudHJ5IGVtcGlyaWNhbCBpbnZlc3RpZ2F0aW9uIiwiYXV0aG9yIjpbeyJmYW1pbHkiOiJZYW5pa2theWEiLCJnaXZlbiI6IkhhbGl0IiwicGFyc2UtbmFtZXMiOmZhbHNlLCJkcm9wcGluZy1wYXJ0aWNsZSI6IiIsIm5vbi1kcm9wcGluZy1wYXJ0aWNsZSI6IiJ9XSwiY29udGFpbmVyLXRpdGxlIjoiSm91cm5hbCBvZiBEZXZlbG9wbWVudCBFY29ub21pY3MiLCJjb250YWluZXItdGl0bGUtc2hvcnQiOiJKLiBEZXYuIEVjb24uIiwiRE9JIjoiaHR0cHM6Ly9kb2kub3JnLzEwLjEwMTYvUzAzMDQtMzg3OCgwMykwMDA2OC0zIiwiSVNTTiI6IjAzMDQtMzg3OCIsIlVSTCI6Imh0dHBzOi8vd3d3LnNjaWVuY2VkaXJlY3QuY29tL3NjaWVuY2UvYXJ0aWNsZS9waWkvUzAzMDQzODc4MDMwMDA2ODMiLCJpc3N1ZWQiOnsiZGF0ZS1wYXJ0cyI6W1syMDAzXV19LCJwYWdlIjoiNTctODkiLCJhYnN0cmFjdCI6IlRoaXMgcGFwZXIgZGVtb25zdHJhdGVzIHRoYXQgdHJhZGUgbGliZXJhbGl6YXRpb24gZG9lcyBub3QgaGF2ZSBhIHNpbXBsZSBhbmQgc3RyYWlnaHRmb3J3YXJkIHJlbGF0aW9uc2hpcCB3aXRoIGdyb3d0aCB1c2luZyBhIGxhcmdlIG51bWJlciBvZiBvcGVubmVzcyBtZWFzdXJlcyBmb3IgYSBjcm9zcyBzZWN0aW9uIG9mIGNvdW50cmllcyBvdmVyIHRoZSBsYXN0IHRocmVlIGRlY2FkZXMuIFdlIHVzZSB0d28gZ3JvdXBzIG9mIHRyYWRlIG9wZW5uZXNzIG1lYXN1cmVzLiBUaGUgcmVncmVzc2lvbiByZXN1bHRzIGZvciBudW1lcm91cyB0cmFkZSBpbnRlbnNpdHkgcmF0aW9zIGFyZSBtb3N0bHkgY29uc2lzdGVudCB3aXRoIHRoZSBleGlzdGluZyBsaXRlcmF0dXJlLiBIb3dldmVyLCBjb250cmFyeSB0byB0aGUgY29udmVudGlvbmFsIHZpZXcgb24gdGhlIGdyb3d0aCBlZmZlY3RzIG9mIHRyYWRlIGJhcnJpZXJzLCBvdXIgZXN0aW1hdGlvbiByZXN1bHRzIHNob3cgdGhhdCB0cmFkZSBiYXJyaWVycyBhcmUgcG9zaXRpdmVseSBhbmQsIGluIG1vc3Qgc3BlY2lmaWNhdGlvbnMsIHNpZ25pZmljYW50bHkgYXNzb2NpYXRlZCB3aXRoIGdyb3d0aCwgZXNwZWNpYWxseSBmb3IgZGV2ZWxvcGluZyBjb3VudHJpZXMgYW5kIHRoZXkgYXJlIGNvbnNpc3RlbnQgd2l0aCB0aGUgZmluZGluZ3Mgb2YgdGhlb3JldGljYWwgZ3Jvd3RoIGFuZCBkZXZlbG9wbWVudCBsaXRlcmF0dXJlLiIsImlzc3VlIjoiMSIsInZvbHVtZSI6IjcyIn0sImlzVGVtcG9yYXJ5IjpmYWxzZSwic3VwcHJlc3MtYXV0aG9yIjpmYWxzZSwiY29tcG9zaXRlIjpmYWxzZSwiYXV0aG9yLW9ubHkiOmZhbHNlfV19&quot;,&quot;citationItems&quot;:[{&quot;id&quot;:&quot;6e3f1e62-feb2-3393-88f5-b989e92233a4&quot;,&quot;itemData&quot;:{&quot;type&quot;:&quot;article-journal&quot;,&quot;id&quot;:&quot;6e3f1e62-feb2-3393-88f5-b989e92233a4&quot;,&quot;title&quot;:&quot;Trade openness and economic growth: a cross-country empirical investigation&quot;,&quot;author&quot;:[{&quot;family&quot;:&quot;Yanikkaya&quot;,&quot;given&quot;:&quot;Halit&quot;,&quot;parse-names&quot;:false,&quot;dropping-particle&quot;:&quot;&quot;,&quot;non-dropping-particle&quot;:&quot;&quot;}],&quot;container-title&quot;:&quot;Journal of Development Economics&quot;,&quot;container-title-short&quot;:&quot;J. Dev. Econ.&quot;,&quot;DOI&quot;:&quot;https://doi.org/10.1016/S0304-3878(03)00068-3&quot;,&quot;ISSN&quot;:&quot;0304-3878&quot;,&quot;URL&quot;:&quot;https://www.sciencedirect.com/science/article/pii/S0304387803000683&quot;,&quot;issued&quot;:{&quot;date-parts&quot;:[[2003]]},&quot;page&quot;:&quot;57-89&quot;,&quot;abstract&quot;:&quot;This paper demonstrates that trade liberalization does not have a simple and straightforward relationship with growth using a large number of openness measures for a cross section of countries over the last three decades. We use two groups of trade openness measures. The regression results for numerous trade intensity ratios are mostly consistent with the existing literature. However, contrary to the conventional view on the growth effects of trade barriers, our estimation results show that trade barriers are positively and, in most specifications, significantly associated with growth, especially for developing countries and they are consistent with the findings of theoretical growth and development literature.&quot;,&quot;issue&quot;:&quot;1&quot;,&quot;volume&quot;:&quot;72&quot;},&quot;isTemporary&quot;:false,&quot;suppress-author&quot;:false,&quot;composite&quot;:false,&quot;author-only&quot;:false}]},{&quot;citationID&quot;:&quot;MENDELEY_CITATION_dcfb7202-954e-4c4e-b578-abbfe386d22a&quot;,&quot;properties&quot;:{&quot;noteIndex&quot;:0},&quot;isEdited&quot;:false,&quot;manualOverride&quot;:{&quot;isManuallyOverridden&quot;:false,&quot;citeprocText&quot;:&quot;[14]&quot;,&quot;manualOverrideText&quot;:&quot;&quot;},&quot;citationTag&quot;:&quot;MENDELEY_CITATION_v3_eyJjaXRhdGlvbklEIjoiTUVOREVMRVlfQ0lUQVRJT05fZGNmYjcyMDItOTU0ZS00YzRlLWI1NzgtYWJiZmUzODZkMjJhIiwicHJvcGVydGllcyI6eyJub3RlSW5kZXgiOjB9LCJpc0VkaXRlZCI6ZmFsc2UsIm1hbnVhbE92ZXJyaWRlIjp7ImlzTWFudWFsbHlPdmVycmlkZGVuIjpmYWxzZSwiY2l0ZXByb2NUZXh0IjoiWzE0XSIsIm1hbnVhbE92ZXJyaWRlVGV4dCI6IiJ9LCJjaXRhdGlvbkl0ZW1zIjpbeyJpZCI6ImRiMjk2Y2Q3LWVkYzAtM2Q5ZC04NDQyLTdhMzc1MTUyNzA3NiIsIml0ZW1EYXRhIjp7InR5cGUiOiJhcnRpY2xlLWpvdXJuYWwiLCJpZCI6ImRiMjk2Y2Q3LWVkYzAtM2Q5ZC04NDQyLTdhMzc1MTUyNzA3NiIsInRpdGxlIjoiT25jZSBhZ2FpbiwgaXMgb3Blbm5lc3MgZ29vZCBmb3IgZ3Jvd3RoPyIsImF1dGhvciI6W3siZmFtaWx5IjoiTGVlIiwiZ2l2ZW4iOiJIYSBZYW4iLCJwYXJzZS1uYW1lcyI6ZmFsc2UsImRyb3BwaW5nLXBhcnRpY2xlIjoiIiwibm9uLWRyb3BwaW5nLXBhcnRpY2xlIjoiIn0seyJmYW1pbHkiOiJSaWNjaSIsImdpdmVuIjoiTHVjYSBBbnRvbmlvIiwicGFyc2UtbmFtZXMiOmZhbHNlLCJkcm9wcGluZy1wYXJ0aWNsZSI6IiIsIm5vbi1kcm9wcGluZy1wYXJ0aWNsZSI6IiJ9LHsiZmFtaWx5IjoiUmlnb2JvbiIsImdpdmVuIjoiUm9iZXJ0byIsInBhcnNlLW5hbWVzIjpmYWxzZSwiZHJvcHBpbmctcGFydGljbGUiOiIiLCJub24tZHJvcHBpbmctcGFydGljbGUiOiIifV0sImNvbnRhaW5lci10aXRsZSI6IkpvdXJuYWwgb2YgRGV2ZWxvcG1lbnQgRWNvbm9taWNzIiwiY29udGFpbmVyLXRpdGxlLXNob3J0IjoiSi4gRGV2LiBFY29uLiIsIkRPSSI6Imh0dHBzOi8vZG9pLm9yZy8xMC4xMDE2L2ouamRldmVjby4yMDA0LjA2LjAwNiIsIklTU04iOiIwMzA0LTM4NzgiLCJVUkwiOiJodHRwczovL3d3dy5zY2llbmNlZGlyZWN0LmNvbS9zY2llbmNlL2FydGljbGUvcGlpL1MwMzA0Mzg3ODA0MDAwNjkwIiwiaXNzdWVkIjp7ImRhdGUtcGFydHMiOltbMjAwNF1dfSwicGFnZSI6IjQ1MS00NzIiLCJhYnN0cmFjdCI6IlJvZHJpZ3VleiBhbmQgUm9kcmlrICgyMDAwKSBhcmd1ZSB0aGF0IHRoZSByZWxhdGlvbiBiZXR3ZWVuIG9wZW5uZXNzIGFuZCBncm93dGggaXMgc3RpbGwgYW4gb3BlbiBxdWVzdGlvbi4gT25lIG9mIHRoZSBtYWluIHByb2JsZW1zIGluIHRoZSBhc3Nlc3NtZW50IG9mIHRoZSBlZmZlY3QgaXMgdGhlIGVuZG9nZW5laXR5IG9mIHRoZSByZWxhdGlvbi4gSW4gb3JkZXIgdG8gYWRkcmVzcyB0aGlzIGlzc3VlLCB0aGlzIHBhcGVyIGFwcGxpZXMgdGhlIGlkZW50aWZpY2F0aW9uIHRocm91Z2ggaGV0ZXJvc2tlZGFzdGljaXR5IG1ldGhvZG9sb2d5IHRvIGVzdGltYXRlIHRoZSBlZmZlY3Qgb2Ygb3Blbm5lc3Mgb24gZ3Jvd3RoIHdoaWxlIHByb3Blcmx5IGNvbnRyb2xsaW5nIGZvciB0aGUgZWZmZWN0IG9mIGdyb3d0aCBvbiBvcGVubmVzcy4gVGhlIHJlc3VsdHMgc3VnZ2VzdCB0aGF0IG9wZW5uZXNzIHdvdWxkIGhhdmUgYSBwb3NpdGl2ZSBlZmZlY3Qgb24gZ3Jvd3RoLCBhbHRob3VnaCBzbWFsbC4gVGhpcyByZXN1bHQgc3RhbmRzLCBkZXNwaXRlIHRoZSBlcXVhbGx5IHJvYnVzdCBlZmZlY3QgZnJvbSBncm93dGggdG8gb3Blbm5lc3MuIiwiaXNzdWUiOiIyIiwidm9sdW1lIjoiNzUifSwiaXNUZW1wb3JhcnkiOmZhbHNlLCJzdXBwcmVzcy1hdXRob3IiOmZhbHNlLCJjb21wb3NpdGUiOmZhbHNlLCJhdXRob3Itb25seSI6ZmFsc2V9XX0=&quot;,&quot;citationItems&quot;:[{&quot;id&quot;:&quot;db296cd7-edc0-3d9d-8442-7a3751527076&quot;,&quot;itemData&quot;:{&quot;type&quot;:&quot;article-journal&quot;,&quot;id&quot;:&quot;db296cd7-edc0-3d9d-8442-7a3751527076&quot;,&quot;title&quot;:&quot;Once again, is openness good for growth?&quot;,&quot;author&quot;:[{&quot;family&quot;:&quot;Lee&quot;,&quot;given&quot;:&quot;Ha Yan&quot;,&quot;parse-names&quot;:false,&quot;dropping-particle&quot;:&quot;&quot;,&quot;non-dropping-particle&quot;:&quot;&quot;},{&quot;family&quot;:&quot;Ricci&quot;,&quot;given&quot;:&quot;Luca Antonio&quot;,&quot;parse-names&quot;:false,&quot;dropping-particle&quot;:&quot;&quot;,&quot;non-dropping-particle&quot;:&quot;&quot;},{&quot;family&quot;:&quot;Rigobon&quot;,&quot;given&quot;:&quot;Roberto&quot;,&quot;parse-names&quot;:false,&quot;dropping-particle&quot;:&quot;&quot;,&quot;non-dropping-particle&quot;:&quot;&quot;}],&quot;container-title&quot;:&quot;Journal of Development Economics&quot;,&quot;container-title-short&quot;:&quot;J. Dev. Econ.&quot;,&quot;DOI&quot;:&quot;https://doi.org/10.1016/j.jdeveco.2004.06.006&quot;,&quot;ISSN&quot;:&quot;0304-3878&quot;,&quot;URL&quot;:&quot;https://www.sciencedirect.com/science/article/pii/S0304387804000690&quot;,&quot;issued&quot;:{&quot;date-parts&quot;:[[2004]]},&quot;page&quot;:&quot;451-472&quot;,&quot;abstract&quot;:&quot;Rodriguez and Rodrik (2000) argue that the relation between openness and growth is still an open question. One of the main problems in the assessment of the effect is the endogeneity of the relation. In order to address this issue, this paper applies the identification through heteroskedasticity methodology to estimate the effect of openness on growth while properly controlling for the effect of growth on openness. The results suggest that openness would have a positive effect on growth, although small. This result stands, despite the equally robust effect from growth to openness.&quot;,&quot;issue&quot;:&quot;2&quot;,&quot;volume&quot;:&quot;75&quot;},&quot;isTemporary&quot;:false,&quot;suppress-author&quot;:false,&quot;composite&quot;:false,&quot;author-only&quot;:false}]},{&quot;citationID&quot;:&quot;MENDELEY_CITATION_f427e0e6-3df8-4496-85c4-c28f406f51a6&quot;,&quot;properties&quot;:{&quot;noteIndex&quot;:0},&quot;isEdited&quot;:false,&quot;manualOverride&quot;:{&quot;isManuallyOverridden&quot;:false,&quot;citeprocText&quot;:&quot;[15]&quot;,&quot;manualOverrideText&quot;:&quot;&quot;},&quot;citationTag&quot;:&quot;MENDELEY_CITATION_v3_eyJjaXRhdGlvbklEIjoiTUVOREVMRVlfQ0lUQVRJT05fZjQyN2UwZTYtM2RmOC00NDk2LTg1YzQtYzI4ZjQwNmY1MWE2IiwicHJvcGVydGllcyI6eyJub3RlSW5kZXgiOjB9LCJpc0VkaXRlZCI6ZmFsc2UsIm1hbnVhbE92ZXJyaWRlIjp7ImlzTWFudWFsbHlPdmVycmlkZGVuIjpmYWxzZSwiY2l0ZXByb2NUZXh0IjoiWzE1XSIsIm1hbnVhbE92ZXJyaWRlVGV4dCI6IiJ9LCJjaXRhdGlvbkl0ZW1zIjpbeyJpZCI6IjFmNDM4ZTUyLTIzNjctMzE3NS1hMmY1LWMwZGMyNjlmNTJkZCIsIml0ZW1EYXRhIjp7InR5cGUiOiJhcnRpY2xlLWpvdXJuYWwiLCJpZCI6IjFmNDM4ZTUyLTIzNjctMzE3NS1hMmY1LWMwZGMyNjlmNTJkZCIsInRpdGxlIjoiVHJhZGUgbGliZXJhbGlzYXRpb24gYW5kIGdyb3d0aCBpbiBkZXZlbG9waW5nIGNvdW50cmllcyIsImF1dGhvciI6W3siZmFtaWx5IjoiR3JlZW5hd2F5IiwiZ2l2ZW4iOiJEYXZpZCIsInBhcnNlLW5hbWVzIjpmYWxzZSwiZHJvcHBpbmctcGFydGljbGUiOiIiLCJub24tZHJvcHBpbmctcGFydGljbGUiOiIifSx7ImZhbWlseSI6Ik1vcmdhbiIsImdpdmVuIjoiV3luIiwicGFyc2UtbmFtZXMiOmZhbHNlLCJkcm9wcGluZy1wYXJ0aWNsZSI6IiIsIm5vbi1kcm9wcGluZy1wYXJ0aWNsZSI6IiJ9LHsiZmFtaWx5IjoiV3JpZ2h0IiwiZ2l2ZW4iOiJQZXRlciIsInBhcnNlLW5hbWVzIjpmYWxzZSwiZHJvcHBpbmctcGFydGljbGUiOiIiLCJub24tZHJvcHBpbmctcGFydGljbGUiOiIifV0sImNvbnRhaW5lci10aXRsZSI6IkpvdXJuYWwgb2YgRGV2ZWxvcG1lbnQgRWNvbm9taWNzIiwiY29udGFpbmVyLXRpdGxlLXNob3J0IjoiSi4gRGV2LiBFY29uLiIsIkRPSSI6Imh0dHBzOi8vZG9pLm9yZy8xMC4xMDE2L1MwMzA0LTM4NzgoMDEpMDAxODUtNyIsIklTU04iOiIwMzA0LTM4NzgiLCJVUkwiOiJodHRwczovL3d3dy5zY2llbmNlZGlyZWN0LmNvbS9zY2llbmNlL2FydGljbGUvcGlpL1MwMzA0Mzg3ODAxMDAxODU3IiwiaXNzdWVkIjp7ImRhdGUtcGFydHMiOltbMjAwMl1dfSwicGFnZSI6IjIyOS0yNDQiLCJhYnN0cmFjdCI6IlRyYWRlIGxpYmVyYWxpc2F0aW9uIGluIGRldmVsb3BpbmcgY291bnRyaWVzIG92ZXIgdGhlIGxhc3QgMjAgeWVhcnMgaGFzIG9mdGVuIGJlZW4gaW1wbGVtZW50ZWQgd2l0aCB0aGUgZXhwZWN0YXRpb24gb2YgZ3Jvd3RoIGJlaW5nIHN0aW11bGF0ZWQ7IHlldCB0aGUgZXZpZGVuY2Ugb24gaXRzIGdyb3d0aCBlbmhhbmNpbmcgZWZmZWN0cyBpcyBtaXhlZC4gVGhpcyBwYXBlciBhcmd1ZXMgdGhhdCBwcm9ibGVtcyB3aXRoIG1pcy1zcGVjaWZpY2F0aW9uIGFuZCB0aGUgZGl2ZXJzaXR5IG9mIGxpYmVyYWxpc2F0aW9uIGluZGljZXMgdXNlZCBhcmUgaW4gcGFydCByZXNwb25zaWJsZSBmb3IgdGhlIGluY29uY2x1c2l2ZW5lc3MuIFVzaW5nIGEgZHluYW1pYyBwYW5lbCBmcmFtZXdvcmsgYW5kIHRocmVlIGRpZmZlcmVudCBpbmRpY2F0b3JzIG9mIGxpYmVyYWxpc2F0aW9uLCB0aGUgcGFwZXIgZmluZHMgdGhhdCBsaWJlcmFsaXNhdGlvbiBkb2VzIGFwcGVhciB0byBpbXBhY3QgdXBvbiBncm93dGgsIGFsYmVpdCB3aXRoIGEgbGFnLiBUaGUgZXZpZGVuY2UgcG9pbnRzIHRvIGEgSiBjdXJ2ZSB0eXBlIHJlc3BvbnNlIGFuZCB0aGlzIGZpbmRpbmcgaXMgcm9idXN0IHRvIGNoYW5nZXMgaW4gc3BlY2lmaWNhdGlvbiwgc2FtcGxlIHNpemUgYW5kIGRhdGEgcGVyaW9kLiIsImlzc3VlIjoiMSIsInZvbHVtZSI6IjY3In0sImlzVGVtcG9yYXJ5IjpmYWxzZSwic3VwcHJlc3MtYXV0aG9yIjpmYWxzZSwiY29tcG9zaXRlIjpmYWxzZSwiYXV0aG9yLW9ubHkiOmZhbHNlfV19&quot;,&quot;citationItems&quot;:[{&quot;id&quot;:&quot;1f438e52-2367-3175-a2f5-c0dc269f52dd&quot;,&quot;itemData&quot;:{&quot;type&quot;:&quot;article-journal&quot;,&quot;id&quot;:&quot;1f438e52-2367-3175-a2f5-c0dc269f52dd&quot;,&quot;title&quot;:&quot;Trade liberalisation and growth in developing countries&quot;,&quot;author&quot;:[{&quot;family&quot;:&quot;Greenaway&quot;,&quot;given&quot;:&quot;David&quot;,&quot;parse-names&quot;:false,&quot;dropping-particle&quot;:&quot;&quot;,&quot;non-dropping-particle&quot;:&quot;&quot;},{&quot;family&quot;:&quot;Morgan&quot;,&quot;given&quot;:&quot;Wyn&quot;,&quot;parse-names&quot;:false,&quot;dropping-particle&quot;:&quot;&quot;,&quot;non-dropping-particle&quot;:&quot;&quot;},{&quot;family&quot;:&quot;Wright&quot;,&quot;given&quot;:&quot;Peter&quot;,&quot;parse-names&quot;:false,&quot;dropping-particle&quot;:&quot;&quot;,&quot;non-dropping-particle&quot;:&quot;&quot;}],&quot;container-title&quot;:&quot;Journal of Development Economics&quot;,&quot;container-title-short&quot;:&quot;J. Dev. Econ.&quot;,&quot;DOI&quot;:&quot;https://doi.org/10.1016/S0304-3878(01)00185-7&quot;,&quot;ISSN&quot;:&quot;0304-3878&quot;,&quot;URL&quot;:&quot;https://www.sciencedirect.com/science/article/pii/S0304387801001857&quot;,&quot;issued&quot;:{&quot;date-parts&quot;:[[2002]]},&quot;page&quot;:&quot;229-244&quot;,&quot;abstract&quot;:&quot;Trade liberalisation in developing countries over the last 20 years has often been implemented with the expectation of growth being stimulated; yet the evidence on its growth enhancing effects is mixed. This paper argues that problems with mis-specification and the diversity of liberalisation indices used are in part responsible for the inconclusiveness. Using a dynamic panel framework and three different indicators of liberalisation, the paper finds that liberalisation does appear to impact upon growth, albeit with a lag. The evidence points to a J curve type response and this finding is robust to changes in specification, sample size and data period.&quot;,&quot;issue&quot;:&quot;1&quot;,&quot;volume&quot;:&quot;67&quot;},&quot;isTemporary&quot;:false,&quot;suppress-author&quot;:false,&quot;composite&quot;:false,&quot;author-only&quot;:false}]},{&quot;citationID&quot;:&quot;MENDELEY_CITATION_dba64517-62b3-4cb6-bf38-19554f0140c7&quot;,&quot;properties&quot;:{&quot;noteIndex&quot;:0},&quot;isEdited&quot;:false,&quot;manualOverride&quot;:{&quot;isManuallyOverridden&quot;:false,&quot;citeprocText&quot;:&quot;[16]&quot;,&quot;manualOverrideText&quot;:&quot;&quot;},&quot;citationTag&quot;:&quot;MENDELEY_CITATION_v3_eyJjaXRhdGlvbklEIjoiTUVOREVMRVlfQ0lUQVRJT05fZGJhNjQ1MTctNjJiMy00Y2I2LWJmMzgtMTk1NTRmMDE0MGM3IiwicHJvcGVydGllcyI6eyJub3RlSW5kZXgiOjB9LCJpc0VkaXRlZCI6ZmFsc2UsIm1hbnVhbE92ZXJyaWRlIjp7ImlzTWFudWFsbHlPdmVycmlkZGVuIjpmYWxzZSwiY2l0ZXByb2NUZXh0IjoiWzE2XSIsIm1hbnVhbE92ZXJyaWRlVGV4dCI6IiJ9LCJjaXRhdGlvbkl0ZW1zIjpbeyJpZCI6ImJlNzA2MjM1LWVmMGUtM2E5Zi04YjVkLTY2NDM1ZGI4ZGQ3MiIsIml0ZW1EYXRhIjp7InR5cGUiOiJhcnRpY2xlLWpvdXJuYWwiLCJpZCI6ImJlNzA2MjM1LWVmMGUtM2E5Zi04YjVkLTY2NDM1ZGI4ZGQ3MiIsInRpdGxlIjoiSG93IFJvYnVzdCBpcyB0aGUgR3Jvd3RoLU9wZW5uZXNzIENvbm5lY3Rpb24/IEhpc3RvcmljYWwgRXZpZGVuY2UiLCJhdXRob3IiOlt7ImZhbWlseSI6IlZhbXZha2lkaXMiLCJnaXZlbiI6IkF0aGFuYXNpb3MiLCJwYXJzZS1uYW1lcyI6ZmFsc2UsImRyb3BwaW5nLXBhcnRpY2xlIjoiIiwibm9uLWRyb3BwaW5nLXBhcnRpY2xlIjoiIn1dLCJjb250YWluZXItdGl0bGUiOiJKb3VybmFsIG9mIEVjb25vbWljIEdyb3d0aCIsIkRPSSI6IjEwLjEwMjMvQToxMDEzNDE4NjEwNzEyIiwiSVNTTiI6IjE1NzMtNzAyMCIsIlVSTCI6Imh0dHBzOi8vZG9pLm9yZy8xMC4xMDIzL0E6MTAxMzQxODYxMDcxMiIsImlzc3VlZCI6eyJkYXRlLXBhcnRzIjpbWzIwMDJdXX0sInBhZ2UiOiI1Ny04MCIsImFic3RyYWN0IjoiUHJldmlvdXMgbGl0ZXJhdHVyZSBoYXMgZXN0YWJsaXNoZWQgYSBwb3NpdGl2ZSBjb3JyZWxhdGlvbiBiZXR3ZWVuIG9wZW5uZXNzIHRvIGludGVybmF0aW9uYWwgdHJhZGUgYW5kIEdEUCBwZXIgY2FwaXRhIGdyb3d0aCBmb3IgZGV2ZWxvcGVkIGFuZCBkZXZlbG9waW5nIGVjb25vbWllcyBpbiByZWNlbnQgZGVjYWRlcy4gSG93ZXZlciwgbG9va2luZyBhdCBoaXN0b3JpY2FsIGV2aWRlbmNlIGZyb20gMTg3MCB0byB0aGUgcHJlc2VudCwgdGhpcyBwYXBlciBmaW5kcyBubyBzdXBwb3J0IGZvciBhIHBvc2l0aXZlIGdyb3d0aC1vcGVubmVzcyBjb25uZWN0aW9uIGJlZm9yZSAxOTcwLiBJbiBmYWN0LCB0aGUgY29ycmVsYXRpb24gaXMgbmVnYXRpdmUgZm9yIHRoZSBwZXJpb2QgMTkyMOKAkzE5NDAuIENyb3NzLWNvdW50cnkgZ3Jvd3RoIHJlZ3Jlc3Npb25zIGVzdGltYXRlZCBmb3IgdGhlIHBlcmlvZCAxOTIw4oCTMTk5MCBzdWdnZXN0IHRoYXQgdGhlIHBvc2l0aXZlIGNvcnJlbGF0aW9uIGJldHdlZW4gb3Blbm5lc3MgYW5kIGdyb3d0aCBpcyBvbmx5IGEgcmVjZW50IHBoZW5vbWVub24uIFRoZSBwYXBlciBwcm92aWRlcyB1c2VmdWwgY29uY2x1c2lvbnMgcmVnYXJkaW5nIHRoZSByb2J1c3RuZXNzIG5vdCBvbmx5IG9mIHRoZSBvcGVubmVzcyB2YXJpYWJsZXMgYnV0IGFsc28gb2Ygb3RoZXIgZ3Jvd3RoIGRldGVybWluYW50cy4iLCJpc3N1ZSI6IjEiLCJ2b2x1bWUiOiI3IiwiY29udGFpbmVyLXRpdGxlLXNob3J0IjoiIn0sImlzVGVtcG9yYXJ5IjpmYWxzZSwic3VwcHJlc3MtYXV0aG9yIjpmYWxzZSwiY29tcG9zaXRlIjpmYWxzZSwiYXV0aG9yLW9ubHkiOmZhbHNlfV19&quot;,&quot;citationItems&quot;:[{&quot;id&quot;:&quot;be706235-ef0e-3a9f-8b5d-66435db8dd72&quot;,&quot;itemData&quot;:{&quot;type&quot;:&quot;article-journal&quot;,&quot;id&quot;:&quot;be706235-ef0e-3a9f-8b5d-66435db8dd72&quot;,&quot;title&quot;:&quot;How Robust is the Growth-Openness Connection? Historical Evidence&quot;,&quot;author&quot;:[{&quot;family&quot;:&quot;Vamvakidis&quot;,&quot;given&quot;:&quot;Athanasios&quot;,&quot;parse-names&quot;:false,&quot;dropping-particle&quot;:&quot;&quot;,&quot;non-dropping-particle&quot;:&quot;&quot;}],&quot;container-title&quot;:&quot;Journal of Economic Growth&quot;,&quot;DOI&quot;:&quot;10.1023/A:1013418610712&quot;,&quot;ISSN&quot;:&quot;1573-7020&quot;,&quot;URL&quot;:&quot;https://doi.org/10.1023/A:1013418610712&quot;,&quot;issued&quot;:{&quot;date-parts&quot;:[[2002]]},&quot;page&quot;:&quot;57-80&quot;,&quot;abstract&quot;:&quot;Previous literature has established a positive correlation between openness to international trade and GDP per capita growth for developed and developing economies in recent decades. However, looking at historical evidence from 1870 to the present, this paper finds no support for a positive growth-openness connection before 1970. In fact, the correlation is negative for the period 1920–1940. Cross-country growth regressions estimated for the period 1920–1990 suggest that the positive correlation between openness and growth is only a recent phenomenon. The paper provides useful conclusions regarding the robustness not only of the openness variables but also of other growth determinants.&quot;,&quot;issue&quot;:&quot;1&quot;,&quot;volume&quot;:&quot;7&quot;,&quot;container-title-short&quot;:&quot;&quot;},&quot;isTemporary&quot;:false,&quot;suppress-author&quot;:false,&quot;composite&quot;:false,&quot;author-only&quot;:false}]},{&quot;citationID&quot;:&quot;MENDELEY_CITATION_8b9301d3-338f-4563-a951-9643db01af72&quot;,&quot;properties&quot;:{&quot;noteIndex&quot;:0},&quot;isEdited&quot;:false,&quot;manualOverride&quot;:{&quot;isManuallyOverridden&quot;:false,&quot;citeprocText&quot;:&quot;[17]&quot;,&quot;manualOverrideText&quot;:&quot;&quot;},&quot;citationTag&quot;:&quot;MENDELEY_CITATION_v3_eyJjaXRhdGlvbklEIjoiTUVOREVMRVlfQ0lUQVRJT05fOGI5MzAxZDMtMzM4Zi00NTYzLWE5NTEtOTY0M2RiMDFhZjcyIiwicHJvcGVydGllcyI6eyJub3RlSW5kZXgiOjB9LCJpc0VkaXRlZCI6ZmFsc2UsIm1hbnVhbE92ZXJyaWRlIjp7ImlzTWFudWFsbHlPdmVycmlkZGVuIjpmYWxzZSwiY2l0ZXByb2NUZXh0IjoiWzE3XSIsIm1hbnVhbE92ZXJyaWRlVGV4dCI6IiJ9LCJjaXRhdGlvbkl0ZW1zIjpbeyJpZCI6IjI5NGNmNjgyLTUzMGMtM2QwOC1iMWRlLTgyYjZjYzlkNTlhMyIsIml0ZW1EYXRhIjp7InR5cGUiOiJhcnRpY2xlLWpvdXJuYWwiLCJpZCI6IjI5NGNmNjgyLTUzMGMtM2QwOC1iMWRlLTgyYjZjYzlkNTlhMyIsInRpdGxlIjoiVHJhZGUgTGliZXJhbGl6YXRpb24gYW5kIEdyb3d0aDogTmV3IEV2aWRlbmNlIiwiYXV0aG9yIjpbeyJmYW1pbHkiOiJXYWN6aWFyZyIsImdpdmVuIjoiUm9tYWluIiwicGFyc2UtbmFtZXMiOmZhbHNlLCJkcm9wcGluZy1wYXJ0aWNsZSI6IiIsIm5vbi1kcm9wcGluZy1wYXJ0aWNsZSI6IiJ9LHsiZmFtaWx5IjoiV2VsY2giLCJnaXZlbiI6IkthcmVuIEhvcm4iLCJwYXJzZS1uYW1lcyI6ZmFsc2UsImRyb3BwaW5nLXBhcnRpY2xlIjoiIiwibm9uLWRyb3BwaW5nLXBhcnRpY2xlIjoiIn1dLCJjb250YWluZXItdGl0bGUiOiJUaGUgV29ybGQgQmFuayBFY29ub21pYyBSZXZpZXciLCJjb250YWluZXItdGl0bGUtc2hvcnQiOiJXb3JsZCBCYW5rIEVjb24uIFJldi4iLCJVUkwiOiJodHRwczovL0Vjb25QYXBlcnMucmVwZWMub3JnL1JlUEVjOm91cDp3YmVjcnY6djoyMjp5OjIwMDg6aToyOnA6MTg3LTIzMSIsImlzc3VlZCI6eyJkYXRlLXBhcnRzIjpbWzIwMDhdXX0sInBhZ2UiOiIxODctMjMxIiwiYWJzdHJhY3QiOiJBIG5ldyBkYXRhIHNldCBvZiBvbiBvcGVubmVzcyBpbmRpY2F0b3JzIGFuZCB0cmFkZSBsaWJlcmFsaXphdGlvbiBkYXRlcyBhbGxvd3MgdGhlIDE5OTUgU2FjaHMgYW5kIFdhcm5lciBzdHVkeSBvbiB0aGUgcmVsYXRpb25zaGlwIGJldHdlZW4gdHJhZGUgb3Blbm5lc3MgYW5kIGVjb25vbWljIGdyb3d0aCB0byBiZSBleHRlbmRlZCB0byB0aGUgMTk5MHMuIE5ldyBldmlkZW5jZSBvbiB0aGUgdGltZSBwYXRocyBvZiBlY29ub21pYyBncm93dGgsIHBoeXNpY2FsIGNhcGl0YWwgaW52ZXN0bWVudCwgYW5kIG9wZW5uZXNzIGFyb3VuZCBlcGlzb2RlcyBvZiB0cmFkZSBwb2xpY3kgbGliZXJhbGl6YXRpb24gaXMgYWxzbyBwcmVzZW50ZWQuIEFuYWx5c2lzIGJhc2VkIG9uIHRoZSBuZXcgZGF0YSBzZXQgc3VnZ2VzdHMgdGhhdCBvdmVyIHRoZSAxOTUwLS05OCBwZXJpb2QsIGNvdW50cmllcyB0aGF0IGxpYmVyYWxpemVkIHRoZWlyIHRyYWRlIHJlZ2ltZXMgZXhwZXJpZW5jZWQgYXZlcmFnZSBhbm51YWwgZ3Jvd3RoIHJhdGVzIHRoYXQgd2VyZSBhYm91dCAxLjUgcGVyY2VudGFnZSBwb2ludHMgaGlnaGVyIHRoYW4gYmVmb3JlIGxpYmVyYWxpemF0aW9uLiBQb3N0bGliZXJhbGl6YXRpb24gaW52ZXN0bWVudCByYXRlcyByb3NlIDEuNS0tMi4wIHBlcmNlbnRhZ2UgcG9pbnRzLCBjb25maXJtaW5nIHBhc3QgZmluZGluZ3MgdGhhdCBsaWJlcmFsaXphdGlvbiBmb3N0ZXJzIGdyb3d0aCBpbiBwYXJ0IHRocm91Z2ggaXRzIGVmZmVjdCBvbiBwaHlzaWNhbCBjYXBpdGFsIGFjY3VtdWxhdGlvbi4gTGliZXJhbGl6YXRpb24gcmFpc2VkIHRoZSBhdmVyYWdlIHRyYWRlIHRvIEdEUCByYXRpbyBieSByb3VnaGx5IDUgcGVyY2VudGFnZSBwb2ludHMsIHN1Z2dlc3RpbmcgdGhhdCB0cmFkZSBwb2xpY3kgbGliZXJhbGl6YXRpb24gZGlkIGluZGVlZCByYWlzZSB0aGUgYWN0dWFsIGxldmVsIG9mIG9wZW5uZXNzIG9mIGxpYmVyYWxpemVycy4gSG93ZXZlciwgdGhlc2UgYXZlcmFnZSBlZmZlY3RzIG1hc2sgbGFyZ2UgZGlmZmVyZW5jZXMgYWNyb3NzIGNvdW50cmllcy4gQ29weXJpZ2h0IFRoZSBBdXRob3IgMjAwOC4gUHVibGlzaGVkIGJ5IE94Zm9yZCBVbml2ZXJzaXR5IFByZXNzIG9uIGJlaGFsZiBvZiB0aGUgSW50ZXJuYXRpb25hbCBCYW5rIGZvciBSZWNvbnN0cnVjdGlvbiBhbmQgRGV2ZWxvcG1lbnQgLyB0aGUgd29ybGQgYmFuayAuIEFsbCByaWdodHMgcmVzZXJ2ZWQuIEZvciBwZXJtaXNzaW9ucywgcGxlYXNlIGUtbWFpbDogam91cm5hbHMucGVybWlzc2lvbnNAb3hmb3Jkam91cm5hbHMub3JnLCBPeGZvcmQgVW5pdmVyc2l0eSBQcmVzcy4iLCJpc3N1ZSI6IjIiLCJ2b2x1bWUiOiIyMiJ9LCJpc1RlbXBvcmFyeSI6ZmFsc2V9XX0=&quot;,&quot;citationItems&quot;:[{&quot;id&quot;:&quot;294cf682-530c-3d08-b1de-82b6cc9d59a3&quot;,&quot;itemData&quot;:{&quot;type&quot;:&quot;article-journal&quot;,&quot;id&quot;:&quot;294cf682-530c-3d08-b1de-82b6cc9d59a3&quot;,&quot;title&quot;:&quot;Trade Liberalization and Growth: New Evidence&quot;,&quot;author&quot;:[{&quot;family&quot;:&quot;Wacziarg&quot;,&quot;given&quot;:&quot;Romain&quot;,&quot;parse-names&quot;:false,&quot;dropping-particle&quot;:&quot;&quot;,&quot;non-dropping-particle&quot;:&quot;&quot;},{&quot;family&quot;:&quot;Welch&quot;,&quot;given&quot;:&quot;Karen Horn&quot;,&quot;parse-names&quot;:false,&quot;dropping-particle&quot;:&quot;&quot;,&quot;non-dropping-particle&quot;:&quot;&quot;}],&quot;container-title&quot;:&quot;The World Bank Economic Review&quot;,&quot;container-title-short&quot;:&quot;World Bank Econ. Rev.&quot;,&quot;URL&quot;:&quot;https://EconPapers.repec.org/RePEc:oup:wbecrv:v:22:y:2008:i:2:p:187-231&quot;,&quot;issued&quot;:{&quot;date-parts&quot;:[[2008]]},&quot;page&quot;:&quot;187-231&quot;,&quot;abstract&quot;:&quot;A new data set of on openness indicators and trade liberalization dates allows the 1995 Sachs and Warner study on the relationship between trade openness and economic growth to be extended to the 1990s. New evidence on the time paths of economic growth, physical capital investment, and openness around episodes of trade policy liberalization is also presented. Analysis based on the new data set suggests that over the 1950--98 period, countries that liberalized their trade regimes experienced average annual growth rates that were about 1.5 percentage points higher than before liberalization. Postliberalization investment rates rose 1.5--2.0 percentage points, confirming past findings that liberalization fosters growth in part through its effect on physical capital accumulation. Liberalization raised the average trade to GDP ratio by roughly 5 percentage points, suggesting that trade policy liberalization did indeed raise the actual level of openness of liberalizers. However, these average effects mask large differences across countries. Copyright The Author 2008. Published by Oxford University Press on behalf of the International Bank for Reconstruction and Development / the world bank . All rights reserved. For permissions, please e-mail: journals.permissions@oxfordjournals.org, Oxford University Press.&quot;,&quot;issue&quot;:&quot;2&quot;,&quot;volume&quot;:&quot;22&quot;},&quot;isTemporary&quot;:false}]},{&quot;citationID&quot;:&quot;MENDELEY_CITATION_2e0f3bb6-1ffa-47d2-b71e-2a607f996cc2&quot;,&quot;properties&quot;:{&quot;noteIndex&quot;:0},&quot;isEdited&quot;:false,&quot;manualOverride&quot;:{&quot;isManuallyOverridden&quot;:false,&quot;citeprocText&quot;:&quot;[18]&quot;,&quot;manualOverrideText&quot;:&quot;&quot;},&quot;citationTag&quot;:&quot;MENDELEY_CITATION_v3_eyJjaXRhdGlvbklEIjoiTUVOREVMRVlfQ0lUQVRJT05fMmUwZjNiYjYtMWZmYS00N2QyLWI3MWUtMmE2MDdmOTk2Y2MyIiwicHJvcGVydGllcyI6eyJub3RlSW5kZXgiOjB9LCJpc0VkaXRlZCI6ZmFsc2UsIm1hbnVhbE92ZXJyaWRlIjp7ImlzTWFudWFsbHlPdmVycmlkZGVuIjpmYWxzZSwiY2l0ZXByb2NUZXh0IjoiWzE4XSIsIm1hbnVhbE92ZXJyaWRlVGV4dCI6IiJ9LCJjaXRhdGlvbkl0ZW1zIjpbeyJpZCI6IjkxNTg2MDc1LTQ4OGYtMzdiNy1hNTgyLThlN2ZhNTZiZDcxNyIsIml0ZW1EYXRhIjp7InR5cGUiOiJhcnRpY2xlLWpvdXJuYWwiLCJpZCI6IjkxNTg2MDc1LTQ4OGYtMzdiNy1hNTgyLThlN2ZhNTZiZDcxNyIsInRpdGxlIjoiT3Blbm5lc3MgY2FuIGJlIGdvb2QgZm9yIGdyb3d0aDogVGhlIHJvbGUgb2YgcG9saWN5IGNvbXBsZW1lbnRhcml0aWVzIiwiYXV0aG9yIjpbeyJmYW1pbHkiOiJDaGFuZyIsImdpdmVuIjoiUm9iZXJ0byIsInBhcnNlLW5hbWVzIjpmYWxzZSwiZHJvcHBpbmctcGFydGljbGUiOiIiLCJub24tZHJvcHBpbmctcGFydGljbGUiOiIifSx7ImZhbWlseSI6IkthbHRhbmkiLCJnaXZlbiI6IkxpbmRhIiwicGFyc2UtbmFtZXMiOmZhbHNlLCJkcm9wcGluZy1wYXJ0aWNsZSI6IiIsIm5vbi1kcm9wcGluZy1wYXJ0aWNsZSI6IiJ9LHsiZmFtaWx5IjoiTG9heXphIiwiZ2l2ZW4iOiJOb3JtYW4iLCJwYXJzZS1uYW1lcyI6ZmFsc2UsImRyb3BwaW5nLXBhcnRpY2xlIjoiViIsIm5vbi1kcm9wcGluZy1wYXJ0aWNsZSI6IiJ9XSwiY29udGFpbmVyLXRpdGxlIjoiSm91cm5hbCBvZiBEZXZlbG9wbWVudCBFY29ub21pY3MiLCJjb250YWluZXItdGl0bGUtc2hvcnQiOiJKLiBEZXYuIEVjb24uIiwiRE9JIjoiaHR0cHM6Ly9kb2kub3JnLzEwLjEwMTYvai5qZGV2ZWNvLjIwMDguMDYuMDExIiwiSVNTTiI6IjAzMDQtMzg3OCIsIlVSTCI6Imh0dHBzOi8vd3d3LnNjaWVuY2VkaXJlY3QuY29tL3NjaWVuY2UvYXJ0aWNsZS9waWkvUzAzMDQzODc4MDgwMDA2NTUiLCJpc3N1ZWQiOnsiZGF0ZS1wYXJ0cyI6W1syMDA5XV19LCJwYWdlIjoiMzMtNDkiLCJhYnN0cmFjdCI6IlRoaXMgcGFwZXIgc3R1ZGllcyBob3cgdGhlIGVmZmVjdCBvZiB0cmFkZSBvcGVubmVzcyBvbiBlY29ub21pYyBncm93dGggbWF5IGRlcGVuZCBvbiBjb21wbGVtZW50YXJ5IHJlZm9ybXMgdGhhdCBoZWxwIGEgY291bnRyeSB0YWtlIGFkdmFudGFnZSBvZiBpbnRlcm5hdGlvbmFsIGNvbXBldGl0aW9uLiBUaGlzIGlzc3VlIGlzIGlsbHVzdHJhdGVkIHdpdGggYSBzaW1wbGUgSGFycmlz4oCTVG9kYXJvIG1vZGVsIHdoZXJlIHdlbGZhcmUgZ2FpbnMgYWZ0ZXIgdHJhZGUgb3Blbm5lc3MgZGVwZW5kIG9uIHRoZSBkZWdyZWUgb2YgbGFib3IgbWFya2V0IGZsZXhpYmlsaXR5LiBUaGUgcGFwZXIgdGhlbiBwcmVzZW50cyBjcm9zcy1jb3VudHJ5LCBwYW5lbC1kYXRhIGV2aWRlbmNlIG9uIGhvdyB0aGUgZ3Jvd3RoIGVmZmVjdCBvZiBvcGVubmVzcyBtYXkgZGVwZW5kIG9uIGEgdmFyaWV0eSBvZiBzdHJ1Y3R1cmFsIGNoYXJhY3RlcmlzdGljcy4gRm9yIHRoaXMgcHVycG9zZSwgdGhlIGVtcGlyaWNhbCBzZWN0aW9uIHVzZXMgYSBub24tbGluZWFyIGdyb3d0aCByZWdyZXNzaW9uIHNwZWNpZmljYXRpb24gdGhhdCBpbnRlcmFjdHMgYSBwcm94eSBvZiB0cmFkZSBvcGVubmVzcyB3aXRoIHByb3hpZXMgb2YgZWR1Y2F0aW9uYWwgaW52ZXN0bWVudCwgZmluYW5jaWFsIGRlcHRoLCBpbmZsYXRpb24gc3RhYmlsaXphdGlvbiwgcHVibGljIGluZnJhc3RydWN0dXJlLCBnb3Zlcm5hbmNlLCBsYWJvciBtYXJrZXQgZmxleGliaWxpdHksIGVhc2Ugb2YgZmlybSBlbnRyeSwgYW5kIGVhc2Ugb2YgZmlybSBleGl0LiBUaGUgcGFwZXIgY29uY2x1ZGVzIHRoYXQgdGhlIGdyb3d0aCBlZmZlY3RzIG9mIG9wZW5uZXNzIG1heSBiZSBzaWduaWZpY2FudGx5IGltcHJvdmVkIGlmIGNlcnRhaW4gY29tcGxlbWVudGFyeSByZWZvcm1zIGFyZSB1bmRlcnRha2VuLiIsImlzc3VlIjoiMSIsInZvbHVtZSI6IjkwIn0sImlzVGVtcG9yYXJ5IjpmYWxzZX1dfQ==&quot;,&quot;citationItems&quot;:[{&quot;id&quot;:&quot;91586075-488f-37b7-a582-8e7fa56bd717&quot;,&quot;itemData&quot;:{&quot;type&quot;:&quot;article-journal&quot;,&quot;id&quot;:&quot;91586075-488f-37b7-a582-8e7fa56bd717&quot;,&quot;title&quot;:&quot;Openness can be good for growth: The role of policy complementarities&quot;,&quot;author&quot;:[{&quot;family&quot;:&quot;Chang&quot;,&quot;given&quot;:&quot;Roberto&quot;,&quot;parse-names&quot;:false,&quot;dropping-particle&quot;:&quot;&quot;,&quot;non-dropping-particle&quot;:&quot;&quot;},{&quot;family&quot;:&quot;Kaltani&quot;,&quot;given&quot;:&quot;Linda&quot;,&quot;parse-names&quot;:false,&quot;dropping-particle&quot;:&quot;&quot;,&quot;non-dropping-particle&quot;:&quot;&quot;},{&quot;family&quot;:&quot;Loayza&quot;,&quot;given&quot;:&quot;Norman&quot;,&quot;parse-names&quot;:false,&quot;dropping-particle&quot;:&quot;V&quot;,&quot;non-dropping-particle&quot;:&quot;&quot;}],&quot;container-title&quot;:&quot;Journal of Development Economics&quot;,&quot;container-title-short&quot;:&quot;J. Dev. Econ.&quot;,&quot;DOI&quot;:&quot;https://doi.org/10.1016/j.jdeveco.2008.06.011&quot;,&quot;ISSN&quot;:&quot;0304-3878&quot;,&quot;URL&quot;:&quot;https://www.sciencedirect.com/science/article/pii/S0304387808000655&quot;,&quot;issued&quot;:{&quot;date-parts&quot;:[[2009]]},&quot;page&quot;:&quot;33-49&quot;,&quot;abstract&quot;:&quot;This paper studies how the effect of trade openness on economic growth may depend on complementary reforms that help a country take advantage of international competition. This issue is illustrated with a simple Harris–Todaro model where welfare gains after trade openness depend on the degree of labor market flexibility. The paper then presents cross-country, panel-data evidence on how the growth effect of openness may depend on a variety of structural characteristics. For this purpose, the empirical section uses a non-linear growth regression specification that interacts a proxy of trade openness with proxies of educational investment, financial depth, inflation stabilization, public infrastructure, governance, labor market flexibility, ease of firm entry, and ease of firm exit. The paper concludes that the growth effects of openness may be significantly improved if certain complementary reforms are undertaken.&quot;,&quot;issue&quot;:&quot;1&quot;,&quot;volume&quot;:&quot;90&quot;},&quot;isTemporary&quot;:false}]},{&quot;citationID&quot;:&quot;MENDELEY_CITATION_4c767c0e-8290-4c5f-94b9-3b79e06c77fb&quot;,&quot;properties&quot;:{&quot;noteIndex&quot;:0},&quot;isEdited&quot;:false,&quot;manualOverride&quot;:{&quot;isManuallyOverridden&quot;:false,&quot;citeprocText&quot;:&quot;[19]&quot;,&quot;manualOverrideText&quot;:&quot;&quot;},&quot;citationTag&quot;:&quot;MENDELEY_CITATION_v3_eyJjaXRhdGlvbklEIjoiTUVOREVMRVlfQ0lUQVRJT05fNGM3NjdjMGUtODI5MC00YzVmLTk0YjktM2I3OWUwNmM3N2ZiIiwicHJvcGVydGllcyI6eyJub3RlSW5kZXgiOjB9LCJpc0VkaXRlZCI6ZmFsc2UsIm1hbnVhbE92ZXJyaWRlIjp7ImlzTWFudWFsbHlPdmVycmlkZGVuIjpmYWxzZSwiY2l0ZXByb2NUZXh0IjoiWzE5XSIsIm1hbnVhbE92ZXJyaWRlVGV4dCI6IiJ9LCJjaXRhdGlvbkl0ZW1zIjpbeyJpZCI6IjAxODkxYmViLWY0NTUtM2Y3My04YjczLWRiZDkzNTg5OGM2OCIsIml0ZW1EYXRhIjp7InR5cGUiOiJhcnRpY2xlLWpvdXJuYWwiLCJpZCI6IjAxODkxYmViLWY0NTUtM2Y3My04YjczLWRiZDkzNTg5OGM2OCIsInRpdGxlIjoiQ3Jvc3MtQ291bnRyeSBIZXRlcm9nZW5laXR5IGFuZCB0aGUgVHJhZGUtSW5jb21lIFJlbGF0aW9uc2hpcCIsImF1dGhvciI6W3siZmFtaWx5IjoiSGVyemVyIiwiZ2l2ZW4iOiJEaWVyayIsInBhcnNlLW5hbWVzIjpmYWxzZSwiZHJvcHBpbmctcGFydGljbGUiOiIiLCJub24tZHJvcHBpbmctcGFydGljbGUiOiIifV0sImNvbnRhaW5lci10aXRsZSI6IkZJVywgRklXIFdvcmtpbmcgUGFwZXIgc2VyaWVzIiwiRE9JIjoiMTAuMTAxNi9qLndvcmxkZGV2LjIwMTIuMDkuMDE0IiwiaXNzdWVkIjp7ImRhdGUtcGFydHMiOltbMjAxMyw0LDFdXX0sInZvbHVtZSI6IjQ0IiwiY29udGFpbmVyLXRpdGxlLXNob3J0IjoiIn0sImlzVGVtcG9yYXJ5IjpmYWxzZSwic3VwcHJlc3MtYXV0aG9yIjpmYWxzZSwiY29tcG9zaXRlIjpmYWxzZSwiYXV0aG9yLW9ubHkiOmZhbHNlfV19&quot;,&quot;citationItems&quot;:[{&quot;id&quot;:&quot;01891beb-f455-3f73-8b73-dbd935898c68&quot;,&quot;itemData&quot;:{&quot;type&quot;:&quot;article-journal&quot;,&quot;id&quot;:&quot;01891beb-f455-3f73-8b73-dbd935898c68&quot;,&quot;title&quot;:&quot;Cross-Country Heterogeneity and the Trade-Income Relationship&quot;,&quot;author&quot;:[{&quot;family&quot;:&quot;Herzer&quot;,&quot;given&quot;:&quot;Dierk&quot;,&quot;parse-names&quot;:false,&quot;dropping-particle&quot;:&quot;&quot;,&quot;non-dropping-particle&quot;:&quot;&quot;}],&quot;container-title&quot;:&quot;FIW, FIW Working Paper series&quot;,&quot;DOI&quot;:&quot;10.1016/j.worlddev.2012.09.014&quot;,&quot;issued&quot;:{&quot;date-parts&quot;:[[2013,4,1]]},&quot;volume&quot;:&quot;44&quot;,&quot;container-title-short&quot;:&quot;&quot;},&quot;isTemporary&quot;:false,&quot;suppress-author&quot;:false,&quot;composite&quot;:false,&quot;author-only&quot;:false}]},{&quot;citationID&quot;:&quot;MENDELEY_CITATION_fc3ff1c7-b00e-42f7-b6a5-0ae704f3eaee&quot;,&quot;properties&quot;:{&quot;noteIndex&quot;:0},&quot;isEdited&quot;:false,&quot;manualOverride&quot;:{&quot;isManuallyOverridden&quot;:false,&quot;citeprocText&quot;:&quot;[20]&quot;,&quot;manualOverrideText&quot;:&quot;&quot;},&quot;citationTag&quot;:&quot;MENDELEY_CITATION_v3_eyJjaXRhdGlvbklEIjoiTUVOREVMRVlfQ0lUQVRJT05fZmMzZmYxYzctYjAwZS00MmY3LWI2YTUtMGFlNzA0ZjNlYWVlIiwicHJvcGVydGllcyI6eyJub3RlSW5kZXgiOjB9LCJpc0VkaXRlZCI6ZmFsc2UsIm1hbnVhbE92ZXJyaWRlIjp7ImlzTWFudWFsbHlPdmVycmlkZGVuIjpmYWxzZSwiY2l0ZXByb2NUZXh0IjoiWzIwXSIsIm1hbnVhbE92ZXJyaWRlVGV4dCI6IiJ9LCJjaXRhdGlvbkl0ZW1zIjpbeyJpZCI6ImU5N2FmMjc5LTZlMWMtM2JlMC1hMzQyLTM2MTliZmZmZGJiZSIsIml0ZW1EYXRhIjp7InR5cGUiOiJhcnRpY2xlLWpvdXJuYWwiLCJpZCI6ImU5N2FmMjc5LTZlMWMtM2JlMC1hMzQyLTM2MTliZmZmZGJiZSIsInRpdGxlIjoiVGhlIEVmZmVjdCBvZiBGaW5hbmNpYWwgRGV2ZWxvcG1lbnQgb24gQ29udmVyZ2VuY2U6IFRoZW9yeSBhbmQgRXZpZGVuY2UiLCJhdXRob3IiOlt7ImZhbWlseSI6Ikhvd2l0dCIsImdpdmVuIjoiUGV0ZXIiLCJwYXJzZS1uYW1lcyI6ZmFsc2UsImRyb3BwaW5nLXBhcnRpY2xlIjoiIiwibm9uLWRyb3BwaW5nLXBhcnRpY2xlIjoiIn0seyJmYW1pbHkiOiJBZ2hpb24iLCJnaXZlbiI6IlBoaWxpcHBlIiwicGFyc2UtbmFtZXMiOmZhbHNlLCJkcm9wcGluZy1wYXJ0aWNsZSI6IiIsIm5vbi1kcm9wcGluZy1wYXJ0aWNsZSI6IiJ9LHsiZmFtaWx5IjoiTWF5ZXItRm91bGtlcyIsImdpdmVuIjoiRGF2aWQiLCJwYXJzZS1uYW1lcyI6ZmFsc2UsImRyb3BwaW5nLXBhcnRpY2xlIjoiIiwibm9uLWRyb3BwaW5nLXBhcnRpY2xlIjoiIn1dLCJjb250YWluZXItdGl0bGUiOiJUaGUgUXVhcnRlcmx5IEpvdXJuYWwgb2YgRWNvbm9taWNzIiwiY29udGFpbmVyLXRpdGxlLXNob3J0IjoiUS4gSi4gRWNvbi4iLCJET0kiOiIxMC4xMTYyL3FqZWMuMjAwNS4xMjAuMS4xNzMiLCJpc3N1ZWQiOnsiZGF0ZS1wYXJ0cyI6W1syMDA1LDIsMV1dfSwicGFnZSI6IjE3My0yMjIiLCJ2b2x1bWUiOiIxMjAifSwiaXNUZW1wb3JhcnkiOmZhbHNlLCJzdXBwcmVzcy1hdXRob3IiOmZhbHNlLCJjb21wb3NpdGUiOmZhbHNlLCJhdXRob3Itb25seSI6ZmFsc2V9XX0=&quot;,&quot;citationItems&quot;:[{&quot;id&quot;:&quot;e97af279-6e1c-3be0-a342-3619bfffdbbe&quot;,&quot;itemData&quot;:{&quot;type&quot;:&quot;article-journal&quot;,&quot;id&quot;:&quot;e97af279-6e1c-3be0-a342-3619bfffdbbe&quot;,&quot;title&quot;:&quot;The Effect of Financial Development on Convergence: Theory and Evidence&quot;,&quot;author&quot;:[{&quot;family&quot;:&quot;Howitt&quot;,&quot;given&quot;:&quot;Peter&quot;,&quot;parse-names&quot;:false,&quot;dropping-particle&quot;:&quot;&quot;,&quot;non-dropping-particle&quot;:&quot;&quot;},{&quot;family&quot;:&quot;Aghion&quot;,&quot;given&quot;:&quot;Philippe&quot;,&quot;parse-names&quot;:false,&quot;dropping-particle&quot;:&quot;&quot;,&quot;non-dropping-particle&quot;:&quot;&quot;},{&quot;family&quot;:&quot;Mayer-Foulkes&quot;,&quot;given&quot;:&quot;David&quot;,&quot;parse-names&quot;:false,&quot;dropping-particle&quot;:&quot;&quot;,&quot;non-dropping-particle&quot;:&quot;&quot;}],&quot;container-title&quot;:&quot;The Quarterly Journal of Economics&quot;,&quot;container-title-short&quot;:&quot;Q. J. Econ.&quot;,&quot;DOI&quot;:&quot;10.1162/qjec.2005.120.1.173&quot;,&quot;issued&quot;:{&quot;date-parts&quot;:[[2005,2,1]]},&quot;page&quot;:&quot;173-222&quot;,&quot;volume&quot;:&quot;120&quot;},&quot;isTemporary&quot;:false,&quot;suppress-author&quot;:false,&quot;composite&quot;:false,&quot;author-only&quot;:false}]},{&quot;citationID&quot;:&quot;MENDELEY_CITATION_ab4c0d84-89f3-4168-987a-2caf356104f1&quot;,&quot;properties&quot;:{&quot;noteIndex&quot;:0},&quot;isEdited&quot;:false,&quot;manualOverride&quot;:{&quot;isManuallyOverridden&quot;:false,&quot;citeprocText&quot;:&quot;[21], [22]&quot;,&quot;manualOverrideText&quot;:&quot;&quot;},&quot;citationTag&quot;:&quot;MENDELEY_CITATION_v3_eyJjaXRhdGlvbklEIjoiTUVOREVMRVlfQ0lUQVRJT05fYWI0YzBkODQtODlmMy00MTY4LTk4N2EtMmNhZjM1NjEwNGYxIiwicHJvcGVydGllcyI6eyJub3RlSW5kZXgiOjB9LCJpc0VkaXRlZCI6ZmFsc2UsIm1hbnVhbE92ZXJyaWRlIjp7ImlzTWFudWFsbHlPdmVycmlkZGVuIjpmYWxzZSwiY2l0ZXByb2NUZXh0IjoiWzIxXSwgWzIyXSIsIm1hbnVhbE92ZXJyaWRlVGV4dCI6IiJ9LCJjaXRhdGlvbkl0ZW1zIjpbeyJpZCI6IjM4M2U1MGMxLTY1ZWItMzdmMy1iMzczLTU5OTlmZjRiOTAzOCIsIml0ZW1EYXRhIjp7InR5cGUiOiJhcnRpY2xlLWpvdXJuYWwiLCJpZCI6IjM4M2U1MGMxLTY1ZWItMzdmMy1iMzczLTU5OTlmZjRiOTAzOCIsInRpdGxlIjoiSG93IHRyYWRlIG9wZW5uZXNzIGluZmx1ZW5jZWQgZWNvbm9taWMgZ3Jvd3RoIGluIEluZGlhOiBBbiBlbXBpcmljYWwgaW52ZXN0aWdhdGlvbiIsImF1dGhvciI6W3siZmFtaWx5IjoiU2VuZ3VwdGEiLCJnaXZlbiI6IlN3YXBuYW5pbCIsInBhcnNlLW5hbWVzIjpmYWxzZSwiZHJvcHBpbmctcGFydGljbGUiOiIiLCJub24tZHJvcHBpbmctcGFydGljbGUiOiIifV0sImNvbnRhaW5lci10aXRsZSI6IkluZGlhbiBKb3VybmFsIG9mIEVjb25vbWljcyBhbmQgRGV2ZWxvcG1lbnQiLCJjb250YWluZXItdGl0bGUtc2hvcnQiOiJJbmRpYW4gSi4gRWNvbi4gRGV2LiIsIkRPSSI6IjEwLjE3NDg1L0lKRUQvdjguMjEiLCJpc3N1ZWQiOnsiZGF0ZS1wYXJ0cyI6W1syMDIwLDksMjZdXX0sInBhZ2UiOiIxLTE0In0sImlzVGVtcG9yYXJ5IjpmYWxzZSwic3VwcHJlc3MtYXV0aG9yIjpmYWxzZSwiY29tcG9zaXRlIjpmYWxzZSwiYXV0aG9yLW9ubHkiOmZhbHNlfSx7ImlkIjoiY2Y1OTMzYmYtOTIyNi0zOWJkLWJhMTQtMTA2OWNjNDE1NDZlIiwiaXRlbURhdGEiOnsidHlwZSI6ImFydGljbGUtam91cm5hbCIsImlkIjoiY2Y1OTMzYmYtOTIyNi0zOWJkLWJhMTQtMTA2OWNjNDE1NDZlIiwidGl0bGUiOiJBbiBBcHByYWlzYWwgb2YgdGhlIEltcGFjdCBvZiBJbnRlcm5hdGlvbmFsIFRyYWRlIG9uIEVjb25vbWljIEdyb3d0aCBvZiBJbmRpYS0gdGhyb3VnaCB0aGUgQVJETCBBcHByb2FjaCIsImF1dGhvciI6W3siZmFtaWx5IjoiUmFnaHVyYW1hcGF0cnVuaSIsImdpdmVuIjoiUmFkaGEiLCJwYXJzZS1uYW1lcyI6ZmFsc2UsImRyb3BwaW5nLXBhcnRpY2xlIjoiIiwibm9uLWRyb3BwaW5nLXBhcnRpY2xlIjoiIn0seyJmYW1pbHkiOiJSZWRkeSIsImdpdmVuIjoiViBTdXJ5YSBDaGFpdGFueWEiLCJwYXJzZS1uYW1lcyI6ZmFsc2UsImRyb3BwaW5nLXBhcnRpY2xlIjoiIiwibm9uLWRyb3BwaW5nLXBhcnRpY2xlIjoiIn1dLCJjb250YWluZXItdGl0bGUiOiJJbnRlcm5hdGlvbmFsIEpvdXJuYWwgb2YgRWNvbm9taWNzIGFuZCBCdXNpbmVzcyBBZG1pbmlzdHJhdGlvbiIsImlzc3VlZCI6eyJkYXRlLXBhcnRzIjpbWzIwMjBdXX0sInBhZ2UiOiIzNzYtMzg3IiwicHVibGlzaGVyIjoiSW50ZXJuYXRpb25hbCBKb3VybmFsIG9mIEVjb25vbWljcyBhbmQgQnVzaW5lc3MgQWRtaW5pc3RyYXRpb24iLCJpc3N1ZSI6IjIiLCJ2b2x1bWUiOiJWSUlJIn0sImlzVGVtcG9yYXJ5IjpmYWxzZX1dfQ==&quot;,&quot;citationItems&quot;:[{&quot;id&quot;:&quot;383e50c1-65eb-37f3-b373-5999ff4b9038&quot;,&quot;itemData&quot;:{&quot;type&quot;:&quot;article-journal&quot;,&quot;id&quot;:&quot;383e50c1-65eb-37f3-b373-5999ff4b9038&quot;,&quot;title&quot;:&quot;How trade openness influenced economic growth in India: An empirical investigation&quot;,&quot;author&quot;:[{&quot;family&quot;:&quot;Sengupta&quot;,&quot;given&quot;:&quot;Swapnanil&quot;,&quot;parse-names&quot;:false,&quot;dropping-particle&quot;:&quot;&quot;,&quot;non-dropping-particle&quot;:&quot;&quot;}],&quot;container-title&quot;:&quot;Indian Journal of Economics and Development&quot;,&quot;container-title-short&quot;:&quot;Indian J. Econ. Dev.&quot;,&quot;DOI&quot;:&quot;10.17485/IJED/v8.21&quot;,&quot;issued&quot;:{&quot;date-parts&quot;:[[2020,9,26]]},&quot;page&quot;:&quot;1-14&quot;},&quot;isTemporary&quot;:false,&quot;suppress-author&quot;:false,&quot;composite&quot;:false,&quot;author-only&quot;:false},{&quot;id&quot;:&quot;cf5933bf-9226-39bd-ba14-1069cc41546e&quot;,&quot;itemData&quot;:{&quot;type&quot;:&quot;article-journal&quot;,&quot;id&quot;:&quot;cf5933bf-9226-39bd-ba14-1069cc41546e&quot;,&quot;title&quot;:&quot;An Appraisal of the Impact of International Trade on Economic Growth of India- through the ARDL Approach&quot;,&quot;author&quot;:[{&quot;family&quot;:&quot;Raghuramapatruni&quot;,&quot;given&quot;:&quot;Radha&quot;,&quot;parse-names&quot;:false,&quot;dropping-particle&quot;:&quot;&quot;,&quot;non-dropping-particle&quot;:&quot;&quot;},{&quot;family&quot;:&quot;Reddy&quot;,&quot;given&quot;:&quot;V Surya Chaitanya&quot;,&quot;parse-names&quot;:false,&quot;dropping-particle&quot;:&quot;&quot;,&quot;non-dropping-particle&quot;:&quot;&quot;}],&quot;container-title&quot;:&quot;International Journal of Economics and Business Administration&quot;,&quot;issued&quot;:{&quot;date-parts&quot;:[[2020]]},&quot;page&quot;:&quot;376-387&quot;,&quot;publisher&quot;:&quot;International Journal of Economics and Business Administration&quot;,&quot;issue&quot;:&quot;2&quot;,&quot;volume&quot;:&quot;VIII&quot;},&quot;isTemporary&quot;:false}]},{&quot;citationID&quot;:&quot;MENDELEY_CITATION_458872f0-b154-4747-a070-e5087473a502&quot;,&quot;properties&quot;:{&quot;noteIndex&quot;:0},&quot;isEdited&quot;:false,&quot;manualOverride&quot;:{&quot;isManuallyOverridden&quot;:false,&quot;citeprocText&quot;:&quot;[23]&quot;,&quot;manualOverrideText&quot;:&quot;&quot;},&quot;citationTag&quot;:&quot;MENDELEY_CITATION_v3_eyJjaXRhdGlvbklEIjoiTUVOREVMRVlfQ0lUQVRJT05fNDU4ODcyZjAtYjE1NC00NzQ3LWEwNzAtZTUwODc0NzNhNTAyIiwicHJvcGVydGllcyI6eyJub3RlSW5kZXgiOjB9LCJpc0VkaXRlZCI6ZmFsc2UsIm1hbnVhbE92ZXJyaWRlIjp7ImlzTWFudWFsbHlPdmVycmlkZGVuIjpmYWxzZSwiY2l0ZXByb2NUZXh0IjoiWzIzXSIsIm1hbnVhbE92ZXJyaWRlVGV4dCI6IiJ9LCJjaXRhdGlvbkl0ZW1zIjpbeyJpZCI6IjI5ODM2ZWM4LTZiNmQtMzZjNi1iNGEyLTRmYWIyMzZlZWQwNyIsIml0ZW1EYXRhIjp7InR5cGUiOiJhcnRpY2xlLWpvdXJuYWwiLCJpZCI6IjI5ODM2ZWM4LTZiNmQtMzZjNi1iNGEyLTRmYWIyMzZlZWQwNyIsInRpdGxlIjoiVHJhZGUgT3Blbm5lc3MsIENhcGl0YWwgRm9ybWF0aW9uLCBhbmQgRWNvbm9taWMgR3Jvd3RoOiBFbXBpcmljYWwgRXZpZGVuY2UgZnJvbSBJbmRpYSIsImF1dGhvciI6W3siZmFtaWx5IjoiV2FuaSIsImdpdmVuIjoiU3VhZGF0IiwicGFyc2UtbmFtZXMiOmZhbHNlLCJkcm9wcGluZy1wYXJ0aWNsZSI6IiIsIm5vbi1kcm9wcGluZy1wYXJ0aWNsZSI6IiJ9XSwiY29udGFpbmVyLXRpdGxlIjoiRXVyYXNpYW4gSm91cm5hbCBvZiBCdXNpbmVzcyBhbmQgRWNvbm9taWNzIiwiRE9JIjoiMTAuMTcwMTUvZWpiZS4yMDIyLjAyOS4wMyIsImlzc3VlZCI6eyJkYXRlLXBhcnRzIjpbWzIwMjIsNSwzMF1dfSwicGFnZSI6IjM2LTQ5Iiwidm9sdW1lIjoiMTUiLCJjb250YWluZXItdGl0bGUtc2hvcnQiOiIifSwiaXNUZW1wb3JhcnkiOmZhbHNlfV19&quot;,&quot;citationItems&quot;:[{&quot;id&quot;:&quot;29836ec8-6b6d-36c6-b4a2-4fab236eed07&quot;,&quot;itemData&quot;:{&quot;type&quot;:&quot;article-journal&quot;,&quot;id&quot;:&quot;29836ec8-6b6d-36c6-b4a2-4fab236eed07&quot;,&quot;title&quot;:&quot;Trade Openness, Capital Formation, and Economic Growth: Empirical Evidence from India&quot;,&quot;author&quot;:[{&quot;family&quot;:&quot;Wani&quot;,&quot;given&quot;:&quot;Suadat&quot;,&quot;parse-names&quot;:false,&quot;dropping-particle&quot;:&quot;&quot;,&quot;non-dropping-particle&quot;:&quot;&quot;}],&quot;container-title&quot;:&quot;Eurasian Journal of Business and Economics&quot;,&quot;DOI&quot;:&quot;10.17015/ejbe.2022.029.03&quot;,&quot;issued&quot;:{&quot;date-parts&quot;:[[2022,5,30]]},&quot;page&quot;:&quot;36-49&quot;,&quot;volume&quot;:&quot;15&quot;,&quot;container-title-short&quot;:&quot;&quot;},&quot;isTemporary&quot;:false}]},{&quot;citationID&quot;:&quot;MENDELEY_CITATION_4c520574-cd70-446b-8200-649909d85c5c&quot;,&quot;properties&quot;:{&quot;noteIndex&quot;:0},&quot;isEdited&quot;:false,&quot;manualOverride&quot;:{&quot;isManuallyOverridden&quot;:false,&quot;citeprocText&quot;:&quot;[24]&quot;,&quot;manualOverrideText&quot;:&quot;&quot;},&quot;citationTag&quot;:&quot;MENDELEY_CITATION_v3_eyJjaXRhdGlvbklEIjoiTUVOREVMRVlfQ0lUQVRJT05fNGM1MjA1NzQtY2Q3MC00NDZiLTgyMDAtNjQ5OTA5ZDg1YzVjIiwicHJvcGVydGllcyI6eyJub3RlSW5kZXgiOjB9LCJpc0VkaXRlZCI6ZmFsc2UsIm1hbnVhbE92ZXJyaWRlIjp7ImlzTWFudWFsbHlPdmVycmlkZGVuIjpmYWxzZSwiY2l0ZXByb2NUZXh0IjoiWzI0XSIsIm1hbnVhbE92ZXJyaWRlVGV4dCI6IiJ9LCJjaXRhdGlvbkl0ZW1zIjpbeyJpZCI6IjRhOGNkNGE3LTBlY2MtMzhmNC04NDQ0LTg0MDU2YjQzMDRmZCIsIml0ZW1EYXRhIjp7InR5cGUiOiJhcnRpY2xlLWpvdXJuYWwiLCJpZCI6IjRhOGNkNGE3LTBlY2MtMzhmNC04NDQ0LTg0MDU2YjQzMDRmZCIsInRpdGxlIjoiUm9sZSBvZiBJbnN0aXR1dGlvbmFsIFF1YWxpdHkgaW4gVHJhZGUgT3Blbm5lc3MgYW5kIEVjb25vbWljIEdyb3d0aCBOZXh1czogRW1waXJpY2FsIEV2aWRlbmNlIGZyb20gSW5kaWEiLCJhdXRob3IiOlt7ImZhbWlseSI6IldhbmkiLCJnaXZlbiI6IlN1YWRhdCIsInBhcnNlLW5hbWVzIjpmYWxzZSwiZHJvcHBpbmctcGFydGljbGUiOiIiLCJub24tZHJvcHBpbmctcGFydGljbGUiOiIifSx7ImZhbWlseSI6Illhc21pbiIsImdpdmVuIjoiRWZmYXQiLCJwYXJzZS1uYW1lcyI6ZmFsc2UsImRyb3BwaW5nLXBhcnRpY2xlIjoiIiwibm9uLWRyb3BwaW5nLXBhcnRpY2xlIjoiIn0seyJmYW1pbHkiOiJTb3VkYWdlciIsImdpdmVuIjoiTW9oYW1tZWQgQXl1YiIsInBhcnNlLW5hbWVzIjpmYWxzZSwiZHJvcHBpbmctcGFydGljbGUiOiIiLCJub24tZHJvcHBpbmctcGFydGljbGUiOiIifV0sImNvbnRhaW5lci10aXRsZSI6IlN0YXRpc3Rpa2E6IFN0YXRpc3RpY3MgYW5kIEVjb25vbXkgSm91cm5hbCIsIkRPSSI6IjEwLjU0Njk0L3N0YXQuMjAyMy4yIiwiaXNzdWVkIjp7ImRhdGUtcGFydHMiOltbMjAyMyw2LDE2XV19LCJwYWdlIjoiMTgwLTE5NyIsInZvbHVtZSI6IjEwMyIsImNvbnRhaW5lci10aXRsZS1zaG9ydCI6IiJ9LCJpc1RlbXBvcmFyeSI6ZmFsc2V9XX0=&quot;,&quot;citationItems&quot;:[{&quot;id&quot;:&quot;4a8cd4a7-0ecc-38f4-8444-84056b4304fd&quot;,&quot;itemData&quot;:{&quot;type&quot;:&quot;article-journal&quot;,&quot;id&quot;:&quot;4a8cd4a7-0ecc-38f4-8444-84056b4304fd&quot;,&quot;title&quot;:&quot;Role of Institutional Quality in Trade Openness and Economic Growth Nexus: Empirical Evidence from India&quot;,&quot;author&quot;:[{&quot;family&quot;:&quot;Wani&quot;,&quot;given&quot;:&quot;Suadat&quot;,&quot;parse-names&quot;:false,&quot;dropping-particle&quot;:&quot;&quot;,&quot;non-dropping-particle&quot;:&quot;&quot;},{&quot;family&quot;:&quot;Yasmin&quot;,&quot;given&quot;:&quot;Effat&quot;,&quot;parse-names&quot;:false,&quot;dropping-particle&quot;:&quot;&quot;,&quot;non-dropping-particle&quot;:&quot;&quot;},{&quot;family&quot;:&quot;Soudager&quot;,&quot;given&quot;:&quot;Mohammed Ayub&quot;,&quot;parse-names&quot;:false,&quot;dropping-particle&quot;:&quot;&quot;,&quot;non-dropping-particle&quot;:&quot;&quot;}],&quot;container-title&quot;:&quot;Statistika: Statistics and Economy Journal&quot;,&quot;DOI&quot;:&quot;10.54694/stat.2023.2&quot;,&quot;issued&quot;:{&quot;date-parts&quot;:[[2023,6,16]]},&quot;page&quot;:&quot;180-197&quot;,&quot;volume&quot;:&quot;103&quot;,&quot;container-title-short&quot;:&quot;&quot;},&quot;isTemporary&quot;:false}]},{&quot;citationID&quot;:&quot;MENDELEY_CITATION_4004ba43-2144-4eb3-8817-f5706c699f2b&quot;,&quot;properties&quot;:{&quot;noteIndex&quot;:0},&quot;isEdited&quot;:false,&quot;manualOverride&quot;:{&quot;isManuallyOverridden&quot;:false,&quot;citeprocText&quot;:&quot;[25]&quot;,&quot;manualOverrideText&quot;:&quot;&quot;},&quot;citationTag&quot;:&quot;MENDELEY_CITATION_v3_eyJjaXRhdGlvbklEIjoiTUVOREVMRVlfQ0lUQVRJT05fNDAwNGJhNDMtMjE0NC00ZWIzLTg4MTctZjU3MDZjNjk5ZjJiIiwicHJvcGVydGllcyI6eyJub3RlSW5kZXgiOjB9LCJpc0VkaXRlZCI6ZmFsc2UsIm1hbnVhbE92ZXJyaWRlIjp7ImlzTWFudWFsbHlPdmVycmlkZGVuIjpmYWxzZSwiY2l0ZXByb2NUZXh0IjoiWzI1XSIsIm1hbnVhbE92ZXJyaWRlVGV4dCI6IiJ9LCJjaXRhdGlvbkl0ZW1zIjpbeyJpZCI6IjQwOWU0OTFkLWQ1YjQtM2RkNC04OGM4LTc5MDIzYTdiZTczNSIsIml0ZW1EYXRhIjp7InR5cGUiOiJhcnRpY2xlLWpvdXJuYWwiLCJpZCI6IjQwOWU0OTFkLWQ1YjQtM2RkNC04OGM4LTc5MDIzYTdiZTczNSIsInRpdGxlIjoiUmVsYXRpb25zaGlwIE9mIEdkcCBHcm93dGggUmF0ZSwgVHJhZGUgT3Blbm5lc3MgQW5kIFJlYWwgRXhjaGFuZ2UgUmF0ZSBJbiBJbmRpYTogQW4gQW5hbHlzaXMgVGhyb3VnaCBBdXRvIFJlZ3Jlc3NpdmUgRGlzdHJpYnV0b3IgTGFnIChBcmRsKSBNb2RlbCIsImF1dGhvciI6W3siZmFtaWx5IjoiUm95IENob3dkaHVyeSIsImdpdmVuIjoiUGl5YWxpIiwicGFyc2UtbmFtZXMiOmZhbHNlLCJkcm9wcGluZy1wYXJ0aWNsZSI6IiIsIm5vbi1kcm9wcGluZy1wYXJ0aWNsZSI6IiJ9XSwiY29udGFpbmVyLXRpdGxlIjoiSm91cm5hbCBvZiBJbmZvcm1hdGljcyBFZHVjYXRpb24gYW5kIFJlc2VhcmNoIiwiRE9JIjoiMTAuNTI3ODMvamllci52NWkyLjMxMDEiLCJpc3N1ZWQiOnsiZGF0ZS1wYXJ0cyI6W1syMDI1LDcsMV1dfSwidm9sdW1lIjoiNSIsImNvbnRhaW5lci10aXRsZS1zaG9ydCI6IiJ9LCJpc1RlbXBvcmFyeSI6ZmFsc2UsInN1cHByZXNzLWF1dGhvciI6ZmFsc2UsImNvbXBvc2l0ZSI6ZmFsc2UsImF1dGhvci1vbmx5IjpmYWxzZX1dfQ==&quot;,&quot;citationItems&quot;:[{&quot;id&quot;:&quot;409e491d-d5b4-3dd4-88c8-79023a7be735&quot;,&quot;itemData&quot;:{&quot;type&quot;:&quot;article-journal&quot;,&quot;id&quot;:&quot;409e491d-d5b4-3dd4-88c8-79023a7be735&quot;,&quot;title&quot;:&quot;Relationship Of Gdp Growth Rate, Trade Openness And Real Exchange Rate In India: An Analysis Through Auto Regressive Distributor Lag (Ardl) Model&quot;,&quot;author&quot;:[{&quot;family&quot;:&quot;Roy Chowdhury&quot;,&quot;given&quot;:&quot;Piyali&quot;,&quot;parse-names&quot;:false,&quot;dropping-particle&quot;:&quot;&quot;,&quot;non-dropping-particle&quot;:&quot;&quot;}],&quot;container-title&quot;:&quot;Journal of Informatics Education and Research&quot;,&quot;DOI&quot;:&quot;10.52783/jier.v5i2.3101&quot;,&quot;issued&quot;:{&quot;date-parts&quot;:[[2025,7,1]]},&quot;volume&quot;:&quot;5&quot;,&quot;container-title-short&quot;:&quot;&quot;},&quot;isTemporary&quot;:false,&quot;suppress-author&quot;:false,&quot;composite&quot;:false,&quot;author-only&quot;:false}]},{&quot;citationID&quot;:&quot;MENDELEY_CITATION_5d29a794-95d6-41c5-90c9-875ef907fa2f&quot;,&quot;properties&quot;:{&quot;noteIndex&quot;:0},&quot;isEdited&quot;:false,&quot;manualOverride&quot;:{&quot;isManuallyOverridden&quot;:false,&quot;citeprocText&quot;:&quot;[26]&quot;,&quot;manualOverrideText&quot;:&quot;&quot;},&quot;citationTag&quot;:&quot;MENDELEY_CITATION_v3_eyJjaXRhdGlvbklEIjoiTUVOREVMRVlfQ0lUQVRJT05fNWQyOWE3OTQtOTVkNi00MWM1LTkwYzktODc1ZWY5MDdmYTJmIiwicHJvcGVydGllcyI6eyJub3RlSW5kZXgiOjB9LCJpc0VkaXRlZCI6ZmFsc2UsIm1hbnVhbE92ZXJyaWRlIjp7ImlzTWFudWFsbHlPdmVycmlkZGVuIjpmYWxzZSwiY2l0ZXByb2NUZXh0IjoiWzI2XSIsIm1hbnVhbE92ZXJyaWRlVGV4dCI6IiJ9LCJjaXRhdGlvbkl0ZW1zIjpbeyJpZCI6ImViM2RjOTc5LWI1ZmQtM2Q0Ny05ZDQyLTZmNDc1MjVkOGRkMyIsIml0ZW1EYXRhIjp7InR5cGUiOiJhcnRpY2xlLWpvdXJuYWwiLCJpZCI6ImViM2RjOTc5LWI1ZmQtM2Q0Ny05ZDQyLTZmNDc1MjVkOGRkMyIsInRpdGxlIjoiRm9yZWlnbiBkaXJlY3QgaW52ZXN0bWVudCwgdHJhZGUgb3Blbm5lc3MgYW5kIGVjb25vbWljIGdyb3d0aCBpbiBCUklDUyBjb3VudHJpZXM6IGV2aWRlbmNlcyBmcm9tIHBhbmVsIGRhdGEiLCJhdXRob3IiOlt7ImZhbWlseSI6IkJhbmRheSIsImdpdmVuIjoiVW1lciBKZWVsYW5pZSIsInBhcnNlLW5hbWVzIjpmYWxzZSwiZHJvcHBpbmctcGFydGljbGUiOiIiLCJub24tZHJvcHBpbmctcGFydGljbGUiOiIifSx7ImZhbWlseSI6Ik11cnVnYW4iLCJnaXZlbiI6IlNhcmF2YW5hbiIsInBhcnNlLW5hbWVzIjpmYWxzZSwiZHJvcHBpbmctcGFydGljbGUiOiIiLCJub24tZHJvcHBpbmctcGFydGljbGUiOiIifSx7ImZhbWlseSI6Ik1hcnlhbSIsImdpdmVuIjoiSmF2ZXJpYSIsInBhcnNlLW5hbWVzIjpmYWxzZSwiZHJvcHBpbmctcGFydGljbGUiOiIiLCJub24tZHJvcHBpbmctcGFydGljbGUiOiIifV0sImNvbnRhaW5lci10aXRsZSI6IlRyYW5zbmF0aW9uYWwgQ29ycG9yYXRpb25zIFJldmlldyIsIkRPSSI6Imh0dHBzOi8vZG9pLm9yZy8xMC4xMDgwLzE5MTg2NDQ0LjIwMjAuMTg1MTE2MiIsIklTU04iOiIxOTI1LTIwOTkiLCJVUkwiOiJodHRwczovL3d3dy5zY2llbmNlZGlyZWN0LmNvbS9zY2llbmNlL2FydGljbGUvcGlpL1MxOTI1MjA5OTI0MDAyODFYIiwiaXNzdWVkIjp7ImRhdGUtcGFydHMiOltbMjAyMV1dfSwicGFnZSI6IjIxMS0yMjEiLCJhYnN0cmFjdCI6IkluIHRoaXMgcGFwZXIgd2UgaW52ZXN0aWdhdGUgdGhlIGNhdXNhbCByZWxhdGlvbnNoaXAgYmV0d2VlbiBmb3JlaWduIGRpcmVjdCBpbnZlc3RtZW50LCB0cmFkZSBvcGVubmVzcyBhbmQgZ3Jvc3MgZG9tZXN0aWMgcHJvZHVjdCBpbiBCUklDUyBjb3VudHJpZXMgb3ZlciB0aGUgcGVyaW9kIG9mIDE5OTDigJMyMDE4LiBXZSBhcHBsaWVkIGF1dG8gcmVncmVzc2l2ZSBkaXN0cmlidXRlZCBsYWcgbW9kZWwgdG8gdGVzdCBjb2ludGVncmF0aW9uIGFuZCB0aGUgRHVtaXRyZXNjdSBhbmQgSHVybGluIEdyYW5nZXIgY2F1c2FsaXR5IHRlc3RzLiBFbXBpcmljYWwgcmVzdWx0cyBzaG93IHRoYXQgRkRJIGFuZCB0cmFkZSBvcGVubmVzcyBoYXZlIGEgcG9zaXRpdmUgaW1wYWN0IG9uIGxvbmctdGVybSBlY29ub21pYyBncm93dGguIFdlIGFsc28gZmluZCB0aGVyZSBpcyBhIGxvbmctcnVuIHJlbGF0aW9uc2hpcCBmcm9tIGJvdGggcmVhbCBlZmZlY3RpdmUgZXhjaGFuZ2UgcmF0ZSBhbmQgZ3Jvc3MgY2FwaXRhbCBmb3JtYXRpb24gdG8gZWNvbm9taWMgZ3Jvd3RoLiBUaGUgbWFpbiByZXN1bHRzIG9mIGNhdXNhbGl0eSBhbmFseXNpcyByZXZlYWwgdGhhdCB0aGVyZSBpcyBiaWRpcmVjdGlvbmFsIGNhdXNhbGl0eSBmcm9tIGZvcmVpZ24gZGlyZWN0IGludmVzdG1lbnQgdG8gZWNvbm9taWMgZ3Jvd3RoLCB0cmFkZSBvcGVubmVzcyB0byBmb3JlaWduIGRpcmVjdCBpbnZlc3RtZW50LCBhbmQgdW5pZGlyZWN0aW9uYWwgY2F1c2FsaXR5IGZyb20gdHJhZGUgb3Blbm5lc3MgdG8gZm9yZWlnbiBkaXJlY3QgaW52ZXN0bWVudC4iLCJpc3N1ZSI6IjIiLCJ2b2x1bWUiOiIxMyIsImNvbnRhaW5lci10aXRsZS1zaG9ydCI6IiJ9LCJpc1RlbXBvcmFyeSI6ZmFsc2UsInN1cHByZXNzLWF1dGhvciI6ZmFsc2UsImNvbXBvc2l0ZSI6ZmFsc2UsImF1dGhvci1vbmx5IjpmYWxzZX1dfQ==&quot;,&quot;citationItems&quot;:[{&quot;id&quot;:&quot;eb3dc979-b5fd-3d47-9d42-6f47525d8dd3&quot;,&quot;itemData&quot;:{&quot;type&quot;:&quot;article-journal&quot;,&quot;id&quot;:&quot;eb3dc979-b5fd-3d47-9d42-6f47525d8dd3&quot;,&quot;title&quot;:&quot;Foreign direct investment, trade openness and economic growth in BRICS countries: evidences from panel data&quot;,&quot;author&quot;:[{&quot;family&quot;:&quot;Banday&quot;,&quot;given&quot;:&quot;Umer Jeelanie&quot;,&quot;parse-names&quot;:false,&quot;dropping-particle&quot;:&quot;&quot;,&quot;non-dropping-particle&quot;:&quot;&quot;},{&quot;family&quot;:&quot;Murugan&quot;,&quot;given&quot;:&quot;Saravanan&quot;,&quot;parse-names&quot;:false,&quot;dropping-particle&quot;:&quot;&quot;,&quot;non-dropping-particle&quot;:&quot;&quot;},{&quot;family&quot;:&quot;Maryam&quot;,&quot;given&quot;:&quot;Javeria&quot;,&quot;parse-names&quot;:false,&quot;dropping-particle&quot;:&quot;&quot;,&quot;non-dropping-particle&quot;:&quot;&quot;}],&quot;container-title&quot;:&quot;Transnational Corporations Review&quot;,&quot;DOI&quot;:&quot;https://doi.org/10.1080/19186444.2020.1851162&quot;,&quot;ISSN&quot;:&quot;1925-2099&quot;,&quot;URL&quot;:&quot;https://www.sciencedirect.com/science/article/pii/S192520992400281X&quot;,&quot;issued&quot;:{&quot;date-parts&quot;:[[2021]]},&quot;page&quot;:&quot;211-221&quot;,&quot;abstract&quot;:&quot;In this paper we investigate the causal relationship between foreign direct investment, trade openness and gross domestic product in BRICS countries over the period of 1990–2018. We applied auto regressive distributed lag model to test cointegration and the Dumitrescu and Hurlin Granger causality tests. Empirical results show that FDI and trade openness have a positive impact on long-term economic growth. We also find there is a long-run relationship from both real effective exchange rate and gross capital formation to economic growth. The main results of causality analysis reveal that there is bidirectional causality from foreign direct investment to economic growth, trade openness to foreign direct investment, and unidirectional causality from trade openness to foreign direct investment.&quot;,&quot;issue&quot;:&quot;2&quot;,&quot;volume&quot;:&quot;13&quot;,&quot;container-title-short&quot;:&quot;&quot;},&quot;isTemporary&quot;:false,&quot;suppress-author&quot;:false,&quot;composite&quot;:false,&quot;author-only&quot;:false}]},{&quot;citationID&quot;:&quot;MENDELEY_CITATION_b76df586-2bf5-4465-b1fd-512957d9964b&quot;,&quot;properties&quot;:{&quot;noteIndex&quot;:0},&quot;isEdited&quot;:false,&quot;manualOverride&quot;:{&quot;isManuallyOverridden&quot;:false,&quot;citeprocText&quot;:&quot;[27]&quot;,&quot;manualOverrideText&quot;:&quot;&quot;},&quot;citationTag&quot;:&quot;MENDELEY_CITATION_v3_eyJjaXRhdGlvbklEIjoiTUVOREVMRVlfQ0lUQVRJT05fYjc2ZGY1ODYtMmJmNS00NDY1LWIxZmQtNTEyOTU3ZDk5NjRiIiwicHJvcGVydGllcyI6eyJub3RlSW5kZXgiOjB9LCJpc0VkaXRlZCI6ZmFsc2UsIm1hbnVhbE92ZXJyaWRlIjp7ImlzTWFudWFsbHlPdmVycmlkZGVuIjpmYWxzZSwiY2l0ZXByb2NUZXh0IjoiWzI3XSIsIm1hbnVhbE92ZXJyaWRlVGV4dCI6IiJ9LCJjaXRhdGlvbkl0ZW1zIjpbeyJpZCI6IjMzZjE3YzA3LTBlZjktMzliYS1hZWI0LTc3M2E0NmFlMTg2ZiIsIml0ZW1EYXRhIjp7InR5cGUiOiJhcnRpY2xlLWpvdXJuYWwiLCJpZCI6IjMzZjE3YzA3LTBlZjktMzliYS1hZWI0LTc3M2E0NmFlMTg2ZiIsInRpdGxlIjoiU3RyYXRlZ2ljIEVjb25vbWljIE1hbmFnZW1lbnQgOiBBUkRMIEFuYWx5c2lzIG9mIFRyYWRlLCBGREksIGFuZCBHcm93dGggaW4gRzIwIE5hdGlvbnMiLCJhdXRob3IiOlt7ImZhbWlseSI6Ikt1bWFyIiwiZ2l2ZW4iOiJSYWplc2giLCJwYXJzZS1uYW1lcyI6ZmFsc2UsImRyb3BwaW5nLXBhcnRpY2xlIjoiIiwibm9uLWRyb3BwaW5nLXBhcnRpY2xlIjoiIn0seyJmYW1pbHkiOiJOZW9naSIsImdpdmVuIjoiRGViYXNpcyIsInBhcnNlLW5hbWVzIjpmYWxzZSwiZHJvcHBpbmctcGFydGljbGUiOiIiLCJub24tZHJvcHBpbmctcGFydGljbGUiOiIifV0sImNvbnRhaW5lci10aXRsZSI6IlByYWJhbmRoYW46IEluZGlhbiBKb3VybmFsIG9mIE1hbmFnZW1lbnQiLCJjaGFwdGVyLW51bWJlciI6IkFydGljbGVzIiwiRE9JIjoiMTAuMTcwMTAvcGlqb20vMjAyNS92MThpNy8xNzQ1NjIiLCJVUkwiOiJodHRwczovL3d3dy5pbmRpYW5qb3VybmFsb2ZtYW5hZ2VtZW50LmNvbS9pbmRleC5waHAvcGlqb20vYXJ0aWNsZS92aWV3LzE3NDU2MiIsImlzc3VlZCI6eyJkYXRlLXBhcnRzIjpbWzIwMjUsNywxNV1dfSwicGFnZSI6IjgtMjUiLCJhYnN0cmFjdCI6IiZsdDtwJmd0OyZsdDtzdHJvbmcmZ3Q7UHVycG9zZSA6Jmx0Oy9zdHJvbmcmZ3Q7IFRoaXMgc3R1ZHkgZXhhbWluZWQgaG93IHRyYWRlIG9wZW5uZXNzIGludGVyYWN0ZWQgd2l0aCBmb3JlaWduIGRpcmVjdCBpbnZlc3RtZW50IChGREkpIHdpdGhpbiBHMjAgY291bnRyaWVzIGFuZCBhbmFseXplZCB0aGVpciBjb21iaW5lZCBpbXBhY3Qgb24gR0RQIGdyb3d0aC4gSXQgYWltZWQgdG8gZXhwbG9yZSBpbW1lZGlhdGUgYW5kIGxvbmctdGVybSByZWxhdGlvbnNoaXBzIHRvIGluZm9ybSBzdXN0YWluYWJsZSBncm93dGggc3RyYXRlZ2llcy4mbHQ7L3AmZ3Q7Jmx0O3AmZ3Q7Jmx0O3N0cm9uZyZndDtEZXNpZ24vTWV0aG9kb2xvZ3kvQXBwcm9hY2ggOiZsdDsvc3Ryb25nJmd0OyBUaGUgYW5hbHlzaXMgZW1wbG95ZWQgdGhlIGF1dG9yZWdyZXNzaXZlIGRpc3RyaWJ1dGVkIGxhZyAoQVJETCkgbWV0aG9kb2xvZ3ksIGNvbXBsZW1lbnRlZCBieSBKb2hhbnNlbiBjb2ludGVncmF0aW9uIHRlc3RzLCB2ZWN0b3IgZXJyb3IgY29ycmVjdGlvbiBtb2RlbCAoVkVDTSksIGFuZCBHcmFuZ2VyIGNhdXNhbGl0eSB0ZXN0cyBmb3Igcm9idXN0bmVzcy4gVGltZS1zZXJpZXMgZGF0YSBmcm9tIHRoZSBXb3JsZCBEZXZlbG9wbWVudCBJbmRpY2F0b3JzIChXREkpIHdlcmUgdXNlZCB0byBhc3Nlc3MgdGhlIGVmZmVjdHMgb2YgdHJhZGUgb3Blbm5lc3Mgb24gRkRJIGluZmxvd3MgYW5kIEdEUCBncm93dGggYWNyb3NzIEcyMCBuYXRpb25zLiBUaGUgc3R1ZHkgY29uc2lkZXJlZCBkYXRhIGZyb20gMTk5MCDigJMgMjAxOS4mbHQ7L3AmZ3Q7Jmx0O3AmZ3Q7Jmx0O3N0cm9uZyZndDtGaW5kaW5ncyA6Jmx0Oy9zdHJvbmcmZ3Q7IFRoZSBmaW5kaW5ncyBpbmRpY2F0ZWQgdGhhdCB0cmFkZSBvcGVubmVzcyBtYWludGFpbmVkIGEgbG9uZy1ydW4gZXF1aWxpYnJpdW0gcmVsYXRpb25zaGlwIHdpdGggR0RQLCBoaWdobGlnaHRpbmcgdGhhdCBsaWJlcmFsIHRyYWRlIHBvbGljaWVzIGNvbnRyaWJ1dGVkIHBvc2l0aXZlbHkgdG8gRkRJIGFuZCBlY29ub21pYyBwZXJmb3JtYW5jZS4gSG93ZXZlciwgdGhlIHNob3J0LXJ1biBkeW5hbWljcyB3ZXJlIG1hcmtlZCBieSBpbnN0YWJpbGl0eSBkdWUgdG8gZ2VvcG9saXRpY2FsIHVuY2VydGFpbnRpZXMsIGV4Y2hhbmdlIHJhdGUgZmx1Y3R1YXRpb25zLCBhbmQgaW5zdGl0dXRpb25hbCB3ZWFrbmVzc2VzLiBUaGUgcmVzdWx0cyBhbHNvIHJldmVhbGVkIGltbWVkaWF0ZSBjYXVzYWwgbGlua2FnZXMgYmV0d2VlbiB0cmFkZSBvcGVubmVzcyBhbmQgR0RQLiZsdDsvcCZndDsmbHQ7cCZndDsmbHQ7c3Ryb25nJmd0O1ByYWN0aWNhbCBJbXBsaWNhdGlvbnMgOiZsdDsvc3Ryb25nJmd0OyBUaGUgcmVzdWx0cyBzdWdnZXN0ZWQgdGhhdCBHMjAgcG9saWN5bWFrZXJzIHNob3VsZCBwcmlvcml0aXplIHJlZHVjaW5nIG5vbi10YXJpZmYgYmFycmllcnMgYW5kIGltcHJvdmluZyByZWd1bGF0b3J5IHRyYW5zcGFyZW5jeSB0byBhdHRyYWN0IEZESSBhbmQgc3VzdGFpbiBncm93dGguIFRoZSBBUkRMLWJhc2VkIGluc2lnaHRzIHByb3ZpZGVkIGNvbmNyZXRlIGd1aWRhbmNlIGZvciBzaGFwaW5nIGVmZmVjdGl2ZSB0cmFkZSBhbmQgaW52ZXN0bWVudCBzdHJhdGVnaWVzLiZsdDsvcCZndDsmbHQ7cCZndDsmbHQ7c3Ryb25nJmd0O09yaWdpbmFsaXR5L1ZhbHVlIDombHQ7L3N0cm9uZyZndDsgVGhpcyByZXNlYXJjaCB1c2VkIGFkdmFuY2VkIHBhbmVsIGVjb25vbWV0cmljIHRlY2huaXF1ZXMgdG8gb2ZmZXIgZW1waXJpY2FsIGV2aWRlbmNlIG9mIHRpbWUtZGVwZW5kZW50LCByZWNpcHJvY2FsIHJlbGF0aW9uc2hpcHMgYmV0d2VlbiB0cmFkZSBvcGVubmVzcywgRkRJLCBhbmQgR0RQIGdyb3d0aC4gSXQgY29udHJpYnV0ZWQgdG8gdGhlIHRyYWRlLWdyb3d0aCBsaXRlcmF0dXJlIGJ5IGNsYXJpZnlpbmcgaG93IHRyYWRlIGxpYmVyYWxpemF0aW9uIGNvdWxkIGRyaXZlIGdyb3d0aCB2aWEgaW52ZXN0bWVudCBjaGFubmVscyBhbmQgaW5zdGl0dXRpb25hbCByZWZvcm0uJmx0Oy9wJmd0OyIsImlzc3VlIjoiNyIsInZvbHVtZSI6IjE4IiwiY29udGFpbmVyLXRpdGxlLXNob3J0IjoiIn0sImlzVGVtcG9yYXJ5IjpmYWxzZSwic3VwcHJlc3MtYXV0aG9yIjpmYWxzZSwiY29tcG9zaXRlIjpmYWxzZSwiYXV0aG9yLW9ubHkiOmZhbHNlfV19&quot;,&quot;citationItems&quot;:[{&quot;id&quot;:&quot;33f17c07-0ef9-39ba-aeb4-773a46ae186f&quot;,&quot;itemData&quot;:{&quot;type&quot;:&quot;article-journal&quot;,&quot;id&quot;:&quot;33f17c07-0ef9-39ba-aeb4-773a46ae186f&quot;,&quot;title&quot;:&quot;Strategic Economic Management : ARDL Analysis of Trade, FDI, and Growth in G20 Nations&quot;,&quot;author&quot;:[{&quot;family&quot;:&quot;Kumar&quot;,&quot;given&quot;:&quot;Rajesh&quot;,&quot;parse-names&quot;:false,&quot;dropping-particle&quot;:&quot;&quot;,&quot;non-dropping-particle&quot;:&quot;&quot;},{&quot;family&quot;:&quot;Neogi&quot;,&quot;given&quot;:&quot;Debasis&quot;,&quot;parse-names&quot;:false,&quot;dropping-particle&quot;:&quot;&quot;,&quot;non-dropping-particle&quot;:&quot;&quot;}],&quot;container-title&quot;:&quot;Prabandhan: Indian Journal of Management&quot;,&quot;chapter-number&quot;:&quot;Articles&quot;,&quot;DOI&quot;:&quot;10.17010/pijom/2025/v18i7/174562&quot;,&quot;URL&quot;:&quot;https://www.indianjournalofmanagement.com/index.php/pijom/article/view/174562&quot;,&quot;issued&quot;:{&quot;date-parts&quot;:[[2025,7,15]]},&quot;page&quot;:&quot;8-25&quot;,&quot;abstract&quot;:&quot;&amp;lt;p&amp;gt;&amp;lt;strong&amp;gt;Purpose :&amp;lt;/strong&amp;gt; This study examined how trade openness interacted with foreign direct investment (FDI) within G20 countries and analyzed their combined impact on GDP growth. It aimed to explore immediate and long-term relationships to inform sustainable growth strategies.&amp;lt;/p&amp;gt;&amp;lt;p&amp;gt;&amp;lt;strong&amp;gt;Design/Methodology/Approach :&amp;lt;/strong&amp;gt; The analysis employed the autoregressive distributed lag (ARDL) methodology, complemented by Johansen cointegration tests, vector error correction model (VECM), and Granger causality tests for robustness. Time-series data from the World Development Indicators (WDI) were used to assess the effects of trade openness on FDI inflows and GDP growth across G20 nations. The study considered data from 1990 – 2019.&amp;lt;/p&amp;gt;&amp;lt;p&amp;gt;&amp;lt;strong&amp;gt;Findings :&amp;lt;/strong&amp;gt; The findings indicated that trade openness maintained a long-run equilibrium relationship with GDP, highlighting that liberal trade policies contributed positively to FDI and economic performance. However, the short-run dynamics were marked by instability due to geopolitical uncertainties, exchange rate fluctuations, and institutional weaknesses. The results also revealed immediate causal linkages between trade openness and GDP.&amp;lt;/p&amp;gt;&amp;lt;p&amp;gt;&amp;lt;strong&amp;gt;Practical Implications :&amp;lt;/strong&amp;gt; The results suggested that G20 policymakers should prioritize reducing non-tariff barriers and improving regulatory transparency to attract FDI and sustain growth. The ARDL-based insights provided concrete guidance for shaping effective trade and investment strategies.&amp;lt;/p&amp;gt;&amp;lt;p&amp;gt;&amp;lt;strong&amp;gt;Originality/Value :&amp;lt;/strong&amp;gt; This research used advanced panel econometric techniques to offer empirical evidence of time-dependent, reciprocal relationships between trade openness, FDI, and GDP growth. It contributed to the trade-growth literature by clarifying how trade liberalization could drive growth via investment channels and institutional reform.&amp;lt;/p&amp;gt;&quot;,&quot;issue&quot;:&quot;7&quot;,&quot;volume&quot;:&quot;18&quot;,&quot;container-title-short&quot;:&quot;&quot;},&quot;isTemporary&quot;:false,&quot;suppress-author&quot;:false,&quot;composite&quot;:false,&quot;author-only&quot;:false}]},{&quot;citationID&quot;:&quot;MENDELEY_CITATION_21e381b9-b8ec-4605-8cb0-9b74377d59ff&quot;,&quot;properties&quot;:{&quot;noteIndex&quot;:0},&quot;isEdited&quot;:false,&quot;manualOverride&quot;:{&quot;isManuallyOverridden&quot;:false,&quot;citeprocText&quot;:&quot;[28]&quot;,&quot;manualOverrideText&quot;:&quot;&quot;},&quot;citationTag&quot;:&quot;MENDELEY_CITATION_v3_eyJjaXRhdGlvbklEIjoiTUVOREVMRVlfQ0lUQVRJT05fMjFlMzgxYjktYjhlYy00NjA1LThjYjAtOWI3NDM3N2Q1OWZm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UsInN1cHByZXNzLWF1dGhvciI6ZmFsc2UsImNvbXBvc2l0ZSI6ZmFsc2UsImF1dGhvci1vbmx5IjpmYWxzZX1dfQ==&quot;,&quot;citationItems&quot;:[{&quot;id&quot;:&quot;e69b82f3-3e7e-3b41-a0d5-d2478ef862b4&quot;,&quot;itemData&quot;:{&quot;type&quot;:&quot;article-journal&quot;,&quot;id&quot;:&quot;e69b82f3-3e7e-3b41-a0d5-d2478ef862b4&quot;,&quot;title&quot;:&quot;Does trade openness affect economic growth in India? Evidence from threshold cointegration with asymmetric adjustment&quot;,&quot;author&quot;:[{&quot;family&quot;:&quot;Mallick&quot;,&quot;given&quot;:&quot;Lingaraj&quot;,&quot;parse-names&quot;:false,&quot;dropping-particle&quot;:&quot;&quot;,&quot;non-dropping-particle&quot;:&quot;&quot;},{&quot;family&quot;:&quot;Behera&quot;,&quot;given&quot;:&quot;Smruti Ranjan&quot;,&quot;parse-names&quot;:false,&quot;dropping-particle&quot;:&quot;&quot;,&quot;non-dropping-particle&quot;:&quot;&quot;}],&quot;container-title&quot;:&quot;Cogent Economics &amp; Finance&quot;,&quot;editor&quot;:[{&quot;family&quot;:&quot;Sapena&quot;,&quot;given&quot;:&quot;Juan&quot;,&quot;parse-names&quot;:false,&quot;dropping-particle&quot;:&quot;&quot;,&quot;non-dropping-particle&quot;:&quot;&quot;}],&quot;DOI&quot;:&quot;10.1080/23322039.2020.1782659&quot;,&quot;URL&quot;:&quot;https://doi.org/10.1080/23322039.2020.1782659&quot;,&quot;issued&quot;:{&quot;date-parts&quot;:[[2020]]},&quot;page&quot;:&quot;1782659&quot;,&quot;publisher&quot;:&quot;Cogent OA&quot;,&quot;issue&quot;:&quot;1&quot;,&quot;volume&quot;:&quot;8&quot;,&quot;container-title-short&quot;:&quot;&quot;},&quot;isTemporary&quot;:false,&quot;suppress-author&quot;:false,&quot;composite&quot;:false,&quot;author-only&quot;:false}]},{&quot;citationID&quot;:&quot;MENDELEY_CITATION_88e2148f-1871-4f83-90f6-beafc6a94149&quot;,&quot;properties&quot;:{&quot;noteIndex&quot;:0},&quot;isEdited&quot;:false,&quot;manualOverride&quot;:{&quot;isManuallyOverridden&quot;:false,&quot;citeprocText&quot;:&quot;[29], [30]&quot;,&quot;manualOverrideText&quot;:&quot;&quot;},&quot;citationTag&quot;:&quot;MENDELEY_CITATION_v3_eyJjaXRhdGlvbklEIjoiTUVOREVMRVlfQ0lUQVRJT05fODhlMjE0OGYtMTg3MS00ZjgzLTkwZjYtYmVhZmM2YTk0MTQ5IiwicHJvcGVydGllcyI6eyJub3RlSW5kZXgiOjB9LCJpc0VkaXRlZCI6ZmFsc2UsIm1hbnVhbE92ZXJyaWRlIjp7ImlzTWFudWFsbHlPdmVycmlkZGVuIjpmYWxzZSwiY2l0ZXByb2NUZXh0IjoiWzI5XSwgWzMwXSIsIm1hbnVhbE92ZXJyaWRlVGV4dCI6IiJ9LCJjaXRhdGlvbkl0ZW1zIjpbeyJpZCI6ImYzMmYwZjY1LTdhYzAtMzNiMi1iMDk3LTM5NGJhOWU4YjliYyIsIml0ZW1EYXRhIjp7InR5cGUiOiJhcnRpY2xlLWpvdXJuYWwiLCJpZCI6ImYzMmYwZjY1LTdhYzAtMzNiMi1iMDk3LTM5NGJhOWU4YjliYyIsInRpdGxlIjoiQ2F1c2FsIGludGVyYWN0aW9ucyBiZXR3ZWVuIHRyYWRlIG9wZW5uZXNzLCByZW5ld2FibGUgZWxlY3RyaWNpdHkgY29uc3VtcHRpb24sIGFuZCBlY29ub21pYyBncm93dGggaW4gQXNpYS1QYWNpZmljIGNvdW50cmllczogRnJlc2ggZXZpZGVuY2UgZnJvbSBhIGJvb3RzdHJhcCBBUkRMIGFwcHJvYWNoIiwiYXV0aG9yIjpbeyJmYW1pbHkiOiJHaGF6b3VhbmkiLCJnaXZlbiI6IlRhcmVrIiwicGFyc2UtbmFtZXMiOmZhbHNlLCJkcm9wcGluZy1wYXJ0aWNsZSI6IiIsIm5vbi1kcm9wcGluZy1wYXJ0aWNsZSI6IiJ9LHsiZmFtaWx5IjoiQm91a2hhdGVtIiwiZ2l2ZW4iOiJKYW1lbCIsInBhcnNlLW5hbWVzIjpmYWxzZSwiZHJvcHBpbmctcGFydGljbGUiOiIiLCJub24tZHJvcHBpbmctcGFydGljbGUiOiIifSx7ImZhbWlseSI6IllhbiBTYW0iLCJnaXZlbiI6IkNodW5nIiwicGFyc2UtbmFtZXMiOmZhbHNlLCJkcm9wcGluZy1wYXJ0aWNsZSI6IiIsIm5vbi1kcm9wcGluZy1wYXJ0aWNsZSI6IiJ9XSwiY29udGFpbmVyLXRpdGxlIjoiUmVuZXdhYmxlIGFuZCBTdXN0YWluYWJsZSBFbmVyZ3kgUmV2aWV3cyIsIkRPSSI6Imh0dHBzOi8vZG9pLm9yZy8xMC4xMDE2L2oucnNlci4yMDIwLjExMDA5NCIsIklTU04iOiIxMzY0LTAzMjEiLCJVUkwiOiJodHRwczovL3d3dy5zY2llbmNlZGlyZWN0LmNvbS9zY2llbmNlL2FydGljbGUvcGlpL1MxMzY0MDMyMTIwMzAzODUzIiwiaXNzdWVkIjp7ImRhdGUtcGFydHMiOltbMjAyMF1dfSwicGFnZSI6IjExMDA5NCIsImFic3RyYWN0IjoiVGhpcyBwYXBlciBhcHBsaWVzIGEgbmV3IGJvb3RzdHJhcCBBdXRvcmVncmVzc2l2ZSBEaXN0cmlidXRlZCBMYWcgKEFSREwpIGFwcHJvYWNoIHRvIGV4YW1pbmUgdGhlIG5leHVzIGJldHdlZW4gdHJhZGUgb3Blbm5lc3MsIHJlbmV3YWJsZSBlbGVjdHJpY2l0eSBjb25zdW1wdGlvbiwgYW5kIGVjb25vbWljIGdyb3d0aCBmb3Igc2V2ZW4gY291bnRyaWVzIGluIHRoZSBBc2lhLVBhY2lmaWMgcmVnaW9uIGR1cmluZyAxOTgw4oCTMjAxNyBwZXJpb2QuIEluIGZhY3QsIHRoZXJlIGlzIG5vIGV2aWRlbmNlIG9mIGNvaW50ZWdyYXRpb24gYW1vbmcgcmVhbCB0cmFkZSBvcGVubmVzcywgZWxlY3RyaWNpdHkgY29uc3VtcHRpb24sIGFuZCByZWFsIEdEUCBwZXIgY2FwaXRhIGluIGNvdW50cmllcywgd2l0aCB0aGUgZXhjZXB0aW9uIG9mIE1hbGF5c2lhLCB3aGVyZSByZWFsIEdEUCBzZXJ2ZXMgYXMgZGVwZW5kZW50IHZhcmlhYmxlLiBIb3dldmVyLCBjb2ludGVncmF0aW9uIGRvZXMgbWFuaWZlc3QgaW4gdGhlIGNhc2VzIG9mIEluZG9uZXNpYSwgSmFwYW4sIFNvdXRoIEtvcmVhLCBhbmQgVGhhaWxhbmQgd2hlbiB0cmFkZSBvcGVubmVzcyBpcyB1c2VkIGFzIHRoZSBkZXBlbmRlbnQgdmFyaWFibGUuIEEgc2ltaWxhciBvdXRjb21lIGlzIG9ic2VydmVkIGZvciBJbmRvbmVzaWEsIE1hbGF5c2lhLCBhbmQgVGhhaWxhbmQgd2hlbiByZW5ld2FibGUgZWxlY3RyaWNpdHkgY29uc3VtcHRpb24gaXMgdXNlZCBhcyB0aGUgZGVwZW5kZW50IHZhcmlhYmxlLiBBIHNob3J0LXJ1biBhbmFseXNpcyByZXZlYWxzIG1peGVkIHJlc3VsdHMgaW4gdGVybSBvZiB0aGUgZGlyZWN0aW9uIG9mIHRoZSBjYXVzYWxpdHkgYW1vbmcgZGlmZmVyZW50IHZhcmlhYmxlcyBmb3IgdmFyaW91cyBjb3VudHJpZXMuIFN1Y2ggcmVzdWx0cyBoYXZlIGltcGxpY2F0aW9ucyBmb3IgdHJhZGUsIGVuZXJneSwgYW5kIGVudmlyb25tZW50YWwgcG9saWNpZXMuIE9uZSBpbXBsaWNhdGlvbiBpcyB0aGF0IGFueSBlbnZpcm9ubWVudGFsIHBvbGljeSBhaW1pbmcgdG8gcmVkdWNlIHRoZSB1c2Ugb2Ygbm9uLXJlbmV3YWJsZSBlbmVyZ3kgYW5kIGNhcmJvbiBkaW94aWRlIGVtaXNzaW9ucyB3aWxsIGluZXZpdGFibHkgbGVhZCB0byBncmVhdGVyIHJlbmV3YWJsZSBlbmVyZ3kgY29uc3VtcHRpb24sIHdoaWNoIGluIHR1cm4gbWF5IGVuaGFuY2UgdHJhZGUgb3Blbm5lc3MgYW5kIHVsdGltYXRlbHkgYWNjZWxlcmF0ZSBlY29ub21pYyBncm93dGguIiwidm9sdW1lIjoiMTMzIiwiY29udGFpbmVyLXRpdGxlLXNob3J0IjoiIn0sImlzVGVtcG9yYXJ5IjpmYWxzZSwic3VwcHJlc3MtYXV0aG9yIjpmYWxzZSwiY29tcG9zaXRlIjpmYWxzZSwiYXV0aG9yLW9ubHkiOmZhbHNlfSx7ImlkIjoiMTQzNTBkMTEtZDUwOC0zZjkwLWI2MGUtNmEwYmJiYWZkZDk0IiwiaXRlbURhdGEiOnsidHlwZSI6ImFydGljbGUtam91cm5hbCIsImlkIjoiMTQzNTBkMTEtZDUwOC0zZjkwLWI2MGUtNmEwYmJiYWZkZDk0IiwidGl0bGUiOiJUaGUgbGlua2FnZXMgYmV0d2VlbiB0cmFkZSwgZmluYW5jaWFsIG9wZW5uZXNzLCBhbmQgZWNvbm9taWMgZ3Jvd3RoIGluIENoaW5hOiBhbiBBUkRMLWJvdW5kIHRlc3QgYXBwcm9hY2giLCJhdXRob3IiOlt7ImZhbWlseSI6IlVzbWFuIiwiZ2l2ZW4iOiJLaGFsaWQiLCJwYXJzZS1uYW1lcyI6ZmFsc2UsImRyb3BwaW5nLXBhcnRpY2xlIjoiIiwibm9uLWRyb3BwaW5nLXBhcnRpY2xlIjoiIn1dLCJjb250YWluZXItdGl0bGUiOiJKb3VybmFsIG9mIEFwcGxpZWQgRWNvbm9taWNzIiwiY29udGFpbmVyLXRpdGxlLXNob3J0IjoiSi4gQXBwbC4gRWNvbi4iLCJET0kiOiIxMC4xMDgwLzE1MTQwMzI2LjIwMjMuMjI1ODYxNiIsIklTU04iOiIxNTE0LTAzMjYiLCJVUkwiOiJodHRwczovL2RvaS5vcmcvMTAuMTA4MC8xNTE0MDMyNi4yMDIzLjIyNTg2MTYiLCJpc3N1ZWQiOnsiZGF0ZS1wYXJ0cyI6W1syMDIzLDEyLDMxXV19LCJwYWdlIjoiMjI1ODYxNiIsInB1Ymxpc2hlciI6IlJvdXRsZWRnZSIsImlzc3VlIjoiMSIsInZvbHVtZSI6IjI2In0sImlzVGVtcG9yYXJ5IjpmYWxzZX1dfQ==&quot;,&quot;citationItems&quot;:[{&quot;id&quot;:&quot;f32f0f65-7ac0-33b2-b097-394ba9e8b9bc&quot;,&quot;itemData&quot;:{&quot;type&quot;:&quot;article-journal&quot;,&quot;id&quot;:&quot;f32f0f65-7ac0-33b2-b097-394ba9e8b9bc&quot;,&quot;title&quot;:&quot;Causal interactions between trade openness, renewable electricity consumption, and economic growth in Asia-Pacific countries: Fresh evidence from a bootstrap ARDL approach&quot;,&quot;author&quot;:[{&quot;family&quot;:&quot;Ghazouani&quot;,&quot;given&quot;:&quot;Tarek&quot;,&quot;parse-names&quot;:false,&quot;dropping-particle&quot;:&quot;&quot;,&quot;non-dropping-particle&quot;:&quot;&quot;},{&quot;family&quot;:&quot;Boukhatem&quot;,&quot;given&quot;:&quot;Jamel&quot;,&quot;parse-names&quot;:false,&quot;dropping-particle&quot;:&quot;&quot;,&quot;non-dropping-particle&quot;:&quot;&quot;},{&quot;family&quot;:&quot;Yan Sam&quot;,&quot;given&quot;:&quot;Chung&quot;,&quot;parse-names&quot;:false,&quot;dropping-particle&quot;:&quot;&quot;,&quot;non-dropping-particle&quot;:&quot;&quot;}],&quot;container-title&quot;:&quot;Renewable and Sustainable Energy Reviews&quot;,&quot;DOI&quot;:&quot;https://doi.org/10.1016/j.rser.2020.110094&quot;,&quot;ISSN&quot;:&quot;1364-0321&quot;,&quot;URL&quot;:&quot;https://www.sciencedirect.com/science/article/pii/S1364032120303853&quot;,&quot;issued&quot;:{&quot;date-parts&quot;:[[2020]]},&quot;page&quot;:&quot;110094&quot;,&quot;abstract&quot;:&quot;This paper applies a new bootstrap Autoregressive Distributed Lag (ARDL) approach to examine the nexus between trade openness, renewable electricity consumption, and economic growth for seven countries in the Asia-Pacific region during 1980–2017 period. In fact, there is no evidence of cointegration among real trade openness, electricity consumption, and real GDP per capita in countries, with the exception of Malaysia, where real GDP serves as dependent variable. However, cointegration does manifest in the cases of Indonesia, Japan, South Korea, and Thailand when trade openness is used as the dependent variable. A similar outcome is observed for Indonesia, Malaysia, and Thailand when renewable electricity consumption is used as the dependent variable. A short-run analysis reveals mixed results in term of the direction of the causality among different variables for various countries. Such results have implications for trade, energy, and environmental policies. One implication is that any environmental policy aiming to reduce the use of non-renewable energy and carbon dioxide emissions will inevitably lead to greater renewable energy consumption, which in turn may enhance trade openness and ultimately accelerate economic growth.&quot;,&quot;volume&quot;:&quot;133&quot;,&quot;container-title-short&quot;:&quot;&quot;},&quot;isTemporary&quot;:false,&quot;suppress-author&quot;:false,&quot;composite&quot;:false,&quot;author-only&quot;:false},{&quot;id&quot;:&quot;14350d11-d508-3f90-b60e-6a0bbbafdd94&quot;,&quot;itemData&quot;:{&quot;type&quot;:&quot;article-journal&quot;,&quot;id&quot;:&quot;14350d11-d508-3f90-b60e-6a0bbbafdd94&quot;,&quot;title&quot;:&quot;The linkages between trade, financial openness, and economic growth in China: an ARDL-bound test approach&quot;,&quot;author&quot;:[{&quot;family&quot;:&quot;Usman&quot;,&quot;given&quot;:&quot;Khalid&quot;,&quot;parse-names&quot;:false,&quot;dropping-particle&quot;:&quot;&quot;,&quot;non-dropping-particle&quot;:&quot;&quot;}],&quot;container-title&quot;:&quot;Journal of Applied Economics&quot;,&quot;container-title-short&quot;:&quot;J. Appl. Econ.&quot;,&quot;DOI&quot;:&quot;10.1080/15140326.2023.2258616&quot;,&quot;ISSN&quot;:&quot;1514-0326&quot;,&quot;URL&quot;:&quot;https://doi.org/10.1080/15140326.2023.2258616&quot;,&quot;issued&quot;:{&quot;date-parts&quot;:[[2023,12,31]]},&quot;page&quot;:&quot;2258616&quot;,&quot;publisher&quot;:&quot;Routledge&quot;,&quot;issue&quot;:&quot;1&quot;,&quot;volume&quot;:&quot;26&quot;},&quot;isTemporary&quot;:false}]},{&quot;citationID&quot;:&quot;MENDELEY_CITATION_558edd9d-560c-4b9a-8e42-c9fb272f3b6d&quot;,&quot;properties&quot;:{&quot;noteIndex&quot;:0},&quot;isEdited&quot;:false,&quot;manualOverride&quot;:{&quot;isManuallyOverridden&quot;:false,&quot;citeprocText&quot;:&quot;[31]&quot;,&quot;manualOverrideText&quot;:&quot;&quot;},&quot;citationTag&quot;:&quot;MENDELEY_CITATION_v3_eyJjaXRhdGlvbklEIjoiTUVOREVMRVlfQ0lUQVRJT05fNTU4ZWRkOWQtNTYwYy00YjlhLThlNDItYzlmYjI3MmYzYjZkIiwicHJvcGVydGllcyI6eyJub3RlSW5kZXgiOjB9LCJpc0VkaXRlZCI6ZmFsc2UsIm1hbnVhbE92ZXJyaWRlIjp7ImlzTWFudWFsbHlPdmVycmlkZGVuIjpmYWxzZSwiY2l0ZXByb2NUZXh0IjoiWzMxXSIsIm1hbnVhbE92ZXJyaWRlVGV4dCI6IiJ9LCJjaXRhdGlvbkl0ZW1zIjpbeyJpZCI6Ijg0OTI4YTA3LTIwMzktMzQ5Ny05ZTEwLWRhOWE0MWFkZGI5MCIsIml0ZW1EYXRhIjp7InR5cGUiOiJhcnRpY2xlLWpvdXJuYWwiLCJpZCI6Ijg0OTI4YTA3LTIwMzktMzQ5Ny05ZTEwLWRhOWE0MWFkZGI5MCIsInRpdGxlIjoiUmVhc3Nlc3NpbmcgdGhlIGVuZXJneSDigJMgZmluYW5jZSDigJMgZ3Jvd3RoIHRyaWFuZ2xlIGluIEluZGlhOiBldmlkZW5jZSBmcm9tIGFzeW1tZXRyaWMgYW5kIG5vbi1saW5lYXIgbW9kZWxsaW5nIiwiYXV0aG9yIjpbeyJmYW1pbHkiOiJHYW5pZSIsImdpdmVuIjoiQW5hbSBVbCBIYXEiLCJwYXJzZS1uYW1lcyI6ZmFsc2UsImRyb3BwaW5nLXBhcnRpY2xlIjoiIiwibm9uLWRyb3BwaW5nLXBhcnRpY2xlIjoiIn0seyJmYW1pbHkiOiJBaG1hZCIsImdpdmVuIjoiTWFzcm9vciIsInBhcnNlLW5hbWVzIjpmYWxzZSwiZHJvcHBpbmctcGFydGljbGUiOiIiLCJub24tZHJvcHBpbmctcGFydGljbGUiOiIifV0sImNvbnRhaW5lci10aXRsZSI6IkpvdXJuYWwgb2YgRmluYW5jaWFsIEVjb25vbWljIFBvbGljeSIsIkRPSSI6IjEwLjExMDgvSkZFUC0wNy0yMDI1LTAyNzkiLCJJU1NOIjoiMTc1Ny02Mzg1IiwiVVJMIjoiaHR0cHM6Ly9kb2kub3JnLzEwLjExMDgvSkZFUC0wNy0yMDI1LTAyNzkiLCJpc3N1ZWQiOnsiZGF0ZS1wYXJ0cyI6W1syMDI1LDEyLDIyXV19LCJwYWdlIjoiMS0yNyIsImFic3RyYWN0IjoiVGhpcyBzdHVkeSBhaW1zIHRvIGV4YW1pbmUgdGhlIGFzeW1tZXRyaWMgYW5kIG5vbmxpbmVhciByZWxhdGlvbnNoaXBzIGJldHdlZW4gZW5lcmd5IGNvbnN1bXB0aW9uLCBmaW5hbmNpYWwgZGV2ZWxvcG1lbnQgYW5kIGVjb25vbWljIGdyb3d0aCBpbiBJbmRpYSwgYSBkZXZlbG9waW5nIGVjb25vbXkgY2hhcmFjdGVyaXNlZCBieSBzdHJ1Y3R1cmFsIGFuZCBpbnN0aXR1dGlvbmFsIGNvbXBsZXhpdGllcy4gSXQgZnVydGhlciBpbnZlc3RpZ2F0ZXMgdGhlIEdyYW5nZXIgY2F1c2FsIGludGVybGlua2FnZXMgYW1vbmcgdGhlc2Uga2V5IG1hY3JvZWNvbm9taWMgdmFyaWFibGVzLlVzaW5nIGFubnVhbCB0aW1lIHNlcmllcyBkYXRhIGZyb20gMTk4MCB0byAyMDIwLCB0aGUgc3R1ZHkgYXBwbGllcyB0aGUgbm9ubGluZWFyIGF1dG9yZWdyZXNzaXZlIGRpc3RyaWJ1dGVkIGxhZyAoTkFSREwpIG1vZGVsIHRvIGNhcHR1cmUgcG90ZW50aWFsIGFzeW1tZXRyaWVzIGluIHRoZSBzaG9ydCBhbmQgbG9uZyBydW4uIEluIGFkZGl0aW9uLCB0aGUgVG9kYeKAk1lhbWFtb3RvIEdyYW5nZXIgY2F1c2FsaXR5IHRlc3QgaXMgdXNlZCB0byBlbnN1cmUgcm9idXN0bmVzcyBpbiBpZGVudGlmeWluZyBkaXJlY3Rpb25hbCBjYXVzYWxpdHkgYW1vbmcgdGhlIHZhcmlhYmxlcy5UaGUgcmVzdWx0cyBjb25maXJtIGEgbG9uZy1ydW4gYXN5bW1ldHJpYyBjb2ludGVncmF0aW5nIHJlbGF0aW9uc2hpcCBhbW9uZyBlbmVyZ3kgY29uc3VtcHRpb24sIGZpbmFuY2lhbCBkZXZlbG9wbWVudCwgbGFib3VyIGZvcmNlLCBjYXBpdGFsIGZvcm1hdGlvbiBhbmQgZWNvbm9taWMgZ3Jvd3RoLiBOZWdhdGl2ZSBzaG9ja3MgdG8gZW5lcmd5IGNvbnN1bXB0aW9uIGFuZCBmaW5hbmNpYWwgZGV2ZWxvcG1lbnQgZXhoaWJpdCBhIG1vcmUgcHJvbm91bmNlZCBhZHZlcnNlIGVmZmVjdCBvbiBlY29ub21pYyBncm93dGggdGhhbiBwb3NpdGl2ZSBzaG9ja3MuIENvbnZlcnNlbHksIG5lZ2F0aXZlIGNoYW5nZXMgaW4gbGFib3VyIGZvcmNlIGFuZCBjYXBpdGFsIGZvcm1hdGlvbiBoYXZlIGEgc3Ryb25nZXIgcG9zaXRpdmUgaW5mbHVlbmNlIG9uIGdyb3d0aCB0aGFuIHRoZWlyIHBvc2l0aXZlIGNvdW50ZXJwYXJ0cywgaW5kaWNhdGluZyBwb3NzaWJsZSBzdHJ1Y3R1cmFsIG9yIGVmZmljaWVuY3ktYmFzZWQgYWRqdXN0bWVudHMgZHVyaW5nIGRvd250dXJucy4gQ2F1c2FsaXR5IHJlc3VsdHMgc3VwcG9ydCBib3RoIHRoZSBmaW5hbmNlLWxlZCBncm93dGggYW5kIGNvbnNlcnZhdGlvbiBoeXBvdGhlc2VzLlRoZSBzdHVkeSBpcyBjb25maW5lZCB0byBJbmRpYSBhbmQgYmFzZWQgb24gYWdncmVnYXRlIG5hdGlvbmFsIGRhdGEsIHdoaWNoIG1heSBtYXNrIHJlZ2lvbmFsIGRpc3Bhcml0aWVzIG9yIHNlY3Rvci1zcGVjaWZpYyBkeW5hbWljcy5EZXNwaXRlIGdyb3dpbmcgaW50ZXJlc3QgaW4gdGhlIGVuZXJneeKAk2ZpbmFuY2XigJNncm93dGggbmV4dXMsIGxpbWl0ZWQgZW1waXJpY2FsIHdvcmsgaGFzIGV4YW1pbmVkIGl0cyBhc3ltbWV0cmljIGFuZCBub25saW5lYXIgY2hhcmFjdGVyaXN0aWNzIHVzaW5nIGFkdmFuY2VkIGVjb25vbWV0cmljIHRlY2huaXF1ZXMuIE1vc3Qgc3R1ZGllcyBjb250aW51ZSB0byByZWx5IG9uIGxpbmVhciBtb2RlbHMgYW5kIHNpbmdsZS1pbmRpY2F0b3IgcHJveGllcyBmb3IgZmluYW5jaWFsIGRldmVsb3BtZW50LCBpZ25vcmluZyBpdHMgY29tcGxleCBhbmQgbXVsdGlkaW1lbnNpb25hbCBuYXR1cmUuIEluIHRoZSBJbmRpYW4gY29udGV4dCwgdGhlcmUgaXMgYSBsYWNrIG9mIHN0dWRpZXMgdGhhdCBjb25zdHJ1Y3QgYSBjb21wcmVoZW5zaXZlIGZpbmFuY2lhbCBkZXZlbG9wbWVudCBpbmRleCB1c2luZyBwcmluY2lwYWwgY29tcG9uZW50IGFuYWx5c2lzIGFuZCBhcHBseSBpdCB3aXRoaW4gYSBub25saW5lYXIsIGFzeW1tZXRyaWMgZnJhbWV3b3JrLiBGdXJ0aGVybW9yZSwgdGhlIGRpc3RpbmN0IGVmZmVjdHMgb2YgcG9zaXRpdmUgYW5kIG5lZ2F0aXZlIHNob2NrcyBpbiBlbmVyZ3kgdXNlIGFuZCBmaW5hbmNpYWwgZGV2ZWxvcG1lbnQgb24gZWNvbm9taWMgZ3Jvd3RoIHJlbWFpbiBsYXJnZWx5IHVuYWRkcmVzc2VkLiBUaGlzIHN0dWR5IGJyaWRnZXMgdGhlc2UgY3JpdGljYWwgZ2Fwcy4iLCJjb250YWluZXItdGl0bGUtc2hvcnQiOiIifSwiaXNUZW1wb3JhcnkiOmZhbHNlfV19&quot;,&quot;citationItems&quot;:[{&quot;id&quot;:&quot;84928a07-2039-3497-9e10-da9a41addb90&quot;,&quot;itemData&quot;:{&quot;type&quot;:&quot;article-journal&quot;,&quot;id&quot;:&quot;84928a07-2039-3497-9e10-da9a41addb90&quot;,&quot;title&quot;:&quot;Reassessing the energy – finance – growth triangle in India: evidence from asymmetric and non-linear modelling&quot;,&quot;author&quot;:[{&quot;family&quot;:&quot;Ganie&quot;,&quot;given&quot;:&quot;Anam Ul Haq&quot;,&quot;parse-names&quot;:false,&quot;dropping-particle&quot;:&quot;&quot;,&quot;non-dropping-particle&quot;:&quot;&quot;},{&quot;family&quot;:&quot;Ahmad&quot;,&quot;given&quot;:&quot;Masroor&quot;,&quot;parse-names&quot;:false,&quot;dropping-particle&quot;:&quot;&quot;,&quot;non-dropping-particle&quot;:&quot;&quot;}],&quot;container-title&quot;:&quot;Journal of Financial Economic Policy&quot;,&quot;DOI&quot;:&quot;10.1108/JFEP-07-2025-0279&quot;,&quot;ISSN&quot;:&quot;1757-6385&quot;,&quot;URL&quot;:&quot;https://doi.org/10.1108/JFEP-07-2025-0279&quot;,&quot;issued&quot;:{&quot;date-parts&quot;:[[2025,12,22]]},&quot;page&quot;:&quot;1-27&quot;,&quot;abstract&quot;:&quot;This study aims to examine the asymmetric and nonlinear relationships between energy consumption, financial development and economic growth in India, a developing economy characterised by structural and institutional complexities. It further investigates the Granger causal interlinkages among these key macroeconomic variables.Using annual time series data from 1980 to 2020, the study applies the nonlinear autoregressive distributed lag (NARDL) model to capture potential asymmetries in the short and long run. In addition, the Toda–Yamamoto Granger causality test is used to ensure robustness in identifying directional causality among the variables.The results confirm a long-run asymmetric cointegrating relationship among energy consumption, financial development, labour force, capital formation and economic growth. Negative shocks to energy consumption and financial development exhibit a more pronounced adverse effect on economic growth than positive shocks. Conversely, negative changes in labour force and capital formation have a stronger positive influence on growth than their positive counterparts, indicating possible structural or efficiency-based adjustments during downturns. Causality results support both the finance-led growth and conservation hypotheses.The study is confined to India and based on aggregate national data, which may mask regional disparities or sector-specific dynamics.Despite growing interest in the energy–finance–growth nexus, limited empirical work has examined its asymmetric and nonlinear characteristics using advanced econometric techniques. Most studies continue to rely on linear models and single-indicator proxies for financial development, ignoring its complex and multidimensional nature. In the Indian context, there is a lack of studies that construct a comprehensive financial development index using principal component analysis and apply it within a nonlinear, asymmetric framework. Furthermore, the distinct effects of positive and negative shocks in energy use and financial development on economic growth remain largely unaddressed. This study bridges these critical gaps.&quot;,&quot;container-title-short&quot;:&quot;&quot;},&quot;isTemporary&quot;:false}]},{&quot;citationID&quot;:&quot;MENDELEY_CITATION_1f459a97-6a5f-455a-a59c-ea0fc7b7911c&quot;,&quot;properties&quot;:{&quot;noteIndex&quot;:0},&quot;isEdited&quot;:false,&quot;manualOverride&quot;:{&quot;isManuallyOverridden&quot;:false,&quot;citeprocText&quot;:&quot;[8]&quot;,&quot;manualOverrideText&quot;:&quot;&quot;},&quot;citationTag&quot;:&quot;MENDELEY_CITATION_v3_eyJjaXRhdGlvbklEIjoiTUVOREVMRVlfQ0lUQVRJT05fMWY0NTlhOTctNmE1Zi00NTVhLWE1OWMtZWEwZmM3Yjc5MTFj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UsInN1cHByZXNzLWF1dGhvciI6ZmFsc2UsImNvbXBvc2l0ZSI6ZmFsc2UsImF1dGhvci1vbmx5IjpmYWxzZX1dfQ==&quot;,&quot;citationItems&quot;:[{&quot;id&quot;:&quot;c2b43adc-20fc-393e-bf20-021557bcfc00&quot;,&quot;itemData&quot;:{&quot;type&quot;:&quot;article-journal&quot;,&quot;id&quot;:&quot;c2b43adc-20fc-393e-bf20-021557bcfc00&quot;,&quot;title&quot;:&quot;Machine Learning: An Applied Econometric Approach&quot;,&quot;author&quot;:[{&quot;family&quot;:&quot;Mullainathan&quot;,&quot;given&quot;:&quot;Sendhil&quot;,&quot;parse-names&quot;:false,&quot;dropping-particle&quot;:&quot;&quot;,&quot;non-dropping-particle&quot;:&quot;&quot;},{&quot;family&quot;:&quot;Spiess&quot;,&quot;given&quot;:&quot;Jann&quot;,&quot;parse-names&quot;:false,&quot;dropping-particle&quot;:&quot;&quot;,&quot;non-dropping-particle&quot;:&quot;&quot;}],&quot;container-title&quot;:&quot;Journal of Economic Perspectives&quot;,&quot;DOI&quot;:&quot;10.1257/jep.31.2.87&quot;,&quot;URL&quot;:&quot;https://www.aeaweb.org/articles?id=10.1257/jep.31.2.87&quot;,&quot;issued&quot;:{&quot;date-parts&quot;:[[2017,5]]},&quot;page&quot;:&quot;87-106&quot;,&quot;issue&quot;:&quot;2&quot;,&quot;volume&quot;:&quot;31&quot;,&quot;container-title-short&quot;:&quot;&quot;},&quot;isTemporary&quot;:false,&quot;suppress-author&quot;:false,&quot;composite&quot;:false,&quot;author-only&quot;:false}]},{&quot;citationID&quot;:&quot;MENDELEY_CITATION_194457c6-4a13-4f7f-a68e-6fd81cde0533&quot;,&quot;properties&quot;:{&quot;noteIndex&quot;:0},&quot;isEdited&quot;:false,&quot;manualOverride&quot;:{&quot;isManuallyOverridden&quot;:false,&quot;citeprocText&quot;:&quot;[9]&quot;,&quot;manualOverrideText&quot;:&quot;&quot;},&quot;citationTag&quot;:&quot;MENDELEY_CITATION_v3_eyJjaXRhdGlvbklEIjoiTUVOREVMRVlfQ0lUQVRJT05fMTk0NDU3YzYtNGExMy00ZjdmLWE2OGUtNmZkODFjZGUwNTMz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quot;,&quot;citationItems&quot;:[{&quot;id&quot;:&quot;99e8d233-43f2-3309-bf83-a8ea279f5f8c&quot;,&quot;itemData&quot;:{&quot;type&quot;:&quot;book&quot;,&quot;id&quot;:&quot;99e8d233-43f2-3309-bf83-a8ea279f5f8c&quot;,&quot;title&quot;:&quot;A Unified Approach to Interpreting Model Predictions&quot;,&quot;author&quot;:[{&quot;family&quot;:&quot;Lundberg&quot;,&quot;given&quot;:&quot;Scott&quot;,&quot;parse-names&quot;:false,&quot;dropping-particle&quot;:&quot;&quot;,&quot;non-dropping-particle&quot;:&quot;&quot;},{&quot;family&quot;:&quot;Lee&quot;,&quot;given&quot;:&quot;Su-In&quot;,&quot;parse-names&quot;:false,&quot;dropping-particle&quot;:&quot;&quot;,&quot;non-dropping-particle&quot;:&quot;&quot;}],&quot;DOI&quot;:&quot;10.48550/arXiv.1705.07874&quot;,&quot;issued&quot;:{&quot;date-parts&quot;:[[2017,12,3]]},&quot;container-title-short&quot;:&quot;&quot;},&quot;isTemporary&quot;:false,&quot;suppress-author&quot;:false,&quot;composite&quot;:false,&quot;author-only&quot;:false}]},{&quot;citationID&quot;:&quot;MENDELEY_CITATION_235a35a9-2bf4-46ec-bf49-33c21c0910c6&quot;,&quot;properties&quot;:{&quot;noteIndex&quot;:0},&quot;isEdited&quot;:false,&quot;manualOverride&quot;:{&quot;isManuallyOverridden&quot;:false,&quot;citeprocText&quot;:&quot;[10], [11], [32]&quot;,&quot;manualOverrideText&quot;:&quot;&quot;},&quot;citationTag&quot;:&quot;MENDELEY_CITATION_v3_eyJjaXRhdGlvbklEIjoiTUVOREVMRVlfQ0lUQVRJT05fMjM1YTM1YTktMmJmNC00NmVjLWJmNDktMzNjMjFjMDkxMGM2IiwicHJvcGVydGllcyI6eyJub3RlSW5kZXgiOjB9LCJpc0VkaXRlZCI6ZmFsc2UsIm1hbnVhbE92ZXJyaWRlIjp7ImlzTWFudWFsbHlPdmVycmlkZGVuIjpmYWxzZSwiY2l0ZXByb2NUZXh0IjoiWzEwXSwgWzExXSwgWzMy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LCJzdXBwcmVzcy1hdXRob3IiOmZhbHNlLCJjb21wb3NpdGUiOmZhbHNlLCJhdXRob3Itb25seSI6ZmFsc2V9LHsiaWQiOiI2Y2I5YjgxMS0xODIyLTNlOGItOGU1ZS1hMzM3NTczYjc4NjIiLCJpdGVtRGF0YSI6eyJ0eXBlIjoiYXJ0aWNsZS1qb3VybmFsIiwiaWQiOiI2Y2I5YjgxMS0xODIyLTNlOGItOGU1ZS1hMzM3NTczYjc4NjIiLCJ0aXRsZSI6Ikdlb3BvbGl0aWNhbCBzaG9ja3MgYW5kIGZpbmFuY2lhbCBjb250YWdpb24gaW4gdGhlIEluZGlhbiBlcXVpdHkgbWFya2V0IGR1cmluZyB0aGUgSXJhbi1Jc3JhZWwgY29uZmxpY3QgdXNpbmcgYWR2YW5jZWQgZWNvbm9tZXRyaWMgYW5kIG1hY2hpbmUgbGVhcm5pbmcgbWV0aG9kcyIsImF1dGhvciI6W3siZmFtaWx5IjoiQ2hlamFybGEiLCJnaXZlbiI6IlNhbmplZXYgS3VtYXIiLCJwYXJzZS1uYW1lcyI6ZmFsc2UsImRyb3BwaW5nLXBhcnRpY2xlIjoiIiwibm9uLWRyb3BwaW5nLXBhcnRpY2xlIjoiIn0seyJmYW1pbHkiOiJEdXZ2dXJpIiwiZ2l2ZW4iOiJTdW5lZWwgS3VtYXIiLCJwYXJzZS1uYW1lcyI6ZmFsc2UsImRyb3BwaW5nLXBhcnRpY2xlIjoiIiwibm9uLWRyb3BwaW5nLXBhcnRpY2xlIjoiIn0seyJmYW1pbHkiOiJSYWphbmEiLCJnaXZlbiI6IkJhbGF5eWEiLCJwYXJzZS1uYW1lcyI6ZmFsc2UsImRyb3BwaW5nLXBhcnRpY2xlIjoiIiwibm9uLWRyb3BwaW5nLXBhcnRpY2xlIjoiIn0seyJmYW1pbHkiOiJEYWtleSIsImdpdmVuIjoiUHJhc2FkIFRlamEiLCJwYXJzZS1uYW1lcyI6ZmFsc2UsImRyb3BwaW5nLXBhcnRpY2xlIjoiIiwibm9uLWRyb3BwaW5nLXBhcnRpY2xlIjoiIn0seyJmYW1pbHkiOiJSYW8iLCJnaXZlbiI6IlJhbWFjaGFuZHJhIEsiLCJwYXJzZS1uYW1lcyI6ZmFsc2UsImRyb3BwaW5nLXBhcnRpY2xlIjoiIiwibm9uLWRyb3BwaW5nLXBhcnRpY2xlIjoiIn0seyJmYW1pbHkiOiJHb3V0aGFtIiwiZ2l2ZW4iOiJNIFIiLCJwYXJzZS1uYW1lcyI6ZmFsc2UsImRyb3BwaW5nLXBhcnRpY2xlIjoiIiwibm9uLWRyb3BwaW5nLXBhcnRpY2xlIjoiIn1dLCJjb250YWluZXItdGl0bGUiOiJJbnRlcm5hdGlvbmFsIEpvdXJuYWwgb2YgRmluYW5jZSBhbmQgTWFuYWdlbWVudCBFY29ub21pY3MiLCJET0kiOiIxMC4zMzU0NS8yNjE3OTIxMC4yMDI2LnY5LmkzLjc4NSIsImlzc3VlZCI6eyJkYXRlLXBhcnRzIjpbWzIwMjZdXX0sInBhZ2UiOiIxODQtMTk3IiwiaXNzdWUiOiIzIiwidm9sdW1lIjoiOSJ9LCJpc1RlbXBvcmFyeSI6ZmFsc2V9LHsiaWQiOiI0ZGFmODlmNS1mODdkLTM4YmUtOTY3My1hZWVmMzhhMDQ3OTQiLCJpdGVtRGF0YSI6eyJ0eXBlIjoiYXJ0aWNsZS1qb3VybmFsIiwiaWQiOiI0ZGFmODlmNS1mODdkLTM4YmUtOTY3My1hZWVmMzhhMDQ3OTQiLCJ0aXRsZSI6Ikh5YnJpZCBFY29ub21ldHJpYyBhbmQgRGVlcCBMZWFybmluZyBGcmFtZXdvcmsgZm9yIEZvcmVjYXN0aW5nIEdsb2JhbCBDb21tb2RpdHkgUHJpY2UgRHluYW1pY3M6IEV2aWRlbmNlIGZyb20gTXVsdGktQ29tbW9kaXR5IFRpbWUgU2VyaWVzICgyMDAwLTIwMjYpIiwiYXV0aG9yIjpbeyJmYW1pbHkiOiJSYWphbmEiLCJnaXZlbiI6IkJhbGF5eWEiLCJwYXJzZS1uYW1lcyI6ZmFsc2UsImRyb3BwaW5nLXBhcnRpY2xlIjoiIiwibm9uLWRyb3BwaW5nLXBhcnRpY2xlIjoiIn0seyJmYW1pbHkiOiJEdXZ2dXJpIiwiZ2l2ZW4iOiJTdW5lZWwgS3VtYXIiLCJwYXJzZS1uYW1lcyI6ZmFsc2UsImRyb3BwaW5nLXBhcnRpY2xlIjoiIiwibm9uLWRyb3BwaW5nLXBhcnRpY2xlIjoiIn0seyJmYW1pbHkiOiJDaGVqYXJsYSIsImdpdmVuIjoiU2FuamVldiBLdW1hciIsInBhcnNlLW5hbWVzIjpmYWxzZSwiZHJvcHBpbmctcGFydGljbGUiOiIiLCJub24tZHJvcHBpbmctcGFydGljbGUiOiIifSx7ImZhbWlseSI6IkRha2V5IiwiZ2l2ZW4iOiJQcmFzYWQgVGVqYSIsInBhcnNlLW5hbWVzIjpmYWxzZSwiZHJvcHBpbmctcGFydGljbGUiOiIiLCJub24tZHJvcHBpbmctcGFydGljbGUiOiIifSx7ImZhbWlseSI6IlJhbWFjaGFuZHJhIFJhbyIsImdpdmVuIjoiSyIsInBhcnNlLW5hbWVzIjpmYWxzZSwiZHJvcHBpbmctcGFydGljbGUiOiIiLCJub24tZHJvcHBpbmctcGFydGljbGUiOiIifSx7ImZhbWlseSI6IkdhbmRhbSIsImdpdmVuIjoiVGhpbG90aHUgUmFvIiwicGFyc2UtbmFtZXMiOmZhbHNlLCJkcm9wcGluZy1wYXJ0aWNsZSI6IiIsIm5vbi1kcm9wcGluZy1wYXJ0aWNsZSI6IiJ9XSwiY29udGFpbmVyLXRpdGxlIjoiR2xvYmFsIEFjYWRlbWljIEpvdXJuYWwgb2YgRWNvbm9taWNzIGFuZCBCdXNpbmVzcyIsIkRPSSI6IjEwLjM2MzQ4L2dhamViLjIwMjYudjA4aTAyLjAxMCIsIlVSTCI6Imh0dHBzOi8vZG9pLm9yZy8xMC4zNjM0OC9nYWplYi4yMDI2LnYwOGkwMi4wMTAiLCJpc3N1ZWQiOnsiZGF0ZS1wYXJ0cyI6W1syMDI2XV19LCJwYWdlIjoiMTY2LTE4MiIsImlzc3VlIjoiMiIsInZvbHVtZSI6IjgifSwiaXNUZW1wb3JhcnkiOmZhbHNlfV19&quot;,&quot;citationItems&quot;:[{&quot;id&quot;:&quot;05841937-0581-3b55-9627-052cd1ed0298&quot;,&quot;itemData&quot;:{&quot;type&quot;:&quot;article-journal&quot;,&quot;id&quot;:&quot;05841937-0581-3b55-9627-052cd1ed0298&quot;,&quot;title&quot;:&quot;Forecasting and Explaining Non-Performing Assets in Indian Banking Groups Using Panel Econometrics and Explainable Machine Learning Model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K Ramachandra&quot;,&quot;parse-names&quot;:false,&quot;dropping-particle&quot;:&quot;&quot;,&quot;non-dropping-particle&quot;:&quot;&quot;},{&quot;family&quot;:&quot;Goutham&quot;,&quot;given&quot;:&quot;M R&quot;,&quot;parse-names&quot;:false,&quot;dropping-particle&quot;:&quot;&quot;,&quot;non-dropping-particle&quot;:&quot;&quot;}],&quot;container-title&quot;:&quot;Journal of Global Economics, Management and Business Research&quot;,&quot;DOI&quot;:&quot;10.56557/jgembr/2026/v18i210427&quot;,&quot;issued&quot;:{&quot;date-parts&quot;:[[2026]]},&quot;page&quot;:&quot;58-78&quot;,&quot;issue&quot;:&quot;2&quot;,&quot;volume&quot;:&quot;18&quot;,&quot;container-title-short&quot;:&quot;&quot;},&quot;isTemporary&quot;:false,&quot;suppress-author&quot;:false,&quot;composite&quot;:false,&quot;author-only&quot;:false},{&quot;id&quot;:&quot;6cb9b811-1822-3e8b-8e5e-a337573b7862&quot;,&quot;itemData&quot;:{&quot;type&quot;:&quot;article-journal&quot;,&quot;id&quot;:&quot;6cb9b811-1822-3e8b-8e5e-a337573b7862&quot;,&quot;title&quot;:&quot;Geopolitical shocks and financial contagion in the Indian equity market during the Iran-Israel conflict using advanced econometric and machine learning method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Ramachandra K&quot;,&quot;parse-names&quot;:false,&quot;dropping-particle&quot;:&quot;&quot;,&quot;non-dropping-particle&quot;:&quot;&quot;},{&quot;family&quot;:&quot;Goutham&quot;,&quot;given&quot;:&quot;M R&quot;,&quot;parse-names&quot;:false,&quot;dropping-particle&quot;:&quot;&quot;,&quot;non-dropping-particle&quot;:&quot;&quot;}],&quot;container-title&quot;:&quot;International Journal of Finance and Management Economics&quot;,&quot;DOI&quot;:&quot;10.33545/26179210.2026.v9.i3.785&quot;,&quot;issued&quot;:{&quot;date-parts&quot;:[[2026]]},&quot;page&quot;:&quot;184-197&quot;,&quot;issue&quot;:&quot;3&quot;,&quot;volume&quot;:&quot;9&quot;},&quot;isTemporary&quot;:false},{&quot;id&quot;:&quot;4daf89f5-f87d-38be-9673-aeef38a04794&quot;,&quot;itemData&quot;:{&quot;type&quot;:&quot;article-journal&quot;,&quot;id&quot;:&quot;4daf89f5-f87d-38be-9673-aeef38a04794&quot;,&quot;title&quot;:&quot;Hybrid Econometric and Deep Learning Framework for Forecasting Global Commodity Price Dynamics: Evidence from Multi-Commodity Time Series (2000-2026)&quot;,&quot;author&quot;:[{&quot;family&quot;:&quot;Rajana&quot;,&quot;given&quot;:&quot;Balayya&quot;,&quot;parse-names&quot;:false,&quot;dropping-particle&quot;:&quot;&quot;,&quot;non-dropping-particle&quot;:&quot;&quot;},{&quot;family&quot;:&quot;Duvvuri&quot;,&quot;given&quot;:&quot;Suneel Kumar&quot;,&quot;parse-names&quot;:false,&quot;dropping-particle&quot;:&quot;&quot;,&quot;non-dropping-particle&quot;:&quot;&quot;},{&quot;family&quot;:&quot;Chejarla&quot;,&quot;given&quot;:&quot;Sanjeev Kumar&quot;,&quot;parse-names&quot;:false,&quot;dropping-particle&quot;:&quot;&quot;,&quot;non-dropping-particle&quot;:&quot;&quot;},{&quot;family&quot;:&quot;Dakey&quot;,&quot;given&quot;:&quot;Prasad Teja&quot;,&quot;parse-names&quot;:false,&quot;dropping-particle&quot;:&quot;&quot;,&quot;non-dropping-particle&quot;:&quot;&quot;},{&quot;family&quot;:&quot;Ramachandra Rao&quot;,&quot;given&quot;:&quot;K&quot;,&quot;parse-names&quot;:false,&quot;dropping-particle&quot;:&quot;&quot;,&quot;non-dropping-particle&quot;:&quot;&quot;},{&quot;family&quot;:&quot;Gandam&quot;,&quot;given&quot;:&quot;Thilothu Rao&quot;,&quot;parse-names&quot;:false,&quot;dropping-particle&quot;:&quot;&quot;,&quot;non-dropping-particle&quot;:&quot;&quot;}],&quot;container-title&quot;:&quot;Global Academic Journal of Economics and Business&quot;,&quot;DOI&quot;:&quot;10.36348/gajeb.2026.v08i02.010&quot;,&quot;URL&quot;:&quot;https://doi.org/10.36348/gajeb.2026.v08i02.010&quot;,&quot;issued&quot;:{&quot;date-parts&quot;:[[2026]]},&quot;page&quot;:&quot;166-182&quot;,&quot;issue&quot;:&quot;2&quot;,&quot;volume&quot;:&quot;8&quot;},&quot;isTemporary&quot;:false}]},{&quot;citationID&quot;:&quot;MENDELEY_CITATION_8b95a48a-7fc9-45f6-b006-51e2b89c22bb&quot;,&quot;properties&quot;:{&quot;noteIndex&quot;:0},&quot;isEdited&quot;:false,&quot;manualOverride&quot;:{&quot;isManuallyOverridden&quot;:false,&quot;citeprocText&quot;:&quot;[28]&quot;,&quot;manualOverrideText&quot;:&quot;&quot;},&quot;citationTag&quot;:&quot;MENDELEY_CITATION_v3_eyJjaXRhdGlvbklEIjoiTUVOREVMRVlfQ0lUQVRJT05fOGI5NWE0OGEtN2ZjOS00NWY2LWIwMDYtNTFlMmI4OWMyMmJi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V9XX0=&quot;,&quot;citationItems&quot;:[{&quot;id&quot;:&quot;e69b82f3-3e7e-3b41-a0d5-d2478ef862b4&quot;,&quot;itemData&quot;:{&quot;type&quot;:&quot;article-journal&quot;,&quot;id&quot;:&quot;e69b82f3-3e7e-3b41-a0d5-d2478ef862b4&quot;,&quot;title&quot;:&quot;Does trade openness affect economic growth in India? Evidence from threshold cointegration with asymmetric adjustment&quot;,&quot;author&quot;:[{&quot;family&quot;:&quot;Mallick&quot;,&quot;given&quot;:&quot;Lingaraj&quot;,&quot;parse-names&quot;:false,&quot;dropping-particle&quot;:&quot;&quot;,&quot;non-dropping-particle&quot;:&quot;&quot;},{&quot;family&quot;:&quot;Behera&quot;,&quot;given&quot;:&quot;Smruti Ranjan&quot;,&quot;parse-names&quot;:false,&quot;dropping-particle&quot;:&quot;&quot;,&quot;non-dropping-particle&quot;:&quot;&quot;}],&quot;container-title&quot;:&quot;Cogent Economics &amp; Finance&quot;,&quot;editor&quot;:[{&quot;family&quot;:&quot;Sapena&quot;,&quot;given&quot;:&quot;Juan&quot;,&quot;parse-names&quot;:false,&quot;dropping-particle&quot;:&quot;&quot;,&quot;non-dropping-particle&quot;:&quot;&quot;}],&quot;DOI&quot;:&quot;10.1080/23322039.2020.1782659&quot;,&quot;URL&quot;:&quot;https://doi.org/10.1080/23322039.2020.1782659&quot;,&quot;issued&quot;:{&quot;date-parts&quot;:[[2020]]},&quot;page&quot;:&quot;1782659&quot;,&quot;publisher&quot;:&quot;Cogent OA&quot;,&quot;issue&quot;:&quot;1&quot;,&quot;volume&quot;:&quot;8&quot;,&quot;container-title-short&quot;:&quot;&quot;},&quot;isTemporary&quot;:false}]},{&quot;citationID&quot;:&quot;MENDELEY_CITATION_fb86a93a-77aa-4a78-844d-3bdee673259f&quot;,&quot;properties&quot;:{&quot;noteIndex&quot;:0},&quot;isEdited&quot;:false,&quot;manualOverride&quot;:{&quot;isManuallyOverridden&quot;:false,&quot;citeprocText&quot;:&quot;[6]&quot;,&quot;manualOverrideText&quot;:&quot;&quot;},&quot;citationTag&quot;:&quot;MENDELEY_CITATION_v3_eyJjaXRhdGlvbklEIjoiTUVOREVMRVlfQ0lUQVRJT05fZmI4NmE5M2EtNzdhYS00YTc4LTg0NGQtM2JkZWU2NzMyNTlm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V9XX0=&quot;,&quot;citationItems&quot;:[{&quot;id&quot;:&quot;1b7ff11f-31c3-32ff-9352-57c47c30cf66&quot;,&quot;itemData&quot;:{&quot;type&quot;:&quot;article-journal&quot;,&quot;id&quot;:&quot;1b7ff11f-31c3-32ff-9352-57c47c30cf66&quot;,&quot;title&quot;:&quot;Bounds testing approaches to the analysis of level relationship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ichard J&quot;,&quot;parse-names&quot;:false,&quot;dropping-particle&quot;:&quot;&quot;,&quot;non-dropping-particle&quot;:&quot;&quot;}],&quot;container-title&quot;:&quot;Journal of Applied Econometrics&quot;,&quot;DOI&quot;:&quot;https://doi.org/10.1002/jae.616&quot;,&quot;ISSN&quot;:&quot;0883-7252&quot;,&quot;URL&quot;:&quot;https://doi.org/10.1002/jae.616&quot;,&quot;issued&quot;:{&quot;date-parts&quot;:[[2001,5,1]]},&quot;page&quot;:&quot;289-326&quot;,&quot;abstract&quot;:&quot;Abstract This paper develops a new approach to the problem of testing the existence of a level relationship between a dependent variable and a set of regressors, when it is not known with certainty whether the underlying regressors are trend- or first-difference stationary. The proposed tests are based on standard F- and t-statistics used to test the significance of the lagged levels of the variables in a univariate equilibrium correction mechanism. The asymptotic distributions of these statistics are non-standard under the null hypothesis that there exists no level relationship, irrespective of whether the regressors are I(0) or I(1). Two sets of asymptotic critical values are provided: one when all regressors are purely I(1) and the other if they are all purely I(0). These two sets of critical values provide a band covering all possible classifications of the regressors into purely I(0), purely I(1) or mutually cointegrated. Accordingly, various bounds testing procedures are proposed. It is shown that the proposed tests are consistent, and their asymptotic distribution under the null and suitably defined local alternatives are derived. The empirical relevance of the bounds procedures is demonstrated by a re-examination of the earnings equation included in the UK Treasury macroeconometric model. Copyright ? 2001 John Wiley &amp; Sons, Ltd.&quot;,&quot;publisher&quot;:&quot;John Wiley &amp; Sons, Ltd&quot;,&quot;issue&quot;:&quot;3&quot;,&quot;volume&quot;:&quot;16&quot;,&quot;container-title-short&quot;:&quot;&quot;},&quot;isTemporary&quot;:false}]},{&quot;citationID&quot;:&quot;MENDELEY_CITATION_6887824a-9c6d-4a49-bd23-e0d39ab08306&quot;,&quot;properties&quot;:{&quot;noteIndex&quot;:0},&quot;isEdited&quot;:false,&quot;manualOverride&quot;:{&quot;isManuallyOverridden&quot;:false,&quot;citeprocText&quot;:&quot;[7]&quot;,&quot;manualOverrideText&quot;:&quot;&quot;},&quot;citationTag&quot;:&quot;MENDELEY_CITATION_v3_eyJjaXRhdGlvbklEIjoiTUVOREVMRVlfQ0lUQVRJT05fNjg4NzgyNGEtOWM2ZC00YTQ5LWJkMjMtZTBkMzlhYjA4MzA2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quot;,&quot;citationItems&quot;:[{&quot;id&quot;:&quot;043b3e44-7e21-36fd-bdd2-10b124c10ab2&quot;,&quot;itemData&quot;:{&quot;type&quot;:&quot;chapter&quot;,&quot;id&quot;:&quot;043b3e44-7e21-36fd-bdd2-10b124c10ab2&quot;,&quot;title&quot;:&quot;Modelling Asymmetric Cointegration and Dynamic Multipliers in a Nonlinear ARDL Framework&quot;,&quot;author&quot;:[{&quot;family&quot;:&quot;Shin&quot;,&quot;given&quot;:&quot;Yongcheol&quot;,&quot;parse-names&quot;:false,&quot;dropping-particle&quot;:&quot;&quot;,&quot;non-dropping-particle&quot;:&quot;&quot;},{&quot;family&quot;:&quot;Yu&quot;,&quot;given&quot;:&quot;Byungchul&quot;,&quot;parse-names&quot;:false,&quot;dropping-particle&quot;:&quot;&quot;,&quot;non-dropping-particle&quot;:&quot;&quot;},{&quot;family&quot;:&quot;Greenwood-Nimmo&quot;,&quot;given&quot;:&quot;Matthew&quot;,&quot;parse-names&quot;:false,&quot;dropping-particle&quot;:&quot;&quot;,&quot;non-dropping-particle&quot;:&quot;&quot;}],&quot;container-title&quot;:&quot;Festschrift in Honor of Peter Schmidt: Econometric Methods and Applications&quot;,&quot;editor&quot;:[{&quot;family&quot;:&quot;Sickles&quot;,&quot;given&quot;:&quot;Robin C&quot;,&quot;parse-names&quot;:false,&quot;dropping-particle&quot;:&quot;&quot;,&quot;non-dropping-particle&quot;:&quot;&quot;},{&quot;family&quot;:&quot;Horrace&quot;,&quot;given&quot;:&quot;William C&quot;,&quot;parse-names&quot;:false,&quot;dropping-particle&quot;:&quot;&quot;,&quot;non-dropping-particle&quot;:&quot;&quot;}],&quot;DOI&quot;:&quot;10.1007/978-1-4899-8008-3_9&quot;,&quot;ISBN&quot;:&quot;978-1-4899-8008-3&quot;,&quot;URL&quot;:&quot;https://doi.org/10.1007/978-1-4899-8008-3_9&quot;,&quot;issued&quot;:{&quot;date-parts&quot;:[[2014]]},&quot;publisher-place&quot;:&quot;New York, NY&quot;,&quot;page&quot;:&quot;281-314&quot;,&quot;abstract&quot;:&quot;We develop a cointegrating nonlinear autoregressive distributed lag (NARDL) model in which short- and long-run nonlinearities are introduced via positive and negative partial sum decompositions of the explanatory variables. We demonstrate that the model is estimable by OLS and that reliable long-run inference can be achieved by bounds-testing regardless of the integration orders of the variables. Furthermore, we derive asymmetric dynamic multipliers that graphically depict the traverse between the short- and the long-run. The salient features of the model are illustrated using the example of the nonlinear unemployment-output relationship in the US, Canada and Japan.&quot;,&quot;publisher&quot;:&quot;Springer New York&quot;,&quot;container-title-short&quot;:&quot;&quot;},&quot;isTemporary&quot;:false}]}]"/>
    <we:property name="MENDELEY_CITATIONS_STYLE" value="{&quot;id&quot;:&quot;http://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9824-718A-47FA-81B1-6D52E2524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20</Pages>
  <Words>8864</Words>
  <Characters>50531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Suneel Duvvuri</dc:creator>
  <cp:keywords/>
  <dc:description/>
  <cp:lastModifiedBy>Suneel Duvvuri</cp:lastModifiedBy>
  <cp:revision>103</cp:revision>
  <dcterms:created xsi:type="dcterms:W3CDTF">2026-04-29T04:14:00Z</dcterms:created>
  <dcterms:modified xsi:type="dcterms:W3CDTF">2026-05-05T11:09:00Z</dcterms:modified>
</cp:coreProperties>
</file>