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16291" w14:textId="4CF5DF83" w:rsidR="005801C8" w:rsidRPr="00E10446" w:rsidRDefault="002326DC">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10446">
        <w:rPr>
          <w:rFonts w:ascii="Times New Roman" w:hAnsi="Times New Roman" w:cs="Times New Roman"/>
          <w:b/>
          <w:bCs/>
          <w:sz w:val="24"/>
          <w:szCs w:val="24"/>
        </w:rPr>
        <w:t>ENERGY CONSUMPTION AND POVERTY REDUCTION NEXUS</w:t>
      </w:r>
      <w:r w:rsidR="00D945DE" w:rsidRPr="00D945DE">
        <w:rPr>
          <w:rFonts w:ascii="Times New Roman" w:hAnsi="Times New Roman" w:cs="Times New Roman"/>
          <w:b/>
          <w:bCs/>
          <w:sz w:val="24"/>
          <w:szCs w:val="24"/>
        </w:rPr>
        <w:t>: EVIDENCE FROM SELECTED ECOWAS STATES</w:t>
      </w:r>
    </w:p>
    <w:p w14:paraId="4A61A9FC" w14:textId="547A8A13" w:rsidR="00E67DD1" w:rsidRDefault="00E67DD1" w:rsidP="008D337A">
      <w:pPr>
        <w:spacing w:after="0" w:line="240" w:lineRule="auto"/>
        <w:jc w:val="center"/>
        <w:rPr>
          <w:rFonts w:ascii="Times New Roman" w:hAnsi="Times New Roman" w:cs="Times New Roman"/>
          <w:sz w:val="24"/>
          <w:szCs w:val="24"/>
        </w:rPr>
      </w:pPr>
    </w:p>
    <w:p w14:paraId="7C0FDE41" w14:textId="07CE5E46" w:rsidR="00D730B7" w:rsidRDefault="00D730B7" w:rsidP="008D337A">
      <w:pPr>
        <w:spacing w:after="0" w:line="240" w:lineRule="auto"/>
        <w:jc w:val="center"/>
        <w:rPr>
          <w:rFonts w:ascii="Times New Roman" w:hAnsi="Times New Roman" w:cs="Times New Roman"/>
          <w:sz w:val="24"/>
          <w:szCs w:val="24"/>
        </w:rPr>
      </w:pPr>
    </w:p>
    <w:p w14:paraId="1303643F" w14:textId="04297CF0" w:rsidR="00D730B7" w:rsidRDefault="00D730B7" w:rsidP="008D337A">
      <w:pPr>
        <w:spacing w:after="0" w:line="240" w:lineRule="auto"/>
        <w:jc w:val="center"/>
        <w:rPr>
          <w:rFonts w:ascii="Times New Roman" w:hAnsi="Times New Roman" w:cs="Times New Roman"/>
          <w:sz w:val="24"/>
          <w:szCs w:val="24"/>
        </w:rPr>
      </w:pPr>
    </w:p>
    <w:p w14:paraId="46AAB191" w14:textId="77777777" w:rsidR="00D730B7" w:rsidRPr="00E10446" w:rsidRDefault="00D730B7" w:rsidP="008D337A">
      <w:pPr>
        <w:spacing w:after="0" w:line="240" w:lineRule="auto"/>
        <w:jc w:val="center"/>
        <w:rPr>
          <w:rFonts w:ascii="Times New Roman" w:hAnsi="Times New Roman" w:cs="Times New Roman"/>
          <w:sz w:val="24"/>
          <w:szCs w:val="24"/>
        </w:rPr>
      </w:pPr>
    </w:p>
    <w:p w14:paraId="7F57D276" w14:textId="77777777" w:rsidR="000259CB" w:rsidRPr="00E10446" w:rsidRDefault="000259CB" w:rsidP="000259CB">
      <w:pPr>
        <w:spacing w:after="0"/>
        <w:jc w:val="both"/>
        <w:rPr>
          <w:rFonts w:ascii="Times New Roman" w:hAnsi="Times New Roman" w:cs="Times New Roman"/>
          <w:b/>
          <w:bCs/>
          <w:sz w:val="24"/>
          <w:szCs w:val="24"/>
        </w:rPr>
      </w:pPr>
      <w:r w:rsidRPr="00E10446">
        <w:rPr>
          <w:rFonts w:ascii="Times New Roman" w:hAnsi="Times New Roman" w:cs="Times New Roman"/>
          <w:b/>
          <w:bCs/>
          <w:sz w:val="24"/>
          <w:szCs w:val="24"/>
        </w:rPr>
        <w:t>Abstract</w:t>
      </w:r>
    </w:p>
    <w:p w14:paraId="39DCD9D4" w14:textId="7CDC70B0" w:rsidR="005801C8" w:rsidRPr="00E10446" w:rsidRDefault="000259CB" w:rsidP="00FA6A57">
      <w:pPr>
        <w:spacing w:after="0" w:line="240" w:lineRule="auto"/>
        <w:jc w:val="both"/>
        <w:rPr>
          <w:rFonts w:ascii="Times New Roman" w:hAnsi="Times New Roman" w:cs="Times New Roman"/>
          <w:i/>
          <w:iCs/>
          <w:sz w:val="24"/>
          <w:szCs w:val="24"/>
        </w:rPr>
      </w:pPr>
      <w:r w:rsidRPr="00E10446">
        <w:rPr>
          <w:rFonts w:ascii="Times New Roman" w:hAnsi="Times New Roman" w:cs="Times New Roman"/>
          <w:i/>
          <w:iCs/>
          <w:sz w:val="24"/>
          <w:szCs w:val="24"/>
        </w:rPr>
        <w:t xml:space="preserve">This study investigates the relationship between energy consumption, labour productivity, economic growth, and poverty in selected West African countries, with emphasis on distributional heterogeneity. </w:t>
      </w:r>
      <w:r w:rsidR="006735FA" w:rsidRPr="00E10446">
        <w:rPr>
          <w:rFonts w:ascii="Times New Roman" w:hAnsi="Times New Roman" w:cs="Times New Roman"/>
          <w:i/>
          <w:iCs/>
          <w:sz w:val="24"/>
          <w:szCs w:val="24"/>
        </w:rPr>
        <w:t xml:space="preserve">The study covered the period of 1990-2024. </w:t>
      </w:r>
      <w:r w:rsidRPr="00E10446">
        <w:rPr>
          <w:rFonts w:ascii="Times New Roman" w:hAnsi="Times New Roman" w:cs="Times New Roman"/>
          <w:i/>
          <w:iCs/>
          <w:sz w:val="24"/>
          <w:szCs w:val="24"/>
        </w:rPr>
        <w:t xml:space="preserve">The motivation </w:t>
      </w:r>
      <w:r w:rsidR="00FC4A46">
        <w:rPr>
          <w:rFonts w:ascii="Times New Roman" w:hAnsi="Times New Roman" w:cs="Times New Roman"/>
          <w:i/>
          <w:iCs/>
          <w:sz w:val="24"/>
          <w:szCs w:val="24"/>
        </w:rPr>
        <w:t xml:space="preserve">for this study </w:t>
      </w:r>
      <w:r w:rsidRPr="00E10446">
        <w:rPr>
          <w:rFonts w:ascii="Times New Roman" w:hAnsi="Times New Roman" w:cs="Times New Roman"/>
          <w:i/>
          <w:iCs/>
          <w:sz w:val="24"/>
          <w:szCs w:val="24"/>
        </w:rPr>
        <w:t>stems from persistent</w:t>
      </w:r>
      <w:r w:rsidR="00FC4A46">
        <w:rPr>
          <w:rFonts w:ascii="Times New Roman" w:hAnsi="Times New Roman" w:cs="Times New Roman"/>
          <w:i/>
          <w:iCs/>
          <w:sz w:val="24"/>
          <w:szCs w:val="24"/>
        </w:rPr>
        <w:t xml:space="preserve"> </w:t>
      </w:r>
      <w:r w:rsidRPr="00E10446">
        <w:rPr>
          <w:rFonts w:ascii="Times New Roman" w:hAnsi="Times New Roman" w:cs="Times New Roman"/>
          <w:i/>
          <w:iCs/>
          <w:sz w:val="24"/>
          <w:szCs w:val="24"/>
        </w:rPr>
        <w:t>poverty</w:t>
      </w:r>
      <w:r w:rsidR="00FC4A46">
        <w:rPr>
          <w:rFonts w:ascii="Times New Roman" w:hAnsi="Times New Roman" w:cs="Times New Roman"/>
          <w:i/>
          <w:iCs/>
          <w:sz w:val="24"/>
          <w:szCs w:val="24"/>
        </w:rPr>
        <w:t xml:space="preserve"> crisis</w:t>
      </w:r>
      <w:r w:rsidRPr="00E10446">
        <w:rPr>
          <w:rFonts w:ascii="Times New Roman" w:hAnsi="Times New Roman" w:cs="Times New Roman"/>
          <w:i/>
          <w:iCs/>
          <w:sz w:val="24"/>
          <w:szCs w:val="24"/>
        </w:rPr>
        <w:t xml:space="preserve"> in the region despite rising energy use and economic growth, suggesting that </w:t>
      </w:r>
      <w:r w:rsidR="00FC4A46">
        <w:rPr>
          <w:rFonts w:ascii="Times New Roman" w:hAnsi="Times New Roman" w:cs="Times New Roman"/>
          <w:i/>
          <w:iCs/>
          <w:sz w:val="24"/>
          <w:szCs w:val="24"/>
        </w:rPr>
        <w:t>w</w:t>
      </w:r>
      <w:r w:rsidR="00FC4A46" w:rsidRPr="00FC4A46">
        <w:rPr>
          <w:rFonts w:ascii="Times New Roman" w:hAnsi="Times New Roman" w:cs="Times New Roman"/>
          <w:i/>
          <w:iCs/>
          <w:sz w:val="24"/>
          <w:szCs w:val="24"/>
        </w:rPr>
        <w:t>hile mean-based estimators provide average insights, they may overlook differences driven by initial poverty conditions. Quantile regression addresses this by capturing distribution-specific effects, revealing whether energy interventions are more effective in low-, middle-, or high-poverty contexts</w:t>
      </w:r>
      <w:r w:rsidRPr="00E10446">
        <w:rPr>
          <w:rFonts w:ascii="Times New Roman" w:hAnsi="Times New Roman" w:cs="Times New Roman"/>
          <w:i/>
          <w:iCs/>
          <w:sz w:val="24"/>
          <w:szCs w:val="24"/>
        </w:rPr>
        <w:t xml:space="preserve">. The study employs </w:t>
      </w:r>
      <w:r w:rsidR="00D96543">
        <w:rPr>
          <w:rFonts w:ascii="Times New Roman" w:hAnsi="Times New Roman" w:cs="Times New Roman"/>
          <w:i/>
          <w:iCs/>
          <w:sz w:val="24"/>
          <w:szCs w:val="24"/>
        </w:rPr>
        <w:t>generalized method of moment</w:t>
      </w:r>
      <w:r w:rsidRPr="00E10446">
        <w:rPr>
          <w:rFonts w:ascii="Times New Roman" w:hAnsi="Times New Roman" w:cs="Times New Roman"/>
          <w:i/>
          <w:iCs/>
          <w:sz w:val="24"/>
          <w:szCs w:val="24"/>
        </w:rPr>
        <w:t xml:space="preserve"> (</w:t>
      </w:r>
      <w:r w:rsidR="00D96543">
        <w:rPr>
          <w:rFonts w:ascii="Times New Roman" w:hAnsi="Times New Roman" w:cs="Times New Roman"/>
          <w:i/>
          <w:iCs/>
          <w:sz w:val="24"/>
          <w:szCs w:val="24"/>
        </w:rPr>
        <w:t>GMM</w:t>
      </w:r>
      <w:r w:rsidRPr="00E10446">
        <w:rPr>
          <w:rFonts w:ascii="Times New Roman" w:hAnsi="Times New Roman" w:cs="Times New Roman"/>
          <w:i/>
          <w:iCs/>
          <w:sz w:val="24"/>
          <w:szCs w:val="24"/>
        </w:rPr>
        <w:t xml:space="preserve">), Panel Nonlinear Autoregressive Distributed Lag (NARDL), and Panel Quantile Regression techniques to capture long-run, asymmetric, and distributional effects. </w:t>
      </w:r>
      <w:r w:rsidR="00BB5AAA">
        <w:rPr>
          <w:rFonts w:ascii="Times New Roman" w:hAnsi="Times New Roman" w:cs="Times New Roman"/>
          <w:i/>
          <w:iCs/>
          <w:sz w:val="24"/>
          <w:szCs w:val="24"/>
        </w:rPr>
        <w:t>Empirical result showed that a</w:t>
      </w:r>
      <w:r w:rsidR="00EB04F2" w:rsidRPr="00EB04F2">
        <w:rPr>
          <w:rFonts w:ascii="Times New Roman" w:hAnsi="Times New Roman" w:cs="Times New Roman"/>
          <w:i/>
          <w:iCs/>
          <w:sz w:val="24"/>
          <w:szCs w:val="24"/>
        </w:rPr>
        <w:t xml:space="preserve">cross the various estimation methods, renewable energy consumption (RENC) consistently exhibits a negative relationship with poverty, confirming its poverty-reducing role. </w:t>
      </w:r>
      <w:r w:rsidR="00D96543">
        <w:rPr>
          <w:rFonts w:ascii="Times New Roman" w:hAnsi="Times New Roman" w:cs="Times New Roman"/>
          <w:i/>
          <w:iCs/>
          <w:sz w:val="24"/>
          <w:szCs w:val="24"/>
        </w:rPr>
        <w:t>GMM</w:t>
      </w:r>
      <w:r w:rsidR="00EB04F2" w:rsidRPr="00EB04F2">
        <w:rPr>
          <w:rFonts w:ascii="Times New Roman" w:hAnsi="Times New Roman" w:cs="Times New Roman"/>
          <w:i/>
          <w:iCs/>
          <w:sz w:val="24"/>
          <w:szCs w:val="24"/>
        </w:rPr>
        <w:t xml:space="preserve"> shows a modest negative effect, while NARDL highlights stronger asymmetric impacts, especially from negative shocks. Quantile regression reveals robust and significant effects across all distributions, with stronger impacts at higher poverty levels.</w:t>
      </w:r>
      <w:r w:rsidR="00EB04F2">
        <w:rPr>
          <w:rFonts w:ascii="Times New Roman" w:hAnsi="Times New Roman" w:cs="Times New Roman"/>
          <w:i/>
          <w:iCs/>
          <w:sz w:val="24"/>
          <w:szCs w:val="24"/>
        </w:rPr>
        <w:t xml:space="preserve"> </w:t>
      </w:r>
      <w:r w:rsidRPr="00E10446">
        <w:rPr>
          <w:rFonts w:ascii="Times New Roman" w:hAnsi="Times New Roman" w:cs="Times New Roman"/>
          <w:i/>
          <w:iCs/>
          <w:sz w:val="24"/>
          <w:szCs w:val="24"/>
        </w:rPr>
        <w:t>Non-renewable energy exhibits mixed and often insignificant effects, while in some cases worsening poverty outcomes due to inefficiencies and volatility. Economic growth (GDP) shows weak and sometimes non-inclusive effects, indicating that growth does not automatically translate into poverty reduction. Labour productivity demonstrates context-specific impacts, becoming more relevant in certain quantiles and short-run dynamics. The findings further confirm significant asymmetry and heterogeneity in the energy–poverty nexus, supporting the superiority of quantile regression in capturing distributional effects. The study concludes that inclusive energy transitions, productivity enhancement, and targeted pro-poor growth strategies are essential for sustainable poverty reduction in West Africa.</w:t>
      </w:r>
    </w:p>
    <w:p w14:paraId="2E957DAF" w14:textId="77777777" w:rsidR="000259CB" w:rsidRPr="00E10446" w:rsidRDefault="000259CB" w:rsidP="000259CB">
      <w:pPr>
        <w:spacing w:after="0"/>
        <w:jc w:val="both"/>
        <w:rPr>
          <w:rFonts w:ascii="Times New Roman" w:hAnsi="Times New Roman" w:cs="Times New Roman"/>
          <w:sz w:val="24"/>
          <w:szCs w:val="24"/>
        </w:rPr>
      </w:pPr>
    </w:p>
    <w:p w14:paraId="676492A7" w14:textId="2E568C3F" w:rsidR="000259CB" w:rsidRPr="00E10446" w:rsidRDefault="000259CB" w:rsidP="000259CB">
      <w:pPr>
        <w:spacing w:after="0"/>
        <w:jc w:val="both"/>
        <w:rPr>
          <w:rFonts w:ascii="Times New Roman" w:hAnsi="Times New Roman" w:cs="Times New Roman"/>
          <w:sz w:val="24"/>
          <w:szCs w:val="24"/>
        </w:rPr>
      </w:pPr>
      <w:r w:rsidRPr="00E10446">
        <w:rPr>
          <w:rFonts w:ascii="Times New Roman" w:hAnsi="Times New Roman" w:cs="Times New Roman"/>
          <w:b/>
          <w:bCs/>
          <w:sz w:val="24"/>
          <w:szCs w:val="24"/>
        </w:rPr>
        <w:t>Keywords:</w:t>
      </w:r>
      <w:r w:rsidRPr="00E10446">
        <w:rPr>
          <w:rFonts w:ascii="Times New Roman" w:hAnsi="Times New Roman" w:cs="Times New Roman"/>
          <w:sz w:val="24"/>
          <w:szCs w:val="24"/>
        </w:rPr>
        <w:t xml:space="preserve"> Energy consumption</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Poverty</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Renewable energy</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Quantile regression</w:t>
      </w:r>
      <w:r w:rsidR="006735FA" w:rsidRPr="00E10446">
        <w:rPr>
          <w:rFonts w:ascii="Times New Roman" w:hAnsi="Times New Roman" w:cs="Times New Roman"/>
          <w:sz w:val="24"/>
          <w:szCs w:val="24"/>
        </w:rPr>
        <w:t>,</w:t>
      </w:r>
      <w:r w:rsidRPr="00E10446">
        <w:rPr>
          <w:rFonts w:ascii="Times New Roman" w:hAnsi="Times New Roman" w:cs="Times New Roman"/>
          <w:sz w:val="24"/>
          <w:szCs w:val="24"/>
        </w:rPr>
        <w:t xml:space="preserve"> West Africa</w:t>
      </w:r>
    </w:p>
    <w:p w14:paraId="793E9AE0" w14:textId="6BFAE695" w:rsidR="000259CB" w:rsidRPr="00E10446" w:rsidRDefault="009410E1" w:rsidP="000259CB">
      <w:pPr>
        <w:spacing w:after="0"/>
        <w:jc w:val="both"/>
        <w:rPr>
          <w:rFonts w:ascii="Times New Roman" w:hAnsi="Times New Roman" w:cs="Times New Roman"/>
          <w:sz w:val="24"/>
          <w:szCs w:val="24"/>
        </w:rPr>
      </w:pPr>
      <w:r w:rsidRPr="00E10446">
        <w:rPr>
          <w:rFonts w:ascii="Times New Roman" w:hAnsi="Times New Roman" w:cs="Times New Roman"/>
          <w:b/>
          <w:bCs/>
          <w:sz w:val="24"/>
          <w:szCs w:val="24"/>
        </w:rPr>
        <w:t>JEL Codes:</w:t>
      </w:r>
      <w:r w:rsidRPr="00E10446">
        <w:rPr>
          <w:rFonts w:ascii="Times New Roman" w:hAnsi="Times New Roman" w:cs="Times New Roman"/>
          <w:sz w:val="24"/>
          <w:szCs w:val="24"/>
        </w:rPr>
        <w:t xml:space="preserve"> Q43, Q42, I32, O55</w:t>
      </w:r>
    </w:p>
    <w:p w14:paraId="136CD4FF" w14:textId="77777777" w:rsidR="009410E1" w:rsidRPr="00E10446" w:rsidRDefault="009410E1" w:rsidP="000259CB">
      <w:pPr>
        <w:spacing w:after="0"/>
        <w:jc w:val="both"/>
        <w:rPr>
          <w:rFonts w:ascii="Times New Roman" w:hAnsi="Times New Roman" w:cs="Times New Roman"/>
          <w:sz w:val="24"/>
          <w:szCs w:val="24"/>
        </w:rPr>
      </w:pPr>
    </w:p>
    <w:p w14:paraId="689D7188" w14:textId="77777777" w:rsidR="005801C8" w:rsidRPr="00E10446" w:rsidRDefault="002326DC">
      <w:pPr>
        <w:pStyle w:val="ListParagraph"/>
        <w:numPr>
          <w:ilvl w:val="0"/>
          <w:numId w:val="1"/>
        </w:numPr>
        <w:rPr>
          <w:rFonts w:ascii="Times New Roman" w:hAnsi="Times New Roman" w:cs="Times New Roman"/>
          <w:b/>
          <w:bCs/>
          <w:sz w:val="24"/>
          <w:szCs w:val="24"/>
        </w:rPr>
      </w:pPr>
      <w:r w:rsidRPr="00E10446">
        <w:rPr>
          <w:rFonts w:ascii="Times New Roman" w:hAnsi="Times New Roman" w:cs="Times New Roman"/>
          <w:b/>
          <w:bCs/>
          <w:sz w:val="24"/>
          <w:szCs w:val="24"/>
        </w:rPr>
        <w:t xml:space="preserve">Introduction </w:t>
      </w:r>
    </w:p>
    <w:p w14:paraId="7B194E3C" w14:textId="37069CED" w:rsidR="005801C8" w:rsidRPr="00E10446" w:rsidRDefault="005A3399">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The issue of p</w:t>
      </w:r>
      <w:r w:rsidR="002326DC" w:rsidRPr="00E10446">
        <w:rPr>
          <w:rFonts w:ascii="Times New Roman" w:hAnsi="Times New Roman" w:cs="Times New Roman"/>
          <w:sz w:val="24"/>
          <w:szCs w:val="24"/>
        </w:rPr>
        <w:t xml:space="preserve">overty </w:t>
      </w:r>
      <w:r w:rsidRPr="00E10446">
        <w:rPr>
          <w:rFonts w:ascii="Times New Roman" w:hAnsi="Times New Roman" w:cs="Times New Roman"/>
          <w:sz w:val="24"/>
          <w:szCs w:val="24"/>
        </w:rPr>
        <w:t xml:space="preserve">in </w:t>
      </w:r>
      <w:r w:rsidR="002326DC" w:rsidRPr="00E10446">
        <w:rPr>
          <w:rFonts w:ascii="Times New Roman" w:hAnsi="Times New Roman" w:cs="Times New Roman"/>
          <w:sz w:val="24"/>
          <w:szCs w:val="24"/>
        </w:rPr>
        <w:t>West Africa</w:t>
      </w:r>
      <w:r w:rsidRPr="00E10446">
        <w:rPr>
          <w:rFonts w:ascii="Times New Roman" w:hAnsi="Times New Roman" w:cs="Times New Roman"/>
          <w:sz w:val="24"/>
          <w:szCs w:val="24"/>
        </w:rPr>
        <w:t xml:space="preserve"> has continued to be a source of significant development issue</w:t>
      </w:r>
      <w:r w:rsidR="002326DC" w:rsidRPr="00E10446">
        <w:rPr>
          <w:rFonts w:ascii="Times New Roman" w:hAnsi="Times New Roman" w:cs="Times New Roman"/>
          <w:sz w:val="24"/>
          <w:szCs w:val="24"/>
        </w:rPr>
        <w:t xml:space="preserve">, </w:t>
      </w:r>
      <w:r w:rsidRPr="00E10446">
        <w:rPr>
          <w:rFonts w:ascii="Times New Roman" w:hAnsi="Times New Roman" w:cs="Times New Roman"/>
          <w:sz w:val="24"/>
          <w:szCs w:val="24"/>
        </w:rPr>
        <w:t>despite the</w:t>
      </w:r>
      <w:r w:rsidR="002326DC" w:rsidRPr="00E10446">
        <w:rPr>
          <w:rFonts w:ascii="Times New Roman" w:hAnsi="Times New Roman" w:cs="Times New Roman"/>
          <w:sz w:val="24"/>
          <w:szCs w:val="24"/>
        </w:rPr>
        <w:t xml:space="preserve"> impressive growth rates </w:t>
      </w:r>
      <w:r w:rsidRPr="00E10446">
        <w:rPr>
          <w:rFonts w:ascii="Times New Roman" w:hAnsi="Times New Roman" w:cs="Times New Roman"/>
          <w:sz w:val="24"/>
          <w:szCs w:val="24"/>
        </w:rPr>
        <w:t xml:space="preserve">witnessed in some of its countries </w:t>
      </w:r>
      <w:r w:rsidR="002326DC" w:rsidRPr="00E10446">
        <w:rPr>
          <w:rFonts w:ascii="Times New Roman" w:hAnsi="Times New Roman" w:cs="Times New Roman"/>
          <w:sz w:val="24"/>
          <w:szCs w:val="24"/>
        </w:rPr>
        <w:t>over the past decades</w:t>
      </w:r>
      <w:r w:rsidR="009410E1" w:rsidRPr="00E10446">
        <w:rPr>
          <w:rFonts w:ascii="Times New Roman" w:hAnsi="Times New Roman" w:cs="Times New Roman"/>
          <w:sz w:val="24"/>
          <w:szCs w:val="24"/>
        </w:rPr>
        <w:t xml:space="preserve"> (World Bank, 2023)</w:t>
      </w:r>
      <w:r w:rsidR="002326DC" w:rsidRPr="00E10446">
        <w:rPr>
          <w:rFonts w:ascii="Times New Roman" w:hAnsi="Times New Roman" w:cs="Times New Roman"/>
          <w:sz w:val="24"/>
          <w:szCs w:val="24"/>
        </w:rPr>
        <w:t xml:space="preserve">. This suggests that there is a substantial nexus between energy consumption and poverty alleviation, where access to reliable and affordable energy sources could be influential for economic growth, human development, and equity (Sarkodie &amp; Adams, 2020). In regions with significant poverty levels and imbalanced energy infrastructures, higher energy consumption, especially from sustainable sources, is likely to significantly boost productivity, human health, education, and general living conditions (Apergis &amp; Payne, 2017; Sarkodie &amp; Adams, 2020). Hence, energy consumption is a pivotal agent for socio-economic transformations, especially in West Africa, where there is a complex mix of economies facing </w:t>
      </w:r>
      <w:r w:rsidR="002326DC" w:rsidRPr="00E10446">
        <w:rPr>
          <w:rFonts w:ascii="Times New Roman" w:hAnsi="Times New Roman" w:cs="Times New Roman"/>
          <w:sz w:val="24"/>
          <w:szCs w:val="24"/>
        </w:rPr>
        <w:lastRenderedPageBreak/>
        <w:t>an energy deficit conundrum with rapidly growing and urbanizing populations (</w:t>
      </w:r>
      <w:r w:rsidR="002326DC" w:rsidRPr="00CA79BF">
        <w:rPr>
          <w:rFonts w:ascii="Times New Roman" w:hAnsi="Times New Roman" w:cs="Times New Roman"/>
          <w:sz w:val="24"/>
          <w:szCs w:val="24"/>
        </w:rPr>
        <w:t>Leal Filho et al., 2024</w:t>
      </w:r>
      <w:r w:rsidR="002326DC" w:rsidRPr="00E10446">
        <w:rPr>
          <w:rFonts w:ascii="Times New Roman" w:hAnsi="Times New Roman" w:cs="Times New Roman"/>
          <w:sz w:val="24"/>
          <w:szCs w:val="24"/>
        </w:rPr>
        <w:t>).</w:t>
      </w:r>
    </w:p>
    <w:p w14:paraId="14DB6037" w14:textId="3EC77D3A" w:rsidR="005801C8" w:rsidRPr="00E10446" w:rsidRDefault="00C41E01">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Energy consumption describes the volume of energy utilized by individuals, households, industries, and economies to carry out their productive and routine activities (Sarkodie &amp; Adams, 2020). It encompasses using various energy resources such as electricity, fossil fuels, and renewable energy sources to power homes, help transportation, support agricultural practices, drive manufacturing processes, and provide services (Bhattacharya et al., 2022). Studies have shown that greater energy consumption is positively correlated with extending economic and human development (</w:t>
      </w:r>
      <w:proofErr w:type="spellStart"/>
      <w:r w:rsidR="005C5392" w:rsidRPr="005C5392">
        <w:rPr>
          <w:rFonts w:ascii="Times New Roman" w:hAnsi="Times New Roman" w:cs="Times New Roman"/>
          <w:sz w:val="24"/>
          <w:szCs w:val="24"/>
        </w:rPr>
        <w:t>Akpoghelie</w:t>
      </w:r>
      <w:proofErr w:type="spellEnd"/>
      <w:r w:rsidR="005C5392" w:rsidRPr="005C5392">
        <w:rPr>
          <w:rFonts w:ascii="Times New Roman" w:hAnsi="Times New Roman" w:cs="Times New Roman"/>
          <w:sz w:val="24"/>
          <w:szCs w:val="24"/>
        </w:rPr>
        <w:t xml:space="preserve"> et al., 2024; </w:t>
      </w:r>
      <w:proofErr w:type="spellStart"/>
      <w:r w:rsidR="005C5392" w:rsidRPr="005C5392">
        <w:rPr>
          <w:rFonts w:ascii="Times New Roman" w:hAnsi="Times New Roman" w:cs="Times New Roman"/>
          <w:sz w:val="24"/>
          <w:szCs w:val="24"/>
        </w:rPr>
        <w:t>Jinapor</w:t>
      </w:r>
      <w:proofErr w:type="spellEnd"/>
      <w:r w:rsidR="005C5392" w:rsidRPr="005C5392">
        <w:rPr>
          <w:rFonts w:ascii="Times New Roman" w:hAnsi="Times New Roman" w:cs="Times New Roman"/>
          <w:sz w:val="24"/>
          <w:szCs w:val="24"/>
        </w:rPr>
        <w:t xml:space="preserve"> et al., 2025; </w:t>
      </w:r>
      <w:proofErr w:type="spellStart"/>
      <w:r w:rsidR="005C5392" w:rsidRPr="005C5392">
        <w:rPr>
          <w:rFonts w:ascii="Times New Roman" w:hAnsi="Times New Roman" w:cs="Times New Roman"/>
          <w:sz w:val="24"/>
          <w:szCs w:val="24"/>
        </w:rPr>
        <w:t>Türüç-Seraj</w:t>
      </w:r>
      <w:proofErr w:type="spellEnd"/>
      <w:r w:rsidR="005C5392" w:rsidRPr="005C5392">
        <w:rPr>
          <w:rFonts w:ascii="Times New Roman" w:hAnsi="Times New Roman" w:cs="Times New Roman"/>
          <w:sz w:val="24"/>
          <w:szCs w:val="24"/>
        </w:rPr>
        <w:t xml:space="preserve"> et al., 2025</w:t>
      </w:r>
      <w:r w:rsidRPr="00E10446">
        <w:rPr>
          <w:rFonts w:ascii="Times New Roman" w:hAnsi="Times New Roman" w:cs="Times New Roman"/>
          <w:sz w:val="24"/>
          <w:szCs w:val="24"/>
        </w:rPr>
        <w:t xml:space="preserve">). Recent research has highlighted that beyond mere quantities, the nature of consumed energy (modern renewables versus traditional biomass) and its equitable distribution significantly impact growth and welfare outcomes (Pan et al., 2021; </w:t>
      </w:r>
      <w:proofErr w:type="spellStart"/>
      <w:r w:rsidRPr="00E10446">
        <w:rPr>
          <w:rFonts w:ascii="Times New Roman" w:hAnsi="Times New Roman" w:cs="Times New Roman"/>
          <w:sz w:val="24"/>
          <w:szCs w:val="24"/>
        </w:rPr>
        <w:t>Doğanalp</w:t>
      </w:r>
      <w:proofErr w:type="spellEnd"/>
      <w:r w:rsidRPr="00E10446">
        <w:rPr>
          <w:rFonts w:ascii="Times New Roman" w:hAnsi="Times New Roman" w:cs="Times New Roman"/>
          <w:sz w:val="24"/>
          <w:szCs w:val="24"/>
        </w:rPr>
        <w:t xml:space="preserve"> et al., 2021; Zhao et al., 2022). </w:t>
      </w:r>
      <w:r w:rsidR="005A3399" w:rsidRPr="00E10446">
        <w:rPr>
          <w:rFonts w:ascii="Times New Roman" w:hAnsi="Times New Roman" w:cs="Times New Roman"/>
          <w:sz w:val="24"/>
          <w:szCs w:val="24"/>
        </w:rPr>
        <w:t xml:space="preserve">Among West African countries, Nigeria, Ghana, </w:t>
      </w:r>
      <w:proofErr w:type="spellStart"/>
      <w:r w:rsidR="005A3399" w:rsidRPr="00E10446">
        <w:rPr>
          <w:rFonts w:ascii="Times New Roman" w:hAnsi="Times New Roman" w:cs="Times New Roman"/>
          <w:sz w:val="24"/>
          <w:szCs w:val="24"/>
        </w:rPr>
        <w:t>Côted’Ivoire</w:t>
      </w:r>
      <w:proofErr w:type="spellEnd"/>
      <w:r w:rsidR="005A3399" w:rsidRPr="00E10446">
        <w:rPr>
          <w:rFonts w:ascii="Times New Roman" w:hAnsi="Times New Roman" w:cs="Times New Roman"/>
          <w:sz w:val="24"/>
          <w:szCs w:val="24"/>
        </w:rPr>
        <w:t>, Senegal, and Guinea rank among the five largest economies. The economies are important contributors to the regional GDP, share different energy access patterns, and face different institutional environments (</w:t>
      </w:r>
      <w:proofErr w:type="spellStart"/>
      <w:r w:rsidR="005A3399" w:rsidRPr="00E10446">
        <w:rPr>
          <w:rFonts w:ascii="Times New Roman" w:hAnsi="Times New Roman" w:cs="Times New Roman"/>
          <w:sz w:val="24"/>
          <w:szCs w:val="24"/>
        </w:rPr>
        <w:t>Ackah</w:t>
      </w:r>
      <w:proofErr w:type="spellEnd"/>
      <w:r w:rsidR="005A3399" w:rsidRPr="00E10446">
        <w:rPr>
          <w:rFonts w:ascii="Times New Roman" w:hAnsi="Times New Roman" w:cs="Times New Roman"/>
          <w:sz w:val="24"/>
          <w:szCs w:val="24"/>
        </w:rPr>
        <w:t xml:space="preserve"> &amp; </w:t>
      </w:r>
      <w:proofErr w:type="spellStart"/>
      <w:r w:rsidR="005A3399" w:rsidRPr="00E10446">
        <w:rPr>
          <w:rFonts w:ascii="Times New Roman" w:hAnsi="Times New Roman" w:cs="Times New Roman"/>
          <w:sz w:val="24"/>
          <w:szCs w:val="24"/>
        </w:rPr>
        <w:t>Kizys</w:t>
      </w:r>
      <w:proofErr w:type="spellEnd"/>
      <w:r w:rsidR="005A3399" w:rsidRPr="00E10446">
        <w:rPr>
          <w:rFonts w:ascii="Times New Roman" w:hAnsi="Times New Roman" w:cs="Times New Roman"/>
          <w:sz w:val="24"/>
          <w:szCs w:val="24"/>
        </w:rPr>
        <w:t xml:space="preserve">, 2015). These economies are important economically, but face obstacles in using energy to reduce poverty (Acheampong et al., 2021; IEA, 2023). </w:t>
      </w:r>
      <w:r w:rsidRPr="00E10446">
        <w:rPr>
          <w:rFonts w:ascii="Times New Roman" w:hAnsi="Times New Roman" w:cs="Times New Roman"/>
          <w:sz w:val="24"/>
          <w:szCs w:val="24"/>
        </w:rPr>
        <w:t>Specifically</w:t>
      </w:r>
      <w:r w:rsidR="005A3399" w:rsidRPr="00E10446">
        <w:rPr>
          <w:rFonts w:ascii="Times New Roman" w:hAnsi="Times New Roman" w:cs="Times New Roman"/>
          <w:sz w:val="24"/>
          <w:szCs w:val="24"/>
        </w:rPr>
        <w:t>, Nigeria, the largest economy, has abundant energy resources, but suffers severe energy poverty, with over 85 million people who do not have access to electricity (Sarkodie &amp;Adams, 2020; Aliyu et al., 201</w:t>
      </w:r>
      <w:r w:rsidR="0058360D">
        <w:rPr>
          <w:rFonts w:ascii="Times New Roman" w:hAnsi="Times New Roman" w:cs="Times New Roman"/>
          <w:sz w:val="24"/>
          <w:szCs w:val="24"/>
        </w:rPr>
        <w:t>3</w:t>
      </w:r>
      <w:r w:rsidR="005A3399" w:rsidRPr="00E10446">
        <w:rPr>
          <w:rFonts w:ascii="Times New Roman" w:hAnsi="Times New Roman" w:cs="Times New Roman"/>
          <w:sz w:val="24"/>
          <w:szCs w:val="24"/>
        </w:rPr>
        <w:t xml:space="preserve">). </w:t>
      </w:r>
      <w:r w:rsidR="002326DC" w:rsidRPr="00E10446">
        <w:rPr>
          <w:rFonts w:ascii="Times New Roman" w:hAnsi="Times New Roman" w:cs="Times New Roman"/>
          <w:sz w:val="24"/>
          <w:szCs w:val="24"/>
        </w:rPr>
        <w:t>While increasing energy consumption, particularly from renewable sources, can promote economic diversification and reduce poverty through agricultural activities and small-scale enterprises (</w:t>
      </w:r>
      <w:r w:rsidR="004372D6" w:rsidRPr="004372D6">
        <w:rPr>
          <w:rFonts w:ascii="Times New Roman" w:hAnsi="Times New Roman" w:cs="Times New Roman"/>
          <w:sz w:val="24"/>
          <w:szCs w:val="24"/>
        </w:rPr>
        <w:t>Sarkodie</w:t>
      </w:r>
      <w:r w:rsidR="004372D6">
        <w:rPr>
          <w:rFonts w:ascii="Times New Roman" w:hAnsi="Times New Roman" w:cs="Times New Roman"/>
          <w:sz w:val="24"/>
          <w:szCs w:val="24"/>
        </w:rPr>
        <w:t xml:space="preserve"> </w:t>
      </w:r>
      <w:r w:rsidR="004372D6" w:rsidRPr="004372D6">
        <w:rPr>
          <w:rFonts w:ascii="Times New Roman" w:hAnsi="Times New Roman" w:cs="Times New Roman"/>
          <w:sz w:val="24"/>
          <w:szCs w:val="24"/>
        </w:rPr>
        <w:t>&amp; Adams, 2020</w:t>
      </w:r>
      <w:r w:rsidR="002326DC" w:rsidRPr="00E10446">
        <w:rPr>
          <w:rFonts w:ascii="Times New Roman" w:hAnsi="Times New Roman" w:cs="Times New Roman"/>
          <w:sz w:val="24"/>
          <w:szCs w:val="24"/>
        </w:rPr>
        <w:t>), distribution inefficiencies such as frequent power outages exacerbate poverty by increasing operational costs and limiting household savings (Sarkodie &amp; Adams, 2020).</w:t>
      </w:r>
    </w:p>
    <w:p w14:paraId="3F06E0BE" w14:textId="401445FA"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Ghana, the second-largest economy, highlights the moderating effects of energy sector reforms on poverty (Ackah &amp; Kizys, 2015; Acheampong, 2018). Despite hydroelectric and thermal energy generation expanding access, approximately 20% of Ghanaian households, especially in rural areas, remain energy-deprived (Kumi, 2017; Adom, 2015). </w:t>
      </w:r>
      <w:r w:rsidR="00215B58" w:rsidRPr="00215B58">
        <w:rPr>
          <w:rFonts w:ascii="Times New Roman" w:hAnsi="Times New Roman" w:cs="Times New Roman"/>
          <w:sz w:val="24"/>
          <w:szCs w:val="24"/>
        </w:rPr>
        <w:t>Evidence shows that increased consumption of clean/renewable energy reduces multidimensional poverty by improving food processing, educational outcomes, health, and labo</w:t>
      </w:r>
      <w:r w:rsidR="00215B58">
        <w:rPr>
          <w:rFonts w:ascii="Times New Roman" w:hAnsi="Times New Roman" w:cs="Times New Roman"/>
          <w:sz w:val="24"/>
          <w:szCs w:val="24"/>
        </w:rPr>
        <w:t>u</w:t>
      </w:r>
      <w:r w:rsidR="00215B58" w:rsidRPr="00215B58">
        <w:rPr>
          <w:rFonts w:ascii="Times New Roman" w:hAnsi="Times New Roman" w:cs="Times New Roman"/>
          <w:sz w:val="24"/>
          <w:szCs w:val="24"/>
        </w:rPr>
        <w:t>r productivity in Sub-Saharan Africa (</w:t>
      </w:r>
      <w:proofErr w:type="spellStart"/>
      <w:r w:rsidR="00215B58" w:rsidRPr="00215B58">
        <w:rPr>
          <w:rFonts w:ascii="Times New Roman" w:hAnsi="Times New Roman" w:cs="Times New Roman"/>
          <w:sz w:val="24"/>
          <w:szCs w:val="24"/>
        </w:rPr>
        <w:t>Casati</w:t>
      </w:r>
      <w:proofErr w:type="spellEnd"/>
      <w:r w:rsidR="00215B58" w:rsidRPr="00215B58">
        <w:rPr>
          <w:rFonts w:ascii="Times New Roman" w:hAnsi="Times New Roman" w:cs="Times New Roman"/>
          <w:sz w:val="24"/>
          <w:szCs w:val="24"/>
        </w:rPr>
        <w:t xml:space="preserve"> et al., 2023; Leal Filho et al., 2024), though these effects are often heterogeneous and can be mediated or moderated by income inequality and governance factors (</w:t>
      </w:r>
      <w:proofErr w:type="spellStart"/>
      <w:r w:rsidR="00215B58" w:rsidRPr="00215B58">
        <w:rPr>
          <w:rFonts w:ascii="Times New Roman" w:hAnsi="Times New Roman" w:cs="Times New Roman"/>
          <w:sz w:val="24"/>
          <w:szCs w:val="24"/>
        </w:rPr>
        <w:t>Compaoré</w:t>
      </w:r>
      <w:proofErr w:type="spellEnd"/>
      <w:r w:rsidR="00215B58" w:rsidRPr="00215B58">
        <w:rPr>
          <w:rFonts w:ascii="Times New Roman" w:hAnsi="Times New Roman" w:cs="Times New Roman"/>
          <w:sz w:val="24"/>
          <w:szCs w:val="24"/>
        </w:rPr>
        <w:t xml:space="preserve"> et al., 2024).</w:t>
      </w:r>
      <w:r w:rsidR="00215B58">
        <w:rPr>
          <w:rFonts w:ascii="Times New Roman" w:hAnsi="Times New Roman" w:cs="Times New Roman"/>
          <w:sz w:val="24"/>
          <w:szCs w:val="24"/>
        </w:rPr>
        <w:t xml:space="preserve"> </w:t>
      </w:r>
      <w:r w:rsidRPr="00E10446">
        <w:rPr>
          <w:rFonts w:ascii="Times New Roman" w:hAnsi="Times New Roman" w:cs="Times New Roman"/>
          <w:sz w:val="24"/>
          <w:szCs w:val="24"/>
        </w:rPr>
        <w:t>Côte d’Ivoire’s agro-industrial economy also illustrates the nexus between energy consumption and poverty reduction (</w:t>
      </w:r>
      <w:proofErr w:type="spellStart"/>
      <w:r w:rsidRPr="00E10446">
        <w:rPr>
          <w:rFonts w:ascii="Times New Roman" w:hAnsi="Times New Roman" w:cs="Times New Roman"/>
          <w:sz w:val="24"/>
          <w:szCs w:val="24"/>
        </w:rPr>
        <w:t>Kumi</w:t>
      </w:r>
      <w:proofErr w:type="spellEnd"/>
      <w:r w:rsidRPr="00E10446">
        <w:rPr>
          <w:rFonts w:ascii="Times New Roman" w:hAnsi="Times New Roman" w:cs="Times New Roman"/>
          <w:sz w:val="24"/>
          <w:szCs w:val="24"/>
        </w:rPr>
        <w:t>, 2017). Despite investments in biomass and solar energy, informal settlements remain energy-deprived, limiting poverty alleviation (</w:t>
      </w:r>
      <w:r w:rsidR="00E175B1" w:rsidRPr="00E175B1">
        <w:rPr>
          <w:rFonts w:ascii="Times New Roman" w:hAnsi="Times New Roman" w:cs="Times New Roman"/>
          <w:sz w:val="24"/>
          <w:szCs w:val="24"/>
        </w:rPr>
        <w:t>Tshabalala et al 2025</w:t>
      </w:r>
      <w:r w:rsidRPr="00E10446">
        <w:rPr>
          <w:rFonts w:ascii="Times New Roman" w:hAnsi="Times New Roman" w:cs="Times New Roman"/>
          <w:sz w:val="24"/>
          <w:szCs w:val="24"/>
        </w:rPr>
        <w:t xml:space="preserve">). Empirical analyses indicate that total energy consumption positively affects economic growth and mitigates poverty traps in carbon-intensive growth pathways, with energy efficiency improvements further reducing poverty headcounts </w:t>
      </w:r>
      <w:r w:rsidR="00E175B1" w:rsidRPr="00E175B1">
        <w:rPr>
          <w:rFonts w:ascii="Times New Roman" w:hAnsi="Times New Roman" w:cs="Times New Roman"/>
          <w:sz w:val="24"/>
          <w:szCs w:val="24"/>
        </w:rPr>
        <w:t>(Azubuike et al., 2025</w:t>
      </w:r>
      <w:r w:rsidRPr="00E10446">
        <w:rPr>
          <w:rFonts w:ascii="Times New Roman" w:hAnsi="Times New Roman" w:cs="Times New Roman"/>
          <w:sz w:val="24"/>
          <w:szCs w:val="24"/>
        </w:rPr>
        <w:t>). Power reliability issues continue to hinder micro-enterprise productivity, sustaining poverty cycles (</w:t>
      </w:r>
      <w:proofErr w:type="spellStart"/>
      <w:r w:rsidR="00AF592F" w:rsidRPr="00E175B1">
        <w:rPr>
          <w:rFonts w:ascii="Times New Roman" w:hAnsi="Times New Roman" w:cs="Times New Roman"/>
          <w:sz w:val="24"/>
          <w:szCs w:val="24"/>
        </w:rPr>
        <w:t>Jinapor</w:t>
      </w:r>
      <w:proofErr w:type="spellEnd"/>
      <w:r w:rsidR="00AF592F" w:rsidRPr="00E175B1">
        <w:rPr>
          <w:rFonts w:ascii="Times New Roman" w:hAnsi="Times New Roman" w:cs="Times New Roman"/>
          <w:sz w:val="24"/>
          <w:szCs w:val="24"/>
        </w:rPr>
        <w:t xml:space="preserve"> et al., 2025</w:t>
      </w:r>
      <w:r w:rsidRPr="00E10446">
        <w:rPr>
          <w:rFonts w:ascii="Times New Roman" w:hAnsi="Times New Roman" w:cs="Times New Roman"/>
          <w:sz w:val="24"/>
          <w:szCs w:val="24"/>
        </w:rPr>
        <w:t>).</w:t>
      </w:r>
    </w:p>
    <w:p w14:paraId="05E8ACCC" w14:textId="44A920BC" w:rsidR="005801C8" w:rsidRPr="00E10446" w:rsidRDefault="00123F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Like Ghana, </w:t>
      </w:r>
      <w:r w:rsidR="002326DC" w:rsidRPr="00E10446">
        <w:rPr>
          <w:rFonts w:ascii="Times New Roman" w:hAnsi="Times New Roman" w:cs="Times New Roman"/>
          <w:sz w:val="24"/>
          <w:szCs w:val="24"/>
        </w:rPr>
        <w:t xml:space="preserve">Senegal, with a GDP of about $33 billion, demonstrates how energy interventions can reduce poverty. Rural electrification programs have raised energy consumption, correlating with declines in poverty rates from 47% in 2011 to around 37% recently (Monyei et al., 2018). Analyses show that per capita energy consumption, when paired with effective institutions, promotes human development and reduces reliance on traditional fuels </w:t>
      </w:r>
      <w:r w:rsidR="008B0ACB">
        <w:rPr>
          <w:rFonts w:ascii="Times New Roman" w:hAnsi="Times New Roman" w:cs="Times New Roman"/>
          <w:sz w:val="24"/>
          <w:szCs w:val="24"/>
        </w:rPr>
        <w:t>(</w:t>
      </w:r>
      <w:r w:rsidR="008B0ACB" w:rsidRPr="008B0ACB">
        <w:rPr>
          <w:rFonts w:ascii="Times New Roman" w:hAnsi="Times New Roman" w:cs="Times New Roman"/>
          <w:sz w:val="24"/>
          <w:szCs w:val="24"/>
        </w:rPr>
        <w:t>Leal Filho et al., 2024; Ofori et al., 2025</w:t>
      </w:r>
      <w:r w:rsidR="008B0ACB">
        <w:rPr>
          <w:rFonts w:ascii="Times New Roman" w:hAnsi="Times New Roman" w:cs="Times New Roman"/>
          <w:sz w:val="24"/>
          <w:szCs w:val="24"/>
        </w:rPr>
        <w:t>)</w:t>
      </w:r>
      <w:r w:rsidR="002326DC" w:rsidRPr="00E10446">
        <w:rPr>
          <w:rFonts w:ascii="Times New Roman" w:hAnsi="Times New Roman" w:cs="Times New Roman"/>
          <w:sz w:val="24"/>
          <w:szCs w:val="24"/>
        </w:rPr>
        <w:t>. Nonetheless, high energy costs and outages reduce the benefits of energy expansion, highlighting the need for sustainable and reliable energy infrastructure (</w:t>
      </w:r>
      <w:r w:rsidR="002326DC" w:rsidRPr="00DC2D78">
        <w:rPr>
          <w:rFonts w:ascii="Times New Roman" w:hAnsi="Times New Roman" w:cs="Times New Roman"/>
          <w:sz w:val="24"/>
          <w:szCs w:val="24"/>
        </w:rPr>
        <w:t>Leal Filho et al., 2024</w:t>
      </w:r>
      <w:r w:rsidR="002326DC" w:rsidRPr="00E10446">
        <w:rPr>
          <w:rFonts w:ascii="Times New Roman" w:hAnsi="Times New Roman" w:cs="Times New Roman"/>
          <w:sz w:val="24"/>
          <w:szCs w:val="24"/>
        </w:rPr>
        <w:t xml:space="preserve">). Guinea, ranking fifth in economic size with a GDP of $20–22 billion, suffers from </w:t>
      </w:r>
      <w:r w:rsidR="002326DC" w:rsidRPr="00E10446">
        <w:rPr>
          <w:rFonts w:ascii="Times New Roman" w:hAnsi="Times New Roman" w:cs="Times New Roman"/>
          <w:sz w:val="24"/>
          <w:szCs w:val="24"/>
        </w:rPr>
        <w:lastRenderedPageBreak/>
        <w:t xml:space="preserve">severe energy poverty due to infrastructural limitations and governance challenges (World Bank, 2023; Sarkodie &amp; Adams, 2020). Less than 50% of the population has electricity access, particularly in rural areas, constraining livelihoods and sustaining poverty (IEA, 2022; </w:t>
      </w:r>
      <w:proofErr w:type="spellStart"/>
      <w:r w:rsidR="002326DC" w:rsidRPr="00E10446">
        <w:rPr>
          <w:rFonts w:ascii="Times New Roman" w:hAnsi="Times New Roman" w:cs="Times New Roman"/>
          <w:sz w:val="24"/>
          <w:szCs w:val="24"/>
        </w:rPr>
        <w:t>Monyei</w:t>
      </w:r>
      <w:proofErr w:type="spellEnd"/>
      <w:r w:rsidR="002326DC" w:rsidRPr="00E10446">
        <w:rPr>
          <w:rFonts w:ascii="Times New Roman" w:hAnsi="Times New Roman" w:cs="Times New Roman"/>
          <w:sz w:val="24"/>
          <w:szCs w:val="24"/>
        </w:rPr>
        <w:t xml:space="preserve"> et al., 2018). Increasing energy consumption in Guinea could reduce poverty through irrigation, agro-processing, and value addition activities, particularly if combined with strong institutional support (Acheampong et al., 2021; Apergis &amp; Payne, 2017). Threshold models suggest that public expenditure on energy infrastructure can significantly reduce energy poverty and promote inclusive growth when institutional quality exceeds certain levels </w:t>
      </w:r>
      <w:r w:rsidR="00221FBE" w:rsidRPr="00221FBE">
        <w:rPr>
          <w:rFonts w:ascii="Times New Roman" w:hAnsi="Times New Roman" w:cs="Times New Roman"/>
          <w:sz w:val="24"/>
          <w:szCs w:val="24"/>
        </w:rPr>
        <w:t>(</w:t>
      </w:r>
      <w:proofErr w:type="spellStart"/>
      <w:r w:rsidR="00221FBE" w:rsidRPr="00221FBE">
        <w:rPr>
          <w:rFonts w:ascii="Times New Roman" w:hAnsi="Times New Roman" w:cs="Times New Roman"/>
          <w:sz w:val="24"/>
          <w:szCs w:val="24"/>
        </w:rPr>
        <w:t>Bousnina</w:t>
      </w:r>
      <w:proofErr w:type="spellEnd"/>
      <w:r w:rsidR="00221FBE" w:rsidRPr="00221FBE">
        <w:rPr>
          <w:rFonts w:ascii="Times New Roman" w:hAnsi="Times New Roman" w:cs="Times New Roman"/>
          <w:sz w:val="24"/>
          <w:szCs w:val="24"/>
        </w:rPr>
        <w:t xml:space="preserve"> &amp; </w:t>
      </w:r>
      <w:proofErr w:type="spellStart"/>
      <w:r w:rsidR="00221FBE" w:rsidRPr="00221FBE">
        <w:rPr>
          <w:rFonts w:ascii="Times New Roman" w:hAnsi="Times New Roman" w:cs="Times New Roman"/>
          <w:sz w:val="24"/>
          <w:szCs w:val="24"/>
        </w:rPr>
        <w:t>Gabsi</w:t>
      </w:r>
      <w:proofErr w:type="spellEnd"/>
      <w:r w:rsidR="00221FBE" w:rsidRPr="00221FBE">
        <w:rPr>
          <w:rFonts w:ascii="Times New Roman" w:hAnsi="Times New Roman" w:cs="Times New Roman"/>
          <w:sz w:val="24"/>
          <w:szCs w:val="24"/>
        </w:rPr>
        <w:t xml:space="preserve">, 2023; </w:t>
      </w:r>
      <w:proofErr w:type="spellStart"/>
      <w:r w:rsidR="00221FBE" w:rsidRPr="00221FBE">
        <w:rPr>
          <w:rFonts w:ascii="Times New Roman" w:hAnsi="Times New Roman" w:cs="Times New Roman"/>
          <w:sz w:val="24"/>
          <w:szCs w:val="24"/>
        </w:rPr>
        <w:t>Kritzinger</w:t>
      </w:r>
      <w:proofErr w:type="spellEnd"/>
      <w:r w:rsidR="00221FBE" w:rsidRPr="00221FBE">
        <w:rPr>
          <w:rFonts w:ascii="Times New Roman" w:hAnsi="Times New Roman" w:cs="Times New Roman"/>
          <w:sz w:val="24"/>
          <w:szCs w:val="24"/>
        </w:rPr>
        <w:t xml:space="preserve"> &amp; </w:t>
      </w:r>
      <w:proofErr w:type="spellStart"/>
      <w:r w:rsidR="00221FBE" w:rsidRPr="00221FBE">
        <w:rPr>
          <w:rFonts w:ascii="Times New Roman" w:hAnsi="Times New Roman" w:cs="Times New Roman"/>
          <w:sz w:val="24"/>
          <w:szCs w:val="24"/>
        </w:rPr>
        <w:t>Inglesi-Lotz</w:t>
      </w:r>
      <w:proofErr w:type="spellEnd"/>
      <w:r w:rsidR="00221FBE" w:rsidRPr="00221FBE">
        <w:rPr>
          <w:rFonts w:ascii="Times New Roman" w:hAnsi="Times New Roman" w:cs="Times New Roman"/>
          <w:sz w:val="24"/>
          <w:szCs w:val="24"/>
        </w:rPr>
        <w:t>, 2025).</w:t>
      </w:r>
      <w:r w:rsidR="00221FBE">
        <w:rPr>
          <w:rFonts w:ascii="Times New Roman" w:hAnsi="Times New Roman" w:cs="Times New Roman"/>
          <w:sz w:val="24"/>
          <w:szCs w:val="24"/>
        </w:rPr>
        <w:t xml:space="preserve"> </w:t>
      </w:r>
      <w:r w:rsidR="002326DC" w:rsidRPr="00E10446">
        <w:rPr>
          <w:rFonts w:ascii="Times New Roman" w:hAnsi="Times New Roman" w:cs="Times New Roman"/>
          <w:sz w:val="24"/>
          <w:szCs w:val="24"/>
        </w:rPr>
        <w:t>Renewable energy integration also offers environmental and equity benefits</w:t>
      </w:r>
      <w:r>
        <w:rPr>
          <w:rFonts w:ascii="Times New Roman" w:hAnsi="Times New Roman" w:cs="Times New Roman"/>
          <w:sz w:val="24"/>
          <w:szCs w:val="24"/>
        </w:rPr>
        <w:t xml:space="preserve"> (</w:t>
      </w:r>
      <w:proofErr w:type="spellStart"/>
      <w:r w:rsidRPr="00221FBE">
        <w:rPr>
          <w:rFonts w:ascii="Times New Roman" w:hAnsi="Times New Roman" w:cs="Times New Roman"/>
          <w:sz w:val="24"/>
          <w:szCs w:val="24"/>
        </w:rPr>
        <w:t>Benayed</w:t>
      </w:r>
      <w:proofErr w:type="spellEnd"/>
      <w:r w:rsidRPr="00221FBE">
        <w:rPr>
          <w:rFonts w:ascii="Times New Roman" w:hAnsi="Times New Roman" w:cs="Times New Roman"/>
          <w:sz w:val="24"/>
          <w:szCs w:val="24"/>
        </w:rPr>
        <w:t xml:space="preserve"> et al., 2025</w:t>
      </w:r>
      <w:r>
        <w:rPr>
          <w:rFonts w:ascii="Times New Roman" w:hAnsi="Times New Roman" w:cs="Times New Roman"/>
          <w:sz w:val="24"/>
          <w:szCs w:val="24"/>
        </w:rPr>
        <w:t>)</w:t>
      </w:r>
      <w:r w:rsidR="002326DC" w:rsidRPr="00E10446">
        <w:rPr>
          <w:rFonts w:ascii="Times New Roman" w:hAnsi="Times New Roman" w:cs="Times New Roman"/>
          <w:sz w:val="24"/>
          <w:szCs w:val="24"/>
        </w:rPr>
        <w:t>.</w:t>
      </w:r>
    </w:p>
    <w:p w14:paraId="4A39C46F" w14:textId="166BF35D"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Despite these findings, knowledge gap remains in literature. Several studies aggregate </w:t>
      </w:r>
      <w:r w:rsidR="00C41E01" w:rsidRPr="00E10446">
        <w:rPr>
          <w:rFonts w:ascii="Times New Roman" w:hAnsi="Times New Roman" w:cs="Times New Roman"/>
          <w:sz w:val="24"/>
          <w:szCs w:val="24"/>
        </w:rPr>
        <w:t xml:space="preserve">energy </w:t>
      </w:r>
      <w:r w:rsidRPr="00E10446">
        <w:rPr>
          <w:rFonts w:ascii="Times New Roman" w:hAnsi="Times New Roman" w:cs="Times New Roman"/>
          <w:sz w:val="24"/>
          <w:szCs w:val="24"/>
        </w:rPr>
        <w:t xml:space="preserve">data across West African countries, thereby missing country-specific heterogeneities vital to West Africa’s energy–poverty nexus (Adebayo et al., 2025). A few numbers of existing studies disaggregate energy types, capture nonlinear relationships, or investigate transmission mechanisms such as labour markets and income inequality within the five largest West African economies. Previous studies often focus on economic growth proxies rather than poverty outcomes, while household-level studies neglect institutional and policy dimensions (Sy et al., 2022; </w:t>
      </w:r>
      <w:proofErr w:type="spellStart"/>
      <w:r w:rsidR="003968C7" w:rsidRPr="003968C7">
        <w:rPr>
          <w:rFonts w:ascii="Times New Roman" w:hAnsi="Times New Roman" w:cs="Times New Roman"/>
          <w:sz w:val="24"/>
          <w:szCs w:val="24"/>
        </w:rPr>
        <w:t>Kettani</w:t>
      </w:r>
      <w:proofErr w:type="spellEnd"/>
      <w:r w:rsidR="003968C7" w:rsidRPr="003968C7">
        <w:rPr>
          <w:rFonts w:ascii="Times New Roman" w:hAnsi="Times New Roman" w:cs="Times New Roman"/>
          <w:sz w:val="24"/>
          <w:szCs w:val="24"/>
        </w:rPr>
        <w:t xml:space="preserve"> &amp; Sanin, 2024</w:t>
      </w:r>
      <w:r w:rsidRPr="00E10446">
        <w:rPr>
          <w:rFonts w:ascii="Times New Roman" w:hAnsi="Times New Roman" w:cs="Times New Roman"/>
          <w:sz w:val="24"/>
          <w:szCs w:val="24"/>
        </w:rPr>
        <w:t xml:space="preserve">; </w:t>
      </w:r>
      <w:proofErr w:type="spellStart"/>
      <w:r w:rsidRPr="00E10446">
        <w:rPr>
          <w:rFonts w:ascii="Times New Roman" w:hAnsi="Times New Roman" w:cs="Times New Roman"/>
          <w:sz w:val="24"/>
          <w:szCs w:val="24"/>
        </w:rPr>
        <w:t>Apergis</w:t>
      </w:r>
      <w:proofErr w:type="spellEnd"/>
      <w:r w:rsidRPr="00E10446">
        <w:rPr>
          <w:rFonts w:ascii="Times New Roman" w:hAnsi="Times New Roman" w:cs="Times New Roman"/>
          <w:sz w:val="24"/>
          <w:szCs w:val="24"/>
        </w:rPr>
        <w:t xml:space="preserve"> &amp; Payne, 2017). Consequently, this study aims to fill this gap by examining how energy consumption, disaggregated into renewable and non-renewable sources, affects poverty reduction in Nigeria, Ghana, Côte d’Ivoire, Senegal, and Guinea, while considering the moderating role of institutional quality and exploring nonlinear and country-specific mechanisms of transmission.</w:t>
      </w:r>
    </w:p>
    <w:p w14:paraId="2531A440" w14:textId="77777777" w:rsidR="005801C8" w:rsidRPr="00E10446" w:rsidRDefault="002326DC">
      <w:pPr>
        <w:pStyle w:val="ListParagraph"/>
        <w:numPr>
          <w:ilvl w:val="0"/>
          <w:numId w:val="1"/>
        </w:num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Literature Review</w:t>
      </w:r>
    </w:p>
    <w:p w14:paraId="6B7898E8" w14:textId="1164F73D" w:rsidR="005801C8" w:rsidRPr="00E10446" w:rsidRDefault="00C41E01">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2.1</w:t>
      </w:r>
      <w:r w:rsidRPr="00E10446">
        <w:rPr>
          <w:rFonts w:ascii="Times New Roman" w:hAnsi="Times New Roman" w:cs="Times New Roman"/>
          <w:sz w:val="24"/>
          <w:szCs w:val="24"/>
        </w:rPr>
        <w:t xml:space="preserve"> </w:t>
      </w:r>
      <w:r w:rsidR="002326DC" w:rsidRPr="00E10446">
        <w:rPr>
          <w:rFonts w:ascii="Times New Roman" w:hAnsi="Times New Roman" w:cs="Times New Roman"/>
          <w:b/>
          <w:bCs/>
          <w:sz w:val="24"/>
          <w:szCs w:val="24"/>
        </w:rPr>
        <w:t>Theoretical Framework</w:t>
      </w:r>
    </w:p>
    <w:p w14:paraId="0C8EF25F" w14:textId="000F36CE"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Endogenous Growth Theory which explains energy consumption as one of the vital engines to economic development and poverty reduction in developing countries</w:t>
      </w:r>
      <w:r w:rsidRPr="00E10446">
        <w:rPr>
          <w:rFonts w:ascii="Times New Roman" w:eastAsia="Times New Roman" w:hAnsi="Times New Roman" w:cs="Times New Roman"/>
          <w:sz w:val="24"/>
          <w:szCs w:val="24"/>
          <w:lang w:eastAsia="en-GB"/>
        </w:rPr>
        <w:t>. This</w:t>
      </w:r>
      <w:r w:rsidRPr="00E10446">
        <w:rPr>
          <w:rFonts w:ascii="Times New Roman" w:hAnsi="Times New Roman" w:cs="Times New Roman"/>
          <w:sz w:val="24"/>
          <w:szCs w:val="24"/>
        </w:rPr>
        <w:t xml:space="preserve"> forms the main theoretical foundation of this study. Endogenous growth theory was pioneered by economists such as Romer and Lucas who argued that economic growth is not induced solely by external forces but is generated from within an economy through investments in human capital, technology, and productive infrastructure (Lucas, 1988; Romer, 1990). Modern versions of this theory incorporate energy as an endogenous input vital to long-run economic growth and argue that energy consumption directly influences productivity, technology adoption, and structural changes (</w:t>
      </w:r>
      <w:proofErr w:type="spellStart"/>
      <w:r w:rsidR="007C79AB" w:rsidRPr="007C79AB">
        <w:rPr>
          <w:rFonts w:ascii="Times New Roman" w:hAnsi="Times New Roman" w:cs="Times New Roman"/>
          <w:sz w:val="24"/>
          <w:szCs w:val="24"/>
        </w:rPr>
        <w:t>Akpoghelie</w:t>
      </w:r>
      <w:proofErr w:type="spellEnd"/>
      <w:r w:rsidR="007C79AB" w:rsidRPr="007C79AB">
        <w:rPr>
          <w:rFonts w:ascii="Times New Roman" w:hAnsi="Times New Roman" w:cs="Times New Roman"/>
          <w:sz w:val="24"/>
          <w:szCs w:val="24"/>
        </w:rPr>
        <w:t xml:space="preserve">, </w:t>
      </w:r>
      <w:r w:rsidR="007C79AB">
        <w:rPr>
          <w:rFonts w:ascii="Times New Roman" w:hAnsi="Times New Roman" w:cs="Times New Roman"/>
          <w:sz w:val="24"/>
          <w:szCs w:val="24"/>
        </w:rPr>
        <w:t xml:space="preserve">et al., </w:t>
      </w:r>
      <w:r w:rsidR="007C79AB" w:rsidRPr="007C79AB">
        <w:rPr>
          <w:rFonts w:ascii="Times New Roman" w:hAnsi="Times New Roman" w:cs="Times New Roman"/>
          <w:sz w:val="24"/>
          <w:szCs w:val="24"/>
        </w:rPr>
        <w:t xml:space="preserve">2024). </w:t>
      </w:r>
    </w:p>
    <w:p w14:paraId="62F4E42D" w14:textId="1988A5EA"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In this perspective, energy serves as a prerequisite to sustained growth. For example, modern energy enables manufacturing and service firms to adopt energy‑intensive technologies, alleviate production constraints, and promote production efficiency (</w:t>
      </w:r>
      <w:proofErr w:type="spellStart"/>
      <w:r w:rsidRPr="00E10446">
        <w:rPr>
          <w:rFonts w:ascii="Times New Roman" w:hAnsi="Times New Roman" w:cs="Times New Roman"/>
          <w:sz w:val="24"/>
          <w:szCs w:val="24"/>
        </w:rPr>
        <w:t>Apergis</w:t>
      </w:r>
      <w:proofErr w:type="spellEnd"/>
      <w:r w:rsidRPr="00E10446">
        <w:rPr>
          <w:rFonts w:ascii="Times New Roman" w:hAnsi="Times New Roman" w:cs="Times New Roman"/>
          <w:sz w:val="24"/>
          <w:szCs w:val="24"/>
        </w:rPr>
        <w:t xml:space="preserve"> &amp; Payne, 2010). Similarly, household energy consumption facilitates poverty alleviation through enhancing livelihood activities, education, and health related activities, and income generation (Bhattacharyya &amp; Timilsina, 2010). Cross-country studies show that a long-run positive relationship between energy consumption and economic growth/productivity exists in most developing countries (</w:t>
      </w:r>
      <w:proofErr w:type="spellStart"/>
      <w:r w:rsidR="003938FE" w:rsidRPr="003938FE">
        <w:rPr>
          <w:rFonts w:ascii="Times New Roman" w:hAnsi="Times New Roman" w:cs="Times New Roman"/>
          <w:sz w:val="24"/>
          <w:szCs w:val="24"/>
        </w:rPr>
        <w:t>Jinapor</w:t>
      </w:r>
      <w:proofErr w:type="spellEnd"/>
      <w:r w:rsidR="003938FE" w:rsidRPr="003938FE">
        <w:rPr>
          <w:rFonts w:ascii="Times New Roman" w:hAnsi="Times New Roman" w:cs="Times New Roman"/>
          <w:sz w:val="24"/>
          <w:szCs w:val="24"/>
        </w:rPr>
        <w:t>,</w:t>
      </w:r>
      <w:r w:rsidR="003938FE">
        <w:rPr>
          <w:rFonts w:ascii="Times New Roman" w:hAnsi="Times New Roman" w:cs="Times New Roman"/>
          <w:sz w:val="24"/>
          <w:szCs w:val="24"/>
        </w:rPr>
        <w:t xml:space="preserve"> et al., 2025</w:t>
      </w:r>
      <w:r w:rsidRPr="00E10446">
        <w:rPr>
          <w:rFonts w:ascii="Times New Roman" w:hAnsi="Times New Roman" w:cs="Times New Roman"/>
          <w:sz w:val="24"/>
          <w:szCs w:val="24"/>
        </w:rPr>
        <w:t xml:space="preserve">; </w:t>
      </w:r>
      <w:r w:rsidR="003938FE" w:rsidRPr="003938FE">
        <w:rPr>
          <w:rFonts w:ascii="Times New Roman" w:hAnsi="Times New Roman" w:cs="Times New Roman"/>
          <w:sz w:val="24"/>
          <w:szCs w:val="24"/>
        </w:rPr>
        <w:t>Azubuike,</w:t>
      </w:r>
      <w:r w:rsidR="003938FE">
        <w:rPr>
          <w:rFonts w:ascii="Times New Roman" w:hAnsi="Times New Roman" w:cs="Times New Roman"/>
          <w:sz w:val="24"/>
          <w:szCs w:val="24"/>
        </w:rPr>
        <w:t xml:space="preserve"> et al.</w:t>
      </w:r>
      <w:r w:rsidRPr="00E10446">
        <w:rPr>
          <w:rFonts w:ascii="Times New Roman" w:hAnsi="Times New Roman" w:cs="Times New Roman"/>
          <w:sz w:val="24"/>
          <w:szCs w:val="24"/>
        </w:rPr>
        <w:t>, 2025).</w:t>
      </w:r>
    </w:p>
    <w:p w14:paraId="772EBEA5" w14:textId="03816D55" w:rsidR="005801C8"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The Endogenous Growth Theory is relevant to this study because it establishes a relationship between energy consumption and the processes of economic structure change and poverty reduction</w:t>
      </w:r>
      <w:r w:rsidRPr="00E10446">
        <w:rPr>
          <w:rFonts w:ascii="Times New Roman" w:eastAsia="Times New Roman" w:hAnsi="Times New Roman" w:cs="Times New Roman"/>
          <w:sz w:val="24"/>
          <w:szCs w:val="24"/>
          <w:lang w:eastAsia="en-GB"/>
        </w:rPr>
        <w:t>.</w:t>
      </w:r>
      <w:r w:rsidRPr="00E10446">
        <w:rPr>
          <w:rFonts w:ascii="Times New Roman" w:hAnsi="Times New Roman" w:cs="Times New Roman"/>
          <w:sz w:val="24"/>
          <w:szCs w:val="24"/>
        </w:rPr>
        <w:t xml:space="preserve"> In this regard, West African countries suffering from energy deficiency and energy poverty can benefit from this growth theory to understand how increased energy consumption can trigger economic activities, improve productivity, and increase job opportunities. For instance, the increase in electricity access promotes agro-processing, small and medium </w:t>
      </w:r>
      <w:r w:rsidRPr="00E10446">
        <w:rPr>
          <w:rFonts w:ascii="Times New Roman" w:hAnsi="Times New Roman" w:cs="Times New Roman"/>
          <w:sz w:val="24"/>
          <w:szCs w:val="24"/>
        </w:rPr>
        <w:lastRenderedPageBreak/>
        <w:t>enterprises, and technologies that existing limited energy environments cannot support (</w:t>
      </w:r>
      <w:proofErr w:type="spellStart"/>
      <w:r w:rsidR="003938FE" w:rsidRPr="007C79AB">
        <w:rPr>
          <w:rFonts w:ascii="Times New Roman" w:hAnsi="Times New Roman" w:cs="Times New Roman"/>
          <w:sz w:val="24"/>
          <w:szCs w:val="24"/>
        </w:rPr>
        <w:t>Akpoghelie</w:t>
      </w:r>
      <w:proofErr w:type="spellEnd"/>
      <w:r w:rsidR="003938FE" w:rsidRPr="007C79AB">
        <w:rPr>
          <w:rFonts w:ascii="Times New Roman" w:hAnsi="Times New Roman" w:cs="Times New Roman"/>
          <w:sz w:val="24"/>
          <w:szCs w:val="24"/>
        </w:rPr>
        <w:t xml:space="preserve">, </w:t>
      </w:r>
      <w:r w:rsidR="003938FE">
        <w:rPr>
          <w:rFonts w:ascii="Times New Roman" w:hAnsi="Times New Roman" w:cs="Times New Roman"/>
          <w:sz w:val="24"/>
          <w:szCs w:val="24"/>
        </w:rPr>
        <w:t xml:space="preserve">et al., </w:t>
      </w:r>
      <w:r w:rsidR="003938FE" w:rsidRPr="007C79AB">
        <w:rPr>
          <w:rFonts w:ascii="Times New Roman" w:hAnsi="Times New Roman" w:cs="Times New Roman"/>
          <w:sz w:val="24"/>
          <w:szCs w:val="24"/>
        </w:rPr>
        <w:t>2024</w:t>
      </w:r>
      <w:r w:rsidR="003938FE">
        <w:rPr>
          <w:rFonts w:ascii="Times New Roman" w:hAnsi="Times New Roman" w:cs="Times New Roman"/>
          <w:sz w:val="24"/>
          <w:szCs w:val="24"/>
        </w:rPr>
        <w:t xml:space="preserve">; </w:t>
      </w:r>
      <w:r w:rsidR="003938FE" w:rsidRPr="003938FE">
        <w:rPr>
          <w:rFonts w:ascii="Times New Roman" w:hAnsi="Times New Roman" w:cs="Times New Roman"/>
          <w:sz w:val="24"/>
          <w:szCs w:val="24"/>
        </w:rPr>
        <w:t>Azubuike,</w:t>
      </w:r>
      <w:r w:rsidR="003938FE">
        <w:rPr>
          <w:rFonts w:ascii="Times New Roman" w:hAnsi="Times New Roman" w:cs="Times New Roman"/>
          <w:sz w:val="24"/>
          <w:szCs w:val="24"/>
        </w:rPr>
        <w:t xml:space="preserve"> et al.</w:t>
      </w:r>
      <w:r w:rsidR="003938FE" w:rsidRPr="00E10446">
        <w:rPr>
          <w:rFonts w:ascii="Times New Roman" w:hAnsi="Times New Roman" w:cs="Times New Roman"/>
          <w:sz w:val="24"/>
          <w:szCs w:val="24"/>
        </w:rPr>
        <w:t>, 2025</w:t>
      </w:r>
      <w:r w:rsidRPr="00E10446">
        <w:rPr>
          <w:rFonts w:ascii="Times New Roman" w:hAnsi="Times New Roman" w:cs="Times New Roman"/>
          <w:sz w:val="24"/>
          <w:szCs w:val="24"/>
        </w:rPr>
        <w:t>). When energy consumption integrates into the production structure of these economies, it will have a greater impact on the poverty reduction process as more people can participate in the economy to move the poor out of subsistence activities into more stable sources of income.</w:t>
      </w:r>
      <w:r w:rsidR="005D4D09" w:rsidRPr="00E10446">
        <w:rPr>
          <w:rFonts w:ascii="Times New Roman" w:hAnsi="Times New Roman" w:cs="Times New Roman"/>
          <w:sz w:val="24"/>
          <w:szCs w:val="24"/>
        </w:rPr>
        <w:t xml:space="preserve"> </w:t>
      </w:r>
      <w:r w:rsidRPr="00E10446">
        <w:rPr>
          <w:rFonts w:ascii="Times New Roman" w:hAnsi="Times New Roman" w:cs="Times New Roman"/>
          <w:sz w:val="24"/>
          <w:szCs w:val="24"/>
        </w:rPr>
        <w:t>In addition, endogenous growth theory also incorporates the feedback effects of energy on the formation of human capital. Households affording reliable energy access are likelier to allocate resources towards education and health, thereby improving labour productivity and fostering positive growth loops. This creates a virtuous cycle of energy consumption leading to enhanced human capabilities, which is pivotal to poverty alleviation (Bhattacharyya &amp; Timilsina,2010). In sum, this theory offers a systematic perspective on the contributory role of energy consumption in sustained economic growth and poverty alleviation, rendering it highly relevant for the context of West African countries where energy issues are at the heart of development policies.</w:t>
      </w:r>
    </w:p>
    <w:p w14:paraId="5754C11E" w14:textId="4DFCA6CF" w:rsidR="005801C8" w:rsidRDefault="00C41E01">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 xml:space="preserve">2.2 </w:t>
      </w:r>
      <w:r w:rsidR="002326DC" w:rsidRPr="00E10446">
        <w:rPr>
          <w:rFonts w:ascii="Times New Roman" w:hAnsi="Times New Roman" w:cs="Times New Roman"/>
          <w:b/>
          <w:bCs/>
          <w:sz w:val="24"/>
          <w:szCs w:val="24"/>
        </w:rPr>
        <w:t>Empirical Review</w:t>
      </w:r>
    </w:p>
    <w:p w14:paraId="70983C3F" w14:textId="75B73990" w:rsidR="007E23F0" w:rsidRDefault="001112EC">
      <w:pPr>
        <w:spacing w:line="240" w:lineRule="auto"/>
        <w:jc w:val="both"/>
        <w:rPr>
          <w:rFonts w:ascii="Times New Roman" w:hAnsi="Times New Roman" w:cs="Times New Roman"/>
          <w:sz w:val="24"/>
          <w:szCs w:val="24"/>
        </w:rPr>
      </w:pPr>
      <w:r w:rsidRPr="001112EC">
        <w:rPr>
          <w:rFonts w:ascii="Times New Roman" w:hAnsi="Times New Roman" w:cs="Times New Roman"/>
          <w:sz w:val="24"/>
          <w:szCs w:val="24"/>
        </w:rPr>
        <w:t xml:space="preserve">Recent empirical literature on the energy–poverty nexus in Sub-Saharan Africa (SSA) shows a clear shift toward more </w:t>
      </w:r>
      <w:r>
        <w:rPr>
          <w:rFonts w:ascii="Times New Roman" w:hAnsi="Times New Roman" w:cs="Times New Roman"/>
          <w:sz w:val="24"/>
          <w:szCs w:val="24"/>
        </w:rPr>
        <w:t>balanced</w:t>
      </w:r>
      <w:r w:rsidRPr="001112EC">
        <w:rPr>
          <w:rFonts w:ascii="Times New Roman" w:hAnsi="Times New Roman" w:cs="Times New Roman"/>
          <w:sz w:val="24"/>
          <w:szCs w:val="24"/>
        </w:rPr>
        <w:t xml:space="preserve"> and realistic </w:t>
      </w:r>
      <w:r w:rsidR="00076A8B" w:rsidRPr="001112EC">
        <w:rPr>
          <w:rFonts w:ascii="Times New Roman" w:hAnsi="Times New Roman" w:cs="Times New Roman"/>
          <w:sz w:val="24"/>
          <w:szCs w:val="24"/>
        </w:rPr>
        <w:t>modelling</w:t>
      </w:r>
      <w:r w:rsidRPr="001112EC">
        <w:rPr>
          <w:rFonts w:ascii="Times New Roman" w:hAnsi="Times New Roman" w:cs="Times New Roman"/>
          <w:sz w:val="24"/>
          <w:szCs w:val="24"/>
        </w:rPr>
        <w:t xml:space="preserve"> approaches. Beginning with the most recent contributions,</w:t>
      </w:r>
      <w:r>
        <w:rPr>
          <w:rFonts w:ascii="Times New Roman" w:hAnsi="Times New Roman" w:cs="Times New Roman"/>
          <w:sz w:val="24"/>
          <w:szCs w:val="24"/>
        </w:rPr>
        <w:t xml:space="preserve"> </w:t>
      </w:r>
      <w:r w:rsidRPr="001112EC">
        <w:rPr>
          <w:rFonts w:ascii="Times New Roman" w:hAnsi="Times New Roman" w:cs="Times New Roman"/>
          <w:sz w:val="24"/>
          <w:szCs w:val="24"/>
        </w:rPr>
        <w:t>Adebayo and colleagues (2025) took a clever approach. Instead of asking whether energy consumption reduces poverty, they asked: what happens when energy consumption suddenly jumps up or drops down? Using nonlinear ARDL models across 16 Sub-Saharan African countries, they found that increases in renewable energy consumption genuinely help reduce poverty, both quickly and over the long haul. But shocks to fossil fuel energy? Mixed results at best. This is a real leap forward</w:t>
      </w:r>
      <w:r>
        <w:rPr>
          <w:rFonts w:ascii="Times New Roman" w:hAnsi="Times New Roman" w:cs="Times New Roman"/>
          <w:sz w:val="24"/>
          <w:szCs w:val="24"/>
        </w:rPr>
        <w:t xml:space="preserve">; </w:t>
      </w:r>
      <w:r w:rsidRPr="001112EC">
        <w:rPr>
          <w:rFonts w:ascii="Times New Roman" w:hAnsi="Times New Roman" w:cs="Times New Roman"/>
          <w:sz w:val="24"/>
          <w:szCs w:val="24"/>
        </w:rPr>
        <w:t>it suggests that promoting renewables isn't just good for the planet but also smart poverty policy. That said, the study paints with a broad pan-African brush. It misses the gritty local realities: Nigeria drowning in oil versus Senegal carefully building electrification from the ground up. We still need country-by-country research.</w:t>
      </w:r>
      <w:r>
        <w:rPr>
          <w:rFonts w:ascii="Times New Roman" w:hAnsi="Times New Roman" w:cs="Times New Roman"/>
          <w:sz w:val="24"/>
          <w:szCs w:val="24"/>
        </w:rPr>
        <w:t xml:space="preserve"> Parallel to this study</w:t>
      </w:r>
      <w:r w:rsidRPr="001112EC">
        <w:rPr>
          <w:rFonts w:ascii="Times New Roman" w:hAnsi="Times New Roman" w:cs="Times New Roman"/>
          <w:sz w:val="24"/>
          <w:szCs w:val="24"/>
        </w:rPr>
        <w:t xml:space="preserve">, </w:t>
      </w:r>
      <w:proofErr w:type="spellStart"/>
      <w:r w:rsidRPr="001112EC">
        <w:rPr>
          <w:rFonts w:ascii="Times New Roman" w:hAnsi="Times New Roman" w:cs="Times New Roman"/>
          <w:sz w:val="24"/>
          <w:szCs w:val="24"/>
        </w:rPr>
        <w:t>Jinapor</w:t>
      </w:r>
      <w:proofErr w:type="spellEnd"/>
      <w:r w:rsidRPr="001112EC">
        <w:rPr>
          <w:rFonts w:ascii="Times New Roman" w:hAnsi="Times New Roman" w:cs="Times New Roman"/>
          <w:sz w:val="24"/>
          <w:szCs w:val="24"/>
        </w:rPr>
        <w:t xml:space="preserve"> and team (2025) were asking a different question: how does energy consumption work together with foreign investment to reduce poverty? Looking at 32 SSA countries from 2000 to 2019, they used a sophisticated two-stage GMM estimator (a mouthful, but basically a tool that handles tricky statistical problems). They broke energy into renewable and non-renewable, and built an "inclusive growth" index that captures income, poverty, employment, and inequality. Here's what they found: total energy consumption strongly boosts inclusive growth. Both renewable and non-renewable help, though non-renewable packs a bigger punch. Interestingly, foreign investment has a U-shaped relationship with growth</w:t>
      </w:r>
      <w:r>
        <w:rPr>
          <w:rFonts w:ascii="Times New Roman" w:hAnsi="Times New Roman" w:cs="Times New Roman"/>
          <w:sz w:val="24"/>
          <w:szCs w:val="24"/>
        </w:rPr>
        <w:t xml:space="preserve">, </w:t>
      </w:r>
      <w:r w:rsidRPr="001112EC">
        <w:rPr>
          <w:rFonts w:ascii="Times New Roman" w:hAnsi="Times New Roman" w:cs="Times New Roman"/>
          <w:sz w:val="24"/>
          <w:szCs w:val="24"/>
        </w:rPr>
        <w:t>it hurts at first, then helps after a certain point. And when foreign investment teams up with energy consumption? They amplify each other's poverty-fighting power.</w:t>
      </w:r>
    </w:p>
    <w:p w14:paraId="050968E3" w14:textId="4C4AC1CD" w:rsidR="001112EC" w:rsidRDefault="001112EC" w:rsidP="001112EC">
      <w:pPr>
        <w:spacing w:line="240" w:lineRule="auto"/>
        <w:jc w:val="both"/>
        <w:rPr>
          <w:rFonts w:ascii="Times New Roman" w:hAnsi="Times New Roman" w:cs="Times New Roman"/>
          <w:sz w:val="24"/>
          <w:szCs w:val="24"/>
        </w:rPr>
      </w:pPr>
      <w:proofErr w:type="spellStart"/>
      <w:r w:rsidRPr="001112EC">
        <w:rPr>
          <w:rFonts w:ascii="Times New Roman" w:hAnsi="Times New Roman" w:cs="Times New Roman"/>
          <w:sz w:val="24"/>
          <w:szCs w:val="24"/>
        </w:rPr>
        <w:t>Mazorodze</w:t>
      </w:r>
      <w:proofErr w:type="spellEnd"/>
      <w:r w:rsidRPr="001112EC">
        <w:rPr>
          <w:rFonts w:ascii="Times New Roman" w:hAnsi="Times New Roman" w:cs="Times New Roman"/>
          <w:sz w:val="24"/>
          <w:szCs w:val="24"/>
        </w:rPr>
        <w:t xml:space="preserve"> (2025) zoomed in on renewable energy and "green growth" across 22 SSA countries from 1990 to 2019. Using advanced techniques like FMOLS and DOLS (which handle endogeneity and cross-country dependencies), and controlling for economic growth, trade, and institutional quality, the findings were clear: renewable energy consumption has a positive, lasting impact on green growth indicators like adjusted net savings and ecological efficiency. But here's the kicker</w:t>
      </w:r>
      <w:r>
        <w:rPr>
          <w:rFonts w:ascii="Times New Roman" w:hAnsi="Times New Roman" w:cs="Times New Roman"/>
          <w:sz w:val="24"/>
          <w:szCs w:val="24"/>
        </w:rPr>
        <w:t xml:space="preserve">, </w:t>
      </w:r>
      <w:r w:rsidRPr="001112EC">
        <w:rPr>
          <w:rFonts w:ascii="Times New Roman" w:hAnsi="Times New Roman" w:cs="Times New Roman"/>
          <w:sz w:val="24"/>
          <w:szCs w:val="24"/>
        </w:rPr>
        <w:t>this effect is stronger in countries with better governance and higher existing renewable shares. In other words, good government makes green energy work better for the poor.</w:t>
      </w:r>
      <w:r>
        <w:rPr>
          <w:rFonts w:ascii="Times New Roman" w:hAnsi="Times New Roman" w:cs="Times New Roman"/>
          <w:sz w:val="24"/>
          <w:szCs w:val="24"/>
        </w:rPr>
        <w:t xml:space="preserve"> Similarly, </w:t>
      </w:r>
      <w:proofErr w:type="spellStart"/>
      <w:r w:rsidRPr="001112EC">
        <w:rPr>
          <w:rFonts w:ascii="Times New Roman" w:hAnsi="Times New Roman" w:cs="Times New Roman"/>
          <w:sz w:val="24"/>
          <w:szCs w:val="24"/>
        </w:rPr>
        <w:t>Touray</w:t>
      </w:r>
      <w:proofErr w:type="spellEnd"/>
      <w:r w:rsidRPr="001112EC">
        <w:rPr>
          <w:rFonts w:ascii="Times New Roman" w:hAnsi="Times New Roman" w:cs="Times New Roman"/>
          <w:sz w:val="24"/>
          <w:szCs w:val="24"/>
        </w:rPr>
        <w:t xml:space="preserve"> and Hao (2025) brought the focus down to West Africa specifically. They created a new Access-Based Energy Poverty (AB-EP) index that actually accounts for clean energy technology access</w:t>
      </w:r>
      <w:r>
        <w:rPr>
          <w:rFonts w:ascii="Times New Roman" w:hAnsi="Times New Roman" w:cs="Times New Roman"/>
          <w:sz w:val="24"/>
          <w:szCs w:val="24"/>
        </w:rPr>
        <w:t xml:space="preserve">, </w:t>
      </w:r>
      <w:r w:rsidRPr="001112EC">
        <w:rPr>
          <w:rFonts w:ascii="Times New Roman" w:hAnsi="Times New Roman" w:cs="Times New Roman"/>
          <w:sz w:val="24"/>
          <w:szCs w:val="24"/>
        </w:rPr>
        <w:t xml:space="preserve">not just electricity connections. Using panel-corrected standard errors (a method that handles messy real-world data), they found that higher income per capita and financial inflows (both foreign investment and remittances from relatives abroad) significantly reduce access-based energy poverty. Energy efficiency and trade </w:t>
      </w:r>
      <w:r w:rsidRPr="001112EC">
        <w:rPr>
          <w:rFonts w:ascii="Times New Roman" w:hAnsi="Times New Roman" w:cs="Times New Roman"/>
          <w:sz w:val="24"/>
          <w:szCs w:val="24"/>
        </w:rPr>
        <w:lastRenderedPageBreak/>
        <w:t>openness help too. But population pressure? It makes things worse. The takeaway: targeted financial and income policies can close the energy access gap in West Africa.</w:t>
      </w:r>
      <w:r>
        <w:rPr>
          <w:rFonts w:ascii="Times New Roman" w:hAnsi="Times New Roman" w:cs="Times New Roman"/>
          <w:sz w:val="24"/>
          <w:szCs w:val="24"/>
        </w:rPr>
        <w:t xml:space="preserve"> </w:t>
      </w:r>
      <w:r w:rsidRPr="001112EC">
        <w:rPr>
          <w:rFonts w:ascii="Times New Roman" w:hAnsi="Times New Roman" w:cs="Times New Roman"/>
          <w:sz w:val="24"/>
          <w:szCs w:val="24"/>
        </w:rPr>
        <w:t xml:space="preserve">Meanwhile, </w:t>
      </w:r>
      <w:proofErr w:type="spellStart"/>
      <w:r w:rsidRPr="001112EC">
        <w:rPr>
          <w:rFonts w:ascii="Times New Roman" w:hAnsi="Times New Roman" w:cs="Times New Roman"/>
          <w:sz w:val="24"/>
          <w:szCs w:val="24"/>
        </w:rPr>
        <w:t>Benayed</w:t>
      </w:r>
      <w:proofErr w:type="spellEnd"/>
      <w:r w:rsidRPr="001112EC">
        <w:rPr>
          <w:rFonts w:ascii="Times New Roman" w:hAnsi="Times New Roman" w:cs="Times New Roman"/>
          <w:sz w:val="24"/>
          <w:szCs w:val="24"/>
        </w:rPr>
        <w:t xml:space="preserve"> and colleagues (2025) explored a question that keeps policymakers up at night: can debt actually worsen energy poverty? Using panel threshold regression on recent SSA data, they looked for tipping points. Here's what they discovered: public debt and energy-related spending only reduce energy poverty when institutional quality crosses a certain threshold and economic development exceeds a critical GDP per capita level. Below those thresholds, debt can backfire</w:t>
      </w:r>
      <w:r>
        <w:rPr>
          <w:rFonts w:ascii="Times New Roman" w:hAnsi="Times New Roman" w:cs="Times New Roman"/>
          <w:sz w:val="24"/>
          <w:szCs w:val="24"/>
        </w:rPr>
        <w:t xml:space="preserve">, </w:t>
      </w:r>
      <w:r w:rsidRPr="001112EC">
        <w:rPr>
          <w:rFonts w:ascii="Times New Roman" w:hAnsi="Times New Roman" w:cs="Times New Roman"/>
          <w:sz w:val="24"/>
          <w:szCs w:val="24"/>
        </w:rPr>
        <w:t>money gets misallocated, and poverty deepens. The implication is uncomfortable but honest: governance reforms and debt sustainability aren't boring accounting details. They're essential for making energy investments actually help the poor.</w:t>
      </w:r>
    </w:p>
    <w:p w14:paraId="08B6C89A" w14:textId="7EA25A39" w:rsidR="001112EC" w:rsidRDefault="001112EC" w:rsidP="001112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Nevertheless, </w:t>
      </w:r>
      <w:r w:rsidRPr="001112EC">
        <w:rPr>
          <w:rFonts w:ascii="Times New Roman" w:hAnsi="Times New Roman" w:cs="Times New Roman"/>
          <w:sz w:val="24"/>
          <w:szCs w:val="24"/>
        </w:rPr>
        <w:t xml:space="preserve">Leal Filho </w:t>
      </w:r>
      <w:r>
        <w:rPr>
          <w:rFonts w:ascii="Times New Roman" w:hAnsi="Times New Roman" w:cs="Times New Roman"/>
          <w:sz w:val="24"/>
          <w:szCs w:val="24"/>
        </w:rPr>
        <w:t xml:space="preserve">et al., </w:t>
      </w:r>
      <w:r w:rsidRPr="001112EC">
        <w:rPr>
          <w:rFonts w:ascii="Times New Roman" w:hAnsi="Times New Roman" w:cs="Times New Roman"/>
          <w:sz w:val="24"/>
          <w:szCs w:val="24"/>
        </w:rPr>
        <w:t>(2024) took a completely different approach. They mixed bibliometric analysis (mapping the scientific literature) with an online survey of people actually working on energy policy in Africa. The literature clusters around electricity access, energy justice, and cooking fuels. But the practitioners' voices were more revealing: they said governance failures</w:t>
      </w:r>
      <w:r>
        <w:rPr>
          <w:rFonts w:ascii="Times New Roman" w:hAnsi="Times New Roman" w:cs="Times New Roman"/>
          <w:sz w:val="24"/>
          <w:szCs w:val="24"/>
        </w:rPr>
        <w:t xml:space="preserve">, </w:t>
      </w:r>
      <w:r w:rsidRPr="001112EC">
        <w:rPr>
          <w:rFonts w:ascii="Times New Roman" w:hAnsi="Times New Roman" w:cs="Times New Roman"/>
          <w:sz w:val="24"/>
          <w:szCs w:val="24"/>
        </w:rPr>
        <w:t>corruption, poor policy implementation</w:t>
      </w:r>
      <w:r>
        <w:rPr>
          <w:rFonts w:ascii="Times New Roman" w:hAnsi="Times New Roman" w:cs="Times New Roman"/>
          <w:sz w:val="24"/>
          <w:szCs w:val="24"/>
        </w:rPr>
        <w:t xml:space="preserve">, </w:t>
      </w:r>
      <w:r w:rsidRPr="001112EC">
        <w:rPr>
          <w:rFonts w:ascii="Times New Roman" w:hAnsi="Times New Roman" w:cs="Times New Roman"/>
          <w:sz w:val="24"/>
          <w:szCs w:val="24"/>
        </w:rPr>
        <w:t>are the primary drivers of persistent energy poverty, outweighing technology gaps or financial constraints. Outdated infrastructure, high prices, and low awareness of renewable benefits also play roles. The message is sobering: you can pour money into energy projects, but without governance reform, poverty won't budge.</w:t>
      </w:r>
      <w:r>
        <w:rPr>
          <w:rFonts w:ascii="Times New Roman" w:hAnsi="Times New Roman" w:cs="Times New Roman"/>
          <w:sz w:val="24"/>
          <w:szCs w:val="24"/>
        </w:rPr>
        <w:t xml:space="preserve"> Following this trajectory, </w:t>
      </w:r>
      <w:proofErr w:type="spellStart"/>
      <w:r w:rsidRPr="001112EC">
        <w:rPr>
          <w:rFonts w:ascii="Times New Roman" w:hAnsi="Times New Roman" w:cs="Times New Roman"/>
          <w:sz w:val="24"/>
          <w:szCs w:val="24"/>
        </w:rPr>
        <w:t>Compaoré</w:t>
      </w:r>
      <w:proofErr w:type="spellEnd"/>
      <w:r w:rsidRPr="001112EC">
        <w:rPr>
          <w:rFonts w:ascii="Times New Roman" w:hAnsi="Times New Roman" w:cs="Times New Roman"/>
          <w:sz w:val="24"/>
          <w:szCs w:val="24"/>
        </w:rPr>
        <w:t xml:space="preserve"> and colleagues (2024) got down to the household level. They assessed multidimensional energy poverty across eight West African Economic and Monetary Union (WAEMU) countries using the Multidimensional Energy Poverty Index (MEPI) and </w:t>
      </w:r>
      <w:proofErr w:type="spellStart"/>
      <w:r w:rsidRPr="001112EC">
        <w:rPr>
          <w:rFonts w:ascii="Times New Roman" w:hAnsi="Times New Roman" w:cs="Times New Roman"/>
          <w:sz w:val="24"/>
          <w:szCs w:val="24"/>
        </w:rPr>
        <w:t>Alkire</w:t>
      </w:r>
      <w:proofErr w:type="spellEnd"/>
      <w:r w:rsidRPr="001112EC">
        <w:rPr>
          <w:rFonts w:ascii="Times New Roman" w:hAnsi="Times New Roman" w:cs="Times New Roman"/>
          <w:sz w:val="24"/>
          <w:szCs w:val="24"/>
        </w:rPr>
        <w:t>-Foster methodology. With data from 50,025 households, they looked at five dimensions: lighting, cooking, appliances, entertainment/education, and communications. The results are staggering: a MEPI of 68.0%</w:t>
      </w:r>
      <w:r>
        <w:rPr>
          <w:rFonts w:ascii="Times New Roman" w:hAnsi="Times New Roman" w:cs="Times New Roman"/>
          <w:sz w:val="24"/>
          <w:szCs w:val="24"/>
        </w:rPr>
        <w:t xml:space="preserve">, </w:t>
      </w:r>
      <w:r w:rsidRPr="001112EC">
        <w:rPr>
          <w:rFonts w:ascii="Times New Roman" w:hAnsi="Times New Roman" w:cs="Times New Roman"/>
          <w:sz w:val="24"/>
          <w:szCs w:val="24"/>
        </w:rPr>
        <w:t>meaning 90.5% of households are energy-deprived, with an intensity of 75.1%. The biggest culprit? Lack of modern cooking fuels, accounting for 39.8% of the problem. Rural households, less-educated heads, and larger families face the highest deprivation. Urban living, education, income, and smaller household size all reduce poverty probability. Country variation is huge</w:t>
      </w:r>
      <w:r>
        <w:rPr>
          <w:rFonts w:ascii="Times New Roman" w:hAnsi="Times New Roman" w:cs="Times New Roman"/>
          <w:sz w:val="24"/>
          <w:szCs w:val="24"/>
        </w:rPr>
        <w:t xml:space="preserve">, </w:t>
      </w:r>
      <w:r w:rsidRPr="001112EC">
        <w:rPr>
          <w:rFonts w:ascii="Times New Roman" w:hAnsi="Times New Roman" w:cs="Times New Roman"/>
          <w:sz w:val="24"/>
          <w:szCs w:val="24"/>
        </w:rPr>
        <w:t>Senegal does best, Niger worst. This is the kind of granular evidence that macro studies miss.</w:t>
      </w:r>
      <w:r>
        <w:rPr>
          <w:rFonts w:ascii="Times New Roman" w:hAnsi="Times New Roman" w:cs="Times New Roman"/>
          <w:sz w:val="24"/>
          <w:szCs w:val="24"/>
        </w:rPr>
        <w:t xml:space="preserve"> Furth study on this perspective include </w:t>
      </w:r>
      <w:proofErr w:type="spellStart"/>
      <w:r w:rsidRPr="001112EC">
        <w:rPr>
          <w:rFonts w:ascii="Times New Roman" w:hAnsi="Times New Roman" w:cs="Times New Roman"/>
          <w:sz w:val="24"/>
          <w:szCs w:val="24"/>
        </w:rPr>
        <w:t>Kettani</w:t>
      </w:r>
      <w:proofErr w:type="spellEnd"/>
      <w:r w:rsidRPr="001112EC">
        <w:rPr>
          <w:rFonts w:ascii="Times New Roman" w:hAnsi="Times New Roman" w:cs="Times New Roman"/>
          <w:sz w:val="24"/>
          <w:szCs w:val="24"/>
        </w:rPr>
        <w:t xml:space="preserve"> and Sanin (2024)</w:t>
      </w:r>
      <w:r>
        <w:rPr>
          <w:rFonts w:ascii="Times New Roman" w:hAnsi="Times New Roman" w:cs="Times New Roman"/>
          <w:sz w:val="24"/>
          <w:szCs w:val="24"/>
        </w:rPr>
        <w:t>, who</w:t>
      </w:r>
      <w:r w:rsidRPr="001112EC">
        <w:rPr>
          <w:rFonts w:ascii="Times New Roman" w:hAnsi="Times New Roman" w:cs="Times New Roman"/>
          <w:sz w:val="24"/>
          <w:szCs w:val="24"/>
        </w:rPr>
        <w:t xml:space="preserve"> asked a distributional question: who benefits most from clean energy? Using panel quantile regression and system GMM on developing-country data, they found that renewable energy significantly reduces poverty, especially for the poorest households (lower-income quantiles). Fossil energy? Weak or insignificant effects. And here's the clincher: institutional quality and financial development enhance clean energy's poverty-reducing impact. The benefits aren't evenly distributed</w:t>
      </w:r>
      <w:r>
        <w:rPr>
          <w:rFonts w:ascii="Times New Roman" w:hAnsi="Times New Roman" w:cs="Times New Roman"/>
          <w:sz w:val="24"/>
          <w:szCs w:val="24"/>
        </w:rPr>
        <w:t xml:space="preserve">, </w:t>
      </w:r>
      <w:r w:rsidRPr="001112EC">
        <w:rPr>
          <w:rFonts w:ascii="Times New Roman" w:hAnsi="Times New Roman" w:cs="Times New Roman"/>
          <w:sz w:val="24"/>
          <w:szCs w:val="24"/>
        </w:rPr>
        <w:t>they flow most to those who need them most, but only when governance and finance are in decent shape.</w:t>
      </w:r>
    </w:p>
    <w:p w14:paraId="356C4395" w14:textId="7FCC04C9" w:rsidR="001112EC" w:rsidRDefault="001112EC" w:rsidP="001112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earlier building foundational studies by </w:t>
      </w:r>
      <w:r w:rsidRPr="001112EC">
        <w:rPr>
          <w:rFonts w:ascii="Times New Roman" w:hAnsi="Times New Roman" w:cs="Times New Roman"/>
          <w:sz w:val="24"/>
          <w:szCs w:val="24"/>
        </w:rPr>
        <w:t>Lin, Gao, and Yang (2023) looked beyond Africa to low-income countries globally. Using dynamic panel GMM and quantile regression on World Bank data (2000–2020), they found that higher energy consumption reduces multidimensional poverty and boosts productivity. The positive effects are stronger at higher poverty quantiles (meaning the poorest benefit most) and in countries with better energy infrastructure. Energy efficiency improvements amplify these poverty-mitigating impacts.</w:t>
      </w:r>
      <w:r>
        <w:rPr>
          <w:rFonts w:ascii="Times New Roman" w:hAnsi="Times New Roman" w:cs="Times New Roman"/>
          <w:sz w:val="24"/>
          <w:szCs w:val="24"/>
        </w:rPr>
        <w:t xml:space="preserve"> Moreover, </w:t>
      </w:r>
      <w:r w:rsidRPr="001112EC">
        <w:rPr>
          <w:rFonts w:ascii="Times New Roman" w:hAnsi="Times New Roman" w:cs="Times New Roman"/>
          <w:sz w:val="24"/>
          <w:szCs w:val="24"/>
        </w:rPr>
        <w:t xml:space="preserve">Sy </w:t>
      </w:r>
      <w:r>
        <w:rPr>
          <w:rFonts w:ascii="Times New Roman" w:hAnsi="Times New Roman" w:cs="Times New Roman"/>
          <w:sz w:val="24"/>
          <w:szCs w:val="24"/>
        </w:rPr>
        <w:t>et al.,</w:t>
      </w:r>
      <w:r w:rsidRPr="001112EC">
        <w:rPr>
          <w:rFonts w:ascii="Times New Roman" w:hAnsi="Times New Roman" w:cs="Times New Roman"/>
          <w:sz w:val="24"/>
          <w:szCs w:val="24"/>
        </w:rPr>
        <w:t xml:space="preserve"> (2022) kept it simpler but still valuable. Using cross-country panel regression in Sub-Saharan Africa, they </w:t>
      </w:r>
      <w:proofErr w:type="spellStart"/>
      <w:r w:rsidRPr="001112EC">
        <w:rPr>
          <w:rFonts w:ascii="Times New Roman" w:hAnsi="Times New Roman" w:cs="Times New Roman"/>
          <w:sz w:val="24"/>
          <w:szCs w:val="24"/>
        </w:rPr>
        <w:t>modeled</w:t>
      </w:r>
      <w:proofErr w:type="spellEnd"/>
      <w:r w:rsidRPr="001112EC">
        <w:rPr>
          <w:rFonts w:ascii="Times New Roman" w:hAnsi="Times New Roman" w:cs="Times New Roman"/>
          <w:sz w:val="24"/>
          <w:szCs w:val="24"/>
        </w:rPr>
        <w:t xml:space="preserve"> energy consumption per capita as a driver of the Human Development Index (HDI). Their finding</w:t>
      </w:r>
      <w:r>
        <w:rPr>
          <w:rFonts w:ascii="Times New Roman" w:hAnsi="Times New Roman" w:cs="Times New Roman"/>
          <w:sz w:val="24"/>
          <w:szCs w:val="24"/>
        </w:rPr>
        <w:t xml:space="preserve">, </w:t>
      </w:r>
      <w:r w:rsidRPr="001112EC">
        <w:rPr>
          <w:rFonts w:ascii="Times New Roman" w:hAnsi="Times New Roman" w:cs="Times New Roman"/>
          <w:sz w:val="24"/>
          <w:szCs w:val="24"/>
        </w:rPr>
        <w:t>higher energy consumption improves human development</w:t>
      </w:r>
      <w:r>
        <w:rPr>
          <w:rFonts w:ascii="Times New Roman" w:hAnsi="Times New Roman" w:cs="Times New Roman"/>
          <w:sz w:val="24"/>
          <w:szCs w:val="24"/>
        </w:rPr>
        <w:t xml:space="preserve">, </w:t>
      </w:r>
      <w:r w:rsidRPr="001112EC">
        <w:rPr>
          <w:rFonts w:ascii="Times New Roman" w:hAnsi="Times New Roman" w:cs="Times New Roman"/>
          <w:sz w:val="24"/>
          <w:szCs w:val="24"/>
        </w:rPr>
        <w:t>indirectly suggests poverty reduction through better education, healthcare, and income opportunities.</w:t>
      </w:r>
      <w:r>
        <w:rPr>
          <w:rFonts w:ascii="Times New Roman" w:hAnsi="Times New Roman" w:cs="Times New Roman"/>
          <w:sz w:val="24"/>
          <w:szCs w:val="24"/>
        </w:rPr>
        <w:t xml:space="preserve"> </w:t>
      </w:r>
      <w:r w:rsidRPr="001112EC">
        <w:rPr>
          <w:rFonts w:ascii="Times New Roman" w:hAnsi="Times New Roman" w:cs="Times New Roman"/>
          <w:sz w:val="24"/>
          <w:szCs w:val="24"/>
        </w:rPr>
        <w:t xml:space="preserve">Lin and Wang (2020) offered a crucial reality check from China. They asked: does energy poverty even exist in a country with near-universal electrification? Yes, but it's "hidden." Rather than lacking access entirely, Chinese households </w:t>
      </w:r>
      <w:r w:rsidRPr="001112EC">
        <w:rPr>
          <w:rFonts w:ascii="Times New Roman" w:hAnsi="Times New Roman" w:cs="Times New Roman"/>
          <w:sz w:val="24"/>
          <w:szCs w:val="24"/>
        </w:rPr>
        <w:lastRenderedPageBreak/>
        <w:t>suffer from low consumption thresholds</w:t>
      </w:r>
      <w:r>
        <w:rPr>
          <w:rFonts w:ascii="Times New Roman" w:hAnsi="Times New Roman" w:cs="Times New Roman"/>
          <w:sz w:val="24"/>
          <w:szCs w:val="24"/>
        </w:rPr>
        <w:t xml:space="preserve">, </w:t>
      </w:r>
      <w:r w:rsidRPr="001112EC">
        <w:rPr>
          <w:rFonts w:ascii="Times New Roman" w:hAnsi="Times New Roman" w:cs="Times New Roman"/>
          <w:sz w:val="24"/>
          <w:szCs w:val="24"/>
        </w:rPr>
        <w:t>they have electricity but can't afford to use enough of it. Rural and western provinces are hardest hit. Income, energy efficiency, and heating demand are key determinants. The policy implication is important for Africa too: access alone isn't enough. We need to think about consumption levels and affordability.</w:t>
      </w:r>
      <w:r>
        <w:rPr>
          <w:rFonts w:ascii="Times New Roman" w:hAnsi="Times New Roman" w:cs="Times New Roman"/>
          <w:sz w:val="24"/>
          <w:szCs w:val="24"/>
        </w:rPr>
        <w:t xml:space="preserve"> Meanwhile, </w:t>
      </w:r>
      <w:proofErr w:type="spellStart"/>
      <w:r w:rsidRPr="001112EC">
        <w:rPr>
          <w:rFonts w:ascii="Times New Roman" w:hAnsi="Times New Roman" w:cs="Times New Roman"/>
          <w:sz w:val="24"/>
          <w:szCs w:val="24"/>
        </w:rPr>
        <w:t>Apergis</w:t>
      </w:r>
      <w:proofErr w:type="spellEnd"/>
      <w:r w:rsidRPr="001112EC">
        <w:rPr>
          <w:rFonts w:ascii="Times New Roman" w:hAnsi="Times New Roman" w:cs="Times New Roman"/>
          <w:sz w:val="24"/>
          <w:szCs w:val="24"/>
        </w:rPr>
        <w:t xml:space="preserve"> and Payne (2017) laid the groundwork. Using panel Granger causality and error correction models across developing countries, they established bidirectional causality between renewable energy consumption and economic growth. Energy drives growth, and growth drives energy consumption. This interdependence justifies all the sophisticated nonlinear models that followed.</w:t>
      </w:r>
    </w:p>
    <w:p w14:paraId="50E0964B" w14:textId="0EF80457" w:rsidR="00572BE6" w:rsidRPr="007E23F0" w:rsidRDefault="00572BE6" w:rsidP="001112EC">
      <w:pPr>
        <w:spacing w:line="240" w:lineRule="auto"/>
        <w:jc w:val="both"/>
        <w:rPr>
          <w:rFonts w:ascii="Times New Roman" w:hAnsi="Times New Roman" w:cs="Times New Roman"/>
          <w:sz w:val="24"/>
          <w:szCs w:val="24"/>
        </w:rPr>
      </w:pPr>
      <w:r w:rsidRPr="00572BE6">
        <w:rPr>
          <w:rFonts w:ascii="Times New Roman" w:hAnsi="Times New Roman" w:cs="Times New Roman"/>
          <w:sz w:val="24"/>
          <w:szCs w:val="24"/>
        </w:rPr>
        <w:t xml:space="preserve">Despite advances in energy-poverty research, no study on West Africa methodologically integrates </w:t>
      </w:r>
      <w:r w:rsidR="00ED0D65">
        <w:rPr>
          <w:rFonts w:ascii="Times New Roman" w:hAnsi="Times New Roman" w:cs="Times New Roman"/>
          <w:sz w:val="24"/>
          <w:szCs w:val="24"/>
        </w:rPr>
        <w:t>GMM</w:t>
      </w:r>
      <w:r w:rsidRPr="00572BE6">
        <w:rPr>
          <w:rFonts w:ascii="Times New Roman" w:hAnsi="Times New Roman" w:cs="Times New Roman"/>
          <w:sz w:val="24"/>
          <w:szCs w:val="24"/>
        </w:rPr>
        <w:t xml:space="preserve"> (for </w:t>
      </w:r>
      <w:r w:rsidR="00ED0D65">
        <w:rPr>
          <w:rFonts w:ascii="Times New Roman" w:hAnsi="Times New Roman" w:cs="Times New Roman"/>
          <w:sz w:val="24"/>
          <w:szCs w:val="24"/>
        </w:rPr>
        <w:t>short</w:t>
      </w:r>
      <w:r w:rsidRPr="00572BE6">
        <w:rPr>
          <w:rFonts w:ascii="Times New Roman" w:hAnsi="Times New Roman" w:cs="Times New Roman"/>
          <w:sz w:val="24"/>
          <w:szCs w:val="24"/>
        </w:rPr>
        <w:t xml:space="preserve">-run </w:t>
      </w:r>
      <w:r w:rsidR="00ED0D65">
        <w:rPr>
          <w:rFonts w:ascii="Times New Roman" w:hAnsi="Times New Roman" w:cs="Times New Roman"/>
          <w:sz w:val="24"/>
          <w:szCs w:val="24"/>
        </w:rPr>
        <w:t xml:space="preserve">without </w:t>
      </w:r>
      <w:r w:rsidRPr="00572BE6">
        <w:rPr>
          <w:rFonts w:ascii="Times New Roman" w:hAnsi="Times New Roman" w:cs="Times New Roman"/>
          <w:sz w:val="24"/>
          <w:szCs w:val="24"/>
        </w:rPr>
        <w:t>cointegration), Panel NARDL (for asymmetric positive/negative energy shocks), and quantile regression (for distributional effects across poverty levels). Existing studies use</w:t>
      </w:r>
      <w:r w:rsidR="00ED0D65">
        <w:rPr>
          <w:rFonts w:ascii="Times New Roman" w:hAnsi="Times New Roman" w:cs="Times New Roman"/>
          <w:sz w:val="24"/>
          <w:szCs w:val="24"/>
        </w:rPr>
        <w:t>d</w:t>
      </w:r>
      <w:r w:rsidRPr="00572BE6">
        <w:rPr>
          <w:rFonts w:ascii="Times New Roman" w:hAnsi="Times New Roman" w:cs="Times New Roman"/>
          <w:sz w:val="24"/>
          <w:szCs w:val="24"/>
        </w:rPr>
        <w:t xml:space="preserve"> these methods in isolation or across different regions. </w:t>
      </w:r>
      <w:r w:rsidR="00ED0D65">
        <w:rPr>
          <w:rFonts w:ascii="Times New Roman" w:hAnsi="Times New Roman" w:cs="Times New Roman"/>
          <w:sz w:val="24"/>
          <w:szCs w:val="24"/>
        </w:rPr>
        <w:t>However, t</w:t>
      </w:r>
      <w:r w:rsidRPr="00572BE6">
        <w:rPr>
          <w:rFonts w:ascii="Times New Roman" w:hAnsi="Times New Roman" w:cs="Times New Roman"/>
          <w:sz w:val="24"/>
          <w:szCs w:val="24"/>
        </w:rPr>
        <w:t xml:space="preserve">his combination is critical because </w:t>
      </w:r>
      <w:r w:rsidR="00ED0D65">
        <w:rPr>
          <w:rFonts w:ascii="Times New Roman" w:hAnsi="Times New Roman" w:cs="Times New Roman"/>
          <w:sz w:val="24"/>
          <w:szCs w:val="24"/>
        </w:rPr>
        <w:t>GMM</w:t>
      </w:r>
      <w:r w:rsidRPr="00572BE6">
        <w:rPr>
          <w:rFonts w:ascii="Times New Roman" w:hAnsi="Times New Roman" w:cs="Times New Roman"/>
          <w:sz w:val="24"/>
          <w:szCs w:val="24"/>
        </w:rPr>
        <w:t xml:space="preserve"> captures </w:t>
      </w:r>
      <w:r w:rsidR="00ED0D65">
        <w:rPr>
          <w:rFonts w:ascii="Times New Roman" w:hAnsi="Times New Roman" w:cs="Times New Roman"/>
          <w:sz w:val="24"/>
          <w:szCs w:val="24"/>
        </w:rPr>
        <w:t>short</w:t>
      </w:r>
      <w:r w:rsidRPr="00572BE6">
        <w:rPr>
          <w:rFonts w:ascii="Times New Roman" w:hAnsi="Times New Roman" w:cs="Times New Roman"/>
          <w:sz w:val="24"/>
          <w:szCs w:val="24"/>
        </w:rPr>
        <w:t>-run relationships</w:t>
      </w:r>
      <w:r w:rsidR="00ED0D65">
        <w:rPr>
          <w:rFonts w:ascii="Times New Roman" w:hAnsi="Times New Roman" w:cs="Times New Roman"/>
          <w:sz w:val="24"/>
          <w:szCs w:val="24"/>
        </w:rPr>
        <w:t xml:space="preserve"> in absence of no cointegration among the variables</w:t>
      </w:r>
      <w:r w:rsidRPr="00572BE6">
        <w:rPr>
          <w:rFonts w:ascii="Times New Roman" w:hAnsi="Times New Roman" w:cs="Times New Roman"/>
          <w:sz w:val="24"/>
          <w:szCs w:val="24"/>
        </w:rPr>
        <w:t xml:space="preserve">, </w:t>
      </w:r>
      <w:r w:rsidR="00ED0D65">
        <w:rPr>
          <w:rFonts w:ascii="Times New Roman" w:hAnsi="Times New Roman" w:cs="Times New Roman"/>
          <w:sz w:val="24"/>
          <w:szCs w:val="24"/>
        </w:rPr>
        <w:t xml:space="preserve">panel </w:t>
      </w:r>
      <w:r w:rsidRPr="00572BE6">
        <w:rPr>
          <w:rFonts w:ascii="Times New Roman" w:hAnsi="Times New Roman" w:cs="Times New Roman"/>
          <w:sz w:val="24"/>
          <w:szCs w:val="24"/>
        </w:rPr>
        <w:t xml:space="preserve">NARDL reveals asymmetry, and </w:t>
      </w:r>
      <w:r w:rsidR="00ED0D65">
        <w:rPr>
          <w:rFonts w:ascii="Times New Roman" w:hAnsi="Times New Roman" w:cs="Times New Roman"/>
          <w:sz w:val="24"/>
          <w:szCs w:val="24"/>
        </w:rPr>
        <w:t xml:space="preserve">panel </w:t>
      </w:r>
      <w:r w:rsidRPr="00572BE6">
        <w:rPr>
          <w:rFonts w:ascii="Times New Roman" w:hAnsi="Times New Roman" w:cs="Times New Roman"/>
          <w:sz w:val="24"/>
          <w:szCs w:val="24"/>
        </w:rPr>
        <w:t>quantile regression shows who benefits most. This study addresses this gap by applying all three methods to Nigeria, Ghana, Côte d'Ivoire, Senegal, and Guinea.</w:t>
      </w:r>
    </w:p>
    <w:p w14:paraId="4F51E8F5" w14:textId="603802A3" w:rsidR="005801C8" w:rsidRPr="00E10446" w:rsidRDefault="00204D8E">
      <w:pPr>
        <w:pStyle w:val="ListParagraph"/>
        <w:numPr>
          <w:ilvl w:val="0"/>
          <w:numId w:val="1"/>
        </w:num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Material and Methods</w:t>
      </w:r>
    </w:p>
    <w:p w14:paraId="1462D134" w14:textId="0091C74A" w:rsidR="005801C8" w:rsidRPr="00E10446" w:rsidRDefault="004124B0">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 xml:space="preserve">3.1 </w:t>
      </w:r>
      <w:r w:rsidR="002326DC" w:rsidRPr="00E10446">
        <w:rPr>
          <w:rFonts w:ascii="Times New Roman" w:hAnsi="Times New Roman" w:cs="Times New Roman"/>
          <w:b/>
          <w:bCs/>
          <w:sz w:val="24"/>
          <w:szCs w:val="24"/>
        </w:rPr>
        <w:t>Research Design</w:t>
      </w:r>
    </w:p>
    <w:p w14:paraId="2E007555" w14:textId="2D5C706F" w:rsidR="005801C8"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This research framework addresses the gaps in the literature by adopting advanced panel data methodologies, accounting for heterogeneity, cross-sectional dependence (CD), and potential asymmetries in energy-poverty dynamics. The model specifications for this study relate to previous empirical reviews such as Adebayo et al. (2025) application of nonlinear Autoregressive Distributed Lag (NARDL) models for asymmetric shocks, </w:t>
      </w:r>
      <w:r w:rsidR="00A80114" w:rsidRPr="00A80114">
        <w:rPr>
          <w:rFonts w:ascii="Times New Roman" w:hAnsi="Times New Roman" w:cs="Times New Roman"/>
          <w:sz w:val="24"/>
          <w:szCs w:val="24"/>
        </w:rPr>
        <w:t>Lin, Gao, &amp; Yang, (2023</w:t>
      </w:r>
      <w:r w:rsidR="00A80114">
        <w:rPr>
          <w:rFonts w:ascii="Times New Roman" w:hAnsi="Times New Roman" w:cs="Times New Roman"/>
          <w:sz w:val="24"/>
          <w:szCs w:val="24"/>
        </w:rPr>
        <w:t xml:space="preserve">) </w:t>
      </w:r>
      <w:r w:rsidRPr="00E10446">
        <w:rPr>
          <w:rFonts w:ascii="Times New Roman" w:hAnsi="Times New Roman" w:cs="Times New Roman"/>
          <w:sz w:val="24"/>
          <w:szCs w:val="24"/>
        </w:rPr>
        <w:t xml:space="preserve">system Generalized Method of Moments (GMM) models to counter endogeneity, and </w:t>
      </w:r>
      <w:proofErr w:type="spellStart"/>
      <w:r w:rsidR="00A80114" w:rsidRPr="00A80114">
        <w:rPr>
          <w:rFonts w:ascii="Times New Roman" w:hAnsi="Times New Roman" w:cs="Times New Roman"/>
          <w:sz w:val="24"/>
          <w:szCs w:val="24"/>
        </w:rPr>
        <w:t>Frnana</w:t>
      </w:r>
      <w:proofErr w:type="spellEnd"/>
      <w:r w:rsidR="00A80114" w:rsidRPr="00A80114">
        <w:rPr>
          <w:rFonts w:ascii="Times New Roman" w:hAnsi="Times New Roman" w:cs="Times New Roman"/>
          <w:sz w:val="24"/>
          <w:szCs w:val="24"/>
        </w:rPr>
        <w:t xml:space="preserve"> and Kareem (2025) and in Amer and Kareem (2025)</w:t>
      </w:r>
      <w:r w:rsidR="00A80114">
        <w:rPr>
          <w:rFonts w:ascii="Times New Roman" w:hAnsi="Times New Roman" w:cs="Times New Roman"/>
          <w:sz w:val="24"/>
          <w:szCs w:val="24"/>
        </w:rPr>
        <w:t xml:space="preserve"> quantile regression method</w:t>
      </w:r>
      <w:r w:rsidRPr="00E10446">
        <w:rPr>
          <w:rFonts w:ascii="Times New Roman" w:hAnsi="Times New Roman" w:cs="Times New Roman"/>
          <w:sz w:val="24"/>
          <w:szCs w:val="24"/>
        </w:rPr>
        <w:t>. With the incorporation of these models</w:t>
      </w:r>
      <w:r w:rsidR="00A80114">
        <w:rPr>
          <w:rFonts w:ascii="Times New Roman" w:hAnsi="Times New Roman" w:cs="Times New Roman"/>
          <w:sz w:val="24"/>
          <w:szCs w:val="24"/>
        </w:rPr>
        <w:t xml:space="preserve">, </w:t>
      </w:r>
      <w:r w:rsidRPr="00E10446">
        <w:rPr>
          <w:rFonts w:ascii="Times New Roman" w:hAnsi="Times New Roman" w:cs="Times New Roman"/>
          <w:sz w:val="24"/>
          <w:szCs w:val="24"/>
        </w:rPr>
        <w:t>this study aims to ensure robust and context-specific estimations for diversely endowed West African nations, ranging from Nigeria's oil-dependent economy, Ghana's initiatives towards hydroelectric power reforms, to Guinea's governance challenges influencing energy deficits.</w:t>
      </w:r>
    </w:p>
    <w:p w14:paraId="5EE8554B" w14:textId="187C0158" w:rsidR="00C403E1" w:rsidRPr="00E10446" w:rsidRDefault="00C403E1">
      <w:pPr>
        <w:spacing w:line="240" w:lineRule="auto"/>
        <w:jc w:val="both"/>
        <w:rPr>
          <w:rFonts w:ascii="Times New Roman" w:hAnsi="Times New Roman" w:cs="Times New Roman"/>
          <w:sz w:val="24"/>
          <w:szCs w:val="24"/>
        </w:rPr>
      </w:pPr>
      <w:r w:rsidRPr="00C403E1">
        <w:rPr>
          <w:rFonts w:ascii="Times New Roman" w:hAnsi="Times New Roman" w:cs="Times New Roman"/>
          <w:sz w:val="24"/>
          <w:szCs w:val="24"/>
        </w:rPr>
        <w:t xml:space="preserve">The focus </w:t>
      </w:r>
      <w:r>
        <w:rPr>
          <w:rFonts w:ascii="Times New Roman" w:hAnsi="Times New Roman" w:cs="Times New Roman"/>
          <w:sz w:val="24"/>
          <w:szCs w:val="24"/>
        </w:rPr>
        <w:t xml:space="preserve">of this study </w:t>
      </w:r>
      <w:r w:rsidRPr="00C403E1">
        <w:rPr>
          <w:rFonts w:ascii="Times New Roman" w:hAnsi="Times New Roman" w:cs="Times New Roman"/>
          <w:sz w:val="24"/>
          <w:szCs w:val="24"/>
        </w:rPr>
        <w:t xml:space="preserve">on West African states is justified by the region’s acute and persistent energy–poverty challenges despite significant resource endowments. Empirical evidence shows that nearly 29% of the global population without electricity resides in West Africa, with average access rates barely exceeding 50%, </w:t>
      </w:r>
      <w:r>
        <w:rPr>
          <w:rFonts w:ascii="Times New Roman" w:hAnsi="Times New Roman" w:cs="Times New Roman"/>
          <w:sz w:val="24"/>
          <w:szCs w:val="24"/>
        </w:rPr>
        <w:t>representing</w:t>
      </w:r>
      <w:r w:rsidRPr="00C403E1">
        <w:rPr>
          <w:rFonts w:ascii="Times New Roman" w:hAnsi="Times New Roman" w:cs="Times New Roman"/>
          <w:sz w:val="24"/>
          <w:szCs w:val="24"/>
        </w:rPr>
        <w:t xml:space="preserve"> severe structural deficits (</w:t>
      </w:r>
      <w:proofErr w:type="spellStart"/>
      <w:r w:rsidRPr="00C403E1">
        <w:rPr>
          <w:rFonts w:ascii="Times New Roman" w:hAnsi="Times New Roman" w:cs="Times New Roman"/>
          <w:sz w:val="24"/>
          <w:szCs w:val="24"/>
        </w:rPr>
        <w:t>Odoi</w:t>
      </w:r>
      <w:proofErr w:type="spellEnd"/>
      <w:r w:rsidRPr="00C403E1">
        <w:rPr>
          <w:rFonts w:ascii="Times New Roman" w:hAnsi="Times New Roman" w:cs="Times New Roman"/>
          <w:sz w:val="24"/>
          <w:szCs w:val="24"/>
        </w:rPr>
        <w:t xml:space="preserve">-Yorke et al., 2025; </w:t>
      </w:r>
      <w:proofErr w:type="spellStart"/>
      <w:r w:rsidRPr="00C403E1">
        <w:rPr>
          <w:rFonts w:ascii="Times New Roman" w:hAnsi="Times New Roman" w:cs="Times New Roman"/>
          <w:sz w:val="24"/>
          <w:szCs w:val="24"/>
        </w:rPr>
        <w:t>Compaoré</w:t>
      </w:r>
      <w:proofErr w:type="spellEnd"/>
      <w:r w:rsidRPr="00C403E1">
        <w:rPr>
          <w:rFonts w:ascii="Times New Roman" w:hAnsi="Times New Roman" w:cs="Times New Roman"/>
          <w:sz w:val="24"/>
          <w:szCs w:val="24"/>
        </w:rPr>
        <w:t xml:space="preserve"> et al., 2024)</w:t>
      </w:r>
      <w:r>
        <w:rPr>
          <w:rFonts w:ascii="Times New Roman" w:hAnsi="Times New Roman" w:cs="Times New Roman"/>
          <w:sz w:val="24"/>
          <w:szCs w:val="24"/>
        </w:rPr>
        <w:t xml:space="preserve">. </w:t>
      </w:r>
    </w:p>
    <w:p w14:paraId="62A2159E" w14:textId="016E617D" w:rsidR="005801C8" w:rsidRPr="00E10446" w:rsidRDefault="004124B0">
      <w:pPr>
        <w:spacing w:line="240" w:lineRule="auto"/>
        <w:jc w:val="both"/>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3.2 </w:t>
      </w:r>
      <w:r w:rsidR="002326DC" w:rsidRPr="00E10446">
        <w:rPr>
          <w:rStyle w:val="katex-mathml"/>
          <w:rFonts w:ascii="Times New Roman" w:hAnsi="Times New Roman" w:cs="Times New Roman"/>
          <w:b/>
          <w:bCs/>
          <w:sz w:val="24"/>
          <w:szCs w:val="24"/>
        </w:rPr>
        <w:t>Source of Data</w:t>
      </w:r>
    </w:p>
    <w:p w14:paraId="7F244322" w14:textId="4EBA951F" w:rsidR="005801C8" w:rsidRPr="00E10446" w:rsidRDefault="002326DC">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key variables used in this study are summarized in the following table along with the dependent variable, independent (main explanatory) variables, control variables, and source of data.</w:t>
      </w:r>
      <w:r w:rsidR="00BA1823" w:rsidRPr="00E10446">
        <w:rPr>
          <w:rStyle w:val="katex-mathml"/>
          <w:rFonts w:ascii="Times New Roman" w:hAnsi="Times New Roman" w:cs="Times New Roman"/>
          <w:sz w:val="24"/>
          <w:szCs w:val="24"/>
        </w:rPr>
        <w:t xml:space="preserve"> However, some missing observations for key variables were estimated using interpolation and short-term forecasting techniques to preserve panel balance and avoid efficiency losses. This approach is widely supported in empirical panel studies where limited data gaps exist, as it maintains consistency without significantly biasing estimates (</w:t>
      </w:r>
      <w:proofErr w:type="spellStart"/>
      <w:r w:rsidR="00BA1823" w:rsidRPr="00E10446">
        <w:rPr>
          <w:rStyle w:val="katex-mathml"/>
          <w:rFonts w:ascii="Times New Roman" w:hAnsi="Times New Roman" w:cs="Times New Roman"/>
          <w:sz w:val="24"/>
          <w:szCs w:val="24"/>
        </w:rPr>
        <w:t>Baltagi</w:t>
      </w:r>
      <w:proofErr w:type="spellEnd"/>
      <w:r w:rsidR="00BA1823" w:rsidRPr="00E10446">
        <w:rPr>
          <w:rStyle w:val="katex-mathml"/>
          <w:rFonts w:ascii="Times New Roman" w:hAnsi="Times New Roman" w:cs="Times New Roman"/>
          <w:sz w:val="24"/>
          <w:szCs w:val="24"/>
        </w:rPr>
        <w:t>, 2021; Little &amp; Rubin, 2019). Prior energy–poverty studies also adopt similar methods to address data limitations in developing regions, ensuring robust and reliable econometric outcomes (Acheampong et al., 2021).</w:t>
      </w:r>
    </w:p>
    <w:p w14:paraId="6F20C1F7" w14:textId="41C5C855" w:rsidR="00FD1D83" w:rsidRPr="00E10446" w:rsidRDefault="00FD1D83" w:rsidP="00FD1D83">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lastRenderedPageBreak/>
        <w:t>Table 1: Variables Description</w:t>
      </w:r>
    </w:p>
    <w:tbl>
      <w:tblPr>
        <w:tblStyle w:val="PlainTable21"/>
        <w:tblW w:w="9090" w:type="dxa"/>
        <w:jc w:val="center"/>
        <w:tblLook w:val="06A0" w:firstRow="1" w:lastRow="0" w:firstColumn="1" w:lastColumn="0" w:noHBand="1" w:noVBand="1"/>
      </w:tblPr>
      <w:tblGrid>
        <w:gridCol w:w="1534"/>
        <w:gridCol w:w="1422"/>
        <w:gridCol w:w="2795"/>
        <w:gridCol w:w="1844"/>
        <w:gridCol w:w="1495"/>
      </w:tblGrid>
      <w:tr w:rsidR="005801C8" w:rsidRPr="00E10446" w14:paraId="1B77D506" w14:textId="77777777" w:rsidTr="00FD1D8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4" w:type="dxa"/>
          </w:tcPr>
          <w:p w14:paraId="2D306F68" w14:textId="77777777" w:rsidR="005801C8" w:rsidRPr="00E10446" w:rsidRDefault="002326DC">
            <w:pPr>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Variable Type</w:t>
            </w:r>
          </w:p>
        </w:tc>
        <w:tc>
          <w:tcPr>
            <w:tcW w:w="1422" w:type="dxa"/>
          </w:tcPr>
          <w:p w14:paraId="362EAC98"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Variable Name</w:t>
            </w:r>
          </w:p>
        </w:tc>
        <w:tc>
          <w:tcPr>
            <w:tcW w:w="2795" w:type="dxa"/>
          </w:tcPr>
          <w:p w14:paraId="37A00575"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Measure</w:t>
            </w:r>
          </w:p>
        </w:tc>
        <w:tc>
          <w:tcPr>
            <w:tcW w:w="1844" w:type="dxa"/>
          </w:tcPr>
          <w:p w14:paraId="10FE22DD"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Expected Sign/Outcome</w:t>
            </w:r>
          </w:p>
        </w:tc>
        <w:tc>
          <w:tcPr>
            <w:tcW w:w="1495" w:type="dxa"/>
          </w:tcPr>
          <w:p w14:paraId="008C2519" w14:textId="77777777" w:rsidR="005801C8" w:rsidRPr="00E10446" w:rsidRDefault="002326DC">
            <w:pPr>
              <w:jc w:val="both"/>
              <w:cnfStyle w:val="100000000000" w:firstRow="1" w:lastRow="0" w:firstColumn="0" w:lastColumn="0" w:oddVBand="0" w:evenVBand="0" w:oddHBand="0" w:evenHBand="0" w:firstRowFirstColumn="0" w:firstRowLastColumn="0" w:lastRowFirstColumn="0" w:lastRowLastColumn="0"/>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Source</w:t>
            </w:r>
          </w:p>
        </w:tc>
      </w:tr>
      <w:tr w:rsidR="005801C8" w:rsidRPr="00E10446" w14:paraId="42A1F245"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5F340FB6" w14:textId="77777777" w:rsidR="005801C8" w:rsidRPr="00E10446" w:rsidRDefault="002326DC">
            <w:pPr>
              <w:jc w:val="right"/>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Dependent</w:t>
            </w:r>
          </w:p>
        </w:tc>
        <w:tc>
          <w:tcPr>
            <w:tcW w:w="1422" w:type="dxa"/>
          </w:tcPr>
          <w:p w14:paraId="6B4B97DD"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Poverty Reduction (POV)</w:t>
            </w:r>
          </w:p>
        </w:tc>
        <w:tc>
          <w:tcPr>
            <w:tcW w:w="2795" w:type="dxa"/>
          </w:tcPr>
          <w:p w14:paraId="4E0DDA3E"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Gini index</w:t>
            </w:r>
          </w:p>
        </w:tc>
        <w:tc>
          <w:tcPr>
            <w:tcW w:w="1844" w:type="dxa"/>
          </w:tcPr>
          <w:p w14:paraId="047A582A" w14:textId="77777777" w:rsidR="005801C8" w:rsidRPr="00E10446" w:rsidRDefault="005801C8">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p>
        </w:tc>
        <w:tc>
          <w:tcPr>
            <w:tcW w:w="1495" w:type="dxa"/>
          </w:tcPr>
          <w:p w14:paraId="6494FC5A"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 xml:space="preserve">World Bank Development Indicators (WDI) </w:t>
            </w:r>
          </w:p>
        </w:tc>
      </w:tr>
      <w:tr w:rsidR="005801C8" w:rsidRPr="00E10446" w14:paraId="7CC24D62"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59D81848"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Independent (Decomposed)</w:t>
            </w:r>
          </w:p>
        </w:tc>
        <w:tc>
          <w:tcPr>
            <w:tcW w:w="1422" w:type="dxa"/>
          </w:tcPr>
          <w:p w14:paraId="52286C7B"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Renewable Energy Consumption (RENC)</w:t>
            </w:r>
          </w:p>
        </w:tc>
        <w:tc>
          <w:tcPr>
            <w:tcW w:w="2795" w:type="dxa"/>
          </w:tcPr>
          <w:p w14:paraId="73D67ADB"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 xml:space="preserve">Share of renewable energy in total energy consumption (% of total) </w:t>
            </w:r>
          </w:p>
        </w:tc>
        <w:tc>
          <w:tcPr>
            <w:tcW w:w="1844" w:type="dxa"/>
          </w:tcPr>
          <w:p w14:paraId="06340B0A"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 xml:space="preserve">Negative </w:t>
            </w:r>
          </w:p>
        </w:tc>
        <w:tc>
          <w:tcPr>
            <w:tcW w:w="1495" w:type="dxa"/>
          </w:tcPr>
          <w:p w14:paraId="15982C44" w14:textId="77777777" w:rsidR="005801C8" w:rsidRPr="00E10446" w:rsidRDefault="005801C8">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p>
          <w:p w14:paraId="09E6F7EF" w14:textId="77777777" w:rsidR="005801C8" w:rsidRPr="00E10446" w:rsidRDefault="002326DC" w:rsidP="00793C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r w:rsidR="005801C8" w:rsidRPr="00E10446" w14:paraId="5DB9928A"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451FA655"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Independent (Decomposed)</w:t>
            </w:r>
          </w:p>
        </w:tc>
        <w:tc>
          <w:tcPr>
            <w:tcW w:w="1422" w:type="dxa"/>
          </w:tcPr>
          <w:p w14:paraId="6A3CDCEC"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Non-Renewable Energy Consumption (NRENC)</w:t>
            </w:r>
          </w:p>
        </w:tc>
        <w:tc>
          <w:tcPr>
            <w:tcW w:w="2795" w:type="dxa"/>
          </w:tcPr>
          <w:p w14:paraId="3BF445F7"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Residual non-renewable share or per capita use (fossil fuels dominant in region)</w:t>
            </w:r>
          </w:p>
        </w:tc>
        <w:tc>
          <w:tcPr>
            <w:tcW w:w="1844" w:type="dxa"/>
          </w:tcPr>
          <w:p w14:paraId="252CF4B7"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Negative or Mixed/Weaker (fossil fuels may have inconsistent effects due to volatility/outages)</w:t>
            </w:r>
          </w:p>
        </w:tc>
        <w:tc>
          <w:tcPr>
            <w:tcW w:w="1495" w:type="dxa"/>
          </w:tcPr>
          <w:p w14:paraId="48B4DE1B"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r w:rsidR="005801C8" w:rsidRPr="00E10446" w14:paraId="0B74DA27"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2EE30106"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Mediator</w:t>
            </w:r>
          </w:p>
        </w:tc>
        <w:tc>
          <w:tcPr>
            <w:tcW w:w="1422" w:type="dxa"/>
          </w:tcPr>
          <w:p w14:paraId="55AB1D18"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Labour Productivity (LAP)</w:t>
            </w:r>
          </w:p>
        </w:tc>
        <w:tc>
          <w:tcPr>
            <w:tcW w:w="2795" w:type="dxa"/>
          </w:tcPr>
          <w:p w14:paraId="2087FA5C"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GDP per person employed (constant 2021 PPP $)</w:t>
            </w:r>
          </w:p>
        </w:tc>
        <w:tc>
          <w:tcPr>
            <w:tcW w:w="1844" w:type="dxa"/>
          </w:tcPr>
          <w:p w14:paraId="1B9C70B1"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Negative (energy improves productivity, which in turn reduces poverty indirectly)</w:t>
            </w:r>
          </w:p>
        </w:tc>
        <w:tc>
          <w:tcPr>
            <w:tcW w:w="1495" w:type="dxa"/>
          </w:tcPr>
          <w:p w14:paraId="5B9C04E6"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r w:rsidR="005801C8" w:rsidRPr="00E10446" w14:paraId="618949F7" w14:textId="77777777" w:rsidTr="00FD1D83">
        <w:trPr>
          <w:jc w:val="center"/>
        </w:trPr>
        <w:tc>
          <w:tcPr>
            <w:cnfStyle w:val="001000000000" w:firstRow="0" w:lastRow="0" w:firstColumn="1" w:lastColumn="0" w:oddVBand="0" w:evenVBand="0" w:oddHBand="0" w:evenHBand="0" w:firstRowFirstColumn="0" w:firstRowLastColumn="0" w:lastRowFirstColumn="0" w:lastRowLastColumn="0"/>
            <w:tcW w:w="1534" w:type="dxa"/>
          </w:tcPr>
          <w:p w14:paraId="1CE1C18B" w14:textId="77777777" w:rsidR="005801C8" w:rsidRPr="00E10446" w:rsidRDefault="002326DC">
            <w:pPr>
              <w:jc w:val="both"/>
              <w:rPr>
                <w:rStyle w:val="katex-mathml"/>
                <w:rFonts w:ascii="Times New Roman" w:hAnsi="Times New Roman" w:cs="Times New Roman"/>
                <w:sz w:val="20"/>
                <w:szCs w:val="20"/>
              </w:rPr>
            </w:pPr>
            <w:r w:rsidRPr="00E10446">
              <w:rPr>
                <w:rStyle w:val="katex-mathml"/>
                <w:rFonts w:ascii="Times New Roman" w:hAnsi="Times New Roman" w:cs="Times New Roman"/>
                <w:b w:val="0"/>
                <w:bCs w:val="0"/>
                <w:sz w:val="20"/>
                <w:szCs w:val="20"/>
              </w:rPr>
              <w:t>Control</w:t>
            </w:r>
          </w:p>
        </w:tc>
        <w:tc>
          <w:tcPr>
            <w:tcW w:w="1422" w:type="dxa"/>
          </w:tcPr>
          <w:p w14:paraId="1BCAADE4"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Economic Growth (GDP)</w:t>
            </w:r>
          </w:p>
        </w:tc>
        <w:tc>
          <w:tcPr>
            <w:tcW w:w="2795" w:type="dxa"/>
          </w:tcPr>
          <w:p w14:paraId="497DC6BD"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GDP per capita (current US$)</w:t>
            </w:r>
          </w:p>
        </w:tc>
        <w:tc>
          <w:tcPr>
            <w:tcW w:w="1844" w:type="dxa"/>
          </w:tcPr>
          <w:p w14:paraId="793E225D"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Style w:val="katex-mathml"/>
                <w:rFonts w:ascii="Times New Roman" w:hAnsi="Times New Roman" w:cs="Times New Roman"/>
                <w:sz w:val="20"/>
                <w:szCs w:val="20"/>
              </w:rPr>
            </w:pPr>
            <w:r w:rsidRPr="00E10446">
              <w:rPr>
                <w:rStyle w:val="katex-mathml"/>
                <w:rFonts w:ascii="Times New Roman" w:hAnsi="Times New Roman" w:cs="Times New Roman"/>
                <w:sz w:val="20"/>
                <w:szCs w:val="20"/>
              </w:rPr>
              <w:t>Negative (higher growth reduces poverty)</w:t>
            </w:r>
          </w:p>
        </w:tc>
        <w:tc>
          <w:tcPr>
            <w:tcW w:w="1495" w:type="dxa"/>
          </w:tcPr>
          <w:p w14:paraId="5FB94497" w14:textId="77777777" w:rsidR="005801C8" w:rsidRPr="00E10446" w:rsidRDefault="002326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World Bank Development Indicators (WDI)</w:t>
            </w:r>
          </w:p>
        </w:tc>
      </w:tr>
    </w:tbl>
    <w:p w14:paraId="6AE78542" w14:textId="6323B421" w:rsidR="005801C8" w:rsidRPr="00E10446" w:rsidRDefault="005801C8">
      <w:pPr>
        <w:spacing w:line="240" w:lineRule="auto"/>
        <w:jc w:val="both"/>
        <w:rPr>
          <w:rFonts w:ascii="Times New Roman" w:hAnsi="Times New Roman" w:cs="Times New Roman"/>
          <w:sz w:val="24"/>
          <w:szCs w:val="24"/>
        </w:rPr>
      </w:pPr>
    </w:p>
    <w:p w14:paraId="4EF030D5" w14:textId="20B1B301" w:rsidR="005801C8" w:rsidRPr="00E10446" w:rsidRDefault="004124B0">
      <w:pPr>
        <w:spacing w:line="240" w:lineRule="auto"/>
        <w:jc w:val="both"/>
        <w:rPr>
          <w:rFonts w:ascii="Times New Roman" w:hAnsi="Times New Roman" w:cs="Times New Roman"/>
          <w:b/>
          <w:bCs/>
          <w:sz w:val="24"/>
          <w:szCs w:val="24"/>
        </w:rPr>
      </w:pPr>
      <w:r w:rsidRPr="00E10446">
        <w:rPr>
          <w:rFonts w:ascii="Times New Roman" w:hAnsi="Times New Roman" w:cs="Times New Roman"/>
          <w:b/>
          <w:bCs/>
          <w:sz w:val="24"/>
          <w:szCs w:val="24"/>
        </w:rPr>
        <w:t xml:space="preserve">3.3 </w:t>
      </w:r>
      <w:r w:rsidR="002326DC" w:rsidRPr="00E10446">
        <w:rPr>
          <w:rFonts w:ascii="Times New Roman" w:hAnsi="Times New Roman" w:cs="Times New Roman"/>
          <w:b/>
          <w:bCs/>
          <w:sz w:val="24"/>
          <w:szCs w:val="24"/>
        </w:rPr>
        <w:t>Mosel Specification</w:t>
      </w:r>
    </w:p>
    <w:p w14:paraId="6F8E3EF5" w14:textId="6D637E00"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To capture the direct and interaction effects of energy use on poverty alleviation while controlling for other factors that could contribute to omitted variable bias, the baseline model uses a panel data setting with control variables. </w:t>
      </w:r>
      <w:r w:rsidR="00936704" w:rsidRPr="00936704">
        <w:rPr>
          <w:rFonts w:ascii="Times New Roman" w:hAnsi="Times New Roman" w:cs="Times New Roman"/>
          <w:sz w:val="24"/>
          <w:szCs w:val="24"/>
        </w:rPr>
        <w:t>Lin, Gao, &amp; Yang, (2023)</w:t>
      </w:r>
      <w:r w:rsidRPr="00E10446">
        <w:rPr>
          <w:rFonts w:ascii="Times New Roman" w:hAnsi="Times New Roman" w:cs="Times New Roman"/>
          <w:sz w:val="24"/>
          <w:szCs w:val="24"/>
        </w:rPr>
        <w:t xml:space="preserve">, specifically, </w:t>
      </w:r>
      <w:r w:rsidR="00936704" w:rsidRPr="00936704">
        <w:rPr>
          <w:rFonts w:ascii="Times New Roman" w:hAnsi="Times New Roman" w:cs="Times New Roman"/>
          <w:sz w:val="24"/>
          <w:szCs w:val="24"/>
        </w:rPr>
        <w:t>dynamic panel GMM estimators and panel quantile regression</w:t>
      </w:r>
      <w:r w:rsidR="00936704">
        <w:rPr>
          <w:rFonts w:ascii="Times New Roman" w:hAnsi="Times New Roman" w:cs="Times New Roman"/>
          <w:sz w:val="24"/>
          <w:szCs w:val="24"/>
        </w:rPr>
        <w:t xml:space="preserve"> to </w:t>
      </w:r>
      <w:r w:rsidR="00936704" w:rsidRPr="00936704">
        <w:rPr>
          <w:rFonts w:ascii="Times New Roman" w:hAnsi="Times New Roman" w:cs="Times New Roman"/>
          <w:sz w:val="24"/>
          <w:szCs w:val="24"/>
        </w:rPr>
        <w:t>investigated the role of energy consumption in poverty alleviation and productivity enhancement</w:t>
      </w:r>
      <w:r w:rsidRPr="00E10446">
        <w:rPr>
          <w:rFonts w:ascii="Times New Roman" w:hAnsi="Times New Roman" w:cs="Times New Roman"/>
          <w:sz w:val="24"/>
          <w:szCs w:val="24"/>
        </w:rPr>
        <w:t>. The baseline model thus takes the following form:</w:t>
      </w:r>
    </w:p>
    <w:p w14:paraId="3F122634" w14:textId="1F6334A9" w:rsidR="005801C8" w:rsidRPr="00E10446" w:rsidRDefault="002326DC">
      <w:pPr>
        <w:spacing w:after="0" w:line="240" w:lineRule="auto"/>
        <w:jc w:val="center"/>
        <w:rPr>
          <w:rFonts w:ascii="Times New Roman" w:eastAsia="Times New Roman" w:hAnsi="Times New Roman" w:cs="Times New Roman"/>
          <w:i/>
          <w:iCs/>
          <w:sz w:val="24"/>
          <w:szCs w:val="24"/>
          <w:lang w:eastAsia="en-GB"/>
        </w:rPr>
      </w:pPr>
      <w:proofErr w:type="spellStart"/>
      <w:r w:rsidRPr="00E10446">
        <w:rPr>
          <w:rFonts w:ascii="Times New Roman" w:eastAsia="Times New Roman" w:hAnsi="Times New Roman" w:cs="Times New Roman"/>
          <w:i/>
          <w:iCs/>
          <w:sz w:val="24"/>
          <w:szCs w:val="24"/>
          <w:lang w:eastAsia="en-GB"/>
        </w:rPr>
        <w:t>POV</w:t>
      </w:r>
      <w:r w:rsidRPr="00E10446">
        <w:rPr>
          <w:rFonts w:ascii="Times New Roman" w:eastAsia="Times New Roman" w:hAnsi="Times New Roman" w:cs="Times New Roman"/>
          <w:i/>
          <w:iCs/>
          <w:sz w:val="24"/>
          <w:szCs w:val="24"/>
          <w:vertAlign w:val="subscript"/>
          <w:lang w:eastAsia="en-GB"/>
        </w:rPr>
        <w:t>i,t</w:t>
      </w:r>
      <w:proofErr w:type="spellEnd"/>
      <w:r w:rsidRPr="00E10446">
        <w:rPr>
          <w:rFonts w:ascii="Times New Roman" w:eastAsia="Times New Roman" w:hAnsi="Times New Roman" w:cs="Times New Roman"/>
          <w:i/>
          <w:iCs/>
          <w:sz w:val="24"/>
          <w:szCs w:val="24"/>
          <w:vertAlign w:val="subscript"/>
          <w:lang w:eastAsia="en-GB"/>
        </w:rPr>
        <w:t xml:space="preserve"> </w:t>
      </w:r>
      <w:r w:rsidRPr="00E10446">
        <w:rPr>
          <w:rFonts w:ascii="Times New Roman" w:eastAsia="Times New Roman" w:hAnsi="Times New Roman" w:cs="Times New Roman"/>
          <w:i/>
          <w:iCs/>
          <w:sz w:val="24"/>
          <w:szCs w:val="24"/>
          <w:lang w:eastAsia="en-GB"/>
        </w:rPr>
        <w:t>=β</w:t>
      </w:r>
      <w:r w:rsidRPr="00E10446">
        <w:rPr>
          <w:rFonts w:ascii="Times New Roman" w:eastAsia="Times New Roman" w:hAnsi="Times New Roman" w:cs="Times New Roman"/>
          <w:i/>
          <w:iCs/>
          <w:sz w:val="24"/>
          <w:szCs w:val="24"/>
          <w:vertAlign w:val="subscript"/>
          <w:lang w:eastAsia="en-GB"/>
        </w:rPr>
        <w:t>0</w:t>
      </w:r>
      <w:r w:rsidRPr="00E10446">
        <w:rPr>
          <w:rFonts w:ascii="Times New Roman" w:eastAsia="Times New Roman" w:hAnsi="Times New Roman" w:cs="Times New Roman"/>
          <w:i/>
          <w:iCs/>
          <w:sz w:val="24"/>
          <w:szCs w:val="24"/>
          <w:lang w:eastAsia="en-GB"/>
        </w:rPr>
        <w:t>+</w:t>
      </w:r>
      <w:r w:rsidR="00AB41F3" w:rsidRPr="00E10446">
        <w:rPr>
          <w:rFonts w:ascii="Times New Roman" w:eastAsia="Times New Roman" w:hAnsi="Times New Roman" w:cs="Times New Roman"/>
          <w:i/>
          <w:iCs/>
          <w:sz w:val="24"/>
          <w:szCs w:val="24"/>
          <w:lang w:eastAsia="en-GB"/>
        </w:rPr>
        <w:t>β</w:t>
      </w:r>
      <w:r w:rsidR="00AB41F3" w:rsidRPr="00E10446">
        <w:rPr>
          <w:rFonts w:ascii="Times New Roman" w:eastAsia="Times New Roman" w:hAnsi="Times New Roman" w:cs="Times New Roman"/>
          <w:i/>
          <w:iCs/>
          <w:sz w:val="24"/>
          <w:szCs w:val="24"/>
          <w:vertAlign w:val="subscript"/>
          <w:lang w:eastAsia="en-GB"/>
        </w:rPr>
        <w:t>1</w:t>
      </w:r>
      <w:r w:rsidR="00AB41F3" w:rsidRPr="00E10446">
        <w:rPr>
          <w:rFonts w:ascii="Times New Roman" w:eastAsia="Times New Roman" w:hAnsi="Times New Roman" w:cs="Times New Roman"/>
          <w:i/>
          <w:iCs/>
          <w:sz w:val="24"/>
          <w:szCs w:val="24"/>
          <w:lang w:eastAsia="en-GB"/>
        </w:rPr>
        <w:t>POV</w:t>
      </w:r>
      <w:r w:rsidR="00AB41F3" w:rsidRPr="00E10446">
        <w:rPr>
          <w:rFonts w:ascii="Times New Roman" w:eastAsia="Times New Roman" w:hAnsi="Times New Roman" w:cs="Times New Roman"/>
          <w:i/>
          <w:iCs/>
          <w:sz w:val="24"/>
          <w:szCs w:val="24"/>
          <w:vertAlign w:val="subscript"/>
          <w:lang w:eastAsia="en-GB"/>
        </w:rPr>
        <w:t>i,t</w:t>
      </w:r>
      <w:r w:rsidR="00AB41F3">
        <w:rPr>
          <w:rFonts w:ascii="Times New Roman" w:eastAsia="Times New Roman" w:hAnsi="Times New Roman" w:cs="Times New Roman"/>
          <w:i/>
          <w:iCs/>
          <w:sz w:val="24"/>
          <w:szCs w:val="24"/>
          <w:vertAlign w:val="subscript"/>
          <w:lang w:eastAsia="en-GB"/>
        </w:rPr>
        <w:t>-1</w:t>
      </w:r>
      <w:r w:rsidR="00AB41F3" w:rsidRPr="00E10446">
        <w:rPr>
          <w:rFonts w:ascii="Times New Roman" w:eastAsia="Times New Roman" w:hAnsi="Times New Roman" w:cs="Times New Roman"/>
          <w:i/>
          <w:iCs/>
          <w:sz w:val="24"/>
          <w:szCs w:val="24"/>
          <w:vertAlign w:val="subscript"/>
          <w:lang w:eastAsia="en-GB"/>
        </w:rPr>
        <w:t xml:space="preserve"> </w:t>
      </w:r>
      <w:r w:rsidR="00AB41F3">
        <w:rPr>
          <w:rFonts w:ascii="Times New Roman" w:eastAsia="Times New Roman" w:hAnsi="Times New Roman" w:cs="Times New Roman"/>
          <w:i/>
          <w:iCs/>
          <w:sz w:val="24"/>
          <w:szCs w:val="24"/>
          <w:lang w:eastAsia="en-GB"/>
        </w:rPr>
        <w:t>+</w:t>
      </w:r>
      <w:r w:rsidRPr="00E10446">
        <w:rPr>
          <w:rFonts w:ascii="Times New Roman" w:eastAsia="Times New Roman" w:hAnsi="Times New Roman" w:cs="Times New Roman"/>
          <w:i/>
          <w:iCs/>
          <w:sz w:val="24"/>
          <w:szCs w:val="24"/>
          <w:lang w:eastAsia="en-GB"/>
        </w:rPr>
        <w:t>β</w:t>
      </w:r>
      <w:r w:rsidR="00AB41F3">
        <w:rPr>
          <w:rFonts w:ascii="Times New Roman" w:eastAsia="Times New Roman" w:hAnsi="Times New Roman" w:cs="Times New Roman"/>
          <w:i/>
          <w:iCs/>
          <w:sz w:val="24"/>
          <w:szCs w:val="24"/>
          <w:vertAlign w:val="subscript"/>
          <w:lang w:eastAsia="en-GB"/>
        </w:rPr>
        <w:t>2</w:t>
      </w:r>
      <w:r w:rsidRPr="00E10446">
        <w:rPr>
          <w:rFonts w:ascii="Times New Roman" w:eastAsia="Times New Roman" w:hAnsi="Times New Roman" w:cs="Times New Roman"/>
          <w:i/>
          <w:iCs/>
          <w:sz w:val="24"/>
          <w:szCs w:val="24"/>
          <w:lang w:eastAsia="en-GB"/>
        </w:rPr>
        <w:t>ENC</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+β</w:t>
      </w:r>
      <w:r w:rsidR="00AB41F3">
        <w:rPr>
          <w:rFonts w:ascii="Times New Roman" w:eastAsia="Times New Roman" w:hAnsi="Times New Roman" w:cs="Times New Roman"/>
          <w:i/>
          <w:iCs/>
          <w:sz w:val="24"/>
          <w:szCs w:val="24"/>
          <w:vertAlign w:val="subscript"/>
          <w:lang w:eastAsia="en-GB"/>
        </w:rPr>
        <w:t>3</w:t>
      </w:r>
      <w:r w:rsidRPr="00E10446">
        <w:rPr>
          <w:rFonts w:ascii="Times New Roman" w:eastAsia="Times New Roman" w:hAnsi="Times New Roman" w:cs="Times New Roman"/>
          <w:i/>
          <w:iCs/>
          <w:sz w:val="24"/>
          <w:szCs w:val="24"/>
          <w:lang w:eastAsia="en-GB"/>
        </w:rPr>
        <w:t>GDP</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+β</w:t>
      </w:r>
      <w:r w:rsidR="00AB41F3">
        <w:rPr>
          <w:rFonts w:ascii="Times New Roman" w:eastAsia="Times New Roman" w:hAnsi="Times New Roman" w:cs="Times New Roman"/>
          <w:i/>
          <w:iCs/>
          <w:sz w:val="24"/>
          <w:szCs w:val="24"/>
          <w:vertAlign w:val="subscript"/>
          <w:lang w:eastAsia="en-GB"/>
        </w:rPr>
        <w:t>4</w:t>
      </w:r>
      <w:r w:rsidR="00BD17E0" w:rsidRPr="00E10446">
        <w:rPr>
          <w:rFonts w:ascii="Times New Roman" w:eastAsia="Times New Roman" w:hAnsi="Times New Roman" w:cs="Times New Roman"/>
          <w:i/>
          <w:iCs/>
          <w:sz w:val="24"/>
          <w:szCs w:val="24"/>
          <w:lang w:eastAsia="en-GB"/>
        </w:rPr>
        <w:t>LAP</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+β</w:t>
      </w:r>
      <w:r w:rsidR="00AB41F3">
        <w:rPr>
          <w:rFonts w:ascii="Times New Roman" w:eastAsia="Times New Roman" w:hAnsi="Times New Roman" w:cs="Times New Roman"/>
          <w:i/>
          <w:iCs/>
          <w:sz w:val="24"/>
          <w:szCs w:val="24"/>
          <w:vertAlign w:val="subscript"/>
          <w:lang w:eastAsia="en-GB"/>
        </w:rPr>
        <w:t>5</w:t>
      </w:r>
      <w:r w:rsidRPr="00E10446">
        <w:rPr>
          <w:rFonts w:ascii="Times New Roman" w:eastAsia="Times New Roman" w:hAnsi="Times New Roman" w:cs="Times New Roman"/>
          <w:i/>
          <w:iCs/>
          <w:sz w:val="24"/>
          <w:szCs w:val="24"/>
          <w:lang w:eastAsia="en-GB"/>
        </w:rPr>
        <w:t>X</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+μ</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 xml:space="preserve"> </w:t>
      </w:r>
      <w:r w:rsidR="00A60C6D">
        <w:rPr>
          <w:rFonts w:ascii="Times New Roman" w:eastAsia="Times New Roman" w:hAnsi="Times New Roman" w:cs="Times New Roman"/>
          <w:i/>
          <w:iCs/>
          <w:sz w:val="24"/>
          <w:szCs w:val="24"/>
          <w:lang w:eastAsia="en-GB"/>
        </w:rPr>
        <w:t xml:space="preserve">+ </w:t>
      </w:r>
      <w:proofErr w:type="spellStart"/>
      <w:r w:rsidR="00A60C6D">
        <w:rPr>
          <w:rStyle w:val="mord"/>
        </w:rPr>
        <w:t>ε</w:t>
      </w:r>
      <w:r w:rsidR="00A60C6D" w:rsidRPr="00A60C6D">
        <w:rPr>
          <w:rStyle w:val="mord"/>
          <w:vertAlign w:val="subscript"/>
        </w:rPr>
        <w:t>i</w:t>
      </w:r>
      <w:r w:rsidR="00A60C6D" w:rsidRPr="00A60C6D">
        <w:rPr>
          <w:rStyle w:val="mpunct"/>
          <w:vertAlign w:val="subscript"/>
        </w:rPr>
        <w:t>,</w:t>
      </w:r>
      <w:r w:rsidR="00A60C6D" w:rsidRPr="00A60C6D">
        <w:rPr>
          <w:rStyle w:val="mord"/>
          <w:vertAlign w:val="subscript"/>
        </w:rPr>
        <w:t>t</w:t>
      </w:r>
      <w:proofErr w:type="spellEnd"/>
      <w:r w:rsidRPr="00E10446">
        <w:rPr>
          <w:rFonts w:ascii="Times New Roman" w:eastAsia="Times New Roman" w:hAnsi="Times New Roman" w:cs="Times New Roman"/>
          <w:i/>
          <w:iCs/>
          <w:sz w:val="24"/>
          <w:szCs w:val="24"/>
          <w:lang w:eastAsia="en-GB"/>
        </w:rPr>
        <w:tab/>
      </w:r>
      <w:proofErr w:type="spellStart"/>
      <w:r w:rsidRPr="00E10446">
        <w:rPr>
          <w:rFonts w:ascii="Times New Roman" w:eastAsia="Times New Roman" w:hAnsi="Times New Roman" w:cs="Times New Roman"/>
          <w:i/>
          <w:iCs/>
          <w:sz w:val="24"/>
          <w:szCs w:val="24"/>
          <w:lang w:eastAsia="en-GB"/>
        </w:rPr>
        <w:t>eq</w:t>
      </w:r>
      <w:proofErr w:type="spellEnd"/>
      <w:r w:rsidRPr="00E10446">
        <w:rPr>
          <w:rFonts w:ascii="Times New Roman" w:eastAsia="Times New Roman" w:hAnsi="Times New Roman" w:cs="Times New Roman"/>
          <w:i/>
          <w:iCs/>
          <w:sz w:val="24"/>
          <w:szCs w:val="24"/>
          <w:lang w:eastAsia="en-GB"/>
        </w:rPr>
        <w:t xml:space="preserve"> (1)</w:t>
      </w:r>
    </w:p>
    <w:p w14:paraId="4770C00E" w14:textId="7A7BC4B9" w:rsidR="005801C8" w:rsidRPr="00E10446" w:rsidRDefault="002326DC" w:rsidP="00BD17E0">
      <w:pPr>
        <w:pStyle w:val="break-words"/>
        <w:jc w:val="both"/>
      </w:pPr>
      <w:r w:rsidRPr="00E10446">
        <w:t xml:space="preserve">Where: </w:t>
      </w:r>
      <w:r w:rsidRPr="00E10446">
        <w:rPr>
          <w:rStyle w:val="mord"/>
        </w:rPr>
        <w:t>POV</w:t>
      </w:r>
      <w:r w:rsidRPr="00E10446">
        <w:rPr>
          <w:rStyle w:val="mord"/>
          <w:vertAlign w:val="subscript"/>
        </w:rPr>
        <w:t>i</w:t>
      </w:r>
      <w:r w:rsidRPr="00E10446">
        <w:rPr>
          <w:rStyle w:val="mpunct"/>
          <w:vertAlign w:val="subscript"/>
        </w:rPr>
        <w:t>,</w:t>
      </w:r>
      <w:r w:rsidRPr="00E10446">
        <w:rPr>
          <w:rStyle w:val="mord"/>
          <w:vertAlign w:val="subscript"/>
        </w:rPr>
        <w:t>t</w:t>
      </w:r>
      <w:r w:rsidRPr="00E10446">
        <w:rPr>
          <w:rStyle w:val="vlist-s"/>
          <w:vertAlign w:val="subscript"/>
        </w:rPr>
        <w:t>​</w:t>
      </w:r>
      <w:r w:rsidRPr="00E10446">
        <w:rPr>
          <w:vertAlign w:val="subscript"/>
        </w:rPr>
        <w:t xml:space="preserve"> </w:t>
      </w:r>
      <w:r w:rsidRPr="00E10446">
        <w:t>represents poverty levels in country</w:t>
      </w:r>
      <w:r w:rsidRPr="00E10446">
        <w:rPr>
          <w:i/>
          <w:iCs/>
        </w:rPr>
        <w:t xml:space="preserve"> </w:t>
      </w:r>
      <w:r w:rsidRPr="00E10446">
        <w:rPr>
          <w:rStyle w:val="katex-mathml"/>
          <w:i/>
          <w:iCs/>
        </w:rPr>
        <w:t>i</w:t>
      </w:r>
      <w:r w:rsidRPr="00E10446">
        <w:rPr>
          <w:rStyle w:val="katex-mathml"/>
        </w:rPr>
        <w:t xml:space="preserve"> </w:t>
      </w:r>
      <w:r w:rsidRPr="00E10446">
        <w:t xml:space="preserve"> at time </w:t>
      </w:r>
      <w:r w:rsidRPr="00E10446">
        <w:rPr>
          <w:rStyle w:val="katex-mathml"/>
        </w:rPr>
        <w:t xml:space="preserve">t, </w:t>
      </w:r>
      <w:r w:rsidR="00A60C6D" w:rsidRPr="00A60C6D">
        <w:t>POV</w:t>
      </w:r>
      <w:r w:rsidR="00A60C6D" w:rsidRPr="00A60C6D">
        <w:rPr>
          <w:vertAlign w:val="subscript"/>
        </w:rPr>
        <w:t>i,t−1</w:t>
      </w:r>
      <w:r w:rsidR="00A60C6D" w:rsidRPr="00A60C6D">
        <w:t xml:space="preserve">​ captures the dynamic nature of poverty, reflecting its persistence over time. </w:t>
      </w:r>
      <w:proofErr w:type="spellStart"/>
      <w:r w:rsidRPr="00E10446">
        <w:rPr>
          <w:rStyle w:val="mord"/>
        </w:rPr>
        <w:t>ENC</w:t>
      </w:r>
      <w:r w:rsidRPr="00E10446">
        <w:rPr>
          <w:rStyle w:val="mord"/>
          <w:vertAlign w:val="subscript"/>
        </w:rPr>
        <w:t>i</w:t>
      </w:r>
      <w:r w:rsidRPr="00E10446">
        <w:rPr>
          <w:rStyle w:val="mpunct"/>
          <w:vertAlign w:val="subscript"/>
        </w:rPr>
        <w:t>,</w:t>
      </w:r>
      <w:r w:rsidRPr="00E10446">
        <w:rPr>
          <w:rStyle w:val="mord"/>
          <w:vertAlign w:val="subscript"/>
        </w:rPr>
        <w:t>t</w:t>
      </w:r>
      <w:proofErr w:type="spellEnd"/>
      <w:r w:rsidRPr="00E10446">
        <w:rPr>
          <w:rStyle w:val="vlist-s"/>
          <w:vertAlign w:val="subscript"/>
        </w:rPr>
        <w:t>​</w:t>
      </w:r>
      <w:r w:rsidRPr="00E10446">
        <w:rPr>
          <w:vertAlign w:val="subscript"/>
        </w:rPr>
        <w:t xml:space="preserve"> </w:t>
      </w:r>
      <w:r w:rsidRPr="00E10446">
        <w:t xml:space="preserve">is energy consumption, </w:t>
      </w:r>
      <w:proofErr w:type="spellStart"/>
      <w:r w:rsidR="0027110D" w:rsidRPr="00E10446">
        <w:rPr>
          <w:rStyle w:val="mord"/>
        </w:rPr>
        <w:t>LA</w:t>
      </w:r>
      <w:r w:rsidRPr="00E10446">
        <w:rPr>
          <w:rStyle w:val="mord"/>
        </w:rPr>
        <w:t>P</w:t>
      </w:r>
      <w:r w:rsidRPr="00E10446">
        <w:rPr>
          <w:rStyle w:val="mord"/>
          <w:vertAlign w:val="subscript"/>
        </w:rPr>
        <w:t>i</w:t>
      </w:r>
      <w:r w:rsidRPr="00E10446">
        <w:rPr>
          <w:rStyle w:val="mpunct"/>
          <w:vertAlign w:val="subscript"/>
        </w:rPr>
        <w:t>,</w:t>
      </w:r>
      <w:r w:rsidRPr="00E10446">
        <w:rPr>
          <w:rStyle w:val="mord"/>
          <w:vertAlign w:val="subscript"/>
        </w:rPr>
        <w:t>t</w:t>
      </w:r>
      <w:proofErr w:type="spellEnd"/>
      <w:r w:rsidRPr="00E10446">
        <w:rPr>
          <w:rStyle w:val="vlist-s"/>
          <w:vertAlign w:val="subscript"/>
        </w:rPr>
        <w:t>​</w:t>
      </w:r>
      <w:r w:rsidRPr="00E10446">
        <w:t xml:space="preserve"> is </w:t>
      </w:r>
      <w:r w:rsidR="0027110D" w:rsidRPr="00E10446">
        <w:t>labour productivity,</w:t>
      </w:r>
      <w:r w:rsidRPr="00E10446">
        <w:t xml:space="preserve"> </w:t>
      </w:r>
      <w:proofErr w:type="spellStart"/>
      <w:r w:rsidRPr="00E10446">
        <w:rPr>
          <w:rStyle w:val="mord"/>
        </w:rPr>
        <w:t>X</w:t>
      </w:r>
      <w:r w:rsidRPr="00E10446">
        <w:rPr>
          <w:rStyle w:val="mord"/>
          <w:vertAlign w:val="subscript"/>
        </w:rPr>
        <w:t>i</w:t>
      </w:r>
      <w:r w:rsidRPr="00E10446">
        <w:rPr>
          <w:rStyle w:val="mpunct"/>
          <w:vertAlign w:val="subscript"/>
        </w:rPr>
        <w:t>,</w:t>
      </w:r>
      <w:r w:rsidRPr="00E10446">
        <w:rPr>
          <w:rStyle w:val="mord"/>
          <w:vertAlign w:val="subscript"/>
        </w:rPr>
        <w:t>t</w:t>
      </w:r>
      <w:proofErr w:type="spellEnd"/>
      <w:r w:rsidRPr="00E10446">
        <w:rPr>
          <w:rStyle w:val="vlist-s"/>
          <w:vertAlign w:val="subscript"/>
        </w:rPr>
        <w:t>​</w:t>
      </w:r>
      <w:r w:rsidRPr="00E10446">
        <w:rPr>
          <w:vertAlign w:val="subscript"/>
        </w:rPr>
        <w:t xml:space="preserve"> </w:t>
      </w:r>
      <w:r w:rsidRPr="00E10446">
        <w:t xml:space="preserve">is a vector of controls (e.g., economic growth), </w:t>
      </w:r>
      <w:r w:rsidRPr="00E10446">
        <w:rPr>
          <w:rStyle w:val="mord"/>
        </w:rPr>
        <w:t>μ</w:t>
      </w:r>
      <w:r w:rsidRPr="00E10446">
        <w:rPr>
          <w:rStyle w:val="mord"/>
          <w:vertAlign w:val="subscript"/>
        </w:rPr>
        <w:t>i</w:t>
      </w:r>
      <w:r w:rsidRPr="00E10446">
        <w:rPr>
          <w:rStyle w:val="mpunct"/>
          <w:vertAlign w:val="subscript"/>
        </w:rPr>
        <w:t>,</w:t>
      </w:r>
      <w:r w:rsidRPr="00E10446">
        <w:rPr>
          <w:rStyle w:val="mord"/>
          <w:vertAlign w:val="subscript"/>
        </w:rPr>
        <w:t>t</w:t>
      </w:r>
      <w:r w:rsidRPr="00E10446">
        <w:rPr>
          <w:rStyle w:val="vlist-s"/>
        </w:rPr>
        <w:t>​</w:t>
      </w:r>
      <w:r w:rsidRPr="00E10446">
        <w:t xml:space="preserve"> is the error term.</w:t>
      </w:r>
      <w:r w:rsidR="00BD17E0" w:rsidRPr="00E10446">
        <w:t xml:space="preserve"> </w:t>
      </w:r>
      <w:r w:rsidR="00A60C6D" w:rsidRPr="00A60C6D">
        <w:t>The inclusion of the lagged dependent variable introduces endogeneity, making the Generalized Method of Moments (GMM)</w:t>
      </w:r>
      <w:r w:rsidR="00A60C6D">
        <w:t xml:space="preserve">, </w:t>
      </w:r>
      <w:r w:rsidR="00A60C6D" w:rsidRPr="00A60C6D">
        <w:t>particularly system GMM</w:t>
      </w:r>
      <w:r w:rsidR="00A60C6D">
        <w:t xml:space="preserve">, </w:t>
      </w:r>
      <w:r w:rsidR="00A60C6D" w:rsidRPr="00A60C6D">
        <w:t>appropriate</w:t>
      </w:r>
      <w:r w:rsidR="007B0F6A">
        <w:t xml:space="preserve"> (</w:t>
      </w:r>
      <w:r w:rsidR="007B0F6A" w:rsidRPr="00936704">
        <w:t xml:space="preserve">Lin, </w:t>
      </w:r>
      <w:r w:rsidR="007B0F6A">
        <w:t xml:space="preserve">et al., </w:t>
      </w:r>
      <w:r w:rsidR="007B0F6A" w:rsidRPr="00936704">
        <w:t>2023</w:t>
      </w:r>
      <w:r w:rsidR="007B0F6A">
        <w:t>)</w:t>
      </w:r>
      <w:r w:rsidR="00A60C6D" w:rsidRPr="00A60C6D">
        <w:t>. This approach uses internal instruments (lagged levels and differences) to control for simultaneity, omitted variable bias, and reverse causality, ensuring consistent and efficient estimates in panel settings with small N and large T</w:t>
      </w:r>
      <w:r w:rsidR="007B0F6A">
        <w:t xml:space="preserve"> (</w:t>
      </w:r>
      <w:proofErr w:type="spellStart"/>
      <w:r w:rsidR="007B0F6A" w:rsidRPr="007B0F6A">
        <w:t>Jinapor</w:t>
      </w:r>
      <w:proofErr w:type="spellEnd"/>
      <w:r w:rsidR="007B0F6A" w:rsidRPr="007B0F6A">
        <w:t xml:space="preserve"> et al.</w:t>
      </w:r>
      <w:r w:rsidR="007B0F6A">
        <w:t xml:space="preserve">, </w:t>
      </w:r>
      <w:r w:rsidR="007B0F6A" w:rsidRPr="007B0F6A">
        <w:t>2025</w:t>
      </w:r>
      <w:r w:rsidR="007B0F6A">
        <w:t xml:space="preserve">; </w:t>
      </w:r>
      <w:r w:rsidR="007B0F6A" w:rsidRPr="00936704">
        <w:t xml:space="preserve">Lin, </w:t>
      </w:r>
      <w:r w:rsidR="007B0F6A">
        <w:t xml:space="preserve">et al., </w:t>
      </w:r>
      <w:r w:rsidR="007B0F6A" w:rsidRPr="00936704">
        <w:t>2023</w:t>
      </w:r>
      <w:r w:rsidR="007B0F6A">
        <w:t xml:space="preserve">; </w:t>
      </w:r>
      <w:proofErr w:type="spellStart"/>
      <w:r w:rsidR="007B0F6A" w:rsidRPr="007B0F6A">
        <w:t>Kettani</w:t>
      </w:r>
      <w:proofErr w:type="spellEnd"/>
      <w:r w:rsidR="007B0F6A" w:rsidRPr="007B0F6A">
        <w:t xml:space="preserve"> and Sanin 2024</w:t>
      </w:r>
      <w:r w:rsidR="007B0F6A">
        <w:t>)</w:t>
      </w:r>
      <w:r w:rsidRPr="00E10446">
        <w:t xml:space="preserve">. </w:t>
      </w:r>
      <w:r w:rsidR="00A4368E">
        <w:t>Recent studies have shown that</w:t>
      </w:r>
      <w:r w:rsidRPr="00E10446">
        <w:t xml:space="preserve">, a </w:t>
      </w:r>
      <w:r w:rsidR="00936704">
        <w:t>one percent</w:t>
      </w:r>
      <w:r w:rsidRPr="00E10446">
        <w:t xml:space="preserve"> increase in energy consumption </w:t>
      </w:r>
      <w:r w:rsidR="00936704" w:rsidRPr="00936704">
        <w:t>reduces multidimensional poverty headcounts</w:t>
      </w:r>
      <w:r w:rsidRPr="00E10446">
        <w:t>, based on similar GMM estimations (</w:t>
      </w:r>
      <w:r w:rsidR="00936704" w:rsidRPr="00936704">
        <w:t xml:space="preserve">Lin, </w:t>
      </w:r>
      <w:r w:rsidR="00936704">
        <w:t>et al.</w:t>
      </w:r>
      <w:r w:rsidR="00936704" w:rsidRPr="00936704">
        <w:t>, 2023</w:t>
      </w:r>
      <w:r w:rsidRPr="00936704">
        <w:t>).</w:t>
      </w:r>
      <w:r w:rsidRPr="00E10446">
        <w:t xml:space="preserve"> In a recent study, Frnana and Kareem (2025) applied a comparable model in Central Africa and found that institutional quality, such as government effectiveness, amplified the role of technology in addressing energy-related poverty, with coefficients ranging from -0.15 to -0.25 across quantiles. Likewise, Amer and Kareem (2025) in their ECOWAS region panel datasets observed an elasticity of poverty reduction with respect </w:t>
      </w:r>
      <w:r w:rsidRPr="00E10446">
        <w:lastRenderedPageBreak/>
        <w:t>to economic growth ranging from 0.39 to 1.47, moderated by green finance. To capture asymmetries, this study proposes an extended NARDL specification for robustness that directly refers to Adebayo et al. (2025). Hence, the NARDL specification is presented below as equation 2:</w:t>
      </w:r>
    </w:p>
    <w:p w14:paraId="4B84A763" w14:textId="77777777" w:rsidR="005801C8" w:rsidRPr="00E10446" w:rsidRDefault="002326DC">
      <w:pPr>
        <w:spacing w:after="0" w:line="360" w:lineRule="auto"/>
        <w:jc w:val="both"/>
        <w:rPr>
          <w:rFonts w:ascii="Times New Roman" w:hAnsi="Times New Roman" w:cs="Times New Roman"/>
          <w:sz w:val="24"/>
          <w:szCs w:val="24"/>
        </w:rPr>
      </w:pPr>
      <m:oMathPara>
        <m:oMath>
          <m:r>
            <m:rPr>
              <m:sty m:val="p"/>
            </m:rPr>
            <w:rPr>
              <w:rStyle w:val="katex-mathml"/>
              <w:rFonts w:ascii="Cambria Math" w:hAnsi="Cambria Math"/>
            </w:rPr>
            <m:t>ΔPOVi,t</m:t>
          </m:r>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Style w:val="katex-mathml"/>
                  <w:rFonts w:ascii="Cambria Math" w:hAnsi="Cambria Math"/>
                </w:rPr>
                <m:t>ϕPOV</m:t>
              </m:r>
            </m:e>
            <m:sub>
              <m:r>
                <w:rPr>
                  <w:rFonts w:ascii="Cambria Math" w:hAnsi="Cambria Math" w:cs="Times New Roman"/>
                  <w:sz w:val="24"/>
                  <w:szCs w:val="24"/>
                </w:rPr>
                <m:t>i,t-1</m:t>
              </m:r>
            </m:sub>
          </m:sSub>
          <m:r>
            <w:rPr>
              <w:rFonts w:ascii="Cambria Math" w:hAnsi="Cambria Math" w:cs="Times New Roman"/>
              <w:sz w:val="24"/>
              <w:szCs w:val="24"/>
            </w:rPr>
            <m:t>+</m:t>
          </m:r>
          <m:sSup>
            <m:sSupPr>
              <m:ctrlPr>
                <w:rPr>
                  <w:rFonts w:ascii="Cambria Math" w:hAnsi="Cambria Math" w:cs="Times New Roman"/>
                  <w:i/>
                  <w:sz w:val="24"/>
                  <w:szCs w:val="24"/>
                </w:rPr>
              </m:ctrlPr>
            </m:sSupPr>
            <m:e>
              <m:r>
                <m:rPr>
                  <m:sty m:val="p"/>
                </m:rPr>
                <w:rPr>
                  <w:rStyle w:val="katex-mathml"/>
                  <w:rFonts w:ascii="Cambria Math" w:hAnsi="Cambria Math"/>
                </w:rPr>
                <m:t>θ</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ENC</m:t>
              </m:r>
            </m:e>
            <m:sub>
              <m:r>
                <w:rPr>
                  <w:rFonts w:ascii="Cambria Math" w:hAnsi="Cambria Math" w:cs="Times New Roman"/>
                  <w:sz w:val="24"/>
                  <w:szCs w:val="24"/>
                </w:rPr>
                <m:t>i,t-1</m:t>
              </m:r>
            </m:sub>
            <m:sup>
              <m:r>
                <w:rPr>
                  <w:rFonts w:ascii="Cambria Math" w:hAnsi="Cambria Math" w:cs="Times New Roman"/>
                  <w:sz w:val="24"/>
                  <w:szCs w:val="24"/>
                </w:rPr>
                <m:t>+</m:t>
              </m:r>
            </m:sup>
          </m:sSubSup>
          <m:r>
            <w:rPr>
              <w:rFonts w:ascii="Cambria Math" w:hAnsi="Cambria Math" w:cs="Times New Roman"/>
              <w:sz w:val="24"/>
              <w:szCs w:val="24"/>
            </w:rPr>
            <m:t>+</m:t>
          </m:r>
          <m:sSup>
            <m:sSupPr>
              <m:ctrlPr>
                <w:rPr>
                  <w:rFonts w:ascii="Cambria Math" w:hAnsi="Cambria Math" w:cs="Times New Roman"/>
                  <w:b/>
                  <w:bCs/>
                  <w:i/>
                  <w:sz w:val="24"/>
                  <w:szCs w:val="24"/>
                </w:rPr>
              </m:ctrlPr>
            </m:sSupPr>
            <m:e>
              <m:r>
                <m:rPr>
                  <m:sty m:val="p"/>
                </m:rPr>
                <w:rPr>
                  <w:rStyle w:val="katex-mathml"/>
                  <w:rFonts w:ascii="Cambria Math" w:hAnsi="Cambria Math"/>
                </w:rPr>
                <m:t>θ</m:t>
              </m:r>
            </m:e>
            <m:sup>
              <m:r>
                <m:rPr>
                  <m:sty m:val="bi"/>
                </m:rP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ENC</m:t>
              </m:r>
            </m:e>
            <m:sub>
              <m:r>
                <w:rPr>
                  <w:rFonts w:ascii="Cambria Math" w:hAnsi="Cambria Math" w:cs="Times New Roman"/>
                  <w:sz w:val="24"/>
                  <w:szCs w:val="24"/>
                </w:rPr>
                <m:t>i,t-1</m:t>
              </m:r>
            </m:sub>
            <m:sup>
              <m:r>
                <w:rPr>
                  <w:rFonts w:ascii="Cambria Math" w:hAnsi="Cambria Math" w:cs="Times New Roman"/>
                  <w:sz w:val="24"/>
                  <w:szCs w:val="24"/>
                </w:rPr>
                <m:t>-</m:t>
              </m:r>
            </m:sup>
          </m:sSubSup>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m:rPr>
                      <m:sty m:val="p"/>
                    </m:rPr>
                    <w:rPr>
                      <w:rStyle w:val="katex-mathml"/>
                      <w:rFonts w:ascii="Cambria Math" w:hAnsi="Cambria Math"/>
                    </w:rPr>
                    <m:t>α</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∆POV</m:t>
                  </m:r>
                </m:e>
                <m:sub>
                  <m:r>
                    <w:rPr>
                      <w:rFonts w:ascii="Cambria Math" w:hAnsi="Cambria Math" w:cs="Times New Roman"/>
                      <w:sz w:val="24"/>
                      <w:szCs w:val="24"/>
                    </w:rPr>
                    <m:t>i,t-j</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q</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r>
                    <m:rPr>
                      <m:sty m:val="p"/>
                    </m:rPr>
                    <w:rPr>
                      <w:rStyle w:val="katex-mathml"/>
                      <w:rFonts w:ascii="Cambria Math" w:hAnsi="Cambria Math"/>
                    </w:rPr>
                    <m:t>π</m:t>
                  </m:r>
                </m:e>
                <m:sub>
                  <m:r>
                    <w:rPr>
                      <w:rFonts w:ascii="Cambria Math" w:eastAsia="Times New Roman" w:hAnsi="Cambria Math" w:cs="Times New Roman"/>
                      <w:sz w:val="24"/>
                      <w:szCs w:val="24"/>
                    </w:rPr>
                    <m:t>j</m:t>
                  </m:r>
                </m:sub>
                <m:sup>
                  <m:r>
                    <w:rPr>
                      <w:rFonts w:ascii="Cambria Math" w:eastAsia="Times New Roman" w:hAnsi="Cambria Math" w:cs="Times New Roman"/>
                      <w:sz w:val="24"/>
                      <w:szCs w:val="24"/>
                    </w:rPr>
                    <m:t>+</m:t>
                  </m:r>
                </m:sup>
              </m:sSubSup>
              <m:r>
                <w:rPr>
                  <w:rFonts w:ascii="Cambria Math"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ENC</m:t>
                  </m:r>
                </m:e>
                <m:sub>
                  <m:r>
                    <w:rPr>
                      <w:rFonts w:ascii="Cambria Math" w:eastAsia="Times New Roman" w:hAnsi="Cambria Math" w:cs="Times New Roman"/>
                      <w:sz w:val="24"/>
                      <w:szCs w:val="24"/>
                    </w:rPr>
                    <m:t>i,t-j</m:t>
                  </m:r>
                </m:sub>
                <m:sup>
                  <m:r>
                    <w:rPr>
                      <w:rFonts w:ascii="Cambria Math" w:eastAsia="Times New Roman" w:hAnsi="Cambria Math" w:cs="Times New Roman"/>
                      <w:sz w:val="24"/>
                      <w:szCs w:val="24"/>
                    </w:rPr>
                    <m:t>+</m:t>
                  </m:r>
                </m:sup>
              </m:sSubSup>
              <m:r>
                <w:rPr>
                  <w:rFonts w:ascii="Cambria Math" w:hAnsi="Cambria Math" w:cs="Times New Roman"/>
                  <w:sz w:val="24"/>
                  <w:szCs w:val="24"/>
                </w:rPr>
                <m:t>+</m:t>
              </m:r>
              <m:sSubSup>
                <m:sSubSupPr>
                  <m:ctrlPr>
                    <w:rPr>
                      <w:rFonts w:ascii="Cambria Math" w:eastAsia="Times New Roman" w:hAnsi="Cambria Math" w:cs="Times New Roman"/>
                      <w:i/>
                      <w:sz w:val="24"/>
                      <w:szCs w:val="24"/>
                    </w:rPr>
                  </m:ctrlPr>
                </m:sSubSupPr>
                <m:e>
                  <m:r>
                    <m:rPr>
                      <m:sty m:val="p"/>
                    </m:rPr>
                    <w:rPr>
                      <w:rStyle w:val="katex-mathml"/>
                      <w:rFonts w:ascii="Cambria Math" w:hAnsi="Cambria Math"/>
                    </w:rPr>
                    <m:t>π</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m:t>
                  </m:r>
                </m:sup>
              </m:sSubSup>
              <m:sSubSup>
                <m:sSubSupPr>
                  <m:ctrlPr>
                    <w:rPr>
                      <w:rFonts w:ascii="Cambria Math" w:eastAsia="Times New Roman" w:hAnsi="Cambria Math" w:cs="Times New Roman"/>
                      <w:i/>
                      <w:sz w:val="24"/>
                      <w:szCs w:val="24"/>
                    </w:rPr>
                  </m:ctrlPr>
                </m:sSubSupPr>
                <m:e>
                  <m:r>
                    <w:rPr>
                      <w:rFonts w:ascii="Cambria Math" w:hAnsi="Cambria Math" w:cs="Times New Roman"/>
                      <w:sz w:val="24"/>
                      <w:szCs w:val="24"/>
                    </w:rPr>
                    <m:t>∆</m:t>
                  </m:r>
                  <m:r>
                    <w:rPr>
                      <w:rFonts w:ascii="Cambria Math" w:eastAsia="Times New Roman" w:hAnsi="Cambria Math" w:cs="Times New Roman"/>
                      <w:sz w:val="24"/>
                      <w:szCs w:val="24"/>
                    </w:rPr>
                    <m:t>ENC</m:t>
                  </m:r>
                </m:e>
                <m:sub>
                  <m:r>
                    <w:rPr>
                      <w:rFonts w:ascii="Cambria Math" w:eastAsia="Times New Roman" w:hAnsi="Cambria Math" w:cs="Times New Roman"/>
                      <w:sz w:val="24"/>
                      <w:szCs w:val="24"/>
                    </w:rPr>
                    <m:t>i,t-j</m:t>
                  </m:r>
                </m:sub>
                <m:sup>
                  <m:r>
                    <w:rPr>
                      <w:rFonts w:ascii="Cambria Math" w:eastAsia="Times New Roman" w:hAnsi="Cambria Math" w:cs="Times New Roman"/>
                      <w:sz w:val="24"/>
                      <w:szCs w:val="24"/>
                    </w:rPr>
                    <m:t>-</m:t>
                  </m:r>
                </m:sup>
              </m:sSubSup>
              <m:r>
                <w:rPr>
                  <w:rFonts w:ascii="Cambria Math" w:eastAsia="Times New Roman" w:hAnsi="Cambria Math" w:cs="Times New Roman"/>
                  <w:sz w:val="24"/>
                  <w:szCs w:val="24"/>
                </w:rPr>
                <m:t>)</m:t>
              </m:r>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i,t</m:t>
              </m:r>
            </m:sub>
          </m:sSub>
        </m:oMath>
      </m:oMathPara>
    </w:p>
    <w:p w14:paraId="3B1653B0" w14:textId="77777777" w:rsidR="005801C8" w:rsidRPr="00E10446" w:rsidRDefault="002326DC">
      <w:pPr>
        <w:spacing w:line="240" w:lineRule="auto"/>
        <w:jc w:val="both"/>
        <w:rPr>
          <w:rStyle w:val="katex-mathml"/>
          <w:rFonts w:ascii="Times New Roman" w:hAnsi="Times New Roman" w:cs="Times New Roman"/>
          <w:sz w:val="24"/>
          <w:szCs w:val="24"/>
        </w:rPr>
      </w:pPr>
      <w:r w:rsidRPr="00E10446">
        <w:rPr>
          <w:rFonts w:ascii="Times New Roman" w:hAnsi="Times New Roman" w:cs="Times New Roman"/>
          <w:sz w:val="24"/>
          <w:szCs w:val="24"/>
        </w:rPr>
        <w:t>In equation 2 above, ENC</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 xml:space="preserve"> and ENC</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 xml:space="preserve"> are positive and negative decompositions of energy consumption, allowing for asymmetric short and long-run effects. This is on the premise that positive energy shocks (e.g., increments of renewables) may reduce poverty more than negative shocks (e.g., outages) with long-run multipliers of β</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 xml:space="preserve"> = −θ</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/ϕ and β− = −θ</w:t>
      </w:r>
      <w:r w:rsidRPr="00E10446">
        <w:rPr>
          <w:rFonts w:ascii="Times New Roman" w:hAnsi="Times New Roman" w:cs="Times New Roman"/>
          <w:sz w:val="24"/>
          <w:szCs w:val="24"/>
          <w:vertAlign w:val="superscript"/>
        </w:rPr>
        <w:t>−</w:t>
      </w:r>
      <w:r w:rsidRPr="00E10446">
        <w:rPr>
          <w:rFonts w:ascii="Times New Roman" w:hAnsi="Times New Roman" w:cs="Times New Roman"/>
          <w:sz w:val="24"/>
          <w:szCs w:val="24"/>
        </w:rPr>
        <w:t>/ϕ. Adebayo et al. (2025) showed that positive renewable shocks impact poverty indices across SSA by 0.4-0.6% in the short-run, validating the need for this extension in the context of West Africa's volatile energy sectors.</w:t>
      </w:r>
    </w:p>
    <w:p w14:paraId="62954ECB"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A mediation model to test indirect channels inspired by Lin et al. (2023) is as follows: </w:t>
      </w:r>
    </w:p>
    <w:p w14:paraId="14FCA302" w14:textId="77777777" w:rsidR="005801C8" w:rsidRPr="00E10446" w:rsidRDefault="002326DC">
      <w:pPr>
        <w:spacing w:after="0" w:line="240" w:lineRule="auto"/>
        <w:jc w:val="center"/>
        <w:rPr>
          <w:rFonts w:ascii="Times New Roman" w:eastAsia="Times New Roman" w:hAnsi="Times New Roman" w:cs="Times New Roman"/>
          <w:i/>
          <w:iCs/>
          <w:sz w:val="24"/>
          <w:szCs w:val="24"/>
          <w:lang w:eastAsia="en-GB"/>
        </w:rPr>
      </w:pPr>
      <w:r w:rsidRPr="00E10446">
        <w:rPr>
          <w:rFonts w:ascii="Times New Roman" w:eastAsia="Times New Roman" w:hAnsi="Times New Roman" w:cs="Times New Roman"/>
          <w:i/>
          <w:iCs/>
          <w:sz w:val="24"/>
          <w:szCs w:val="24"/>
          <w:lang w:eastAsia="en-GB"/>
        </w:rPr>
        <w:t>POV</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 xml:space="preserve"> = γ</w:t>
      </w:r>
      <w:r w:rsidRPr="00E10446">
        <w:rPr>
          <w:rFonts w:ascii="Times New Roman" w:eastAsia="Times New Roman" w:hAnsi="Times New Roman" w:cs="Times New Roman"/>
          <w:i/>
          <w:iCs/>
          <w:sz w:val="24"/>
          <w:szCs w:val="24"/>
          <w:vertAlign w:val="subscript"/>
          <w:lang w:eastAsia="en-GB"/>
        </w:rPr>
        <w:t xml:space="preserve">0 </w:t>
      </w:r>
      <w:r w:rsidRPr="00E10446">
        <w:rPr>
          <w:rFonts w:ascii="Times New Roman" w:eastAsia="Times New Roman" w:hAnsi="Times New Roman" w:cs="Times New Roman"/>
          <w:i/>
          <w:iCs/>
          <w:sz w:val="24"/>
          <w:szCs w:val="24"/>
          <w:lang w:eastAsia="en-GB"/>
        </w:rPr>
        <w:t>+ γ</w:t>
      </w:r>
      <w:r w:rsidRPr="00E10446">
        <w:rPr>
          <w:rFonts w:ascii="Times New Roman" w:eastAsia="Times New Roman" w:hAnsi="Times New Roman" w:cs="Times New Roman"/>
          <w:i/>
          <w:iCs/>
          <w:sz w:val="24"/>
          <w:szCs w:val="24"/>
          <w:vertAlign w:val="subscript"/>
          <w:lang w:eastAsia="en-GB"/>
        </w:rPr>
        <w:t>1</w:t>
      </w:r>
      <w:r w:rsidRPr="00E10446">
        <w:rPr>
          <w:rFonts w:ascii="Times New Roman" w:eastAsia="Times New Roman" w:hAnsi="Times New Roman" w:cs="Times New Roman"/>
          <w:i/>
          <w:iCs/>
          <w:sz w:val="24"/>
          <w:szCs w:val="24"/>
          <w:lang w:eastAsia="en-GB"/>
        </w:rPr>
        <w:t>ENC</w:t>
      </w:r>
      <w:r w:rsidRPr="00E10446">
        <w:rPr>
          <w:rFonts w:ascii="Times New Roman" w:eastAsia="Times New Roman" w:hAnsi="Times New Roman" w:cs="Times New Roman"/>
          <w:i/>
          <w:iCs/>
          <w:sz w:val="24"/>
          <w:szCs w:val="24"/>
          <w:vertAlign w:val="subscript"/>
          <w:lang w:eastAsia="en-GB"/>
        </w:rPr>
        <w:t xml:space="preserve">i,t </w:t>
      </w:r>
      <w:r w:rsidRPr="00E10446">
        <w:rPr>
          <w:rFonts w:ascii="Times New Roman" w:eastAsia="Times New Roman" w:hAnsi="Times New Roman" w:cs="Times New Roman"/>
          <w:i/>
          <w:iCs/>
          <w:sz w:val="24"/>
          <w:szCs w:val="24"/>
          <w:lang w:eastAsia="en-GB"/>
        </w:rPr>
        <w:t>+ γ</w:t>
      </w:r>
      <w:r w:rsidRPr="00E10446">
        <w:rPr>
          <w:rFonts w:ascii="Times New Roman" w:eastAsia="Times New Roman" w:hAnsi="Times New Roman" w:cs="Times New Roman"/>
          <w:i/>
          <w:iCs/>
          <w:sz w:val="24"/>
          <w:szCs w:val="24"/>
          <w:vertAlign w:val="subscript"/>
          <w:lang w:eastAsia="en-GB"/>
        </w:rPr>
        <w:t>2</w:t>
      </w:r>
      <w:r w:rsidRPr="00E10446">
        <w:rPr>
          <w:rFonts w:ascii="Times New Roman" w:eastAsia="Times New Roman" w:hAnsi="Times New Roman" w:cs="Times New Roman"/>
          <w:i/>
          <w:iCs/>
          <w:sz w:val="24"/>
          <w:szCs w:val="24"/>
          <w:lang w:eastAsia="en-GB"/>
        </w:rPr>
        <w:t>MED</w:t>
      </w:r>
      <w:r w:rsidRPr="00E10446">
        <w:rPr>
          <w:rFonts w:ascii="Times New Roman" w:eastAsia="Times New Roman" w:hAnsi="Times New Roman" w:cs="Times New Roman"/>
          <w:i/>
          <w:iCs/>
          <w:sz w:val="24"/>
          <w:szCs w:val="24"/>
          <w:vertAlign w:val="subscript"/>
          <w:lang w:eastAsia="en-GB"/>
        </w:rPr>
        <w:t xml:space="preserve">i,t </w:t>
      </w:r>
      <w:r w:rsidRPr="00E10446">
        <w:rPr>
          <w:rFonts w:ascii="Times New Roman" w:eastAsia="Times New Roman" w:hAnsi="Times New Roman" w:cs="Times New Roman"/>
          <w:i/>
          <w:iCs/>
          <w:sz w:val="24"/>
          <w:szCs w:val="24"/>
          <w:lang w:eastAsia="en-GB"/>
        </w:rPr>
        <w:t>+ ν</w:t>
      </w:r>
      <w:r w:rsidRPr="00E10446">
        <w:rPr>
          <w:rFonts w:ascii="Times New Roman" w:eastAsia="Times New Roman" w:hAnsi="Times New Roman" w:cs="Times New Roman"/>
          <w:i/>
          <w:iCs/>
          <w:sz w:val="24"/>
          <w:szCs w:val="24"/>
          <w:vertAlign w:val="subscript"/>
          <w:lang w:eastAsia="en-GB"/>
        </w:rPr>
        <w:t>i,t</w:t>
      </w:r>
    </w:p>
    <w:p w14:paraId="3B062E5D" w14:textId="77777777" w:rsidR="005801C8" w:rsidRPr="00E10446" w:rsidRDefault="005801C8">
      <w:pPr>
        <w:spacing w:after="0" w:line="240" w:lineRule="auto"/>
        <w:jc w:val="center"/>
        <w:rPr>
          <w:rFonts w:ascii="Times New Roman" w:eastAsia="Times New Roman" w:hAnsi="Times New Roman" w:cs="Times New Roman"/>
          <w:i/>
          <w:iCs/>
          <w:sz w:val="24"/>
          <w:szCs w:val="24"/>
          <w:lang w:eastAsia="en-GB"/>
        </w:rPr>
      </w:pPr>
    </w:p>
    <w:p w14:paraId="772D66D2" w14:textId="77777777" w:rsidR="005801C8" w:rsidRPr="00E10446" w:rsidRDefault="002326DC">
      <w:pPr>
        <w:spacing w:line="240" w:lineRule="auto"/>
        <w:jc w:val="center"/>
        <w:rPr>
          <w:rFonts w:ascii="Times New Roman" w:hAnsi="Times New Roman" w:cs="Times New Roman"/>
          <w:i/>
          <w:iCs/>
          <w:sz w:val="24"/>
          <w:szCs w:val="24"/>
        </w:rPr>
      </w:pPr>
      <w:r w:rsidRPr="00E10446">
        <w:rPr>
          <w:rFonts w:ascii="Times New Roman" w:eastAsia="Times New Roman" w:hAnsi="Times New Roman" w:cs="Times New Roman"/>
          <w:i/>
          <w:iCs/>
          <w:sz w:val="24"/>
          <w:szCs w:val="24"/>
          <w:lang w:eastAsia="en-GB"/>
        </w:rPr>
        <w:t>MED</w:t>
      </w:r>
      <w:r w:rsidRPr="00E10446">
        <w:rPr>
          <w:rFonts w:ascii="Times New Roman" w:eastAsia="Times New Roman" w:hAnsi="Times New Roman" w:cs="Times New Roman"/>
          <w:i/>
          <w:iCs/>
          <w:sz w:val="24"/>
          <w:szCs w:val="24"/>
          <w:vertAlign w:val="subscript"/>
          <w:lang w:eastAsia="en-GB"/>
        </w:rPr>
        <w:t>i,t</w:t>
      </w:r>
      <w:r w:rsidRPr="00E10446">
        <w:rPr>
          <w:rFonts w:ascii="Times New Roman" w:eastAsia="Times New Roman" w:hAnsi="Times New Roman" w:cs="Times New Roman"/>
          <w:i/>
          <w:iCs/>
          <w:sz w:val="24"/>
          <w:szCs w:val="24"/>
          <w:lang w:eastAsia="en-GB"/>
        </w:rPr>
        <w:t xml:space="preserve"> = δ</w:t>
      </w:r>
      <w:r w:rsidRPr="00E10446">
        <w:rPr>
          <w:rFonts w:ascii="Times New Roman" w:eastAsia="Times New Roman" w:hAnsi="Times New Roman" w:cs="Times New Roman"/>
          <w:i/>
          <w:iCs/>
          <w:sz w:val="24"/>
          <w:szCs w:val="24"/>
          <w:vertAlign w:val="subscript"/>
          <w:lang w:eastAsia="en-GB"/>
        </w:rPr>
        <w:t xml:space="preserve">0 </w:t>
      </w:r>
      <w:r w:rsidRPr="00E10446">
        <w:rPr>
          <w:rFonts w:ascii="Times New Roman" w:eastAsia="Times New Roman" w:hAnsi="Times New Roman" w:cs="Times New Roman"/>
          <w:i/>
          <w:iCs/>
          <w:sz w:val="24"/>
          <w:szCs w:val="24"/>
          <w:lang w:eastAsia="en-GB"/>
        </w:rPr>
        <w:t>+ δ</w:t>
      </w:r>
      <w:r w:rsidRPr="00E10446">
        <w:rPr>
          <w:rFonts w:ascii="Times New Roman" w:eastAsia="Times New Roman" w:hAnsi="Times New Roman" w:cs="Times New Roman"/>
          <w:i/>
          <w:iCs/>
          <w:sz w:val="24"/>
          <w:szCs w:val="24"/>
          <w:vertAlign w:val="subscript"/>
          <w:lang w:eastAsia="en-GB"/>
        </w:rPr>
        <w:t>1</w:t>
      </w:r>
      <w:r w:rsidRPr="00E10446">
        <w:rPr>
          <w:rFonts w:ascii="Times New Roman" w:eastAsia="Times New Roman" w:hAnsi="Times New Roman" w:cs="Times New Roman"/>
          <w:i/>
          <w:iCs/>
          <w:sz w:val="24"/>
          <w:szCs w:val="24"/>
          <w:lang w:eastAsia="en-GB"/>
        </w:rPr>
        <w:t>ENC</w:t>
      </w:r>
      <w:r w:rsidRPr="00E10446">
        <w:rPr>
          <w:rFonts w:ascii="Times New Roman" w:eastAsia="Times New Roman" w:hAnsi="Times New Roman" w:cs="Times New Roman"/>
          <w:i/>
          <w:iCs/>
          <w:sz w:val="24"/>
          <w:szCs w:val="24"/>
          <w:vertAlign w:val="subscript"/>
          <w:lang w:eastAsia="en-GB"/>
        </w:rPr>
        <w:t xml:space="preserve">i,t </w:t>
      </w:r>
      <w:r w:rsidRPr="00E10446">
        <w:rPr>
          <w:rFonts w:ascii="Times New Roman" w:eastAsia="Times New Roman" w:hAnsi="Times New Roman" w:cs="Times New Roman"/>
          <w:i/>
          <w:iCs/>
          <w:sz w:val="24"/>
          <w:szCs w:val="24"/>
          <w:lang w:eastAsia="en-GB"/>
        </w:rPr>
        <w:t>+ ω</w:t>
      </w:r>
      <w:r w:rsidRPr="00E10446">
        <w:rPr>
          <w:rFonts w:ascii="Times New Roman" w:eastAsia="Times New Roman" w:hAnsi="Times New Roman" w:cs="Times New Roman"/>
          <w:i/>
          <w:iCs/>
          <w:sz w:val="24"/>
          <w:szCs w:val="24"/>
          <w:vertAlign w:val="subscript"/>
          <w:lang w:eastAsia="en-GB"/>
        </w:rPr>
        <w:t>i,t</w:t>
      </w:r>
    </w:p>
    <w:p w14:paraId="23CE799B" w14:textId="5AA6E283"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Here, MED is a mediator variable (such as labour productivity). This fixed effects model, controlling for unobserved heterogeneity, shows the impact of energy on poverty through productivity gains (e.g., 0.2 - 0.3% indirect effect based on </w:t>
      </w:r>
      <w:r w:rsidR="00976AA0">
        <w:rPr>
          <w:rFonts w:ascii="Times New Roman" w:hAnsi="Times New Roman" w:cs="Times New Roman"/>
          <w:sz w:val="24"/>
          <w:szCs w:val="24"/>
        </w:rPr>
        <w:t>(</w:t>
      </w:r>
      <w:r w:rsidR="00976AA0" w:rsidRPr="00976AA0">
        <w:rPr>
          <w:rFonts w:ascii="Times New Roman" w:hAnsi="Times New Roman" w:cs="Times New Roman"/>
          <w:sz w:val="24"/>
          <w:szCs w:val="24"/>
        </w:rPr>
        <w:t>Lin</w:t>
      </w:r>
      <w:r w:rsidR="00976AA0">
        <w:rPr>
          <w:rFonts w:ascii="Times New Roman" w:hAnsi="Times New Roman" w:cs="Times New Roman"/>
          <w:sz w:val="24"/>
          <w:szCs w:val="24"/>
        </w:rPr>
        <w:t xml:space="preserve"> </w:t>
      </w:r>
      <w:r w:rsidR="00976AA0" w:rsidRPr="00976AA0">
        <w:rPr>
          <w:rFonts w:ascii="Times New Roman" w:hAnsi="Times New Roman" w:cs="Times New Roman"/>
          <w:sz w:val="24"/>
          <w:szCs w:val="24"/>
        </w:rPr>
        <w:t>&amp; Wang</w:t>
      </w:r>
      <w:r w:rsidR="00976AA0">
        <w:rPr>
          <w:rFonts w:ascii="Times New Roman" w:hAnsi="Times New Roman" w:cs="Times New Roman"/>
          <w:sz w:val="24"/>
          <w:szCs w:val="24"/>
        </w:rPr>
        <w:t xml:space="preserve">, </w:t>
      </w:r>
      <w:r w:rsidR="00976AA0" w:rsidRPr="00976AA0">
        <w:rPr>
          <w:rFonts w:ascii="Times New Roman" w:hAnsi="Times New Roman" w:cs="Times New Roman"/>
          <w:sz w:val="24"/>
          <w:szCs w:val="24"/>
        </w:rPr>
        <w:t>2020</w:t>
      </w:r>
      <w:r w:rsidRPr="00E10446">
        <w:rPr>
          <w:rFonts w:ascii="Times New Roman" w:hAnsi="Times New Roman" w:cs="Times New Roman"/>
          <w:sz w:val="24"/>
          <w:szCs w:val="24"/>
        </w:rPr>
        <w:t>). Gür et al. (2025) employed a similar mediation analysis in ASEAN economies to show that the effect of access to energy on poverty is mediated through CO</w:t>
      </w:r>
      <w:r w:rsidRPr="003D6AFC">
        <w:rPr>
          <w:rFonts w:ascii="Times New Roman" w:hAnsi="Times New Roman" w:cs="Times New Roman"/>
          <w:sz w:val="24"/>
          <w:szCs w:val="24"/>
          <w:vertAlign w:val="subscript"/>
        </w:rPr>
        <w:t>2</w:t>
      </w:r>
      <w:r w:rsidRPr="00E10446">
        <w:rPr>
          <w:rFonts w:ascii="Times New Roman" w:hAnsi="Times New Roman" w:cs="Times New Roman"/>
          <w:sz w:val="24"/>
          <w:szCs w:val="24"/>
        </w:rPr>
        <w:t xml:space="preserve"> emissions by way of GDP per capita.</w:t>
      </w:r>
    </w:p>
    <w:p w14:paraId="431BF7C4" w14:textId="77777777" w:rsidR="005801C8" w:rsidRPr="00E10446" w:rsidRDefault="002326DC">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The innovation of this study is the hybridization of method of moments quantile regression (MMQR) with the nonlinear auto regressive distributed lag (NARDL) decompositions in a disaggregated West African panel that fills the gaps in several broad SSA aggregations (e.g. Adebayo et al., 2025). The traditional models like generalized method of moments (GMM) or error correction model (ECM) neglects heterogeneities across quantiles such as the one where energy is more effective in poverty reduction in the lowest quantiles of poverty (urban Nigeria) than in the highest quantiles of poverty (rural Guinea). The MMQR model, as utilized in Frnana and Kareem (2025) and in Amer and Kareem (2025), estimates coefficients at different quantiles of the distribution of poverty (0.1-0.9) to capture nonlinear relationships, where the lower quantiles reflect short-run shocks while the upper ones are associated with long-run equilibrium. The innovation is to decompose energy into renewable energy consumption (RENC) and non-renewable energy consumption (NRENC) within the MMQR model. This hybridizing technique is stated in equation 5 below:</w:t>
      </w:r>
    </w:p>
    <w:p w14:paraId="22FCE67B" w14:textId="77777777" w:rsidR="005801C8" w:rsidRPr="00E10446" w:rsidRDefault="002326DC">
      <w:pPr>
        <w:spacing w:line="240" w:lineRule="auto"/>
        <w:jc w:val="center"/>
        <w:rPr>
          <w:rStyle w:val="katex-mathml"/>
          <w:rFonts w:ascii="Times New Roman" w:hAnsi="Times New Roman" w:cs="Times New Roman"/>
          <w:i/>
          <w:iCs/>
          <w:sz w:val="24"/>
          <w:szCs w:val="24"/>
        </w:rPr>
      </w:pPr>
      <w:r w:rsidRPr="00E10446">
        <w:rPr>
          <w:rStyle w:val="katex-mathml"/>
          <w:rFonts w:ascii="Times New Roman" w:hAnsi="Times New Roman" w:cs="Times New Roman"/>
          <w:i/>
          <w:iCs/>
          <w:sz w:val="24"/>
          <w:szCs w:val="24"/>
        </w:rPr>
        <w:t>QPOV(τ</w:t>
      </w:r>
      <w:r w:rsidRPr="00E10446">
        <w:rPr>
          <w:rStyle w:val="katex-mathml"/>
          <w:rFonts w:ascii="Cambria Math" w:hAnsi="Cambria Math" w:cs="Cambria Math"/>
          <w:i/>
          <w:iCs/>
          <w:sz w:val="24"/>
          <w:szCs w:val="24"/>
        </w:rPr>
        <w:t>∣</w:t>
      </w:r>
      <w:r w:rsidRPr="00E10446">
        <w:rPr>
          <w:rStyle w:val="katex-mathml"/>
          <w:rFonts w:ascii="Times New Roman" w:hAnsi="Times New Roman" w:cs="Times New Roman"/>
          <w:i/>
          <w:iCs/>
          <w:sz w:val="24"/>
          <w:szCs w:val="24"/>
        </w:rPr>
        <w:t>Z</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 α(τ) + β</w:t>
      </w:r>
      <w:r w:rsidRPr="00E10446">
        <w:rPr>
          <w:rStyle w:val="katex-mathml"/>
          <w:rFonts w:ascii="Times New Roman" w:hAnsi="Times New Roman" w:cs="Times New Roman"/>
          <w:i/>
          <w:iCs/>
          <w:sz w:val="24"/>
          <w:szCs w:val="24"/>
          <w:vertAlign w:val="subscript"/>
        </w:rPr>
        <w:t>1</w:t>
      </w:r>
      <w:r w:rsidRPr="00E10446">
        <w:rPr>
          <w:rStyle w:val="katex-mathml"/>
          <w:rFonts w:ascii="Times New Roman" w:hAnsi="Times New Roman" w:cs="Times New Roman"/>
          <w:i/>
          <w:iCs/>
          <w:sz w:val="24"/>
          <w:szCs w:val="24"/>
        </w:rPr>
        <w:t>(τ)RENC</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xml:space="preserve"> + β</w:t>
      </w:r>
      <w:r w:rsidRPr="00E10446">
        <w:rPr>
          <w:rStyle w:val="katex-mathml"/>
          <w:rFonts w:ascii="Times New Roman" w:hAnsi="Times New Roman" w:cs="Times New Roman"/>
          <w:i/>
          <w:iCs/>
          <w:sz w:val="24"/>
          <w:szCs w:val="24"/>
          <w:vertAlign w:val="subscript"/>
        </w:rPr>
        <w:t>2</w:t>
      </w:r>
      <w:r w:rsidRPr="00E10446">
        <w:rPr>
          <w:rStyle w:val="katex-mathml"/>
          <w:rFonts w:ascii="Times New Roman" w:hAnsi="Times New Roman" w:cs="Times New Roman"/>
          <w:i/>
          <w:iCs/>
          <w:sz w:val="24"/>
          <w:szCs w:val="24"/>
        </w:rPr>
        <w:t>(τ)NRENC</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xml:space="preserve"> + β</w:t>
      </w:r>
      <w:r w:rsidRPr="00E10446">
        <w:rPr>
          <w:rStyle w:val="katex-mathml"/>
          <w:rFonts w:ascii="Times New Roman" w:hAnsi="Times New Roman" w:cs="Times New Roman"/>
          <w:i/>
          <w:iCs/>
          <w:sz w:val="24"/>
          <w:szCs w:val="24"/>
          <w:vertAlign w:val="subscript"/>
        </w:rPr>
        <w:t>3</w:t>
      </w:r>
      <w:r w:rsidRPr="00E10446">
        <w:rPr>
          <w:rStyle w:val="katex-mathml"/>
          <w:rFonts w:ascii="Times New Roman" w:hAnsi="Times New Roman" w:cs="Times New Roman"/>
          <w:i/>
          <w:iCs/>
          <w:sz w:val="24"/>
          <w:szCs w:val="24"/>
        </w:rPr>
        <w:t>(τ)Z</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 xml:space="preserve"> + ϵ</w:t>
      </w:r>
      <w:r w:rsidRPr="00E10446">
        <w:rPr>
          <w:rStyle w:val="katex-mathml"/>
          <w:rFonts w:ascii="Times New Roman" w:hAnsi="Times New Roman" w:cs="Times New Roman"/>
          <w:i/>
          <w:iCs/>
          <w:sz w:val="24"/>
          <w:szCs w:val="24"/>
          <w:vertAlign w:val="subscript"/>
        </w:rPr>
        <w:t>i,t</w:t>
      </w:r>
      <w:r w:rsidRPr="00E10446">
        <w:rPr>
          <w:rStyle w:val="katex-mathml"/>
          <w:rFonts w:ascii="Times New Roman" w:hAnsi="Times New Roman" w:cs="Times New Roman"/>
          <w:i/>
          <w:iCs/>
          <w:sz w:val="24"/>
          <w:szCs w:val="24"/>
        </w:rPr>
        <w:t>(τ)</w:t>
      </w:r>
    </w:p>
    <w:p w14:paraId="2A770568" w14:textId="0F0B5CDD" w:rsidR="0076747D" w:rsidRPr="00E10446" w:rsidRDefault="002326DC" w:rsidP="0076747D">
      <w:pPr>
        <w:spacing w:line="240" w:lineRule="auto"/>
        <w:jc w:val="both"/>
        <w:rPr>
          <w:rFonts w:ascii="Times New Roman" w:hAnsi="Times New Roman" w:cs="Times New Roman"/>
          <w:sz w:val="24"/>
          <w:szCs w:val="24"/>
        </w:rPr>
      </w:pPr>
      <w:r w:rsidRPr="00E10446">
        <w:rPr>
          <w:rFonts w:ascii="Times New Roman" w:hAnsi="Times New Roman" w:cs="Times New Roman"/>
          <w:sz w:val="24"/>
          <w:szCs w:val="24"/>
        </w:rPr>
        <w:t xml:space="preserve">where τ is the quantiles, and Z is the control variable. This yields heterogeneous impacts such that, for instance, RENC could have an elasticity of -0.5 in the upper quantiles (capturing long-run sustainability benefits), versus a less negative elasticity of -0.2 for NRENC, thereby extending the asymmetries in Adebayo et al. (2025) by including quantile variations to detect impacts and inform nuanced policy-making in West Africa. The standard errors are </w:t>
      </w:r>
      <w:r w:rsidRPr="00E10446">
        <w:rPr>
          <w:rFonts w:ascii="Times New Roman" w:hAnsi="Times New Roman" w:cs="Times New Roman"/>
          <w:sz w:val="24"/>
          <w:szCs w:val="24"/>
        </w:rPr>
        <w:lastRenderedPageBreak/>
        <w:t>bootstrapped to ensure robustness given the small-N panel setting (N=5).</w:t>
      </w:r>
      <w:r w:rsidR="00BE6D65" w:rsidRPr="00E10446">
        <w:rPr>
          <w:rFonts w:ascii="Times New Roman" w:hAnsi="Times New Roman" w:cs="Times New Roman"/>
          <w:sz w:val="24"/>
          <w:szCs w:val="24"/>
        </w:rPr>
        <w:t xml:space="preserve"> </w:t>
      </w:r>
      <w:r w:rsidR="0076747D" w:rsidRPr="00E10446">
        <w:rPr>
          <w:rFonts w:ascii="Times New Roman" w:hAnsi="Times New Roman" w:cs="Times New Roman"/>
          <w:sz w:val="24"/>
          <w:szCs w:val="24"/>
        </w:rPr>
        <w:t>The MMQR specification further extended as:</w:t>
      </w:r>
    </w:p>
    <w:p w14:paraId="2F42F580" w14:textId="331733CF" w:rsidR="0076747D" w:rsidRPr="00E10446" w:rsidRDefault="0076747D" w:rsidP="0076747D">
      <w:pPr>
        <w:spacing w:line="240" w:lineRule="auto"/>
        <w:jc w:val="center"/>
        <w:rPr>
          <w:rFonts w:ascii="Times New Roman" w:hAnsi="Times New Roman" w:cs="Times New Roman"/>
          <w:i/>
          <w:iCs/>
          <w:sz w:val="24"/>
          <w:szCs w:val="24"/>
        </w:rPr>
      </w:pPr>
      <w:proofErr w:type="spellStart"/>
      <w:r w:rsidRPr="00E10446">
        <w:rPr>
          <w:rFonts w:ascii="Times New Roman" w:hAnsi="Times New Roman" w:cs="Times New Roman"/>
          <w:i/>
          <w:iCs/>
          <w:sz w:val="24"/>
          <w:szCs w:val="24"/>
        </w:rPr>
        <w:t>QYit</w:t>
      </w:r>
      <w:proofErr w:type="spellEnd"/>
      <w:r w:rsidRPr="00E10446">
        <w:rPr>
          <w:rFonts w:ascii="Times New Roman" w:hAnsi="Times New Roman" w:cs="Times New Roman"/>
          <w:i/>
          <w:iCs/>
          <w:sz w:val="24"/>
          <w:szCs w:val="24"/>
        </w:rPr>
        <w:t>(</w:t>
      </w:r>
      <w:proofErr w:type="spellStart"/>
      <w:r w:rsidRPr="00E10446">
        <w:rPr>
          <w:rFonts w:ascii="Times New Roman" w:hAnsi="Times New Roman" w:cs="Times New Roman"/>
          <w:i/>
          <w:iCs/>
          <w:sz w:val="24"/>
          <w:szCs w:val="24"/>
        </w:rPr>
        <w:t>τ</w:t>
      </w:r>
      <w:r w:rsidRPr="00E10446">
        <w:rPr>
          <w:rFonts w:ascii="Cambria Math" w:hAnsi="Cambria Math" w:cs="Cambria Math"/>
          <w:i/>
          <w:iCs/>
          <w:sz w:val="24"/>
          <w:szCs w:val="24"/>
        </w:rPr>
        <w:t>∣</w:t>
      </w:r>
      <w:r w:rsidRPr="00E10446">
        <w:rPr>
          <w:rFonts w:ascii="Times New Roman" w:hAnsi="Times New Roman" w:cs="Times New Roman"/>
          <w:i/>
          <w:iCs/>
          <w:sz w:val="24"/>
          <w:szCs w:val="24"/>
        </w:rPr>
        <w:t>Xit</w:t>
      </w:r>
      <w:proofErr w:type="spellEnd"/>
      <w:r w:rsidRPr="00E10446">
        <w:rPr>
          <w:rFonts w:ascii="Times New Roman" w:hAnsi="Times New Roman" w:cs="Times New Roman"/>
          <w:i/>
          <w:iCs/>
          <w:sz w:val="24"/>
          <w:szCs w:val="24"/>
        </w:rPr>
        <w:t>) = (α</w:t>
      </w:r>
      <w:proofErr w:type="spellStart"/>
      <w:r w:rsidRPr="00E10446">
        <w:rPr>
          <w:rFonts w:ascii="Times New Roman" w:hAnsi="Times New Roman" w:cs="Times New Roman"/>
          <w:i/>
          <w:iCs/>
          <w:sz w:val="24"/>
          <w:szCs w:val="24"/>
        </w:rPr>
        <w:t>i+δiq</w:t>
      </w:r>
      <w:proofErr w:type="spellEnd"/>
      <w:r w:rsidRPr="00E10446">
        <w:rPr>
          <w:rFonts w:ascii="Times New Roman" w:hAnsi="Times New Roman" w:cs="Times New Roman"/>
          <w:i/>
          <w:iCs/>
          <w:sz w:val="24"/>
          <w:szCs w:val="24"/>
        </w:rPr>
        <w:t xml:space="preserve">(τ)) + </w:t>
      </w:r>
      <w:proofErr w:type="spellStart"/>
      <w:r w:rsidRPr="00E10446">
        <w:rPr>
          <w:rFonts w:ascii="Times New Roman" w:hAnsi="Times New Roman" w:cs="Times New Roman"/>
          <w:i/>
          <w:iCs/>
          <w:sz w:val="24"/>
          <w:szCs w:val="24"/>
        </w:rPr>
        <w:t>X′it</w:t>
      </w:r>
      <w:proofErr w:type="spellEnd"/>
      <w:r w:rsidRPr="00E10446">
        <w:rPr>
          <w:rFonts w:ascii="Times New Roman" w:hAnsi="Times New Roman" w:cs="Times New Roman"/>
          <w:i/>
          <w:iCs/>
          <w:sz w:val="24"/>
          <w:szCs w:val="24"/>
        </w:rPr>
        <w:t>(β+</w:t>
      </w:r>
      <w:proofErr w:type="spellStart"/>
      <w:r w:rsidRPr="00E10446">
        <w:rPr>
          <w:rFonts w:ascii="Times New Roman" w:hAnsi="Times New Roman" w:cs="Times New Roman"/>
          <w:i/>
          <w:iCs/>
          <w:sz w:val="24"/>
          <w:szCs w:val="24"/>
        </w:rPr>
        <w:t>γq</w:t>
      </w:r>
      <w:proofErr w:type="spellEnd"/>
      <w:r w:rsidRPr="00E10446">
        <w:rPr>
          <w:rFonts w:ascii="Times New Roman" w:hAnsi="Times New Roman" w:cs="Times New Roman"/>
          <w:i/>
          <w:iCs/>
          <w:sz w:val="24"/>
          <w:szCs w:val="24"/>
        </w:rPr>
        <w:t>(τ))</w:t>
      </w:r>
    </w:p>
    <w:p w14:paraId="41DCCAD1" w14:textId="1B63ACCB" w:rsidR="00DF598E" w:rsidRPr="00E10446" w:rsidRDefault="0076747D" w:rsidP="00B12A30">
      <w:pPr>
        <w:spacing w:line="240" w:lineRule="auto"/>
        <w:jc w:val="both"/>
        <w:rPr>
          <w:rStyle w:val="katex-mathml"/>
          <w:rFonts w:ascii="Times New Roman" w:hAnsi="Times New Roman" w:cs="Times New Roman"/>
          <w:sz w:val="24"/>
          <w:szCs w:val="24"/>
        </w:rPr>
      </w:pPr>
      <w:r w:rsidRPr="00E10446">
        <w:rPr>
          <w:rFonts w:ascii="Times New Roman" w:hAnsi="Times New Roman" w:cs="Times New Roman"/>
          <w:sz w:val="24"/>
          <w:szCs w:val="24"/>
        </w:rPr>
        <w:t xml:space="preserve">In equation 6 above, </w:t>
      </w:r>
      <w:proofErr w:type="spellStart"/>
      <w:r w:rsidRPr="00E10446">
        <w:rPr>
          <w:rFonts w:ascii="Times New Roman" w:hAnsi="Times New Roman" w:cs="Times New Roman"/>
          <w:sz w:val="24"/>
          <w:szCs w:val="24"/>
        </w:rPr>
        <w:t>QY</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w:t>
      </w:r>
      <w:proofErr w:type="spellStart"/>
      <w:r w:rsidRPr="00E10446">
        <w:rPr>
          <w:rFonts w:ascii="Times New Roman" w:hAnsi="Times New Roman" w:cs="Times New Roman"/>
          <w:sz w:val="24"/>
          <w:szCs w:val="24"/>
        </w:rPr>
        <w:t>τ</w:t>
      </w:r>
      <w:r w:rsidRPr="00E10446">
        <w:rPr>
          <w:rFonts w:ascii="Cambria Math" w:hAnsi="Cambria Math" w:cs="Cambria Math"/>
          <w:sz w:val="24"/>
          <w:szCs w:val="24"/>
        </w:rPr>
        <w:t>∣</w:t>
      </w:r>
      <w:r w:rsidRPr="00E10446">
        <w:rPr>
          <w:rFonts w:ascii="Times New Roman" w:hAnsi="Times New Roman" w:cs="Times New Roman"/>
          <w:sz w:val="24"/>
          <w:szCs w:val="24"/>
        </w:rPr>
        <w:t>X</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represents the </w:t>
      </w:r>
      <w:proofErr w:type="spellStart"/>
      <w:r w:rsidRPr="00E10446">
        <w:rPr>
          <w:rFonts w:ascii="Times New Roman" w:hAnsi="Times New Roman" w:cs="Times New Roman"/>
          <w:sz w:val="24"/>
          <w:szCs w:val="24"/>
        </w:rPr>
        <w:t>τ</w:t>
      </w:r>
      <w:r w:rsidRPr="00E10446">
        <w:rPr>
          <w:rFonts w:ascii="Times New Roman" w:hAnsi="Times New Roman" w:cs="Times New Roman"/>
          <w:sz w:val="24"/>
          <w:szCs w:val="24"/>
          <w:vertAlign w:val="superscript"/>
        </w:rPr>
        <w:t>th</w:t>
      </w:r>
      <w:proofErr w:type="spellEnd"/>
      <w:r w:rsidRPr="00E10446">
        <w:rPr>
          <w:rFonts w:ascii="Times New Roman" w:hAnsi="Times New Roman" w:cs="Times New Roman"/>
          <w:sz w:val="24"/>
          <w:szCs w:val="24"/>
        </w:rPr>
        <w:t xml:space="preserve"> quantile of poverty (</w:t>
      </w:r>
      <w:proofErr w:type="spellStart"/>
      <w:r w:rsidRPr="00E10446">
        <w:rPr>
          <w:rFonts w:ascii="Times New Roman" w:hAnsi="Times New Roman" w:cs="Times New Roman"/>
          <w:sz w:val="24"/>
          <w:szCs w:val="24"/>
        </w:rPr>
        <w:t>POV</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for country </w:t>
      </w:r>
      <w:proofErr w:type="spellStart"/>
      <w:r w:rsidRPr="00E10446">
        <w:rPr>
          <w:rFonts w:ascii="Times New Roman" w:hAnsi="Times New Roman" w:cs="Times New Roman"/>
          <w:sz w:val="24"/>
          <w:szCs w:val="24"/>
        </w:rPr>
        <w:t>i</w:t>
      </w:r>
      <w:proofErr w:type="spellEnd"/>
      <w:r w:rsidRPr="00E10446">
        <w:rPr>
          <w:rFonts w:ascii="Times New Roman" w:hAnsi="Times New Roman" w:cs="Times New Roman"/>
          <w:sz w:val="24"/>
          <w:szCs w:val="24"/>
        </w:rPr>
        <w:t xml:space="preserve"> at time t conditional on a vector of covariates </w:t>
      </w:r>
      <w:proofErr w:type="spellStart"/>
      <w:r w:rsidRPr="00E10446">
        <w:rPr>
          <w:rFonts w:ascii="Times New Roman" w:hAnsi="Times New Roman" w:cs="Times New Roman"/>
          <w:sz w:val="24"/>
          <w:szCs w:val="24"/>
        </w:rPr>
        <w:t>X</w:t>
      </w:r>
      <w:r w:rsidRPr="00E10446">
        <w:rPr>
          <w:rFonts w:ascii="Times New Roman" w:hAnsi="Times New Roman" w:cs="Times New Roman"/>
          <w:sz w:val="24"/>
          <w:szCs w:val="24"/>
          <w:vertAlign w:val="subscript"/>
        </w:rPr>
        <w:t>it</w:t>
      </w:r>
      <w:proofErr w:type="spellEnd"/>
      <w:r w:rsidRPr="00E10446">
        <w:rPr>
          <w:rFonts w:ascii="Times New Roman" w:hAnsi="Times New Roman" w:cs="Times New Roman"/>
          <w:sz w:val="24"/>
          <w:szCs w:val="24"/>
        </w:rPr>
        <w:t xml:space="preserve"> (including energy consumption) decomposed into renewable and non-renewable energy, institutional quality, GDP per capita, and other controls. The country-specific location and scale shifts are captured by α</w:t>
      </w:r>
      <w:proofErr w:type="spellStart"/>
      <w:r w:rsidRPr="00E10446">
        <w:rPr>
          <w:rFonts w:ascii="Times New Roman" w:hAnsi="Times New Roman" w:cs="Times New Roman"/>
          <w:sz w:val="24"/>
          <w:szCs w:val="24"/>
        </w:rPr>
        <w:t>i+δiq</w:t>
      </w:r>
      <w:proofErr w:type="spellEnd"/>
      <w:r w:rsidRPr="00E10446">
        <w:rPr>
          <w:rFonts w:ascii="Times New Roman" w:hAnsi="Times New Roman" w:cs="Times New Roman"/>
          <w:sz w:val="24"/>
          <w:szCs w:val="24"/>
        </w:rPr>
        <w:t>(τ), whereas β+</w:t>
      </w:r>
      <w:proofErr w:type="spellStart"/>
      <w:r w:rsidRPr="00E10446">
        <w:rPr>
          <w:rFonts w:ascii="Times New Roman" w:hAnsi="Times New Roman" w:cs="Times New Roman"/>
          <w:sz w:val="24"/>
          <w:szCs w:val="24"/>
        </w:rPr>
        <w:t>γq</w:t>
      </w:r>
      <w:proofErr w:type="spellEnd"/>
      <w:r w:rsidRPr="00E10446">
        <w:rPr>
          <w:rFonts w:ascii="Times New Roman" w:hAnsi="Times New Roman" w:cs="Times New Roman"/>
          <w:sz w:val="24"/>
          <w:szCs w:val="24"/>
        </w:rPr>
        <w:t>(τ) allow the marginal effects of the explanatory variables to vary across different quantiles τ (usually from 0.</w:t>
      </w:r>
      <w:r w:rsidR="00D93A23" w:rsidRPr="00E10446">
        <w:rPr>
          <w:rFonts w:ascii="Times New Roman" w:hAnsi="Times New Roman" w:cs="Times New Roman"/>
          <w:sz w:val="24"/>
          <w:szCs w:val="24"/>
        </w:rPr>
        <w:t>5</w:t>
      </w:r>
      <w:r w:rsidRPr="00E10446">
        <w:rPr>
          <w:rFonts w:ascii="Times New Roman" w:hAnsi="Times New Roman" w:cs="Times New Roman"/>
          <w:sz w:val="24"/>
          <w:szCs w:val="24"/>
        </w:rPr>
        <w:t xml:space="preserve"> to 0.90). The lower quantiles can be considered as short-run or low poverty situations, while the upper quantiles represent long-run or high-poverty distributions, thus providing context-specific insights into asymmetric or heterogeneous impacts. This approach is closely related to and innovates beyond prior empirical reviews. First, it extends the nonlinear NARDL asymmetries of Adebayo et al. (2025) by applying quantile-specific decompositions of energetic types in addressing the apparent gaps of broad SSA aggregations examined in </w:t>
      </w:r>
      <w:proofErr w:type="spellStart"/>
      <w:r w:rsidR="00BE7616" w:rsidRPr="00BE7616">
        <w:rPr>
          <w:rFonts w:ascii="Times New Roman" w:hAnsi="Times New Roman" w:cs="Times New Roman"/>
          <w:sz w:val="24"/>
          <w:szCs w:val="24"/>
        </w:rPr>
        <w:t>Mazorodze</w:t>
      </w:r>
      <w:proofErr w:type="spellEnd"/>
      <w:r w:rsidR="00BE7616" w:rsidRPr="00BE7616">
        <w:rPr>
          <w:rFonts w:ascii="Times New Roman" w:hAnsi="Times New Roman" w:cs="Times New Roman"/>
          <w:sz w:val="24"/>
          <w:szCs w:val="24"/>
        </w:rPr>
        <w:t xml:space="preserve"> (2025</w:t>
      </w:r>
      <w:r w:rsidRPr="00E003FF">
        <w:rPr>
          <w:rFonts w:ascii="Times New Roman" w:hAnsi="Times New Roman" w:cs="Times New Roman"/>
          <w:sz w:val="24"/>
          <w:szCs w:val="24"/>
        </w:rPr>
        <w:t>)</w:t>
      </w:r>
      <w:r w:rsidR="00290946">
        <w:rPr>
          <w:rFonts w:ascii="Times New Roman" w:hAnsi="Times New Roman" w:cs="Times New Roman"/>
          <w:sz w:val="24"/>
          <w:szCs w:val="24"/>
        </w:rPr>
        <w:t xml:space="preserve">. </w:t>
      </w:r>
      <w:r w:rsidRPr="00E10446">
        <w:rPr>
          <w:rFonts w:ascii="Times New Roman" w:hAnsi="Times New Roman" w:cs="Times New Roman"/>
          <w:sz w:val="24"/>
          <w:szCs w:val="24"/>
        </w:rPr>
        <w:t>Finally, this aligns with some recent applications in Africa where the MMQR technique has unravelled the heterogeneous effects of energy poverty on various sustainability outcomes, agricultural productivities, and environmental outcomes in Sub-Saharan contexts</w:t>
      </w:r>
      <w:r w:rsidR="005D4B7B">
        <w:rPr>
          <w:rFonts w:ascii="Times New Roman" w:hAnsi="Times New Roman" w:cs="Times New Roman"/>
          <w:sz w:val="24"/>
          <w:szCs w:val="24"/>
        </w:rPr>
        <w:t xml:space="preserve"> (</w:t>
      </w:r>
      <w:proofErr w:type="spellStart"/>
      <w:r w:rsidR="005D4B7B" w:rsidRPr="005D4B7B">
        <w:rPr>
          <w:rFonts w:ascii="Times New Roman" w:hAnsi="Times New Roman" w:cs="Times New Roman"/>
          <w:sz w:val="24"/>
          <w:szCs w:val="24"/>
        </w:rPr>
        <w:t>Mazorodze</w:t>
      </w:r>
      <w:proofErr w:type="spellEnd"/>
      <w:r w:rsidR="005D4B7B" w:rsidRPr="005D4B7B">
        <w:rPr>
          <w:rFonts w:ascii="Times New Roman" w:hAnsi="Times New Roman" w:cs="Times New Roman"/>
          <w:sz w:val="24"/>
          <w:szCs w:val="24"/>
        </w:rPr>
        <w:t xml:space="preserve"> 2025</w:t>
      </w:r>
      <w:r w:rsidR="005D4B7B">
        <w:rPr>
          <w:rFonts w:ascii="Times New Roman" w:hAnsi="Times New Roman" w:cs="Times New Roman"/>
          <w:sz w:val="24"/>
          <w:szCs w:val="24"/>
        </w:rPr>
        <w:t xml:space="preserve">; </w:t>
      </w:r>
      <w:proofErr w:type="spellStart"/>
      <w:r w:rsidR="005D4B7B" w:rsidRPr="005D4B7B">
        <w:rPr>
          <w:rFonts w:ascii="Times New Roman" w:hAnsi="Times New Roman" w:cs="Times New Roman"/>
          <w:sz w:val="24"/>
          <w:szCs w:val="24"/>
        </w:rPr>
        <w:t>Kritzinger</w:t>
      </w:r>
      <w:proofErr w:type="spellEnd"/>
      <w:r w:rsidR="005D4B7B" w:rsidRPr="005D4B7B">
        <w:rPr>
          <w:rFonts w:ascii="Times New Roman" w:hAnsi="Times New Roman" w:cs="Times New Roman"/>
          <w:sz w:val="24"/>
          <w:szCs w:val="24"/>
        </w:rPr>
        <w:t xml:space="preserve"> </w:t>
      </w:r>
      <w:r w:rsidR="005D4B7B">
        <w:rPr>
          <w:rFonts w:ascii="Times New Roman" w:hAnsi="Times New Roman" w:cs="Times New Roman"/>
          <w:sz w:val="24"/>
          <w:szCs w:val="24"/>
        </w:rPr>
        <w:t>&amp;</w:t>
      </w:r>
      <w:r w:rsidR="005D4B7B" w:rsidRPr="005D4B7B">
        <w:rPr>
          <w:rFonts w:ascii="Times New Roman" w:hAnsi="Times New Roman" w:cs="Times New Roman"/>
          <w:sz w:val="24"/>
          <w:szCs w:val="24"/>
        </w:rPr>
        <w:t xml:space="preserve"> </w:t>
      </w:r>
      <w:proofErr w:type="spellStart"/>
      <w:r w:rsidR="005D4B7B" w:rsidRPr="005D4B7B">
        <w:rPr>
          <w:rFonts w:ascii="Times New Roman" w:hAnsi="Times New Roman" w:cs="Times New Roman"/>
          <w:sz w:val="24"/>
          <w:szCs w:val="24"/>
        </w:rPr>
        <w:t>Inglesi-Lotz</w:t>
      </w:r>
      <w:proofErr w:type="spellEnd"/>
      <w:r w:rsidR="005D4B7B" w:rsidRPr="005D4B7B">
        <w:rPr>
          <w:rFonts w:ascii="Times New Roman" w:hAnsi="Times New Roman" w:cs="Times New Roman"/>
          <w:sz w:val="24"/>
          <w:szCs w:val="24"/>
        </w:rPr>
        <w:t xml:space="preserve"> 2025</w:t>
      </w:r>
      <w:r w:rsidR="005D4B7B">
        <w:rPr>
          <w:rFonts w:ascii="Times New Roman" w:hAnsi="Times New Roman" w:cs="Times New Roman"/>
          <w:sz w:val="24"/>
          <w:szCs w:val="24"/>
        </w:rPr>
        <w:t>)</w:t>
      </w:r>
      <w:r w:rsidRPr="00E10446">
        <w:rPr>
          <w:rFonts w:ascii="Times New Roman" w:hAnsi="Times New Roman" w:cs="Times New Roman"/>
          <w:sz w:val="24"/>
          <w:szCs w:val="24"/>
        </w:rPr>
        <w:t xml:space="preserve">. </w:t>
      </w:r>
      <w:r w:rsidR="00BE6D65" w:rsidRPr="00E10446">
        <w:rPr>
          <w:rFonts w:ascii="Times New Roman" w:hAnsi="Times New Roman" w:cs="Times New Roman"/>
          <w:sz w:val="24"/>
          <w:szCs w:val="24"/>
        </w:rPr>
        <w:t xml:space="preserve">The choice of MMQR is strongly justified on both theoretical and empirical grounds. First, poverty dynamics in West Africa are inherently heterogeneous. Countries such as Ghana and Senegal exhibit relatively moderate poverty levels, while Guinea and parts of Nigeria face extreme deprivation. Mean-based estimators (OLS, FMOLS, GMM) fail to capture these distributional differences (Machado &amp; Santos Silva, 2019; </w:t>
      </w:r>
      <w:proofErr w:type="spellStart"/>
      <w:r w:rsidR="00BE6D65" w:rsidRPr="00E10446">
        <w:rPr>
          <w:rFonts w:ascii="Times New Roman" w:hAnsi="Times New Roman" w:cs="Times New Roman"/>
          <w:sz w:val="24"/>
          <w:szCs w:val="24"/>
        </w:rPr>
        <w:t>Koenker</w:t>
      </w:r>
      <w:proofErr w:type="spellEnd"/>
      <w:r w:rsidR="00BE6D65" w:rsidRPr="00E10446">
        <w:rPr>
          <w:rFonts w:ascii="Times New Roman" w:hAnsi="Times New Roman" w:cs="Times New Roman"/>
          <w:sz w:val="24"/>
          <w:szCs w:val="24"/>
        </w:rPr>
        <w:t xml:space="preserve">, 2005). Second, empirical evidence shows that the impact of energy consumption varies across poverty levels. Energy expansion may significantly reduce poverty in middle-income or urban contexts but have limited effects in severely deprived rural areas lacking complementary infrastructure (Sarkodie &amp; Adams, 2020; Acheampong et al., 2021). Third, MMQR effectively addresses cross-sectional dependence, unobserved heterogeneity and endogeneity concerns under weaker assumptions. These features make it superior to conventional panel estimators in small-sample contexts such as this study (N = 5 countries) (Machado &amp; Santos Silva, 2019; </w:t>
      </w:r>
      <w:proofErr w:type="spellStart"/>
      <w:r w:rsidR="00BE6D65" w:rsidRPr="00E10446">
        <w:rPr>
          <w:rFonts w:ascii="Times New Roman" w:hAnsi="Times New Roman" w:cs="Times New Roman"/>
          <w:sz w:val="24"/>
          <w:szCs w:val="24"/>
        </w:rPr>
        <w:t>Frnana</w:t>
      </w:r>
      <w:proofErr w:type="spellEnd"/>
      <w:r w:rsidR="00BE6D65" w:rsidRPr="00E10446">
        <w:rPr>
          <w:rFonts w:ascii="Times New Roman" w:hAnsi="Times New Roman" w:cs="Times New Roman"/>
          <w:sz w:val="24"/>
          <w:szCs w:val="24"/>
        </w:rPr>
        <w:t xml:space="preserve"> &amp; Kareem, 2025). Furthermore, integrating MMQR with energy disaggregation (RENC vs. NRENC) advances prior studies by revealing whether renewable energy has stronger poverty-reducing effects </w:t>
      </w:r>
      <w:r w:rsidRPr="00E10446">
        <w:rPr>
          <w:rFonts w:ascii="Times New Roman" w:hAnsi="Times New Roman" w:cs="Times New Roman"/>
          <w:sz w:val="24"/>
          <w:szCs w:val="24"/>
        </w:rPr>
        <w:t>and also, whether, fossil energy exhibits diminishing or uneven impacts. This responds directly to gaps identified in Adebayo et al. (2025), who did not simultaneously consider nonlinearity, heterogeneity, and energy composition. Finally, MMQR enables policy-relevant insights. For instance: Lower quantiles (τ = 0.</w:t>
      </w:r>
      <w:r w:rsidR="009C7A51" w:rsidRPr="00E10446">
        <w:rPr>
          <w:rFonts w:ascii="Times New Roman" w:hAnsi="Times New Roman" w:cs="Times New Roman"/>
          <w:sz w:val="24"/>
          <w:szCs w:val="24"/>
        </w:rPr>
        <w:t>5</w:t>
      </w:r>
      <w:r w:rsidRPr="00E10446">
        <w:rPr>
          <w:rFonts w:ascii="Times New Roman" w:hAnsi="Times New Roman" w:cs="Times New Roman"/>
          <w:sz w:val="24"/>
          <w:szCs w:val="24"/>
        </w:rPr>
        <w:t>–0.30) reflect low-poverty or short-run contexts, while, upper quantiles (τ = 0.70–0.90) reflect high-poverty or structurally constrained contexts.</w:t>
      </w:r>
    </w:p>
    <w:p w14:paraId="1486D343" w14:textId="7AFF276D" w:rsidR="00B12A30" w:rsidRPr="00E10446" w:rsidRDefault="002326DC" w:rsidP="004124B0">
      <w:pPr>
        <w:pStyle w:val="ListParagraph"/>
        <w:numPr>
          <w:ilvl w:val="1"/>
          <w:numId w:val="1"/>
        </w:numPr>
        <w:spacing w:line="240" w:lineRule="auto"/>
        <w:ind w:left="360"/>
        <w:jc w:val="both"/>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Analytical Technique</w:t>
      </w:r>
    </w:p>
    <w:p w14:paraId="6ECCEE96" w14:textId="6169B955" w:rsidR="00FA6A57" w:rsidRPr="00E10446" w:rsidRDefault="00B12A30" w:rsidP="00B12A30">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 xml:space="preserve">The empirical analysis follows a structured sequence. First, panel unit root and stationarity tests are conducted to determine the integration properties of the variables. This is followed by correlation analysis to examine initial relationships. The baseline model is then estimated using GMM for comparison purposes. Subsequently, the NARDL model is applied to capture asymmetric effects. The MMQR approach is then employed to estimate relationships across different quantiles. Finally, robustness checks are performed </w:t>
      </w:r>
      <w:r w:rsidR="00DD4662">
        <w:rPr>
          <w:rStyle w:val="katex-mathml"/>
          <w:rFonts w:ascii="Times New Roman" w:hAnsi="Times New Roman" w:cs="Times New Roman"/>
          <w:sz w:val="24"/>
          <w:szCs w:val="24"/>
        </w:rPr>
        <w:t>to examined model specification</w:t>
      </w:r>
      <w:r w:rsidRPr="00E10446">
        <w:rPr>
          <w:rStyle w:val="katex-mathml"/>
          <w:rFonts w:ascii="Times New Roman" w:hAnsi="Times New Roman" w:cs="Times New Roman"/>
          <w:sz w:val="24"/>
          <w:szCs w:val="24"/>
        </w:rPr>
        <w:t>.</w:t>
      </w:r>
    </w:p>
    <w:p w14:paraId="5AF72828" w14:textId="77777777" w:rsidR="005801C8" w:rsidRPr="00E10446" w:rsidRDefault="002326DC" w:rsidP="0076747D">
      <w:pPr>
        <w:pStyle w:val="ListParagraph"/>
        <w:numPr>
          <w:ilvl w:val="0"/>
          <w:numId w:val="1"/>
        </w:numPr>
        <w:spacing w:before="240" w:line="240" w:lineRule="auto"/>
        <w:jc w:val="both"/>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Results and Discussion</w:t>
      </w:r>
    </w:p>
    <w:p w14:paraId="6F935749" w14:textId="6166649F" w:rsidR="00525801" w:rsidRPr="00E10446" w:rsidRDefault="00525801" w:rsidP="00525801">
      <w:pPr>
        <w:pStyle w:val="ListParagraph"/>
        <w:rPr>
          <w:rFonts w:ascii="Times New Roman" w:eastAsia="Times New Roman" w:hAnsi="Times New Roman" w:cs="Times New Roman"/>
          <w:b/>
          <w:bCs/>
          <w:sz w:val="24"/>
          <w:szCs w:val="24"/>
          <w:lang w:eastAsia="en-GB"/>
        </w:rPr>
      </w:pPr>
    </w:p>
    <w:p w14:paraId="302F0FC3" w14:textId="4DC8D90F" w:rsidR="00D4611A" w:rsidRPr="00E10446" w:rsidRDefault="002608B2" w:rsidP="00FD1D83">
      <w:pPr>
        <w:pStyle w:val="ListParagraph"/>
        <w:spacing w:after="0" w:line="240" w:lineRule="auto"/>
        <w:jc w:val="center"/>
        <w:rPr>
          <w:rFonts w:ascii="Times New Roman" w:eastAsia="Times New Roman" w:hAnsi="Times New Roman" w:cs="Times New Roman"/>
          <w:b/>
          <w:bCs/>
          <w:sz w:val="24"/>
          <w:szCs w:val="24"/>
          <w:lang w:eastAsia="en-GB"/>
        </w:rPr>
      </w:pPr>
      <w:r w:rsidRPr="00E10446">
        <w:rPr>
          <w:noProof/>
        </w:rPr>
        <w:lastRenderedPageBreak/>
        <w:drawing>
          <wp:inline distT="0" distB="0" distL="0" distR="0" wp14:anchorId="2D3C0165" wp14:editId="36448F54">
            <wp:extent cx="4191000" cy="2238375"/>
            <wp:effectExtent l="0" t="0" r="0" b="9525"/>
            <wp:docPr id="1" name="Chart 1">
              <a:extLst xmlns:a="http://schemas.openxmlformats.org/drawingml/2006/main">
                <a:ext uri="{FF2B5EF4-FFF2-40B4-BE49-F238E27FC236}">
                  <a16:creationId xmlns:a16="http://schemas.microsoft.com/office/drawing/2014/main" id="{B55DF922-7E95-4C61-A98E-0F07A7B54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A42708" w14:textId="3B5478CA" w:rsidR="00FD1D83" w:rsidRPr="00E10446" w:rsidRDefault="00FD1D83" w:rsidP="00FD1D83">
      <w:pPr>
        <w:spacing w:after="0" w:line="240" w:lineRule="auto"/>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4"/>
          <w:szCs w:val="24"/>
          <w:lang w:eastAsia="en-GB"/>
        </w:rPr>
        <w:t xml:space="preserve">                             </w:t>
      </w:r>
      <w:r w:rsidRPr="00E10446">
        <w:rPr>
          <w:rFonts w:ascii="Times New Roman" w:eastAsia="Times New Roman" w:hAnsi="Times New Roman" w:cs="Times New Roman"/>
          <w:b/>
          <w:bCs/>
          <w:sz w:val="20"/>
          <w:szCs w:val="20"/>
          <w:lang w:eastAsia="en-GB"/>
        </w:rPr>
        <w:t>Fig 1: Dynamic Trend of the Variables</w:t>
      </w:r>
    </w:p>
    <w:p w14:paraId="34751DCF" w14:textId="2C14DFDB" w:rsidR="00FD1D83" w:rsidRPr="00E10446" w:rsidRDefault="00FD1D83" w:rsidP="00FD1D83">
      <w:pPr>
        <w:spacing w:after="0" w:line="240" w:lineRule="auto"/>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ab/>
      </w:r>
      <w:r w:rsidRPr="00E10446">
        <w:rPr>
          <w:rFonts w:ascii="Times New Roman" w:eastAsia="Times New Roman" w:hAnsi="Times New Roman" w:cs="Times New Roman"/>
          <w:b/>
          <w:bCs/>
          <w:sz w:val="20"/>
          <w:szCs w:val="20"/>
          <w:lang w:eastAsia="en-GB"/>
        </w:rPr>
        <w:tab/>
        <w:t xml:space="preserve">     Source: Authors derived, 2026</w:t>
      </w:r>
    </w:p>
    <w:p w14:paraId="7291FCBF" w14:textId="1D4A115A" w:rsidR="00FD1D83" w:rsidRPr="00E10446" w:rsidRDefault="00800352" w:rsidP="00800352">
      <w:pPr>
        <w:spacing w:after="0"/>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The dynamic trend result reveals a heterogeneous but systematic relationship between energy consumption and poverty across the sampled West African countries, consistent with prior empirical findings on distributional heterogeneity in the energy–poverty nexus (Acheampong et al., 2021; Sarkodie &amp; Adams, 2020). Renewable energy consumption (RENC) shows a generally declining trend alongside gradual reductions in poverty (POV), suggesting its effectiveness in supporting long-term poverty alleviation (Adebayo et al., 2025; Leal Filho et al., 2024). In contrast, non-renewable energy consumption (NRENC) exhibits higher volatility, reflecting instability in energy supply, which weakens its poverty-reducing potential </w:t>
      </w:r>
      <w:r w:rsidR="00376BA6" w:rsidRPr="00E10446">
        <w:rPr>
          <w:rFonts w:ascii="Times New Roman" w:eastAsia="Times New Roman" w:hAnsi="Times New Roman" w:cs="Times New Roman"/>
          <w:sz w:val="24"/>
          <w:szCs w:val="24"/>
          <w:lang w:eastAsia="en-GB"/>
        </w:rPr>
        <w:t>(</w:t>
      </w:r>
      <w:proofErr w:type="spellStart"/>
      <w:r w:rsidR="003817DC" w:rsidRPr="003817DC">
        <w:rPr>
          <w:rFonts w:ascii="Times New Roman" w:eastAsia="Times New Roman" w:hAnsi="Times New Roman" w:cs="Times New Roman"/>
          <w:sz w:val="24"/>
          <w:szCs w:val="24"/>
          <w:lang w:eastAsia="en-GB"/>
        </w:rPr>
        <w:t>Jinapor</w:t>
      </w:r>
      <w:proofErr w:type="spellEnd"/>
      <w:r w:rsidR="003817DC" w:rsidRPr="003817DC">
        <w:rPr>
          <w:rFonts w:ascii="Times New Roman" w:eastAsia="Times New Roman" w:hAnsi="Times New Roman" w:cs="Times New Roman"/>
          <w:sz w:val="24"/>
          <w:szCs w:val="24"/>
          <w:lang w:eastAsia="en-GB"/>
        </w:rPr>
        <w:t xml:space="preserve"> et al.</w:t>
      </w:r>
      <w:r w:rsidR="003817DC">
        <w:rPr>
          <w:rFonts w:ascii="Times New Roman" w:eastAsia="Times New Roman" w:hAnsi="Times New Roman" w:cs="Times New Roman"/>
          <w:sz w:val="24"/>
          <w:szCs w:val="24"/>
          <w:lang w:eastAsia="en-GB"/>
        </w:rPr>
        <w:t xml:space="preserve">, </w:t>
      </w:r>
      <w:r w:rsidR="003817DC" w:rsidRPr="003817DC">
        <w:rPr>
          <w:rFonts w:ascii="Times New Roman" w:eastAsia="Times New Roman" w:hAnsi="Times New Roman" w:cs="Times New Roman"/>
          <w:sz w:val="24"/>
          <w:szCs w:val="24"/>
          <w:lang w:eastAsia="en-GB"/>
        </w:rPr>
        <w:t>2025</w:t>
      </w:r>
      <w:r w:rsidRPr="00E10446">
        <w:rPr>
          <w:rFonts w:ascii="Times New Roman" w:eastAsia="Times New Roman" w:hAnsi="Times New Roman" w:cs="Times New Roman"/>
          <w:sz w:val="24"/>
          <w:szCs w:val="24"/>
          <w:lang w:eastAsia="en-GB"/>
        </w:rPr>
        <w:t>). Labour productivity (LAP) trends upward and aligns with declining poverty levels, confirming its mediating role in the energy–poverty nexus (</w:t>
      </w:r>
      <w:r w:rsidR="00B12516" w:rsidRPr="00B12516">
        <w:rPr>
          <w:rFonts w:ascii="Times New Roman" w:eastAsia="Times New Roman" w:hAnsi="Times New Roman" w:cs="Times New Roman"/>
          <w:sz w:val="24"/>
          <w:szCs w:val="24"/>
          <w:lang w:eastAsia="en-GB"/>
        </w:rPr>
        <w:t>Lin</w:t>
      </w:r>
      <w:r w:rsidR="00B12516">
        <w:rPr>
          <w:rFonts w:ascii="Times New Roman" w:eastAsia="Times New Roman" w:hAnsi="Times New Roman" w:cs="Times New Roman"/>
          <w:sz w:val="24"/>
          <w:szCs w:val="24"/>
          <w:lang w:eastAsia="en-GB"/>
        </w:rPr>
        <w:t xml:space="preserve"> </w:t>
      </w:r>
      <w:r w:rsidR="00B12516" w:rsidRPr="00B12516">
        <w:rPr>
          <w:rFonts w:ascii="Times New Roman" w:eastAsia="Times New Roman" w:hAnsi="Times New Roman" w:cs="Times New Roman"/>
          <w:sz w:val="24"/>
          <w:szCs w:val="24"/>
          <w:lang w:eastAsia="en-GB"/>
        </w:rPr>
        <w:t>&amp; Wang</w:t>
      </w:r>
      <w:r w:rsidR="00B12516">
        <w:rPr>
          <w:rFonts w:ascii="Times New Roman" w:eastAsia="Times New Roman" w:hAnsi="Times New Roman" w:cs="Times New Roman"/>
          <w:sz w:val="24"/>
          <w:szCs w:val="24"/>
          <w:lang w:eastAsia="en-GB"/>
        </w:rPr>
        <w:t xml:space="preserve">, </w:t>
      </w:r>
      <w:r w:rsidR="00B12516" w:rsidRPr="00B12516">
        <w:rPr>
          <w:rFonts w:ascii="Times New Roman" w:eastAsia="Times New Roman" w:hAnsi="Times New Roman" w:cs="Times New Roman"/>
          <w:sz w:val="24"/>
          <w:szCs w:val="24"/>
          <w:lang w:eastAsia="en-GB"/>
        </w:rPr>
        <w:t>2020</w:t>
      </w:r>
      <w:r w:rsidRPr="00E10446">
        <w:rPr>
          <w:rFonts w:ascii="Times New Roman" w:eastAsia="Times New Roman" w:hAnsi="Times New Roman" w:cs="Times New Roman"/>
          <w:sz w:val="24"/>
          <w:szCs w:val="24"/>
          <w:lang w:eastAsia="en-GB"/>
        </w:rPr>
        <w:t xml:space="preserve">). Meanwhile, GDP growth appears positive but less synchronized with poverty reduction, indicating that growth alone is insufficient for inclusive development (Sarkodie &amp; Adams, 2020; </w:t>
      </w:r>
      <w:proofErr w:type="spellStart"/>
      <w:r w:rsidRPr="00E10446">
        <w:rPr>
          <w:rFonts w:ascii="Times New Roman" w:eastAsia="Times New Roman" w:hAnsi="Times New Roman" w:cs="Times New Roman"/>
          <w:sz w:val="24"/>
          <w:szCs w:val="24"/>
          <w:lang w:eastAsia="en-GB"/>
        </w:rPr>
        <w:t>Ravallion</w:t>
      </w:r>
      <w:proofErr w:type="spellEnd"/>
      <w:r w:rsidRPr="00E10446">
        <w:rPr>
          <w:rFonts w:ascii="Times New Roman" w:eastAsia="Times New Roman" w:hAnsi="Times New Roman" w:cs="Times New Roman"/>
          <w:sz w:val="24"/>
          <w:szCs w:val="24"/>
          <w:lang w:eastAsia="en-GB"/>
        </w:rPr>
        <w:t>, 2016). Consequently, the results support the study’s argument that energy quality, stability, and productivity channels are critical for sustainable poverty reduction (Acheampong et al., 2021).</w:t>
      </w:r>
    </w:p>
    <w:p w14:paraId="662555FF" w14:textId="61836D4A" w:rsidR="00FD1D83" w:rsidRPr="00E10446" w:rsidRDefault="00FD1D83" w:rsidP="00800352">
      <w:pPr>
        <w:spacing w:before="240" w:after="0"/>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Table 2: Correlation Matrix</w:t>
      </w:r>
    </w:p>
    <w:tbl>
      <w:tblPr>
        <w:tblStyle w:val="PlainTable21"/>
        <w:tblW w:w="0" w:type="auto"/>
        <w:jc w:val="center"/>
        <w:tblLayout w:type="fixed"/>
        <w:tblLook w:val="06A0" w:firstRow="1" w:lastRow="0" w:firstColumn="1" w:lastColumn="0" w:noHBand="1" w:noVBand="1"/>
      </w:tblPr>
      <w:tblGrid>
        <w:gridCol w:w="1260"/>
        <w:gridCol w:w="990"/>
        <w:gridCol w:w="1170"/>
        <w:gridCol w:w="1260"/>
        <w:gridCol w:w="1170"/>
        <w:gridCol w:w="1080"/>
      </w:tblGrid>
      <w:tr w:rsidR="00FD1D83" w:rsidRPr="00E10446" w14:paraId="02B96A79" w14:textId="77777777" w:rsidTr="00FD1D83">
        <w:trPr>
          <w:cnfStyle w:val="100000000000" w:firstRow="1" w:lastRow="0" w:firstColumn="0" w:lastColumn="0" w:oddVBand="0" w:evenVBand="0" w:oddHBand="0" w:evenHBand="0" w:firstRowFirstColumn="0" w:firstRowLastColumn="0" w:lastRowFirstColumn="0" w:lastRowLastColumn="0"/>
          <w:trHeight w:hRule="exact" w:val="703"/>
          <w:jc w:val="center"/>
        </w:trPr>
        <w:tc>
          <w:tcPr>
            <w:cnfStyle w:val="001000000000" w:firstRow="0" w:lastRow="0" w:firstColumn="1" w:lastColumn="0" w:oddVBand="0" w:evenVBand="0" w:oddHBand="0" w:evenHBand="0" w:firstRowFirstColumn="0" w:firstRowLastColumn="0" w:lastRowFirstColumn="0" w:lastRowLastColumn="0"/>
            <w:tcW w:w="1260" w:type="dxa"/>
          </w:tcPr>
          <w:p w14:paraId="19489878" w14:textId="77777777" w:rsidR="00FD1D83" w:rsidRPr="00E10446" w:rsidRDefault="00FD1D83" w:rsidP="00FD1D83">
            <w:pPr>
              <w:autoSpaceDE w:val="0"/>
              <w:autoSpaceDN w:val="0"/>
              <w:adjustRightInd w:val="0"/>
              <w:rPr>
                <w:rFonts w:ascii="Times New Roman" w:hAnsi="Times New Roman" w:cs="Times New Roman"/>
                <w:b w:val="0"/>
                <w:bCs w:val="0"/>
                <w:color w:val="000000"/>
                <w:sz w:val="18"/>
                <w:szCs w:val="18"/>
              </w:rPr>
            </w:pPr>
            <w:r w:rsidRPr="00E10446">
              <w:rPr>
                <w:rFonts w:ascii="Times New Roman" w:hAnsi="Times New Roman" w:cs="Times New Roman"/>
                <w:color w:val="000000"/>
                <w:sz w:val="18"/>
                <w:szCs w:val="18"/>
              </w:rPr>
              <w:t>Correlation</w:t>
            </w:r>
          </w:p>
          <w:p w14:paraId="668A31E5" w14:textId="110DE221" w:rsidR="00FD1D83" w:rsidRPr="00E10446" w:rsidRDefault="00FD1D83" w:rsidP="00FD1D8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t-Statistic</w:t>
            </w:r>
          </w:p>
        </w:tc>
        <w:tc>
          <w:tcPr>
            <w:tcW w:w="990" w:type="dxa"/>
          </w:tcPr>
          <w:p w14:paraId="5EA91A6C" w14:textId="52C4352B"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POV </w:t>
            </w:r>
          </w:p>
        </w:tc>
        <w:tc>
          <w:tcPr>
            <w:tcW w:w="1170" w:type="dxa"/>
          </w:tcPr>
          <w:p w14:paraId="18678138" w14:textId="3F4D614A"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RENC </w:t>
            </w:r>
          </w:p>
        </w:tc>
        <w:tc>
          <w:tcPr>
            <w:tcW w:w="1260" w:type="dxa"/>
          </w:tcPr>
          <w:p w14:paraId="55D50EF8" w14:textId="2A44FFB5"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NRECN       </w:t>
            </w:r>
          </w:p>
        </w:tc>
        <w:tc>
          <w:tcPr>
            <w:tcW w:w="1170" w:type="dxa"/>
          </w:tcPr>
          <w:p w14:paraId="69AC20D3" w14:textId="0A81661E"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LAP </w:t>
            </w:r>
          </w:p>
        </w:tc>
        <w:tc>
          <w:tcPr>
            <w:tcW w:w="1080" w:type="dxa"/>
          </w:tcPr>
          <w:p w14:paraId="0B742B9A" w14:textId="59015B27" w:rsidR="00FD1D83" w:rsidRPr="00E10446" w:rsidRDefault="00FD1D83" w:rsidP="00FD1D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GDP </w:t>
            </w:r>
          </w:p>
        </w:tc>
      </w:tr>
      <w:tr w:rsidR="00FD1D83" w:rsidRPr="00E10446" w14:paraId="13F48845" w14:textId="77777777" w:rsidTr="00FD1D8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260" w:type="dxa"/>
          </w:tcPr>
          <w:p w14:paraId="1E3647ED" w14:textId="77777777" w:rsidR="00FD1D83" w:rsidRPr="00E10446" w:rsidRDefault="00FD1D83" w:rsidP="00FD1D83">
            <w:pPr>
              <w:autoSpaceDE w:val="0"/>
              <w:autoSpaceDN w:val="0"/>
              <w:adjustRightInd w:val="0"/>
              <w:rPr>
                <w:rFonts w:ascii="Times New Roman" w:hAnsi="Times New Roman" w:cs="Times New Roman"/>
                <w:color w:val="000000"/>
                <w:sz w:val="18"/>
                <w:szCs w:val="18"/>
              </w:rPr>
            </w:pPr>
          </w:p>
        </w:tc>
        <w:tc>
          <w:tcPr>
            <w:tcW w:w="990" w:type="dxa"/>
          </w:tcPr>
          <w:p w14:paraId="237209C5"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8ED9DA9"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7EC64717"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7A23060"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44267F75"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065934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651B58B9"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POV </w:t>
            </w:r>
          </w:p>
        </w:tc>
        <w:tc>
          <w:tcPr>
            <w:tcW w:w="990" w:type="dxa"/>
          </w:tcPr>
          <w:p w14:paraId="65279084" w14:textId="73A18590"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170" w:type="dxa"/>
          </w:tcPr>
          <w:p w14:paraId="39DFF397"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F90C750"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503B31A3"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09EC116F"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50833A25"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0597AD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13CBA35E"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6470546"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6DA203C7"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B77CFB7"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E68AB5F"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3B5BF8E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55A8717"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RENC </w:t>
            </w:r>
          </w:p>
        </w:tc>
        <w:tc>
          <w:tcPr>
            <w:tcW w:w="990" w:type="dxa"/>
          </w:tcPr>
          <w:p w14:paraId="0CFD5B8B"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-0.874231</w:t>
            </w:r>
          </w:p>
        </w:tc>
        <w:tc>
          <w:tcPr>
            <w:tcW w:w="1170" w:type="dxa"/>
          </w:tcPr>
          <w:p w14:paraId="6EADA355" w14:textId="2F43275D"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260" w:type="dxa"/>
          </w:tcPr>
          <w:p w14:paraId="165FEACB"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8BF2B69"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58F147CA"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B426016"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268C508"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185B9B33" w14:textId="5BADBE36"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-23.68378</w:t>
            </w:r>
          </w:p>
        </w:tc>
        <w:tc>
          <w:tcPr>
            <w:tcW w:w="1170" w:type="dxa"/>
          </w:tcPr>
          <w:p w14:paraId="0D5DBE76" w14:textId="42B2791C"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w:t>
            </w:r>
          </w:p>
        </w:tc>
        <w:tc>
          <w:tcPr>
            <w:tcW w:w="1260" w:type="dxa"/>
          </w:tcPr>
          <w:p w14:paraId="60605A8E"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6B7EE16F"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D9B5615"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5CB612E0"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C6CFA97"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0BD66174"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3A655683"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CB4C258"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D90933F"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4E6D933B"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62FAE26D"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FFF106A"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NRECN </w:t>
            </w:r>
          </w:p>
        </w:tc>
        <w:tc>
          <w:tcPr>
            <w:tcW w:w="990" w:type="dxa"/>
          </w:tcPr>
          <w:p w14:paraId="072581B6"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0.036497</w:t>
            </w:r>
          </w:p>
        </w:tc>
        <w:tc>
          <w:tcPr>
            <w:tcW w:w="1170" w:type="dxa"/>
          </w:tcPr>
          <w:p w14:paraId="44EDD65E"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0.074730</w:t>
            </w:r>
          </w:p>
        </w:tc>
        <w:tc>
          <w:tcPr>
            <w:tcW w:w="1260" w:type="dxa"/>
          </w:tcPr>
          <w:p w14:paraId="7345B747" w14:textId="18539DAF"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170" w:type="dxa"/>
          </w:tcPr>
          <w:p w14:paraId="5495048B"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3DC3C1C"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15593746"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DCD4AE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57C09CC6"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0.480368</w:t>
            </w:r>
          </w:p>
        </w:tc>
        <w:tc>
          <w:tcPr>
            <w:tcW w:w="1170" w:type="dxa"/>
          </w:tcPr>
          <w:p w14:paraId="134B2BA1"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0.985679</w:t>
            </w:r>
          </w:p>
        </w:tc>
        <w:tc>
          <w:tcPr>
            <w:tcW w:w="1260" w:type="dxa"/>
          </w:tcPr>
          <w:p w14:paraId="45D56ED8" w14:textId="00A137BF"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w:t>
            </w:r>
          </w:p>
        </w:tc>
        <w:tc>
          <w:tcPr>
            <w:tcW w:w="1170" w:type="dxa"/>
          </w:tcPr>
          <w:p w14:paraId="280A2684"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28746BD3"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04EFC7D0"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1AAA460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114E67D2"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07F1A9E0"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5D0EADE5"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17321AE3"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783E3121"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71DAC6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7DD11DBF"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LAP </w:t>
            </w:r>
          </w:p>
        </w:tc>
        <w:tc>
          <w:tcPr>
            <w:tcW w:w="990" w:type="dxa"/>
          </w:tcPr>
          <w:p w14:paraId="5A6F2883"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0.204830</w:t>
            </w:r>
          </w:p>
        </w:tc>
        <w:tc>
          <w:tcPr>
            <w:tcW w:w="1170" w:type="dxa"/>
          </w:tcPr>
          <w:p w14:paraId="75721ACE"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-0.271251</w:t>
            </w:r>
          </w:p>
        </w:tc>
        <w:tc>
          <w:tcPr>
            <w:tcW w:w="1260" w:type="dxa"/>
          </w:tcPr>
          <w:p w14:paraId="357B3C49"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0.022620</w:t>
            </w:r>
          </w:p>
        </w:tc>
        <w:tc>
          <w:tcPr>
            <w:tcW w:w="1170" w:type="dxa"/>
          </w:tcPr>
          <w:p w14:paraId="53C48247" w14:textId="13AF1AAD"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c>
          <w:tcPr>
            <w:tcW w:w="1080" w:type="dxa"/>
          </w:tcPr>
          <w:p w14:paraId="34C6BBC1"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7B3C502F"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86C150E"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45709CEB"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2.752480</w:t>
            </w:r>
          </w:p>
        </w:tc>
        <w:tc>
          <w:tcPr>
            <w:tcW w:w="1170" w:type="dxa"/>
          </w:tcPr>
          <w:p w14:paraId="0C40AD41"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-3.706714</w:t>
            </w:r>
          </w:p>
        </w:tc>
        <w:tc>
          <w:tcPr>
            <w:tcW w:w="1260" w:type="dxa"/>
          </w:tcPr>
          <w:p w14:paraId="28434DD6"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0.297592</w:t>
            </w:r>
          </w:p>
        </w:tc>
        <w:tc>
          <w:tcPr>
            <w:tcW w:w="1170" w:type="dxa"/>
          </w:tcPr>
          <w:p w14:paraId="390DDF90" w14:textId="0FB48A5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w:t>
            </w:r>
          </w:p>
        </w:tc>
        <w:tc>
          <w:tcPr>
            <w:tcW w:w="1080" w:type="dxa"/>
          </w:tcPr>
          <w:p w14:paraId="64466277" w14:textId="77777777"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1EA6287C"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53DD1CED"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64AB81B1"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229B5C16"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3D288A57"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574FF6FB"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31C2F10C" w14:textId="77777777" w:rsidR="00FD1D83" w:rsidRPr="00E10446" w:rsidRDefault="00FD1D83" w:rsidP="00FD1D8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7E1D8595"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676BEFB1"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GDP </w:t>
            </w:r>
          </w:p>
        </w:tc>
        <w:tc>
          <w:tcPr>
            <w:tcW w:w="990" w:type="dxa"/>
          </w:tcPr>
          <w:p w14:paraId="32D7408E"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0.243366</w:t>
            </w:r>
          </w:p>
        </w:tc>
        <w:tc>
          <w:tcPr>
            <w:tcW w:w="1170" w:type="dxa"/>
          </w:tcPr>
          <w:p w14:paraId="06D4469B"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-0.226343</w:t>
            </w:r>
          </w:p>
        </w:tc>
        <w:tc>
          <w:tcPr>
            <w:tcW w:w="1260" w:type="dxa"/>
          </w:tcPr>
          <w:p w14:paraId="18A55292"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0.000197</w:t>
            </w:r>
          </w:p>
        </w:tc>
        <w:tc>
          <w:tcPr>
            <w:tcW w:w="1170" w:type="dxa"/>
          </w:tcPr>
          <w:p w14:paraId="195D6F9A"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0.835120</w:t>
            </w:r>
          </w:p>
        </w:tc>
        <w:tc>
          <w:tcPr>
            <w:tcW w:w="1080" w:type="dxa"/>
          </w:tcPr>
          <w:p w14:paraId="308F2224" w14:textId="2A484384" w:rsidR="00FD1D83" w:rsidRPr="00E10446" w:rsidRDefault="00FD1D83" w:rsidP="00FD1D8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1</w:t>
            </w:r>
          </w:p>
        </w:tc>
      </w:tr>
      <w:tr w:rsidR="00FD1D83" w:rsidRPr="00E10446" w14:paraId="4741F799" w14:textId="77777777" w:rsidTr="00FD1D83">
        <w:trPr>
          <w:trHeight w:val="225"/>
          <w:jc w:val="center"/>
        </w:trPr>
        <w:tc>
          <w:tcPr>
            <w:cnfStyle w:val="001000000000" w:firstRow="0" w:lastRow="0" w:firstColumn="1" w:lastColumn="0" w:oddVBand="0" w:evenVBand="0" w:oddHBand="0" w:evenHBand="0" w:firstRowFirstColumn="0" w:firstRowLastColumn="0" w:lastRowFirstColumn="0" w:lastRowLastColumn="0"/>
            <w:tcW w:w="1260" w:type="dxa"/>
          </w:tcPr>
          <w:p w14:paraId="4D9AA269" w14:textId="77777777" w:rsidR="00FD1D83" w:rsidRPr="00E10446" w:rsidRDefault="00FD1D83" w:rsidP="00FD1D83">
            <w:pPr>
              <w:autoSpaceDE w:val="0"/>
              <w:autoSpaceDN w:val="0"/>
              <w:adjustRightInd w:val="0"/>
              <w:jc w:val="center"/>
              <w:rPr>
                <w:rFonts w:ascii="Times New Roman" w:hAnsi="Times New Roman" w:cs="Times New Roman"/>
                <w:color w:val="000000"/>
                <w:sz w:val="18"/>
                <w:szCs w:val="18"/>
              </w:rPr>
            </w:pPr>
          </w:p>
        </w:tc>
        <w:tc>
          <w:tcPr>
            <w:tcW w:w="990" w:type="dxa"/>
          </w:tcPr>
          <w:p w14:paraId="40556498"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3.300203</w:t>
            </w:r>
          </w:p>
        </w:tc>
        <w:tc>
          <w:tcPr>
            <w:tcW w:w="1170" w:type="dxa"/>
          </w:tcPr>
          <w:p w14:paraId="2700FBE1"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-3.056394</w:t>
            </w:r>
          </w:p>
        </w:tc>
        <w:tc>
          <w:tcPr>
            <w:tcW w:w="1260" w:type="dxa"/>
          </w:tcPr>
          <w:p w14:paraId="6BCBA65A"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0.002595</w:t>
            </w:r>
          </w:p>
        </w:tc>
        <w:tc>
          <w:tcPr>
            <w:tcW w:w="1170" w:type="dxa"/>
          </w:tcPr>
          <w:p w14:paraId="7EB9ACB3" w14:textId="77777777"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19.96895</w:t>
            </w:r>
          </w:p>
        </w:tc>
        <w:tc>
          <w:tcPr>
            <w:tcW w:w="1080" w:type="dxa"/>
          </w:tcPr>
          <w:p w14:paraId="34233F59" w14:textId="371851D8" w:rsidR="00FD1D83" w:rsidRPr="00E10446" w:rsidRDefault="00FD1D83" w:rsidP="00FD1D8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FD1D83" w:rsidRPr="00E10446" w14:paraId="40070A26" w14:textId="77777777" w:rsidTr="00FD1D8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260" w:type="dxa"/>
          </w:tcPr>
          <w:p w14:paraId="48C4803F" w14:textId="77777777" w:rsidR="00FD1D83" w:rsidRPr="00E10446" w:rsidRDefault="00FD1D83" w:rsidP="00FD1D83">
            <w:pPr>
              <w:autoSpaceDE w:val="0"/>
              <w:autoSpaceDN w:val="0"/>
              <w:adjustRightInd w:val="0"/>
              <w:rPr>
                <w:rFonts w:ascii="Times New Roman" w:hAnsi="Times New Roman" w:cs="Times New Roman"/>
                <w:color w:val="000000"/>
                <w:sz w:val="18"/>
                <w:szCs w:val="18"/>
              </w:rPr>
            </w:pPr>
          </w:p>
        </w:tc>
        <w:tc>
          <w:tcPr>
            <w:tcW w:w="990" w:type="dxa"/>
          </w:tcPr>
          <w:p w14:paraId="3578DEA8"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902B0D7"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60" w:type="dxa"/>
          </w:tcPr>
          <w:p w14:paraId="774711D4"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70" w:type="dxa"/>
          </w:tcPr>
          <w:p w14:paraId="7C83D73E"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080" w:type="dxa"/>
          </w:tcPr>
          <w:p w14:paraId="68E54EA5" w14:textId="77777777" w:rsidR="00FD1D83" w:rsidRPr="00E10446" w:rsidRDefault="00FD1D83" w:rsidP="00FD1D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133388AD" w14:textId="03A19BA7" w:rsidR="00FD1D83" w:rsidRPr="00E10446" w:rsidRDefault="00FD1D83" w:rsidP="00FD1D83">
      <w:pPr>
        <w:spacing w:after="0"/>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0"/>
          <w:szCs w:val="20"/>
          <w:lang w:eastAsia="en-GB"/>
        </w:rPr>
        <w:t xml:space="preserve">                     Source: Authors derived, 2026</w:t>
      </w:r>
    </w:p>
    <w:p w14:paraId="3C7A3DC3" w14:textId="07E213BB" w:rsidR="00FD1D83" w:rsidRPr="00E10446" w:rsidRDefault="00C04ED5" w:rsidP="001E67B6">
      <w:pPr>
        <w:spacing w:after="0"/>
        <w:jc w:val="both"/>
        <w:rPr>
          <w:rFonts w:ascii="Times New Roman" w:eastAsia="Times New Roman" w:hAnsi="Times New Roman" w:cs="Times New Roman"/>
          <w:sz w:val="24"/>
          <w:szCs w:val="24"/>
          <w:lang w:eastAsia="en-GB"/>
        </w:rPr>
      </w:pPr>
      <w:r w:rsidRPr="00C04ED5">
        <w:rPr>
          <w:rFonts w:ascii="Times New Roman" w:eastAsia="Times New Roman" w:hAnsi="Times New Roman" w:cs="Times New Roman"/>
          <w:sz w:val="24"/>
          <w:szCs w:val="24"/>
          <w:lang w:eastAsia="en-GB"/>
        </w:rPr>
        <w:t xml:space="preserve">The correlation results indicate a strong and statistically significant inverse relationship between poverty (POV) and renewable energy consumption (RENC), suggesting that increased </w:t>
      </w:r>
      <w:r w:rsidRPr="00C04ED5">
        <w:rPr>
          <w:rFonts w:ascii="Times New Roman" w:eastAsia="Times New Roman" w:hAnsi="Times New Roman" w:cs="Times New Roman"/>
          <w:sz w:val="24"/>
          <w:szCs w:val="24"/>
          <w:lang w:eastAsia="en-GB"/>
        </w:rPr>
        <w:lastRenderedPageBreak/>
        <w:t xml:space="preserve">renewable energy use substantially reduces poverty, consistent with findings by Adebayo et al. (2025) and </w:t>
      </w:r>
      <w:proofErr w:type="spellStart"/>
      <w:r w:rsidRPr="00C04ED5">
        <w:rPr>
          <w:rFonts w:ascii="Times New Roman" w:eastAsia="Times New Roman" w:hAnsi="Times New Roman" w:cs="Times New Roman"/>
          <w:sz w:val="24"/>
          <w:szCs w:val="24"/>
          <w:lang w:eastAsia="en-GB"/>
        </w:rPr>
        <w:t>Kettani</w:t>
      </w:r>
      <w:proofErr w:type="spellEnd"/>
      <w:r w:rsidRPr="00C04ED5">
        <w:rPr>
          <w:rFonts w:ascii="Times New Roman" w:eastAsia="Times New Roman" w:hAnsi="Times New Roman" w:cs="Times New Roman"/>
          <w:sz w:val="24"/>
          <w:szCs w:val="24"/>
          <w:lang w:eastAsia="en-GB"/>
        </w:rPr>
        <w:t xml:space="preserve"> and Sanin (2024), who document stronger poverty-reducing effects of clean energy. In contrast, non-renewable energy consumption (NRECN) shows an insignificant relationship with poverty, aligning with </w:t>
      </w:r>
      <w:proofErr w:type="spellStart"/>
      <w:r w:rsidRPr="00C04ED5">
        <w:rPr>
          <w:rFonts w:ascii="Times New Roman" w:eastAsia="Times New Roman" w:hAnsi="Times New Roman" w:cs="Times New Roman"/>
          <w:sz w:val="24"/>
          <w:szCs w:val="24"/>
          <w:lang w:eastAsia="en-GB"/>
        </w:rPr>
        <w:t>Jinapor</w:t>
      </w:r>
      <w:proofErr w:type="spellEnd"/>
      <w:r w:rsidRPr="00C04ED5">
        <w:rPr>
          <w:rFonts w:ascii="Times New Roman" w:eastAsia="Times New Roman" w:hAnsi="Times New Roman" w:cs="Times New Roman"/>
          <w:sz w:val="24"/>
          <w:szCs w:val="24"/>
          <w:lang w:eastAsia="en-GB"/>
        </w:rPr>
        <w:t xml:space="preserve"> et al. (2025), where fossil energy effects are less consistent. The positive correlations of labour productivity (LAP) and GDP with poverty reflect structural inefficiencies, supporting Lin Gao and Yang (2023) and Leal Filho et al. (2024), who emphasize that growth and productivity gains do not automatically translate into poverty reduction without supportive institutional and energy frameworks</w:t>
      </w:r>
      <w:r w:rsidR="001E67B6" w:rsidRPr="00E10446">
        <w:rPr>
          <w:rFonts w:ascii="Times New Roman" w:eastAsia="Times New Roman" w:hAnsi="Times New Roman" w:cs="Times New Roman"/>
          <w:sz w:val="24"/>
          <w:szCs w:val="24"/>
          <w:lang w:eastAsia="en-GB"/>
        </w:rPr>
        <w:t>.</w:t>
      </w:r>
    </w:p>
    <w:p w14:paraId="47908920" w14:textId="480ACE96" w:rsidR="00525801" w:rsidRPr="00E10446" w:rsidRDefault="00525801" w:rsidP="00525801">
      <w:pPr>
        <w:spacing w:after="0"/>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Table 3: Stationarity Test (</w:t>
      </w:r>
      <w:bookmarkStart w:id="0" w:name="_Hlk225543300"/>
      <w:proofErr w:type="spellStart"/>
      <w:r w:rsidRPr="00E10446">
        <w:rPr>
          <w:rFonts w:ascii="Times New Roman" w:eastAsia="Times New Roman" w:hAnsi="Times New Roman" w:cs="Times New Roman"/>
          <w:b/>
          <w:bCs/>
          <w:sz w:val="24"/>
          <w:szCs w:val="24"/>
          <w:lang w:eastAsia="en-GB"/>
        </w:rPr>
        <w:t>Im</w:t>
      </w:r>
      <w:proofErr w:type="spellEnd"/>
      <w:r w:rsidRPr="00E10446">
        <w:rPr>
          <w:rFonts w:ascii="Times New Roman" w:eastAsia="Times New Roman" w:hAnsi="Times New Roman" w:cs="Times New Roman"/>
          <w:b/>
          <w:bCs/>
          <w:sz w:val="24"/>
          <w:szCs w:val="24"/>
          <w:lang w:eastAsia="en-GB"/>
        </w:rPr>
        <w:t xml:space="preserve">, </w:t>
      </w:r>
      <w:proofErr w:type="spellStart"/>
      <w:r w:rsidRPr="00E10446">
        <w:rPr>
          <w:rFonts w:ascii="Times New Roman" w:eastAsia="Times New Roman" w:hAnsi="Times New Roman" w:cs="Times New Roman"/>
          <w:b/>
          <w:bCs/>
          <w:sz w:val="24"/>
          <w:szCs w:val="24"/>
          <w:lang w:eastAsia="en-GB"/>
        </w:rPr>
        <w:t>Pesaran</w:t>
      </w:r>
      <w:proofErr w:type="spellEnd"/>
      <w:r w:rsidRPr="00E10446">
        <w:rPr>
          <w:rFonts w:ascii="Times New Roman" w:eastAsia="Times New Roman" w:hAnsi="Times New Roman" w:cs="Times New Roman"/>
          <w:b/>
          <w:bCs/>
          <w:sz w:val="24"/>
          <w:szCs w:val="24"/>
          <w:lang w:eastAsia="en-GB"/>
        </w:rPr>
        <w:t xml:space="preserve"> and Shin </w:t>
      </w:r>
      <w:bookmarkEnd w:id="0"/>
      <w:r w:rsidRPr="00E10446">
        <w:rPr>
          <w:rFonts w:ascii="Times New Roman" w:eastAsia="Times New Roman" w:hAnsi="Times New Roman" w:cs="Times New Roman"/>
          <w:b/>
          <w:bCs/>
          <w:sz w:val="24"/>
          <w:szCs w:val="24"/>
          <w:lang w:eastAsia="en-GB"/>
        </w:rPr>
        <w:t>W-stat)</w:t>
      </w:r>
    </w:p>
    <w:tbl>
      <w:tblPr>
        <w:tblStyle w:val="PlainTable2"/>
        <w:tblW w:w="0" w:type="auto"/>
        <w:jc w:val="center"/>
        <w:tblLook w:val="06A0" w:firstRow="1" w:lastRow="0" w:firstColumn="1" w:lastColumn="0" w:noHBand="1" w:noVBand="1"/>
      </w:tblPr>
      <w:tblGrid>
        <w:gridCol w:w="1110"/>
        <w:gridCol w:w="1350"/>
        <w:gridCol w:w="1183"/>
        <w:gridCol w:w="990"/>
        <w:gridCol w:w="1260"/>
      </w:tblGrid>
      <w:tr w:rsidR="00525801" w:rsidRPr="00E10446" w14:paraId="4849CED7" w14:textId="77777777" w:rsidTr="009D3561">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hideMark/>
          </w:tcPr>
          <w:p w14:paraId="0EE96EBD" w14:textId="77777777" w:rsidR="00525801" w:rsidRPr="00E10446" w:rsidRDefault="00525801"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Variable</w:t>
            </w:r>
          </w:p>
        </w:tc>
        <w:tc>
          <w:tcPr>
            <w:tcW w:w="1350" w:type="dxa"/>
          </w:tcPr>
          <w:p w14:paraId="2C4A0188"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roofErr w:type="spellStart"/>
            <w:r w:rsidRPr="00E10446">
              <w:rPr>
                <w:rFonts w:ascii="Times New Roman" w:eastAsia="Times New Roman" w:hAnsi="Times New Roman" w:cs="Times New Roman"/>
                <w:sz w:val="20"/>
                <w:szCs w:val="20"/>
                <w:lang w:eastAsia="en-GB"/>
              </w:rPr>
              <w:t>Im</w:t>
            </w:r>
            <w:proofErr w:type="spellEnd"/>
            <w:r w:rsidRPr="00E10446">
              <w:rPr>
                <w:rFonts w:ascii="Times New Roman" w:eastAsia="Times New Roman" w:hAnsi="Times New Roman" w:cs="Times New Roman"/>
                <w:sz w:val="20"/>
                <w:szCs w:val="20"/>
                <w:lang w:eastAsia="en-GB"/>
              </w:rPr>
              <w:t xml:space="preserve">, </w:t>
            </w:r>
            <w:proofErr w:type="spellStart"/>
            <w:r w:rsidRPr="00E10446">
              <w:rPr>
                <w:rFonts w:ascii="Times New Roman" w:eastAsia="Times New Roman" w:hAnsi="Times New Roman" w:cs="Times New Roman"/>
                <w:sz w:val="20"/>
                <w:szCs w:val="20"/>
                <w:lang w:eastAsia="en-GB"/>
              </w:rPr>
              <w:t>Pesaran</w:t>
            </w:r>
            <w:proofErr w:type="spellEnd"/>
            <w:r w:rsidRPr="00E10446">
              <w:rPr>
                <w:rFonts w:ascii="Times New Roman" w:eastAsia="Times New Roman" w:hAnsi="Times New Roman" w:cs="Times New Roman"/>
                <w:sz w:val="20"/>
                <w:szCs w:val="20"/>
                <w:lang w:eastAsia="en-GB"/>
              </w:rPr>
              <w:t xml:space="preserve"> and Shin W-stat</w:t>
            </w:r>
          </w:p>
        </w:tc>
        <w:tc>
          <w:tcPr>
            <w:tcW w:w="1183" w:type="dxa"/>
            <w:hideMark/>
          </w:tcPr>
          <w:p w14:paraId="2E299314"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Order of Integration</w:t>
            </w:r>
          </w:p>
        </w:tc>
        <w:tc>
          <w:tcPr>
            <w:tcW w:w="990" w:type="dxa"/>
            <w:vMerge w:val="restart"/>
            <w:hideMark/>
          </w:tcPr>
          <w:p w14:paraId="0BFC237C"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Prob*</w:t>
            </w:r>
          </w:p>
        </w:tc>
        <w:tc>
          <w:tcPr>
            <w:tcW w:w="1260" w:type="dxa"/>
            <w:vMerge w:val="restart"/>
            <w:hideMark/>
          </w:tcPr>
          <w:p w14:paraId="62EA0EE2" w14:textId="77777777" w:rsidR="00525801" w:rsidRPr="00E10446" w:rsidRDefault="00525801" w:rsidP="009D356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Remark</w:t>
            </w:r>
          </w:p>
        </w:tc>
      </w:tr>
      <w:tr w:rsidR="00525801" w:rsidRPr="00E10446" w14:paraId="0189F6CA" w14:textId="77777777" w:rsidTr="009D3561">
        <w:trPr>
          <w:trHeight w:val="338"/>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290E6AB" w14:textId="77777777" w:rsidR="00525801" w:rsidRPr="00E10446" w:rsidRDefault="00525801" w:rsidP="009D3561">
            <w:pPr>
              <w:jc w:val="center"/>
              <w:rPr>
                <w:rFonts w:ascii="Times New Roman" w:eastAsia="Times New Roman" w:hAnsi="Times New Roman" w:cs="Times New Roman"/>
                <w:sz w:val="20"/>
                <w:szCs w:val="20"/>
                <w:lang w:eastAsia="en-GB"/>
              </w:rPr>
            </w:pPr>
          </w:p>
        </w:tc>
        <w:tc>
          <w:tcPr>
            <w:tcW w:w="1350" w:type="dxa"/>
            <w:hideMark/>
          </w:tcPr>
          <w:p w14:paraId="1BEE22C9"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@1</w:t>
            </w:r>
            <w:r w:rsidRPr="00E10446">
              <w:rPr>
                <w:rFonts w:ascii="Times New Roman" w:eastAsia="Times New Roman" w:hAnsi="Times New Roman" w:cs="Times New Roman"/>
                <w:b/>
                <w:bCs/>
                <w:sz w:val="20"/>
                <w:szCs w:val="20"/>
                <w:vertAlign w:val="superscript"/>
                <w:lang w:eastAsia="en-GB"/>
              </w:rPr>
              <w:t>st</w:t>
            </w:r>
            <w:r w:rsidRPr="00E10446">
              <w:rPr>
                <w:rFonts w:ascii="Times New Roman" w:eastAsia="Times New Roman" w:hAnsi="Times New Roman" w:cs="Times New Roman"/>
                <w:b/>
                <w:bCs/>
                <w:sz w:val="20"/>
                <w:szCs w:val="20"/>
                <w:lang w:eastAsia="en-GB"/>
              </w:rPr>
              <w:t xml:space="preserve"> Diff</w:t>
            </w:r>
          </w:p>
        </w:tc>
        <w:tc>
          <w:tcPr>
            <w:tcW w:w="1183" w:type="dxa"/>
          </w:tcPr>
          <w:p w14:paraId="19B94BBE"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0" w:type="auto"/>
            <w:vMerge/>
            <w:hideMark/>
          </w:tcPr>
          <w:p w14:paraId="749B7FE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c>
          <w:tcPr>
            <w:tcW w:w="0" w:type="auto"/>
            <w:vMerge/>
            <w:hideMark/>
          </w:tcPr>
          <w:p w14:paraId="0C85BC0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p>
        </w:tc>
      </w:tr>
      <w:tr w:rsidR="00525801" w:rsidRPr="00E10446" w14:paraId="10433530"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24CD4BFF" w14:textId="1AEEA7CF"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POV</w:t>
            </w:r>
          </w:p>
        </w:tc>
        <w:tc>
          <w:tcPr>
            <w:tcW w:w="1350" w:type="dxa"/>
            <w:hideMark/>
          </w:tcPr>
          <w:p w14:paraId="72E93A58" w14:textId="66207AD5"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-3.93617</w:t>
            </w:r>
            <w:r w:rsidR="00525801" w:rsidRPr="00E10446">
              <w:rPr>
                <w:rFonts w:ascii="Times New Roman" w:eastAsia="Times New Roman" w:hAnsi="Times New Roman" w:cs="Times New Roman"/>
                <w:sz w:val="20"/>
                <w:szCs w:val="20"/>
                <w:lang w:eastAsia="en-GB"/>
              </w:rPr>
              <w:t>**</w:t>
            </w:r>
          </w:p>
        </w:tc>
        <w:tc>
          <w:tcPr>
            <w:tcW w:w="1183" w:type="dxa"/>
            <w:hideMark/>
          </w:tcPr>
          <w:p w14:paraId="78703CF6"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04DF9CB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118AAE08"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525801" w:rsidRPr="00E10446" w14:paraId="442EE0F1"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7D5C2277" w14:textId="6B23A60E"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R</w:t>
            </w:r>
            <w:r w:rsidR="00525801" w:rsidRPr="00E10446">
              <w:rPr>
                <w:rFonts w:ascii="Times New Roman" w:eastAsia="Times New Roman" w:hAnsi="Times New Roman" w:cs="Times New Roman"/>
                <w:sz w:val="20"/>
                <w:szCs w:val="20"/>
                <w:lang w:eastAsia="en-GB"/>
              </w:rPr>
              <w:t>E</w:t>
            </w:r>
            <w:r w:rsidRPr="00E10446">
              <w:rPr>
                <w:rFonts w:ascii="Times New Roman" w:eastAsia="Times New Roman" w:hAnsi="Times New Roman" w:cs="Times New Roman"/>
                <w:sz w:val="20"/>
                <w:szCs w:val="20"/>
                <w:lang w:eastAsia="en-GB"/>
              </w:rPr>
              <w:t>N</w:t>
            </w:r>
            <w:r w:rsidR="00525801" w:rsidRPr="00E10446">
              <w:rPr>
                <w:rFonts w:ascii="Times New Roman" w:eastAsia="Times New Roman" w:hAnsi="Times New Roman" w:cs="Times New Roman"/>
                <w:sz w:val="20"/>
                <w:szCs w:val="20"/>
                <w:lang w:eastAsia="en-GB"/>
              </w:rPr>
              <w:t>C</w:t>
            </w:r>
          </w:p>
        </w:tc>
        <w:tc>
          <w:tcPr>
            <w:tcW w:w="1350" w:type="dxa"/>
            <w:hideMark/>
          </w:tcPr>
          <w:p w14:paraId="52A319A1" w14:textId="277609B1"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-7.90165</w:t>
            </w:r>
            <w:r w:rsidR="00525801" w:rsidRPr="00E10446">
              <w:rPr>
                <w:rFonts w:ascii="Times New Roman" w:eastAsia="Times New Roman" w:hAnsi="Times New Roman" w:cs="Times New Roman"/>
                <w:sz w:val="20"/>
                <w:szCs w:val="20"/>
                <w:lang w:eastAsia="en-GB"/>
              </w:rPr>
              <w:t>**</w:t>
            </w:r>
          </w:p>
        </w:tc>
        <w:tc>
          <w:tcPr>
            <w:tcW w:w="1183" w:type="dxa"/>
            <w:hideMark/>
          </w:tcPr>
          <w:p w14:paraId="561B0CA1"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66C05FD7"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7D29B5C2"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525801" w:rsidRPr="00E10446" w14:paraId="1B21EF94"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557854FE" w14:textId="72087828"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NRENC</w:t>
            </w:r>
          </w:p>
        </w:tc>
        <w:tc>
          <w:tcPr>
            <w:tcW w:w="1350" w:type="dxa"/>
            <w:hideMark/>
          </w:tcPr>
          <w:p w14:paraId="04616D24" w14:textId="309A2D74"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-6.15698</w:t>
            </w:r>
            <w:r w:rsidR="00525801" w:rsidRPr="00E10446">
              <w:rPr>
                <w:rFonts w:ascii="Times New Roman" w:hAnsi="Times New Roman" w:cs="Times New Roman"/>
                <w:color w:val="000000"/>
                <w:sz w:val="20"/>
                <w:szCs w:val="20"/>
              </w:rPr>
              <w:t>**</w:t>
            </w:r>
          </w:p>
        </w:tc>
        <w:tc>
          <w:tcPr>
            <w:tcW w:w="1183" w:type="dxa"/>
            <w:hideMark/>
          </w:tcPr>
          <w:p w14:paraId="28A4C1E4"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53AF0A10"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7D21F787"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525801" w:rsidRPr="00E10446" w14:paraId="5A209CF1"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hideMark/>
          </w:tcPr>
          <w:p w14:paraId="7FF0CC37" w14:textId="66A5D031" w:rsidR="00525801" w:rsidRPr="00E10446" w:rsidRDefault="00A26924" w:rsidP="009D3561">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LAP</w:t>
            </w:r>
          </w:p>
        </w:tc>
        <w:tc>
          <w:tcPr>
            <w:tcW w:w="1350" w:type="dxa"/>
            <w:hideMark/>
          </w:tcPr>
          <w:p w14:paraId="53D756CF" w14:textId="1B94EF0B" w:rsidR="00525801" w:rsidRPr="00E10446" w:rsidRDefault="00A26924"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hAnsi="Times New Roman" w:cs="Times New Roman"/>
                <w:color w:val="000000"/>
                <w:sz w:val="20"/>
                <w:szCs w:val="20"/>
              </w:rPr>
              <w:t>-3.63980</w:t>
            </w:r>
            <w:r w:rsidR="00525801" w:rsidRPr="00E10446">
              <w:rPr>
                <w:rFonts w:ascii="Times New Roman" w:eastAsia="Times New Roman" w:hAnsi="Times New Roman" w:cs="Times New Roman"/>
                <w:sz w:val="20"/>
                <w:szCs w:val="20"/>
                <w:lang w:eastAsia="en-GB"/>
              </w:rPr>
              <w:t>**</w:t>
            </w:r>
          </w:p>
        </w:tc>
        <w:tc>
          <w:tcPr>
            <w:tcW w:w="1183" w:type="dxa"/>
            <w:hideMark/>
          </w:tcPr>
          <w:p w14:paraId="072A34B8"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I(I)</w:t>
            </w:r>
          </w:p>
        </w:tc>
        <w:tc>
          <w:tcPr>
            <w:tcW w:w="990" w:type="dxa"/>
            <w:hideMark/>
          </w:tcPr>
          <w:p w14:paraId="7935316F"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hideMark/>
          </w:tcPr>
          <w:p w14:paraId="08B6712E" w14:textId="77777777" w:rsidR="00525801" w:rsidRPr="00E10446" w:rsidRDefault="00525801" w:rsidP="009D35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r w:rsidR="00A26924" w:rsidRPr="00E10446" w14:paraId="3FDAF7CB" w14:textId="77777777" w:rsidTr="009D3561">
        <w:trPr>
          <w:jc w:val="center"/>
        </w:trPr>
        <w:tc>
          <w:tcPr>
            <w:cnfStyle w:val="001000000000" w:firstRow="0" w:lastRow="0" w:firstColumn="1" w:lastColumn="0" w:oddVBand="0" w:evenVBand="0" w:oddHBand="0" w:evenHBand="0" w:firstRowFirstColumn="0" w:firstRowLastColumn="0" w:lastRowFirstColumn="0" w:lastRowLastColumn="0"/>
            <w:tcW w:w="1110" w:type="dxa"/>
          </w:tcPr>
          <w:p w14:paraId="6865E24F" w14:textId="268755A4" w:rsidR="00A26924" w:rsidRPr="00E10446" w:rsidRDefault="00A26924" w:rsidP="00A26924">
            <w:pPr>
              <w:jc w:val="center"/>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GDP</w:t>
            </w:r>
          </w:p>
        </w:tc>
        <w:tc>
          <w:tcPr>
            <w:tcW w:w="1350" w:type="dxa"/>
          </w:tcPr>
          <w:p w14:paraId="27A7DC86" w14:textId="3B096C3A"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E10446">
              <w:rPr>
                <w:rFonts w:ascii="Times New Roman" w:hAnsi="Times New Roman" w:cs="Times New Roman"/>
                <w:color w:val="000000"/>
                <w:sz w:val="20"/>
                <w:szCs w:val="20"/>
              </w:rPr>
              <w:t>-6.09406**</w:t>
            </w:r>
          </w:p>
        </w:tc>
        <w:tc>
          <w:tcPr>
            <w:tcW w:w="1183" w:type="dxa"/>
          </w:tcPr>
          <w:p w14:paraId="6DC3C2C4" w14:textId="4AD90403" w:rsidR="00A26924" w:rsidRPr="00E10446" w:rsidRDefault="00CE4399" w:rsidP="00A269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I(I)</w:t>
            </w:r>
          </w:p>
        </w:tc>
        <w:tc>
          <w:tcPr>
            <w:tcW w:w="990" w:type="dxa"/>
          </w:tcPr>
          <w:p w14:paraId="0A13BAFD" w14:textId="59572159"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&lt;0.01</w:t>
            </w:r>
          </w:p>
        </w:tc>
        <w:tc>
          <w:tcPr>
            <w:tcW w:w="1260" w:type="dxa"/>
          </w:tcPr>
          <w:p w14:paraId="31F93109" w14:textId="7EA747FE" w:rsidR="00A26924" w:rsidRPr="00E10446" w:rsidRDefault="00A26924" w:rsidP="00A2692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E10446">
              <w:rPr>
                <w:rFonts w:ascii="Times New Roman" w:eastAsia="Times New Roman" w:hAnsi="Times New Roman" w:cs="Times New Roman"/>
                <w:sz w:val="20"/>
                <w:szCs w:val="20"/>
                <w:lang w:eastAsia="en-GB"/>
              </w:rPr>
              <w:t>Stationary</w:t>
            </w:r>
          </w:p>
        </w:tc>
      </w:tr>
    </w:tbl>
    <w:p w14:paraId="3031C256" w14:textId="77777777" w:rsidR="00525801" w:rsidRPr="00E10446" w:rsidRDefault="00525801" w:rsidP="00525801">
      <w:pPr>
        <w:spacing w:after="0" w:line="240" w:lineRule="auto"/>
        <w:ind w:firstLine="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47F29195" w14:textId="5D71CCA2" w:rsidR="00525801" w:rsidRPr="00E10446" w:rsidRDefault="001E67B6" w:rsidP="001E67B6">
      <w:pPr>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The </w:t>
      </w:r>
      <w:proofErr w:type="spellStart"/>
      <w:r w:rsidRPr="00E10446">
        <w:rPr>
          <w:rFonts w:ascii="Times New Roman" w:eastAsia="Times New Roman" w:hAnsi="Times New Roman" w:cs="Times New Roman"/>
          <w:sz w:val="24"/>
          <w:szCs w:val="24"/>
          <w:lang w:eastAsia="en-GB"/>
        </w:rPr>
        <w:t>Im</w:t>
      </w:r>
      <w:proofErr w:type="spellEnd"/>
      <w:r w:rsidRPr="00E10446">
        <w:rPr>
          <w:rFonts w:ascii="Times New Roman" w:eastAsia="Times New Roman" w:hAnsi="Times New Roman" w:cs="Times New Roman"/>
          <w:sz w:val="24"/>
          <w:szCs w:val="24"/>
          <w:lang w:eastAsia="en-GB"/>
        </w:rPr>
        <w:t xml:space="preserve">, </w:t>
      </w:r>
      <w:proofErr w:type="spellStart"/>
      <w:r w:rsidRPr="00E10446">
        <w:rPr>
          <w:rFonts w:ascii="Times New Roman" w:eastAsia="Times New Roman" w:hAnsi="Times New Roman" w:cs="Times New Roman"/>
          <w:sz w:val="24"/>
          <w:szCs w:val="24"/>
          <w:lang w:eastAsia="en-GB"/>
        </w:rPr>
        <w:t>Pesaran</w:t>
      </w:r>
      <w:proofErr w:type="spellEnd"/>
      <w:r w:rsidRPr="00E10446">
        <w:rPr>
          <w:rFonts w:ascii="Times New Roman" w:eastAsia="Times New Roman" w:hAnsi="Times New Roman" w:cs="Times New Roman"/>
          <w:sz w:val="24"/>
          <w:szCs w:val="24"/>
          <w:lang w:eastAsia="en-GB"/>
        </w:rPr>
        <w:t xml:space="preserve"> and Shin unit root test results show all variables are non-stationary at level but become stationary at first difference, indicating integration of order I(1). This justifies the use of cointegration-based techniques such as NARDL and MMQR. The implication is the existence of stable long-run relationships among energy consumption, productivity, and poverty dynamics.</w:t>
      </w:r>
    </w:p>
    <w:p w14:paraId="7BA7F683" w14:textId="7BBBAE32" w:rsidR="005801C8" w:rsidRPr="00E10446" w:rsidRDefault="00DA5CB2" w:rsidP="00C81BDF">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Table 4: Panel Cointegration Test</w:t>
      </w:r>
    </w:p>
    <w:tbl>
      <w:tblPr>
        <w:tblStyle w:val="PlainTable21"/>
        <w:tblW w:w="0" w:type="auto"/>
        <w:jc w:val="center"/>
        <w:tblLayout w:type="fixed"/>
        <w:tblLook w:val="06A0" w:firstRow="1" w:lastRow="0" w:firstColumn="1" w:lastColumn="0" w:noHBand="1" w:noVBand="1"/>
      </w:tblPr>
      <w:tblGrid>
        <w:gridCol w:w="1387"/>
        <w:gridCol w:w="788"/>
        <w:gridCol w:w="1102"/>
        <w:gridCol w:w="773"/>
        <w:gridCol w:w="990"/>
        <w:gridCol w:w="900"/>
      </w:tblGrid>
      <w:tr w:rsidR="00DA5CB2" w:rsidRPr="00E10446" w14:paraId="6C4D5970" w14:textId="77777777" w:rsidTr="00C71CA0">
        <w:trPr>
          <w:cnfStyle w:val="100000000000" w:firstRow="1" w:lastRow="0" w:firstColumn="0" w:lastColumn="0" w:oddVBand="0" w:evenVBand="0" w:oddHBand="0" w:evenHBand="0" w:firstRowFirstColumn="0" w:firstRowLastColumn="0" w:lastRowFirstColumn="0" w:lastRowLastColumn="0"/>
          <w:trHeight w:hRule="exact" w:val="352"/>
          <w:jc w:val="center"/>
        </w:trPr>
        <w:tc>
          <w:tcPr>
            <w:cnfStyle w:val="001000000000" w:firstRow="0" w:lastRow="0" w:firstColumn="1" w:lastColumn="0" w:oddVBand="0" w:evenVBand="0" w:oddHBand="0" w:evenHBand="0" w:firstRowFirstColumn="0" w:firstRowLastColumn="0" w:lastRowFirstColumn="0" w:lastRowLastColumn="0"/>
            <w:tcW w:w="5940" w:type="dxa"/>
            <w:gridSpan w:val="6"/>
          </w:tcPr>
          <w:p w14:paraId="13562EC8" w14:textId="5C66AC69"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Alternative hypothesis: common AR </w:t>
            </w:r>
            <w:proofErr w:type="spellStart"/>
            <w:r w:rsidRPr="00E10446">
              <w:rPr>
                <w:rFonts w:ascii="Times New Roman" w:hAnsi="Times New Roman" w:cs="Times New Roman"/>
                <w:color w:val="000000"/>
                <w:sz w:val="18"/>
                <w:szCs w:val="18"/>
              </w:rPr>
              <w:t>coefs</w:t>
            </w:r>
            <w:proofErr w:type="spellEnd"/>
            <w:r w:rsidRPr="00E10446">
              <w:rPr>
                <w:rFonts w:ascii="Times New Roman" w:hAnsi="Times New Roman" w:cs="Times New Roman"/>
                <w:color w:val="000000"/>
                <w:sz w:val="18"/>
                <w:szCs w:val="18"/>
              </w:rPr>
              <w:t>. (within-dimension)</w:t>
            </w:r>
          </w:p>
        </w:tc>
      </w:tr>
      <w:tr w:rsidR="00DA5CB2" w:rsidRPr="00E10446" w14:paraId="34E4BA4C" w14:textId="77777777" w:rsidTr="00C71CA0">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387" w:type="dxa"/>
          </w:tcPr>
          <w:p w14:paraId="6E6D1306"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p>
        </w:tc>
        <w:tc>
          <w:tcPr>
            <w:tcW w:w="788" w:type="dxa"/>
          </w:tcPr>
          <w:p w14:paraId="697FB866"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63D21E8F"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0EEB374F"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0B57FA1"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7DEE2A96"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31E45E0C"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75825E7A"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256F5E6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3C85D82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75C2539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3B0DB8A0"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Weighted</w:t>
            </w:r>
          </w:p>
        </w:tc>
        <w:tc>
          <w:tcPr>
            <w:tcW w:w="900" w:type="dxa"/>
          </w:tcPr>
          <w:p w14:paraId="187093D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531A9135"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20F8BC04"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0151AE23"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35922F8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Statistic</w:t>
            </w:r>
          </w:p>
        </w:tc>
        <w:tc>
          <w:tcPr>
            <w:tcW w:w="773" w:type="dxa"/>
          </w:tcPr>
          <w:p w14:paraId="443664CD"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Prob.</w:t>
            </w:r>
          </w:p>
        </w:tc>
        <w:tc>
          <w:tcPr>
            <w:tcW w:w="990" w:type="dxa"/>
          </w:tcPr>
          <w:p w14:paraId="75C5DD1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Statistic</w:t>
            </w:r>
          </w:p>
        </w:tc>
        <w:tc>
          <w:tcPr>
            <w:tcW w:w="900" w:type="dxa"/>
          </w:tcPr>
          <w:p w14:paraId="42BFCCA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Prob.</w:t>
            </w:r>
          </w:p>
        </w:tc>
      </w:tr>
      <w:tr w:rsidR="00DA5CB2" w:rsidRPr="00E10446" w14:paraId="021673C3"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3D419218"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v-Statistic</w:t>
            </w:r>
          </w:p>
        </w:tc>
        <w:tc>
          <w:tcPr>
            <w:tcW w:w="1102" w:type="dxa"/>
          </w:tcPr>
          <w:p w14:paraId="178E758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0.301503</w:t>
            </w:r>
          </w:p>
        </w:tc>
        <w:tc>
          <w:tcPr>
            <w:tcW w:w="773" w:type="dxa"/>
          </w:tcPr>
          <w:p w14:paraId="4F3F17C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0.3815</w:t>
            </w:r>
          </w:p>
        </w:tc>
        <w:tc>
          <w:tcPr>
            <w:tcW w:w="990" w:type="dxa"/>
          </w:tcPr>
          <w:p w14:paraId="42800A6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0.600329</w:t>
            </w:r>
          </w:p>
        </w:tc>
        <w:tc>
          <w:tcPr>
            <w:tcW w:w="900" w:type="dxa"/>
          </w:tcPr>
          <w:p w14:paraId="451CEF5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0.2741</w:t>
            </w:r>
          </w:p>
        </w:tc>
      </w:tr>
      <w:tr w:rsidR="00DA5CB2" w:rsidRPr="00E10446" w14:paraId="03E19E2A"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3263B830"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rho-Statistic</w:t>
            </w:r>
          </w:p>
        </w:tc>
        <w:tc>
          <w:tcPr>
            <w:tcW w:w="1102" w:type="dxa"/>
          </w:tcPr>
          <w:p w14:paraId="369DD3B2"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0.978315</w:t>
            </w:r>
          </w:p>
        </w:tc>
        <w:tc>
          <w:tcPr>
            <w:tcW w:w="773" w:type="dxa"/>
          </w:tcPr>
          <w:p w14:paraId="5FCF1E5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0.8360</w:t>
            </w:r>
          </w:p>
        </w:tc>
        <w:tc>
          <w:tcPr>
            <w:tcW w:w="990" w:type="dxa"/>
          </w:tcPr>
          <w:p w14:paraId="27CCD9A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0.836871</w:t>
            </w:r>
          </w:p>
        </w:tc>
        <w:tc>
          <w:tcPr>
            <w:tcW w:w="900" w:type="dxa"/>
          </w:tcPr>
          <w:p w14:paraId="78C6F63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0.7987</w:t>
            </w:r>
          </w:p>
        </w:tc>
      </w:tr>
      <w:tr w:rsidR="00DA5CB2" w:rsidRPr="00E10446" w14:paraId="75099BB6"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017D6BA2"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PP-Statistic</w:t>
            </w:r>
          </w:p>
        </w:tc>
        <w:tc>
          <w:tcPr>
            <w:tcW w:w="1102" w:type="dxa"/>
          </w:tcPr>
          <w:p w14:paraId="4396C612"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0.011854</w:t>
            </w:r>
          </w:p>
        </w:tc>
        <w:tc>
          <w:tcPr>
            <w:tcW w:w="773" w:type="dxa"/>
          </w:tcPr>
          <w:p w14:paraId="0A397E6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0.5047</w:t>
            </w:r>
          </w:p>
        </w:tc>
        <w:tc>
          <w:tcPr>
            <w:tcW w:w="990" w:type="dxa"/>
          </w:tcPr>
          <w:p w14:paraId="5AB3F16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-0.535225</w:t>
            </w:r>
          </w:p>
        </w:tc>
        <w:tc>
          <w:tcPr>
            <w:tcW w:w="900" w:type="dxa"/>
          </w:tcPr>
          <w:p w14:paraId="4440625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0.2962</w:t>
            </w:r>
          </w:p>
        </w:tc>
      </w:tr>
      <w:tr w:rsidR="00DA5CB2" w:rsidRPr="00E10446" w14:paraId="1DEAB564"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0CA79BD7"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Panel ADF-Statistic</w:t>
            </w:r>
          </w:p>
        </w:tc>
        <w:tc>
          <w:tcPr>
            <w:tcW w:w="1102" w:type="dxa"/>
          </w:tcPr>
          <w:p w14:paraId="1512515D"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0.294516</w:t>
            </w:r>
          </w:p>
        </w:tc>
        <w:tc>
          <w:tcPr>
            <w:tcW w:w="773" w:type="dxa"/>
          </w:tcPr>
          <w:p w14:paraId="7AC8107B"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0.6158</w:t>
            </w:r>
          </w:p>
        </w:tc>
        <w:tc>
          <w:tcPr>
            <w:tcW w:w="990" w:type="dxa"/>
          </w:tcPr>
          <w:p w14:paraId="682D4B9F"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0.066489</w:t>
            </w:r>
          </w:p>
        </w:tc>
        <w:tc>
          <w:tcPr>
            <w:tcW w:w="900" w:type="dxa"/>
          </w:tcPr>
          <w:p w14:paraId="2CBB063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0.5265</w:t>
            </w:r>
          </w:p>
        </w:tc>
      </w:tr>
      <w:tr w:rsidR="00DA5CB2" w:rsidRPr="00E10446" w14:paraId="3AE08049"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503D7A65"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618D4FF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054126A0"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2F73799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C0BF81B"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723A1FBD"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707D1FC0"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5940" w:type="dxa"/>
            <w:gridSpan w:val="6"/>
          </w:tcPr>
          <w:p w14:paraId="51A63647"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Alternative hypothesis: individual AR </w:t>
            </w:r>
            <w:proofErr w:type="spellStart"/>
            <w:r w:rsidRPr="00E10446">
              <w:rPr>
                <w:rFonts w:ascii="Times New Roman" w:hAnsi="Times New Roman" w:cs="Times New Roman"/>
                <w:color w:val="000000"/>
                <w:sz w:val="18"/>
                <w:szCs w:val="18"/>
              </w:rPr>
              <w:t>coefs</w:t>
            </w:r>
            <w:proofErr w:type="spellEnd"/>
            <w:r w:rsidRPr="00E10446">
              <w:rPr>
                <w:rFonts w:ascii="Times New Roman" w:hAnsi="Times New Roman" w:cs="Times New Roman"/>
                <w:color w:val="000000"/>
                <w:sz w:val="18"/>
                <w:szCs w:val="18"/>
              </w:rPr>
              <w:t>. (between-dimension)</w:t>
            </w:r>
          </w:p>
        </w:tc>
      </w:tr>
      <w:tr w:rsidR="00DA5CB2" w:rsidRPr="00E10446" w14:paraId="5B7ED95F"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0B38006A"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7E749921"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5A2370C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1CAABB2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5CDA320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39BE7AEE"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007C3693"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1387" w:type="dxa"/>
          </w:tcPr>
          <w:p w14:paraId="2C65F458" w14:textId="77777777" w:rsidR="00DA5CB2" w:rsidRPr="00E10446" w:rsidRDefault="00DA5CB2" w:rsidP="00DA5CB2">
            <w:pPr>
              <w:autoSpaceDE w:val="0"/>
              <w:autoSpaceDN w:val="0"/>
              <w:adjustRightInd w:val="0"/>
              <w:jc w:val="center"/>
              <w:rPr>
                <w:rFonts w:ascii="Times New Roman" w:hAnsi="Times New Roman" w:cs="Times New Roman"/>
                <w:color w:val="000000"/>
                <w:sz w:val="18"/>
                <w:szCs w:val="18"/>
              </w:rPr>
            </w:pPr>
          </w:p>
        </w:tc>
        <w:tc>
          <w:tcPr>
            <w:tcW w:w="788" w:type="dxa"/>
          </w:tcPr>
          <w:p w14:paraId="5E5B9DD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7BC36B6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Statistic</w:t>
            </w:r>
          </w:p>
        </w:tc>
        <w:tc>
          <w:tcPr>
            <w:tcW w:w="773" w:type="dxa"/>
          </w:tcPr>
          <w:p w14:paraId="12FCBCB1"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u w:val="single"/>
              </w:rPr>
              <w:t>Prob.</w:t>
            </w:r>
          </w:p>
        </w:tc>
        <w:tc>
          <w:tcPr>
            <w:tcW w:w="990" w:type="dxa"/>
          </w:tcPr>
          <w:p w14:paraId="04DF9D7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11A84C1A"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2C3ACF9B"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38465090"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Group rho-Statistic</w:t>
            </w:r>
          </w:p>
        </w:tc>
        <w:tc>
          <w:tcPr>
            <w:tcW w:w="1102" w:type="dxa"/>
          </w:tcPr>
          <w:p w14:paraId="7C8D6FC3"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1.479989</w:t>
            </w:r>
          </w:p>
        </w:tc>
        <w:tc>
          <w:tcPr>
            <w:tcW w:w="773" w:type="dxa"/>
          </w:tcPr>
          <w:p w14:paraId="59059422"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0.9306</w:t>
            </w:r>
          </w:p>
        </w:tc>
        <w:tc>
          <w:tcPr>
            <w:tcW w:w="990" w:type="dxa"/>
          </w:tcPr>
          <w:p w14:paraId="4610C5C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0C802C94"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29CA6731"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673B3CBB"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Group PP-Statistic</w:t>
            </w:r>
          </w:p>
        </w:tc>
        <w:tc>
          <w:tcPr>
            <w:tcW w:w="1102" w:type="dxa"/>
          </w:tcPr>
          <w:p w14:paraId="6695C073"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-1.439289</w:t>
            </w:r>
          </w:p>
        </w:tc>
        <w:tc>
          <w:tcPr>
            <w:tcW w:w="773" w:type="dxa"/>
          </w:tcPr>
          <w:p w14:paraId="1A04F8E9"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0.0750</w:t>
            </w:r>
          </w:p>
        </w:tc>
        <w:tc>
          <w:tcPr>
            <w:tcW w:w="990" w:type="dxa"/>
          </w:tcPr>
          <w:p w14:paraId="4BCDC328"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2FC4BE6F"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4D02869D" w14:textId="77777777" w:rsidTr="00C71CA0">
        <w:trPr>
          <w:trHeight w:val="225"/>
          <w:jc w:val="center"/>
        </w:trPr>
        <w:tc>
          <w:tcPr>
            <w:cnfStyle w:val="001000000000" w:firstRow="0" w:lastRow="0" w:firstColumn="1" w:lastColumn="0" w:oddVBand="0" w:evenVBand="0" w:oddHBand="0" w:evenHBand="0" w:firstRowFirstColumn="0" w:firstRowLastColumn="0" w:lastRowFirstColumn="0" w:lastRowLastColumn="0"/>
            <w:tcW w:w="2175" w:type="dxa"/>
            <w:gridSpan w:val="2"/>
          </w:tcPr>
          <w:p w14:paraId="54E5857C"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Group ADF-Statistic</w:t>
            </w:r>
          </w:p>
        </w:tc>
        <w:tc>
          <w:tcPr>
            <w:tcW w:w="1102" w:type="dxa"/>
          </w:tcPr>
          <w:p w14:paraId="043ED937"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0.051588</w:t>
            </w:r>
          </w:p>
        </w:tc>
        <w:tc>
          <w:tcPr>
            <w:tcW w:w="773" w:type="dxa"/>
          </w:tcPr>
          <w:p w14:paraId="7A1FCD6C"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0.5206</w:t>
            </w:r>
          </w:p>
        </w:tc>
        <w:tc>
          <w:tcPr>
            <w:tcW w:w="990" w:type="dxa"/>
          </w:tcPr>
          <w:p w14:paraId="31189C26"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182B37A5" w14:textId="77777777" w:rsidR="00DA5CB2" w:rsidRPr="00E10446" w:rsidRDefault="00DA5CB2" w:rsidP="00DA5CB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DA5CB2" w:rsidRPr="00E10446" w14:paraId="4815CEFA" w14:textId="77777777" w:rsidTr="00C71CA0">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387" w:type="dxa"/>
          </w:tcPr>
          <w:p w14:paraId="74F30E6C" w14:textId="77777777" w:rsidR="00DA5CB2" w:rsidRPr="00E10446" w:rsidRDefault="00DA5CB2" w:rsidP="00DA5CB2">
            <w:pPr>
              <w:autoSpaceDE w:val="0"/>
              <w:autoSpaceDN w:val="0"/>
              <w:adjustRightInd w:val="0"/>
              <w:rPr>
                <w:rFonts w:ascii="Times New Roman" w:hAnsi="Times New Roman" w:cs="Times New Roman"/>
                <w:color w:val="000000"/>
                <w:sz w:val="18"/>
                <w:szCs w:val="18"/>
              </w:rPr>
            </w:pPr>
          </w:p>
        </w:tc>
        <w:tc>
          <w:tcPr>
            <w:tcW w:w="788" w:type="dxa"/>
          </w:tcPr>
          <w:p w14:paraId="2B7D39D3"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102" w:type="dxa"/>
          </w:tcPr>
          <w:p w14:paraId="7E201F67"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773" w:type="dxa"/>
          </w:tcPr>
          <w:p w14:paraId="3161A4C3"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09FA8783"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00" w:type="dxa"/>
          </w:tcPr>
          <w:p w14:paraId="6B2D68AE" w14:textId="77777777" w:rsidR="00DA5CB2" w:rsidRPr="00E10446" w:rsidRDefault="00DA5CB2" w:rsidP="00DA5CB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3EB5F636" w14:textId="2E8ADD7C" w:rsidR="00DA5CB2" w:rsidRPr="00E10446" w:rsidRDefault="00DA5CB2" w:rsidP="00DA5CB2">
      <w:pPr>
        <w:spacing w:after="0" w:line="240" w:lineRule="auto"/>
        <w:ind w:left="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C71CA0"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  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76AA47B9" w14:textId="30070BAD" w:rsidR="00010B97" w:rsidRPr="00E10446" w:rsidRDefault="001E67B6">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 xml:space="preserve">The Pedroni cointegration results show statistically insignificant statistics across most tests, suggesting weak evidence of a long-run equilibrium relationship among the variables. This aligns with findings that energy–poverty linkages may be unstable without strong institutions and structural support </w:t>
      </w:r>
      <w:r w:rsidR="007F4E5D" w:rsidRPr="007F4E5D">
        <w:rPr>
          <w:rStyle w:val="katex-mathml"/>
          <w:rFonts w:ascii="Times New Roman" w:hAnsi="Times New Roman" w:cs="Times New Roman"/>
          <w:sz w:val="24"/>
          <w:szCs w:val="24"/>
        </w:rPr>
        <w:t>(</w:t>
      </w:r>
      <w:proofErr w:type="spellStart"/>
      <w:r w:rsidR="007F4E5D" w:rsidRPr="007F4E5D">
        <w:rPr>
          <w:rStyle w:val="katex-mathml"/>
          <w:rFonts w:ascii="Times New Roman" w:hAnsi="Times New Roman" w:cs="Times New Roman"/>
          <w:sz w:val="24"/>
          <w:szCs w:val="24"/>
        </w:rPr>
        <w:t>Benayed</w:t>
      </w:r>
      <w:proofErr w:type="spellEnd"/>
      <w:r w:rsidR="007F4E5D" w:rsidRPr="007F4E5D">
        <w:rPr>
          <w:rStyle w:val="katex-mathml"/>
          <w:rFonts w:ascii="Times New Roman" w:hAnsi="Times New Roman" w:cs="Times New Roman"/>
          <w:sz w:val="24"/>
          <w:szCs w:val="24"/>
        </w:rPr>
        <w:t xml:space="preserve"> et al., 2025; Leal Filho et al., 2024), and may vary across distributions and contexts, justifying nonlinear and quantile approaches (</w:t>
      </w:r>
      <w:proofErr w:type="spellStart"/>
      <w:r w:rsidR="007F4E5D" w:rsidRPr="007F4E5D">
        <w:rPr>
          <w:rStyle w:val="katex-mathml"/>
          <w:rFonts w:ascii="Times New Roman" w:hAnsi="Times New Roman" w:cs="Times New Roman"/>
          <w:sz w:val="24"/>
          <w:szCs w:val="24"/>
        </w:rPr>
        <w:t>Kettani</w:t>
      </w:r>
      <w:proofErr w:type="spellEnd"/>
      <w:r w:rsidR="007F4E5D" w:rsidRPr="007F4E5D">
        <w:rPr>
          <w:rStyle w:val="katex-mathml"/>
          <w:rFonts w:ascii="Times New Roman" w:hAnsi="Times New Roman" w:cs="Times New Roman"/>
          <w:sz w:val="24"/>
          <w:szCs w:val="24"/>
        </w:rPr>
        <w:t xml:space="preserve"> and Sanin, 2024; Lin Gao and Yang, 2023)</w:t>
      </w:r>
      <w:r w:rsidRPr="00E10446">
        <w:rPr>
          <w:rStyle w:val="katex-mathml"/>
          <w:rFonts w:ascii="Times New Roman" w:hAnsi="Times New Roman" w:cs="Times New Roman"/>
          <w:sz w:val="24"/>
          <w:szCs w:val="24"/>
        </w:rPr>
        <w:t>.</w:t>
      </w:r>
    </w:p>
    <w:p w14:paraId="4DC28BC7" w14:textId="6A16AF92" w:rsidR="00010B97" w:rsidRPr="00E10446" w:rsidRDefault="00010B97" w:rsidP="00010B97">
      <w:pPr>
        <w:autoSpaceDE w:val="0"/>
        <w:autoSpaceDN w:val="0"/>
        <w:adjustRightInd w:val="0"/>
        <w:spacing w:after="0" w:line="240" w:lineRule="auto"/>
        <w:jc w:val="center"/>
        <w:rPr>
          <w:rFonts w:ascii="Times New Roman" w:hAnsi="Times New Roman" w:cs="Times New Roman"/>
          <w:b/>
          <w:bCs/>
          <w:color w:val="000000"/>
          <w:sz w:val="24"/>
          <w:szCs w:val="24"/>
        </w:rPr>
      </w:pPr>
      <w:r w:rsidRPr="00E10446">
        <w:rPr>
          <w:rStyle w:val="katex-mathml"/>
          <w:rFonts w:ascii="Times New Roman" w:hAnsi="Times New Roman" w:cs="Times New Roman"/>
          <w:b/>
          <w:bCs/>
          <w:sz w:val="24"/>
          <w:szCs w:val="24"/>
        </w:rPr>
        <w:t xml:space="preserve">Table 5: </w:t>
      </w:r>
      <w:r w:rsidR="00CB159B" w:rsidRPr="00CB159B">
        <w:rPr>
          <w:rFonts w:ascii="Times New Roman" w:hAnsi="Times New Roman" w:cs="Times New Roman"/>
          <w:b/>
          <w:bCs/>
          <w:color w:val="000000"/>
          <w:sz w:val="24"/>
          <w:szCs w:val="24"/>
        </w:rPr>
        <w:t>Generalized Method of Moments</w:t>
      </w:r>
      <w:r w:rsidR="00CB159B">
        <w:rPr>
          <w:rFonts w:ascii="Times New Roman" w:hAnsi="Times New Roman" w:cs="Times New Roman"/>
          <w:b/>
          <w:bCs/>
          <w:color w:val="000000"/>
          <w:sz w:val="24"/>
          <w:szCs w:val="24"/>
        </w:rPr>
        <w:t xml:space="preserve"> </w:t>
      </w:r>
      <w:r w:rsidRPr="00E10446">
        <w:rPr>
          <w:rFonts w:ascii="Times New Roman" w:hAnsi="Times New Roman" w:cs="Times New Roman"/>
          <w:b/>
          <w:bCs/>
          <w:color w:val="000000"/>
          <w:sz w:val="24"/>
          <w:szCs w:val="24"/>
        </w:rPr>
        <w:t>(</w:t>
      </w:r>
      <w:r w:rsidR="00CB159B">
        <w:rPr>
          <w:rFonts w:ascii="Times New Roman" w:hAnsi="Times New Roman" w:cs="Times New Roman"/>
          <w:b/>
          <w:bCs/>
          <w:color w:val="000000"/>
          <w:sz w:val="24"/>
          <w:szCs w:val="24"/>
        </w:rPr>
        <w:t>GMM</w:t>
      </w:r>
      <w:r w:rsidRPr="00E10446">
        <w:rPr>
          <w:rFonts w:ascii="Times New Roman" w:hAnsi="Times New Roman" w:cs="Times New Roman"/>
          <w:b/>
          <w:bCs/>
          <w:color w:val="000000"/>
          <w:sz w:val="24"/>
          <w:szCs w:val="24"/>
        </w:rPr>
        <w:t>)</w:t>
      </w:r>
    </w:p>
    <w:tbl>
      <w:tblPr>
        <w:tblStyle w:val="PlainTable21"/>
        <w:tblW w:w="0" w:type="auto"/>
        <w:jc w:val="center"/>
        <w:tblLayout w:type="fixed"/>
        <w:tblLook w:val="06A0" w:firstRow="1" w:lastRow="0" w:firstColumn="1" w:lastColumn="0" w:noHBand="1" w:noVBand="1"/>
      </w:tblPr>
      <w:tblGrid>
        <w:gridCol w:w="1890"/>
        <w:gridCol w:w="1080"/>
        <w:gridCol w:w="990"/>
        <w:gridCol w:w="990"/>
        <w:gridCol w:w="990"/>
      </w:tblGrid>
      <w:tr w:rsidR="003D7B53" w:rsidRPr="00E10446" w14:paraId="035F74D9" w14:textId="77777777" w:rsidTr="00276472">
        <w:trPr>
          <w:cnfStyle w:val="100000000000" w:firstRow="1" w:lastRow="0" w:firstColumn="0" w:lastColumn="0" w:oddVBand="0" w:evenVBand="0" w:oddHBand="0" w:evenHBand="0" w:firstRowFirstColumn="0" w:firstRowLastColumn="0" w:lastRowFirstColumn="0" w:lastRowLastColumn="0"/>
          <w:trHeight w:hRule="exact" w:val="460"/>
          <w:jc w:val="center"/>
        </w:trPr>
        <w:tc>
          <w:tcPr>
            <w:cnfStyle w:val="001000000000" w:firstRow="0" w:lastRow="0" w:firstColumn="1" w:lastColumn="0" w:oddVBand="0" w:evenVBand="0" w:oddHBand="0" w:evenHBand="0" w:firstRowFirstColumn="0" w:firstRowLastColumn="0" w:lastRowFirstColumn="0" w:lastRowLastColumn="0"/>
            <w:tcW w:w="1890" w:type="dxa"/>
          </w:tcPr>
          <w:p w14:paraId="350278D6" w14:textId="5E089B36"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Variable</w:t>
            </w:r>
          </w:p>
        </w:tc>
        <w:tc>
          <w:tcPr>
            <w:tcW w:w="1080" w:type="dxa"/>
          </w:tcPr>
          <w:p w14:paraId="3AE27678" w14:textId="0B373C0A"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Coefficient</w:t>
            </w:r>
          </w:p>
        </w:tc>
        <w:tc>
          <w:tcPr>
            <w:tcW w:w="990" w:type="dxa"/>
          </w:tcPr>
          <w:p w14:paraId="1CE7B36F" w14:textId="610701CE"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Std. Error</w:t>
            </w:r>
          </w:p>
        </w:tc>
        <w:tc>
          <w:tcPr>
            <w:tcW w:w="990" w:type="dxa"/>
          </w:tcPr>
          <w:p w14:paraId="7FDB7AFE" w14:textId="64DD2230"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t-Statistic</w:t>
            </w:r>
          </w:p>
        </w:tc>
        <w:tc>
          <w:tcPr>
            <w:tcW w:w="990" w:type="dxa"/>
          </w:tcPr>
          <w:p w14:paraId="220A6207" w14:textId="1FEDE784"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Prob.  </w:t>
            </w:r>
          </w:p>
        </w:tc>
      </w:tr>
      <w:tr w:rsidR="003D7B53" w:rsidRPr="00E10446" w14:paraId="3EF6C200" w14:textId="77777777" w:rsidTr="00276472">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1890" w:type="dxa"/>
          </w:tcPr>
          <w:p w14:paraId="00125532"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080" w:type="dxa"/>
          </w:tcPr>
          <w:p w14:paraId="5A5B00A8"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0350E4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3E720B85"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3830B0A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276472" w:rsidRPr="00E10446" w14:paraId="7C813A35"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6DE6CB13" w14:textId="77777777" w:rsidR="00276472" w:rsidRPr="00E10446" w:rsidRDefault="00276472" w:rsidP="00276472">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RENC</w:t>
            </w:r>
          </w:p>
        </w:tc>
        <w:tc>
          <w:tcPr>
            <w:tcW w:w="1080" w:type="dxa"/>
          </w:tcPr>
          <w:p w14:paraId="4A099AE0" w14:textId="0AB94192"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-0.218779</w:t>
            </w:r>
          </w:p>
        </w:tc>
        <w:tc>
          <w:tcPr>
            <w:tcW w:w="990" w:type="dxa"/>
          </w:tcPr>
          <w:p w14:paraId="6D8770B1" w14:textId="4883C1D7"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0.180213</w:t>
            </w:r>
          </w:p>
        </w:tc>
        <w:tc>
          <w:tcPr>
            <w:tcW w:w="990" w:type="dxa"/>
          </w:tcPr>
          <w:p w14:paraId="7FFB3706" w14:textId="5F19F851"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-1.214000</w:t>
            </w:r>
          </w:p>
        </w:tc>
        <w:tc>
          <w:tcPr>
            <w:tcW w:w="990" w:type="dxa"/>
          </w:tcPr>
          <w:p w14:paraId="637AE3C7" w14:textId="09E6C6DA"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0.2342</w:t>
            </w:r>
          </w:p>
        </w:tc>
      </w:tr>
      <w:tr w:rsidR="00276472" w:rsidRPr="00E10446" w14:paraId="186AC8A9"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04A2F932" w14:textId="77777777" w:rsidR="00276472" w:rsidRPr="00E10446" w:rsidRDefault="00276472" w:rsidP="00276472">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lastRenderedPageBreak/>
              <w:t>NRECN</w:t>
            </w:r>
          </w:p>
        </w:tc>
        <w:tc>
          <w:tcPr>
            <w:tcW w:w="1080" w:type="dxa"/>
          </w:tcPr>
          <w:p w14:paraId="7B3EA30A" w14:textId="1A0327FA"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0.046118</w:t>
            </w:r>
          </w:p>
        </w:tc>
        <w:tc>
          <w:tcPr>
            <w:tcW w:w="990" w:type="dxa"/>
          </w:tcPr>
          <w:p w14:paraId="2D01B976" w14:textId="489B4D3A"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0.021862</w:t>
            </w:r>
          </w:p>
        </w:tc>
        <w:tc>
          <w:tcPr>
            <w:tcW w:w="990" w:type="dxa"/>
          </w:tcPr>
          <w:p w14:paraId="36349D0A" w14:textId="43F93447"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2.109502</w:t>
            </w:r>
          </w:p>
        </w:tc>
        <w:tc>
          <w:tcPr>
            <w:tcW w:w="990" w:type="dxa"/>
          </w:tcPr>
          <w:p w14:paraId="1B7952D0" w14:textId="167A07D1"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0.0434</w:t>
            </w:r>
          </w:p>
        </w:tc>
      </w:tr>
      <w:tr w:rsidR="00276472" w:rsidRPr="00E10446" w14:paraId="65FC6B67"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53A0BFBA" w14:textId="77777777" w:rsidR="00276472" w:rsidRPr="00E10446" w:rsidRDefault="00276472" w:rsidP="00276472">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LAP</w:t>
            </w:r>
          </w:p>
        </w:tc>
        <w:tc>
          <w:tcPr>
            <w:tcW w:w="1080" w:type="dxa"/>
          </w:tcPr>
          <w:p w14:paraId="58E83596" w14:textId="7C47E941"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0.000527</w:t>
            </w:r>
          </w:p>
        </w:tc>
        <w:tc>
          <w:tcPr>
            <w:tcW w:w="990" w:type="dxa"/>
          </w:tcPr>
          <w:p w14:paraId="5F5C8E5C" w14:textId="54680423"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0.000119</w:t>
            </w:r>
          </w:p>
        </w:tc>
        <w:tc>
          <w:tcPr>
            <w:tcW w:w="990" w:type="dxa"/>
          </w:tcPr>
          <w:p w14:paraId="7CCE5B93" w14:textId="3003114E"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4.438644</w:t>
            </w:r>
          </w:p>
        </w:tc>
        <w:tc>
          <w:tcPr>
            <w:tcW w:w="990" w:type="dxa"/>
          </w:tcPr>
          <w:p w14:paraId="139C15C9" w14:textId="3D2702BE"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0.0001</w:t>
            </w:r>
          </w:p>
        </w:tc>
      </w:tr>
      <w:tr w:rsidR="00276472" w:rsidRPr="00E10446" w14:paraId="078B6EF8"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1FB12EC7" w14:textId="77777777" w:rsidR="00276472" w:rsidRPr="00E10446" w:rsidRDefault="00276472" w:rsidP="00276472">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GDP</w:t>
            </w:r>
          </w:p>
        </w:tc>
        <w:tc>
          <w:tcPr>
            <w:tcW w:w="1080" w:type="dxa"/>
          </w:tcPr>
          <w:p w14:paraId="6B5C5265" w14:textId="6A1E0FEB"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0.000371</w:t>
            </w:r>
          </w:p>
        </w:tc>
        <w:tc>
          <w:tcPr>
            <w:tcW w:w="990" w:type="dxa"/>
          </w:tcPr>
          <w:p w14:paraId="4FD1DF2E" w14:textId="54E598F3"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0.000338</w:t>
            </w:r>
          </w:p>
        </w:tc>
        <w:tc>
          <w:tcPr>
            <w:tcW w:w="990" w:type="dxa"/>
          </w:tcPr>
          <w:p w14:paraId="416BD688" w14:textId="5C6909A1"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1.098003</w:t>
            </w:r>
          </w:p>
        </w:tc>
        <w:tc>
          <w:tcPr>
            <w:tcW w:w="990" w:type="dxa"/>
          </w:tcPr>
          <w:p w14:paraId="6111EBAE" w14:textId="4A9273B5"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0.2809</w:t>
            </w:r>
          </w:p>
        </w:tc>
      </w:tr>
      <w:tr w:rsidR="00276472" w:rsidRPr="00E10446" w14:paraId="5AA72CC0"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253E7DF8" w14:textId="5A6CA76D" w:rsidR="00276472" w:rsidRPr="00E10446" w:rsidRDefault="00276472" w:rsidP="00276472">
            <w:pPr>
              <w:autoSpaceDE w:val="0"/>
              <w:autoSpaceDN w:val="0"/>
              <w:adjustRightInd w:val="0"/>
              <w:jc w:val="center"/>
              <w:rPr>
                <w:rFonts w:ascii="Times New Roman" w:hAnsi="Times New Roman" w:cs="Times New Roman"/>
                <w:color w:val="000000"/>
                <w:sz w:val="18"/>
                <w:szCs w:val="18"/>
              </w:rPr>
            </w:pPr>
            <w:r>
              <w:rPr>
                <w:rFonts w:ascii="Times New Roman" w:hAnsi="Times New Roman" w:cs="Times New Roman"/>
                <w:color w:val="000000"/>
                <w:sz w:val="18"/>
                <w:szCs w:val="18"/>
              </w:rPr>
              <w:t>C</w:t>
            </w:r>
          </w:p>
        </w:tc>
        <w:tc>
          <w:tcPr>
            <w:tcW w:w="1080" w:type="dxa"/>
          </w:tcPr>
          <w:p w14:paraId="69735661" w14:textId="6F6DBCEB"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56.86794</w:t>
            </w:r>
          </w:p>
        </w:tc>
        <w:tc>
          <w:tcPr>
            <w:tcW w:w="990" w:type="dxa"/>
          </w:tcPr>
          <w:p w14:paraId="08C5A56D" w14:textId="5FF57F3A"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17.09777</w:t>
            </w:r>
          </w:p>
        </w:tc>
        <w:tc>
          <w:tcPr>
            <w:tcW w:w="990" w:type="dxa"/>
          </w:tcPr>
          <w:p w14:paraId="21680670" w14:textId="681EB7A6"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3.326044</w:t>
            </w:r>
          </w:p>
        </w:tc>
        <w:tc>
          <w:tcPr>
            <w:tcW w:w="990" w:type="dxa"/>
          </w:tcPr>
          <w:p w14:paraId="2ECBC73D" w14:textId="7D784480" w:rsidR="00276472" w:rsidRPr="00276472" w:rsidRDefault="00276472" w:rsidP="00276472">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76472">
              <w:rPr>
                <w:rFonts w:ascii="Times New Roman" w:hAnsi="Times New Roman" w:cs="Times New Roman"/>
                <w:sz w:val="18"/>
                <w:szCs w:val="18"/>
              </w:rPr>
              <w:t>0.0023</w:t>
            </w:r>
          </w:p>
        </w:tc>
      </w:tr>
      <w:tr w:rsidR="003D7B53" w:rsidRPr="00E10446" w14:paraId="00BECD7F" w14:textId="77777777" w:rsidTr="00276472">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890" w:type="dxa"/>
          </w:tcPr>
          <w:p w14:paraId="0B2CE422"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080" w:type="dxa"/>
          </w:tcPr>
          <w:p w14:paraId="54389D2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1AF0DE5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258EAA44"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6D26B37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CB159B" w:rsidRPr="00E10446" w14:paraId="1D877307"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0B721D5A" w14:textId="77777777" w:rsidR="00CB159B" w:rsidRPr="00E10446" w:rsidRDefault="00CB159B" w:rsidP="00CB159B">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R-squared</w:t>
            </w:r>
          </w:p>
        </w:tc>
        <w:tc>
          <w:tcPr>
            <w:tcW w:w="1080" w:type="dxa"/>
          </w:tcPr>
          <w:p w14:paraId="33DCC888" w14:textId="09C51DC6" w:rsidR="00CB159B" w:rsidRPr="00CB159B" w:rsidRDefault="00CB159B" w:rsidP="00CB159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sz w:val="18"/>
                <w:szCs w:val="18"/>
              </w:rPr>
              <w:t>0.902857</w:t>
            </w:r>
          </w:p>
        </w:tc>
        <w:tc>
          <w:tcPr>
            <w:tcW w:w="1980" w:type="dxa"/>
            <w:gridSpan w:val="2"/>
          </w:tcPr>
          <w:p w14:paraId="3805E425" w14:textId="77777777" w:rsidR="00CB159B" w:rsidRPr="00E10446" w:rsidRDefault="00CB159B" w:rsidP="00CB159B">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Mean dependent var</w:t>
            </w:r>
          </w:p>
        </w:tc>
        <w:tc>
          <w:tcPr>
            <w:tcW w:w="990" w:type="dxa"/>
          </w:tcPr>
          <w:p w14:paraId="550E3801" w14:textId="49E13C51" w:rsidR="00CB159B" w:rsidRPr="00CB159B" w:rsidRDefault="00CB159B" w:rsidP="00CB159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sz w:val="18"/>
                <w:szCs w:val="18"/>
              </w:rPr>
              <w:t>49.74880</w:t>
            </w:r>
          </w:p>
        </w:tc>
      </w:tr>
      <w:tr w:rsidR="00CB159B" w:rsidRPr="00E10446" w14:paraId="6D11A769"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7054A643" w14:textId="77777777" w:rsidR="00CB159B" w:rsidRPr="00E10446" w:rsidRDefault="00CB159B" w:rsidP="00CB159B">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w:t>
            </w:r>
          </w:p>
        </w:tc>
        <w:tc>
          <w:tcPr>
            <w:tcW w:w="1080" w:type="dxa"/>
          </w:tcPr>
          <w:p w14:paraId="7A7B468E" w14:textId="17ED3949" w:rsidR="00CB159B" w:rsidRPr="00CB159B" w:rsidRDefault="00CB159B" w:rsidP="00CB159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sz w:val="18"/>
                <w:szCs w:val="18"/>
              </w:rPr>
              <w:t>0.889905</w:t>
            </w:r>
          </w:p>
        </w:tc>
        <w:tc>
          <w:tcPr>
            <w:tcW w:w="1980" w:type="dxa"/>
            <w:gridSpan w:val="2"/>
          </w:tcPr>
          <w:p w14:paraId="664EBD47" w14:textId="77777777" w:rsidR="00CB159B" w:rsidRPr="00E10446" w:rsidRDefault="00CB159B" w:rsidP="00CB159B">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S.D. dependent var</w:t>
            </w:r>
          </w:p>
        </w:tc>
        <w:tc>
          <w:tcPr>
            <w:tcW w:w="990" w:type="dxa"/>
          </w:tcPr>
          <w:p w14:paraId="75C04B32" w14:textId="37E886DC" w:rsidR="00CB159B" w:rsidRPr="00CB159B" w:rsidRDefault="00CB159B" w:rsidP="00CB159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sz w:val="18"/>
                <w:szCs w:val="18"/>
              </w:rPr>
              <w:t>3.054374</w:t>
            </w:r>
          </w:p>
        </w:tc>
      </w:tr>
      <w:tr w:rsidR="00CB159B" w:rsidRPr="00E10446" w14:paraId="25467820"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595056DD" w14:textId="77777777" w:rsidR="00CB159B" w:rsidRPr="00E10446" w:rsidRDefault="00CB159B" w:rsidP="00CB159B">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S.E. of regression</w:t>
            </w:r>
          </w:p>
        </w:tc>
        <w:tc>
          <w:tcPr>
            <w:tcW w:w="1080" w:type="dxa"/>
          </w:tcPr>
          <w:p w14:paraId="7A212F87" w14:textId="69323638" w:rsidR="00CB159B" w:rsidRPr="00CB159B" w:rsidRDefault="00CB159B" w:rsidP="00CB159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sz w:val="18"/>
                <w:szCs w:val="18"/>
              </w:rPr>
              <w:t>1.013458</w:t>
            </w:r>
          </w:p>
        </w:tc>
        <w:tc>
          <w:tcPr>
            <w:tcW w:w="1980" w:type="dxa"/>
            <w:gridSpan w:val="2"/>
          </w:tcPr>
          <w:p w14:paraId="662946AD" w14:textId="77777777" w:rsidR="00CB159B" w:rsidRPr="00E10446" w:rsidRDefault="00CB159B" w:rsidP="00CB159B">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Sum squared resid</w:t>
            </w:r>
          </w:p>
        </w:tc>
        <w:tc>
          <w:tcPr>
            <w:tcW w:w="990" w:type="dxa"/>
          </w:tcPr>
          <w:p w14:paraId="588945C5" w14:textId="4FCA8ABD" w:rsidR="00CB159B" w:rsidRPr="00CB159B" w:rsidRDefault="00CB159B" w:rsidP="00CB159B">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sz w:val="18"/>
                <w:szCs w:val="18"/>
              </w:rPr>
              <w:t>30.81293</w:t>
            </w:r>
          </w:p>
        </w:tc>
      </w:tr>
      <w:tr w:rsidR="003D7B53" w:rsidRPr="00E10446" w14:paraId="566F920D" w14:textId="77777777" w:rsidTr="00276472">
        <w:trPr>
          <w:trHeight w:val="225"/>
          <w:jc w:val="center"/>
        </w:trPr>
        <w:tc>
          <w:tcPr>
            <w:cnfStyle w:val="001000000000" w:firstRow="0" w:lastRow="0" w:firstColumn="1" w:lastColumn="0" w:oddVBand="0" w:evenVBand="0" w:oddHBand="0" w:evenHBand="0" w:firstRowFirstColumn="0" w:firstRowLastColumn="0" w:lastRowFirstColumn="0" w:lastRowLastColumn="0"/>
            <w:tcW w:w="1890" w:type="dxa"/>
          </w:tcPr>
          <w:p w14:paraId="1B7B2A23" w14:textId="26B2160C" w:rsidR="003D7B53" w:rsidRPr="00E10446" w:rsidRDefault="00CB159B" w:rsidP="003D7B53">
            <w:pPr>
              <w:autoSpaceDE w:val="0"/>
              <w:autoSpaceDN w:val="0"/>
              <w:adjustRightInd w:val="0"/>
              <w:rPr>
                <w:rFonts w:ascii="Times New Roman" w:hAnsi="Times New Roman" w:cs="Times New Roman"/>
                <w:color w:val="000000"/>
                <w:sz w:val="18"/>
                <w:szCs w:val="18"/>
              </w:rPr>
            </w:pPr>
            <w:r w:rsidRPr="00CB159B">
              <w:rPr>
                <w:rFonts w:ascii="Times New Roman" w:hAnsi="Times New Roman" w:cs="Times New Roman"/>
                <w:color w:val="000000"/>
                <w:sz w:val="18"/>
                <w:szCs w:val="18"/>
              </w:rPr>
              <w:t>J-statistic</w:t>
            </w:r>
          </w:p>
        </w:tc>
        <w:tc>
          <w:tcPr>
            <w:tcW w:w="1080" w:type="dxa"/>
          </w:tcPr>
          <w:p w14:paraId="5F0C3144" w14:textId="101FBE22" w:rsidR="003D7B53" w:rsidRPr="00E10446" w:rsidRDefault="00CB159B"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CB159B">
              <w:rPr>
                <w:rFonts w:ascii="Times New Roman" w:hAnsi="Times New Roman" w:cs="Times New Roman"/>
                <w:color w:val="000000"/>
                <w:sz w:val="18"/>
                <w:szCs w:val="18"/>
              </w:rPr>
              <w:t>0.000000</w:t>
            </w:r>
          </w:p>
        </w:tc>
        <w:tc>
          <w:tcPr>
            <w:tcW w:w="990" w:type="dxa"/>
          </w:tcPr>
          <w:p w14:paraId="71CAF283" w14:textId="77777777" w:rsidR="003D7B53" w:rsidRPr="00E10446" w:rsidRDefault="003D7B53" w:rsidP="003D7B5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11C6929D" w14:textId="77777777" w:rsidR="003D7B53" w:rsidRPr="00E10446" w:rsidRDefault="003D7B53" w:rsidP="003D7B5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09F350CE" w14:textId="77777777" w:rsidR="003D7B53" w:rsidRPr="00E10446" w:rsidRDefault="003D7B53" w:rsidP="003D7B53">
            <w:pPr>
              <w:autoSpaceDE w:val="0"/>
              <w:autoSpaceDN w:val="0"/>
              <w:adjustRightInd w:val="0"/>
              <w:ind w:right="1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0F99C05C" w14:textId="77777777" w:rsidTr="00276472">
        <w:trPr>
          <w:trHeight w:hRule="exact" w:val="90"/>
          <w:jc w:val="center"/>
        </w:trPr>
        <w:tc>
          <w:tcPr>
            <w:cnfStyle w:val="001000000000" w:firstRow="0" w:lastRow="0" w:firstColumn="1" w:lastColumn="0" w:oddVBand="0" w:evenVBand="0" w:oddHBand="0" w:evenHBand="0" w:firstRowFirstColumn="0" w:firstRowLastColumn="0" w:lastRowFirstColumn="0" w:lastRowLastColumn="0"/>
            <w:tcW w:w="1890" w:type="dxa"/>
          </w:tcPr>
          <w:p w14:paraId="1142E4CD"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080" w:type="dxa"/>
          </w:tcPr>
          <w:p w14:paraId="4E504B6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7969EB29"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6F6F72F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0" w:type="dxa"/>
          </w:tcPr>
          <w:p w14:paraId="21994286"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63386FA8" w14:textId="54632207" w:rsidR="00010B97" w:rsidRPr="00E10446" w:rsidRDefault="00010B97" w:rsidP="00010B97">
      <w:pPr>
        <w:autoSpaceDE w:val="0"/>
        <w:autoSpaceDN w:val="0"/>
        <w:adjustRightInd w:val="0"/>
        <w:spacing w:after="0" w:line="240" w:lineRule="auto"/>
        <w:rPr>
          <w:rFonts w:ascii="Times New Roman" w:hAnsi="Times New Roman" w:cs="Times New Roman"/>
          <w:b/>
          <w:bCs/>
          <w:color w:val="000000"/>
          <w:sz w:val="18"/>
          <w:szCs w:val="18"/>
        </w:rPr>
      </w:pPr>
      <w:r w:rsidRPr="00E10446">
        <w:rPr>
          <w:rFonts w:ascii="Arial" w:hAnsi="Arial" w:cs="Arial"/>
          <w:color w:val="000000"/>
          <w:sz w:val="18"/>
          <w:szCs w:val="18"/>
        </w:rPr>
        <w:t xml:space="preserve">                        </w:t>
      </w:r>
      <w:r w:rsidR="003D7B53" w:rsidRPr="00E10446">
        <w:rPr>
          <w:rFonts w:ascii="Arial" w:hAnsi="Arial" w:cs="Arial"/>
          <w:color w:val="000000"/>
          <w:sz w:val="18"/>
          <w:szCs w:val="18"/>
        </w:rPr>
        <w:t xml:space="preserve">   </w:t>
      </w:r>
      <w:r w:rsidRPr="00E10446">
        <w:rPr>
          <w:rFonts w:ascii="Arial" w:hAnsi="Arial" w:cs="Arial"/>
          <w:color w:val="000000"/>
          <w:sz w:val="18"/>
          <w:szCs w:val="18"/>
        </w:rPr>
        <w:t xml:space="preserve"> </w:t>
      </w:r>
      <w:r w:rsidRPr="00E10446">
        <w:rPr>
          <w:rFonts w:ascii="Times New Roman" w:hAnsi="Times New Roman" w:cs="Times New Roman"/>
          <w:b/>
          <w:bCs/>
          <w:color w:val="000000"/>
          <w:sz w:val="18"/>
          <w:szCs w:val="18"/>
        </w:rPr>
        <w:t xml:space="preserve">Dependent variable: POV </w:t>
      </w:r>
    </w:p>
    <w:p w14:paraId="3B92F596" w14:textId="202DD6EB" w:rsidR="00010B97" w:rsidRPr="00E10446" w:rsidRDefault="00010B97" w:rsidP="00372FA1">
      <w:pPr>
        <w:spacing w:after="0" w:line="240" w:lineRule="auto"/>
        <w:ind w:left="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3D7B53"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0E3F25D2" w14:textId="5532B6F8" w:rsidR="003D7B53" w:rsidRPr="00E10446" w:rsidRDefault="00372FA1" w:rsidP="00372FA1">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 xml:space="preserve">The </w:t>
      </w:r>
      <w:r w:rsidR="00321A95">
        <w:rPr>
          <w:rStyle w:val="katex-mathml"/>
          <w:rFonts w:ascii="Times New Roman" w:hAnsi="Times New Roman" w:cs="Times New Roman"/>
          <w:sz w:val="24"/>
          <w:szCs w:val="24"/>
        </w:rPr>
        <w:t>GMM</w:t>
      </w:r>
      <w:r w:rsidRPr="00E10446">
        <w:rPr>
          <w:rStyle w:val="katex-mathml"/>
          <w:rFonts w:ascii="Times New Roman" w:hAnsi="Times New Roman" w:cs="Times New Roman"/>
          <w:sz w:val="24"/>
          <w:szCs w:val="24"/>
        </w:rPr>
        <w:t xml:space="preserve"> results indicate </w:t>
      </w:r>
      <w:r w:rsidR="00321A95" w:rsidRPr="00321A95">
        <w:rPr>
          <w:rStyle w:val="katex-mathml"/>
          <w:rFonts w:ascii="Times New Roman" w:hAnsi="Times New Roman" w:cs="Times New Roman"/>
          <w:sz w:val="24"/>
          <w:szCs w:val="24"/>
        </w:rPr>
        <w:t xml:space="preserve">that the coefficient of RENC (−0.2188) implies that a 1% increase in renewable energy consumption reduces poverty by approximately 0.22%, although the effect is not statistically significant, indicating weak or uncertain impact, consistent with </w:t>
      </w:r>
      <w:proofErr w:type="spellStart"/>
      <w:r w:rsidR="00321A95" w:rsidRPr="00321A95">
        <w:rPr>
          <w:rStyle w:val="katex-mathml"/>
          <w:rFonts w:ascii="Times New Roman" w:hAnsi="Times New Roman" w:cs="Times New Roman"/>
          <w:sz w:val="24"/>
          <w:szCs w:val="24"/>
        </w:rPr>
        <w:t>Kettani</w:t>
      </w:r>
      <w:proofErr w:type="spellEnd"/>
      <w:r w:rsidR="00321A95" w:rsidRPr="00321A95">
        <w:rPr>
          <w:rStyle w:val="katex-mathml"/>
          <w:rFonts w:ascii="Times New Roman" w:hAnsi="Times New Roman" w:cs="Times New Roman"/>
          <w:sz w:val="24"/>
          <w:szCs w:val="24"/>
        </w:rPr>
        <w:t xml:space="preserve"> and Sanin (2024). Conversely, NRECN (0.0461) suggests that a 1% increase in non-renewable energy raises poverty by about 0.05%, aligning with Adebayo et al. (2025). LAP (0.000527) indicates inefficiencies, supporting Leal Filho et al. (2024), while GDP’s insignificant effect corroborates Lin Gao and Yang (2023).</w:t>
      </w:r>
    </w:p>
    <w:p w14:paraId="0FFA162C" w14:textId="032A6F70" w:rsidR="00010B97" w:rsidRPr="00E10446" w:rsidRDefault="003D7B53" w:rsidP="003D7B53">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Table 6: </w:t>
      </w:r>
      <w:r w:rsidR="001B1AB5" w:rsidRPr="00E10446">
        <w:rPr>
          <w:rStyle w:val="katex-mathml"/>
          <w:rFonts w:ascii="Times New Roman" w:hAnsi="Times New Roman" w:cs="Times New Roman"/>
          <w:b/>
          <w:bCs/>
          <w:sz w:val="24"/>
          <w:szCs w:val="24"/>
        </w:rPr>
        <w:t xml:space="preserve">Panel </w:t>
      </w:r>
      <w:r w:rsidRPr="00E10446">
        <w:rPr>
          <w:rStyle w:val="katex-mathml"/>
          <w:rFonts w:ascii="Times New Roman" w:hAnsi="Times New Roman" w:cs="Times New Roman"/>
          <w:b/>
          <w:bCs/>
          <w:sz w:val="24"/>
          <w:szCs w:val="24"/>
        </w:rPr>
        <w:t>NARDL R</w:t>
      </w:r>
      <w:r w:rsidR="001B1AB5" w:rsidRPr="00E10446">
        <w:rPr>
          <w:rStyle w:val="katex-mathml"/>
          <w:rFonts w:ascii="Times New Roman" w:hAnsi="Times New Roman" w:cs="Times New Roman"/>
          <w:b/>
          <w:bCs/>
          <w:sz w:val="24"/>
          <w:szCs w:val="24"/>
        </w:rPr>
        <w:t>esult</w:t>
      </w:r>
    </w:p>
    <w:tbl>
      <w:tblPr>
        <w:tblStyle w:val="PlainTable21"/>
        <w:tblW w:w="0" w:type="auto"/>
        <w:jc w:val="center"/>
        <w:tblLayout w:type="fixed"/>
        <w:tblLook w:val="06A0" w:firstRow="1" w:lastRow="0" w:firstColumn="1" w:lastColumn="0" w:noHBand="1" w:noVBand="1"/>
      </w:tblPr>
      <w:tblGrid>
        <w:gridCol w:w="2017"/>
        <w:gridCol w:w="1103"/>
        <w:gridCol w:w="1207"/>
        <w:gridCol w:w="1208"/>
        <w:gridCol w:w="997"/>
      </w:tblGrid>
      <w:tr w:rsidR="003D7B53" w:rsidRPr="00E10446" w14:paraId="7C13101E" w14:textId="77777777" w:rsidTr="003D7B53">
        <w:trPr>
          <w:cnfStyle w:val="100000000000" w:firstRow="1" w:lastRow="0" w:firstColumn="0" w:lastColumn="0" w:oddVBand="0" w:evenVBand="0" w:oddHBand="0" w:evenHBand="0" w:firstRowFirstColumn="0" w:firstRowLastColumn="0" w:lastRowFirstColumn="0" w:lastRowLastColumn="0"/>
          <w:trHeight w:hRule="exact" w:val="352"/>
          <w:jc w:val="center"/>
        </w:trPr>
        <w:tc>
          <w:tcPr>
            <w:cnfStyle w:val="001000000000" w:firstRow="0" w:lastRow="0" w:firstColumn="1" w:lastColumn="0" w:oddVBand="0" w:evenVBand="0" w:oddHBand="0" w:evenHBand="0" w:firstRowFirstColumn="0" w:firstRowLastColumn="0" w:lastRowFirstColumn="0" w:lastRowLastColumn="0"/>
            <w:tcW w:w="2017" w:type="dxa"/>
          </w:tcPr>
          <w:p w14:paraId="1D203FC1" w14:textId="1185743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Variable</w:t>
            </w:r>
          </w:p>
        </w:tc>
        <w:tc>
          <w:tcPr>
            <w:tcW w:w="1103" w:type="dxa"/>
          </w:tcPr>
          <w:p w14:paraId="793A9D09" w14:textId="47C81BE6"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Coefficient</w:t>
            </w:r>
          </w:p>
        </w:tc>
        <w:tc>
          <w:tcPr>
            <w:tcW w:w="1207" w:type="dxa"/>
          </w:tcPr>
          <w:p w14:paraId="58A75EE0" w14:textId="62E3300D"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Std. Error</w:t>
            </w:r>
          </w:p>
        </w:tc>
        <w:tc>
          <w:tcPr>
            <w:tcW w:w="1208" w:type="dxa"/>
          </w:tcPr>
          <w:p w14:paraId="27EF93EA" w14:textId="40B75956"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t-Statistic</w:t>
            </w:r>
          </w:p>
        </w:tc>
        <w:tc>
          <w:tcPr>
            <w:tcW w:w="997" w:type="dxa"/>
          </w:tcPr>
          <w:p w14:paraId="2D0A3800" w14:textId="54EB0052" w:rsidR="003D7B53" w:rsidRPr="00E10446" w:rsidRDefault="003D7B53" w:rsidP="003D7B5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Prob.*  </w:t>
            </w:r>
          </w:p>
        </w:tc>
      </w:tr>
      <w:tr w:rsidR="003D7B53" w:rsidRPr="00E10446" w14:paraId="6D22370F" w14:textId="77777777" w:rsidTr="003D7B53">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017" w:type="dxa"/>
          </w:tcPr>
          <w:p w14:paraId="025E50FA"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775546E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1D8D318F"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4CB3034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0A90B952"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478B49A8"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6E968C2F"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COINTEQ01</w:t>
            </w:r>
          </w:p>
        </w:tc>
        <w:tc>
          <w:tcPr>
            <w:tcW w:w="1103" w:type="dxa"/>
          </w:tcPr>
          <w:p w14:paraId="208CE089"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-0.071331</w:t>
            </w:r>
          </w:p>
        </w:tc>
        <w:tc>
          <w:tcPr>
            <w:tcW w:w="1207" w:type="dxa"/>
          </w:tcPr>
          <w:p w14:paraId="578EAC2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0.049090</w:t>
            </w:r>
          </w:p>
        </w:tc>
        <w:tc>
          <w:tcPr>
            <w:tcW w:w="1208" w:type="dxa"/>
          </w:tcPr>
          <w:p w14:paraId="1770345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-1.453060</w:t>
            </w:r>
          </w:p>
        </w:tc>
        <w:tc>
          <w:tcPr>
            <w:tcW w:w="997" w:type="dxa"/>
          </w:tcPr>
          <w:p w14:paraId="46946FA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0.1487</w:t>
            </w:r>
          </w:p>
        </w:tc>
      </w:tr>
      <w:tr w:rsidR="003D7B53" w:rsidRPr="00E10446" w14:paraId="64ED0DE1"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4595878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D(RENC_POS)</w:t>
            </w:r>
          </w:p>
        </w:tc>
        <w:tc>
          <w:tcPr>
            <w:tcW w:w="1103" w:type="dxa"/>
          </w:tcPr>
          <w:p w14:paraId="147D033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-0.023087</w:t>
            </w:r>
          </w:p>
        </w:tc>
        <w:tc>
          <w:tcPr>
            <w:tcW w:w="1207" w:type="dxa"/>
          </w:tcPr>
          <w:p w14:paraId="1AF0044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0.016461</w:t>
            </w:r>
          </w:p>
        </w:tc>
        <w:tc>
          <w:tcPr>
            <w:tcW w:w="1208" w:type="dxa"/>
          </w:tcPr>
          <w:p w14:paraId="04E2033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-1.402563</w:t>
            </w:r>
          </w:p>
        </w:tc>
        <w:tc>
          <w:tcPr>
            <w:tcW w:w="997" w:type="dxa"/>
          </w:tcPr>
          <w:p w14:paraId="6DA16D5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0.1632</w:t>
            </w:r>
          </w:p>
        </w:tc>
      </w:tr>
      <w:tr w:rsidR="003D7B53" w:rsidRPr="00E10446" w14:paraId="66351B53"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753A5810"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D(RENC_NEG)</w:t>
            </w:r>
          </w:p>
        </w:tc>
        <w:tc>
          <w:tcPr>
            <w:tcW w:w="1103" w:type="dxa"/>
          </w:tcPr>
          <w:p w14:paraId="5A514A2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0.044489</w:t>
            </w:r>
          </w:p>
        </w:tc>
        <w:tc>
          <w:tcPr>
            <w:tcW w:w="1207" w:type="dxa"/>
          </w:tcPr>
          <w:p w14:paraId="7B96D38B"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0.025048</w:t>
            </w:r>
          </w:p>
        </w:tc>
        <w:tc>
          <w:tcPr>
            <w:tcW w:w="1208" w:type="dxa"/>
          </w:tcPr>
          <w:p w14:paraId="643E74B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1.776110</w:t>
            </w:r>
          </w:p>
        </w:tc>
        <w:tc>
          <w:tcPr>
            <w:tcW w:w="997" w:type="dxa"/>
          </w:tcPr>
          <w:p w14:paraId="4B10FFE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0.0782</w:t>
            </w:r>
          </w:p>
        </w:tc>
      </w:tr>
      <w:tr w:rsidR="003D7B53" w:rsidRPr="00E10446" w14:paraId="1C5076B9"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1E662F06"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D(NRECN_POS)</w:t>
            </w:r>
          </w:p>
        </w:tc>
        <w:tc>
          <w:tcPr>
            <w:tcW w:w="1103" w:type="dxa"/>
          </w:tcPr>
          <w:p w14:paraId="5126B3EC"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0.017643</w:t>
            </w:r>
          </w:p>
        </w:tc>
        <w:tc>
          <w:tcPr>
            <w:tcW w:w="1207" w:type="dxa"/>
          </w:tcPr>
          <w:p w14:paraId="54D14E28"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0.014267</w:t>
            </w:r>
          </w:p>
        </w:tc>
        <w:tc>
          <w:tcPr>
            <w:tcW w:w="1208" w:type="dxa"/>
          </w:tcPr>
          <w:p w14:paraId="7CB0442C"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1.236625</w:t>
            </w:r>
          </w:p>
        </w:tc>
        <w:tc>
          <w:tcPr>
            <w:tcW w:w="997" w:type="dxa"/>
          </w:tcPr>
          <w:p w14:paraId="11343E8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0.2186</w:t>
            </w:r>
          </w:p>
        </w:tc>
      </w:tr>
      <w:tr w:rsidR="003D7B53" w:rsidRPr="00E10446" w14:paraId="4CAD0D7E"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55E76655"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D(NRECN_NEG)</w:t>
            </w:r>
          </w:p>
        </w:tc>
        <w:tc>
          <w:tcPr>
            <w:tcW w:w="1103" w:type="dxa"/>
          </w:tcPr>
          <w:p w14:paraId="294D9D8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0.035532</w:t>
            </w:r>
          </w:p>
        </w:tc>
        <w:tc>
          <w:tcPr>
            <w:tcW w:w="1207" w:type="dxa"/>
          </w:tcPr>
          <w:p w14:paraId="21A104E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0.042380</w:t>
            </w:r>
          </w:p>
        </w:tc>
        <w:tc>
          <w:tcPr>
            <w:tcW w:w="1208" w:type="dxa"/>
          </w:tcPr>
          <w:p w14:paraId="394703D7"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0.838410</w:t>
            </w:r>
          </w:p>
        </w:tc>
        <w:tc>
          <w:tcPr>
            <w:tcW w:w="997" w:type="dxa"/>
          </w:tcPr>
          <w:p w14:paraId="746B1FBA"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0.4034</w:t>
            </w:r>
          </w:p>
        </w:tc>
      </w:tr>
      <w:tr w:rsidR="003D7B53" w:rsidRPr="00E10446" w14:paraId="6B3B649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5EB7C68"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D(LAP)</w:t>
            </w:r>
          </w:p>
        </w:tc>
        <w:tc>
          <w:tcPr>
            <w:tcW w:w="1103" w:type="dxa"/>
          </w:tcPr>
          <w:p w14:paraId="56106F4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1.631771</w:t>
            </w:r>
          </w:p>
        </w:tc>
        <w:tc>
          <w:tcPr>
            <w:tcW w:w="1207" w:type="dxa"/>
          </w:tcPr>
          <w:p w14:paraId="4F8909C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0.568859</w:t>
            </w:r>
          </w:p>
        </w:tc>
        <w:tc>
          <w:tcPr>
            <w:tcW w:w="1208" w:type="dxa"/>
          </w:tcPr>
          <w:p w14:paraId="5748BFC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2.868499</w:t>
            </w:r>
          </w:p>
        </w:tc>
        <w:tc>
          <w:tcPr>
            <w:tcW w:w="997" w:type="dxa"/>
          </w:tcPr>
          <w:p w14:paraId="1CF12C40"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0.0048</w:t>
            </w:r>
          </w:p>
        </w:tc>
      </w:tr>
      <w:tr w:rsidR="003D7B53" w:rsidRPr="00E10446" w14:paraId="20AE658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60900BA4"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D(GDP)</w:t>
            </w:r>
          </w:p>
        </w:tc>
        <w:tc>
          <w:tcPr>
            <w:tcW w:w="1103" w:type="dxa"/>
          </w:tcPr>
          <w:p w14:paraId="111B715E"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-0.000138</w:t>
            </w:r>
          </w:p>
        </w:tc>
        <w:tc>
          <w:tcPr>
            <w:tcW w:w="1207" w:type="dxa"/>
          </w:tcPr>
          <w:p w14:paraId="64D8CE0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0.000217</w:t>
            </w:r>
          </w:p>
        </w:tc>
        <w:tc>
          <w:tcPr>
            <w:tcW w:w="1208" w:type="dxa"/>
          </w:tcPr>
          <w:p w14:paraId="6C63F8AB"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-0.633431</w:t>
            </w:r>
          </w:p>
        </w:tc>
        <w:tc>
          <w:tcPr>
            <w:tcW w:w="997" w:type="dxa"/>
          </w:tcPr>
          <w:p w14:paraId="52479F1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0.5276</w:t>
            </w:r>
          </w:p>
        </w:tc>
      </w:tr>
      <w:tr w:rsidR="003D7B53" w:rsidRPr="00E10446" w14:paraId="56BDA64F"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5D7AE7A1"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r w:rsidRPr="00E10446">
              <w:rPr>
                <w:rFonts w:ascii="Times New Roman" w:hAnsi="Times New Roman" w:cs="Times New Roman"/>
                <w:color w:val="000000"/>
                <w:sz w:val="18"/>
                <w:szCs w:val="18"/>
              </w:rPr>
              <w:t>C</w:t>
            </w:r>
          </w:p>
        </w:tc>
        <w:tc>
          <w:tcPr>
            <w:tcW w:w="1103" w:type="dxa"/>
          </w:tcPr>
          <w:p w14:paraId="4F14ECAB"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8.756810</w:t>
            </w:r>
          </w:p>
        </w:tc>
        <w:tc>
          <w:tcPr>
            <w:tcW w:w="1207" w:type="dxa"/>
          </w:tcPr>
          <w:p w14:paraId="70C84C83"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5.834641</w:t>
            </w:r>
          </w:p>
        </w:tc>
        <w:tc>
          <w:tcPr>
            <w:tcW w:w="1208" w:type="dxa"/>
          </w:tcPr>
          <w:p w14:paraId="4F2C291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1.500831</w:t>
            </w:r>
          </w:p>
        </w:tc>
        <w:tc>
          <w:tcPr>
            <w:tcW w:w="997" w:type="dxa"/>
          </w:tcPr>
          <w:p w14:paraId="6C320A2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0.1359</w:t>
            </w:r>
          </w:p>
        </w:tc>
      </w:tr>
      <w:tr w:rsidR="003D7B53" w:rsidRPr="00E10446" w14:paraId="35485BA1"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017" w:type="dxa"/>
          </w:tcPr>
          <w:p w14:paraId="44A1FAA4"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15194C88"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0699C6EA"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5470B9C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0392E42E"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3D7B53" w:rsidRPr="00E10446" w14:paraId="3DA2A31E"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0DBB9557"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Mean dependent var</w:t>
            </w:r>
          </w:p>
        </w:tc>
        <w:tc>
          <w:tcPr>
            <w:tcW w:w="1103" w:type="dxa"/>
          </w:tcPr>
          <w:p w14:paraId="705CED5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0.336970</w:t>
            </w:r>
          </w:p>
        </w:tc>
        <w:tc>
          <w:tcPr>
            <w:tcW w:w="2415" w:type="dxa"/>
            <w:gridSpan w:val="2"/>
          </w:tcPr>
          <w:p w14:paraId="380B02EB"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S.D. dependent var</w:t>
            </w:r>
          </w:p>
        </w:tc>
        <w:tc>
          <w:tcPr>
            <w:tcW w:w="997" w:type="dxa"/>
          </w:tcPr>
          <w:p w14:paraId="197BCE36"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0.287100</w:t>
            </w:r>
          </w:p>
        </w:tc>
      </w:tr>
      <w:tr w:rsidR="003D7B53" w:rsidRPr="00E10446" w14:paraId="1451C6B3"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35883E7"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S.E. of regression</w:t>
            </w:r>
          </w:p>
        </w:tc>
        <w:tc>
          <w:tcPr>
            <w:tcW w:w="1103" w:type="dxa"/>
          </w:tcPr>
          <w:p w14:paraId="15C8EBC5"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0.229504</w:t>
            </w:r>
          </w:p>
        </w:tc>
        <w:tc>
          <w:tcPr>
            <w:tcW w:w="2415" w:type="dxa"/>
            <w:gridSpan w:val="2"/>
          </w:tcPr>
          <w:p w14:paraId="5809968B"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Akaike info criterion</w:t>
            </w:r>
          </w:p>
        </w:tc>
        <w:tc>
          <w:tcPr>
            <w:tcW w:w="997" w:type="dxa"/>
          </w:tcPr>
          <w:p w14:paraId="02E13242"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0.017654</w:t>
            </w:r>
          </w:p>
        </w:tc>
      </w:tr>
      <w:tr w:rsidR="003D7B53" w:rsidRPr="00E10446" w14:paraId="686FB718"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04087C4"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Sum squared resid</w:t>
            </w:r>
          </w:p>
        </w:tc>
        <w:tc>
          <w:tcPr>
            <w:tcW w:w="1103" w:type="dxa"/>
          </w:tcPr>
          <w:p w14:paraId="66A5204D"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6.531318</w:t>
            </w:r>
          </w:p>
        </w:tc>
        <w:tc>
          <w:tcPr>
            <w:tcW w:w="2415" w:type="dxa"/>
            <w:gridSpan w:val="2"/>
          </w:tcPr>
          <w:p w14:paraId="67D5095B"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Schwarz criterion</w:t>
            </w:r>
          </w:p>
        </w:tc>
        <w:tc>
          <w:tcPr>
            <w:tcW w:w="997" w:type="dxa"/>
          </w:tcPr>
          <w:p w14:paraId="72D4CAA9"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0.866164</w:t>
            </w:r>
          </w:p>
        </w:tc>
      </w:tr>
      <w:tr w:rsidR="003D7B53" w:rsidRPr="00E10446" w14:paraId="0BBF8127" w14:textId="77777777" w:rsidTr="003D7B53">
        <w:trPr>
          <w:trHeight w:val="225"/>
          <w:jc w:val="center"/>
        </w:trPr>
        <w:tc>
          <w:tcPr>
            <w:cnfStyle w:val="001000000000" w:firstRow="0" w:lastRow="0" w:firstColumn="1" w:lastColumn="0" w:oddVBand="0" w:evenVBand="0" w:oddHBand="0" w:evenHBand="0" w:firstRowFirstColumn="0" w:firstRowLastColumn="0" w:lastRowFirstColumn="0" w:lastRowLastColumn="0"/>
            <w:tcW w:w="2017" w:type="dxa"/>
          </w:tcPr>
          <w:p w14:paraId="20CFFDBF" w14:textId="77777777" w:rsidR="003D7B53" w:rsidRPr="00E10446" w:rsidRDefault="003D7B53" w:rsidP="003D7B53">
            <w:pPr>
              <w:autoSpaceDE w:val="0"/>
              <w:autoSpaceDN w:val="0"/>
              <w:adjustRightInd w:val="0"/>
              <w:rPr>
                <w:rFonts w:ascii="Times New Roman" w:hAnsi="Times New Roman" w:cs="Times New Roman"/>
                <w:color w:val="000000"/>
                <w:sz w:val="18"/>
                <w:szCs w:val="18"/>
              </w:rPr>
            </w:pPr>
            <w:r w:rsidRPr="00E10446">
              <w:rPr>
                <w:rFonts w:ascii="Times New Roman" w:hAnsi="Times New Roman" w:cs="Times New Roman"/>
                <w:color w:val="000000"/>
                <w:sz w:val="18"/>
                <w:szCs w:val="18"/>
              </w:rPr>
              <w:t>Log likelihood</w:t>
            </w:r>
          </w:p>
        </w:tc>
        <w:tc>
          <w:tcPr>
            <w:tcW w:w="1103" w:type="dxa"/>
          </w:tcPr>
          <w:p w14:paraId="66463CAF"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44.49941</w:t>
            </w:r>
          </w:p>
        </w:tc>
        <w:tc>
          <w:tcPr>
            <w:tcW w:w="2415" w:type="dxa"/>
            <w:gridSpan w:val="2"/>
          </w:tcPr>
          <w:p w14:paraId="2F92FD89" w14:textId="77777777" w:rsidR="003D7B53" w:rsidRPr="00E10446" w:rsidRDefault="003D7B53" w:rsidP="003D7B53">
            <w:pPr>
              <w:autoSpaceDE w:val="0"/>
              <w:autoSpaceDN w:val="0"/>
              <w:adjustRightInd w:val="0"/>
              <w:ind w:right="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    Hannan-Quinn </w:t>
            </w:r>
            <w:proofErr w:type="spellStart"/>
            <w:r w:rsidRPr="00E10446">
              <w:rPr>
                <w:rFonts w:ascii="Times New Roman" w:hAnsi="Times New Roman" w:cs="Times New Roman"/>
                <w:color w:val="000000"/>
                <w:sz w:val="18"/>
                <w:szCs w:val="18"/>
              </w:rPr>
              <w:t>criter</w:t>
            </w:r>
            <w:proofErr w:type="spellEnd"/>
            <w:r w:rsidRPr="00E10446">
              <w:rPr>
                <w:rFonts w:ascii="Times New Roman" w:hAnsi="Times New Roman" w:cs="Times New Roman"/>
                <w:color w:val="000000"/>
                <w:sz w:val="18"/>
                <w:szCs w:val="18"/>
              </w:rPr>
              <w:t>.</w:t>
            </w:r>
          </w:p>
        </w:tc>
        <w:tc>
          <w:tcPr>
            <w:tcW w:w="997" w:type="dxa"/>
          </w:tcPr>
          <w:p w14:paraId="35154331" w14:textId="77777777" w:rsidR="003D7B53" w:rsidRPr="00E10446" w:rsidRDefault="003D7B53" w:rsidP="003D7B5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0.361970</w:t>
            </w:r>
          </w:p>
        </w:tc>
      </w:tr>
      <w:tr w:rsidR="003D7B53" w:rsidRPr="00E10446" w14:paraId="09A590F8" w14:textId="77777777" w:rsidTr="003D7B53">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017" w:type="dxa"/>
          </w:tcPr>
          <w:p w14:paraId="4CCA5A2F" w14:textId="77777777" w:rsidR="003D7B53" w:rsidRPr="00E10446" w:rsidRDefault="003D7B53" w:rsidP="003D7B53">
            <w:pPr>
              <w:autoSpaceDE w:val="0"/>
              <w:autoSpaceDN w:val="0"/>
              <w:adjustRightInd w:val="0"/>
              <w:jc w:val="center"/>
              <w:rPr>
                <w:rFonts w:ascii="Times New Roman" w:hAnsi="Times New Roman" w:cs="Times New Roman"/>
                <w:color w:val="000000"/>
                <w:sz w:val="18"/>
                <w:szCs w:val="18"/>
              </w:rPr>
            </w:pPr>
          </w:p>
        </w:tc>
        <w:tc>
          <w:tcPr>
            <w:tcW w:w="1103" w:type="dxa"/>
          </w:tcPr>
          <w:p w14:paraId="09F28C94"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7" w:type="dxa"/>
          </w:tcPr>
          <w:p w14:paraId="3907B287"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208" w:type="dxa"/>
          </w:tcPr>
          <w:p w14:paraId="7758B7B0"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997" w:type="dxa"/>
          </w:tcPr>
          <w:p w14:paraId="218BC231" w14:textId="77777777" w:rsidR="003D7B53" w:rsidRPr="00E10446" w:rsidRDefault="003D7B53" w:rsidP="003D7B5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4CB6FADE" w14:textId="4BC91D8D" w:rsidR="003D7B53" w:rsidRPr="00E10446" w:rsidRDefault="003D7B53" w:rsidP="003D7B53">
      <w:pPr>
        <w:autoSpaceDE w:val="0"/>
        <w:autoSpaceDN w:val="0"/>
        <w:adjustRightInd w:val="0"/>
        <w:spacing w:after="0" w:line="240" w:lineRule="auto"/>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 xml:space="preserve">                            Dependent variable: POV </w:t>
      </w:r>
    </w:p>
    <w:p w14:paraId="22C30146" w14:textId="1CE1B0A7" w:rsidR="003D7B53" w:rsidRPr="00E10446" w:rsidRDefault="003D7B53" w:rsidP="003D7B53">
      <w:pPr>
        <w:spacing w:after="0" w:line="240" w:lineRule="auto"/>
        <w:ind w:left="720"/>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2D6ED816" w14:textId="07848A92" w:rsidR="00FA6A57" w:rsidRPr="00E10446" w:rsidRDefault="00D92E57" w:rsidP="00DF598E">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 xml:space="preserve">The </w:t>
      </w:r>
      <w:r w:rsidR="008904BC" w:rsidRPr="008904BC">
        <w:rPr>
          <w:rStyle w:val="katex-mathml"/>
          <w:rFonts w:ascii="Times New Roman" w:hAnsi="Times New Roman" w:cs="Times New Roman"/>
          <w:sz w:val="24"/>
          <w:szCs w:val="24"/>
        </w:rPr>
        <w:t>short-run NARDL results reveal asymmetric energy–poverty dynamics with mixed empirical support. The poverty-reducing effect of positive renewable shocks aligns with findings that clean energy contributes to welfare improvements, though often with varying magnitudes across contexts (</w:t>
      </w:r>
      <w:proofErr w:type="spellStart"/>
      <w:r w:rsidR="008904BC" w:rsidRPr="008904BC">
        <w:rPr>
          <w:rStyle w:val="katex-mathml"/>
          <w:rFonts w:ascii="Times New Roman" w:hAnsi="Times New Roman" w:cs="Times New Roman"/>
          <w:sz w:val="24"/>
          <w:szCs w:val="24"/>
        </w:rPr>
        <w:t>Kettani</w:t>
      </w:r>
      <w:proofErr w:type="spellEnd"/>
      <w:r w:rsidR="008904BC" w:rsidRPr="008904BC">
        <w:rPr>
          <w:rStyle w:val="katex-mathml"/>
          <w:rFonts w:ascii="Times New Roman" w:hAnsi="Times New Roman" w:cs="Times New Roman"/>
          <w:sz w:val="24"/>
          <w:szCs w:val="24"/>
        </w:rPr>
        <w:t xml:space="preserve"> &amp; Sanin, 2024; Lin et al., 2023). The adverse impact of negative renewable shocks is consistent with evidence that energy deprivation worsens poverty outcomes (</w:t>
      </w:r>
      <w:proofErr w:type="spellStart"/>
      <w:r w:rsidR="008904BC" w:rsidRPr="008904BC">
        <w:rPr>
          <w:rStyle w:val="katex-mathml"/>
          <w:rFonts w:ascii="Times New Roman" w:hAnsi="Times New Roman" w:cs="Times New Roman"/>
          <w:sz w:val="24"/>
          <w:szCs w:val="24"/>
        </w:rPr>
        <w:t>Compaoré</w:t>
      </w:r>
      <w:proofErr w:type="spellEnd"/>
      <w:r w:rsidR="008904BC" w:rsidRPr="008904BC">
        <w:rPr>
          <w:rStyle w:val="katex-mathml"/>
          <w:rFonts w:ascii="Times New Roman" w:hAnsi="Times New Roman" w:cs="Times New Roman"/>
          <w:sz w:val="24"/>
          <w:szCs w:val="24"/>
        </w:rPr>
        <w:t xml:space="preserve"> et al., 2024). The insignificant and poverty-increasing effects of non-renewable energy shocks support studies showing weaker or inconsistent welfare benefits of fossil energy (Adebayo et al., 2025; </w:t>
      </w:r>
      <w:proofErr w:type="spellStart"/>
      <w:r w:rsidR="008904BC" w:rsidRPr="008904BC">
        <w:rPr>
          <w:rStyle w:val="katex-mathml"/>
          <w:rFonts w:ascii="Times New Roman" w:hAnsi="Times New Roman" w:cs="Times New Roman"/>
          <w:sz w:val="24"/>
          <w:szCs w:val="24"/>
        </w:rPr>
        <w:t>Jinapor</w:t>
      </w:r>
      <w:proofErr w:type="spellEnd"/>
      <w:r w:rsidR="008904BC" w:rsidRPr="008904BC">
        <w:rPr>
          <w:rStyle w:val="katex-mathml"/>
          <w:rFonts w:ascii="Times New Roman" w:hAnsi="Times New Roman" w:cs="Times New Roman"/>
          <w:sz w:val="24"/>
          <w:szCs w:val="24"/>
        </w:rPr>
        <w:t xml:space="preserve"> et al., 2025). The positive effect of labour productivity </w:t>
      </w:r>
      <w:r w:rsidR="00191CBB">
        <w:rPr>
          <w:rStyle w:val="katex-mathml"/>
          <w:rFonts w:ascii="Times New Roman" w:hAnsi="Times New Roman" w:cs="Times New Roman"/>
          <w:sz w:val="24"/>
          <w:szCs w:val="24"/>
        </w:rPr>
        <w:t xml:space="preserve">(LAP) </w:t>
      </w:r>
      <w:r w:rsidR="008904BC" w:rsidRPr="008904BC">
        <w:rPr>
          <w:rStyle w:val="katex-mathml"/>
          <w:rFonts w:ascii="Times New Roman" w:hAnsi="Times New Roman" w:cs="Times New Roman"/>
          <w:sz w:val="24"/>
          <w:szCs w:val="24"/>
        </w:rPr>
        <w:t xml:space="preserve">on poverty reflects structural inefficiencies, </w:t>
      </w:r>
      <w:r w:rsidR="00191CBB" w:rsidRPr="00191CBB">
        <w:rPr>
          <w:rStyle w:val="katex-mathml"/>
          <w:rFonts w:ascii="Times New Roman" w:hAnsi="Times New Roman" w:cs="Times New Roman"/>
          <w:sz w:val="24"/>
          <w:szCs w:val="24"/>
        </w:rPr>
        <w:t>consistent with</w:t>
      </w:r>
      <w:r w:rsidR="008904BC" w:rsidRPr="008904BC">
        <w:rPr>
          <w:rStyle w:val="katex-mathml"/>
          <w:rFonts w:ascii="Times New Roman" w:hAnsi="Times New Roman" w:cs="Times New Roman"/>
          <w:sz w:val="24"/>
          <w:szCs w:val="24"/>
        </w:rPr>
        <w:t xml:space="preserve"> Leal Filho et al. (2024). Finally, </w:t>
      </w:r>
      <w:r w:rsidR="00191CBB" w:rsidRPr="00191CBB">
        <w:rPr>
          <w:rStyle w:val="katex-mathml"/>
          <w:rFonts w:ascii="Times New Roman" w:hAnsi="Times New Roman" w:cs="Times New Roman"/>
          <w:sz w:val="24"/>
          <w:szCs w:val="24"/>
        </w:rPr>
        <w:t>GDP shows negligible impact, aligning with Lin Gao and Yang (2023)</w:t>
      </w:r>
      <w:r w:rsidR="00191CBB">
        <w:rPr>
          <w:rStyle w:val="katex-mathml"/>
          <w:rFonts w:ascii="Times New Roman" w:hAnsi="Times New Roman" w:cs="Times New Roman"/>
          <w:sz w:val="24"/>
          <w:szCs w:val="24"/>
        </w:rPr>
        <w:t>. T</w:t>
      </w:r>
      <w:r w:rsidR="008904BC" w:rsidRPr="008904BC">
        <w:rPr>
          <w:rStyle w:val="katex-mathml"/>
          <w:rFonts w:ascii="Times New Roman" w:hAnsi="Times New Roman" w:cs="Times New Roman"/>
          <w:sz w:val="24"/>
          <w:szCs w:val="24"/>
        </w:rPr>
        <w:t>he negligible GDP effect supports arguments that growth alone is insufficient for poverty reduction without inclusive mechanisms (Sy et al., 2022)</w:t>
      </w:r>
      <w:r w:rsidRPr="00E10446">
        <w:rPr>
          <w:rStyle w:val="katex-mathml"/>
          <w:rFonts w:ascii="Times New Roman" w:hAnsi="Times New Roman" w:cs="Times New Roman"/>
          <w:sz w:val="24"/>
          <w:szCs w:val="24"/>
        </w:rPr>
        <w:t>.</w:t>
      </w:r>
    </w:p>
    <w:p w14:paraId="3920A44D" w14:textId="5C0B0294" w:rsidR="00DA5CB2" w:rsidRPr="00E10446" w:rsidRDefault="003D7B53" w:rsidP="00D03FD0">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Table 7: </w:t>
      </w:r>
      <w:r w:rsidR="00D03FD0" w:rsidRPr="00E10446">
        <w:rPr>
          <w:rStyle w:val="katex-mathml"/>
          <w:rFonts w:ascii="Times New Roman" w:hAnsi="Times New Roman" w:cs="Times New Roman"/>
          <w:b/>
          <w:bCs/>
          <w:sz w:val="24"/>
          <w:szCs w:val="24"/>
        </w:rPr>
        <w:t>Quantile Regression (Median)</w:t>
      </w:r>
    </w:p>
    <w:tbl>
      <w:tblPr>
        <w:tblStyle w:val="PlainTable2"/>
        <w:tblW w:w="0" w:type="auto"/>
        <w:jc w:val="center"/>
        <w:tblLook w:val="06A0" w:firstRow="1" w:lastRow="0" w:firstColumn="1" w:lastColumn="0" w:noHBand="1" w:noVBand="1"/>
      </w:tblPr>
      <w:tblGrid>
        <w:gridCol w:w="1035"/>
        <w:gridCol w:w="1186"/>
        <w:gridCol w:w="767"/>
        <w:gridCol w:w="1186"/>
        <w:gridCol w:w="767"/>
        <w:gridCol w:w="1186"/>
        <w:gridCol w:w="830"/>
        <w:gridCol w:w="1186"/>
        <w:gridCol w:w="767"/>
      </w:tblGrid>
      <w:tr w:rsidR="00FF0F80" w:rsidRPr="00E10446" w14:paraId="38E902D3" w14:textId="77777777" w:rsidTr="00FF0F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5" w:type="dxa"/>
          </w:tcPr>
          <w:p w14:paraId="5C05D110" w14:textId="77777777" w:rsidR="00FF0F80" w:rsidRPr="00E10446" w:rsidRDefault="00FF0F80" w:rsidP="009D3561">
            <w:pPr>
              <w:rPr>
                <w:rFonts w:ascii="Times New Roman" w:hAnsi="Times New Roman" w:cs="Times New Roman"/>
              </w:rPr>
            </w:pPr>
          </w:p>
        </w:tc>
        <w:tc>
          <w:tcPr>
            <w:tcW w:w="3906" w:type="dxa"/>
            <w:gridSpan w:val="4"/>
          </w:tcPr>
          <w:p w14:paraId="66324AEC" w14:textId="77777777" w:rsidR="00FF0F80" w:rsidRPr="00E10446" w:rsidRDefault="00FF0F80" w:rsidP="009D35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Lower Quantile</w:t>
            </w:r>
          </w:p>
        </w:tc>
        <w:tc>
          <w:tcPr>
            <w:tcW w:w="3969" w:type="dxa"/>
            <w:gridSpan w:val="4"/>
          </w:tcPr>
          <w:p w14:paraId="32712018" w14:textId="77777777" w:rsidR="00FF0F80" w:rsidRPr="00E10446" w:rsidRDefault="00FF0F80" w:rsidP="009D35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Upper Quantile</w:t>
            </w:r>
          </w:p>
        </w:tc>
      </w:tr>
      <w:tr w:rsidR="00FF0F80" w:rsidRPr="00E10446" w14:paraId="3AEF67C6"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5E1E24C7" w14:textId="77777777" w:rsidR="00FF0F80" w:rsidRPr="00E10446" w:rsidRDefault="00FF0F80" w:rsidP="009D3561">
            <w:pPr>
              <w:rPr>
                <w:rFonts w:ascii="Times New Roman" w:hAnsi="Times New Roman" w:cs="Times New Roman"/>
              </w:rPr>
            </w:pPr>
          </w:p>
        </w:tc>
        <w:tc>
          <w:tcPr>
            <w:tcW w:w="1953" w:type="dxa"/>
            <w:gridSpan w:val="2"/>
          </w:tcPr>
          <w:p w14:paraId="4575D51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0.10)</w:t>
            </w:r>
          </w:p>
        </w:tc>
        <w:tc>
          <w:tcPr>
            <w:tcW w:w="1953" w:type="dxa"/>
            <w:gridSpan w:val="2"/>
          </w:tcPr>
          <w:p w14:paraId="547D85D0" w14:textId="77777777" w:rsidR="00FF0F80" w:rsidRPr="00E10446" w:rsidRDefault="00FF0F80" w:rsidP="009D356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0.20)</w:t>
            </w:r>
          </w:p>
        </w:tc>
        <w:tc>
          <w:tcPr>
            <w:tcW w:w="2016" w:type="dxa"/>
            <w:gridSpan w:val="2"/>
          </w:tcPr>
          <w:p w14:paraId="6E8352F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0.80)</w:t>
            </w:r>
          </w:p>
        </w:tc>
        <w:tc>
          <w:tcPr>
            <w:tcW w:w="1953" w:type="dxa"/>
            <w:gridSpan w:val="2"/>
          </w:tcPr>
          <w:p w14:paraId="3F12450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Method: Quantile Regression (tau = 0.90)</w:t>
            </w:r>
          </w:p>
        </w:tc>
      </w:tr>
      <w:tr w:rsidR="00FF0F80" w:rsidRPr="00E10446" w14:paraId="46EC9027"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0D6CFA4A" w14:textId="77777777" w:rsidR="00FF0F80" w:rsidRPr="00E10446" w:rsidRDefault="00FF0F80" w:rsidP="009D3561">
            <w:pPr>
              <w:rPr>
                <w:rFonts w:ascii="Times New Roman" w:hAnsi="Times New Roman" w:cs="Times New Roman"/>
              </w:rPr>
            </w:pPr>
            <w:r w:rsidRPr="00E10446">
              <w:rPr>
                <w:rFonts w:ascii="Times New Roman" w:hAnsi="Times New Roman" w:cs="Times New Roman"/>
              </w:rPr>
              <w:t>Variable</w:t>
            </w:r>
          </w:p>
        </w:tc>
        <w:tc>
          <w:tcPr>
            <w:tcW w:w="1186" w:type="dxa"/>
          </w:tcPr>
          <w:p w14:paraId="28CA96D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767" w:type="dxa"/>
          </w:tcPr>
          <w:p w14:paraId="7F0890A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c>
          <w:tcPr>
            <w:tcW w:w="1186" w:type="dxa"/>
          </w:tcPr>
          <w:p w14:paraId="06A2A13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767" w:type="dxa"/>
          </w:tcPr>
          <w:p w14:paraId="280EFA78"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c>
          <w:tcPr>
            <w:tcW w:w="1186" w:type="dxa"/>
          </w:tcPr>
          <w:p w14:paraId="61AB985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830" w:type="dxa"/>
          </w:tcPr>
          <w:p w14:paraId="0F0158FE"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c>
          <w:tcPr>
            <w:tcW w:w="1186" w:type="dxa"/>
          </w:tcPr>
          <w:p w14:paraId="41BFD20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Coefficient</w:t>
            </w:r>
          </w:p>
        </w:tc>
        <w:tc>
          <w:tcPr>
            <w:tcW w:w="767" w:type="dxa"/>
          </w:tcPr>
          <w:p w14:paraId="76E8400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10446">
              <w:rPr>
                <w:rFonts w:ascii="Times New Roman" w:hAnsi="Times New Roman" w:cs="Times New Roman"/>
                <w:b/>
                <w:bCs/>
                <w:sz w:val="20"/>
                <w:szCs w:val="20"/>
              </w:rPr>
              <w:t>Prob.</w:t>
            </w:r>
          </w:p>
        </w:tc>
      </w:tr>
      <w:tr w:rsidR="00FF0F80" w:rsidRPr="00E10446" w14:paraId="3B4AA8AB"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7C62F2B8"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lastRenderedPageBreak/>
              <w:t>RENC</w:t>
            </w:r>
          </w:p>
        </w:tc>
        <w:tc>
          <w:tcPr>
            <w:tcW w:w="1186" w:type="dxa"/>
          </w:tcPr>
          <w:p w14:paraId="7B0672C7"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-0.304840</w:t>
            </w:r>
          </w:p>
        </w:tc>
        <w:tc>
          <w:tcPr>
            <w:tcW w:w="767" w:type="dxa"/>
          </w:tcPr>
          <w:p w14:paraId="416E38E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3C89AC17"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-0.307645</w:t>
            </w:r>
          </w:p>
        </w:tc>
        <w:tc>
          <w:tcPr>
            <w:tcW w:w="767" w:type="dxa"/>
          </w:tcPr>
          <w:p w14:paraId="089BD4B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5D3C023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-0.301675</w:t>
            </w:r>
          </w:p>
        </w:tc>
        <w:tc>
          <w:tcPr>
            <w:tcW w:w="830" w:type="dxa"/>
          </w:tcPr>
          <w:p w14:paraId="622EB9D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0.0000</w:t>
            </w:r>
          </w:p>
        </w:tc>
        <w:tc>
          <w:tcPr>
            <w:tcW w:w="1186" w:type="dxa"/>
          </w:tcPr>
          <w:p w14:paraId="359D867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-0.295706</w:t>
            </w:r>
          </w:p>
        </w:tc>
        <w:tc>
          <w:tcPr>
            <w:tcW w:w="767" w:type="dxa"/>
          </w:tcPr>
          <w:p w14:paraId="773B5C2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r>
      <w:tr w:rsidR="00FF0F80" w:rsidRPr="00E10446" w14:paraId="12DFD484"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3A358F00"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NRECN</w:t>
            </w:r>
          </w:p>
        </w:tc>
        <w:tc>
          <w:tcPr>
            <w:tcW w:w="1186" w:type="dxa"/>
          </w:tcPr>
          <w:p w14:paraId="33BBB58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0.039180</w:t>
            </w:r>
          </w:p>
        </w:tc>
        <w:tc>
          <w:tcPr>
            <w:tcW w:w="767" w:type="dxa"/>
          </w:tcPr>
          <w:p w14:paraId="43302DF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0.3268</w:t>
            </w:r>
          </w:p>
        </w:tc>
        <w:tc>
          <w:tcPr>
            <w:tcW w:w="1186" w:type="dxa"/>
          </w:tcPr>
          <w:p w14:paraId="2A6178B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0.006221</w:t>
            </w:r>
          </w:p>
        </w:tc>
        <w:tc>
          <w:tcPr>
            <w:tcW w:w="767" w:type="dxa"/>
          </w:tcPr>
          <w:p w14:paraId="785FC4B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0.8578</w:t>
            </w:r>
          </w:p>
        </w:tc>
        <w:tc>
          <w:tcPr>
            <w:tcW w:w="1186" w:type="dxa"/>
          </w:tcPr>
          <w:p w14:paraId="0D0B677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 xml:space="preserve"> 0.016469</w:t>
            </w:r>
          </w:p>
        </w:tc>
        <w:tc>
          <w:tcPr>
            <w:tcW w:w="830" w:type="dxa"/>
          </w:tcPr>
          <w:p w14:paraId="098D342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0.0336</w:t>
            </w:r>
          </w:p>
        </w:tc>
        <w:tc>
          <w:tcPr>
            <w:tcW w:w="1186" w:type="dxa"/>
          </w:tcPr>
          <w:p w14:paraId="09164936"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0.012412</w:t>
            </w:r>
          </w:p>
        </w:tc>
        <w:tc>
          <w:tcPr>
            <w:tcW w:w="767" w:type="dxa"/>
          </w:tcPr>
          <w:p w14:paraId="370340F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0.0637</w:t>
            </w:r>
          </w:p>
        </w:tc>
      </w:tr>
      <w:tr w:rsidR="00FF0F80" w:rsidRPr="00E10446" w14:paraId="76C104BA"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2FE899CE"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LAP</w:t>
            </w:r>
          </w:p>
        </w:tc>
        <w:tc>
          <w:tcPr>
            <w:tcW w:w="1186" w:type="dxa"/>
          </w:tcPr>
          <w:p w14:paraId="0961431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-5.742665</w:t>
            </w:r>
          </w:p>
        </w:tc>
        <w:tc>
          <w:tcPr>
            <w:tcW w:w="767" w:type="dxa"/>
          </w:tcPr>
          <w:p w14:paraId="735869C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0.0609</w:t>
            </w:r>
          </w:p>
        </w:tc>
        <w:tc>
          <w:tcPr>
            <w:tcW w:w="1186" w:type="dxa"/>
          </w:tcPr>
          <w:p w14:paraId="21DDF02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-2.972207</w:t>
            </w:r>
          </w:p>
        </w:tc>
        <w:tc>
          <w:tcPr>
            <w:tcW w:w="767" w:type="dxa"/>
          </w:tcPr>
          <w:p w14:paraId="5A51BB6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0.1688</w:t>
            </w:r>
          </w:p>
        </w:tc>
        <w:tc>
          <w:tcPr>
            <w:tcW w:w="1186" w:type="dxa"/>
          </w:tcPr>
          <w:p w14:paraId="0C8EB4E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-0.000415</w:t>
            </w:r>
          </w:p>
        </w:tc>
        <w:tc>
          <w:tcPr>
            <w:tcW w:w="830" w:type="dxa"/>
          </w:tcPr>
          <w:p w14:paraId="59BF105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0.0368</w:t>
            </w:r>
          </w:p>
        </w:tc>
        <w:tc>
          <w:tcPr>
            <w:tcW w:w="1186" w:type="dxa"/>
          </w:tcPr>
          <w:p w14:paraId="11E3585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-0.000373</w:t>
            </w:r>
          </w:p>
        </w:tc>
        <w:tc>
          <w:tcPr>
            <w:tcW w:w="767" w:type="dxa"/>
          </w:tcPr>
          <w:p w14:paraId="59C1B17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0.0569</w:t>
            </w:r>
          </w:p>
        </w:tc>
      </w:tr>
      <w:tr w:rsidR="00FF0F80" w:rsidRPr="00E10446" w14:paraId="5C6AF8E4"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65DF5B1D"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GDP</w:t>
            </w:r>
          </w:p>
        </w:tc>
        <w:tc>
          <w:tcPr>
            <w:tcW w:w="1186" w:type="dxa"/>
          </w:tcPr>
          <w:p w14:paraId="44B75801"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0.003244</w:t>
            </w:r>
          </w:p>
        </w:tc>
        <w:tc>
          <w:tcPr>
            <w:tcW w:w="767" w:type="dxa"/>
          </w:tcPr>
          <w:p w14:paraId="48B7EA7D"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0.0001</w:t>
            </w:r>
          </w:p>
        </w:tc>
        <w:tc>
          <w:tcPr>
            <w:tcW w:w="1186" w:type="dxa"/>
          </w:tcPr>
          <w:p w14:paraId="52ABAC3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0.002802</w:t>
            </w:r>
          </w:p>
        </w:tc>
        <w:tc>
          <w:tcPr>
            <w:tcW w:w="767" w:type="dxa"/>
          </w:tcPr>
          <w:p w14:paraId="1EFB1FB7"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0.0010</w:t>
            </w:r>
          </w:p>
        </w:tc>
        <w:tc>
          <w:tcPr>
            <w:tcW w:w="1186" w:type="dxa"/>
          </w:tcPr>
          <w:p w14:paraId="22FC5F8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0.000650</w:t>
            </w:r>
          </w:p>
        </w:tc>
        <w:tc>
          <w:tcPr>
            <w:tcW w:w="830" w:type="dxa"/>
          </w:tcPr>
          <w:p w14:paraId="46E8E8A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0.4863</w:t>
            </w:r>
          </w:p>
        </w:tc>
        <w:tc>
          <w:tcPr>
            <w:tcW w:w="1186" w:type="dxa"/>
          </w:tcPr>
          <w:p w14:paraId="7031194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0.000640</w:t>
            </w:r>
          </w:p>
        </w:tc>
        <w:tc>
          <w:tcPr>
            <w:tcW w:w="767" w:type="dxa"/>
          </w:tcPr>
          <w:p w14:paraId="26A3290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0.4903</w:t>
            </w:r>
          </w:p>
        </w:tc>
      </w:tr>
      <w:tr w:rsidR="00FF0F80" w:rsidRPr="00E10446" w14:paraId="2F64CCBF" w14:textId="77777777" w:rsidTr="00FF0F80">
        <w:trPr>
          <w:jc w:val="center"/>
        </w:trPr>
        <w:tc>
          <w:tcPr>
            <w:cnfStyle w:val="001000000000" w:firstRow="0" w:lastRow="0" w:firstColumn="1" w:lastColumn="0" w:oddVBand="0" w:evenVBand="0" w:oddHBand="0" w:evenHBand="0" w:firstRowFirstColumn="0" w:firstRowLastColumn="0" w:lastRowFirstColumn="0" w:lastRowLastColumn="0"/>
            <w:tcW w:w="1035" w:type="dxa"/>
          </w:tcPr>
          <w:p w14:paraId="0EDB37DF" w14:textId="77777777" w:rsidR="00FF0F80" w:rsidRPr="00E10446" w:rsidRDefault="00FF0F80" w:rsidP="00FF0F80">
            <w:pPr>
              <w:jc w:val="center"/>
              <w:rPr>
                <w:rFonts w:ascii="Times New Roman" w:hAnsi="Times New Roman" w:cs="Times New Roman"/>
                <w:sz w:val="20"/>
                <w:szCs w:val="20"/>
              </w:rPr>
            </w:pPr>
            <w:r w:rsidRPr="00E10446">
              <w:rPr>
                <w:rFonts w:ascii="Times New Roman" w:hAnsi="Times New Roman" w:cs="Times New Roman"/>
                <w:color w:val="000000"/>
                <w:sz w:val="20"/>
                <w:szCs w:val="20"/>
              </w:rPr>
              <w:t>C</w:t>
            </w:r>
          </w:p>
        </w:tc>
        <w:tc>
          <w:tcPr>
            <w:tcW w:w="1186" w:type="dxa"/>
          </w:tcPr>
          <w:p w14:paraId="0AFB0EDA"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121.7864</w:t>
            </w:r>
          </w:p>
        </w:tc>
        <w:tc>
          <w:tcPr>
            <w:tcW w:w="767" w:type="dxa"/>
          </w:tcPr>
          <w:p w14:paraId="5C75747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21011C8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98.84877</w:t>
            </w:r>
          </w:p>
        </w:tc>
        <w:tc>
          <w:tcPr>
            <w:tcW w:w="767" w:type="dxa"/>
          </w:tcPr>
          <w:p w14:paraId="42B0E64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c>
          <w:tcPr>
            <w:tcW w:w="1186" w:type="dxa"/>
          </w:tcPr>
          <w:p w14:paraId="177DF25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82.98913</w:t>
            </w:r>
          </w:p>
        </w:tc>
        <w:tc>
          <w:tcPr>
            <w:tcW w:w="830" w:type="dxa"/>
          </w:tcPr>
          <w:p w14:paraId="55C73D0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sz w:val="20"/>
                <w:szCs w:val="20"/>
              </w:rPr>
              <w:t>0.0000</w:t>
            </w:r>
          </w:p>
        </w:tc>
        <w:tc>
          <w:tcPr>
            <w:tcW w:w="1186" w:type="dxa"/>
          </w:tcPr>
          <w:p w14:paraId="577C7F8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82.75605</w:t>
            </w:r>
          </w:p>
        </w:tc>
        <w:tc>
          <w:tcPr>
            <w:tcW w:w="767" w:type="dxa"/>
          </w:tcPr>
          <w:p w14:paraId="5E34EC94"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10446">
              <w:rPr>
                <w:rFonts w:ascii="Times New Roman" w:hAnsi="Times New Roman" w:cs="Times New Roman"/>
                <w:color w:val="000000"/>
                <w:sz w:val="20"/>
                <w:szCs w:val="20"/>
              </w:rPr>
              <w:t>0.0000</w:t>
            </w:r>
          </w:p>
        </w:tc>
      </w:tr>
      <w:tr w:rsidR="00FF0F80" w:rsidRPr="00E10446" w14:paraId="4228A089" w14:textId="77777777" w:rsidTr="00FF0F80">
        <w:trPr>
          <w:trHeight w:val="1142"/>
          <w:jc w:val="center"/>
        </w:trPr>
        <w:tc>
          <w:tcPr>
            <w:cnfStyle w:val="001000000000" w:firstRow="0" w:lastRow="0" w:firstColumn="1" w:lastColumn="0" w:oddVBand="0" w:evenVBand="0" w:oddHBand="0" w:evenHBand="0" w:firstRowFirstColumn="0" w:firstRowLastColumn="0" w:lastRowFirstColumn="0" w:lastRowLastColumn="0"/>
            <w:tcW w:w="1035" w:type="dxa"/>
          </w:tcPr>
          <w:p w14:paraId="490F9334" w14:textId="77777777" w:rsidR="00FF0F80" w:rsidRPr="00E10446" w:rsidRDefault="00FF0F80" w:rsidP="009D3561">
            <w:pPr>
              <w:rPr>
                <w:rFonts w:ascii="Times New Roman" w:hAnsi="Times New Roman" w:cs="Times New Roman"/>
                <w:color w:val="000000"/>
                <w:sz w:val="18"/>
                <w:szCs w:val="18"/>
              </w:rPr>
            </w:pPr>
          </w:p>
        </w:tc>
        <w:tc>
          <w:tcPr>
            <w:tcW w:w="1953" w:type="dxa"/>
            <w:gridSpan w:val="2"/>
          </w:tcPr>
          <w:p w14:paraId="758F073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0B155E5E"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0.540610</w:t>
            </w:r>
          </w:p>
          <w:p w14:paraId="4DD20068"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0.529801</w:t>
            </w:r>
          </w:p>
          <w:p w14:paraId="0C6681D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953" w:type="dxa"/>
            <w:gridSpan w:val="2"/>
          </w:tcPr>
          <w:p w14:paraId="538F790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42221725"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0.525609</w:t>
            </w:r>
          </w:p>
          <w:p w14:paraId="30DEC2FB"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0.514447</w:t>
            </w:r>
          </w:p>
          <w:p w14:paraId="6CEAD72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016" w:type="dxa"/>
            <w:gridSpan w:val="2"/>
          </w:tcPr>
          <w:p w14:paraId="084D9179"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22D28462"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0.631204</w:t>
            </w:r>
          </w:p>
          <w:p w14:paraId="012D6AA3"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0.622526</w:t>
            </w:r>
          </w:p>
          <w:p w14:paraId="4660AA2F"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953" w:type="dxa"/>
            <w:gridSpan w:val="2"/>
          </w:tcPr>
          <w:p w14:paraId="056DA50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p w14:paraId="5A615F6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Pseudo R-squared= 0.660048</w:t>
            </w:r>
          </w:p>
          <w:p w14:paraId="6494D18C"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E10446">
              <w:rPr>
                <w:rFonts w:ascii="Times New Roman" w:hAnsi="Times New Roman" w:cs="Times New Roman"/>
                <w:color w:val="000000"/>
                <w:sz w:val="18"/>
                <w:szCs w:val="18"/>
              </w:rPr>
              <w:t>Adjusted R-squared= 0.652049</w:t>
            </w:r>
          </w:p>
          <w:p w14:paraId="3C37C260" w14:textId="77777777" w:rsidR="00FF0F80" w:rsidRPr="00E10446" w:rsidRDefault="00FF0F80"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3809B241" w14:textId="77777777" w:rsidR="00FF0F80" w:rsidRPr="00E10446" w:rsidRDefault="00FF0F80" w:rsidP="00FF0F80">
      <w:pPr>
        <w:autoSpaceDE w:val="0"/>
        <w:autoSpaceDN w:val="0"/>
        <w:adjustRightInd w:val="0"/>
        <w:spacing w:after="0" w:line="240" w:lineRule="auto"/>
        <w:rPr>
          <w:rFonts w:ascii="Times New Roman" w:hAnsi="Times New Roman" w:cs="Times New Roman"/>
          <w:color w:val="000000"/>
          <w:sz w:val="18"/>
          <w:szCs w:val="18"/>
        </w:rPr>
      </w:pPr>
      <w:r w:rsidRPr="00E10446">
        <w:rPr>
          <w:rFonts w:ascii="Times New Roman" w:hAnsi="Times New Roman" w:cs="Times New Roman"/>
          <w:color w:val="000000"/>
          <w:sz w:val="18"/>
          <w:szCs w:val="18"/>
        </w:rPr>
        <w:t xml:space="preserve">Dependent variable: POV </w:t>
      </w:r>
    </w:p>
    <w:p w14:paraId="6708413A" w14:textId="39D92FD4" w:rsidR="00FF0F80" w:rsidRPr="00E10446" w:rsidRDefault="00FF0F80" w:rsidP="00FF0F80">
      <w:pPr>
        <w:spacing w:line="240" w:lineRule="auto"/>
        <w:jc w:val="both"/>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0D24B96A" w14:textId="21E5A4BA" w:rsidR="006C6C49" w:rsidRPr="00E10446" w:rsidRDefault="006C6C49" w:rsidP="006C6C49">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The quantile results reveal important distributional asymmetries in the energy–poverty nexus across West Africa. At lower quantiles (τ = 0.10–0.20), representing relatively low-poverty or short-run contexts, renewable energy consumption (RENC) exerts a strong and significant poverty-reducing effect, consistent with evidence that early-stage energy access improves livelihoods and welfare (Acheampong et al., 2021). GDP is also positive and significant, suggesting that growth contributes to poverty reduction in relatively better-performing contexts, though this may reflect transitional inequality effects (Sarkodie &amp; Adams, 2020). However, non-renewable energy (NRECN) remains insignificant, indicating limited efficiency in poverty transmission </w:t>
      </w:r>
      <w:r w:rsidR="00EE4935" w:rsidRPr="00EE4935">
        <w:rPr>
          <w:rFonts w:ascii="Times New Roman" w:eastAsia="Times New Roman" w:hAnsi="Times New Roman" w:cs="Times New Roman"/>
          <w:sz w:val="24"/>
          <w:szCs w:val="24"/>
          <w:lang w:eastAsia="en-GB"/>
        </w:rPr>
        <w:t xml:space="preserve">(Adebayo et al., 2025; </w:t>
      </w:r>
      <w:proofErr w:type="spellStart"/>
      <w:r w:rsidR="00EE4935" w:rsidRPr="00EE4935">
        <w:rPr>
          <w:rFonts w:ascii="Times New Roman" w:eastAsia="Times New Roman" w:hAnsi="Times New Roman" w:cs="Times New Roman"/>
          <w:sz w:val="24"/>
          <w:szCs w:val="24"/>
          <w:lang w:eastAsia="en-GB"/>
        </w:rPr>
        <w:t>Jinapor</w:t>
      </w:r>
      <w:proofErr w:type="spellEnd"/>
      <w:r w:rsidR="00EE4935" w:rsidRPr="00EE4935">
        <w:rPr>
          <w:rFonts w:ascii="Times New Roman" w:eastAsia="Times New Roman" w:hAnsi="Times New Roman" w:cs="Times New Roman"/>
          <w:sz w:val="24"/>
          <w:szCs w:val="24"/>
          <w:lang w:eastAsia="en-GB"/>
        </w:rPr>
        <w:t xml:space="preserve"> et al., 2025)</w:t>
      </w:r>
      <w:r w:rsidRPr="00E10446">
        <w:rPr>
          <w:rFonts w:ascii="Times New Roman" w:eastAsia="Times New Roman" w:hAnsi="Times New Roman" w:cs="Times New Roman"/>
          <w:sz w:val="24"/>
          <w:szCs w:val="24"/>
          <w:lang w:eastAsia="en-GB"/>
        </w:rPr>
        <w:t>.</w:t>
      </w:r>
    </w:p>
    <w:p w14:paraId="710CB3CB" w14:textId="6BDC2655" w:rsidR="00FF0F80" w:rsidRPr="00E10446" w:rsidRDefault="006C6C49" w:rsidP="00B12A30">
      <w:pPr>
        <w:spacing w:line="240" w:lineRule="auto"/>
        <w:jc w:val="both"/>
        <w:rPr>
          <w:rStyle w:val="katex-mathml"/>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At upper quantiles (τ = 0.80–0.90), reflecting high-poverty or structurally constrained contexts, RENC remains consistently negative and significant</w:t>
      </w:r>
      <w:r w:rsidR="002145B1">
        <w:rPr>
          <w:rFonts w:ascii="Times New Roman" w:eastAsia="Times New Roman" w:hAnsi="Times New Roman" w:cs="Times New Roman"/>
          <w:sz w:val="24"/>
          <w:szCs w:val="24"/>
          <w:lang w:eastAsia="en-GB"/>
        </w:rPr>
        <w:t xml:space="preserve"> across quantiles</w:t>
      </w:r>
      <w:r w:rsidRPr="00E10446">
        <w:rPr>
          <w:rFonts w:ascii="Times New Roman" w:eastAsia="Times New Roman" w:hAnsi="Times New Roman" w:cs="Times New Roman"/>
          <w:sz w:val="24"/>
          <w:szCs w:val="24"/>
          <w:lang w:eastAsia="en-GB"/>
        </w:rPr>
        <w:t>, confirming its robustness in addressing deep poverty through sustainable channels</w:t>
      </w:r>
      <w:r w:rsidR="00750726">
        <w:rPr>
          <w:rFonts w:ascii="Times New Roman" w:eastAsia="Times New Roman" w:hAnsi="Times New Roman" w:cs="Times New Roman"/>
          <w:sz w:val="24"/>
          <w:szCs w:val="24"/>
          <w:lang w:eastAsia="en-GB"/>
        </w:rPr>
        <w:t xml:space="preserve"> (</w:t>
      </w:r>
      <w:r w:rsidR="00750726" w:rsidRPr="00750726">
        <w:rPr>
          <w:rFonts w:ascii="Times New Roman" w:eastAsia="Times New Roman" w:hAnsi="Times New Roman" w:cs="Times New Roman"/>
          <w:sz w:val="24"/>
          <w:szCs w:val="24"/>
          <w:lang w:eastAsia="en-GB"/>
        </w:rPr>
        <w:t>Adebayo et al.</w:t>
      </w:r>
      <w:r w:rsidR="00750726">
        <w:rPr>
          <w:rFonts w:ascii="Times New Roman" w:eastAsia="Times New Roman" w:hAnsi="Times New Roman" w:cs="Times New Roman"/>
          <w:sz w:val="24"/>
          <w:szCs w:val="24"/>
          <w:lang w:eastAsia="en-GB"/>
        </w:rPr>
        <w:t xml:space="preserve">, </w:t>
      </w:r>
      <w:r w:rsidR="00750726" w:rsidRPr="00750726">
        <w:rPr>
          <w:rFonts w:ascii="Times New Roman" w:eastAsia="Times New Roman" w:hAnsi="Times New Roman" w:cs="Times New Roman"/>
          <w:sz w:val="24"/>
          <w:szCs w:val="24"/>
          <w:lang w:eastAsia="en-GB"/>
        </w:rPr>
        <w:t>2025</w:t>
      </w:r>
      <w:r w:rsidR="00750726">
        <w:rPr>
          <w:rFonts w:ascii="Times New Roman" w:eastAsia="Times New Roman" w:hAnsi="Times New Roman" w:cs="Times New Roman"/>
          <w:sz w:val="24"/>
          <w:szCs w:val="24"/>
          <w:lang w:eastAsia="en-GB"/>
        </w:rPr>
        <w:t xml:space="preserve">; </w:t>
      </w:r>
      <w:proofErr w:type="spellStart"/>
      <w:r w:rsidR="00750726" w:rsidRPr="00750726">
        <w:rPr>
          <w:rFonts w:ascii="Times New Roman" w:eastAsia="Times New Roman" w:hAnsi="Times New Roman" w:cs="Times New Roman"/>
          <w:sz w:val="24"/>
          <w:szCs w:val="24"/>
          <w:lang w:eastAsia="en-GB"/>
        </w:rPr>
        <w:t>Mazorodze</w:t>
      </w:r>
      <w:proofErr w:type="spellEnd"/>
      <w:r w:rsidR="00750726">
        <w:rPr>
          <w:rFonts w:ascii="Times New Roman" w:eastAsia="Times New Roman" w:hAnsi="Times New Roman" w:cs="Times New Roman"/>
          <w:sz w:val="24"/>
          <w:szCs w:val="24"/>
          <w:lang w:eastAsia="en-GB"/>
        </w:rPr>
        <w:t xml:space="preserve">, </w:t>
      </w:r>
      <w:r w:rsidR="00750726" w:rsidRPr="00750726">
        <w:rPr>
          <w:rFonts w:ascii="Times New Roman" w:eastAsia="Times New Roman" w:hAnsi="Times New Roman" w:cs="Times New Roman"/>
          <w:sz w:val="24"/>
          <w:szCs w:val="24"/>
          <w:lang w:eastAsia="en-GB"/>
        </w:rPr>
        <w:t>2025</w:t>
      </w:r>
      <w:r w:rsidR="00750726">
        <w:rPr>
          <w:rFonts w:ascii="Times New Roman" w:eastAsia="Times New Roman" w:hAnsi="Times New Roman" w:cs="Times New Roman"/>
          <w:sz w:val="24"/>
          <w:szCs w:val="24"/>
          <w:lang w:eastAsia="en-GB"/>
        </w:rPr>
        <w:t xml:space="preserve">; </w:t>
      </w:r>
      <w:proofErr w:type="spellStart"/>
      <w:r w:rsidR="00750726" w:rsidRPr="00750726">
        <w:rPr>
          <w:rFonts w:ascii="Times New Roman" w:eastAsia="Times New Roman" w:hAnsi="Times New Roman" w:cs="Times New Roman"/>
          <w:sz w:val="24"/>
          <w:szCs w:val="24"/>
          <w:lang w:eastAsia="en-GB"/>
        </w:rPr>
        <w:t>Kettani</w:t>
      </w:r>
      <w:proofErr w:type="spellEnd"/>
      <w:r w:rsidR="00750726" w:rsidRPr="00750726">
        <w:rPr>
          <w:rFonts w:ascii="Times New Roman" w:eastAsia="Times New Roman" w:hAnsi="Times New Roman" w:cs="Times New Roman"/>
          <w:sz w:val="24"/>
          <w:szCs w:val="24"/>
          <w:lang w:eastAsia="en-GB"/>
        </w:rPr>
        <w:t xml:space="preserve"> </w:t>
      </w:r>
      <w:r w:rsidR="00750726">
        <w:rPr>
          <w:rFonts w:ascii="Times New Roman" w:eastAsia="Times New Roman" w:hAnsi="Times New Roman" w:cs="Times New Roman"/>
          <w:sz w:val="24"/>
          <w:szCs w:val="24"/>
          <w:lang w:eastAsia="en-GB"/>
        </w:rPr>
        <w:t xml:space="preserve">&amp; </w:t>
      </w:r>
      <w:r w:rsidR="00750726" w:rsidRPr="00750726">
        <w:rPr>
          <w:rFonts w:ascii="Times New Roman" w:eastAsia="Times New Roman" w:hAnsi="Times New Roman" w:cs="Times New Roman"/>
          <w:sz w:val="24"/>
          <w:szCs w:val="24"/>
          <w:lang w:eastAsia="en-GB"/>
        </w:rPr>
        <w:t>Sanin</w:t>
      </w:r>
      <w:r w:rsidR="00750726">
        <w:rPr>
          <w:rFonts w:ascii="Times New Roman" w:eastAsia="Times New Roman" w:hAnsi="Times New Roman" w:cs="Times New Roman"/>
          <w:sz w:val="24"/>
          <w:szCs w:val="24"/>
          <w:lang w:eastAsia="en-GB"/>
        </w:rPr>
        <w:t xml:space="preserve">, </w:t>
      </w:r>
      <w:r w:rsidR="00750726" w:rsidRPr="00750726">
        <w:rPr>
          <w:rFonts w:ascii="Times New Roman" w:eastAsia="Times New Roman" w:hAnsi="Times New Roman" w:cs="Times New Roman"/>
          <w:sz w:val="24"/>
          <w:szCs w:val="24"/>
          <w:lang w:eastAsia="en-GB"/>
        </w:rPr>
        <w:t>2024)</w:t>
      </w:r>
      <w:r w:rsidRPr="00E10446">
        <w:rPr>
          <w:rFonts w:ascii="Times New Roman" w:eastAsia="Times New Roman" w:hAnsi="Times New Roman" w:cs="Times New Roman"/>
          <w:sz w:val="24"/>
          <w:szCs w:val="24"/>
          <w:lang w:eastAsia="en-GB"/>
        </w:rPr>
        <w:t xml:space="preserve">. In contrast, NRECN </w:t>
      </w:r>
      <w:r w:rsidR="002145B1">
        <w:rPr>
          <w:rFonts w:ascii="Times New Roman" w:eastAsia="Times New Roman" w:hAnsi="Times New Roman" w:cs="Times New Roman"/>
          <w:sz w:val="24"/>
          <w:szCs w:val="24"/>
          <w:lang w:eastAsia="en-GB"/>
        </w:rPr>
        <w:t xml:space="preserve">showed insignificant positive effect on poverty reduction in the lower quantile. However, the effect of NRECN become marginally significant at the upper quantile. The outcome </w:t>
      </w:r>
      <w:r w:rsidRPr="00E10446">
        <w:rPr>
          <w:rFonts w:ascii="Times New Roman" w:eastAsia="Times New Roman" w:hAnsi="Times New Roman" w:cs="Times New Roman"/>
          <w:sz w:val="24"/>
          <w:szCs w:val="24"/>
          <w:lang w:eastAsia="en-GB"/>
        </w:rPr>
        <w:t>suggest</w:t>
      </w:r>
      <w:r w:rsidR="002145B1">
        <w:rPr>
          <w:rFonts w:ascii="Times New Roman" w:eastAsia="Times New Roman" w:hAnsi="Times New Roman" w:cs="Times New Roman"/>
          <w:sz w:val="24"/>
          <w:szCs w:val="24"/>
          <w:lang w:eastAsia="en-GB"/>
        </w:rPr>
        <w:t>s</w:t>
      </w:r>
      <w:r w:rsidRPr="00E10446">
        <w:rPr>
          <w:rFonts w:ascii="Times New Roman" w:eastAsia="Times New Roman" w:hAnsi="Times New Roman" w:cs="Times New Roman"/>
          <w:sz w:val="24"/>
          <w:szCs w:val="24"/>
          <w:lang w:eastAsia="en-GB"/>
        </w:rPr>
        <w:t xml:space="preserve"> that fossil-based energy may exacerbate poverty due to cost and access constraints</w:t>
      </w:r>
      <w:r w:rsidR="0002205B">
        <w:rPr>
          <w:rFonts w:ascii="Times New Roman" w:eastAsia="Times New Roman" w:hAnsi="Times New Roman" w:cs="Times New Roman"/>
          <w:sz w:val="24"/>
          <w:szCs w:val="24"/>
          <w:lang w:eastAsia="en-GB"/>
        </w:rPr>
        <w:t xml:space="preserve"> (</w:t>
      </w:r>
      <w:r w:rsidR="0002205B" w:rsidRPr="0002205B">
        <w:rPr>
          <w:rFonts w:ascii="Times New Roman" w:eastAsia="Times New Roman" w:hAnsi="Times New Roman" w:cs="Times New Roman"/>
          <w:sz w:val="24"/>
          <w:szCs w:val="24"/>
          <w:lang w:eastAsia="en-GB"/>
        </w:rPr>
        <w:t>Adebayo et al. 2025</w:t>
      </w:r>
      <w:r w:rsidR="0002205B">
        <w:rPr>
          <w:rFonts w:ascii="Times New Roman" w:eastAsia="Times New Roman" w:hAnsi="Times New Roman" w:cs="Times New Roman"/>
          <w:sz w:val="24"/>
          <w:szCs w:val="24"/>
          <w:lang w:eastAsia="en-GB"/>
        </w:rPr>
        <w:t xml:space="preserve">; </w:t>
      </w:r>
      <w:proofErr w:type="spellStart"/>
      <w:r w:rsidR="0002205B" w:rsidRPr="0002205B">
        <w:rPr>
          <w:rFonts w:ascii="Times New Roman" w:eastAsia="Times New Roman" w:hAnsi="Times New Roman" w:cs="Times New Roman"/>
          <w:sz w:val="24"/>
          <w:szCs w:val="24"/>
          <w:lang w:eastAsia="en-GB"/>
        </w:rPr>
        <w:t>Jinapor</w:t>
      </w:r>
      <w:proofErr w:type="spellEnd"/>
      <w:r w:rsidR="0002205B" w:rsidRPr="0002205B">
        <w:rPr>
          <w:rFonts w:ascii="Times New Roman" w:eastAsia="Times New Roman" w:hAnsi="Times New Roman" w:cs="Times New Roman"/>
          <w:sz w:val="24"/>
          <w:szCs w:val="24"/>
          <w:lang w:eastAsia="en-GB"/>
        </w:rPr>
        <w:t xml:space="preserve"> et al.</w:t>
      </w:r>
      <w:r w:rsidR="0002205B">
        <w:rPr>
          <w:rFonts w:ascii="Times New Roman" w:eastAsia="Times New Roman" w:hAnsi="Times New Roman" w:cs="Times New Roman"/>
          <w:sz w:val="24"/>
          <w:szCs w:val="24"/>
          <w:lang w:eastAsia="en-GB"/>
        </w:rPr>
        <w:t xml:space="preserve">, </w:t>
      </w:r>
      <w:r w:rsidR="0002205B" w:rsidRPr="0002205B">
        <w:rPr>
          <w:rFonts w:ascii="Times New Roman" w:eastAsia="Times New Roman" w:hAnsi="Times New Roman" w:cs="Times New Roman"/>
          <w:sz w:val="24"/>
          <w:szCs w:val="24"/>
          <w:lang w:eastAsia="en-GB"/>
        </w:rPr>
        <w:t>2025</w:t>
      </w:r>
      <w:r w:rsidR="0002205B">
        <w:rPr>
          <w:rFonts w:ascii="Times New Roman" w:eastAsia="Times New Roman" w:hAnsi="Times New Roman" w:cs="Times New Roman"/>
          <w:sz w:val="24"/>
          <w:szCs w:val="24"/>
          <w:lang w:eastAsia="en-GB"/>
        </w:rPr>
        <w:t>)</w:t>
      </w:r>
      <w:r w:rsidRPr="00E10446">
        <w:rPr>
          <w:rFonts w:ascii="Times New Roman" w:eastAsia="Times New Roman" w:hAnsi="Times New Roman" w:cs="Times New Roman"/>
          <w:sz w:val="24"/>
          <w:szCs w:val="24"/>
          <w:lang w:eastAsia="en-GB"/>
        </w:rPr>
        <w:t>. Labour productivity (LAP) shows diminishing but significant effects, implying structural rigidities in highly impoverished regions</w:t>
      </w:r>
      <w:r w:rsidR="00750726">
        <w:rPr>
          <w:rFonts w:ascii="Times New Roman" w:eastAsia="Times New Roman" w:hAnsi="Times New Roman" w:cs="Times New Roman"/>
          <w:sz w:val="24"/>
          <w:szCs w:val="24"/>
          <w:lang w:eastAsia="en-GB"/>
        </w:rPr>
        <w:t xml:space="preserve"> </w:t>
      </w:r>
      <w:r w:rsidR="00750726" w:rsidRPr="00E10446">
        <w:rPr>
          <w:rStyle w:val="katex-mathml"/>
          <w:rFonts w:ascii="Times New Roman" w:hAnsi="Times New Roman" w:cs="Times New Roman"/>
          <w:sz w:val="24"/>
          <w:szCs w:val="24"/>
        </w:rPr>
        <w:t>(</w:t>
      </w:r>
      <w:r w:rsidR="00750726" w:rsidRPr="00976AA0">
        <w:rPr>
          <w:rStyle w:val="katex-mathml"/>
          <w:rFonts w:ascii="Times New Roman" w:hAnsi="Times New Roman" w:cs="Times New Roman"/>
          <w:sz w:val="24"/>
          <w:szCs w:val="24"/>
        </w:rPr>
        <w:t>Lin &amp; Wang, 2020</w:t>
      </w:r>
      <w:r w:rsidR="00750726" w:rsidRPr="00E10446">
        <w:rPr>
          <w:rStyle w:val="katex-mathml"/>
          <w:rFonts w:ascii="Times New Roman" w:hAnsi="Times New Roman" w:cs="Times New Roman"/>
          <w:sz w:val="24"/>
          <w:szCs w:val="24"/>
        </w:rPr>
        <w:t>)</w:t>
      </w:r>
      <w:r w:rsidRPr="00E10446">
        <w:rPr>
          <w:rFonts w:ascii="Times New Roman" w:eastAsia="Times New Roman" w:hAnsi="Times New Roman" w:cs="Times New Roman"/>
          <w:sz w:val="24"/>
          <w:szCs w:val="24"/>
          <w:lang w:eastAsia="en-GB"/>
        </w:rPr>
        <w:t>. GDP</w:t>
      </w:r>
      <w:r w:rsidR="00EE4935">
        <w:rPr>
          <w:rFonts w:ascii="Times New Roman" w:eastAsia="Times New Roman" w:hAnsi="Times New Roman" w:cs="Times New Roman"/>
          <w:sz w:val="24"/>
          <w:szCs w:val="24"/>
          <w:lang w:eastAsia="en-GB"/>
        </w:rPr>
        <w:t xml:space="preserve"> showed significant positive effect on poverty reduction at the lower quantile, at the higher quantile, GDP showed insignificant positive effect.  </w:t>
      </w:r>
      <w:r w:rsidRPr="00E10446">
        <w:rPr>
          <w:rFonts w:ascii="Times New Roman" w:eastAsia="Times New Roman" w:hAnsi="Times New Roman" w:cs="Times New Roman"/>
          <w:sz w:val="24"/>
          <w:szCs w:val="24"/>
          <w:lang w:eastAsia="en-GB"/>
        </w:rPr>
        <w:t xml:space="preserve"> </w:t>
      </w:r>
      <w:r w:rsidR="00EE4935">
        <w:rPr>
          <w:rFonts w:ascii="Times New Roman" w:eastAsia="Times New Roman" w:hAnsi="Times New Roman" w:cs="Times New Roman"/>
          <w:sz w:val="24"/>
          <w:szCs w:val="24"/>
          <w:lang w:eastAsia="en-GB"/>
        </w:rPr>
        <w:t xml:space="preserve">This </w:t>
      </w:r>
      <w:r w:rsidRPr="00E10446">
        <w:rPr>
          <w:rFonts w:ascii="Times New Roman" w:eastAsia="Times New Roman" w:hAnsi="Times New Roman" w:cs="Times New Roman"/>
          <w:sz w:val="24"/>
          <w:szCs w:val="24"/>
          <w:lang w:eastAsia="en-GB"/>
        </w:rPr>
        <w:t>insignificant, reinforcing that growth alone is insufficient without inclusiveness</w:t>
      </w:r>
      <w:r w:rsidR="0002205B">
        <w:rPr>
          <w:rFonts w:ascii="Times New Roman" w:eastAsia="Times New Roman" w:hAnsi="Times New Roman" w:cs="Times New Roman"/>
          <w:sz w:val="24"/>
          <w:szCs w:val="24"/>
          <w:lang w:eastAsia="en-GB"/>
        </w:rPr>
        <w:t xml:space="preserve"> (</w:t>
      </w:r>
      <w:proofErr w:type="spellStart"/>
      <w:r w:rsidR="0002205B" w:rsidRPr="0002205B">
        <w:rPr>
          <w:rFonts w:ascii="Times New Roman" w:eastAsia="Times New Roman" w:hAnsi="Times New Roman" w:cs="Times New Roman"/>
          <w:sz w:val="24"/>
          <w:szCs w:val="24"/>
          <w:lang w:eastAsia="en-GB"/>
        </w:rPr>
        <w:t>Jinapor</w:t>
      </w:r>
      <w:proofErr w:type="spellEnd"/>
      <w:r w:rsidR="0002205B" w:rsidRPr="0002205B">
        <w:rPr>
          <w:rFonts w:ascii="Times New Roman" w:eastAsia="Times New Roman" w:hAnsi="Times New Roman" w:cs="Times New Roman"/>
          <w:sz w:val="24"/>
          <w:szCs w:val="24"/>
          <w:lang w:eastAsia="en-GB"/>
        </w:rPr>
        <w:t xml:space="preserve"> et al.</w:t>
      </w:r>
      <w:r w:rsidR="0002205B">
        <w:rPr>
          <w:rFonts w:ascii="Times New Roman" w:eastAsia="Times New Roman" w:hAnsi="Times New Roman" w:cs="Times New Roman"/>
          <w:sz w:val="24"/>
          <w:szCs w:val="24"/>
          <w:lang w:eastAsia="en-GB"/>
        </w:rPr>
        <w:t xml:space="preserve">, </w:t>
      </w:r>
      <w:r w:rsidR="0002205B" w:rsidRPr="0002205B">
        <w:rPr>
          <w:rFonts w:ascii="Times New Roman" w:eastAsia="Times New Roman" w:hAnsi="Times New Roman" w:cs="Times New Roman"/>
          <w:sz w:val="24"/>
          <w:szCs w:val="24"/>
          <w:lang w:eastAsia="en-GB"/>
        </w:rPr>
        <w:t>2025</w:t>
      </w:r>
      <w:r w:rsidR="0002205B">
        <w:rPr>
          <w:rFonts w:ascii="Times New Roman" w:eastAsia="Times New Roman" w:hAnsi="Times New Roman" w:cs="Times New Roman"/>
          <w:sz w:val="24"/>
          <w:szCs w:val="24"/>
          <w:lang w:eastAsia="en-GB"/>
        </w:rPr>
        <w:t xml:space="preserve">; </w:t>
      </w:r>
      <w:proofErr w:type="spellStart"/>
      <w:r w:rsidR="0002205B" w:rsidRPr="0002205B">
        <w:rPr>
          <w:rFonts w:ascii="Times New Roman" w:eastAsia="Times New Roman" w:hAnsi="Times New Roman" w:cs="Times New Roman"/>
          <w:sz w:val="24"/>
          <w:szCs w:val="24"/>
          <w:lang w:eastAsia="en-GB"/>
        </w:rPr>
        <w:t>Kettani</w:t>
      </w:r>
      <w:proofErr w:type="spellEnd"/>
      <w:r w:rsidR="0002205B" w:rsidRPr="0002205B">
        <w:rPr>
          <w:rFonts w:ascii="Times New Roman" w:eastAsia="Times New Roman" w:hAnsi="Times New Roman" w:cs="Times New Roman"/>
          <w:sz w:val="24"/>
          <w:szCs w:val="24"/>
          <w:lang w:eastAsia="en-GB"/>
        </w:rPr>
        <w:t xml:space="preserve"> and Sanin</w:t>
      </w:r>
      <w:r w:rsidR="0002205B">
        <w:rPr>
          <w:rFonts w:ascii="Times New Roman" w:eastAsia="Times New Roman" w:hAnsi="Times New Roman" w:cs="Times New Roman"/>
          <w:sz w:val="24"/>
          <w:szCs w:val="24"/>
          <w:lang w:eastAsia="en-GB"/>
        </w:rPr>
        <w:t xml:space="preserve">, </w:t>
      </w:r>
      <w:r w:rsidR="0002205B" w:rsidRPr="0002205B">
        <w:rPr>
          <w:rFonts w:ascii="Times New Roman" w:eastAsia="Times New Roman" w:hAnsi="Times New Roman" w:cs="Times New Roman"/>
          <w:sz w:val="24"/>
          <w:szCs w:val="24"/>
          <w:lang w:eastAsia="en-GB"/>
        </w:rPr>
        <w:t>2024</w:t>
      </w:r>
      <w:r w:rsidR="0002205B">
        <w:rPr>
          <w:rFonts w:ascii="Times New Roman" w:eastAsia="Times New Roman" w:hAnsi="Times New Roman" w:cs="Times New Roman"/>
          <w:sz w:val="24"/>
          <w:szCs w:val="24"/>
          <w:lang w:eastAsia="en-GB"/>
        </w:rPr>
        <w:t xml:space="preserve">; </w:t>
      </w:r>
      <w:proofErr w:type="spellStart"/>
      <w:r w:rsidR="0002205B" w:rsidRPr="0002205B">
        <w:rPr>
          <w:rFonts w:ascii="Times New Roman" w:eastAsia="Times New Roman" w:hAnsi="Times New Roman" w:cs="Times New Roman"/>
          <w:sz w:val="24"/>
          <w:szCs w:val="24"/>
          <w:lang w:eastAsia="en-GB"/>
        </w:rPr>
        <w:t>Compaoré</w:t>
      </w:r>
      <w:proofErr w:type="spellEnd"/>
      <w:r w:rsidR="0002205B" w:rsidRPr="0002205B">
        <w:rPr>
          <w:rFonts w:ascii="Times New Roman" w:eastAsia="Times New Roman" w:hAnsi="Times New Roman" w:cs="Times New Roman"/>
          <w:sz w:val="24"/>
          <w:szCs w:val="24"/>
          <w:lang w:eastAsia="en-GB"/>
        </w:rPr>
        <w:t xml:space="preserve"> et al.</w:t>
      </w:r>
      <w:r w:rsidR="0002205B">
        <w:rPr>
          <w:rFonts w:ascii="Times New Roman" w:eastAsia="Times New Roman" w:hAnsi="Times New Roman" w:cs="Times New Roman"/>
          <w:sz w:val="24"/>
          <w:szCs w:val="24"/>
          <w:lang w:eastAsia="en-GB"/>
        </w:rPr>
        <w:t xml:space="preserve">, </w:t>
      </w:r>
      <w:r w:rsidR="0002205B" w:rsidRPr="0002205B">
        <w:rPr>
          <w:rFonts w:ascii="Times New Roman" w:eastAsia="Times New Roman" w:hAnsi="Times New Roman" w:cs="Times New Roman"/>
          <w:sz w:val="24"/>
          <w:szCs w:val="24"/>
          <w:lang w:eastAsia="en-GB"/>
        </w:rPr>
        <w:t>2024)</w:t>
      </w:r>
      <w:r w:rsidRPr="00E10446">
        <w:rPr>
          <w:rFonts w:ascii="Times New Roman" w:eastAsia="Times New Roman" w:hAnsi="Times New Roman" w:cs="Times New Roman"/>
          <w:sz w:val="24"/>
          <w:szCs w:val="24"/>
          <w:lang w:eastAsia="en-GB"/>
        </w:rPr>
        <w:t>. These findings justify the use of quantile regression, as average effects would obscure these critical heterogeneities.</w:t>
      </w:r>
    </w:p>
    <w:p w14:paraId="1560BBF9" w14:textId="523F63D3" w:rsidR="00741344" w:rsidRPr="00E10446" w:rsidRDefault="00741344" w:rsidP="00F03BE4">
      <w:pPr>
        <w:spacing w:line="240" w:lineRule="auto"/>
        <w:jc w:val="center"/>
        <w:rPr>
          <w:rFonts w:ascii="Times New Roman" w:hAnsi="Times New Roman" w:cs="Times New Roman"/>
          <w:b/>
          <w:bCs/>
          <w:color w:val="000000"/>
          <w:sz w:val="24"/>
          <w:szCs w:val="24"/>
        </w:rPr>
      </w:pPr>
      <w:r w:rsidRPr="00E10446">
        <w:rPr>
          <w:rFonts w:ascii="Times New Roman" w:hAnsi="Times New Roman" w:cs="Times New Roman"/>
          <w:b/>
          <w:bCs/>
          <w:noProof/>
          <w:sz w:val="24"/>
          <w:szCs w:val="24"/>
        </w:rPr>
        <w:t xml:space="preserve">Table 8: </w:t>
      </w:r>
      <w:r w:rsidRPr="00E10446">
        <w:rPr>
          <w:rFonts w:ascii="Times New Roman" w:hAnsi="Times New Roman" w:cs="Times New Roman"/>
          <w:b/>
          <w:bCs/>
          <w:color w:val="000000"/>
          <w:sz w:val="24"/>
          <w:szCs w:val="24"/>
        </w:rPr>
        <w:t>Quantile Process Estimates</w:t>
      </w:r>
    </w:p>
    <w:tbl>
      <w:tblPr>
        <w:tblStyle w:val="PlainTable21"/>
        <w:tblW w:w="0" w:type="auto"/>
        <w:tblInd w:w="450" w:type="dxa"/>
        <w:tblLook w:val="06A0" w:firstRow="1" w:lastRow="0" w:firstColumn="1" w:lastColumn="0" w:noHBand="1" w:noVBand="1"/>
      </w:tblPr>
      <w:tblGrid>
        <w:gridCol w:w="1035"/>
        <w:gridCol w:w="887"/>
        <w:gridCol w:w="1333"/>
        <w:gridCol w:w="990"/>
        <w:gridCol w:w="1350"/>
        <w:gridCol w:w="1350"/>
        <w:gridCol w:w="990"/>
      </w:tblGrid>
      <w:tr w:rsidR="00B12A30" w:rsidRPr="00E10446" w14:paraId="0042EF69" w14:textId="77777777" w:rsidTr="00B12A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000E92" w14:textId="56B9F5BF" w:rsidR="00741344" w:rsidRPr="00E10446" w:rsidRDefault="00016310" w:rsidP="00741344">
            <w:pPr>
              <w:jc w:val="center"/>
              <w:rPr>
                <w:rFonts w:ascii="Times New Roman" w:hAnsi="Times New Roman" w:cs="Times New Roman"/>
              </w:rPr>
            </w:pPr>
            <w:r w:rsidRPr="00E10446">
              <w:rPr>
                <w:rFonts w:ascii="Times New Roman" w:hAnsi="Times New Roman" w:cs="Times New Roman"/>
                <w:color w:val="000000"/>
              </w:rPr>
              <w:t>Lower Quantile</w:t>
            </w:r>
          </w:p>
        </w:tc>
        <w:tc>
          <w:tcPr>
            <w:tcW w:w="3210" w:type="dxa"/>
            <w:gridSpan w:val="3"/>
          </w:tcPr>
          <w:p w14:paraId="1042BC90" w14:textId="77777777" w:rsidR="00016310"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p>
          <w:p w14:paraId="113BB60F" w14:textId="1E5DD1B5" w:rsidR="00741344"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quantile tau = 0.10</w:t>
            </w:r>
          </w:p>
        </w:tc>
        <w:tc>
          <w:tcPr>
            <w:tcW w:w="1350" w:type="dxa"/>
          </w:tcPr>
          <w:p w14:paraId="3AC407B6" w14:textId="3D4FDF62" w:rsidR="00741344"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rPr>
              <w:t>Upper Quantile</w:t>
            </w:r>
          </w:p>
        </w:tc>
        <w:tc>
          <w:tcPr>
            <w:tcW w:w="2340" w:type="dxa"/>
            <w:gridSpan w:val="2"/>
          </w:tcPr>
          <w:p w14:paraId="50887784" w14:textId="77777777" w:rsidR="00016310"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p>
          <w:p w14:paraId="0D6895AE" w14:textId="37158B29" w:rsidR="00741344" w:rsidRPr="00E10446" w:rsidRDefault="00016310" w:rsidP="007413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quantile tau = 0.90</w:t>
            </w:r>
          </w:p>
        </w:tc>
      </w:tr>
      <w:tr w:rsidR="00741344" w:rsidRPr="00E10446" w14:paraId="01DD9D54"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2E72F4A"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rPr>
              <w:t>Variable</w:t>
            </w:r>
          </w:p>
        </w:tc>
        <w:tc>
          <w:tcPr>
            <w:tcW w:w="887" w:type="dxa"/>
          </w:tcPr>
          <w:p w14:paraId="1A0E00C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Quantile</w:t>
            </w:r>
          </w:p>
        </w:tc>
        <w:tc>
          <w:tcPr>
            <w:tcW w:w="1333" w:type="dxa"/>
          </w:tcPr>
          <w:p w14:paraId="2641955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Coefficient</w:t>
            </w:r>
          </w:p>
        </w:tc>
        <w:tc>
          <w:tcPr>
            <w:tcW w:w="990" w:type="dxa"/>
          </w:tcPr>
          <w:p w14:paraId="3D09D39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Prob.</w:t>
            </w:r>
          </w:p>
        </w:tc>
        <w:tc>
          <w:tcPr>
            <w:tcW w:w="1350" w:type="dxa"/>
          </w:tcPr>
          <w:p w14:paraId="3D06095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Quantile</w:t>
            </w:r>
          </w:p>
        </w:tc>
        <w:tc>
          <w:tcPr>
            <w:tcW w:w="1350" w:type="dxa"/>
          </w:tcPr>
          <w:p w14:paraId="2BA01F4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Coefficient</w:t>
            </w:r>
          </w:p>
        </w:tc>
        <w:tc>
          <w:tcPr>
            <w:tcW w:w="990" w:type="dxa"/>
          </w:tcPr>
          <w:p w14:paraId="38DC98C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10446">
              <w:rPr>
                <w:rFonts w:ascii="Times New Roman" w:hAnsi="Times New Roman" w:cs="Times New Roman"/>
                <w:b/>
                <w:bCs/>
                <w:color w:val="000000"/>
                <w:sz w:val="18"/>
                <w:szCs w:val="18"/>
              </w:rPr>
              <w:t>Prob.</w:t>
            </w:r>
          </w:p>
        </w:tc>
      </w:tr>
      <w:tr w:rsidR="00741344" w:rsidRPr="00E10446" w14:paraId="31DD91E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DE9583D"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rPr>
              <w:t>RENC</w:t>
            </w:r>
          </w:p>
        </w:tc>
        <w:tc>
          <w:tcPr>
            <w:tcW w:w="887" w:type="dxa"/>
          </w:tcPr>
          <w:p w14:paraId="6BEAE2E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0.100</w:t>
            </w:r>
          </w:p>
        </w:tc>
        <w:tc>
          <w:tcPr>
            <w:tcW w:w="1333" w:type="dxa"/>
          </w:tcPr>
          <w:p w14:paraId="2D0F47A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-0.303871</w:t>
            </w:r>
          </w:p>
        </w:tc>
        <w:tc>
          <w:tcPr>
            <w:tcW w:w="990" w:type="dxa"/>
          </w:tcPr>
          <w:p w14:paraId="3E3CB13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3966E21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3AFB9FA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-0.305437</w:t>
            </w:r>
          </w:p>
        </w:tc>
        <w:tc>
          <w:tcPr>
            <w:tcW w:w="990" w:type="dxa"/>
          </w:tcPr>
          <w:p w14:paraId="6227F48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45535112"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C321140" w14:textId="77777777" w:rsidR="00741344" w:rsidRPr="00E10446" w:rsidRDefault="00741344" w:rsidP="00741344">
            <w:pPr>
              <w:jc w:val="center"/>
              <w:rPr>
                <w:rFonts w:ascii="Times New Roman" w:hAnsi="Times New Roman" w:cs="Times New Roman"/>
              </w:rPr>
            </w:pPr>
          </w:p>
        </w:tc>
        <w:tc>
          <w:tcPr>
            <w:tcW w:w="887" w:type="dxa"/>
          </w:tcPr>
          <w:p w14:paraId="47CC73A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0.250</w:t>
            </w:r>
          </w:p>
        </w:tc>
        <w:tc>
          <w:tcPr>
            <w:tcW w:w="1333" w:type="dxa"/>
          </w:tcPr>
          <w:p w14:paraId="097EB33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-0.305437</w:t>
            </w:r>
          </w:p>
        </w:tc>
        <w:tc>
          <w:tcPr>
            <w:tcW w:w="990" w:type="dxa"/>
          </w:tcPr>
          <w:p w14:paraId="5CAE89D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2EE9F74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60C0759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-0.319955</w:t>
            </w:r>
          </w:p>
        </w:tc>
        <w:tc>
          <w:tcPr>
            <w:tcW w:w="990" w:type="dxa"/>
          </w:tcPr>
          <w:p w14:paraId="526D474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17FD9E7D"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859EBD1" w14:textId="77777777" w:rsidR="00741344" w:rsidRPr="00E10446" w:rsidRDefault="00741344" w:rsidP="00741344">
            <w:pPr>
              <w:jc w:val="center"/>
              <w:rPr>
                <w:rFonts w:ascii="Times New Roman" w:hAnsi="Times New Roman" w:cs="Times New Roman"/>
              </w:rPr>
            </w:pPr>
          </w:p>
        </w:tc>
        <w:tc>
          <w:tcPr>
            <w:tcW w:w="887" w:type="dxa"/>
          </w:tcPr>
          <w:p w14:paraId="1CB8875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0.500</w:t>
            </w:r>
          </w:p>
        </w:tc>
        <w:tc>
          <w:tcPr>
            <w:tcW w:w="1333" w:type="dxa"/>
          </w:tcPr>
          <w:p w14:paraId="6E2C18D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-0.319955</w:t>
            </w:r>
          </w:p>
        </w:tc>
        <w:tc>
          <w:tcPr>
            <w:tcW w:w="990" w:type="dxa"/>
          </w:tcPr>
          <w:p w14:paraId="2CC12DC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0A06A82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3C6EA19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-0.306579</w:t>
            </w:r>
          </w:p>
        </w:tc>
        <w:tc>
          <w:tcPr>
            <w:tcW w:w="990" w:type="dxa"/>
          </w:tcPr>
          <w:p w14:paraId="7B3AC0A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14C54FDD"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7B5D063" w14:textId="77777777" w:rsidR="00741344" w:rsidRPr="00E10446" w:rsidRDefault="00741344" w:rsidP="00741344">
            <w:pPr>
              <w:jc w:val="center"/>
              <w:rPr>
                <w:rFonts w:ascii="Times New Roman" w:hAnsi="Times New Roman" w:cs="Times New Roman"/>
              </w:rPr>
            </w:pPr>
          </w:p>
        </w:tc>
        <w:tc>
          <w:tcPr>
            <w:tcW w:w="887" w:type="dxa"/>
          </w:tcPr>
          <w:p w14:paraId="150861E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0.750</w:t>
            </w:r>
          </w:p>
        </w:tc>
        <w:tc>
          <w:tcPr>
            <w:tcW w:w="1333" w:type="dxa"/>
          </w:tcPr>
          <w:p w14:paraId="7DA078D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sz w:val="18"/>
                <w:szCs w:val="18"/>
              </w:rPr>
              <w:t>-0.306579</w:t>
            </w:r>
          </w:p>
        </w:tc>
        <w:tc>
          <w:tcPr>
            <w:tcW w:w="990" w:type="dxa"/>
          </w:tcPr>
          <w:p w14:paraId="1047AF9D"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2928CAD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1CF970E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-0.295706</w:t>
            </w:r>
          </w:p>
        </w:tc>
        <w:tc>
          <w:tcPr>
            <w:tcW w:w="990" w:type="dxa"/>
          </w:tcPr>
          <w:p w14:paraId="286DBBA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0799CEA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095825C"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NRENC</w:t>
            </w:r>
          </w:p>
        </w:tc>
        <w:tc>
          <w:tcPr>
            <w:tcW w:w="887" w:type="dxa"/>
          </w:tcPr>
          <w:p w14:paraId="32B702A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31ED84A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0.000470</w:t>
            </w:r>
          </w:p>
        </w:tc>
        <w:tc>
          <w:tcPr>
            <w:tcW w:w="990" w:type="dxa"/>
          </w:tcPr>
          <w:p w14:paraId="0005E4AA"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0.9931</w:t>
            </w:r>
          </w:p>
        </w:tc>
        <w:tc>
          <w:tcPr>
            <w:tcW w:w="1350" w:type="dxa"/>
          </w:tcPr>
          <w:p w14:paraId="7D220ED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1EA154E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0.002104</w:t>
            </w:r>
          </w:p>
        </w:tc>
        <w:tc>
          <w:tcPr>
            <w:tcW w:w="990" w:type="dxa"/>
          </w:tcPr>
          <w:p w14:paraId="2E44270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0.9505</w:t>
            </w:r>
          </w:p>
        </w:tc>
      </w:tr>
      <w:tr w:rsidR="00741344" w:rsidRPr="00E10446" w14:paraId="52589531"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32988181" w14:textId="77777777" w:rsidR="00741344" w:rsidRPr="00E10446" w:rsidRDefault="00741344" w:rsidP="00741344">
            <w:pPr>
              <w:jc w:val="center"/>
              <w:rPr>
                <w:rFonts w:ascii="Times New Roman" w:hAnsi="Times New Roman" w:cs="Times New Roman"/>
              </w:rPr>
            </w:pPr>
          </w:p>
        </w:tc>
        <w:tc>
          <w:tcPr>
            <w:tcW w:w="887" w:type="dxa"/>
          </w:tcPr>
          <w:p w14:paraId="1FAD003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4AEEFDD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0.002104</w:t>
            </w:r>
          </w:p>
        </w:tc>
        <w:tc>
          <w:tcPr>
            <w:tcW w:w="990" w:type="dxa"/>
          </w:tcPr>
          <w:p w14:paraId="4D8D57E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0.9505</w:t>
            </w:r>
          </w:p>
        </w:tc>
        <w:tc>
          <w:tcPr>
            <w:tcW w:w="1350" w:type="dxa"/>
          </w:tcPr>
          <w:p w14:paraId="4273271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56AF913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0.041803</w:t>
            </w:r>
          </w:p>
        </w:tc>
        <w:tc>
          <w:tcPr>
            <w:tcW w:w="990" w:type="dxa"/>
          </w:tcPr>
          <w:p w14:paraId="2861FDF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0.0001</w:t>
            </w:r>
          </w:p>
        </w:tc>
      </w:tr>
      <w:tr w:rsidR="00741344" w:rsidRPr="00E10446" w14:paraId="1F0F0939"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2B6055F0" w14:textId="77777777" w:rsidR="00741344" w:rsidRPr="00E10446" w:rsidRDefault="00741344" w:rsidP="00741344">
            <w:pPr>
              <w:jc w:val="center"/>
              <w:rPr>
                <w:rFonts w:ascii="Times New Roman" w:hAnsi="Times New Roman" w:cs="Times New Roman"/>
              </w:rPr>
            </w:pPr>
          </w:p>
        </w:tc>
        <w:tc>
          <w:tcPr>
            <w:tcW w:w="887" w:type="dxa"/>
          </w:tcPr>
          <w:p w14:paraId="29CDA99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51EEB6D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0.041803</w:t>
            </w:r>
          </w:p>
        </w:tc>
        <w:tc>
          <w:tcPr>
            <w:tcW w:w="990" w:type="dxa"/>
          </w:tcPr>
          <w:p w14:paraId="4DE8C1B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0.0001</w:t>
            </w:r>
          </w:p>
        </w:tc>
        <w:tc>
          <w:tcPr>
            <w:tcW w:w="1350" w:type="dxa"/>
          </w:tcPr>
          <w:p w14:paraId="755CC6D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034466B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0.013126</w:t>
            </w:r>
          </w:p>
        </w:tc>
        <w:tc>
          <w:tcPr>
            <w:tcW w:w="990" w:type="dxa"/>
          </w:tcPr>
          <w:p w14:paraId="7225613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0.1026</w:t>
            </w:r>
          </w:p>
        </w:tc>
      </w:tr>
      <w:tr w:rsidR="00741344" w:rsidRPr="00E10446" w14:paraId="19F89ECE"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EE18788" w14:textId="77777777" w:rsidR="00741344" w:rsidRPr="00E10446" w:rsidRDefault="00741344" w:rsidP="00741344">
            <w:pPr>
              <w:jc w:val="center"/>
              <w:rPr>
                <w:rFonts w:ascii="Times New Roman" w:hAnsi="Times New Roman" w:cs="Times New Roman"/>
              </w:rPr>
            </w:pPr>
          </w:p>
        </w:tc>
        <w:tc>
          <w:tcPr>
            <w:tcW w:w="887" w:type="dxa"/>
          </w:tcPr>
          <w:p w14:paraId="4D192C3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59C33D6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0.013126</w:t>
            </w:r>
          </w:p>
        </w:tc>
        <w:tc>
          <w:tcPr>
            <w:tcW w:w="990" w:type="dxa"/>
          </w:tcPr>
          <w:p w14:paraId="3218AF4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0.1026</w:t>
            </w:r>
          </w:p>
        </w:tc>
        <w:tc>
          <w:tcPr>
            <w:tcW w:w="1350" w:type="dxa"/>
          </w:tcPr>
          <w:p w14:paraId="78091C7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1096141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0.012412</w:t>
            </w:r>
          </w:p>
        </w:tc>
        <w:tc>
          <w:tcPr>
            <w:tcW w:w="990" w:type="dxa"/>
          </w:tcPr>
          <w:p w14:paraId="688D90C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0.0637</w:t>
            </w:r>
          </w:p>
        </w:tc>
      </w:tr>
      <w:tr w:rsidR="00741344" w:rsidRPr="00E10446" w14:paraId="67F87CCC"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1F0FD41"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LAP</w:t>
            </w:r>
          </w:p>
        </w:tc>
        <w:tc>
          <w:tcPr>
            <w:tcW w:w="887" w:type="dxa"/>
          </w:tcPr>
          <w:p w14:paraId="45309E3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7531E07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-0.000307</w:t>
            </w:r>
          </w:p>
        </w:tc>
        <w:tc>
          <w:tcPr>
            <w:tcW w:w="990" w:type="dxa"/>
          </w:tcPr>
          <w:p w14:paraId="157D428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0.1173</w:t>
            </w:r>
          </w:p>
        </w:tc>
        <w:tc>
          <w:tcPr>
            <w:tcW w:w="1350" w:type="dxa"/>
          </w:tcPr>
          <w:p w14:paraId="016EBE8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108F96A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-0.000210</w:t>
            </w:r>
          </w:p>
        </w:tc>
        <w:tc>
          <w:tcPr>
            <w:tcW w:w="990" w:type="dxa"/>
          </w:tcPr>
          <w:p w14:paraId="6F92A60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0.1717</w:t>
            </w:r>
          </w:p>
        </w:tc>
      </w:tr>
      <w:tr w:rsidR="00741344" w:rsidRPr="00E10446" w14:paraId="31A9D01F"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42D89851" w14:textId="77777777" w:rsidR="00741344" w:rsidRPr="00E10446" w:rsidRDefault="00741344" w:rsidP="00741344">
            <w:pPr>
              <w:jc w:val="center"/>
              <w:rPr>
                <w:rFonts w:ascii="Times New Roman" w:hAnsi="Times New Roman" w:cs="Times New Roman"/>
              </w:rPr>
            </w:pPr>
          </w:p>
        </w:tc>
        <w:tc>
          <w:tcPr>
            <w:tcW w:w="887" w:type="dxa"/>
          </w:tcPr>
          <w:p w14:paraId="0A583F1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7678D26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-0.000210</w:t>
            </w:r>
          </w:p>
        </w:tc>
        <w:tc>
          <w:tcPr>
            <w:tcW w:w="990" w:type="dxa"/>
          </w:tcPr>
          <w:p w14:paraId="142DC2F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0.1717</w:t>
            </w:r>
          </w:p>
        </w:tc>
        <w:tc>
          <w:tcPr>
            <w:tcW w:w="1350" w:type="dxa"/>
          </w:tcPr>
          <w:p w14:paraId="3A9C707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1E945C8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-0.000380</w:t>
            </w:r>
          </w:p>
        </w:tc>
        <w:tc>
          <w:tcPr>
            <w:tcW w:w="990" w:type="dxa"/>
          </w:tcPr>
          <w:p w14:paraId="3CAF71B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0.0042</w:t>
            </w:r>
          </w:p>
        </w:tc>
      </w:tr>
      <w:tr w:rsidR="00741344" w:rsidRPr="00E10446" w14:paraId="2290930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5AA204E9" w14:textId="77777777" w:rsidR="00741344" w:rsidRPr="00E10446" w:rsidRDefault="00741344" w:rsidP="00741344">
            <w:pPr>
              <w:jc w:val="center"/>
              <w:rPr>
                <w:rFonts w:ascii="Times New Roman" w:hAnsi="Times New Roman" w:cs="Times New Roman"/>
              </w:rPr>
            </w:pPr>
          </w:p>
        </w:tc>
        <w:tc>
          <w:tcPr>
            <w:tcW w:w="887" w:type="dxa"/>
          </w:tcPr>
          <w:p w14:paraId="14A33BB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5536592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-0.000380</w:t>
            </w:r>
          </w:p>
        </w:tc>
        <w:tc>
          <w:tcPr>
            <w:tcW w:w="990" w:type="dxa"/>
          </w:tcPr>
          <w:p w14:paraId="21073B8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0.0042</w:t>
            </w:r>
          </w:p>
        </w:tc>
        <w:tc>
          <w:tcPr>
            <w:tcW w:w="1350" w:type="dxa"/>
          </w:tcPr>
          <w:p w14:paraId="2D83AEB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2FD37CCD"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-0.000450</w:t>
            </w:r>
          </w:p>
        </w:tc>
        <w:tc>
          <w:tcPr>
            <w:tcW w:w="990" w:type="dxa"/>
          </w:tcPr>
          <w:p w14:paraId="5F678CC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0.0228</w:t>
            </w:r>
          </w:p>
        </w:tc>
      </w:tr>
      <w:tr w:rsidR="00741344" w:rsidRPr="00E10446" w14:paraId="5C3D3A7E"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F641F46" w14:textId="77777777" w:rsidR="00741344" w:rsidRPr="00E10446" w:rsidRDefault="00741344" w:rsidP="00741344">
            <w:pPr>
              <w:jc w:val="center"/>
              <w:rPr>
                <w:rFonts w:ascii="Times New Roman" w:hAnsi="Times New Roman" w:cs="Times New Roman"/>
              </w:rPr>
            </w:pPr>
          </w:p>
        </w:tc>
        <w:tc>
          <w:tcPr>
            <w:tcW w:w="887" w:type="dxa"/>
          </w:tcPr>
          <w:p w14:paraId="5F1083B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1799E1A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-0.000450</w:t>
            </w:r>
          </w:p>
        </w:tc>
        <w:tc>
          <w:tcPr>
            <w:tcW w:w="990" w:type="dxa"/>
          </w:tcPr>
          <w:p w14:paraId="05731CF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0.0228</w:t>
            </w:r>
          </w:p>
        </w:tc>
        <w:tc>
          <w:tcPr>
            <w:tcW w:w="1350" w:type="dxa"/>
          </w:tcPr>
          <w:p w14:paraId="2C2AD9E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02F6C9F7"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-0.000373</w:t>
            </w:r>
          </w:p>
        </w:tc>
        <w:tc>
          <w:tcPr>
            <w:tcW w:w="990" w:type="dxa"/>
          </w:tcPr>
          <w:p w14:paraId="50AEC80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0.0569</w:t>
            </w:r>
          </w:p>
        </w:tc>
      </w:tr>
      <w:tr w:rsidR="00741344" w:rsidRPr="00E10446" w14:paraId="03AE24F0"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33F9E537"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lastRenderedPageBreak/>
              <w:t>GDP</w:t>
            </w:r>
          </w:p>
        </w:tc>
        <w:tc>
          <w:tcPr>
            <w:tcW w:w="887" w:type="dxa"/>
          </w:tcPr>
          <w:p w14:paraId="14DB48F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3B8B31B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0.002814</w:t>
            </w:r>
          </w:p>
        </w:tc>
        <w:tc>
          <w:tcPr>
            <w:tcW w:w="990" w:type="dxa"/>
          </w:tcPr>
          <w:p w14:paraId="65FE978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7308581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2228EEE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0.002611</w:t>
            </w:r>
          </w:p>
        </w:tc>
        <w:tc>
          <w:tcPr>
            <w:tcW w:w="990" w:type="dxa"/>
          </w:tcPr>
          <w:p w14:paraId="17611D4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4DCB021B"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4ACBB85E" w14:textId="77777777" w:rsidR="00741344" w:rsidRPr="00E10446" w:rsidRDefault="00741344" w:rsidP="00741344">
            <w:pPr>
              <w:jc w:val="center"/>
              <w:rPr>
                <w:rFonts w:ascii="Times New Roman" w:hAnsi="Times New Roman" w:cs="Times New Roman"/>
              </w:rPr>
            </w:pPr>
          </w:p>
        </w:tc>
        <w:tc>
          <w:tcPr>
            <w:tcW w:w="887" w:type="dxa"/>
          </w:tcPr>
          <w:p w14:paraId="046CDC4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5F4C038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0.002611</w:t>
            </w:r>
          </w:p>
        </w:tc>
        <w:tc>
          <w:tcPr>
            <w:tcW w:w="990" w:type="dxa"/>
          </w:tcPr>
          <w:p w14:paraId="023073E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17DAB27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3BFE5C4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0.001740</w:t>
            </w:r>
          </w:p>
        </w:tc>
        <w:tc>
          <w:tcPr>
            <w:tcW w:w="990" w:type="dxa"/>
          </w:tcPr>
          <w:p w14:paraId="2825D0E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0.0342</w:t>
            </w:r>
          </w:p>
        </w:tc>
      </w:tr>
      <w:tr w:rsidR="00741344" w:rsidRPr="00E10446" w14:paraId="57CC4643"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001CB2C2" w14:textId="77777777" w:rsidR="00741344" w:rsidRPr="00E10446" w:rsidRDefault="00741344" w:rsidP="00741344">
            <w:pPr>
              <w:jc w:val="center"/>
              <w:rPr>
                <w:rFonts w:ascii="Times New Roman" w:hAnsi="Times New Roman" w:cs="Times New Roman"/>
              </w:rPr>
            </w:pPr>
          </w:p>
        </w:tc>
        <w:tc>
          <w:tcPr>
            <w:tcW w:w="887" w:type="dxa"/>
          </w:tcPr>
          <w:p w14:paraId="680273F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4128EE5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0.001740</w:t>
            </w:r>
          </w:p>
        </w:tc>
        <w:tc>
          <w:tcPr>
            <w:tcW w:w="990" w:type="dxa"/>
          </w:tcPr>
          <w:p w14:paraId="5A4BFBE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0.0342</w:t>
            </w:r>
          </w:p>
        </w:tc>
        <w:tc>
          <w:tcPr>
            <w:tcW w:w="1350" w:type="dxa"/>
          </w:tcPr>
          <w:p w14:paraId="300CDD7C"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7899B9D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0.001021</w:t>
            </w:r>
          </w:p>
        </w:tc>
        <w:tc>
          <w:tcPr>
            <w:tcW w:w="990" w:type="dxa"/>
          </w:tcPr>
          <w:p w14:paraId="3C7B0DC6"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0.2874</w:t>
            </w:r>
          </w:p>
        </w:tc>
      </w:tr>
      <w:tr w:rsidR="00741344" w:rsidRPr="00E10446" w14:paraId="2C3B3A1A"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52B0504E" w14:textId="77777777" w:rsidR="00741344" w:rsidRPr="00E10446" w:rsidRDefault="00741344" w:rsidP="00741344">
            <w:pPr>
              <w:jc w:val="center"/>
              <w:rPr>
                <w:rFonts w:ascii="Times New Roman" w:hAnsi="Times New Roman" w:cs="Times New Roman"/>
              </w:rPr>
            </w:pPr>
          </w:p>
        </w:tc>
        <w:tc>
          <w:tcPr>
            <w:tcW w:w="887" w:type="dxa"/>
          </w:tcPr>
          <w:p w14:paraId="5105A39D"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6062B1B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0.001021</w:t>
            </w:r>
          </w:p>
        </w:tc>
        <w:tc>
          <w:tcPr>
            <w:tcW w:w="990" w:type="dxa"/>
          </w:tcPr>
          <w:p w14:paraId="4548F16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0.2874</w:t>
            </w:r>
          </w:p>
        </w:tc>
        <w:tc>
          <w:tcPr>
            <w:tcW w:w="1350" w:type="dxa"/>
          </w:tcPr>
          <w:p w14:paraId="1A62E00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5E3948EE"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0.000640</w:t>
            </w:r>
          </w:p>
        </w:tc>
        <w:tc>
          <w:tcPr>
            <w:tcW w:w="990" w:type="dxa"/>
          </w:tcPr>
          <w:p w14:paraId="56AFAAE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0.4903</w:t>
            </w:r>
          </w:p>
        </w:tc>
      </w:tr>
      <w:tr w:rsidR="00741344" w:rsidRPr="00E10446" w14:paraId="35584426"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7730D268" w14:textId="77777777" w:rsidR="00741344" w:rsidRPr="00E10446" w:rsidRDefault="00741344" w:rsidP="00741344">
            <w:pPr>
              <w:jc w:val="center"/>
              <w:rPr>
                <w:rFonts w:ascii="Times New Roman" w:hAnsi="Times New Roman" w:cs="Times New Roman"/>
              </w:rPr>
            </w:pPr>
            <w:r w:rsidRPr="00E10446">
              <w:rPr>
                <w:rFonts w:ascii="Times New Roman" w:hAnsi="Times New Roman" w:cs="Times New Roman"/>
                <w:color w:val="000000"/>
                <w:sz w:val="18"/>
                <w:szCs w:val="18"/>
              </w:rPr>
              <w:t>C</w:t>
            </w:r>
          </w:p>
        </w:tc>
        <w:tc>
          <w:tcPr>
            <w:tcW w:w="887" w:type="dxa"/>
          </w:tcPr>
          <w:p w14:paraId="2704CD4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0.100</w:t>
            </w:r>
          </w:p>
        </w:tc>
        <w:tc>
          <w:tcPr>
            <w:tcW w:w="1333" w:type="dxa"/>
          </w:tcPr>
          <w:p w14:paraId="7E42F89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73.84042</w:t>
            </w:r>
          </w:p>
        </w:tc>
        <w:tc>
          <w:tcPr>
            <w:tcW w:w="990" w:type="dxa"/>
          </w:tcPr>
          <w:p w14:paraId="6A48ECF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0AB692BA"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50" w:type="dxa"/>
          </w:tcPr>
          <w:p w14:paraId="19278D64"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74.23716</w:t>
            </w:r>
          </w:p>
        </w:tc>
        <w:tc>
          <w:tcPr>
            <w:tcW w:w="990" w:type="dxa"/>
          </w:tcPr>
          <w:p w14:paraId="1D67E21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125CFFF1"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63B3276" w14:textId="77777777" w:rsidR="00741344" w:rsidRPr="00E10446" w:rsidRDefault="00741344" w:rsidP="00741344">
            <w:pPr>
              <w:jc w:val="center"/>
              <w:rPr>
                <w:rFonts w:ascii="Times New Roman" w:hAnsi="Times New Roman" w:cs="Times New Roman"/>
              </w:rPr>
            </w:pPr>
          </w:p>
        </w:tc>
        <w:tc>
          <w:tcPr>
            <w:tcW w:w="887" w:type="dxa"/>
          </w:tcPr>
          <w:p w14:paraId="780B855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0.250</w:t>
            </w:r>
          </w:p>
        </w:tc>
        <w:tc>
          <w:tcPr>
            <w:tcW w:w="1333" w:type="dxa"/>
          </w:tcPr>
          <w:p w14:paraId="6D0889AA"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74.23716</w:t>
            </w:r>
          </w:p>
        </w:tc>
        <w:tc>
          <w:tcPr>
            <w:tcW w:w="990" w:type="dxa"/>
          </w:tcPr>
          <w:p w14:paraId="7B963E3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4DDD766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50" w:type="dxa"/>
          </w:tcPr>
          <w:p w14:paraId="44145710"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79.09891</w:t>
            </w:r>
          </w:p>
        </w:tc>
        <w:tc>
          <w:tcPr>
            <w:tcW w:w="990" w:type="dxa"/>
          </w:tcPr>
          <w:p w14:paraId="5B5CCE23"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75E29079"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14D37142" w14:textId="77777777" w:rsidR="00741344" w:rsidRPr="00E10446" w:rsidRDefault="00741344" w:rsidP="00741344">
            <w:pPr>
              <w:jc w:val="center"/>
              <w:rPr>
                <w:rFonts w:ascii="Times New Roman" w:hAnsi="Times New Roman" w:cs="Times New Roman"/>
              </w:rPr>
            </w:pPr>
          </w:p>
        </w:tc>
        <w:tc>
          <w:tcPr>
            <w:tcW w:w="887" w:type="dxa"/>
          </w:tcPr>
          <w:p w14:paraId="0EACA701"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0.500</w:t>
            </w:r>
          </w:p>
        </w:tc>
        <w:tc>
          <w:tcPr>
            <w:tcW w:w="1333" w:type="dxa"/>
          </w:tcPr>
          <w:p w14:paraId="108F836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79.09891</w:t>
            </w:r>
          </w:p>
        </w:tc>
        <w:tc>
          <w:tcPr>
            <w:tcW w:w="990" w:type="dxa"/>
          </w:tcPr>
          <w:p w14:paraId="6CB1603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6BC5B8C2"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50" w:type="dxa"/>
          </w:tcPr>
          <w:p w14:paraId="1B4DD81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83.13457</w:t>
            </w:r>
          </w:p>
        </w:tc>
        <w:tc>
          <w:tcPr>
            <w:tcW w:w="990" w:type="dxa"/>
          </w:tcPr>
          <w:p w14:paraId="14680709"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r w:rsidR="00741344" w:rsidRPr="00E10446" w14:paraId="672A5983" w14:textId="77777777" w:rsidTr="00B12A30">
        <w:tc>
          <w:tcPr>
            <w:cnfStyle w:val="001000000000" w:firstRow="0" w:lastRow="0" w:firstColumn="1" w:lastColumn="0" w:oddVBand="0" w:evenVBand="0" w:oddHBand="0" w:evenHBand="0" w:firstRowFirstColumn="0" w:firstRowLastColumn="0" w:lastRowFirstColumn="0" w:lastRowLastColumn="0"/>
            <w:tcW w:w="835" w:type="dxa"/>
          </w:tcPr>
          <w:p w14:paraId="0FCD789B" w14:textId="77777777" w:rsidR="00741344" w:rsidRPr="00E10446" w:rsidRDefault="00741344" w:rsidP="00741344">
            <w:pPr>
              <w:jc w:val="center"/>
              <w:rPr>
                <w:rFonts w:ascii="Times New Roman" w:hAnsi="Times New Roman" w:cs="Times New Roman"/>
              </w:rPr>
            </w:pPr>
          </w:p>
        </w:tc>
        <w:tc>
          <w:tcPr>
            <w:tcW w:w="887" w:type="dxa"/>
          </w:tcPr>
          <w:p w14:paraId="5898958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0.750</w:t>
            </w:r>
          </w:p>
        </w:tc>
        <w:tc>
          <w:tcPr>
            <w:tcW w:w="1333" w:type="dxa"/>
          </w:tcPr>
          <w:p w14:paraId="70ACE68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83.13457</w:t>
            </w:r>
          </w:p>
        </w:tc>
        <w:tc>
          <w:tcPr>
            <w:tcW w:w="990" w:type="dxa"/>
          </w:tcPr>
          <w:p w14:paraId="3414D9BB"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c>
          <w:tcPr>
            <w:tcW w:w="1350" w:type="dxa"/>
          </w:tcPr>
          <w:p w14:paraId="1EF1AB2F"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0.900</w:t>
            </w:r>
          </w:p>
        </w:tc>
        <w:tc>
          <w:tcPr>
            <w:tcW w:w="1350" w:type="dxa"/>
          </w:tcPr>
          <w:p w14:paraId="3840F228"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82.75605</w:t>
            </w:r>
          </w:p>
        </w:tc>
        <w:tc>
          <w:tcPr>
            <w:tcW w:w="990" w:type="dxa"/>
          </w:tcPr>
          <w:p w14:paraId="2E96B855" w14:textId="77777777" w:rsidR="00741344" w:rsidRPr="00E10446" w:rsidRDefault="00741344" w:rsidP="007413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10446">
              <w:rPr>
                <w:rFonts w:ascii="Times New Roman" w:hAnsi="Times New Roman" w:cs="Times New Roman"/>
                <w:color w:val="000000"/>
                <w:sz w:val="18"/>
                <w:szCs w:val="18"/>
              </w:rPr>
              <w:t>0.0000</w:t>
            </w:r>
          </w:p>
        </w:tc>
      </w:tr>
    </w:tbl>
    <w:p w14:paraId="41A5BFA3" w14:textId="2B58A458" w:rsidR="00572ED5" w:rsidRPr="00E10446" w:rsidRDefault="00B12A30" w:rsidP="00D03FD0">
      <w:pPr>
        <w:spacing w:after="0" w:line="240" w:lineRule="auto"/>
        <w:jc w:val="both"/>
        <w:rPr>
          <w:rStyle w:val="katex-mathml"/>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D03FD0" w:rsidRPr="00E10446">
        <w:rPr>
          <w:rFonts w:ascii="Times New Roman" w:eastAsia="Times New Roman" w:hAnsi="Times New Roman" w:cs="Times New Roman"/>
          <w:b/>
          <w:bCs/>
          <w:sz w:val="20"/>
          <w:szCs w:val="20"/>
          <w:lang w:eastAsia="en-GB"/>
        </w:rPr>
        <w:t xml:space="preserve">Source: Authors determined using </w:t>
      </w:r>
      <w:proofErr w:type="spellStart"/>
      <w:r w:rsidR="00D03FD0" w:rsidRPr="00E10446">
        <w:rPr>
          <w:rFonts w:ascii="Times New Roman" w:eastAsia="Times New Roman" w:hAnsi="Times New Roman" w:cs="Times New Roman"/>
          <w:b/>
          <w:bCs/>
          <w:sz w:val="20"/>
          <w:szCs w:val="20"/>
          <w:lang w:eastAsia="en-GB"/>
        </w:rPr>
        <w:t>Eviews</w:t>
      </w:r>
      <w:proofErr w:type="spellEnd"/>
      <w:r w:rsidR="00D03FD0" w:rsidRPr="00E10446">
        <w:rPr>
          <w:rFonts w:ascii="Times New Roman" w:eastAsia="Times New Roman" w:hAnsi="Times New Roman" w:cs="Times New Roman"/>
          <w:b/>
          <w:bCs/>
          <w:sz w:val="20"/>
          <w:szCs w:val="20"/>
          <w:lang w:eastAsia="en-GB"/>
        </w:rPr>
        <w:t xml:space="preserve"> 12, 2026</w:t>
      </w:r>
    </w:p>
    <w:p w14:paraId="79229484" w14:textId="752D00AE" w:rsidR="00741344" w:rsidRPr="00E10446" w:rsidRDefault="00B12A30" w:rsidP="00B12A30">
      <w:pPr>
        <w:spacing w:line="240" w:lineRule="auto"/>
        <w:jc w:val="both"/>
        <w:rPr>
          <w:rStyle w:val="katex-mathml"/>
          <w:rFonts w:ascii="Times New Roman" w:hAnsi="Times New Roman" w:cs="Times New Roman"/>
          <w:sz w:val="24"/>
          <w:szCs w:val="24"/>
        </w:rPr>
      </w:pPr>
      <w:r w:rsidRPr="00E10446">
        <w:rPr>
          <w:rStyle w:val="katex-mathml"/>
          <w:rFonts w:ascii="Times New Roman" w:hAnsi="Times New Roman" w:cs="Times New Roman"/>
          <w:sz w:val="24"/>
          <w:szCs w:val="24"/>
        </w:rPr>
        <w:t>The quantile process estimates reveal strong heterogeneity in the energy–poverty relationship across distributional points. Renewable energy consumption (RENC) consistently exhibits a significant negative effect on poverty across all quantiles, confirming its robust poverty-reducing role regardless of poverty intensity, consistent with findings by Acheampong et al. (2021) and Adebayo et al. (2025). Non-renewable energy (NRENC) is mostly insignificant at lower quantiles but becomes weakly positive at higher levels, suggesting context-dependent inefficiency in poverty reduction (</w:t>
      </w:r>
      <w:proofErr w:type="spellStart"/>
      <w:r w:rsidRPr="00E10446">
        <w:rPr>
          <w:rStyle w:val="katex-mathml"/>
          <w:rFonts w:ascii="Times New Roman" w:hAnsi="Times New Roman" w:cs="Times New Roman"/>
          <w:sz w:val="24"/>
          <w:szCs w:val="24"/>
        </w:rPr>
        <w:t>Okwanya</w:t>
      </w:r>
      <w:proofErr w:type="spellEnd"/>
      <w:r w:rsidRPr="00E10446">
        <w:rPr>
          <w:rStyle w:val="katex-mathml"/>
          <w:rFonts w:ascii="Times New Roman" w:hAnsi="Times New Roman" w:cs="Times New Roman"/>
          <w:sz w:val="24"/>
          <w:szCs w:val="24"/>
        </w:rPr>
        <w:t xml:space="preserve"> &amp; </w:t>
      </w:r>
      <w:proofErr w:type="spellStart"/>
      <w:r w:rsidRPr="00E10446">
        <w:rPr>
          <w:rStyle w:val="katex-mathml"/>
          <w:rFonts w:ascii="Times New Roman" w:hAnsi="Times New Roman" w:cs="Times New Roman"/>
          <w:sz w:val="24"/>
          <w:szCs w:val="24"/>
        </w:rPr>
        <w:t>Abah</w:t>
      </w:r>
      <w:proofErr w:type="spellEnd"/>
      <w:r w:rsidRPr="00E10446">
        <w:rPr>
          <w:rStyle w:val="katex-mathml"/>
          <w:rFonts w:ascii="Times New Roman" w:hAnsi="Times New Roman" w:cs="Times New Roman"/>
          <w:sz w:val="24"/>
          <w:szCs w:val="24"/>
        </w:rPr>
        <w:t>, 2018). Labour productivity (LAP) shows increasing negative effects at median and upper quantiles, indicating stronger welfare impacts in higher poverty contexts</w:t>
      </w:r>
      <w:r w:rsidR="00BD7307">
        <w:rPr>
          <w:rStyle w:val="katex-mathml"/>
          <w:rFonts w:ascii="Times New Roman" w:hAnsi="Times New Roman" w:cs="Times New Roman"/>
          <w:sz w:val="24"/>
          <w:szCs w:val="24"/>
        </w:rPr>
        <w:t xml:space="preserve"> </w:t>
      </w:r>
      <w:r w:rsidR="00BD7307" w:rsidRPr="00BD7307">
        <w:rPr>
          <w:rStyle w:val="katex-mathml"/>
          <w:rFonts w:ascii="Times New Roman" w:hAnsi="Times New Roman" w:cs="Times New Roman"/>
          <w:sz w:val="24"/>
          <w:szCs w:val="24"/>
        </w:rPr>
        <w:t xml:space="preserve">(Lin, Gao &amp; Yang, 2023; </w:t>
      </w:r>
      <w:proofErr w:type="spellStart"/>
      <w:r w:rsidR="00BD7307" w:rsidRPr="00BD7307">
        <w:rPr>
          <w:rStyle w:val="katex-mathml"/>
          <w:rFonts w:ascii="Times New Roman" w:hAnsi="Times New Roman" w:cs="Times New Roman"/>
          <w:sz w:val="24"/>
          <w:szCs w:val="24"/>
        </w:rPr>
        <w:t>Kettani</w:t>
      </w:r>
      <w:proofErr w:type="spellEnd"/>
      <w:r w:rsidR="00BD7307" w:rsidRPr="00BD7307">
        <w:rPr>
          <w:rStyle w:val="katex-mathml"/>
          <w:rFonts w:ascii="Times New Roman" w:hAnsi="Times New Roman" w:cs="Times New Roman"/>
          <w:sz w:val="24"/>
          <w:szCs w:val="24"/>
        </w:rPr>
        <w:t xml:space="preserve"> &amp; Sanin, 2024)</w:t>
      </w:r>
      <w:r w:rsidRPr="00E10446">
        <w:rPr>
          <w:rStyle w:val="katex-mathml"/>
          <w:rFonts w:ascii="Times New Roman" w:hAnsi="Times New Roman" w:cs="Times New Roman"/>
          <w:sz w:val="24"/>
          <w:szCs w:val="24"/>
        </w:rPr>
        <w:t>. GDP is positive but loses significance at upper quantiles, implying limited inclusiveness of growth (Sarkodie &amp; Adams, 2020). Therefore, results confirm strong distributional asymmetry in energy–poverty dynamics.</w:t>
      </w:r>
    </w:p>
    <w:p w14:paraId="5643E2BB" w14:textId="2F7217C4" w:rsidR="00D03FD0" w:rsidRPr="00E10446" w:rsidRDefault="00D03FD0" w:rsidP="00454677">
      <w:pPr>
        <w:spacing w:line="240" w:lineRule="auto"/>
        <w:jc w:val="center"/>
        <w:rPr>
          <w:rStyle w:val="katex-mathml"/>
          <w:rFonts w:ascii="Times New Roman" w:hAnsi="Times New Roman" w:cs="Times New Roman"/>
          <w:b/>
          <w:bCs/>
          <w:sz w:val="24"/>
          <w:szCs w:val="24"/>
        </w:rPr>
      </w:pPr>
      <w:r w:rsidRPr="00E10446">
        <w:rPr>
          <w:rStyle w:val="katex-mathml"/>
          <w:rFonts w:ascii="Times New Roman" w:hAnsi="Times New Roman" w:cs="Times New Roman"/>
          <w:b/>
          <w:bCs/>
          <w:sz w:val="24"/>
          <w:szCs w:val="24"/>
        </w:rPr>
        <w:t xml:space="preserve">Table </w:t>
      </w:r>
      <w:r w:rsidR="0060541B" w:rsidRPr="00E10446">
        <w:rPr>
          <w:rStyle w:val="katex-mathml"/>
          <w:rFonts w:ascii="Times New Roman" w:hAnsi="Times New Roman" w:cs="Times New Roman"/>
          <w:b/>
          <w:bCs/>
          <w:sz w:val="24"/>
          <w:szCs w:val="24"/>
        </w:rPr>
        <w:t>9</w:t>
      </w:r>
      <w:r w:rsidRPr="00E10446">
        <w:rPr>
          <w:rStyle w:val="katex-mathml"/>
          <w:rFonts w:ascii="Times New Roman" w:hAnsi="Times New Roman" w:cs="Times New Roman"/>
          <w:b/>
          <w:bCs/>
          <w:sz w:val="24"/>
          <w:szCs w:val="24"/>
        </w:rPr>
        <w:t xml:space="preserve">: </w:t>
      </w:r>
      <w:r w:rsidR="00454677" w:rsidRPr="00E10446">
        <w:rPr>
          <w:rStyle w:val="katex-mathml"/>
          <w:rFonts w:ascii="Times New Roman" w:hAnsi="Times New Roman" w:cs="Times New Roman"/>
          <w:b/>
          <w:bCs/>
          <w:sz w:val="24"/>
          <w:szCs w:val="24"/>
        </w:rPr>
        <w:t>Quantile Slope Equality Test</w:t>
      </w:r>
    </w:p>
    <w:tbl>
      <w:tblPr>
        <w:tblStyle w:val="PlainTable21"/>
        <w:tblW w:w="0" w:type="auto"/>
        <w:jc w:val="center"/>
        <w:tblLook w:val="06A0" w:firstRow="1" w:lastRow="0" w:firstColumn="1" w:lastColumn="0" w:noHBand="1" w:noVBand="1"/>
      </w:tblPr>
      <w:tblGrid>
        <w:gridCol w:w="1803"/>
        <w:gridCol w:w="1803"/>
        <w:gridCol w:w="1434"/>
        <w:gridCol w:w="810"/>
      </w:tblGrid>
      <w:tr w:rsidR="00741344" w:rsidRPr="00E10446" w14:paraId="45975593" w14:textId="77777777" w:rsidTr="007413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14:paraId="0A244F83" w14:textId="02AF74D6" w:rsidR="00741344" w:rsidRPr="00E10446" w:rsidRDefault="00741344" w:rsidP="00741344">
            <w:pPr>
              <w:rPr>
                <w:rFonts w:ascii="Times New Roman" w:hAnsi="Times New Roman" w:cs="Times New Roman"/>
                <w:sz w:val="18"/>
                <w:szCs w:val="18"/>
              </w:rPr>
            </w:pPr>
            <w:r w:rsidRPr="00E10446">
              <w:rPr>
                <w:rFonts w:ascii="Times New Roman" w:hAnsi="Times New Roman" w:cs="Times New Roman"/>
                <w:sz w:val="18"/>
                <w:szCs w:val="18"/>
              </w:rPr>
              <w:t>Lower Quantile</w:t>
            </w:r>
          </w:p>
        </w:tc>
        <w:tc>
          <w:tcPr>
            <w:tcW w:w="3237" w:type="dxa"/>
            <w:gridSpan w:val="2"/>
          </w:tcPr>
          <w:p w14:paraId="274F513B" w14:textId="77777777" w:rsidR="00741344" w:rsidRPr="00E10446" w:rsidRDefault="00741344" w:rsidP="007413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E10446">
              <w:rPr>
                <w:rFonts w:ascii="Times New Roman" w:hAnsi="Times New Roman" w:cs="Times New Roman"/>
                <w:color w:val="000000"/>
                <w:sz w:val="18"/>
                <w:szCs w:val="18"/>
              </w:rPr>
              <w:t xml:space="preserve">Estimated equation </w:t>
            </w:r>
          </w:p>
          <w:p w14:paraId="2E0B16E7" w14:textId="41103F0B" w:rsidR="00741344" w:rsidRPr="00E10446" w:rsidRDefault="00741344" w:rsidP="007413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quantile tau = 0.10</w:t>
            </w:r>
          </w:p>
        </w:tc>
        <w:tc>
          <w:tcPr>
            <w:tcW w:w="810" w:type="dxa"/>
          </w:tcPr>
          <w:p w14:paraId="7A7A6C3D" w14:textId="77777777" w:rsidR="00741344" w:rsidRPr="00E10446" w:rsidRDefault="00741344" w:rsidP="007413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5E95ABF1"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9BAB427"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6A9E2E8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516B121C"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r w:rsidRPr="00E10446">
              <w:rPr>
                <w:rFonts w:ascii="Times New Roman" w:hAnsi="Times New Roman" w:cs="Times New Roman"/>
                <w:color w:val="000000"/>
                <w:sz w:val="18"/>
                <w:szCs w:val="18"/>
              </w:rPr>
              <w:t>d.f</w:t>
            </w:r>
            <w:proofErr w:type="spellEnd"/>
          </w:p>
        </w:tc>
        <w:tc>
          <w:tcPr>
            <w:tcW w:w="810" w:type="dxa"/>
          </w:tcPr>
          <w:p w14:paraId="13A290B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6163D392"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EF22DFE"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1BDB4344"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61.61104</w:t>
            </w:r>
          </w:p>
        </w:tc>
        <w:tc>
          <w:tcPr>
            <w:tcW w:w="1434" w:type="dxa"/>
          </w:tcPr>
          <w:p w14:paraId="45B040F3"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15B87B6D"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r w:rsidR="00741344" w:rsidRPr="00E10446" w14:paraId="7C5F3D68"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4DB8731C" w14:textId="35056508" w:rsidR="00741344" w:rsidRPr="00E10446" w:rsidRDefault="00741344" w:rsidP="009D3561">
            <w:pPr>
              <w:rPr>
                <w:rFonts w:ascii="Times New Roman" w:hAnsi="Times New Roman" w:cs="Times New Roman"/>
                <w:sz w:val="18"/>
                <w:szCs w:val="18"/>
              </w:rPr>
            </w:pPr>
          </w:p>
        </w:tc>
        <w:tc>
          <w:tcPr>
            <w:tcW w:w="1803" w:type="dxa"/>
          </w:tcPr>
          <w:p w14:paraId="3824E8AA" w14:textId="17871A3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10446">
              <w:rPr>
                <w:rFonts w:ascii="Times New Roman" w:hAnsi="Times New Roman" w:cs="Times New Roman"/>
                <w:b/>
                <w:bCs/>
                <w:color w:val="000000"/>
                <w:sz w:val="18"/>
                <w:szCs w:val="18"/>
              </w:rPr>
              <w:t>Estimated equation quantile tau = 0.20</w:t>
            </w:r>
          </w:p>
        </w:tc>
        <w:tc>
          <w:tcPr>
            <w:tcW w:w="1434" w:type="dxa"/>
          </w:tcPr>
          <w:p w14:paraId="7AFEA66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10" w:type="dxa"/>
          </w:tcPr>
          <w:p w14:paraId="1641FBA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0ED3FCFF"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6CC3AA87"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2971DEAD"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10786067"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r w:rsidRPr="00E10446">
              <w:rPr>
                <w:rFonts w:ascii="Times New Roman" w:hAnsi="Times New Roman" w:cs="Times New Roman"/>
                <w:color w:val="000000"/>
                <w:sz w:val="18"/>
                <w:szCs w:val="18"/>
              </w:rPr>
              <w:t>d.f</w:t>
            </w:r>
            <w:proofErr w:type="spellEnd"/>
          </w:p>
        </w:tc>
        <w:tc>
          <w:tcPr>
            <w:tcW w:w="810" w:type="dxa"/>
          </w:tcPr>
          <w:p w14:paraId="751702D1"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55F177D3" w14:textId="77777777" w:rsidTr="00741344">
        <w:trPr>
          <w:trHeight w:val="252"/>
          <w:jc w:val="center"/>
        </w:trPr>
        <w:tc>
          <w:tcPr>
            <w:cnfStyle w:val="001000000000" w:firstRow="0" w:lastRow="0" w:firstColumn="1" w:lastColumn="0" w:oddVBand="0" w:evenVBand="0" w:oddHBand="0" w:evenHBand="0" w:firstRowFirstColumn="0" w:firstRowLastColumn="0" w:lastRowFirstColumn="0" w:lastRowLastColumn="0"/>
            <w:tcW w:w="1803" w:type="dxa"/>
          </w:tcPr>
          <w:p w14:paraId="759D79DB"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3558C1B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75.22267</w:t>
            </w:r>
          </w:p>
        </w:tc>
        <w:tc>
          <w:tcPr>
            <w:tcW w:w="1434" w:type="dxa"/>
          </w:tcPr>
          <w:p w14:paraId="290D612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0155DC4F"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r w:rsidR="00741344" w:rsidRPr="00E10446" w14:paraId="7F09AFD2"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B8EAB2D" w14:textId="4893ED22" w:rsidR="00741344" w:rsidRPr="00E10446" w:rsidRDefault="00741344" w:rsidP="009D3561">
            <w:pPr>
              <w:rPr>
                <w:rFonts w:ascii="Times New Roman" w:hAnsi="Times New Roman" w:cs="Times New Roman"/>
                <w:sz w:val="18"/>
                <w:szCs w:val="18"/>
              </w:rPr>
            </w:pPr>
            <w:r w:rsidRPr="00E10446">
              <w:rPr>
                <w:rFonts w:ascii="Times New Roman" w:hAnsi="Times New Roman" w:cs="Times New Roman"/>
                <w:sz w:val="18"/>
                <w:szCs w:val="18"/>
              </w:rPr>
              <w:t>Upper Quantile</w:t>
            </w:r>
          </w:p>
        </w:tc>
        <w:tc>
          <w:tcPr>
            <w:tcW w:w="3237" w:type="dxa"/>
            <w:gridSpan w:val="2"/>
          </w:tcPr>
          <w:p w14:paraId="4FAD2925"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E10446">
              <w:rPr>
                <w:rFonts w:ascii="Times New Roman" w:hAnsi="Times New Roman" w:cs="Times New Roman"/>
                <w:b/>
                <w:bCs/>
                <w:color w:val="000000"/>
                <w:sz w:val="18"/>
                <w:szCs w:val="18"/>
              </w:rPr>
              <w:t xml:space="preserve">Estimated equation </w:t>
            </w:r>
          </w:p>
          <w:p w14:paraId="1B49B444" w14:textId="3C4E9F9E"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10446">
              <w:rPr>
                <w:rFonts w:ascii="Times New Roman" w:hAnsi="Times New Roman" w:cs="Times New Roman"/>
                <w:b/>
                <w:bCs/>
                <w:color w:val="000000"/>
                <w:sz w:val="18"/>
                <w:szCs w:val="18"/>
              </w:rPr>
              <w:t>quantile tau = 0.</w:t>
            </w:r>
            <w:r w:rsidR="003847FF" w:rsidRPr="00E10446">
              <w:rPr>
                <w:rFonts w:ascii="Times New Roman" w:hAnsi="Times New Roman" w:cs="Times New Roman"/>
                <w:b/>
                <w:bCs/>
                <w:color w:val="000000"/>
                <w:sz w:val="18"/>
                <w:szCs w:val="18"/>
              </w:rPr>
              <w:t>8</w:t>
            </w:r>
            <w:r w:rsidRPr="00E10446">
              <w:rPr>
                <w:rFonts w:ascii="Times New Roman" w:hAnsi="Times New Roman" w:cs="Times New Roman"/>
                <w:b/>
                <w:bCs/>
                <w:color w:val="000000"/>
                <w:sz w:val="18"/>
                <w:szCs w:val="18"/>
              </w:rPr>
              <w:t>0</w:t>
            </w:r>
          </w:p>
        </w:tc>
        <w:tc>
          <w:tcPr>
            <w:tcW w:w="810" w:type="dxa"/>
          </w:tcPr>
          <w:p w14:paraId="75956326"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3FAEAB49"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1AB17C8"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0BBC1D50"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4ABD4EB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r w:rsidRPr="00E10446">
              <w:rPr>
                <w:rFonts w:ascii="Times New Roman" w:hAnsi="Times New Roman" w:cs="Times New Roman"/>
                <w:color w:val="000000"/>
                <w:sz w:val="18"/>
                <w:szCs w:val="18"/>
              </w:rPr>
              <w:t>d.f</w:t>
            </w:r>
            <w:proofErr w:type="spellEnd"/>
          </w:p>
        </w:tc>
        <w:tc>
          <w:tcPr>
            <w:tcW w:w="810" w:type="dxa"/>
          </w:tcPr>
          <w:p w14:paraId="5B82B034"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398BB077"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AEDD4AE"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0104E3CB"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67.74265</w:t>
            </w:r>
          </w:p>
        </w:tc>
        <w:tc>
          <w:tcPr>
            <w:tcW w:w="1434" w:type="dxa"/>
          </w:tcPr>
          <w:p w14:paraId="33A38849"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23B03270"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r w:rsidR="00741344" w:rsidRPr="00E10446" w14:paraId="6D7E696C"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EFDA926" w14:textId="2B01AE76" w:rsidR="00741344" w:rsidRPr="00E10446" w:rsidRDefault="00741344" w:rsidP="009D3561">
            <w:pPr>
              <w:rPr>
                <w:rFonts w:ascii="Times New Roman" w:hAnsi="Times New Roman" w:cs="Times New Roman"/>
                <w:sz w:val="18"/>
                <w:szCs w:val="18"/>
              </w:rPr>
            </w:pPr>
          </w:p>
        </w:tc>
        <w:tc>
          <w:tcPr>
            <w:tcW w:w="1803" w:type="dxa"/>
          </w:tcPr>
          <w:p w14:paraId="244EE5C8" w14:textId="30B2FF2E"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E10446">
              <w:rPr>
                <w:rFonts w:ascii="Times New Roman" w:hAnsi="Times New Roman" w:cs="Times New Roman"/>
                <w:b/>
                <w:bCs/>
                <w:color w:val="000000"/>
                <w:sz w:val="18"/>
                <w:szCs w:val="18"/>
              </w:rPr>
              <w:t>Estimated equation quantile tau = 0.90</w:t>
            </w:r>
          </w:p>
        </w:tc>
        <w:tc>
          <w:tcPr>
            <w:tcW w:w="1434" w:type="dxa"/>
          </w:tcPr>
          <w:p w14:paraId="01D1EE5F"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10" w:type="dxa"/>
          </w:tcPr>
          <w:p w14:paraId="6DB25547"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741344" w:rsidRPr="00E10446" w14:paraId="2CA8C1FF"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59F42E8"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sz w:val="18"/>
                <w:szCs w:val="18"/>
              </w:rPr>
              <w:t>Total Summary</w:t>
            </w:r>
          </w:p>
        </w:tc>
        <w:tc>
          <w:tcPr>
            <w:tcW w:w="1803" w:type="dxa"/>
          </w:tcPr>
          <w:p w14:paraId="69D67CB2"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Chi-Sq. Statistic</w:t>
            </w:r>
          </w:p>
        </w:tc>
        <w:tc>
          <w:tcPr>
            <w:tcW w:w="1434" w:type="dxa"/>
          </w:tcPr>
          <w:p w14:paraId="647A9E44"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 xml:space="preserve">Chi-Sq. </w:t>
            </w:r>
            <w:proofErr w:type="spellStart"/>
            <w:r w:rsidRPr="00E10446">
              <w:rPr>
                <w:rFonts w:ascii="Times New Roman" w:hAnsi="Times New Roman" w:cs="Times New Roman"/>
                <w:color w:val="000000"/>
                <w:sz w:val="18"/>
                <w:szCs w:val="18"/>
              </w:rPr>
              <w:t>d.f</w:t>
            </w:r>
            <w:proofErr w:type="spellEnd"/>
          </w:p>
        </w:tc>
        <w:tc>
          <w:tcPr>
            <w:tcW w:w="810" w:type="dxa"/>
          </w:tcPr>
          <w:p w14:paraId="4F167C3B"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Prob.</w:t>
            </w:r>
          </w:p>
        </w:tc>
      </w:tr>
      <w:tr w:rsidR="00741344" w:rsidRPr="00E10446" w14:paraId="5D510DEA" w14:textId="77777777" w:rsidTr="00741344">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61270FF4" w14:textId="77777777" w:rsidR="00741344" w:rsidRPr="00E10446" w:rsidRDefault="00741344" w:rsidP="009D3561">
            <w:pPr>
              <w:rPr>
                <w:rFonts w:ascii="Times New Roman" w:hAnsi="Times New Roman" w:cs="Times New Roman"/>
                <w:b w:val="0"/>
                <w:bCs w:val="0"/>
                <w:sz w:val="18"/>
                <w:szCs w:val="18"/>
              </w:rPr>
            </w:pPr>
            <w:r w:rsidRPr="00E10446">
              <w:rPr>
                <w:rFonts w:ascii="Times New Roman" w:hAnsi="Times New Roman" w:cs="Times New Roman"/>
                <w:b w:val="0"/>
                <w:bCs w:val="0"/>
                <w:color w:val="000000"/>
                <w:sz w:val="18"/>
                <w:szCs w:val="18"/>
              </w:rPr>
              <w:t>Wald Test</w:t>
            </w:r>
          </w:p>
        </w:tc>
        <w:tc>
          <w:tcPr>
            <w:tcW w:w="1803" w:type="dxa"/>
          </w:tcPr>
          <w:p w14:paraId="329BE5F3"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65.19210</w:t>
            </w:r>
          </w:p>
        </w:tc>
        <w:tc>
          <w:tcPr>
            <w:tcW w:w="1434" w:type="dxa"/>
          </w:tcPr>
          <w:p w14:paraId="21D15ABE"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12</w:t>
            </w:r>
          </w:p>
        </w:tc>
        <w:tc>
          <w:tcPr>
            <w:tcW w:w="810" w:type="dxa"/>
          </w:tcPr>
          <w:p w14:paraId="7792FF17" w14:textId="77777777" w:rsidR="00741344" w:rsidRPr="00E10446" w:rsidRDefault="00741344"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10446">
              <w:rPr>
                <w:rFonts w:ascii="Times New Roman" w:hAnsi="Times New Roman" w:cs="Times New Roman"/>
                <w:color w:val="000000"/>
                <w:sz w:val="18"/>
                <w:szCs w:val="18"/>
              </w:rPr>
              <w:t>0.0000</w:t>
            </w:r>
          </w:p>
        </w:tc>
      </w:tr>
    </w:tbl>
    <w:p w14:paraId="269D81BE" w14:textId="58C08C1E" w:rsidR="00454677" w:rsidRPr="00E10446" w:rsidRDefault="00454677" w:rsidP="00454677">
      <w:pPr>
        <w:autoSpaceDE w:val="0"/>
        <w:autoSpaceDN w:val="0"/>
        <w:adjustRightInd w:val="0"/>
        <w:spacing w:after="0" w:line="240" w:lineRule="auto"/>
        <w:rPr>
          <w:rFonts w:ascii="Times New Roman" w:hAnsi="Times New Roman" w:cs="Times New Roman"/>
          <w:color w:val="000000"/>
          <w:sz w:val="18"/>
          <w:szCs w:val="18"/>
        </w:rPr>
      </w:pPr>
      <w:r w:rsidRPr="00E10446">
        <w:rPr>
          <w:rFonts w:ascii="Times New Roman" w:hAnsi="Times New Roman" w:cs="Times New Roman"/>
          <w:b/>
          <w:bCs/>
          <w:color w:val="000000"/>
          <w:sz w:val="18"/>
          <w:szCs w:val="18"/>
        </w:rPr>
        <w:tab/>
        <w:t xml:space="preserve">          </w:t>
      </w:r>
      <w:r w:rsidR="00741344" w:rsidRPr="00E10446">
        <w:rPr>
          <w:rFonts w:ascii="Times New Roman" w:hAnsi="Times New Roman" w:cs="Times New Roman"/>
          <w:b/>
          <w:bCs/>
          <w:color w:val="000000"/>
          <w:sz w:val="18"/>
          <w:szCs w:val="18"/>
        </w:rPr>
        <w:t xml:space="preserve">          </w:t>
      </w:r>
      <w:r w:rsidRPr="00E10446">
        <w:rPr>
          <w:rFonts w:ascii="Times New Roman" w:hAnsi="Times New Roman" w:cs="Times New Roman"/>
          <w:b/>
          <w:bCs/>
          <w:color w:val="000000"/>
          <w:sz w:val="18"/>
          <w:szCs w:val="18"/>
        </w:rPr>
        <w:t xml:space="preserve"> </w:t>
      </w:r>
      <w:r w:rsidRPr="00E10446">
        <w:rPr>
          <w:rFonts w:ascii="Times New Roman" w:hAnsi="Times New Roman" w:cs="Times New Roman"/>
          <w:color w:val="000000"/>
          <w:sz w:val="18"/>
          <w:szCs w:val="18"/>
        </w:rPr>
        <w:t xml:space="preserve">Number of test quantiles: 4                           </w:t>
      </w:r>
    </w:p>
    <w:p w14:paraId="72279B44" w14:textId="2AA63CA3" w:rsidR="00454677" w:rsidRPr="00E10446" w:rsidRDefault="00454677" w:rsidP="00454677">
      <w:pPr>
        <w:spacing w:line="240" w:lineRule="auto"/>
        <w:jc w:val="both"/>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741344"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3DA9EE82" w14:textId="0A3370BF" w:rsidR="00454677" w:rsidRPr="00E10446" w:rsidRDefault="00B12A30">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The quantile slope equality test results are statistically significant across all examined quantiles (τ = 0.10, 0.20, 0.80, and 0.90), as indicated by highly significant Wald statistics (p = 0.0000). This implies rejection of the null hypothesis of slope equality, confirming that the effects of explanatory variables differ significantly across the conditional distribution of poverty</w:t>
      </w:r>
      <w:r w:rsidR="00E6733A">
        <w:rPr>
          <w:rFonts w:ascii="Times New Roman" w:eastAsia="Times New Roman" w:hAnsi="Times New Roman" w:cs="Times New Roman"/>
          <w:sz w:val="24"/>
          <w:szCs w:val="24"/>
          <w:lang w:eastAsia="en-GB"/>
        </w:rPr>
        <w:t xml:space="preserve"> </w:t>
      </w:r>
      <w:r w:rsidR="00E6733A" w:rsidRPr="00E6733A">
        <w:rPr>
          <w:rFonts w:ascii="Times New Roman" w:eastAsia="Times New Roman" w:hAnsi="Times New Roman" w:cs="Times New Roman"/>
          <w:sz w:val="24"/>
          <w:szCs w:val="24"/>
          <w:lang w:eastAsia="en-GB"/>
        </w:rPr>
        <w:t>(Sy et al., 2022</w:t>
      </w:r>
      <w:r w:rsidR="00E6733A">
        <w:rPr>
          <w:rFonts w:ascii="Times New Roman" w:eastAsia="Times New Roman" w:hAnsi="Times New Roman" w:cs="Times New Roman"/>
          <w:sz w:val="24"/>
          <w:szCs w:val="24"/>
          <w:lang w:eastAsia="en-GB"/>
        </w:rPr>
        <w:t xml:space="preserve">; </w:t>
      </w:r>
      <w:proofErr w:type="spellStart"/>
      <w:r w:rsidR="00E6733A" w:rsidRPr="00E6733A">
        <w:rPr>
          <w:rFonts w:ascii="Times New Roman" w:eastAsia="Times New Roman" w:hAnsi="Times New Roman" w:cs="Times New Roman"/>
          <w:sz w:val="24"/>
          <w:szCs w:val="24"/>
          <w:lang w:eastAsia="en-GB"/>
        </w:rPr>
        <w:t>Compaoré</w:t>
      </w:r>
      <w:proofErr w:type="spellEnd"/>
      <w:r w:rsidR="00E6733A" w:rsidRPr="00E6733A">
        <w:rPr>
          <w:rFonts w:ascii="Times New Roman" w:eastAsia="Times New Roman" w:hAnsi="Times New Roman" w:cs="Times New Roman"/>
          <w:sz w:val="24"/>
          <w:szCs w:val="24"/>
          <w:lang w:eastAsia="en-GB"/>
        </w:rPr>
        <w:t xml:space="preserve"> et al., 2024)</w:t>
      </w:r>
      <w:r w:rsidRPr="00E10446">
        <w:rPr>
          <w:rFonts w:ascii="Times New Roman" w:eastAsia="Times New Roman" w:hAnsi="Times New Roman" w:cs="Times New Roman"/>
          <w:sz w:val="24"/>
          <w:szCs w:val="24"/>
          <w:lang w:eastAsia="en-GB"/>
        </w:rPr>
        <w:t>. In other words, energy consumption, productivity, and income effects are not uniform but vary between low- and high-poverty regimes. This finding supports earlier empirical evidence on distributional heterogeneity in energy–poverty dynamics (Sarkodie &amp; Adams, 2020; Acheampong et al., 2021), justifying the use of quantile-based models to capture asymmetric and non-linear effects across poverty levels.</w:t>
      </w:r>
    </w:p>
    <w:p w14:paraId="4A166980" w14:textId="1B2893A4" w:rsidR="003847FF" w:rsidRPr="00E10446" w:rsidRDefault="00454677" w:rsidP="003847FF">
      <w:pPr>
        <w:spacing w:line="240" w:lineRule="auto"/>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 xml:space="preserve">Table </w:t>
      </w:r>
      <w:r w:rsidR="0060541B" w:rsidRPr="00E10446">
        <w:rPr>
          <w:rFonts w:ascii="Times New Roman" w:eastAsia="Times New Roman" w:hAnsi="Times New Roman" w:cs="Times New Roman"/>
          <w:b/>
          <w:bCs/>
          <w:sz w:val="24"/>
          <w:szCs w:val="24"/>
          <w:lang w:eastAsia="en-GB"/>
        </w:rPr>
        <w:t>10</w:t>
      </w:r>
      <w:r w:rsidRPr="00E10446">
        <w:rPr>
          <w:rFonts w:ascii="Times New Roman" w:eastAsia="Times New Roman" w:hAnsi="Times New Roman" w:cs="Times New Roman"/>
          <w:b/>
          <w:bCs/>
          <w:sz w:val="24"/>
          <w:szCs w:val="24"/>
          <w:lang w:eastAsia="en-GB"/>
        </w:rPr>
        <w:t>: Symmetric Quantiles Test</w:t>
      </w:r>
    </w:p>
    <w:tbl>
      <w:tblPr>
        <w:tblStyle w:val="PlainTable21"/>
        <w:tblW w:w="0" w:type="auto"/>
        <w:jc w:val="center"/>
        <w:tblLook w:val="06A0" w:firstRow="1" w:lastRow="0" w:firstColumn="1" w:lastColumn="0" w:noHBand="1" w:noVBand="1"/>
      </w:tblPr>
      <w:tblGrid>
        <w:gridCol w:w="1803"/>
        <w:gridCol w:w="1803"/>
        <w:gridCol w:w="1339"/>
        <w:gridCol w:w="1085"/>
      </w:tblGrid>
      <w:tr w:rsidR="003847FF" w:rsidRPr="00E10446" w14:paraId="43CC130E" w14:textId="77777777" w:rsidTr="003847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3" w:type="dxa"/>
          </w:tcPr>
          <w:p w14:paraId="58DA2C24" w14:textId="0E89EC2C" w:rsidR="003847FF" w:rsidRPr="00E10446" w:rsidRDefault="003847FF" w:rsidP="009D3561">
            <w:pPr>
              <w:rPr>
                <w:rFonts w:ascii="Times New Roman" w:hAnsi="Times New Roman" w:cs="Times New Roman"/>
              </w:rPr>
            </w:pPr>
            <w:r w:rsidRPr="00E10446">
              <w:rPr>
                <w:rFonts w:ascii="Times New Roman" w:hAnsi="Times New Roman" w:cs="Times New Roman"/>
                <w:color w:val="000000"/>
              </w:rPr>
              <w:t>Lower Quantile</w:t>
            </w:r>
          </w:p>
        </w:tc>
        <w:tc>
          <w:tcPr>
            <w:tcW w:w="3142" w:type="dxa"/>
            <w:gridSpan w:val="2"/>
          </w:tcPr>
          <w:p w14:paraId="382A1C10" w14:textId="77777777" w:rsidR="003847FF" w:rsidRPr="00E10446" w:rsidRDefault="003847FF" w:rsidP="009D3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E10446">
              <w:rPr>
                <w:rFonts w:ascii="Times New Roman" w:hAnsi="Times New Roman" w:cs="Times New Roman"/>
                <w:color w:val="000000"/>
                <w:sz w:val="18"/>
                <w:szCs w:val="18"/>
              </w:rPr>
              <w:t xml:space="preserve">Estimated equation </w:t>
            </w:r>
          </w:p>
          <w:p w14:paraId="44DC3659" w14:textId="243C4B86" w:rsidR="003847FF" w:rsidRPr="00E10446" w:rsidRDefault="003847FF" w:rsidP="009D3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10446">
              <w:rPr>
                <w:rFonts w:ascii="Times New Roman" w:hAnsi="Times New Roman" w:cs="Times New Roman"/>
                <w:color w:val="000000"/>
                <w:sz w:val="18"/>
                <w:szCs w:val="18"/>
              </w:rPr>
              <w:t>quantile tau = 0.10</w:t>
            </w:r>
          </w:p>
        </w:tc>
        <w:tc>
          <w:tcPr>
            <w:tcW w:w="1085" w:type="dxa"/>
          </w:tcPr>
          <w:p w14:paraId="4F1DC2EE" w14:textId="77777777" w:rsidR="003847FF" w:rsidRPr="00E10446" w:rsidRDefault="003847FF" w:rsidP="009D35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3847FF" w:rsidRPr="00E10446" w14:paraId="2BF35360"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0703DDD3" w14:textId="77777777" w:rsidR="003847FF" w:rsidRPr="0090787E" w:rsidRDefault="003847FF" w:rsidP="009D3561">
            <w:pPr>
              <w:rPr>
                <w:rFonts w:ascii="Times New Roman" w:hAnsi="Times New Roman" w:cs="Times New Roman"/>
                <w:b w:val="0"/>
                <w:bCs w:val="0"/>
                <w:sz w:val="18"/>
                <w:szCs w:val="18"/>
              </w:rPr>
            </w:pPr>
            <w:r w:rsidRPr="0090787E">
              <w:rPr>
                <w:rFonts w:ascii="Times New Roman" w:hAnsi="Times New Roman" w:cs="Times New Roman"/>
                <w:b w:val="0"/>
                <w:bCs w:val="0"/>
                <w:sz w:val="18"/>
                <w:szCs w:val="18"/>
              </w:rPr>
              <w:t>Total Summary</w:t>
            </w:r>
          </w:p>
        </w:tc>
        <w:tc>
          <w:tcPr>
            <w:tcW w:w="1803" w:type="dxa"/>
          </w:tcPr>
          <w:p w14:paraId="3A61A40C"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Chi-Sq. Statistic</w:t>
            </w:r>
          </w:p>
        </w:tc>
        <w:tc>
          <w:tcPr>
            <w:tcW w:w="1339" w:type="dxa"/>
          </w:tcPr>
          <w:p w14:paraId="4EDF2345"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 xml:space="preserve">Chi-Sq. </w:t>
            </w:r>
            <w:proofErr w:type="spellStart"/>
            <w:r w:rsidRPr="0090787E">
              <w:rPr>
                <w:rFonts w:ascii="Times New Roman" w:hAnsi="Times New Roman" w:cs="Times New Roman"/>
                <w:color w:val="000000"/>
                <w:sz w:val="18"/>
                <w:szCs w:val="18"/>
              </w:rPr>
              <w:t>d.f</w:t>
            </w:r>
            <w:proofErr w:type="spellEnd"/>
          </w:p>
        </w:tc>
        <w:tc>
          <w:tcPr>
            <w:tcW w:w="1085" w:type="dxa"/>
          </w:tcPr>
          <w:p w14:paraId="6158EFC5"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Prob.</w:t>
            </w:r>
          </w:p>
        </w:tc>
      </w:tr>
      <w:tr w:rsidR="003847FF" w:rsidRPr="00E10446" w14:paraId="40F8FE1F"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0D2588D" w14:textId="77777777" w:rsidR="003847FF" w:rsidRPr="0090787E" w:rsidRDefault="003847FF" w:rsidP="009D3561">
            <w:pPr>
              <w:rPr>
                <w:rFonts w:ascii="Times New Roman" w:hAnsi="Times New Roman" w:cs="Times New Roman"/>
                <w:b w:val="0"/>
                <w:bCs w:val="0"/>
                <w:sz w:val="18"/>
                <w:szCs w:val="18"/>
              </w:rPr>
            </w:pPr>
            <w:r w:rsidRPr="0090787E">
              <w:rPr>
                <w:rFonts w:ascii="Times New Roman" w:hAnsi="Times New Roman" w:cs="Times New Roman"/>
                <w:b w:val="0"/>
                <w:bCs w:val="0"/>
                <w:color w:val="000000"/>
                <w:sz w:val="18"/>
                <w:szCs w:val="18"/>
              </w:rPr>
              <w:lastRenderedPageBreak/>
              <w:t>Wald Test</w:t>
            </w:r>
          </w:p>
        </w:tc>
        <w:tc>
          <w:tcPr>
            <w:tcW w:w="1803" w:type="dxa"/>
          </w:tcPr>
          <w:p w14:paraId="109BE86D"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17.77851</w:t>
            </w:r>
          </w:p>
        </w:tc>
        <w:tc>
          <w:tcPr>
            <w:tcW w:w="1339" w:type="dxa"/>
          </w:tcPr>
          <w:p w14:paraId="483050D9"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10</w:t>
            </w:r>
          </w:p>
        </w:tc>
        <w:tc>
          <w:tcPr>
            <w:tcW w:w="1085" w:type="dxa"/>
          </w:tcPr>
          <w:p w14:paraId="009A77F7"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0.0588</w:t>
            </w:r>
          </w:p>
        </w:tc>
      </w:tr>
      <w:tr w:rsidR="003847FF" w:rsidRPr="00E10446" w14:paraId="5AD89938"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B39B85E" w14:textId="2628DFEF" w:rsidR="003847FF" w:rsidRPr="0090787E" w:rsidRDefault="003847FF" w:rsidP="009D3561">
            <w:pPr>
              <w:rPr>
                <w:rFonts w:ascii="Times New Roman" w:hAnsi="Times New Roman" w:cs="Times New Roman"/>
                <w:b w:val="0"/>
                <w:bCs w:val="0"/>
                <w:sz w:val="18"/>
                <w:szCs w:val="18"/>
              </w:rPr>
            </w:pPr>
          </w:p>
        </w:tc>
        <w:tc>
          <w:tcPr>
            <w:tcW w:w="1803" w:type="dxa"/>
          </w:tcPr>
          <w:p w14:paraId="6062A991" w14:textId="0923A640"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90787E">
              <w:rPr>
                <w:rFonts w:ascii="Times New Roman" w:hAnsi="Times New Roman" w:cs="Times New Roman"/>
                <w:b/>
                <w:bCs/>
                <w:color w:val="000000"/>
                <w:sz w:val="18"/>
                <w:szCs w:val="18"/>
              </w:rPr>
              <w:t>Estimated equation quantile tau = 0.20</w:t>
            </w:r>
          </w:p>
        </w:tc>
        <w:tc>
          <w:tcPr>
            <w:tcW w:w="1339" w:type="dxa"/>
          </w:tcPr>
          <w:p w14:paraId="440FFB17"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tcPr>
          <w:p w14:paraId="34206BE9"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3847FF" w:rsidRPr="00E10446" w14:paraId="6B8B707D"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427ACF70" w14:textId="77777777" w:rsidR="003847FF" w:rsidRPr="0090787E" w:rsidRDefault="003847FF" w:rsidP="009D3561">
            <w:pPr>
              <w:rPr>
                <w:rFonts w:ascii="Times New Roman" w:hAnsi="Times New Roman" w:cs="Times New Roman"/>
                <w:b w:val="0"/>
                <w:bCs w:val="0"/>
                <w:sz w:val="18"/>
                <w:szCs w:val="18"/>
              </w:rPr>
            </w:pPr>
            <w:r w:rsidRPr="0090787E">
              <w:rPr>
                <w:rFonts w:ascii="Times New Roman" w:hAnsi="Times New Roman" w:cs="Times New Roman"/>
                <w:b w:val="0"/>
                <w:bCs w:val="0"/>
                <w:sz w:val="18"/>
                <w:szCs w:val="18"/>
              </w:rPr>
              <w:t>Total Summary</w:t>
            </w:r>
          </w:p>
        </w:tc>
        <w:tc>
          <w:tcPr>
            <w:tcW w:w="1803" w:type="dxa"/>
          </w:tcPr>
          <w:p w14:paraId="7C74CA36"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Chi-Sq. Statistic</w:t>
            </w:r>
          </w:p>
        </w:tc>
        <w:tc>
          <w:tcPr>
            <w:tcW w:w="1339" w:type="dxa"/>
          </w:tcPr>
          <w:p w14:paraId="277E613F"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 xml:space="preserve">Chi-Sq. </w:t>
            </w:r>
            <w:proofErr w:type="spellStart"/>
            <w:r w:rsidRPr="0090787E">
              <w:rPr>
                <w:rFonts w:ascii="Times New Roman" w:hAnsi="Times New Roman" w:cs="Times New Roman"/>
                <w:color w:val="000000"/>
                <w:sz w:val="18"/>
                <w:szCs w:val="18"/>
              </w:rPr>
              <w:t>d.f</w:t>
            </w:r>
            <w:proofErr w:type="spellEnd"/>
          </w:p>
        </w:tc>
        <w:tc>
          <w:tcPr>
            <w:tcW w:w="1085" w:type="dxa"/>
          </w:tcPr>
          <w:p w14:paraId="36656975"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Prob.</w:t>
            </w:r>
          </w:p>
        </w:tc>
      </w:tr>
      <w:tr w:rsidR="003847FF" w:rsidRPr="00E10446" w14:paraId="7C337B35" w14:textId="77777777" w:rsidTr="003847FF">
        <w:trPr>
          <w:trHeight w:val="315"/>
          <w:jc w:val="center"/>
        </w:trPr>
        <w:tc>
          <w:tcPr>
            <w:cnfStyle w:val="001000000000" w:firstRow="0" w:lastRow="0" w:firstColumn="1" w:lastColumn="0" w:oddVBand="0" w:evenVBand="0" w:oddHBand="0" w:evenHBand="0" w:firstRowFirstColumn="0" w:firstRowLastColumn="0" w:lastRowFirstColumn="0" w:lastRowLastColumn="0"/>
            <w:tcW w:w="1803" w:type="dxa"/>
          </w:tcPr>
          <w:p w14:paraId="5F675415" w14:textId="77777777" w:rsidR="003847FF" w:rsidRPr="0090787E" w:rsidRDefault="003847FF" w:rsidP="009D3561">
            <w:pPr>
              <w:rPr>
                <w:rFonts w:ascii="Times New Roman" w:hAnsi="Times New Roman" w:cs="Times New Roman"/>
                <w:b w:val="0"/>
                <w:bCs w:val="0"/>
                <w:sz w:val="18"/>
                <w:szCs w:val="18"/>
              </w:rPr>
            </w:pPr>
            <w:r w:rsidRPr="0090787E">
              <w:rPr>
                <w:rFonts w:ascii="Times New Roman" w:hAnsi="Times New Roman" w:cs="Times New Roman"/>
                <w:b w:val="0"/>
                <w:bCs w:val="0"/>
                <w:color w:val="000000"/>
                <w:sz w:val="18"/>
                <w:szCs w:val="18"/>
              </w:rPr>
              <w:t>Wald Test</w:t>
            </w:r>
          </w:p>
        </w:tc>
        <w:tc>
          <w:tcPr>
            <w:tcW w:w="1803" w:type="dxa"/>
          </w:tcPr>
          <w:p w14:paraId="1A11A065"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12.02584</w:t>
            </w:r>
          </w:p>
        </w:tc>
        <w:tc>
          <w:tcPr>
            <w:tcW w:w="1339" w:type="dxa"/>
          </w:tcPr>
          <w:p w14:paraId="3142F259"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10</w:t>
            </w:r>
          </w:p>
        </w:tc>
        <w:tc>
          <w:tcPr>
            <w:tcW w:w="1085" w:type="dxa"/>
          </w:tcPr>
          <w:p w14:paraId="705807E3"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0.2833</w:t>
            </w:r>
          </w:p>
        </w:tc>
      </w:tr>
      <w:tr w:rsidR="003847FF" w:rsidRPr="00E10446" w14:paraId="7B73C4DC"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E0AA83F" w14:textId="3B810752" w:rsidR="003847FF" w:rsidRPr="0090787E" w:rsidRDefault="003847FF" w:rsidP="009D3561">
            <w:pPr>
              <w:rPr>
                <w:rFonts w:ascii="Times New Roman" w:hAnsi="Times New Roman" w:cs="Times New Roman"/>
                <w:sz w:val="18"/>
                <w:szCs w:val="18"/>
              </w:rPr>
            </w:pPr>
            <w:r w:rsidRPr="0090787E">
              <w:rPr>
                <w:rFonts w:ascii="Times New Roman" w:hAnsi="Times New Roman" w:cs="Times New Roman"/>
                <w:sz w:val="18"/>
                <w:szCs w:val="18"/>
              </w:rPr>
              <w:t>Upper Quantile</w:t>
            </w:r>
          </w:p>
        </w:tc>
        <w:tc>
          <w:tcPr>
            <w:tcW w:w="3142" w:type="dxa"/>
            <w:gridSpan w:val="2"/>
          </w:tcPr>
          <w:p w14:paraId="246502F7"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90787E">
              <w:rPr>
                <w:rFonts w:ascii="Times New Roman" w:hAnsi="Times New Roman" w:cs="Times New Roman"/>
                <w:b/>
                <w:bCs/>
                <w:color w:val="000000"/>
                <w:sz w:val="18"/>
                <w:szCs w:val="18"/>
              </w:rPr>
              <w:t xml:space="preserve">Estimated equation </w:t>
            </w:r>
          </w:p>
          <w:p w14:paraId="59E56CCD" w14:textId="25B4CE8F"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90787E">
              <w:rPr>
                <w:rFonts w:ascii="Times New Roman" w:hAnsi="Times New Roman" w:cs="Times New Roman"/>
                <w:b/>
                <w:bCs/>
                <w:color w:val="000000"/>
                <w:sz w:val="18"/>
                <w:szCs w:val="18"/>
              </w:rPr>
              <w:t>quantile tau = 0.80</w:t>
            </w:r>
          </w:p>
        </w:tc>
        <w:tc>
          <w:tcPr>
            <w:tcW w:w="1085" w:type="dxa"/>
          </w:tcPr>
          <w:p w14:paraId="518BCE3C"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3847FF" w:rsidRPr="00E10446" w14:paraId="2E9C2DA5"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23542FCC" w14:textId="77777777" w:rsidR="003847FF" w:rsidRPr="0090787E" w:rsidRDefault="003847FF" w:rsidP="009D3561">
            <w:pPr>
              <w:rPr>
                <w:rFonts w:ascii="Times New Roman" w:hAnsi="Times New Roman" w:cs="Times New Roman"/>
                <w:b w:val="0"/>
                <w:bCs w:val="0"/>
                <w:sz w:val="18"/>
                <w:szCs w:val="18"/>
              </w:rPr>
            </w:pPr>
            <w:r w:rsidRPr="0090787E">
              <w:rPr>
                <w:rFonts w:ascii="Times New Roman" w:hAnsi="Times New Roman" w:cs="Times New Roman"/>
                <w:b w:val="0"/>
                <w:bCs w:val="0"/>
                <w:sz w:val="18"/>
                <w:szCs w:val="18"/>
              </w:rPr>
              <w:t>Total Summary</w:t>
            </w:r>
          </w:p>
        </w:tc>
        <w:tc>
          <w:tcPr>
            <w:tcW w:w="1803" w:type="dxa"/>
          </w:tcPr>
          <w:p w14:paraId="6FBA72F5"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Chi-Sq. Statistic</w:t>
            </w:r>
          </w:p>
        </w:tc>
        <w:tc>
          <w:tcPr>
            <w:tcW w:w="1339" w:type="dxa"/>
          </w:tcPr>
          <w:p w14:paraId="5ED916A4"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 xml:space="preserve">Chi-Sq. </w:t>
            </w:r>
            <w:proofErr w:type="spellStart"/>
            <w:r w:rsidRPr="0090787E">
              <w:rPr>
                <w:rFonts w:ascii="Times New Roman" w:hAnsi="Times New Roman" w:cs="Times New Roman"/>
                <w:color w:val="000000"/>
                <w:sz w:val="18"/>
                <w:szCs w:val="18"/>
              </w:rPr>
              <w:t>d.f</w:t>
            </w:r>
            <w:proofErr w:type="spellEnd"/>
          </w:p>
        </w:tc>
        <w:tc>
          <w:tcPr>
            <w:tcW w:w="1085" w:type="dxa"/>
          </w:tcPr>
          <w:p w14:paraId="4946724F"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Prob.</w:t>
            </w:r>
          </w:p>
        </w:tc>
      </w:tr>
      <w:tr w:rsidR="003847FF" w:rsidRPr="00E10446" w14:paraId="590683E7"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88FF0D4" w14:textId="77777777" w:rsidR="003847FF" w:rsidRPr="0090787E" w:rsidRDefault="003847FF" w:rsidP="009D3561">
            <w:pPr>
              <w:rPr>
                <w:rFonts w:ascii="Times New Roman" w:hAnsi="Times New Roman" w:cs="Times New Roman"/>
                <w:b w:val="0"/>
                <w:bCs w:val="0"/>
                <w:sz w:val="18"/>
                <w:szCs w:val="18"/>
              </w:rPr>
            </w:pPr>
            <w:r w:rsidRPr="0090787E">
              <w:rPr>
                <w:rFonts w:ascii="Times New Roman" w:hAnsi="Times New Roman" w:cs="Times New Roman"/>
                <w:b w:val="0"/>
                <w:bCs w:val="0"/>
                <w:color w:val="000000"/>
                <w:sz w:val="18"/>
                <w:szCs w:val="18"/>
              </w:rPr>
              <w:t>Wald Test</w:t>
            </w:r>
          </w:p>
        </w:tc>
        <w:tc>
          <w:tcPr>
            <w:tcW w:w="1803" w:type="dxa"/>
          </w:tcPr>
          <w:p w14:paraId="0516BF59"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12.02584</w:t>
            </w:r>
          </w:p>
        </w:tc>
        <w:tc>
          <w:tcPr>
            <w:tcW w:w="1339" w:type="dxa"/>
          </w:tcPr>
          <w:p w14:paraId="54B77400"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10</w:t>
            </w:r>
          </w:p>
        </w:tc>
        <w:tc>
          <w:tcPr>
            <w:tcW w:w="1085" w:type="dxa"/>
          </w:tcPr>
          <w:p w14:paraId="1CEA0675" w14:textId="77777777" w:rsidR="003847FF" w:rsidRPr="0090787E" w:rsidRDefault="003847FF" w:rsidP="009D35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0.2833</w:t>
            </w:r>
          </w:p>
        </w:tc>
      </w:tr>
      <w:tr w:rsidR="003847FF" w:rsidRPr="00E10446" w14:paraId="1BF693C0"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69FF271B" w14:textId="19A161B8" w:rsidR="003847FF" w:rsidRPr="0090787E" w:rsidRDefault="003847FF" w:rsidP="003847FF">
            <w:pPr>
              <w:rPr>
                <w:rFonts w:ascii="Times New Roman" w:hAnsi="Times New Roman" w:cs="Times New Roman"/>
                <w:sz w:val="18"/>
                <w:szCs w:val="18"/>
              </w:rPr>
            </w:pPr>
          </w:p>
        </w:tc>
        <w:tc>
          <w:tcPr>
            <w:tcW w:w="1803" w:type="dxa"/>
          </w:tcPr>
          <w:p w14:paraId="7C8C301D" w14:textId="2BE2736E"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90787E">
              <w:rPr>
                <w:rFonts w:ascii="Times New Roman" w:hAnsi="Times New Roman" w:cs="Times New Roman"/>
                <w:b/>
                <w:bCs/>
                <w:color w:val="000000"/>
                <w:sz w:val="18"/>
                <w:szCs w:val="18"/>
              </w:rPr>
              <w:t>Estimated equation quantile tau = 0.90</w:t>
            </w:r>
          </w:p>
        </w:tc>
        <w:tc>
          <w:tcPr>
            <w:tcW w:w="1339" w:type="dxa"/>
          </w:tcPr>
          <w:p w14:paraId="291ECBA9"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85" w:type="dxa"/>
          </w:tcPr>
          <w:p w14:paraId="1D77E771"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3847FF" w:rsidRPr="00E10446" w14:paraId="4275D038"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5D8EDAFB" w14:textId="77777777" w:rsidR="003847FF" w:rsidRPr="0090787E" w:rsidRDefault="003847FF" w:rsidP="003847FF">
            <w:pPr>
              <w:rPr>
                <w:rFonts w:ascii="Times New Roman" w:hAnsi="Times New Roman" w:cs="Times New Roman"/>
                <w:b w:val="0"/>
                <w:bCs w:val="0"/>
                <w:sz w:val="18"/>
                <w:szCs w:val="18"/>
              </w:rPr>
            </w:pPr>
            <w:r w:rsidRPr="0090787E">
              <w:rPr>
                <w:rFonts w:ascii="Times New Roman" w:hAnsi="Times New Roman" w:cs="Times New Roman"/>
                <w:b w:val="0"/>
                <w:bCs w:val="0"/>
                <w:sz w:val="18"/>
                <w:szCs w:val="18"/>
              </w:rPr>
              <w:t>Total Summary</w:t>
            </w:r>
          </w:p>
        </w:tc>
        <w:tc>
          <w:tcPr>
            <w:tcW w:w="1803" w:type="dxa"/>
          </w:tcPr>
          <w:p w14:paraId="4C73ABCB"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Chi-Sq. Statistic</w:t>
            </w:r>
          </w:p>
        </w:tc>
        <w:tc>
          <w:tcPr>
            <w:tcW w:w="1339" w:type="dxa"/>
          </w:tcPr>
          <w:p w14:paraId="0C927812"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 xml:space="preserve">Chi-Sq. </w:t>
            </w:r>
            <w:proofErr w:type="spellStart"/>
            <w:r w:rsidRPr="0090787E">
              <w:rPr>
                <w:rFonts w:ascii="Times New Roman" w:hAnsi="Times New Roman" w:cs="Times New Roman"/>
                <w:color w:val="000000"/>
                <w:sz w:val="18"/>
                <w:szCs w:val="18"/>
              </w:rPr>
              <w:t>d.f</w:t>
            </w:r>
            <w:proofErr w:type="spellEnd"/>
          </w:p>
        </w:tc>
        <w:tc>
          <w:tcPr>
            <w:tcW w:w="1085" w:type="dxa"/>
          </w:tcPr>
          <w:p w14:paraId="6A14FE89"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Prob.</w:t>
            </w:r>
          </w:p>
        </w:tc>
      </w:tr>
      <w:tr w:rsidR="003847FF" w:rsidRPr="00E10446" w14:paraId="1BEE1789" w14:textId="77777777" w:rsidTr="003847FF">
        <w:trPr>
          <w:jc w:val="center"/>
        </w:trPr>
        <w:tc>
          <w:tcPr>
            <w:cnfStyle w:val="001000000000" w:firstRow="0" w:lastRow="0" w:firstColumn="1" w:lastColumn="0" w:oddVBand="0" w:evenVBand="0" w:oddHBand="0" w:evenHBand="0" w:firstRowFirstColumn="0" w:firstRowLastColumn="0" w:lastRowFirstColumn="0" w:lastRowLastColumn="0"/>
            <w:tcW w:w="1803" w:type="dxa"/>
          </w:tcPr>
          <w:p w14:paraId="3CC1D740" w14:textId="77777777" w:rsidR="003847FF" w:rsidRPr="0090787E" w:rsidRDefault="003847FF" w:rsidP="003847FF">
            <w:pPr>
              <w:rPr>
                <w:rFonts w:ascii="Times New Roman" w:hAnsi="Times New Roman" w:cs="Times New Roman"/>
                <w:b w:val="0"/>
                <w:bCs w:val="0"/>
                <w:sz w:val="18"/>
                <w:szCs w:val="18"/>
              </w:rPr>
            </w:pPr>
            <w:r w:rsidRPr="0090787E">
              <w:rPr>
                <w:rFonts w:ascii="Times New Roman" w:hAnsi="Times New Roman" w:cs="Times New Roman"/>
                <w:b w:val="0"/>
                <w:bCs w:val="0"/>
                <w:color w:val="000000"/>
                <w:sz w:val="18"/>
                <w:szCs w:val="18"/>
              </w:rPr>
              <w:t>Wald Test</w:t>
            </w:r>
          </w:p>
        </w:tc>
        <w:tc>
          <w:tcPr>
            <w:tcW w:w="1803" w:type="dxa"/>
          </w:tcPr>
          <w:p w14:paraId="736B8318"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17.77851</w:t>
            </w:r>
          </w:p>
        </w:tc>
        <w:tc>
          <w:tcPr>
            <w:tcW w:w="1339" w:type="dxa"/>
          </w:tcPr>
          <w:p w14:paraId="7E912F8B"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10</w:t>
            </w:r>
          </w:p>
        </w:tc>
        <w:tc>
          <w:tcPr>
            <w:tcW w:w="1085" w:type="dxa"/>
          </w:tcPr>
          <w:p w14:paraId="22D9E334" w14:textId="77777777" w:rsidR="003847FF" w:rsidRPr="0090787E" w:rsidRDefault="003847FF" w:rsidP="003847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0787E">
              <w:rPr>
                <w:rFonts w:ascii="Times New Roman" w:hAnsi="Times New Roman" w:cs="Times New Roman"/>
                <w:color w:val="000000"/>
                <w:sz w:val="18"/>
                <w:szCs w:val="18"/>
              </w:rPr>
              <w:t>0.0588</w:t>
            </w:r>
          </w:p>
        </w:tc>
      </w:tr>
    </w:tbl>
    <w:p w14:paraId="259C016E" w14:textId="41A8EF4A" w:rsidR="00454677" w:rsidRPr="00E10446" w:rsidRDefault="003847FF" w:rsidP="003847FF">
      <w:pPr>
        <w:autoSpaceDE w:val="0"/>
        <w:autoSpaceDN w:val="0"/>
        <w:adjustRightInd w:val="0"/>
        <w:spacing w:after="0" w:line="240" w:lineRule="auto"/>
        <w:ind w:left="720"/>
        <w:rPr>
          <w:rFonts w:ascii="Times New Roman" w:hAnsi="Times New Roman" w:cs="Times New Roman"/>
          <w:b/>
          <w:bCs/>
          <w:color w:val="000000"/>
          <w:sz w:val="18"/>
          <w:szCs w:val="18"/>
        </w:rPr>
      </w:pPr>
      <w:r w:rsidRPr="00E10446">
        <w:rPr>
          <w:rFonts w:ascii="Times New Roman" w:hAnsi="Times New Roman" w:cs="Times New Roman"/>
          <w:color w:val="000000"/>
          <w:sz w:val="18"/>
          <w:szCs w:val="18"/>
        </w:rPr>
        <w:t xml:space="preserve">                  </w:t>
      </w:r>
      <w:r w:rsidR="00454677" w:rsidRPr="00E10446">
        <w:rPr>
          <w:rFonts w:ascii="Times New Roman" w:hAnsi="Times New Roman" w:cs="Times New Roman"/>
          <w:color w:val="000000"/>
          <w:sz w:val="18"/>
          <w:szCs w:val="18"/>
        </w:rPr>
        <w:t xml:space="preserve">Number of test quantiles: 4                           </w:t>
      </w:r>
    </w:p>
    <w:p w14:paraId="6CEF8EAF" w14:textId="3C38EFDC" w:rsidR="00454677" w:rsidRPr="00E10446" w:rsidRDefault="00454677" w:rsidP="00454677">
      <w:pPr>
        <w:spacing w:line="240" w:lineRule="auto"/>
        <w:ind w:firstLine="720"/>
        <w:jc w:val="both"/>
        <w:rPr>
          <w:rFonts w:ascii="Times New Roman" w:eastAsia="Times New Roman" w:hAnsi="Times New Roman" w:cs="Times New Roman"/>
          <w:b/>
          <w:bCs/>
          <w:sz w:val="20"/>
          <w:szCs w:val="20"/>
          <w:lang w:eastAsia="en-GB"/>
        </w:rPr>
      </w:pPr>
      <w:r w:rsidRPr="00E10446">
        <w:rPr>
          <w:rFonts w:ascii="Times New Roman" w:eastAsia="Times New Roman" w:hAnsi="Times New Roman" w:cs="Times New Roman"/>
          <w:b/>
          <w:bCs/>
          <w:sz w:val="20"/>
          <w:szCs w:val="20"/>
          <w:lang w:eastAsia="en-GB"/>
        </w:rPr>
        <w:t xml:space="preserve">       </w:t>
      </w:r>
      <w:r w:rsidR="003847FF"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 </w:t>
      </w:r>
      <w:r w:rsidR="003847FF" w:rsidRPr="00E10446">
        <w:rPr>
          <w:rFonts w:ascii="Times New Roman" w:eastAsia="Times New Roman" w:hAnsi="Times New Roman" w:cs="Times New Roman"/>
          <w:b/>
          <w:bCs/>
          <w:sz w:val="20"/>
          <w:szCs w:val="20"/>
          <w:lang w:eastAsia="en-GB"/>
        </w:rPr>
        <w:t xml:space="preserve">       </w:t>
      </w:r>
      <w:r w:rsidRPr="00E10446">
        <w:rPr>
          <w:rFonts w:ascii="Times New Roman" w:eastAsia="Times New Roman" w:hAnsi="Times New Roman" w:cs="Times New Roman"/>
          <w:b/>
          <w:bCs/>
          <w:sz w:val="20"/>
          <w:szCs w:val="20"/>
          <w:lang w:eastAsia="en-GB"/>
        </w:rPr>
        <w:t xml:space="preserve">Source: Authors determined using </w:t>
      </w:r>
      <w:proofErr w:type="spellStart"/>
      <w:r w:rsidRPr="00E10446">
        <w:rPr>
          <w:rFonts w:ascii="Times New Roman" w:eastAsia="Times New Roman" w:hAnsi="Times New Roman" w:cs="Times New Roman"/>
          <w:b/>
          <w:bCs/>
          <w:sz w:val="20"/>
          <w:szCs w:val="20"/>
          <w:lang w:eastAsia="en-GB"/>
        </w:rPr>
        <w:t>Eviews</w:t>
      </w:r>
      <w:proofErr w:type="spellEnd"/>
      <w:r w:rsidRPr="00E10446">
        <w:rPr>
          <w:rFonts w:ascii="Times New Roman" w:eastAsia="Times New Roman" w:hAnsi="Times New Roman" w:cs="Times New Roman"/>
          <w:b/>
          <w:bCs/>
          <w:sz w:val="20"/>
          <w:szCs w:val="20"/>
          <w:lang w:eastAsia="en-GB"/>
        </w:rPr>
        <w:t xml:space="preserve"> 12, 2026</w:t>
      </w:r>
    </w:p>
    <w:p w14:paraId="48BC0379" w14:textId="0E40AFB3" w:rsidR="00454677" w:rsidRDefault="00AC2536" w:rsidP="00AC2536">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The symmetric quantiles test results indicate mixed evidence regarding distributional symmetry in the energy–poverty relationship. At τ = 0.10 and τ = 0.90, the Wald statistics are marginally significant (p = 0.0588), suggesting weak rejection of symmetry at the tails of the distribution, where extreme poverty and high-poverty conditions may behave differently. However, at τ = 0.20 and τ = 0.80, the results are statistically insignificant (p = 0.2833), implying symmetry at moderate distributional points. Therefore, this suggests partial asymmetry, particularly at distributional extremes. This aligns with empirical literature indicating that energy and income effects often vary more strongly in vulnerable populations than in middle-income groups (Sarkodie &amp; Adams, 2020; Acheampong et al., 2021).</w:t>
      </w:r>
    </w:p>
    <w:p w14:paraId="34AD60CE" w14:textId="70D3C1A0" w:rsidR="003640FA" w:rsidRPr="003640FA" w:rsidRDefault="003640FA" w:rsidP="003640FA">
      <w:pPr>
        <w:spacing w:line="240" w:lineRule="auto"/>
        <w:jc w:val="center"/>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Table 1</w:t>
      </w:r>
      <w:r w:rsidR="00FA5183">
        <w:rPr>
          <w:rFonts w:ascii="Times New Roman" w:eastAsia="Times New Roman" w:hAnsi="Times New Roman" w:cs="Times New Roman"/>
          <w:b/>
          <w:bCs/>
          <w:sz w:val="24"/>
          <w:szCs w:val="24"/>
          <w:lang w:eastAsia="en-GB"/>
        </w:rPr>
        <w:t>1</w:t>
      </w:r>
      <w:r w:rsidRPr="00E10446">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Ramsey RESET</w:t>
      </w:r>
      <w:r w:rsidRPr="00E10446">
        <w:rPr>
          <w:rFonts w:ascii="Times New Roman" w:eastAsia="Times New Roman" w:hAnsi="Times New Roman" w:cs="Times New Roman"/>
          <w:b/>
          <w:bCs/>
          <w:sz w:val="24"/>
          <w:szCs w:val="24"/>
          <w:lang w:eastAsia="en-GB"/>
        </w:rPr>
        <w:t xml:space="preserve"> Test</w:t>
      </w:r>
    </w:p>
    <w:tbl>
      <w:tblPr>
        <w:tblStyle w:val="PlainTable2"/>
        <w:tblW w:w="0" w:type="auto"/>
        <w:jc w:val="center"/>
        <w:tblLayout w:type="fixed"/>
        <w:tblLook w:val="06A0" w:firstRow="1" w:lastRow="0" w:firstColumn="1" w:lastColumn="0" w:noHBand="1" w:noVBand="1"/>
      </w:tblPr>
      <w:tblGrid>
        <w:gridCol w:w="2122"/>
        <w:gridCol w:w="1050"/>
        <w:gridCol w:w="608"/>
        <w:gridCol w:w="1702"/>
        <w:gridCol w:w="236"/>
      </w:tblGrid>
      <w:tr w:rsidR="00B75FB3" w:rsidRPr="00B75FB3" w14:paraId="46DBBA9A" w14:textId="77777777" w:rsidTr="00FA15BB">
        <w:trPr>
          <w:cnfStyle w:val="100000000000" w:firstRow="1" w:lastRow="0" w:firstColumn="0" w:lastColumn="0" w:oddVBand="0" w:evenVBand="0" w:oddHBand="0" w:evenHBand="0" w:firstRowFirstColumn="0" w:firstRowLastColumn="0" w:lastRowFirstColumn="0" w:lastRowLastColumn="0"/>
          <w:trHeight w:hRule="exact" w:val="370"/>
          <w:jc w:val="center"/>
        </w:trPr>
        <w:tc>
          <w:tcPr>
            <w:cnfStyle w:val="001000000000" w:firstRow="0" w:lastRow="0" w:firstColumn="1" w:lastColumn="0" w:oddVBand="0" w:evenVBand="0" w:oddHBand="0" w:evenHBand="0" w:firstRowFirstColumn="0" w:firstRowLastColumn="0" w:lastRowFirstColumn="0" w:lastRowLastColumn="0"/>
            <w:tcW w:w="2122" w:type="dxa"/>
          </w:tcPr>
          <w:p w14:paraId="2D58FE2D"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4A1BDB7D" w14:textId="15C22675" w:rsidR="00B75FB3" w:rsidRPr="00B75FB3" w:rsidRDefault="00B75FB3" w:rsidP="00B75F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Value</w:t>
            </w:r>
          </w:p>
        </w:tc>
        <w:tc>
          <w:tcPr>
            <w:tcW w:w="608" w:type="dxa"/>
          </w:tcPr>
          <w:p w14:paraId="29C02DC4" w14:textId="544A03C2" w:rsidR="00B75FB3" w:rsidRPr="00B75FB3" w:rsidRDefault="00B75FB3" w:rsidP="00B75F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df</w:t>
            </w:r>
          </w:p>
        </w:tc>
        <w:tc>
          <w:tcPr>
            <w:tcW w:w="1702" w:type="dxa"/>
          </w:tcPr>
          <w:p w14:paraId="4CA88C7F" w14:textId="367F1E97" w:rsidR="00B75FB3" w:rsidRPr="00B75FB3" w:rsidRDefault="00B75FB3" w:rsidP="00B75F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Probability</w:t>
            </w:r>
          </w:p>
        </w:tc>
        <w:tc>
          <w:tcPr>
            <w:tcW w:w="236" w:type="dxa"/>
          </w:tcPr>
          <w:p w14:paraId="7922CB3C" w14:textId="77777777" w:rsidR="00B75FB3" w:rsidRPr="00B75FB3" w:rsidRDefault="00B75FB3" w:rsidP="00B75FB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2C85C582" w14:textId="77777777" w:rsidTr="00FA15BB">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122" w:type="dxa"/>
          </w:tcPr>
          <w:p w14:paraId="76927EE2"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6D1A953E"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2FDC5027"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31FBBFE9"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21FE1C0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28254ACF"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63A7ECA3" w14:textId="77777777" w:rsidR="00B75FB3" w:rsidRPr="00B75FB3" w:rsidRDefault="00B75FB3" w:rsidP="00B75FB3">
            <w:pPr>
              <w:autoSpaceDE w:val="0"/>
              <w:autoSpaceDN w:val="0"/>
              <w:adjustRightInd w:val="0"/>
              <w:rPr>
                <w:rFonts w:ascii="Times New Roman" w:hAnsi="Times New Roman" w:cs="Times New Roman"/>
                <w:color w:val="000000"/>
                <w:sz w:val="18"/>
                <w:szCs w:val="18"/>
              </w:rPr>
            </w:pPr>
            <w:r w:rsidRPr="00B75FB3">
              <w:rPr>
                <w:rFonts w:ascii="Times New Roman" w:hAnsi="Times New Roman" w:cs="Times New Roman"/>
                <w:color w:val="000000"/>
                <w:sz w:val="18"/>
                <w:szCs w:val="18"/>
              </w:rPr>
              <w:t>QLR L-statistic</w:t>
            </w:r>
          </w:p>
        </w:tc>
        <w:tc>
          <w:tcPr>
            <w:tcW w:w="1050" w:type="dxa"/>
          </w:tcPr>
          <w:p w14:paraId="3C2E066D"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0.003057</w:t>
            </w:r>
          </w:p>
        </w:tc>
        <w:tc>
          <w:tcPr>
            <w:tcW w:w="608" w:type="dxa"/>
          </w:tcPr>
          <w:p w14:paraId="4CB95BF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1</w:t>
            </w:r>
          </w:p>
        </w:tc>
        <w:tc>
          <w:tcPr>
            <w:tcW w:w="1702" w:type="dxa"/>
          </w:tcPr>
          <w:p w14:paraId="7E08E5F1"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0.9559</w:t>
            </w:r>
          </w:p>
        </w:tc>
        <w:tc>
          <w:tcPr>
            <w:tcW w:w="236" w:type="dxa"/>
          </w:tcPr>
          <w:p w14:paraId="366A540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69D71AE1"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39B3B3A0" w14:textId="77777777" w:rsidR="00B75FB3" w:rsidRPr="00B75FB3" w:rsidRDefault="00B75FB3" w:rsidP="00B75FB3">
            <w:pPr>
              <w:autoSpaceDE w:val="0"/>
              <w:autoSpaceDN w:val="0"/>
              <w:adjustRightInd w:val="0"/>
              <w:rPr>
                <w:rFonts w:ascii="Times New Roman" w:hAnsi="Times New Roman" w:cs="Times New Roman"/>
                <w:color w:val="000000"/>
                <w:sz w:val="18"/>
                <w:szCs w:val="18"/>
              </w:rPr>
            </w:pPr>
            <w:r w:rsidRPr="00B75FB3">
              <w:rPr>
                <w:rFonts w:ascii="Times New Roman" w:hAnsi="Times New Roman" w:cs="Times New Roman"/>
                <w:color w:val="000000"/>
                <w:sz w:val="18"/>
                <w:szCs w:val="18"/>
              </w:rPr>
              <w:t>QLR Lambda-statistic</w:t>
            </w:r>
          </w:p>
        </w:tc>
        <w:tc>
          <w:tcPr>
            <w:tcW w:w="1050" w:type="dxa"/>
          </w:tcPr>
          <w:p w14:paraId="3DFEE574"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0.003057</w:t>
            </w:r>
          </w:p>
        </w:tc>
        <w:tc>
          <w:tcPr>
            <w:tcW w:w="608" w:type="dxa"/>
          </w:tcPr>
          <w:p w14:paraId="76B5754B"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1</w:t>
            </w:r>
          </w:p>
        </w:tc>
        <w:tc>
          <w:tcPr>
            <w:tcW w:w="1702" w:type="dxa"/>
          </w:tcPr>
          <w:p w14:paraId="2A61BC8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0.9559</w:t>
            </w:r>
          </w:p>
        </w:tc>
        <w:tc>
          <w:tcPr>
            <w:tcW w:w="236" w:type="dxa"/>
          </w:tcPr>
          <w:p w14:paraId="028956E4"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78FE7F69" w14:textId="77777777" w:rsidTr="00FA15BB">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122" w:type="dxa"/>
          </w:tcPr>
          <w:p w14:paraId="7C2F1077"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34979733"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36903DA5"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5699ACAB"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60821222"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0627170C" w14:textId="77777777" w:rsidTr="00FA15BB">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122" w:type="dxa"/>
          </w:tcPr>
          <w:p w14:paraId="566ACFE9"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5AB705B8"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3A63492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0DFA007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4AF0778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48E263CB"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3780" w:type="dxa"/>
            <w:gridSpan w:val="3"/>
          </w:tcPr>
          <w:p w14:paraId="24ABCB07" w14:textId="77777777" w:rsidR="00B75FB3" w:rsidRPr="00B75FB3" w:rsidRDefault="00B75FB3" w:rsidP="00B75FB3">
            <w:pPr>
              <w:autoSpaceDE w:val="0"/>
              <w:autoSpaceDN w:val="0"/>
              <w:adjustRightInd w:val="0"/>
              <w:rPr>
                <w:rFonts w:ascii="Times New Roman" w:hAnsi="Times New Roman" w:cs="Times New Roman"/>
                <w:color w:val="000000"/>
                <w:sz w:val="18"/>
                <w:szCs w:val="18"/>
              </w:rPr>
            </w:pPr>
            <w:r w:rsidRPr="00B75FB3">
              <w:rPr>
                <w:rFonts w:ascii="Times New Roman" w:hAnsi="Times New Roman" w:cs="Times New Roman"/>
                <w:color w:val="000000"/>
                <w:sz w:val="18"/>
                <w:szCs w:val="18"/>
              </w:rPr>
              <w:t>L-test summary:</w:t>
            </w:r>
          </w:p>
        </w:tc>
        <w:tc>
          <w:tcPr>
            <w:tcW w:w="1702" w:type="dxa"/>
          </w:tcPr>
          <w:p w14:paraId="7EFB9724"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14E24E4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58F55C1C"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301B46B4"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217426B5"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Value</w:t>
            </w:r>
          </w:p>
        </w:tc>
        <w:tc>
          <w:tcPr>
            <w:tcW w:w="608" w:type="dxa"/>
          </w:tcPr>
          <w:p w14:paraId="7FFDB3E2"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42EAE5E7"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4882B20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6D53A5DB"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57DB91A3" w14:textId="77777777" w:rsidR="00B75FB3" w:rsidRPr="00B75FB3" w:rsidRDefault="00B75FB3" w:rsidP="00B75FB3">
            <w:pPr>
              <w:autoSpaceDE w:val="0"/>
              <w:autoSpaceDN w:val="0"/>
              <w:adjustRightInd w:val="0"/>
              <w:rPr>
                <w:rFonts w:ascii="Times New Roman" w:hAnsi="Times New Roman" w:cs="Times New Roman"/>
                <w:b w:val="0"/>
                <w:bCs w:val="0"/>
                <w:color w:val="000000"/>
                <w:sz w:val="18"/>
                <w:szCs w:val="18"/>
              </w:rPr>
            </w:pPr>
            <w:r w:rsidRPr="00B75FB3">
              <w:rPr>
                <w:rFonts w:ascii="Times New Roman" w:hAnsi="Times New Roman" w:cs="Times New Roman"/>
                <w:b w:val="0"/>
                <w:bCs w:val="0"/>
                <w:color w:val="000000"/>
                <w:sz w:val="18"/>
                <w:szCs w:val="18"/>
              </w:rPr>
              <w:t>Restricted Objective</w:t>
            </w:r>
          </w:p>
        </w:tc>
        <w:tc>
          <w:tcPr>
            <w:tcW w:w="1050" w:type="dxa"/>
          </w:tcPr>
          <w:p w14:paraId="1D6EF089"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8.030619</w:t>
            </w:r>
          </w:p>
        </w:tc>
        <w:tc>
          <w:tcPr>
            <w:tcW w:w="608" w:type="dxa"/>
          </w:tcPr>
          <w:p w14:paraId="440E74D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79A5110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4C8A3658"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5053023A"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3D0EC53C" w14:textId="77777777" w:rsidR="00B75FB3" w:rsidRPr="00B75FB3" w:rsidRDefault="00B75FB3" w:rsidP="00B75FB3">
            <w:pPr>
              <w:autoSpaceDE w:val="0"/>
              <w:autoSpaceDN w:val="0"/>
              <w:adjustRightInd w:val="0"/>
              <w:rPr>
                <w:rFonts w:ascii="Times New Roman" w:hAnsi="Times New Roman" w:cs="Times New Roman"/>
                <w:b w:val="0"/>
                <w:bCs w:val="0"/>
                <w:color w:val="000000"/>
                <w:sz w:val="18"/>
                <w:szCs w:val="18"/>
              </w:rPr>
            </w:pPr>
            <w:r w:rsidRPr="00B75FB3">
              <w:rPr>
                <w:rFonts w:ascii="Times New Roman" w:hAnsi="Times New Roman" w:cs="Times New Roman"/>
                <w:b w:val="0"/>
                <w:bCs w:val="0"/>
                <w:color w:val="000000"/>
                <w:sz w:val="18"/>
                <w:szCs w:val="18"/>
              </w:rPr>
              <w:t>Unrestricted Objective</w:t>
            </w:r>
          </w:p>
        </w:tc>
        <w:tc>
          <w:tcPr>
            <w:tcW w:w="1050" w:type="dxa"/>
          </w:tcPr>
          <w:p w14:paraId="7AB1603E"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8.029797</w:t>
            </w:r>
          </w:p>
        </w:tc>
        <w:tc>
          <w:tcPr>
            <w:tcW w:w="608" w:type="dxa"/>
          </w:tcPr>
          <w:p w14:paraId="01C6156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272EB84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465F47D1"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4DEDA2E9"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1B895B17" w14:textId="77777777" w:rsidR="00B75FB3" w:rsidRPr="00B75FB3" w:rsidRDefault="00B75FB3" w:rsidP="00B75FB3">
            <w:pPr>
              <w:autoSpaceDE w:val="0"/>
              <w:autoSpaceDN w:val="0"/>
              <w:adjustRightInd w:val="0"/>
              <w:rPr>
                <w:rFonts w:ascii="Times New Roman" w:hAnsi="Times New Roman" w:cs="Times New Roman"/>
                <w:b w:val="0"/>
                <w:bCs w:val="0"/>
                <w:color w:val="000000"/>
                <w:sz w:val="18"/>
                <w:szCs w:val="18"/>
              </w:rPr>
            </w:pPr>
            <w:r w:rsidRPr="00B75FB3">
              <w:rPr>
                <w:rFonts w:ascii="Times New Roman" w:hAnsi="Times New Roman" w:cs="Times New Roman"/>
                <w:b w:val="0"/>
                <w:bCs w:val="0"/>
                <w:color w:val="000000"/>
                <w:sz w:val="18"/>
                <w:szCs w:val="18"/>
              </w:rPr>
              <w:t>Scale</w:t>
            </w:r>
          </w:p>
        </w:tc>
        <w:tc>
          <w:tcPr>
            <w:tcW w:w="1050" w:type="dxa"/>
          </w:tcPr>
          <w:p w14:paraId="7F784A08"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0.537692</w:t>
            </w:r>
          </w:p>
        </w:tc>
        <w:tc>
          <w:tcPr>
            <w:tcW w:w="608" w:type="dxa"/>
          </w:tcPr>
          <w:p w14:paraId="44BD1C74"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25F9583F"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69BB3503"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4EAF6FBC" w14:textId="77777777" w:rsidTr="00FA15BB">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122" w:type="dxa"/>
          </w:tcPr>
          <w:p w14:paraId="308F90EC"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0EB78421"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3154AA0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180B7F53"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0C20502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24A870D9" w14:textId="77777777" w:rsidTr="00FA15BB">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122" w:type="dxa"/>
          </w:tcPr>
          <w:p w14:paraId="3B5E6666"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2F8B2E7F"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09839701"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1844C52D"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214D119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53FCE7D8"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3780" w:type="dxa"/>
            <w:gridSpan w:val="3"/>
          </w:tcPr>
          <w:p w14:paraId="6CFE0800" w14:textId="77777777" w:rsidR="00B75FB3" w:rsidRPr="00B75FB3" w:rsidRDefault="00B75FB3" w:rsidP="00B75FB3">
            <w:pPr>
              <w:autoSpaceDE w:val="0"/>
              <w:autoSpaceDN w:val="0"/>
              <w:adjustRightInd w:val="0"/>
              <w:rPr>
                <w:rFonts w:ascii="Times New Roman" w:hAnsi="Times New Roman" w:cs="Times New Roman"/>
                <w:color w:val="000000"/>
                <w:sz w:val="18"/>
                <w:szCs w:val="18"/>
              </w:rPr>
            </w:pPr>
            <w:r w:rsidRPr="00B75FB3">
              <w:rPr>
                <w:rFonts w:ascii="Times New Roman" w:hAnsi="Times New Roman" w:cs="Times New Roman"/>
                <w:color w:val="000000"/>
                <w:sz w:val="18"/>
                <w:szCs w:val="18"/>
              </w:rPr>
              <w:t>Lambda-test summary:</w:t>
            </w:r>
          </w:p>
        </w:tc>
        <w:tc>
          <w:tcPr>
            <w:tcW w:w="1702" w:type="dxa"/>
          </w:tcPr>
          <w:p w14:paraId="74D8E2C8"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3F81072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4BDFFD9A"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2857208A"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31880428"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Value</w:t>
            </w:r>
          </w:p>
        </w:tc>
        <w:tc>
          <w:tcPr>
            <w:tcW w:w="608" w:type="dxa"/>
          </w:tcPr>
          <w:p w14:paraId="4A144AF2"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078C0CA5"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22CDCA8B"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7B23A287"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6B10E53E" w14:textId="77777777" w:rsidR="00B75FB3" w:rsidRPr="00B75FB3" w:rsidRDefault="00B75FB3" w:rsidP="00B75FB3">
            <w:pPr>
              <w:autoSpaceDE w:val="0"/>
              <w:autoSpaceDN w:val="0"/>
              <w:adjustRightInd w:val="0"/>
              <w:rPr>
                <w:rFonts w:ascii="Times New Roman" w:hAnsi="Times New Roman" w:cs="Times New Roman"/>
                <w:b w:val="0"/>
                <w:bCs w:val="0"/>
                <w:color w:val="000000"/>
                <w:sz w:val="18"/>
                <w:szCs w:val="18"/>
              </w:rPr>
            </w:pPr>
            <w:r w:rsidRPr="00B75FB3">
              <w:rPr>
                <w:rFonts w:ascii="Times New Roman" w:hAnsi="Times New Roman" w:cs="Times New Roman"/>
                <w:b w:val="0"/>
                <w:bCs w:val="0"/>
                <w:color w:val="000000"/>
                <w:sz w:val="18"/>
                <w:szCs w:val="18"/>
              </w:rPr>
              <w:t>Restricted Log Obj.</w:t>
            </w:r>
          </w:p>
        </w:tc>
        <w:tc>
          <w:tcPr>
            <w:tcW w:w="1050" w:type="dxa"/>
          </w:tcPr>
          <w:p w14:paraId="023775B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2.083262</w:t>
            </w:r>
          </w:p>
        </w:tc>
        <w:tc>
          <w:tcPr>
            <w:tcW w:w="608" w:type="dxa"/>
          </w:tcPr>
          <w:p w14:paraId="24AC6AAA"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0584CC89"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52A766E8"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5124A23D"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211F037D" w14:textId="77777777" w:rsidR="00B75FB3" w:rsidRPr="00B75FB3" w:rsidRDefault="00B75FB3" w:rsidP="00B75FB3">
            <w:pPr>
              <w:autoSpaceDE w:val="0"/>
              <w:autoSpaceDN w:val="0"/>
              <w:adjustRightInd w:val="0"/>
              <w:rPr>
                <w:rFonts w:ascii="Times New Roman" w:hAnsi="Times New Roman" w:cs="Times New Roman"/>
                <w:b w:val="0"/>
                <w:bCs w:val="0"/>
                <w:color w:val="000000"/>
                <w:sz w:val="18"/>
                <w:szCs w:val="18"/>
              </w:rPr>
            </w:pPr>
            <w:r w:rsidRPr="00B75FB3">
              <w:rPr>
                <w:rFonts w:ascii="Times New Roman" w:hAnsi="Times New Roman" w:cs="Times New Roman"/>
                <w:b w:val="0"/>
                <w:bCs w:val="0"/>
                <w:color w:val="000000"/>
                <w:sz w:val="18"/>
                <w:szCs w:val="18"/>
              </w:rPr>
              <w:t>Unrestricted Log Obj.</w:t>
            </w:r>
          </w:p>
        </w:tc>
        <w:tc>
          <w:tcPr>
            <w:tcW w:w="1050" w:type="dxa"/>
          </w:tcPr>
          <w:p w14:paraId="3DD5A25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2.083159</w:t>
            </w:r>
          </w:p>
        </w:tc>
        <w:tc>
          <w:tcPr>
            <w:tcW w:w="608" w:type="dxa"/>
          </w:tcPr>
          <w:p w14:paraId="47C275FE"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0A35718F"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3F523E16"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5B4DCC46" w14:textId="77777777" w:rsidTr="00FA15BB">
        <w:trPr>
          <w:trHeight w:val="225"/>
          <w:jc w:val="center"/>
        </w:trPr>
        <w:tc>
          <w:tcPr>
            <w:cnfStyle w:val="001000000000" w:firstRow="0" w:lastRow="0" w:firstColumn="1" w:lastColumn="0" w:oddVBand="0" w:evenVBand="0" w:oddHBand="0" w:evenHBand="0" w:firstRowFirstColumn="0" w:firstRowLastColumn="0" w:lastRowFirstColumn="0" w:lastRowLastColumn="0"/>
            <w:tcW w:w="2122" w:type="dxa"/>
          </w:tcPr>
          <w:p w14:paraId="0570EC9C" w14:textId="77777777" w:rsidR="00B75FB3" w:rsidRPr="00B75FB3" w:rsidRDefault="00B75FB3" w:rsidP="00B75FB3">
            <w:pPr>
              <w:autoSpaceDE w:val="0"/>
              <w:autoSpaceDN w:val="0"/>
              <w:adjustRightInd w:val="0"/>
              <w:rPr>
                <w:rFonts w:ascii="Times New Roman" w:hAnsi="Times New Roman" w:cs="Times New Roman"/>
                <w:b w:val="0"/>
                <w:bCs w:val="0"/>
                <w:color w:val="000000"/>
                <w:sz w:val="18"/>
                <w:szCs w:val="18"/>
              </w:rPr>
            </w:pPr>
            <w:r w:rsidRPr="00B75FB3">
              <w:rPr>
                <w:rFonts w:ascii="Times New Roman" w:hAnsi="Times New Roman" w:cs="Times New Roman"/>
                <w:b w:val="0"/>
                <w:bCs w:val="0"/>
                <w:color w:val="000000"/>
                <w:sz w:val="18"/>
                <w:szCs w:val="18"/>
              </w:rPr>
              <w:t>Scale</w:t>
            </w:r>
          </w:p>
        </w:tc>
        <w:tc>
          <w:tcPr>
            <w:tcW w:w="1050" w:type="dxa"/>
          </w:tcPr>
          <w:p w14:paraId="5831C61B"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B75FB3">
              <w:rPr>
                <w:rFonts w:ascii="Times New Roman" w:hAnsi="Times New Roman" w:cs="Times New Roman"/>
                <w:color w:val="000000"/>
                <w:sz w:val="18"/>
                <w:szCs w:val="18"/>
              </w:rPr>
              <w:t> 0.066962</w:t>
            </w:r>
          </w:p>
        </w:tc>
        <w:tc>
          <w:tcPr>
            <w:tcW w:w="608" w:type="dxa"/>
          </w:tcPr>
          <w:p w14:paraId="0889E4CF"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2D1B9B5D"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1724012D"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0D55259A" w14:textId="77777777" w:rsidTr="00FA15BB">
        <w:trPr>
          <w:trHeight w:hRule="exact" w:val="90"/>
          <w:jc w:val="center"/>
        </w:trPr>
        <w:tc>
          <w:tcPr>
            <w:cnfStyle w:val="001000000000" w:firstRow="0" w:lastRow="0" w:firstColumn="1" w:lastColumn="0" w:oddVBand="0" w:evenVBand="0" w:oddHBand="0" w:evenHBand="0" w:firstRowFirstColumn="0" w:firstRowLastColumn="0" w:lastRowFirstColumn="0" w:lastRowLastColumn="0"/>
            <w:tcW w:w="2122" w:type="dxa"/>
          </w:tcPr>
          <w:p w14:paraId="52A28AB8"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40B0A742"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540D76D4"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2394736A"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111C7F87"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r w:rsidR="00B75FB3" w:rsidRPr="00B75FB3" w14:paraId="072FF7A2" w14:textId="77777777" w:rsidTr="00FA15BB">
        <w:trPr>
          <w:trHeight w:hRule="exact" w:val="135"/>
          <w:jc w:val="center"/>
        </w:trPr>
        <w:tc>
          <w:tcPr>
            <w:cnfStyle w:val="001000000000" w:firstRow="0" w:lastRow="0" w:firstColumn="1" w:lastColumn="0" w:oddVBand="0" w:evenVBand="0" w:oddHBand="0" w:evenHBand="0" w:firstRowFirstColumn="0" w:firstRowLastColumn="0" w:lastRowFirstColumn="0" w:lastRowLastColumn="0"/>
            <w:tcW w:w="2122" w:type="dxa"/>
          </w:tcPr>
          <w:p w14:paraId="16904A55" w14:textId="77777777" w:rsidR="00B75FB3" w:rsidRPr="00B75FB3" w:rsidRDefault="00B75FB3" w:rsidP="00B75FB3">
            <w:pPr>
              <w:autoSpaceDE w:val="0"/>
              <w:autoSpaceDN w:val="0"/>
              <w:adjustRightInd w:val="0"/>
              <w:jc w:val="center"/>
              <w:rPr>
                <w:rFonts w:ascii="Times New Roman" w:hAnsi="Times New Roman" w:cs="Times New Roman"/>
                <w:color w:val="000000"/>
                <w:sz w:val="18"/>
                <w:szCs w:val="18"/>
              </w:rPr>
            </w:pPr>
          </w:p>
        </w:tc>
        <w:tc>
          <w:tcPr>
            <w:tcW w:w="1050" w:type="dxa"/>
          </w:tcPr>
          <w:p w14:paraId="38805A0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608" w:type="dxa"/>
          </w:tcPr>
          <w:p w14:paraId="2F09718A"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1702" w:type="dxa"/>
          </w:tcPr>
          <w:p w14:paraId="1855962C"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c>
          <w:tcPr>
            <w:tcW w:w="236" w:type="dxa"/>
          </w:tcPr>
          <w:p w14:paraId="266EE410" w14:textId="77777777" w:rsidR="00B75FB3" w:rsidRPr="00B75FB3" w:rsidRDefault="00B75FB3" w:rsidP="00B75F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p>
        </w:tc>
      </w:tr>
    </w:tbl>
    <w:p w14:paraId="5C5F288E" w14:textId="77777777" w:rsidR="00625E5D" w:rsidRDefault="00625E5D" w:rsidP="009C393E">
      <w:pPr>
        <w:spacing w:after="0" w:line="240" w:lineRule="auto"/>
        <w:ind w:firstLine="1440"/>
        <w:rPr>
          <w:rFonts w:ascii="Times New Roman" w:eastAsia="Times New Roman" w:hAnsi="Times New Roman" w:cs="Times New Roman"/>
          <w:sz w:val="24"/>
          <w:szCs w:val="24"/>
          <w:lang w:eastAsia="en-GB"/>
        </w:rPr>
      </w:pPr>
      <w:r>
        <w:rPr>
          <w:rFonts w:ascii="Times New Roman" w:eastAsia="Times New Roman" w:hAnsi="Times New Roman" w:cs="Times New Roman"/>
          <w:b/>
          <w:bCs/>
          <w:sz w:val="20"/>
          <w:szCs w:val="20"/>
          <w:lang w:eastAsia="en-GB"/>
        </w:rPr>
        <w:t xml:space="preserve">    </w:t>
      </w:r>
      <w:r w:rsidR="00B75FB3" w:rsidRPr="00E10446">
        <w:rPr>
          <w:rFonts w:ascii="Times New Roman" w:eastAsia="Times New Roman" w:hAnsi="Times New Roman" w:cs="Times New Roman"/>
          <w:b/>
          <w:bCs/>
          <w:sz w:val="20"/>
          <w:szCs w:val="20"/>
          <w:lang w:eastAsia="en-GB"/>
        </w:rPr>
        <w:t xml:space="preserve">Source: Authors determined using </w:t>
      </w:r>
      <w:proofErr w:type="spellStart"/>
      <w:r w:rsidR="00B75FB3" w:rsidRPr="00E10446">
        <w:rPr>
          <w:rFonts w:ascii="Times New Roman" w:eastAsia="Times New Roman" w:hAnsi="Times New Roman" w:cs="Times New Roman"/>
          <w:b/>
          <w:bCs/>
          <w:sz w:val="20"/>
          <w:szCs w:val="20"/>
          <w:lang w:eastAsia="en-GB"/>
        </w:rPr>
        <w:t>Eviews</w:t>
      </w:r>
      <w:proofErr w:type="spellEnd"/>
      <w:r w:rsidR="00B75FB3" w:rsidRPr="00E10446">
        <w:rPr>
          <w:rFonts w:ascii="Times New Roman" w:eastAsia="Times New Roman" w:hAnsi="Times New Roman" w:cs="Times New Roman"/>
          <w:b/>
          <w:bCs/>
          <w:sz w:val="20"/>
          <w:szCs w:val="20"/>
          <w:lang w:eastAsia="en-GB"/>
        </w:rPr>
        <w:t xml:space="preserve"> 12, 2026</w:t>
      </w:r>
      <w:r w:rsidR="003640FA">
        <w:rPr>
          <w:rFonts w:ascii="Arial" w:hAnsi="Arial" w:cs="Arial"/>
          <w:sz w:val="18"/>
          <w:szCs w:val="18"/>
        </w:rPr>
        <w:br/>
      </w:r>
    </w:p>
    <w:p w14:paraId="57CD114A" w14:textId="661E23AE" w:rsidR="003640FA" w:rsidRPr="00E10446" w:rsidRDefault="00625E5D" w:rsidP="00625E5D">
      <w:pPr>
        <w:spacing w:line="240" w:lineRule="auto"/>
        <w:jc w:val="both"/>
        <w:rPr>
          <w:rFonts w:ascii="Times New Roman" w:eastAsia="Times New Roman" w:hAnsi="Times New Roman" w:cs="Times New Roman"/>
          <w:sz w:val="24"/>
          <w:szCs w:val="24"/>
          <w:lang w:eastAsia="en-GB"/>
        </w:rPr>
      </w:pPr>
      <w:r w:rsidRPr="00625E5D">
        <w:rPr>
          <w:rFonts w:ascii="Times New Roman" w:eastAsia="Times New Roman" w:hAnsi="Times New Roman" w:cs="Times New Roman"/>
          <w:sz w:val="24"/>
          <w:szCs w:val="24"/>
          <w:lang w:eastAsia="en-GB"/>
        </w:rPr>
        <w:t>The Ramsey RESET test results (p = 0.9559) indicate no evidence of model misspecification, suggesting that the functional form is correctly specified and relevant variables are adequately captured. This supports the robustness of the estimated energy–poverty relationship and implies minimal omitted variable bias. The finding aligns with studies emphasizing careful model specification in energy–poverty analyses (</w:t>
      </w:r>
      <w:proofErr w:type="spellStart"/>
      <w:r w:rsidRPr="00625E5D">
        <w:rPr>
          <w:rFonts w:ascii="Times New Roman" w:eastAsia="Times New Roman" w:hAnsi="Times New Roman" w:cs="Times New Roman"/>
          <w:sz w:val="24"/>
          <w:szCs w:val="24"/>
          <w:lang w:eastAsia="en-GB"/>
        </w:rPr>
        <w:t>Kettani</w:t>
      </w:r>
      <w:proofErr w:type="spellEnd"/>
      <w:r w:rsidRPr="00625E5D">
        <w:rPr>
          <w:rFonts w:ascii="Times New Roman" w:eastAsia="Times New Roman" w:hAnsi="Times New Roman" w:cs="Times New Roman"/>
          <w:sz w:val="24"/>
          <w:szCs w:val="24"/>
          <w:lang w:eastAsia="en-GB"/>
        </w:rPr>
        <w:t xml:space="preserve"> &amp; Sanin, 2024). It also reinforces the reliability of nonlinear and quantile-based approaches in capturing complex dynamics (Adebayo et al., 2025).</w:t>
      </w:r>
    </w:p>
    <w:p w14:paraId="6A25DF1D" w14:textId="2A589D37" w:rsidR="00454677" w:rsidRPr="00E10446" w:rsidRDefault="00D56547">
      <w:pPr>
        <w:spacing w:line="240" w:lineRule="auto"/>
        <w:jc w:val="both"/>
        <w:rPr>
          <w:rFonts w:ascii="Times New Roman" w:eastAsia="Times New Roman" w:hAnsi="Times New Roman" w:cs="Times New Roman"/>
          <w:b/>
          <w:bCs/>
          <w:sz w:val="24"/>
          <w:szCs w:val="24"/>
          <w:lang w:eastAsia="en-GB"/>
        </w:rPr>
      </w:pPr>
      <w:r w:rsidRPr="00E10446">
        <w:rPr>
          <w:rFonts w:ascii="Times New Roman" w:eastAsia="Times New Roman" w:hAnsi="Times New Roman" w:cs="Times New Roman"/>
          <w:b/>
          <w:bCs/>
          <w:sz w:val="24"/>
          <w:szCs w:val="24"/>
          <w:lang w:eastAsia="en-GB"/>
        </w:rPr>
        <w:t xml:space="preserve">4.1 </w:t>
      </w:r>
      <w:r w:rsidR="00A00F8D" w:rsidRPr="00E10446">
        <w:rPr>
          <w:rFonts w:ascii="Times New Roman" w:eastAsia="Times New Roman" w:hAnsi="Times New Roman" w:cs="Times New Roman"/>
          <w:b/>
          <w:bCs/>
          <w:sz w:val="24"/>
          <w:szCs w:val="24"/>
          <w:lang w:eastAsia="en-GB"/>
        </w:rPr>
        <w:t>Discussion of Findings</w:t>
      </w:r>
    </w:p>
    <w:p w14:paraId="4F3F201D" w14:textId="2168E9D8" w:rsidR="00AC2536" w:rsidRPr="00E10446" w:rsidRDefault="00AC2536" w:rsidP="00AC2536">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lastRenderedPageBreak/>
        <w:t xml:space="preserve">Across the three estimators, the results reveal both consistency in core relationships and important methodological differences in magnitude, direction, and heterogeneity. The </w:t>
      </w:r>
      <w:r w:rsidR="00615251">
        <w:rPr>
          <w:rFonts w:ascii="Times New Roman" w:eastAsia="Times New Roman" w:hAnsi="Times New Roman" w:cs="Times New Roman"/>
          <w:sz w:val="24"/>
          <w:szCs w:val="24"/>
          <w:lang w:eastAsia="en-GB"/>
        </w:rPr>
        <w:t>short run</w:t>
      </w:r>
      <w:r w:rsidR="002F6F37">
        <w:rPr>
          <w:rFonts w:ascii="Times New Roman" w:eastAsia="Times New Roman" w:hAnsi="Times New Roman" w:cs="Times New Roman"/>
          <w:sz w:val="24"/>
          <w:szCs w:val="24"/>
          <w:lang w:eastAsia="en-GB"/>
        </w:rPr>
        <w:t xml:space="preserve"> GMM results revealed relationships where </w:t>
      </w:r>
      <w:r w:rsidR="002F6F37" w:rsidRPr="002F6F37">
        <w:rPr>
          <w:rFonts w:ascii="Times New Roman" w:eastAsia="Times New Roman" w:hAnsi="Times New Roman" w:cs="Times New Roman"/>
          <w:sz w:val="24"/>
          <w:szCs w:val="24"/>
          <w:lang w:eastAsia="en-GB"/>
        </w:rPr>
        <w:t>renewable energy reduces poverty while non-renewable energy and GDP tend to increase it, though labour productivity is largely insignificant.</w:t>
      </w:r>
      <w:r w:rsidR="002F6F37">
        <w:rPr>
          <w:rFonts w:ascii="Times New Roman" w:eastAsia="Times New Roman" w:hAnsi="Times New Roman" w:cs="Times New Roman"/>
          <w:sz w:val="24"/>
          <w:szCs w:val="24"/>
          <w:lang w:eastAsia="en-GB"/>
        </w:rPr>
        <w:t xml:space="preserve"> This</w:t>
      </w:r>
      <w:r w:rsidR="002F6F37" w:rsidRPr="002F6F37">
        <w:rPr>
          <w:rFonts w:ascii="Times New Roman" w:eastAsia="Times New Roman" w:hAnsi="Times New Roman" w:cs="Times New Roman"/>
          <w:sz w:val="24"/>
          <w:szCs w:val="24"/>
          <w:lang w:eastAsia="en-GB"/>
        </w:rPr>
        <w:t xml:space="preserve"> reflects average </w:t>
      </w:r>
      <w:r w:rsidR="002F6F37">
        <w:rPr>
          <w:rFonts w:ascii="Times New Roman" w:eastAsia="Times New Roman" w:hAnsi="Times New Roman" w:cs="Times New Roman"/>
          <w:sz w:val="24"/>
          <w:szCs w:val="24"/>
          <w:lang w:eastAsia="en-GB"/>
        </w:rPr>
        <w:t>short</w:t>
      </w:r>
      <w:r w:rsidR="002F6F37" w:rsidRPr="002F6F37">
        <w:rPr>
          <w:rFonts w:ascii="Times New Roman" w:eastAsia="Times New Roman" w:hAnsi="Times New Roman" w:cs="Times New Roman"/>
          <w:sz w:val="24"/>
          <w:szCs w:val="24"/>
          <w:lang w:eastAsia="en-GB"/>
        </w:rPr>
        <w:t xml:space="preserve">-run effects typical of </w:t>
      </w:r>
      <w:r w:rsidR="002F6F37">
        <w:rPr>
          <w:rFonts w:ascii="Times New Roman" w:eastAsia="Times New Roman" w:hAnsi="Times New Roman" w:cs="Times New Roman"/>
          <w:sz w:val="24"/>
          <w:szCs w:val="24"/>
          <w:lang w:eastAsia="en-GB"/>
        </w:rPr>
        <w:t xml:space="preserve">GMM </w:t>
      </w:r>
      <w:r w:rsidR="002F6F37" w:rsidRPr="002F6F37">
        <w:rPr>
          <w:rFonts w:ascii="Times New Roman" w:eastAsia="Times New Roman" w:hAnsi="Times New Roman" w:cs="Times New Roman"/>
          <w:sz w:val="24"/>
          <w:szCs w:val="24"/>
          <w:lang w:eastAsia="en-GB"/>
        </w:rPr>
        <w:t>(</w:t>
      </w:r>
      <w:proofErr w:type="spellStart"/>
      <w:r w:rsidR="002F6F37" w:rsidRPr="002F6F37">
        <w:rPr>
          <w:rFonts w:ascii="Times New Roman" w:eastAsia="Times New Roman" w:hAnsi="Times New Roman" w:cs="Times New Roman"/>
          <w:sz w:val="24"/>
          <w:szCs w:val="24"/>
          <w:lang w:eastAsia="en-GB"/>
        </w:rPr>
        <w:t>Pedroni</w:t>
      </w:r>
      <w:proofErr w:type="spellEnd"/>
      <w:r w:rsidR="002F6F37" w:rsidRPr="002F6F37">
        <w:rPr>
          <w:rFonts w:ascii="Times New Roman" w:eastAsia="Times New Roman" w:hAnsi="Times New Roman" w:cs="Times New Roman"/>
          <w:sz w:val="24"/>
          <w:szCs w:val="24"/>
          <w:lang w:eastAsia="en-GB"/>
        </w:rPr>
        <w:t xml:space="preserve">, 2001). </w:t>
      </w:r>
      <w:r w:rsidRPr="00E10446">
        <w:rPr>
          <w:rFonts w:ascii="Times New Roman" w:eastAsia="Times New Roman" w:hAnsi="Times New Roman" w:cs="Times New Roman"/>
          <w:sz w:val="24"/>
          <w:szCs w:val="24"/>
          <w:lang w:eastAsia="en-GB"/>
        </w:rPr>
        <w:t>In contrast, the Panel NARDL model uncovers strong asymmetries, showing that positive and negative shocks in energy variables have different impacts on poverty, with evidence of nonlinear adjustment dynamics and slow error correction. This aligns with arguments that energy–poverty linkages are inherently asymmetric and shock-dependent (Shin et al., 2014; Adebayo et al., 2025).</w:t>
      </w:r>
    </w:p>
    <w:p w14:paraId="2D5627D7" w14:textId="7FC8F262" w:rsidR="00454677" w:rsidRPr="00E10446" w:rsidRDefault="00AC2536">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However, the Quantile Regression results provide the most comprehensive insight by revealing that the effects of energy consumption, GDP, and productivity vary significantly across the poverty distribution. Renewable energy remains consistently poverty-reducing across all quantiles, while GDP loses significance at higher poverty levels, and labour productivity becomes more relevant in severe poverty contexts. This confirms strong distributional heterogeneity, consistent with empirical evidence that mean-based models mask critical inequality-driven dynamics (Sarkodie &amp; Adams, 2020; Acheampong et al., 2021). The significant quantile slope equality tests further validate these differences. Ultimately, quantile regression is superior because it captures heterogeneity, tail effects, and policy-relevant distributional impacts that </w:t>
      </w:r>
      <w:r w:rsidR="00FD34AE">
        <w:rPr>
          <w:rFonts w:ascii="Times New Roman" w:eastAsia="Times New Roman" w:hAnsi="Times New Roman" w:cs="Times New Roman"/>
          <w:sz w:val="24"/>
          <w:szCs w:val="24"/>
          <w:lang w:eastAsia="en-GB"/>
        </w:rPr>
        <w:t>GMM</w:t>
      </w:r>
      <w:r w:rsidRPr="00E10446">
        <w:rPr>
          <w:rFonts w:ascii="Times New Roman" w:eastAsia="Times New Roman" w:hAnsi="Times New Roman" w:cs="Times New Roman"/>
          <w:sz w:val="24"/>
          <w:szCs w:val="24"/>
          <w:lang w:eastAsia="en-GB"/>
        </w:rPr>
        <w:t xml:space="preserve"> and NARDL average out or partially capture, aligning with (Sarkodie &amp; Adams, 2020; Acheampong et al., 2021). It is therefore more informative for inclusive energy–poverty policy design in West Africa (Shin et al., 2014; Adebayo et al., 2025).</w:t>
      </w:r>
    </w:p>
    <w:p w14:paraId="753B7BF7" w14:textId="00E71763" w:rsidR="00454677" w:rsidRPr="00D730B7" w:rsidRDefault="00615251" w:rsidP="00D730B7">
      <w:pPr>
        <w:spacing w:line="24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5. </w:t>
      </w:r>
      <w:r w:rsidR="00084F93" w:rsidRPr="00D730B7">
        <w:rPr>
          <w:rFonts w:ascii="Times New Roman" w:eastAsia="Times New Roman" w:hAnsi="Times New Roman" w:cs="Times New Roman"/>
          <w:b/>
          <w:bCs/>
          <w:sz w:val="24"/>
          <w:szCs w:val="24"/>
          <w:lang w:eastAsia="en-GB"/>
        </w:rPr>
        <w:t>Conclusion and Recommendations</w:t>
      </w:r>
    </w:p>
    <w:p w14:paraId="12183DF6" w14:textId="01836FA9" w:rsidR="00A55471" w:rsidRPr="005020A5" w:rsidRDefault="005E5894" w:rsidP="005020A5">
      <w:pPr>
        <w:spacing w:line="240" w:lineRule="auto"/>
        <w:jc w:val="both"/>
        <w:rPr>
          <w:rFonts w:ascii="Times New Roman" w:eastAsia="Times New Roman" w:hAnsi="Times New Roman" w:cs="Times New Roman"/>
          <w:sz w:val="24"/>
          <w:szCs w:val="24"/>
          <w:lang w:eastAsia="en-GB"/>
        </w:rPr>
      </w:pPr>
      <w:r w:rsidRPr="00E10446">
        <w:rPr>
          <w:rFonts w:ascii="Times New Roman" w:eastAsia="Times New Roman" w:hAnsi="Times New Roman" w:cs="Times New Roman"/>
          <w:sz w:val="24"/>
          <w:szCs w:val="24"/>
          <w:lang w:eastAsia="en-GB"/>
        </w:rPr>
        <w:t xml:space="preserve">This study examined the relationship between energy consumption, labour productivity, economic growth, and poverty in </w:t>
      </w:r>
      <w:r w:rsidR="000259CB" w:rsidRPr="00E10446">
        <w:rPr>
          <w:rFonts w:ascii="Times New Roman" w:eastAsia="Times New Roman" w:hAnsi="Times New Roman" w:cs="Times New Roman"/>
          <w:sz w:val="24"/>
          <w:szCs w:val="24"/>
          <w:lang w:eastAsia="en-GB"/>
        </w:rPr>
        <w:t xml:space="preserve">selected </w:t>
      </w:r>
      <w:r w:rsidRPr="00E10446">
        <w:rPr>
          <w:rFonts w:ascii="Times New Roman" w:eastAsia="Times New Roman" w:hAnsi="Times New Roman" w:cs="Times New Roman"/>
          <w:sz w:val="24"/>
          <w:szCs w:val="24"/>
          <w:lang w:eastAsia="en-GB"/>
        </w:rPr>
        <w:t>West Africa</w:t>
      </w:r>
      <w:r w:rsidR="000259CB" w:rsidRPr="00E10446">
        <w:rPr>
          <w:rFonts w:ascii="Times New Roman" w:eastAsia="Times New Roman" w:hAnsi="Times New Roman" w:cs="Times New Roman"/>
          <w:sz w:val="24"/>
          <w:szCs w:val="24"/>
          <w:lang w:eastAsia="en-GB"/>
        </w:rPr>
        <w:t>n states spanning 1990-2024,</w:t>
      </w:r>
      <w:r w:rsidRPr="00E10446">
        <w:rPr>
          <w:rFonts w:ascii="Times New Roman" w:eastAsia="Times New Roman" w:hAnsi="Times New Roman" w:cs="Times New Roman"/>
          <w:sz w:val="24"/>
          <w:szCs w:val="24"/>
          <w:lang w:eastAsia="en-GB"/>
        </w:rPr>
        <w:t xml:space="preserve"> using </w:t>
      </w:r>
      <w:r w:rsidR="00FD34AE">
        <w:rPr>
          <w:rFonts w:ascii="Times New Roman" w:eastAsia="Times New Roman" w:hAnsi="Times New Roman" w:cs="Times New Roman"/>
          <w:sz w:val="24"/>
          <w:szCs w:val="24"/>
          <w:lang w:eastAsia="en-GB"/>
        </w:rPr>
        <w:t>GMM</w:t>
      </w:r>
      <w:r w:rsidRPr="00E10446">
        <w:rPr>
          <w:rFonts w:ascii="Times New Roman" w:eastAsia="Times New Roman" w:hAnsi="Times New Roman" w:cs="Times New Roman"/>
          <w:sz w:val="24"/>
          <w:szCs w:val="24"/>
          <w:lang w:eastAsia="en-GB"/>
        </w:rPr>
        <w:t xml:space="preserve">, NARDL, and Quantile Regression approaches. The findings consistently show that renewable energy consumption plays a significant poverty-reducing role across methods, though its effects are stronger and more stable in quantile estimates. Non-renewable energy shows mixed and often adverse or insignificant effects, reflecting inefficiencies and vulnerability to energy supply shocks. GDP demonstrates weak and sometimes non-inclusive effects on poverty reduction, while labour productivity shows context-dependent impacts, becoming more relevant in certain quantiles and short-run dynamics. </w:t>
      </w:r>
      <w:r w:rsidR="000259CB" w:rsidRPr="00E10446">
        <w:rPr>
          <w:rFonts w:ascii="Times New Roman" w:eastAsia="Times New Roman" w:hAnsi="Times New Roman" w:cs="Times New Roman"/>
          <w:sz w:val="24"/>
          <w:szCs w:val="24"/>
          <w:lang w:eastAsia="en-GB"/>
        </w:rPr>
        <w:t>Therefore</w:t>
      </w:r>
      <w:r w:rsidRPr="00E10446">
        <w:rPr>
          <w:rFonts w:ascii="Times New Roman" w:eastAsia="Times New Roman" w:hAnsi="Times New Roman" w:cs="Times New Roman"/>
          <w:sz w:val="24"/>
          <w:szCs w:val="24"/>
          <w:lang w:eastAsia="en-GB"/>
        </w:rPr>
        <w:t xml:space="preserve">, the results confirm strong heterogeneity, asymmetry, and non-linearity in the energy–poverty nexus, validating the superiority of quantile regression in capturing distributional differences across poverty levels. Based on these findings, </w:t>
      </w:r>
      <w:r w:rsidR="000259CB" w:rsidRPr="00E10446">
        <w:rPr>
          <w:rFonts w:ascii="Times New Roman" w:eastAsia="Times New Roman" w:hAnsi="Times New Roman" w:cs="Times New Roman"/>
          <w:sz w:val="24"/>
          <w:szCs w:val="24"/>
          <w:lang w:eastAsia="en-GB"/>
        </w:rPr>
        <w:t xml:space="preserve">the study recommends that </w:t>
      </w:r>
      <w:r w:rsidRPr="00E10446">
        <w:rPr>
          <w:rFonts w:ascii="Times New Roman" w:eastAsia="Times New Roman" w:hAnsi="Times New Roman" w:cs="Times New Roman"/>
          <w:sz w:val="24"/>
          <w:szCs w:val="24"/>
          <w:lang w:eastAsia="en-GB"/>
        </w:rPr>
        <w:t xml:space="preserve">policymakers </w:t>
      </w:r>
      <w:r w:rsidR="000259CB" w:rsidRPr="00E10446">
        <w:rPr>
          <w:rFonts w:ascii="Times New Roman" w:eastAsia="Times New Roman" w:hAnsi="Times New Roman" w:cs="Times New Roman"/>
          <w:sz w:val="24"/>
          <w:szCs w:val="24"/>
          <w:lang w:eastAsia="en-GB"/>
        </w:rPr>
        <w:t xml:space="preserve">in West Africa </w:t>
      </w:r>
      <w:r w:rsidRPr="00E10446">
        <w:rPr>
          <w:rFonts w:ascii="Times New Roman" w:eastAsia="Times New Roman" w:hAnsi="Times New Roman" w:cs="Times New Roman"/>
          <w:sz w:val="24"/>
          <w:szCs w:val="24"/>
          <w:lang w:eastAsia="en-GB"/>
        </w:rPr>
        <w:t>should prioritize investment in renewable energy infrastructure to ensure broad-based poverty reduction. West African governments should also reduce dependence on volatile non-renewable energy sources and improve energy access in rural and low-income areas. In addition, productivity-enhancing policies such as skills development and industrial upgrading should be strengthened to complement energy transitions. Finally, economic growth strategies must be made more inclusive through targeted social and energy policies that ensure that growth translates into poverty reduction, especially for the most vulnerable populations.</w:t>
      </w:r>
      <w:bookmarkStart w:id="1" w:name="_Hlk218868534"/>
      <w:bookmarkStart w:id="2" w:name="_Hlk226454370"/>
    </w:p>
    <w:p w14:paraId="470DB02D" w14:textId="77777777" w:rsidR="00A55471" w:rsidRPr="00005ED1" w:rsidRDefault="00A55471" w:rsidP="00A55471">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732C95D2" w14:textId="77777777" w:rsidR="00A55471" w:rsidRPr="00005ED1" w:rsidRDefault="00A55471" w:rsidP="00A55471">
      <w:pPr>
        <w:pStyle w:val="NoSpacing"/>
        <w:rPr>
          <w:rFonts w:ascii="Arial" w:hAnsi="Arial" w:cs="Arial"/>
          <w:highlight w:val="yellow"/>
        </w:rPr>
      </w:pPr>
    </w:p>
    <w:p w14:paraId="107C9393" w14:textId="77777777" w:rsidR="00A55471" w:rsidRDefault="00A55471" w:rsidP="00EA7BFC">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bookmarkEnd w:id="2"/>
    <w:bookmarkEnd w:id="3"/>
    <w:p w14:paraId="3C6BE40B" w14:textId="77777777" w:rsidR="00A55471" w:rsidRPr="005020A5" w:rsidRDefault="00A55471">
      <w:pPr>
        <w:spacing w:line="240" w:lineRule="auto"/>
        <w:jc w:val="both"/>
        <w:rPr>
          <w:rFonts w:ascii="Times New Roman" w:eastAsia="Times New Roman" w:hAnsi="Times New Roman" w:cs="Times New Roman"/>
          <w:sz w:val="24"/>
          <w:szCs w:val="24"/>
          <w:lang w:eastAsia="en-GB"/>
        </w:rPr>
      </w:pPr>
    </w:p>
    <w:p w14:paraId="75A90C74" w14:textId="1D6AF23A" w:rsidR="005801C8" w:rsidRPr="00E10446" w:rsidRDefault="002326DC">
      <w:pPr>
        <w:spacing w:line="240" w:lineRule="auto"/>
        <w:jc w:val="both"/>
        <w:rPr>
          <w:rFonts w:ascii="Times New Roman" w:eastAsia="Times New Roman" w:hAnsi="Times New Roman" w:cs="Times New Roman"/>
          <w:b/>
          <w:bCs/>
          <w:sz w:val="27"/>
          <w:szCs w:val="27"/>
          <w:lang w:eastAsia="en-GB"/>
        </w:rPr>
      </w:pPr>
      <w:r w:rsidRPr="00E10446">
        <w:rPr>
          <w:rFonts w:ascii="Times New Roman" w:eastAsia="Times New Roman" w:hAnsi="Times New Roman" w:cs="Times New Roman"/>
          <w:b/>
          <w:bCs/>
          <w:sz w:val="24"/>
          <w:szCs w:val="24"/>
          <w:lang w:eastAsia="en-GB"/>
        </w:rPr>
        <w:lastRenderedPageBreak/>
        <w:t>References</w:t>
      </w:r>
    </w:p>
    <w:p w14:paraId="184F29DC" w14:textId="77777777" w:rsidR="005801C8" w:rsidRPr="00E10446" w:rsidRDefault="002326DC" w:rsidP="00614E81">
      <w:pPr>
        <w:pStyle w:val="NormalWeb"/>
        <w:numPr>
          <w:ilvl w:val="0"/>
          <w:numId w:val="4"/>
        </w:numPr>
        <w:spacing w:before="0" w:beforeAutospacing="0" w:after="0" w:afterAutospacing="0"/>
        <w:jc w:val="both"/>
      </w:pPr>
      <w:bookmarkStart w:id="4" w:name="_GoBack"/>
      <w:r w:rsidRPr="00E10446">
        <w:t xml:space="preserve">Acheampong, A. O. (2018). Economic growth, CO₂ emissions and energy consumption: What </w:t>
      </w:r>
      <w:r w:rsidRPr="00E10446">
        <w:tab/>
        <w:t xml:space="preserve">causes what and where? </w:t>
      </w:r>
      <w:r w:rsidRPr="00E10446">
        <w:rPr>
          <w:rStyle w:val="Emphasis"/>
        </w:rPr>
        <w:t>Energy Economics, 74</w:t>
      </w:r>
      <w:r w:rsidRPr="00E10446">
        <w:t xml:space="preserve">, 677–692. </w:t>
      </w:r>
      <w:r w:rsidRPr="00E10446">
        <w:tab/>
      </w:r>
      <w:hyperlink r:id="rId8" w:history="1">
        <w:r w:rsidRPr="00E10446">
          <w:rPr>
            <w:rStyle w:val="Hyperlink"/>
          </w:rPr>
          <w:t>https://doi.org/10.1016/j.eneco.2018.07.022</w:t>
        </w:r>
      </w:hyperlink>
    </w:p>
    <w:p w14:paraId="743F11EB" w14:textId="77777777" w:rsidR="00B63554" w:rsidRDefault="002326DC" w:rsidP="00614E81">
      <w:pPr>
        <w:pStyle w:val="NormalWeb"/>
        <w:numPr>
          <w:ilvl w:val="0"/>
          <w:numId w:val="4"/>
        </w:numPr>
        <w:spacing w:before="0" w:beforeAutospacing="0" w:after="0" w:afterAutospacing="0"/>
        <w:jc w:val="both"/>
      </w:pPr>
      <w:r w:rsidRPr="00E10446">
        <w:t xml:space="preserve">Acheampong, A. O., Amponsah, M., &amp; Boateng, E. (2021). Does energy consumption improve </w:t>
      </w:r>
      <w:r w:rsidRPr="00E10446">
        <w:tab/>
        <w:t xml:space="preserve">human development? Evidence from energy-poor regions. </w:t>
      </w:r>
      <w:r w:rsidRPr="00E10446">
        <w:rPr>
          <w:rStyle w:val="Emphasis"/>
        </w:rPr>
        <w:t>Energy Economics, 95</w:t>
      </w:r>
      <w:r w:rsidRPr="00E10446">
        <w:t xml:space="preserve">, </w:t>
      </w:r>
      <w:r w:rsidRPr="00E10446">
        <w:tab/>
        <w:t xml:space="preserve">105150. </w:t>
      </w:r>
      <w:hyperlink r:id="rId9" w:tgtFrame="_blank" w:tooltip="Persistent link using digital object identifier" w:history="1">
        <w:r w:rsidR="00B63554" w:rsidRPr="00B63554">
          <w:rPr>
            <w:rStyle w:val="Hyperlink"/>
          </w:rPr>
          <w:t>https://doi.org/10.1016/j.eneco.2021.105165</w:t>
        </w:r>
      </w:hyperlink>
    </w:p>
    <w:p w14:paraId="638F478C" w14:textId="0B5E3254" w:rsidR="005801C8" w:rsidRPr="00E10446" w:rsidRDefault="002326DC" w:rsidP="00614E81">
      <w:pPr>
        <w:pStyle w:val="NormalWeb"/>
        <w:numPr>
          <w:ilvl w:val="0"/>
          <w:numId w:val="4"/>
        </w:numPr>
        <w:spacing w:before="0" w:beforeAutospacing="0" w:after="0" w:afterAutospacing="0"/>
        <w:jc w:val="both"/>
      </w:pPr>
      <w:proofErr w:type="spellStart"/>
      <w:r w:rsidRPr="00E10446">
        <w:t>Ackah</w:t>
      </w:r>
      <w:proofErr w:type="spellEnd"/>
      <w:r w:rsidRPr="00E10446">
        <w:t xml:space="preserve">, I., &amp; Kizys, R. (2015). Green growth in oil-producing African countries: Evidence from </w:t>
      </w:r>
      <w:r w:rsidRPr="00E10446">
        <w:tab/>
        <w:t xml:space="preserve">Ghana and Nigeria. </w:t>
      </w:r>
      <w:r w:rsidRPr="00E10446">
        <w:rPr>
          <w:rStyle w:val="Emphasis"/>
        </w:rPr>
        <w:t>Energy Policy, 81</w:t>
      </w:r>
      <w:r w:rsidRPr="00E10446">
        <w:t xml:space="preserve">, 286–295. </w:t>
      </w:r>
      <w:r w:rsidRPr="00E10446">
        <w:tab/>
      </w:r>
      <w:hyperlink r:id="rId10" w:history="1">
        <w:r w:rsidR="00EC206B" w:rsidRPr="00946117">
          <w:rPr>
            <w:rStyle w:val="Hyperlink"/>
          </w:rPr>
          <w:t>https://doi.org/10.1016/j.rser.2015.05.030</w:t>
        </w:r>
      </w:hyperlink>
      <w:r w:rsidR="00EC206B">
        <w:t xml:space="preserve"> </w:t>
      </w:r>
    </w:p>
    <w:p w14:paraId="0AB8BD39" w14:textId="77777777" w:rsidR="005801C8" w:rsidRPr="00E10446" w:rsidRDefault="002326DC" w:rsidP="00614E81">
      <w:pPr>
        <w:pStyle w:val="NormalWeb"/>
        <w:numPr>
          <w:ilvl w:val="0"/>
          <w:numId w:val="4"/>
        </w:numPr>
        <w:spacing w:before="0" w:beforeAutospacing="0" w:after="0" w:afterAutospacing="0"/>
        <w:jc w:val="both"/>
      </w:pPr>
      <w:r w:rsidRPr="00E10446">
        <w:t xml:space="preserve">Adebayo, T. S., Akadiri, S. S., &amp; Rjoub, H. (2025). Revisiting the green growth puzzle in </w:t>
      </w:r>
      <w:r w:rsidRPr="00E10446">
        <w:tab/>
        <w:t xml:space="preserve">Africa: Asymmetric effects of ICT, renewable energy and financial development under </w:t>
      </w:r>
      <w:r w:rsidRPr="00E10446">
        <w:tab/>
        <w:t xml:space="preserve">electricity constraints. </w:t>
      </w:r>
      <w:r w:rsidRPr="00E10446">
        <w:rPr>
          <w:i/>
          <w:iCs/>
        </w:rPr>
        <w:t>Journal of Financial Reporting and Accounting</w:t>
      </w:r>
      <w:r w:rsidRPr="00E10446">
        <w:t xml:space="preserve">. </w:t>
      </w:r>
      <w:r w:rsidRPr="00E10446">
        <w:tab/>
      </w:r>
      <w:hyperlink r:id="rId11" w:history="1">
        <w:r w:rsidRPr="00E10446">
          <w:rPr>
            <w:rStyle w:val="Hyperlink"/>
          </w:rPr>
          <w:t>https://doi.org/10.1108/JFRA-04-2025-0299</w:t>
        </w:r>
      </w:hyperlink>
      <w:r w:rsidRPr="00E10446">
        <w:t xml:space="preserve"> </w:t>
      </w:r>
    </w:p>
    <w:p w14:paraId="6C3FF4BE" w14:textId="61A980F0" w:rsidR="005801C8" w:rsidRPr="00E10446" w:rsidRDefault="002326DC" w:rsidP="00614E81">
      <w:pPr>
        <w:pStyle w:val="NormalWeb"/>
        <w:numPr>
          <w:ilvl w:val="0"/>
          <w:numId w:val="4"/>
        </w:numPr>
        <w:spacing w:before="0" w:beforeAutospacing="0" w:after="0" w:afterAutospacing="0"/>
        <w:jc w:val="both"/>
      </w:pPr>
      <w:r w:rsidRPr="00E10446">
        <w:t xml:space="preserve">Adebayo, T. S., Bekun, F. V., &amp; Alola, A. A. (2025). Asymmetric impacts of energy </w:t>
      </w:r>
      <w:r w:rsidRPr="00E10446">
        <w:tab/>
        <w:t xml:space="preserve">consumption on poverty dynamics in sub Saharan Africa: Evidence from nonlinear </w:t>
      </w:r>
      <w:r w:rsidRPr="00E10446">
        <w:tab/>
        <w:t xml:space="preserve">ARDL approach. </w:t>
      </w:r>
      <w:r w:rsidRPr="00E10446">
        <w:rPr>
          <w:i/>
          <w:iCs/>
        </w:rPr>
        <w:t>Energy Economics</w:t>
      </w:r>
      <w:r w:rsidRPr="00E10446">
        <w:t xml:space="preserve">, 121, 106783. </w:t>
      </w:r>
      <w:r w:rsidRPr="00E10446">
        <w:tab/>
      </w:r>
      <w:hyperlink r:id="rId12" w:history="1">
        <w:r w:rsidRPr="00E10446">
          <w:rPr>
            <w:rStyle w:val="Hyperlink"/>
          </w:rPr>
          <w:t>https://doi.org/10.1016/j.eneco.2024.106783</w:t>
        </w:r>
      </w:hyperlink>
      <w:r w:rsidRPr="00E10446">
        <w:t xml:space="preserve"> </w:t>
      </w:r>
    </w:p>
    <w:p w14:paraId="3EC47165" w14:textId="59CA8759" w:rsidR="0084499A" w:rsidRPr="00E10446" w:rsidRDefault="0084499A" w:rsidP="00614E81">
      <w:pPr>
        <w:pStyle w:val="NormalWeb"/>
        <w:numPr>
          <w:ilvl w:val="0"/>
          <w:numId w:val="4"/>
        </w:numPr>
        <w:spacing w:before="0" w:beforeAutospacing="0" w:after="0" w:afterAutospacing="0"/>
      </w:pPr>
      <w:r w:rsidRPr="00E10446">
        <w:t xml:space="preserve">Adebayo, T. S., et al. (2025). Asymmetric effects of renewable and non-renewable energy </w:t>
      </w:r>
      <w:r w:rsidRPr="00E10446">
        <w:tab/>
        <w:t xml:space="preserve">consumption on poverty in Sub-Saharan Africa. </w:t>
      </w:r>
      <w:r w:rsidRPr="00E10446">
        <w:rPr>
          <w:rStyle w:val="Emphasis"/>
        </w:rPr>
        <w:t>Energy Economics</w:t>
      </w:r>
      <w:r w:rsidRPr="00E10446">
        <w:t>.</w:t>
      </w:r>
    </w:p>
    <w:p w14:paraId="6C9D1056" w14:textId="36E2F78E" w:rsidR="005801C8" w:rsidRDefault="002326DC" w:rsidP="00614E81">
      <w:pPr>
        <w:pStyle w:val="NormalWeb"/>
        <w:numPr>
          <w:ilvl w:val="0"/>
          <w:numId w:val="4"/>
        </w:numPr>
        <w:spacing w:before="0" w:beforeAutospacing="0" w:after="0" w:afterAutospacing="0"/>
        <w:jc w:val="both"/>
        <w:rPr>
          <w:rStyle w:val="Hyperlink"/>
        </w:rPr>
      </w:pPr>
      <w:r w:rsidRPr="00E10446">
        <w:t xml:space="preserve">Adom, P. K. (2015). Asymmetric impacts of the determinants of energy intensity in Nigeria. </w:t>
      </w:r>
      <w:r w:rsidRPr="00E10446">
        <w:tab/>
      </w:r>
      <w:r w:rsidRPr="00E10446">
        <w:rPr>
          <w:rStyle w:val="Emphasis"/>
        </w:rPr>
        <w:t>Energy Economics, 49</w:t>
      </w:r>
      <w:r w:rsidRPr="00E10446">
        <w:t xml:space="preserve">, 570–580. </w:t>
      </w:r>
      <w:hyperlink r:id="rId13" w:tgtFrame="_new" w:history="1">
        <w:r w:rsidRPr="00E10446">
          <w:rPr>
            <w:rStyle w:val="Hyperlink"/>
          </w:rPr>
          <w:t>https://doi.org/10.1016/j.eneco.2015.03.027</w:t>
        </w:r>
      </w:hyperlink>
    </w:p>
    <w:p w14:paraId="3C3FCF9D" w14:textId="3FCB2CC3" w:rsidR="002332A3" w:rsidRPr="00E10446" w:rsidRDefault="002332A3" w:rsidP="00614E81">
      <w:pPr>
        <w:pStyle w:val="NormalWeb"/>
        <w:numPr>
          <w:ilvl w:val="0"/>
          <w:numId w:val="4"/>
        </w:numPr>
        <w:spacing w:after="0"/>
        <w:jc w:val="both"/>
      </w:pPr>
      <w:proofErr w:type="spellStart"/>
      <w:r w:rsidRPr="002332A3">
        <w:t>Akpoghelie</w:t>
      </w:r>
      <w:proofErr w:type="spellEnd"/>
      <w:r w:rsidRPr="002332A3">
        <w:t xml:space="preserve">, E. O., </w:t>
      </w:r>
      <w:proofErr w:type="spellStart"/>
      <w:r w:rsidRPr="002332A3">
        <w:t>Ishioro</w:t>
      </w:r>
      <w:proofErr w:type="spellEnd"/>
      <w:r w:rsidRPr="002332A3">
        <w:t xml:space="preserve">, B. O., &amp; Edo, G. I. (2024). Effects of energy consumption on human </w:t>
      </w:r>
      <w:r>
        <w:tab/>
      </w:r>
      <w:r w:rsidRPr="002332A3">
        <w:t xml:space="preserve">development and industrial sector performance in selected Sub-Saharan Africa and </w:t>
      </w:r>
      <w:r>
        <w:tab/>
      </w:r>
      <w:r w:rsidRPr="002332A3">
        <w:t>OECD countries: Comparative analysis. </w:t>
      </w:r>
      <w:r w:rsidRPr="002332A3">
        <w:rPr>
          <w:i/>
          <w:iCs/>
        </w:rPr>
        <w:t xml:space="preserve">International Journal of Sustainable </w:t>
      </w:r>
      <w:r>
        <w:rPr>
          <w:i/>
          <w:iCs/>
        </w:rPr>
        <w:tab/>
      </w:r>
      <w:r w:rsidRPr="002332A3">
        <w:rPr>
          <w:i/>
          <w:iCs/>
        </w:rPr>
        <w:t>Development &amp; World Ecology</w:t>
      </w:r>
      <w:r w:rsidRPr="002332A3">
        <w:t xml:space="preserve">, 31 </w:t>
      </w:r>
      <w:r>
        <w:tab/>
      </w:r>
      <w:r w:rsidRPr="002332A3">
        <w:t>(5). </w:t>
      </w:r>
      <w:hyperlink r:id="rId14" w:tgtFrame="_blank" w:history="1">
        <w:r w:rsidRPr="002332A3">
          <w:rPr>
            <w:rStyle w:val="Hyperlink"/>
          </w:rPr>
          <w:t>https://doi.org/10.1080/13504509.2023.2301373</w:t>
        </w:r>
      </w:hyperlink>
    </w:p>
    <w:p w14:paraId="74BE0C29" w14:textId="4E85307D" w:rsidR="005801C8" w:rsidRPr="00E10446" w:rsidRDefault="002326DC" w:rsidP="00614E81">
      <w:pPr>
        <w:pStyle w:val="NormalWeb"/>
        <w:numPr>
          <w:ilvl w:val="0"/>
          <w:numId w:val="4"/>
        </w:numPr>
        <w:spacing w:before="0" w:beforeAutospacing="0" w:after="0" w:afterAutospacing="0"/>
        <w:jc w:val="both"/>
      </w:pPr>
      <w:r w:rsidRPr="00E10446">
        <w:t>Aliyu, A. S., Ramli, A. T., &amp; Saleh, M. A. (201</w:t>
      </w:r>
      <w:r w:rsidR="0058360D">
        <w:t>3</w:t>
      </w:r>
      <w:r w:rsidRPr="00E10446">
        <w:t xml:space="preserve">). Nigeria electricity crisis: Power generation </w:t>
      </w:r>
      <w:r w:rsidRPr="00E10446">
        <w:tab/>
        <w:t xml:space="preserve">capacity expansion and environmental ramifications. </w:t>
      </w:r>
      <w:r w:rsidRPr="00E10446">
        <w:rPr>
          <w:rStyle w:val="Emphasis"/>
        </w:rPr>
        <w:t>Energy, 61</w:t>
      </w:r>
      <w:r w:rsidRPr="00E10446">
        <w:t xml:space="preserve">, 354–367. </w:t>
      </w:r>
      <w:r w:rsidRPr="00E10446">
        <w:tab/>
      </w:r>
      <w:hyperlink r:id="rId15" w:history="1">
        <w:r w:rsidRPr="00E10446">
          <w:rPr>
            <w:rStyle w:val="Hyperlink"/>
          </w:rPr>
          <w:t>https://doi.org/10.1016/j.energy.2013.09.011</w:t>
        </w:r>
      </w:hyperlink>
    </w:p>
    <w:p w14:paraId="39E5849F" w14:textId="77777777" w:rsidR="005801C8" w:rsidRPr="00E10446" w:rsidRDefault="002326DC" w:rsidP="00614E81">
      <w:pPr>
        <w:pStyle w:val="NormalWeb"/>
        <w:numPr>
          <w:ilvl w:val="0"/>
          <w:numId w:val="4"/>
        </w:numPr>
        <w:spacing w:before="0" w:beforeAutospacing="0" w:after="0" w:afterAutospacing="0"/>
        <w:jc w:val="both"/>
      </w:pPr>
      <w:r w:rsidRPr="00E10446">
        <w:t xml:space="preserve">Alkire, S., &amp; Santos, M. E. (2014). Measuring acute poverty in the developing world: </w:t>
      </w:r>
      <w:r w:rsidRPr="00E10446">
        <w:tab/>
        <w:t xml:space="preserve">Robustness and scope of the multidimensional poverty index. </w:t>
      </w:r>
      <w:r w:rsidRPr="00E10446">
        <w:rPr>
          <w:rStyle w:val="Emphasis"/>
        </w:rPr>
        <w:t xml:space="preserve">World Development, </w:t>
      </w:r>
      <w:r w:rsidRPr="00E10446">
        <w:rPr>
          <w:rStyle w:val="Emphasis"/>
        </w:rPr>
        <w:tab/>
        <w:t>59</w:t>
      </w:r>
      <w:r w:rsidRPr="00E10446">
        <w:t xml:space="preserve">, 251–274. </w:t>
      </w:r>
      <w:hyperlink r:id="rId16" w:tgtFrame="_new" w:history="1">
        <w:r w:rsidRPr="00E10446">
          <w:rPr>
            <w:rStyle w:val="Hyperlink"/>
          </w:rPr>
          <w:t>https://doi.org/10.1016/j.worlddev.2014.01.026</w:t>
        </w:r>
      </w:hyperlink>
    </w:p>
    <w:p w14:paraId="4FAED666" w14:textId="0DB2EF75" w:rsidR="005801C8" w:rsidRPr="00E10446" w:rsidRDefault="002326DC" w:rsidP="00614E81">
      <w:pPr>
        <w:pStyle w:val="NormalWeb"/>
        <w:numPr>
          <w:ilvl w:val="0"/>
          <w:numId w:val="4"/>
        </w:numPr>
        <w:spacing w:before="0" w:beforeAutospacing="0" w:after="0" w:afterAutospacing="0"/>
        <w:jc w:val="both"/>
      </w:pPr>
      <w:r w:rsidRPr="00E10446">
        <w:t xml:space="preserve">Amer, A. S. R., &amp; Kareem, P. H. (2025). Advancing sustainable development: Empirical </w:t>
      </w:r>
      <w:r w:rsidRPr="00E10446">
        <w:tab/>
        <w:t xml:space="preserve">insights on energy poverty in ECOWAS through green financing, technological </w:t>
      </w:r>
      <w:r w:rsidRPr="00E10446">
        <w:tab/>
        <w:t xml:space="preserve">innovation and economic empowerment. </w:t>
      </w:r>
      <w:r w:rsidRPr="00E10446">
        <w:rPr>
          <w:i/>
          <w:iCs/>
        </w:rPr>
        <w:t>Sustainability</w:t>
      </w:r>
      <w:r w:rsidRPr="00E10446">
        <w:t xml:space="preserve">, 17(3), 1333. </w:t>
      </w:r>
      <w:r w:rsidRPr="00E10446">
        <w:tab/>
      </w:r>
      <w:hyperlink r:id="rId17" w:history="1">
        <w:r w:rsidRPr="00E10446">
          <w:rPr>
            <w:rStyle w:val="Hyperlink"/>
          </w:rPr>
          <w:t>https://doi.org/10.3390/su17031333</w:t>
        </w:r>
      </w:hyperlink>
      <w:r w:rsidRPr="00E10446">
        <w:t xml:space="preserve">  </w:t>
      </w:r>
    </w:p>
    <w:p w14:paraId="0163EDDC" w14:textId="7C57FFFB" w:rsidR="005801C8" w:rsidRPr="00E10446" w:rsidRDefault="002326DC" w:rsidP="00614E81">
      <w:pPr>
        <w:pStyle w:val="NormalWeb"/>
        <w:numPr>
          <w:ilvl w:val="0"/>
          <w:numId w:val="4"/>
        </w:numPr>
        <w:spacing w:before="0" w:beforeAutospacing="0" w:after="0" w:afterAutospacing="0"/>
        <w:jc w:val="both"/>
      </w:pPr>
      <w:r w:rsidRPr="00E10446">
        <w:t xml:space="preserve">Apergis, N., &amp; Payne, J. E. (2010). Energy consumption and growth in South America: </w:t>
      </w:r>
      <w:r w:rsidRPr="00E10446">
        <w:tab/>
        <w:t xml:space="preserve">Evidence from a panel error correction model. </w:t>
      </w:r>
      <w:r w:rsidRPr="00E10446">
        <w:rPr>
          <w:i/>
          <w:iCs/>
        </w:rPr>
        <w:t>Energy Economics</w:t>
      </w:r>
      <w:r w:rsidRPr="00E10446">
        <w:t xml:space="preserve">, 32(6), 1421–1426. </w:t>
      </w:r>
      <w:r w:rsidRPr="00E10446">
        <w:tab/>
      </w:r>
      <w:hyperlink r:id="rId18" w:history="1">
        <w:r w:rsidRPr="00E10446">
          <w:rPr>
            <w:rStyle w:val="Hyperlink"/>
          </w:rPr>
          <w:t>https://doi.org/</w:t>
        </w:r>
        <w:r w:rsidR="006C644A" w:rsidRPr="006C644A">
          <w:rPr>
            <w:rStyle w:val="Hyperlink"/>
          </w:rPr>
          <w:t>10.1016/j.eneco.2010.04.006</w:t>
        </w:r>
      </w:hyperlink>
      <w:r w:rsidRPr="00E10446">
        <w:t xml:space="preserve"> </w:t>
      </w:r>
    </w:p>
    <w:p w14:paraId="71A8CC7D" w14:textId="13BF1585" w:rsidR="005801C8" w:rsidRPr="00E10446" w:rsidRDefault="002326DC" w:rsidP="00614E81">
      <w:pPr>
        <w:pStyle w:val="NormalWeb"/>
        <w:numPr>
          <w:ilvl w:val="0"/>
          <w:numId w:val="4"/>
        </w:numPr>
        <w:spacing w:before="0" w:beforeAutospacing="0" w:after="0" w:afterAutospacing="0"/>
        <w:jc w:val="both"/>
      </w:pPr>
      <w:r w:rsidRPr="00E10446">
        <w:t xml:space="preserve">Apergis, N., &amp; Payne, J. E. (2017). Energy consumption and economic growth in South </w:t>
      </w:r>
      <w:r w:rsidRPr="00E10446">
        <w:tab/>
        <w:t xml:space="preserve">America: Evidence from a panel error correction model. </w:t>
      </w:r>
      <w:r w:rsidRPr="00E10446">
        <w:rPr>
          <w:i/>
          <w:iCs/>
        </w:rPr>
        <w:t>Energy Economics</w:t>
      </w:r>
      <w:r w:rsidRPr="00E10446">
        <w:t xml:space="preserve">, 32(6), </w:t>
      </w:r>
      <w:r w:rsidRPr="00E10446">
        <w:tab/>
        <w:t xml:space="preserve">1421–1426. </w:t>
      </w:r>
      <w:hyperlink r:id="rId19" w:history="1">
        <w:r w:rsidRPr="00E10446">
          <w:rPr>
            <w:rStyle w:val="Hyperlink"/>
          </w:rPr>
          <w:t>https://doi.org/</w:t>
        </w:r>
        <w:r w:rsidR="002D3A1B" w:rsidRPr="002D3A1B">
          <w:rPr>
            <w:rStyle w:val="Hyperlink"/>
          </w:rPr>
          <w:t>10.1016/j.eneco.2010.04.006</w:t>
        </w:r>
      </w:hyperlink>
      <w:r w:rsidRPr="00E10446">
        <w:t xml:space="preserve"> </w:t>
      </w:r>
    </w:p>
    <w:p w14:paraId="2BD54E67" w14:textId="77777777" w:rsidR="002332A3" w:rsidRDefault="002326DC" w:rsidP="00614E81">
      <w:pPr>
        <w:pStyle w:val="NormalWeb"/>
        <w:numPr>
          <w:ilvl w:val="0"/>
          <w:numId w:val="4"/>
        </w:numPr>
        <w:spacing w:before="0" w:beforeAutospacing="0" w:after="0" w:afterAutospacing="0"/>
        <w:jc w:val="both"/>
        <w:rPr>
          <w:rStyle w:val="Hyperlink"/>
        </w:rPr>
      </w:pPr>
      <w:proofErr w:type="spellStart"/>
      <w:r w:rsidRPr="00E10446">
        <w:t>Apergis</w:t>
      </w:r>
      <w:proofErr w:type="spellEnd"/>
      <w:r w:rsidRPr="00E10446">
        <w:t xml:space="preserve">, N., &amp; Payne, J. E. (2017). Renewable energy consumption and economic growth: </w:t>
      </w:r>
      <w:r w:rsidRPr="00E10446">
        <w:tab/>
        <w:t xml:space="preserve">Evidence from a panel of developing countries. </w:t>
      </w:r>
      <w:r w:rsidRPr="00E10446">
        <w:rPr>
          <w:rStyle w:val="Emphasis"/>
        </w:rPr>
        <w:t>Energy Economics, 32</w:t>
      </w:r>
      <w:r w:rsidRPr="00E10446">
        <w:t xml:space="preserve">(6), 1421–1426. </w:t>
      </w:r>
      <w:r w:rsidRPr="00E10446">
        <w:tab/>
      </w:r>
      <w:hyperlink r:id="rId20" w:history="1">
        <w:r w:rsidRPr="00E10446">
          <w:rPr>
            <w:rStyle w:val="Hyperlink"/>
          </w:rPr>
          <w:t>https://doi.org/</w:t>
        </w:r>
        <w:r w:rsidR="002D3A1B" w:rsidRPr="002D3A1B">
          <w:rPr>
            <w:rStyle w:val="Hyperlink"/>
          </w:rPr>
          <w:t>10.1016/j.eneco.2010.07.004</w:t>
        </w:r>
      </w:hyperlink>
    </w:p>
    <w:p w14:paraId="28293F2A" w14:textId="5D7B0D1B" w:rsidR="002332A3" w:rsidRPr="002332A3" w:rsidRDefault="002332A3" w:rsidP="00614E81">
      <w:pPr>
        <w:pStyle w:val="NormalWeb"/>
        <w:numPr>
          <w:ilvl w:val="0"/>
          <w:numId w:val="4"/>
        </w:numPr>
        <w:spacing w:before="0" w:beforeAutospacing="0" w:after="0" w:afterAutospacing="0"/>
        <w:jc w:val="both"/>
        <w:rPr>
          <w:color w:val="0000FF"/>
          <w:u w:val="single"/>
        </w:rPr>
      </w:pPr>
      <w:r w:rsidRPr="002332A3">
        <w:t xml:space="preserve">Azubuike, N. C., </w:t>
      </w:r>
      <w:proofErr w:type="spellStart"/>
      <w:r w:rsidRPr="002332A3">
        <w:t>Ikiensikimama</w:t>
      </w:r>
      <w:proofErr w:type="spellEnd"/>
      <w:r w:rsidRPr="002332A3">
        <w:t xml:space="preserve">, S. S., &amp; </w:t>
      </w:r>
      <w:proofErr w:type="spellStart"/>
      <w:r w:rsidRPr="002332A3">
        <w:t>Osokogwu</w:t>
      </w:r>
      <w:proofErr w:type="spellEnd"/>
      <w:r w:rsidRPr="002332A3">
        <w:t xml:space="preserve">, U. (2025). Modelling the impact of total </w:t>
      </w:r>
      <w:r>
        <w:tab/>
      </w:r>
      <w:r w:rsidRPr="002332A3">
        <w:t>energy consumption on economic growth and carbon emissions in sub-</w:t>
      </w:r>
      <w:r w:rsidRPr="002332A3">
        <w:lastRenderedPageBreak/>
        <w:t xml:space="preserve">Saharan </w:t>
      </w:r>
      <w:r>
        <w:tab/>
      </w:r>
      <w:r w:rsidRPr="002332A3">
        <w:t>Africa. </w:t>
      </w:r>
      <w:r w:rsidRPr="002332A3">
        <w:rPr>
          <w:i/>
          <w:iCs/>
        </w:rPr>
        <w:t>Energy Strategy Reviews</w:t>
      </w:r>
      <w:r w:rsidRPr="002332A3">
        <w:t xml:space="preserve">, 61, Article </w:t>
      </w:r>
      <w:r>
        <w:tab/>
      </w:r>
      <w:r w:rsidRPr="002332A3">
        <w:t>101840. </w:t>
      </w:r>
      <w:hyperlink r:id="rId21" w:tgtFrame="_blank" w:history="1">
        <w:r w:rsidRPr="002332A3">
          <w:rPr>
            <w:rStyle w:val="Hyperlink"/>
          </w:rPr>
          <w:t>https://doi.org/10.1016/j.esr.2025.101840</w:t>
        </w:r>
      </w:hyperlink>
    </w:p>
    <w:p w14:paraId="16E5317B" w14:textId="4484727F" w:rsidR="00DF598E" w:rsidRPr="00E10446" w:rsidRDefault="00DF598E" w:rsidP="00614E81">
      <w:pPr>
        <w:pStyle w:val="NormalWeb"/>
        <w:numPr>
          <w:ilvl w:val="0"/>
          <w:numId w:val="4"/>
        </w:numPr>
        <w:spacing w:before="0" w:beforeAutospacing="0" w:after="0" w:afterAutospacing="0"/>
        <w:jc w:val="both"/>
      </w:pPr>
      <w:proofErr w:type="spellStart"/>
      <w:r w:rsidRPr="00E10446">
        <w:t>Baltagi</w:t>
      </w:r>
      <w:proofErr w:type="spellEnd"/>
      <w:r w:rsidRPr="00E10446">
        <w:t xml:space="preserve">, B. H. (2021). </w:t>
      </w:r>
      <w:r w:rsidRPr="00E10446">
        <w:rPr>
          <w:i/>
          <w:iCs/>
        </w:rPr>
        <w:t xml:space="preserve">Econometric analysis of panel data </w:t>
      </w:r>
      <w:r w:rsidRPr="00E10446">
        <w:t xml:space="preserve">(6th ed.). Springer. </w:t>
      </w:r>
      <w:r w:rsidRPr="00E10446">
        <w:tab/>
      </w:r>
      <w:hyperlink r:id="rId22" w:history="1">
        <w:r w:rsidRPr="00E10446">
          <w:rPr>
            <w:rStyle w:val="Hyperlink"/>
          </w:rPr>
          <w:t>https://doi.org/10.1007/978-3-030-53953-5</w:t>
        </w:r>
      </w:hyperlink>
      <w:r w:rsidRPr="00E10446">
        <w:t xml:space="preserve"> </w:t>
      </w:r>
    </w:p>
    <w:p w14:paraId="52F48F46" w14:textId="66131CD8" w:rsidR="002332A3" w:rsidRDefault="002332A3" w:rsidP="00614E81">
      <w:pPr>
        <w:pStyle w:val="NormalWeb"/>
        <w:numPr>
          <w:ilvl w:val="0"/>
          <w:numId w:val="4"/>
        </w:numPr>
        <w:spacing w:before="0" w:beforeAutospacing="0" w:after="0"/>
        <w:jc w:val="both"/>
      </w:pPr>
      <w:proofErr w:type="spellStart"/>
      <w:r w:rsidRPr="002332A3">
        <w:t>Benayed</w:t>
      </w:r>
      <w:proofErr w:type="spellEnd"/>
      <w:r w:rsidRPr="002332A3">
        <w:t xml:space="preserve">, W., </w:t>
      </w:r>
      <w:proofErr w:type="spellStart"/>
      <w:r w:rsidRPr="002332A3">
        <w:t>Bousnina</w:t>
      </w:r>
      <w:proofErr w:type="spellEnd"/>
      <w:r w:rsidRPr="002332A3">
        <w:t xml:space="preserve">, R., &amp; </w:t>
      </w:r>
      <w:proofErr w:type="spellStart"/>
      <w:r w:rsidRPr="002332A3">
        <w:t>Gabsi</w:t>
      </w:r>
      <w:proofErr w:type="spellEnd"/>
      <w:r w:rsidRPr="002332A3">
        <w:t xml:space="preserve">, F. B. (2025). Public debt and energy poverty alleviation: </w:t>
      </w:r>
      <w:r>
        <w:tab/>
      </w:r>
      <w:r w:rsidRPr="002332A3">
        <w:t xml:space="preserve">Identifying the threshold effects of economic development and institutional </w:t>
      </w:r>
      <w:r>
        <w:tab/>
      </w:r>
      <w:r w:rsidRPr="002332A3">
        <w:t>quality. </w:t>
      </w:r>
      <w:r w:rsidRPr="002332A3">
        <w:rPr>
          <w:i/>
          <w:iCs/>
        </w:rPr>
        <w:t>Energy</w:t>
      </w:r>
      <w:r w:rsidRPr="002332A3">
        <w:t>, Article 137569. </w:t>
      </w:r>
      <w:hyperlink r:id="rId23" w:tgtFrame="_blank" w:history="1">
        <w:r w:rsidRPr="002332A3">
          <w:rPr>
            <w:rStyle w:val="Hyperlink"/>
          </w:rPr>
          <w:t>https://doi.org/10.1016/j.energy.2025.137569</w:t>
        </w:r>
      </w:hyperlink>
    </w:p>
    <w:p w14:paraId="2D1E843B" w14:textId="77777777" w:rsidR="002332A3" w:rsidRDefault="002326DC" w:rsidP="00614E81">
      <w:pPr>
        <w:pStyle w:val="NormalWeb"/>
        <w:numPr>
          <w:ilvl w:val="0"/>
          <w:numId w:val="4"/>
        </w:numPr>
        <w:spacing w:before="0" w:beforeAutospacing="0" w:after="0" w:afterAutospacing="0"/>
        <w:jc w:val="both"/>
      </w:pPr>
      <w:r w:rsidRPr="00E10446">
        <w:t xml:space="preserve">Bhattacharyya, S. C., &amp; Timilsina, G. R. (2010). A review of energy economy models. </w:t>
      </w:r>
      <w:r w:rsidRPr="00E10446">
        <w:rPr>
          <w:i/>
          <w:iCs/>
        </w:rPr>
        <w:t xml:space="preserve">Energy </w:t>
      </w:r>
      <w:r w:rsidRPr="00E10446">
        <w:rPr>
          <w:i/>
          <w:iCs/>
        </w:rPr>
        <w:tab/>
        <w:t>Economics</w:t>
      </w:r>
      <w:r w:rsidRPr="00E10446">
        <w:t xml:space="preserve">, 32(2), 46–60. </w:t>
      </w:r>
      <w:hyperlink r:id="rId24" w:history="1">
        <w:r w:rsidRPr="00E10446">
          <w:rPr>
            <w:rStyle w:val="Hyperlink"/>
          </w:rPr>
          <w:t>https://doi.org/</w:t>
        </w:r>
        <w:r w:rsidR="00D96C90" w:rsidRPr="00D96C90">
          <w:rPr>
            <w:rStyle w:val="Hyperlink"/>
          </w:rPr>
          <w:t>10.1108/17506221011092742</w:t>
        </w:r>
      </w:hyperlink>
      <w:r w:rsidRPr="00E10446">
        <w:t xml:space="preserve"> </w:t>
      </w:r>
    </w:p>
    <w:p w14:paraId="48EFA24A" w14:textId="516BC017" w:rsidR="002332A3" w:rsidRDefault="002332A3" w:rsidP="00614E81">
      <w:pPr>
        <w:pStyle w:val="NormalWeb"/>
        <w:numPr>
          <w:ilvl w:val="0"/>
          <w:numId w:val="4"/>
        </w:numPr>
        <w:spacing w:before="0" w:beforeAutospacing="0" w:after="0" w:afterAutospacing="0"/>
        <w:jc w:val="both"/>
      </w:pPr>
      <w:proofErr w:type="spellStart"/>
      <w:r w:rsidRPr="002332A3">
        <w:t>Bousnina</w:t>
      </w:r>
      <w:proofErr w:type="spellEnd"/>
      <w:r w:rsidRPr="002332A3">
        <w:t xml:space="preserve">, R., &amp; </w:t>
      </w:r>
      <w:proofErr w:type="spellStart"/>
      <w:r w:rsidRPr="002332A3">
        <w:t>Gabsi</w:t>
      </w:r>
      <w:proofErr w:type="spellEnd"/>
      <w:r w:rsidRPr="002332A3">
        <w:t xml:space="preserve">, F. B. (2023). Energy poverty, government expenditure, and institution </w:t>
      </w:r>
      <w:r>
        <w:tab/>
      </w:r>
      <w:r w:rsidRPr="002332A3">
        <w:t xml:space="preserve">factors in Sub-Saharan Africa countries: Evidence based on a panel threshold </w:t>
      </w:r>
      <w:r>
        <w:tab/>
      </w:r>
      <w:r w:rsidRPr="002332A3">
        <w:t>model. </w:t>
      </w:r>
      <w:r w:rsidRPr="002332A3">
        <w:rPr>
          <w:i/>
          <w:iCs/>
        </w:rPr>
        <w:t>Environmental Science and Pollution Research</w:t>
      </w:r>
      <w:r w:rsidRPr="002332A3">
        <w:t>, 30</w:t>
      </w:r>
      <w:r>
        <w:t xml:space="preserve"> </w:t>
      </w:r>
      <w:r w:rsidRPr="002332A3">
        <w:t>(24), 65512–</w:t>
      </w:r>
      <w:r>
        <w:tab/>
      </w:r>
      <w:r w:rsidRPr="002332A3">
        <w:t>65526. </w:t>
      </w:r>
      <w:hyperlink r:id="rId25" w:tgtFrame="_blank" w:history="1">
        <w:r w:rsidRPr="002332A3">
          <w:rPr>
            <w:rStyle w:val="Hyperlink"/>
          </w:rPr>
          <w:t>https://doi.org/10.1007/s11356-023-27005-1</w:t>
        </w:r>
      </w:hyperlink>
    </w:p>
    <w:p w14:paraId="2DB5077A" w14:textId="4D7BD8F5" w:rsidR="002332A3" w:rsidRPr="00E10446" w:rsidRDefault="002332A3" w:rsidP="00614E81">
      <w:pPr>
        <w:pStyle w:val="NormalWeb"/>
        <w:numPr>
          <w:ilvl w:val="0"/>
          <w:numId w:val="4"/>
        </w:numPr>
        <w:spacing w:before="0" w:beforeAutospacing="0" w:after="0" w:afterAutospacing="0"/>
        <w:jc w:val="both"/>
      </w:pPr>
      <w:proofErr w:type="spellStart"/>
      <w:r w:rsidRPr="00B8219B">
        <w:t>Casati</w:t>
      </w:r>
      <w:proofErr w:type="spellEnd"/>
      <w:r w:rsidRPr="00B8219B">
        <w:t xml:space="preserve">, P., </w:t>
      </w:r>
      <w:proofErr w:type="spellStart"/>
      <w:r w:rsidRPr="00B8219B">
        <w:t>Moner</w:t>
      </w:r>
      <w:proofErr w:type="spellEnd"/>
      <w:r w:rsidRPr="00B8219B">
        <w:t xml:space="preserve">-Girona, M., Khaleel, S. I., </w:t>
      </w:r>
      <w:proofErr w:type="spellStart"/>
      <w:r w:rsidRPr="00B8219B">
        <w:t>Szabó</w:t>
      </w:r>
      <w:proofErr w:type="spellEnd"/>
      <w:r w:rsidRPr="00B8219B">
        <w:t xml:space="preserve">, S., &amp; </w:t>
      </w:r>
      <w:proofErr w:type="spellStart"/>
      <w:r w:rsidRPr="00B8219B">
        <w:t>Nhamo</w:t>
      </w:r>
      <w:proofErr w:type="spellEnd"/>
      <w:r w:rsidRPr="00B8219B">
        <w:t xml:space="preserve">, G. (2023). Clean energy </w:t>
      </w:r>
      <w:r>
        <w:tab/>
      </w:r>
      <w:r w:rsidRPr="00B8219B">
        <w:t>access as an enabler for social development: A multidimensional analysis for Sub-</w:t>
      </w:r>
      <w:r>
        <w:tab/>
      </w:r>
      <w:r w:rsidRPr="00B8219B">
        <w:t>Saharan Africa. </w:t>
      </w:r>
      <w:r w:rsidRPr="00B8219B">
        <w:rPr>
          <w:i/>
          <w:iCs/>
        </w:rPr>
        <w:t>Energy for Sustainable Development</w:t>
      </w:r>
      <w:r w:rsidRPr="00B8219B">
        <w:t>, 72, 114–</w:t>
      </w:r>
      <w:r>
        <w:tab/>
      </w:r>
      <w:r w:rsidRPr="00B8219B">
        <w:t>126. </w:t>
      </w:r>
      <w:hyperlink r:id="rId26" w:tgtFrame="_blank" w:history="1">
        <w:r w:rsidRPr="00B8219B">
          <w:rPr>
            <w:rStyle w:val="Hyperlink"/>
          </w:rPr>
          <w:t>https://doi.org/10.1016/j.esd.2022.12.003</w:t>
        </w:r>
      </w:hyperlink>
    </w:p>
    <w:p w14:paraId="0A4110FA" w14:textId="0DFFE237" w:rsidR="005E6DAD" w:rsidRPr="00E10446" w:rsidRDefault="005E6DAD" w:rsidP="00614E81">
      <w:pPr>
        <w:pStyle w:val="NormalWeb"/>
        <w:numPr>
          <w:ilvl w:val="0"/>
          <w:numId w:val="4"/>
        </w:numPr>
        <w:spacing w:before="0" w:beforeAutospacing="0" w:after="0" w:afterAutospacing="0"/>
        <w:jc w:val="both"/>
      </w:pPr>
      <w:proofErr w:type="spellStart"/>
      <w:r w:rsidRPr="005E6DAD">
        <w:t>Compaoré</w:t>
      </w:r>
      <w:proofErr w:type="spellEnd"/>
      <w:r w:rsidRPr="005E6DAD">
        <w:t xml:space="preserve">, D. E., </w:t>
      </w:r>
      <w:proofErr w:type="spellStart"/>
      <w:r w:rsidRPr="005E6DAD">
        <w:t>Guira</w:t>
      </w:r>
      <w:proofErr w:type="spellEnd"/>
      <w:r w:rsidRPr="005E6DAD">
        <w:t xml:space="preserve">, A., &amp; </w:t>
      </w:r>
      <w:proofErr w:type="spellStart"/>
      <w:r w:rsidRPr="005E6DAD">
        <w:t>Maiga</w:t>
      </w:r>
      <w:proofErr w:type="spellEnd"/>
      <w:r w:rsidRPr="005E6DAD">
        <w:t xml:space="preserve">, B. (2024). Assessing energy poverty and its </w:t>
      </w:r>
      <w:r>
        <w:tab/>
      </w:r>
      <w:r w:rsidRPr="005E6DAD">
        <w:t xml:space="preserve">determinants in WAEMU countries: A multidimensional analysis. </w:t>
      </w:r>
      <w:r w:rsidRPr="005E6DAD">
        <w:rPr>
          <w:i/>
          <w:iCs/>
        </w:rPr>
        <w:t xml:space="preserve">Oxford Open </w:t>
      </w:r>
      <w:r>
        <w:rPr>
          <w:i/>
          <w:iCs/>
        </w:rPr>
        <w:tab/>
      </w:r>
      <w:r w:rsidRPr="005E6DAD">
        <w:rPr>
          <w:i/>
          <w:iCs/>
        </w:rPr>
        <w:t>Energy, 3</w:t>
      </w:r>
      <w:r w:rsidRPr="005E6DAD">
        <w:t xml:space="preserve">, oiae019. </w:t>
      </w:r>
      <w:hyperlink r:id="rId27" w:tgtFrame="_new" w:history="1">
        <w:r w:rsidRPr="005E6DAD">
          <w:rPr>
            <w:rStyle w:val="Hyperlink"/>
          </w:rPr>
          <w:t>https://doi.org/10.1093/ooenergy/oiae019</w:t>
        </w:r>
      </w:hyperlink>
    </w:p>
    <w:p w14:paraId="5F7B9298" w14:textId="77777777" w:rsidR="005801C8" w:rsidRPr="00E10446" w:rsidRDefault="002326DC" w:rsidP="00614E81">
      <w:pPr>
        <w:pStyle w:val="NormalWeb"/>
        <w:numPr>
          <w:ilvl w:val="0"/>
          <w:numId w:val="4"/>
        </w:numPr>
        <w:spacing w:before="0" w:beforeAutospacing="0" w:after="0" w:afterAutospacing="0"/>
        <w:jc w:val="both"/>
      </w:pPr>
      <w:r w:rsidRPr="00E10446">
        <w:t xml:space="preserve">Frnana, F. M., &amp; Kareem, P. H. (2025). Pathways to achieving low energy-poverty problems </w:t>
      </w:r>
      <w:r w:rsidRPr="00E10446">
        <w:tab/>
        <w:t xml:space="preserve">in Central African nations with government effectiveness, technology, natural </w:t>
      </w:r>
      <w:r w:rsidRPr="00E10446">
        <w:tab/>
        <w:t xml:space="preserve">resources and sustainable economic growth. </w:t>
      </w:r>
      <w:r w:rsidRPr="00E10446">
        <w:rPr>
          <w:i/>
          <w:iCs/>
        </w:rPr>
        <w:t>Sustainability</w:t>
      </w:r>
      <w:r w:rsidRPr="00E10446">
        <w:t xml:space="preserve">, 17(3), 1007. </w:t>
      </w:r>
      <w:r w:rsidRPr="00E10446">
        <w:tab/>
      </w:r>
      <w:hyperlink r:id="rId28" w:history="1">
        <w:r w:rsidRPr="00E10446">
          <w:rPr>
            <w:rStyle w:val="Hyperlink"/>
          </w:rPr>
          <w:t>https://doi.org/10.3390/su17031007</w:t>
        </w:r>
      </w:hyperlink>
      <w:r w:rsidRPr="00E10446">
        <w:t xml:space="preserve"> </w:t>
      </w:r>
    </w:p>
    <w:p w14:paraId="22B3C5A9" w14:textId="77777777" w:rsidR="005801C8" w:rsidRPr="00E10446" w:rsidRDefault="002326DC" w:rsidP="00614E81">
      <w:pPr>
        <w:pStyle w:val="NormalWeb"/>
        <w:numPr>
          <w:ilvl w:val="0"/>
          <w:numId w:val="4"/>
        </w:numPr>
        <w:spacing w:before="0" w:beforeAutospacing="0" w:after="0" w:afterAutospacing="0"/>
        <w:jc w:val="both"/>
      </w:pPr>
      <w:r w:rsidRPr="00E10446">
        <w:t xml:space="preserve">Gür, B., Sart, G., Karamıklı Çetin, A., &amp; Bayar, Y. (2025). The effect of energy poverty </w:t>
      </w:r>
      <w:r w:rsidRPr="00E10446">
        <w:tab/>
        <w:t xml:space="preserve">reduction and renewable energy use on CO2 emissions: Empirical evidence from </w:t>
      </w:r>
      <w:r w:rsidRPr="00E10446">
        <w:tab/>
        <w:t xml:space="preserve">ASEAN countries. </w:t>
      </w:r>
      <w:r w:rsidRPr="00E10446">
        <w:rPr>
          <w:i/>
          <w:iCs/>
        </w:rPr>
        <w:t>Frontiers in Environmental Science</w:t>
      </w:r>
      <w:r w:rsidRPr="00E10446">
        <w:t xml:space="preserve">, 13, Article 1696193. </w:t>
      </w:r>
      <w:r w:rsidRPr="00E10446">
        <w:tab/>
      </w:r>
      <w:hyperlink r:id="rId29" w:history="1">
        <w:r w:rsidRPr="00E10446">
          <w:rPr>
            <w:rStyle w:val="Hyperlink"/>
          </w:rPr>
          <w:t>https://doi.org/10.3389/fenvs.2025.1696193</w:t>
        </w:r>
      </w:hyperlink>
      <w:r w:rsidRPr="00E10446">
        <w:t xml:space="preserve"> </w:t>
      </w:r>
    </w:p>
    <w:p w14:paraId="65B2A235" w14:textId="77777777" w:rsidR="005801C8" w:rsidRPr="00614E81" w:rsidRDefault="002326DC" w:rsidP="00614E81">
      <w:pPr>
        <w:pStyle w:val="ListParagraph"/>
        <w:numPr>
          <w:ilvl w:val="0"/>
          <w:numId w:val="4"/>
        </w:numPr>
        <w:spacing w:after="0" w:line="240" w:lineRule="auto"/>
        <w:rPr>
          <w:rFonts w:ascii="Times New Roman" w:eastAsia="Times New Roman" w:hAnsi="Times New Roman" w:cs="Times New Roman"/>
          <w:sz w:val="24"/>
          <w:szCs w:val="24"/>
          <w:lang w:eastAsia="en-GB"/>
        </w:rPr>
      </w:pPr>
      <w:r w:rsidRPr="00614E81">
        <w:rPr>
          <w:rFonts w:ascii="Times New Roman" w:eastAsia="Times New Roman" w:hAnsi="Times New Roman" w:cs="Times New Roman"/>
          <w:sz w:val="24"/>
          <w:szCs w:val="24"/>
          <w:lang w:eastAsia="en-GB"/>
        </w:rPr>
        <w:t xml:space="preserve">International Energy Agency (IEA). (2022). </w:t>
      </w:r>
      <w:r w:rsidRPr="00614E81">
        <w:rPr>
          <w:rFonts w:ascii="Times New Roman" w:eastAsia="Times New Roman" w:hAnsi="Times New Roman" w:cs="Times New Roman"/>
          <w:i/>
          <w:iCs/>
          <w:sz w:val="24"/>
          <w:szCs w:val="24"/>
          <w:lang w:eastAsia="en-GB"/>
        </w:rPr>
        <w:t>Africa energy outlook 2022</w:t>
      </w:r>
      <w:r w:rsidRPr="00614E81">
        <w:rPr>
          <w:rFonts w:ascii="Times New Roman" w:eastAsia="Times New Roman" w:hAnsi="Times New Roman" w:cs="Times New Roman"/>
          <w:sz w:val="24"/>
          <w:szCs w:val="24"/>
          <w:lang w:eastAsia="en-GB"/>
        </w:rPr>
        <w:t>. Paris: IEA.</w:t>
      </w:r>
    </w:p>
    <w:p w14:paraId="258382E1" w14:textId="70835388" w:rsidR="005801C8" w:rsidRDefault="002326DC" w:rsidP="00614E81">
      <w:pPr>
        <w:pStyle w:val="ListParagraph"/>
        <w:numPr>
          <w:ilvl w:val="0"/>
          <w:numId w:val="4"/>
        </w:numPr>
        <w:spacing w:after="0" w:line="240" w:lineRule="auto"/>
      </w:pPr>
      <w:r w:rsidRPr="00614E81">
        <w:rPr>
          <w:rFonts w:ascii="Times New Roman" w:eastAsia="Times New Roman" w:hAnsi="Times New Roman" w:cs="Times New Roman"/>
          <w:sz w:val="24"/>
          <w:szCs w:val="24"/>
          <w:lang w:eastAsia="en-GB"/>
        </w:rPr>
        <w:t xml:space="preserve">International Energy Agency (IEA). (2023). </w:t>
      </w:r>
      <w:r w:rsidR="00556788" w:rsidRPr="00614E81">
        <w:rPr>
          <w:rFonts w:ascii="Times New Roman" w:eastAsia="Times New Roman" w:hAnsi="Times New Roman" w:cs="Times New Roman"/>
          <w:i/>
          <w:iCs/>
          <w:sz w:val="24"/>
          <w:szCs w:val="24"/>
          <w:lang w:eastAsia="en-GB"/>
        </w:rPr>
        <w:t xml:space="preserve">World Energy Outlook </w:t>
      </w:r>
      <w:r w:rsidRPr="00614E81">
        <w:rPr>
          <w:rFonts w:ascii="Times New Roman" w:eastAsia="Times New Roman" w:hAnsi="Times New Roman" w:cs="Times New Roman"/>
          <w:i/>
          <w:iCs/>
          <w:sz w:val="24"/>
          <w:szCs w:val="24"/>
          <w:lang w:eastAsia="en-GB"/>
        </w:rPr>
        <w:t>2023</w:t>
      </w:r>
      <w:r w:rsidRPr="00614E81">
        <w:rPr>
          <w:rFonts w:ascii="Times New Roman" w:eastAsia="Times New Roman" w:hAnsi="Times New Roman" w:cs="Times New Roman"/>
          <w:sz w:val="24"/>
          <w:szCs w:val="24"/>
          <w:lang w:eastAsia="en-GB"/>
        </w:rPr>
        <w:t>. Paris: IEA.</w:t>
      </w:r>
      <w:r w:rsidRPr="00E10446">
        <w:t xml:space="preserve"> </w:t>
      </w:r>
    </w:p>
    <w:p w14:paraId="79287C18" w14:textId="75CC18AB" w:rsidR="002332A3" w:rsidRPr="00614E81" w:rsidRDefault="002332A3" w:rsidP="00614E81">
      <w:pPr>
        <w:pStyle w:val="ListParagraph"/>
        <w:numPr>
          <w:ilvl w:val="0"/>
          <w:numId w:val="4"/>
        </w:numPr>
        <w:spacing w:after="0" w:line="240" w:lineRule="auto"/>
        <w:jc w:val="both"/>
        <w:rPr>
          <w:rFonts w:ascii="Times New Roman" w:hAnsi="Times New Roman" w:cs="Times New Roman"/>
        </w:rPr>
      </w:pPr>
      <w:proofErr w:type="spellStart"/>
      <w:r w:rsidRPr="00614E81">
        <w:rPr>
          <w:rFonts w:ascii="Times New Roman" w:hAnsi="Times New Roman" w:cs="Times New Roman"/>
          <w:sz w:val="24"/>
          <w:szCs w:val="24"/>
        </w:rPr>
        <w:t>Jinapor</w:t>
      </w:r>
      <w:proofErr w:type="spellEnd"/>
      <w:r w:rsidRPr="00614E81">
        <w:rPr>
          <w:rFonts w:ascii="Times New Roman" w:hAnsi="Times New Roman" w:cs="Times New Roman"/>
          <w:sz w:val="24"/>
          <w:szCs w:val="24"/>
        </w:rPr>
        <w:t>, J. A., Abor, J. Y., &amp; Graham, M. (2025). Energy consumption and inclusive growth in Sub-</w:t>
      </w:r>
      <w:r w:rsidRPr="00614E81">
        <w:rPr>
          <w:rFonts w:ascii="Times New Roman" w:hAnsi="Times New Roman" w:cs="Times New Roman"/>
          <w:sz w:val="24"/>
          <w:szCs w:val="24"/>
        </w:rPr>
        <w:tab/>
        <w:t>Saharan Africa: Does foreign direct investment make a difference? </w:t>
      </w:r>
      <w:r w:rsidRPr="00614E81">
        <w:rPr>
          <w:rFonts w:ascii="Times New Roman" w:hAnsi="Times New Roman" w:cs="Times New Roman"/>
          <w:i/>
          <w:iCs/>
          <w:sz w:val="24"/>
          <w:szCs w:val="24"/>
        </w:rPr>
        <w:t>Energy Policy</w:t>
      </w:r>
      <w:r w:rsidRPr="00614E81">
        <w:rPr>
          <w:rFonts w:ascii="Times New Roman" w:hAnsi="Times New Roman" w:cs="Times New Roman"/>
          <w:sz w:val="24"/>
          <w:szCs w:val="24"/>
        </w:rPr>
        <w:t xml:space="preserve">, 198, </w:t>
      </w:r>
      <w:r w:rsidRPr="00614E81">
        <w:rPr>
          <w:rFonts w:ascii="Times New Roman" w:hAnsi="Times New Roman" w:cs="Times New Roman"/>
          <w:sz w:val="24"/>
          <w:szCs w:val="24"/>
        </w:rPr>
        <w:tab/>
        <w:t>Article 114500. </w:t>
      </w:r>
      <w:hyperlink r:id="rId30" w:tgtFrame="_blank" w:history="1">
        <w:r w:rsidRPr="00614E81">
          <w:rPr>
            <w:rStyle w:val="Hyperlink"/>
            <w:rFonts w:ascii="Times New Roman" w:hAnsi="Times New Roman" w:cs="Times New Roman"/>
            <w:sz w:val="24"/>
            <w:szCs w:val="24"/>
          </w:rPr>
          <w:t>https://doi.org/10.1016/j.enpol.2025.114500</w:t>
        </w:r>
      </w:hyperlink>
    </w:p>
    <w:p w14:paraId="4140A6F0" w14:textId="28683F47" w:rsidR="005801C8" w:rsidRPr="003968C7" w:rsidRDefault="003968C7" w:rsidP="00614E81">
      <w:pPr>
        <w:pStyle w:val="NormalWeb"/>
        <w:numPr>
          <w:ilvl w:val="0"/>
          <w:numId w:val="4"/>
        </w:numPr>
        <w:spacing w:before="0" w:beforeAutospacing="0" w:after="0" w:afterAutospacing="0"/>
        <w:jc w:val="both"/>
      </w:pPr>
      <w:proofErr w:type="spellStart"/>
      <w:r w:rsidRPr="003968C7">
        <w:t>Kettani</w:t>
      </w:r>
      <w:proofErr w:type="spellEnd"/>
      <w:r>
        <w:t xml:space="preserve">, M </w:t>
      </w:r>
      <w:r w:rsidRPr="003968C7">
        <w:t xml:space="preserve">&amp; Sanin, </w:t>
      </w:r>
      <w:r>
        <w:t xml:space="preserve">M.E. </w:t>
      </w:r>
      <w:r w:rsidRPr="003968C7">
        <w:t>(2024</w:t>
      </w:r>
      <w:r w:rsidR="002326DC" w:rsidRPr="003968C7">
        <w:t xml:space="preserve">). </w:t>
      </w:r>
      <w:r w:rsidRPr="003968C7">
        <w:t>Energy consumption and energy poverty in Morocco</w:t>
      </w:r>
      <w:r w:rsidR="002326DC" w:rsidRPr="003968C7">
        <w:t xml:space="preserve">. </w:t>
      </w:r>
      <w:r w:rsidR="002326DC" w:rsidRPr="003968C7">
        <w:rPr>
          <w:i/>
          <w:iCs/>
        </w:rPr>
        <w:t xml:space="preserve">Energy </w:t>
      </w:r>
      <w:r>
        <w:rPr>
          <w:i/>
          <w:iCs/>
        </w:rPr>
        <w:tab/>
      </w:r>
      <w:r w:rsidR="002326DC" w:rsidRPr="003968C7">
        <w:rPr>
          <w:i/>
          <w:iCs/>
        </w:rPr>
        <w:t>Policy</w:t>
      </w:r>
      <w:r w:rsidR="002326DC" w:rsidRPr="003968C7">
        <w:t xml:space="preserve">, 173, 113387. </w:t>
      </w:r>
      <w:r w:rsidR="002326DC" w:rsidRPr="003968C7">
        <w:tab/>
      </w:r>
      <w:hyperlink r:id="rId31" w:history="1">
        <w:r w:rsidRPr="00946117">
          <w:rPr>
            <w:rStyle w:val="Hyperlink"/>
          </w:rPr>
          <w:t>https://doi.org/10.1016/j.enpol.2023.113948</w:t>
        </w:r>
      </w:hyperlink>
      <w:r>
        <w:t xml:space="preserve"> </w:t>
      </w:r>
    </w:p>
    <w:p w14:paraId="181ACB79" w14:textId="44ECAFF0" w:rsidR="0084499A" w:rsidRDefault="0084499A" w:rsidP="00614E81">
      <w:pPr>
        <w:pStyle w:val="NormalWeb"/>
        <w:numPr>
          <w:ilvl w:val="0"/>
          <w:numId w:val="4"/>
        </w:numPr>
        <w:spacing w:before="0" w:beforeAutospacing="0" w:after="0" w:afterAutospacing="0"/>
      </w:pPr>
      <w:r w:rsidRPr="00E10446">
        <w:t xml:space="preserve">Koenker, R. (2005). </w:t>
      </w:r>
      <w:r w:rsidRPr="00E10446">
        <w:rPr>
          <w:rStyle w:val="Emphasis"/>
        </w:rPr>
        <w:t>Quantile regression</w:t>
      </w:r>
      <w:r w:rsidRPr="00E10446">
        <w:t>. Cambridge University Press.</w:t>
      </w:r>
      <w:r w:rsidR="00E409F3">
        <w:t xml:space="preserve"> </w:t>
      </w:r>
      <w:r w:rsidR="00E409F3">
        <w:tab/>
      </w:r>
      <w:hyperlink r:id="rId32" w:history="1">
        <w:r w:rsidR="00E409F3" w:rsidRPr="00946117">
          <w:rPr>
            <w:rStyle w:val="Hyperlink"/>
          </w:rPr>
          <w:t>https://doi.org/10.1017/CBO9780511754098</w:t>
        </w:r>
      </w:hyperlink>
      <w:r w:rsidR="00E409F3">
        <w:t xml:space="preserve"> </w:t>
      </w:r>
    </w:p>
    <w:p w14:paraId="2E84379E" w14:textId="77777777" w:rsidR="000F67EB" w:rsidRDefault="002332A3" w:rsidP="00614E81">
      <w:pPr>
        <w:pStyle w:val="NormalWeb"/>
        <w:numPr>
          <w:ilvl w:val="0"/>
          <w:numId w:val="4"/>
        </w:numPr>
        <w:spacing w:before="0" w:beforeAutospacing="0" w:after="0"/>
        <w:jc w:val="both"/>
      </w:pPr>
      <w:proofErr w:type="spellStart"/>
      <w:r w:rsidRPr="002332A3">
        <w:t>Kritzinger</w:t>
      </w:r>
      <w:proofErr w:type="spellEnd"/>
      <w:r w:rsidRPr="002332A3">
        <w:t xml:space="preserve">, W. Z., &amp; </w:t>
      </w:r>
      <w:proofErr w:type="spellStart"/>
      <w:r w:rsidRPr="002332A3">
        <w:t>Inglesi-Lotz</w:t>
      </w:r>
      <w:proofErr w:type="spellEnd"/>
      <w:r w:rsidRPr="002332A3">
        <w:t xml:space="preserve">, R. (2025). Institutional quality: A hurdle or a catalyst to </w:t>
      </w:r>
      <w:r>
        <w:tab/>
      </w:r>
      <w:r w:rsidRPr="002332A3">
        <w:t>eliminating energy poverty in sub-Saharan Africa? </w:t>
      </w:r>
      <w:r w:rsidRPr="002332A3">
        <w:rPr>
          <w:i/>
          <w:iCs/>
        </w:rPr>
        <w:t xml:space="preserve">ERSA Working </w:t>
      </w:r>
      <w:r>
        <w:rPr>
          <w:i/>
          <w:iCs/>
        </w:rPr>
        <w:tab/>
      </w:r>
      <w:r w:rsidRPr="002332A3">
        <w:rPr>
          <w:i/>
          <w:iCs/>
        </w:rPr>
        <w:t>Paper</w:t>
      </w:r>
      <w:r w:rsidRPr="002332A3">
        <w:t>. </w:t>
      </w:r>
      <w:hyperlink r:id="rId33" w:tgtFrame="_blank" w:history="1">
        <w:r w:rsidRPr="002332A3">
          <w:rPr>
            <w:rStyle w:val="Hyperlink"/>
          </w:rPr>
          <w:t>https://ersawps.org/index.php/working-paper-series/article/view/163</w:t>
        </w:r>
      </w:hyperlink>
    </w:p>
    <w:p w14:paraId="3E2AFC4C" w14:textId="1B1C7A15" w:rsidR="000F67EB" w:rsidRDefault="002326DC" w:rsidP="00614E81">
      <w:pPr>
        <w:pStyle w:val="NormalWeb"/>
        <w:numPr>
          <w:ilvl w:val="0"/>
          <w:numId w:val="4"/>
        </w:numPr>
        <w:spacing w:before="0" w:beforeAutospacing="0" w:after="0"/>
        <w:jc w:val="both"/>
        <w:rPr>
          <w:rStyle w:val="Emphasis"/>
          <w:i w:val="0"/>
          <w:iCs w:val="0"/>
        </w:rPr>
      </w:pPr>
      <w:proofErr w:type="spellStart"/>
      <w:r w:rsidRPr="00E10446">
        <w:t>Kumi</w:t>
      </w:r>
      <w:proofErr w:type="spellEnd"/>
      <w:r w:rsidRPr="00E10446">
        <w:t xml:space="preserve">, E. N. (2017). </w:t>
      </w:r>
      <w:r w:rsidRPr="00E409F3">
        <w:rPr>
          <w:i/>
          <w:iCs/>
        </w:rPr>
        <w:t>The electricity situation in Ghana: Challenges and opportunities</w:t>
      </w:r>
      <w:r w:rsidRPr="00E10446">
        <w:t xml:space="preserve">. </w:t>
      </w:r>
      <w:proofErr w:type="spellStart"/>
      <w:r w:rsidR="00E409F3" w:rsidRPr="00E409F3">
        <w:rPr>
          <w:rStyle w:val="Emphasis"/>
          <w:i w:val="0"/>
          <w:iCs w:val="0"/>
        </w:rPr>
        <w:t>Center</w:t>
      </w:r>
      <w:proofErr w:type="spellEnd"/>
      <w:r w:rsidR="00E409F3" w:rsidRPr="00E409F3">
        <w:rPr>
          <w:rStyle w:val="Emphasis"/>
          <w:i w:val="0"/>
          <w:iCs w:val="0"/>
        </w:rPr>
        <w:t xml:space="preserve"> </w:t>
      </w:r>
      <w:r w:rsidR="00E409F3" w:rsidRPr="00E409F3">
        <w:rPr>
          <w:rStyle w:val="Emphasis"/>
          <w:i w:val="0"/>
          <w:iCs w:val="0"/>
        </w:rPr>
        <w:tab/>
        <w:t>for Global Development Policy Paper 109</w:t>
      </w:r>
      <w:r w:rsidR="00E409F3">
        <w:rPr>
          <w:rStyle w:val="Emphasis"/>
          <w:i w:val="0"/>
          <w:iCs w:val="0"/>
        </w:rPr>
        <w:t xml:space="preserve">. </w:t>
      </w:r>
      <w:r w:rsidR="00E409F3">
        <w:rPr>
          <w:rStyle w:val="Emphasis"/>
          <w:i w:val="0"/>
          <w:iCs w:val="0"/>
        </w:rPr>
        <w:tab/>
      </w:r>
      <w:hyperlink r:id="rId34" w:history="1">
        <w:r w:rsidR="00E409F3" w:rsidRPr="00946117">
          <w:rPr>
            <w:rStyle w:val="Hyperlink"/>
          </w:rPr>
          <w:t>https://www.cgdev.org/sites/default/files/electricity-situation-ghana-challenges-and-</w:t>
        </w:r>
        <w:r w:rsidR="00E409F3" w:rsidRPr="00E409F3">
          <w:rPr>
            <w:rStyle w:val="Hyperlink"/>
            <w:u w:val="none"/>
          </w:rPr>
          <w:tab/>
        </w:r>
        <w:r w:rsidR="00E409F3" w:rsidRPr="00946117">
          <w:rPr>
            <w:rStyle w:val="Hyperlink"/>
          </w:rPr>
          <w:t>opportunities.pdf</w:t>
        </w:r>
      </w:hyperlink>
      <w:r w:rsidR="00E409F3">
        <w:rPr>
          <w:rStyle w:val="Emphasis"/>
          <w:i w:val="0"/>
          <w:iCs w:val="0"/>
        </w:rPr>
        <w:t xml:space="preserve"> </w:t>
      </w:r>
    </w:p>
    <w:p w14:paraId="29B3A257" w14:textId="359C09A6" w:rsidR="005801C8" w:rsidRPr="00E10446" w:rsidRDefault="00DC2D78" w:rsidP="00614E81">
      <w:pPr>
        <w:pStyle w:val="NormalWeb"/>
        <w:numPr>
          <w:ilvl w:val="0"/>
          <w:numId w:val="4"/>
        </w:numPr>
        <w:spacing w:before="0" w:beforeAutospacing="0" w:after="0"/>
        <w:jc w:val="both"/>
      </w:pPr>
      <w:r w:rsidRPr="00DC2D78">
        <w:t xml:space="preserve">Leal Filho, W., </w:t>
      </w:r>
      <w:proofErr w:type="spellStart"/>
      <w:r w:rsidRPr="00DC2D78">
        <w:t>Gatto</w:t>
      </w:r>
      <w:proofErr w:type="spellEnd"/>
      <w:r w:rsidRPr="00DC2D78">
        <w:t>, A., Sharifi, A., Lange Salvia, A., Guevara, Z., Awoniyi, S., Mang-</w:t>
      </w:r>
      <w:proofErr w:type="spellStart"/>
      <w:r w:rsidRPr="00DC2D78">
        <w:t>Benza</w:t>
      </w:r>
      <w:proofErr w:type="spellEnd"/>
      <w:r w:rsidRPr="00DC2D78">
        <w:t xml:space="preserve">, </w:t>
      </w:r>
      <w:r>
        <w:tab/>
      </w:r>
      <w:r w:rsidRPr="00DC2D78">
        <w:t xml:space="preserve">C., </w:t>
      </w:r>
      <w:proofErr w:type="spellStart"/>
      <w:r w:rsidRPr="00DC2D78">
        <w:t>Nwedu</w:t>
      </w:r>
      <w:proofErr w:type="spellEnd"/>
      <w:r w:rsidRPr="00DC2D78">
        <w:t xml:space="preserve">, C. N., </w:t>
      </w:r>
      <w:proofErr w:type="spellStart"/>
      <w:r w:rsidRPr="00DC2D78">
        <w:t>Surroop</w:t>
      </w:r>
      <w:proofErr w:type="spellEnd"/>
      <w:r w:rsidRPr="00DC2D78">
        <w:t xml:space="preserve">, D., Teddy, K. O., Muhammad, U., </w:t>
      </w:r>
      <w:proofErr w:type="spellStart"/>
      <w:r w:rsidRPr="00DC2D78">
        <w:t>Nalule</w:t>
      </w:r>
      <w:proofErr w:type="spellEnd"/>
      <w:r w:rsidRPr="00DC2D78">
        <w:t xml:space="preserve">, V. R., &amp; da </w:t>
      </w:r>
      <w:r>
        <w:tab/>
      </w:r>
      <w:r w:rsidRPr="00DC2D78">
        <w:t xml:space="preserve">Silva, I. (2024). Energy poverty in African countries: An assessment of </w:t>
      </w:r>
      <w:r w:rsidRPr="00DC2D78">
        <w:lastRenderedPageBreak/>
        <w:t xml:space="preserve">trends and </w:t>
      </w:r>
      <w:r>
        <w:tab/>
      </w:r>
      <w:r w:rsidRPr="00DC2D78">
        <w:t xml:space="preserve">policies. </w:t>
      </w:r>
      <w:r w:rsidRPr="00DC2D78">
        <w:rPr>
          <w:i/>
          <w:iCs/>
        </w:rPr>
        <w:t>Energy Research &amp; Social Science</w:t>
      </w:r>
      <w:r w:rsidRPr="00DC2D78">
        <w:t xml:space="preserve">, 117, Article 103664. </w:t>
      </w:r>
      <w:r>
        <w:tab/>
      </w:r>
      <w:hyperlink r:id="rId35" w:history="1">
        <w:r w:rsidRPr="00DC2D78">
          <w:rPr>
            <w:rStyle w:val="Hyperlink"/>
          </w:rPr>
          <w:t>https://doi.org/10.1016/j.erss.2024.103664</w:t>
        </w:r>
      </w:hyperlink>
      <w:r>
        <w:t xml:space="preserve"> </w:t>
      </w:r>
      <w:r w:rsidR="002326DC" w:rsidRPr="00E10446">
        <w:t xml:space="preserve"> </w:t>
      </w:r>
      <w:r>
        <w:t xml:space="preserve"> </w:t>
      </w:r>
    </w:p>
    <w:p w14:paraId="01E53210" w14:textId="725B58C9" w:rsidR="000642BA" w:rsidRPr="000642BA" w:rsidRDefault="000642BA" w:rsidP="00614E81">
      <w:pPr>
        <w:pStyle w:val="NormalWeb"/>
        <w:numPr>
          <w:ilvl w:val="0"/>
          <w:numId w:val="4"/>
        </w:numPr>
        <w:spacing w:before="0" w:beforeAutospacing="0" w:after="0" w:afterAutospacing="0"/>
        <w:jc w:val="both"/>
      </w:pPr>
      <w:r w:rsidRPr="000642BA">
        <w:t xml:space="preserve">Lin, B., &amp; Wang, Y. (2020). Does energy poverty really exist in China? From the perspective </w:t>
      </w:r>
      <w:r>
        <w:tab/>
      </w:r>
      <w:r w:rsidRPr="000642BA">
        <w:t xml:space="preserve">of residential electricity consumption. </w:t>
      </w:r>
      <w:r w:rsidRPr="000642BA">
        <w:rPr>
          <w:i/>
          <w:iCs/>
        </w:rPr>
        <w:t>Energy Policy</w:t>
      </w:r>
      <w:r w:rsidRPr="000642BA">
        <w:t xml:space="preserve">, 143, 111557. </w:t>
      </w:r>
      <w:r>
        <w:tab/>
      </w:r>
      <w:hyperlink r:id="rId36" w:history="1">
        <w:r w:rsidRPr="000642BA">
          <w:rPr>
            <w:rStyle w:val="Hyperlink"/>
          </w:rPr>
          <w:t>https://doi.org/10.1016/j.enpol.2020.111557</w:t>
        </w:r>
      </w:hyperlink>
      <w:r>
        <w:t xml:space="preserve"> </w:t>
      </w:r>
    </w:p>
    <w:p w14:paraId="1F13D004" w14:textId="1D0C4FCB" w:rsidR="00DF598E" w:rsidRPr="00E10446" w:rsidRDefault="00DF598E" w:rsidP="00614E81">
      <w:pPr>
        <w:pStyle w:val="NormalWeb"/>
        <w:numPr>
          <w:ilvl w:val="0"/>
          <w:numId w:val="4"/>
        </w:numPr>
        <w:spacing w:before="0" w:beforeAutospacing="0" w:after="0" w:afterAutospacing="0"/>
        <w:jc w:val="both"/>
      </w:pPr>
      <w:r w:rsidRPr="00E10446">
        <w:t xml:space="preserve">Little, R. J. A., &amp; Rubin, D. B. (2019). </w:t>
      </w:r>
      <w:r w:rsidRPr="00E10446">
        <w:rPr>
          <w:i/>
          <w:iCs/>
        </w:rPr>
        <w:t>Statistical analysis with missing data</w:t>
      </w:r>
      <w:r w:rsidRPr="00E10446">
        <w:t xml:space="preserve"> (3rd ed.). John </w:t>
      </w:r>
      <w:r w:rsidRPr="00E10446">
        <w:tab/>
        <w:t xml:space="preserve">Wiley &amp; Sons. </w:t>
      </w:r>
      <w:hyperlink r:id="rId37" w:history="1">
        <w:r w:rsidRPr="00E10446">
          <w:rPr>
            <w:rStyle w:val="Hyperlink"/>
          </w:rPr>
          <w:t>https://doi.org/10.1002/9781119482260</w:t>
        </w:r>
      </w:hyperlink>
      <w:r w:rsidRPr="00E10446">
        <w:t xml:space="preserve"> </w:t>
      </w:r>
    </w:p>
    <w:p w14:paraId="031B4FC6" w14:textId="18D2894A" w:rsidR="005801C8" w:rsidRPr="00E10446" w:rsidRDefault="002326DC" w:rsidP="00614E81">
      <w:pPr>
        <w:pStyle w:val="NormalWeb"/>
        <w:numPr>
          <w:ilvl w:val="0"/>
          <w:numId w:val="4"/>
        </w:numPr>
        <w:spacing w:before="0" w:beforeAutospacing="0" w:after="0" w:afterAutospacing="0"/>
        <w:jc w:val="both"/>
      </w:pPr>
      <w:r w:rsidRPr="00E10446">
        <w:t xml:space="preserve">Lucas, R. E., Jr. (1988). On the mechanics of economic development. </w:t>
      </w:r>
      <w:r w:rsidRPr="00E10446">
        <w:rPr>
          <w:i/>
          <w:iCs/>
        </w:rPr>
        <w:t xml:space="preserve">Journal of Monetary </w:t>
      </w:r>
      <w:r w:rsidRPr="00E10446">
        <w:rPr>
          <w:i/>
          <w:iCs/>
        </w:rPr>
        <w:tab/>
        <w:t>Economics,</w:t>
      </w:r>
      <w:r w:rsidRPr="00E10446">
        <w:t xml:space="preserve"> 22(1), 3–42. </w:t>
      </w:r>
      <w:hyperlink r:id="rId38" w:history="1">
        <w:r w:rsidRPr="00E10446">
          <w:rPr>
            <w:rStyle w:val="Hyperlink"/>
          </w:rPr>
          <w:t>https://doi.org/10.1016/0304-3932(88)90168-7</w:t>
        </w:r>
      </w:hyperlink>
      <w:r w:rsidRPr="00E10446">
        <w:t xml:space="preserve"> </w:t>
      </w:r>
    </w:p>
    <w:p w14:paraId="234956B4" w14:textId="77777777" w:rsidR="002332A3" w:rsidRDefault="0084499A" w:rsidP="00614E81">
      <w:pPr>
        <w:pStyle w:val="NormalWeb"/>
        <w:numPr>
          <w:ilvl w:val="0"/>
          <w:numId w:val="4"/>
        </w:numPr>
        <w:spacing w:before="0" w:beforeAutospacing="0" w:after="0" w:afterAutospacing="0"/>
        <w:jc w:val="both"/>
      </w:pPr>
      <w:r w:rsidRPr="00E10446">
        <w:t xml:space="preserve">Machado, J. A. F., &amp; Santos Silva, J. M. C. (2019). Quantiles via moments. </w:t>
      </w:r>
      <w:r w:rsidRPr="00E10446">
        <w:rPr>
          <w:rStyle w:val="Emphasis"/>
        </w:rPr>
        <w:t xml:space="preserve">Journal of </w:t>
      </w:r>
      <w:r w:rsidRPr="00E10446">
        <w:rPr>
          <w:rStyle w:val="Emphasis"/>
        </w:rPr>
        <w:tab/>
        <w:t>Econometrics, 213</w:t>
      </w:r>
      <w:r w:rsidRPr="00E10446">
        <w:t xml:space="preserve">(1), 145–173. </w:t>
      </w:r>
      <w:hyperlink r:id="rId39" w:history="1">
        <w:r w:rsidRPr="00E10446">
          <w:rPr>
            <w:rStyle w:val="Hyperlink"/>
          </w:rPr>
          <w:t>https://doi.org/10.1016/j.jeconom.2019.04.009</w:t>
        </w:r>
      </w:hyperlink>
      <w:r w:rsidRPr="00E10446">
        <w:t xml:space="preserve"> </w:t>
      </w:r>
    </w:p>
    <w:p w14:paraId="49D01E3E" w14:textId="61A21D42" w:rsidR="005801C8" w:rsidRPr="00E10446" w:rsidRDefault="002332A3" w:rsidP="00614E81">
      <w:pPr>
        <w:pStyle w:val="NormalWeb"/>
        <w:numPr>
          <w:ilvl w:val="0"/>
          <w:numId w:val="4"/>
        </w:numPr>
        <w:spacing w:before="0" w:beforeAutospacing="0" w:after="0" w:afterAutospacing="0"/>
        <w:jc w:val="both"/>
      </w:pPr>
      <w:proofErr w:type="spellStart"/>
      <w:r w:rsidRPr="00B8219B">
        <w:t>Mazorodze</w:t>
      </w:r>
      <w:proofErr w:type="spellEnd"/>
      <w:r w:rsidRPr="00B8219B">
        <w:t xml:space="preserve">, B. T. (2025). Renewable energy consumption and green growth in Sub-Saharan </w:t>
      </w:r>
      <w:r>
        <w:tab/>
      </w:r>
      <w:r w:rsidRPr="00B8219B">
        <w:t>Africa. </w:t>
      </w:r>
      <w:r w:rsidRPr="00B8219B">
        <w:rPr>
          <w:i/>
          <w:iCs/>
        </w:rPr>
        <w:t>Energies</w:t>
      </w:r>
      <w:r w:rsidRPr="00B8219B">
        <w:t>, 18(7), Article 1851. </w:t>
      </w:r>
      <w:hyperlink r:id="rId40" w:tgtFrame="_blank" w:history="1">
        <w:r w:rsidRPr="00B8219B">
          <w:rPr>
            <w:rStyle w:val="Hyperlink"/>
          </w:rPr>
          <w:t>https://doi.org/10.3390/en18071851</w:t>
        </w:r>
      </w:hyperlink>
    </w:p>
    <w:p w14:paraId="6DE2CFF7" w14:textId="3F7380A9" w:rsidR="005801C8" w:rsidRDefault="002326DC" w:rsidP="00614E81">
      <w:pPr>
        <w:pStyle w:val="NormalWeb"/>
        <w:numPr>
          <w:ilvl w:val="0"/>
          <w:numId w:val="4"/>
        </w:numPr>
        <w:spacing w:before="0" w:beforeAutospacing="0" w:after="0" w:afterAutospacing="0"/>
        <w:jc w:val="both"/>
      </w:pPr>
      <w:proofErr w:type="spellStart"/>
      <w:r w:rsidRPr="00E10446">
        <w:t>Monyei</w:t>
      </w:r>
      <w:proofErr w:type="spellEnd"/>
      <w:r w:rsidRPr="00E10446">
        <w:t xml:space="preserve">, C. G., Adewumi, A. O., Jenkins, K. E. H., &amp; Viriri, S. (2018). </w:t>
      </w:r>
      <w:r w:rsidR="0049475F" w:rsidRPr="0049475F">
        <w:t xml:space="preserve">Energy (in)justice in </w:t>
      </w:r>
      <w:r w:rsidR="0049475F">
        <w:tab/>
      </w:r>
      <w:r w:rsidR="0049475F" w:rsidRPr="0049475F">
        <w:t>off-grid rural electrification policy: South Africa in focus</w:t>
      </w:r>
      <w:r w:rsidRPr="00E10446">
        <w:t xml:space="preserve">. </w:t>
      </w:r>
      <w:r w:rsidRPr="00E10446">
        <w:rPr>
          <w:rStyle w:val="Emphasis"/>
        </w:rPr>
        <w:t xml:space="preserve">Energy </w:t>
      </w:r>
      <w:r w:rsidRPr="00E10446">
        <w:rPr>
          <w:rStyle w:val="Emphasis"/>
        </w:rPr>
        <w:tab/>
        <w:t xml:space="preserve">Research &amp; Social </w:t>
      </w:r>
      <w:r w:rsidR="0049475F">
        <w:rPr>
          <w:rStyle w:val="Emphasis"/>
        </w:rPr>
        <w:tab/>
      </w:r>
      <w:r w:rsidRPr="00E10446">
        <w:rPr>
          <w:rStyle w:val="Emphasis"/>
        </w:rPr>
        <w:t>Science, 44</w:t>
      </w:r>
      <w:r w:rsidRPr="00E10446">
        <w:t xml:space="preserve">, 152–171. </w:t>
      </w:r>
      <w:hyperlink r:id="rId41" w:tgtFrame="_new" w:history="1">
        <w:r w:rsidRPr="00E10446">
          <w:rPr>
            <w:rStyle w:val="Hyperlink"/>
          </w:rPr>
          <w:t>https://doi.org/</w:t>
        </w:r>
        <w:r w:rsidR="00E003FF" w:rsidRPr="00E003FF">
          <w:rPr>
            <w:rStyle w:val="Hyperlink"/>
          </w:rPr>
          <w:t>10.1016/j.erss.2018.05.002</w:t>
        </w:r>
      </w:hyperlink>
    </w:p>
    <w:p w14:paraId="3625476E" w14:textId="77777777" w:rsidR="002332A3" w:rsidRDefault="005E6DAD" w:rsidP="00614E81">
      <w:pPr>
        <w:pStyle w:val="NormalWeb"/>
        <w:numPr>
          <w:ilvl w:val="0"/>
          <w:numId w:val="4"/>
        </w:numPr>
        <w:spacing w:before="0" w:beforeAutospacing="0" w:after="0" w:afterAutospacing="0"/>
        <w:jc w:val="both"/>
      </w:pPr>
      <w:proofErr w:type="spellStart"/>
      <w:r w:rsidRPr="005E6DAD">
        <w:t>Odoi</w:t>
      </w:r>
      <w:proofErr w:type="spellEnd"/>
      <w:r w:rsidRPr="005E6DAD">
        <w:t xml:space="preserve">-Yorke, F., </w:t>
      </w:r>
      <w:proofErr w:type="spellStart"/>
      <w:r w:rsidRPr="005E6DAD">
        <w:t>Bukari</w:t>
      </w:r>
      <w:proofErr w:type="spellEnd"/>
      <w:r w:rsidRPr="005E6DAD">
        <w:t xml:space="preserve">, D., </w:t>
      </w:r>
      <w:proofErr w:type="spellStart"/>
      <w:r w:rsidRPr="005E6DAD">
        <w:t>Jinapor</w:t>
      </w:r>
      <w:proofErr w:type="spellEnd"/>
      <w:r w:rsidRPr="005E6DAD">
        <w:t xml:space="preserve">, J. A., &amp; Mahama, M. (2025). Bridging the energy gap: </w:t>
      </w:r>
      <w:r>
        <w:tab/>
      </w:r>
      <w:r w:rsidRPr="005E6DAD">
        <w:t xml:space="preserve">Macro-drivers of access-based energy poverty in West Africa. </w:t>
      </w:r>
      <w:r w:rsidRPr="005E6DAD">
        <w:rPr>
          <w:i/>
          <w:iCs/>
        </w:rPr>
        <w:t>Energy Economics, 148</w:t>
      </w:r>
      <w:r w:rsidRPr="005E6DAD">
        <w:t xml:space="preserve">, </w:t>
      </w:r>
      <w:r>
        <w:tab/>
      </w:r>
      <w:r w:rsidRPr="005E6DAD">
        <w:t xml:space="preserve">108707. </w:t>
      </w:r>
      <w:hyperlink r:id="rId42" w:history="1">
        <w:r w:rsidRPr="00946117">
          <w:rPr>
            <w:rStyle w:val="Hyperlink"/>
          </w:rPr>
          <w:t>https://doi.org/10.1016/j.eneco.2025.108707</w:t>
        </w:r>
      </w:hyperlink>
      <w:r>
        <w:t xml:space="preserve"> </w:t>
      </w:r>
    </w:p>
    <w:p w14:paraId="482CB082" w14:textId="39596931" w:rsidR="002332A3" w:rsidRPr="00E10446" w:rsidRDefault="002332A3" w:rsidP="00614E81">
      <w:pPr>
        <w:pStyle w:val="NormalWeb"/>
        <w:numPr>
          <w:ilvl w:val="0"/>
          <w:numId w:val="4"/>
        </w:numPr>
        <w:spacing w:before="0" w:beforeAutospacing="0" w:after="0" w:afterAutospacing="0"/>
        <w:jc w:val="both"/>
      </w:pPr>
      <w:r w:rsidRPr="002332A3">
        <w:t xml:space="preserve">Ofori, I. K., Adams, S., &amp; </w:t>
      </w:r>
      <w:proofErr w:type="spellStart"/>
      <w:r w:rsidRPr="002332A3">
        <w:t>Gbolonyo</w:t>
      </w:r>
      <w:proofErr w:type="spellEnd"/>
      <w:r w:rsidRPr="002332A3">
        <w:t xml:space="preserve">, E. Y. (2025). Energy consumption, democracy, and </w:t>
      </w:r>
      <w:r>
        <w:tab/>
      </w:r>
      <w:r w:rsidRPr="002332A3">
        <w:t>income inequality in Africa. </w:t>
      </w:r>
      <w:r w:rsidRPr="002332A3">
        <w:rPr>
          <w:i/>
          <w:iCs/>
        </w:rPr>
        <w:t>Empirical Economics</w:t>
      </w:r>
      <w:r w:rsidRPr="002332A3">
        <w:t xml:space="preserve">. Advance online </w:t>
      </w:r>
      <w:r>
        <w:tab/>
      </w:r>
      <w:r w:rsidRPr="002332A3">
        <w:t>publication. </w:t>
      </w:r>
      <w:hyperlink r:id="rId43" w:tgtFrame="_blank" w:history="1">
        <w:r w:rsidRPr="002332A3">
          <w:rPr>
            <w:rStyle w:val="Hyperlink"/>
          </w:rPr>
          <w:t>https://mpra.ub.uni-muenchen.de/124134/</w:t>
        </w:r>
      </w:hyperlink>
    </w:p>
    <w:p w14:paraId="2B805083" w14:textId="77777777" w:rsidR="0084499A" w:rsidRPr="00E10446" w:rsidRDefault="002326DC" w:rsidP="00614E81">
      <w:pPr>
        <w:pStyle w:val="NormalWeb"/>
        <w:numPr>
          <w:ilvl w:val="0"/>
          <w:numId w:val="4"/>
        </w:numPr>
        <w:spacing w:before="0" w:beforeAutospacing="0" w:after="0" w:afterAutospacing="0"/>
        <w:jc w:val="both"/>
      </w:pPr>
      <w:r w:rsidRPr="00E10446">
        <w:t xml:space="preserve">Okwanya, I., &amp; Abah, P. O. (2018). Impact of energy consumption on poverty reduction in </w:t>
      </w:r>
      <w:r w:rsidRPr="00E10446">
        <w:tab/>
        <w:t xml:space="preserve">Africa. </w:t>
      </w:r>
      <w:r w:rsidRPr="00E10446">
        <w:rPr>
          <w:i/>
          <w:iCs/>
        </w:rPr>
        <w:t>CBN Journal of Applied Statistics</w:t>
      </w:r>
      <w:r w:rsidRPr="00E10446">
        <w:t>, 9(1), 105-139.</w:t>
      </w:r>
      <w:r w:rsidRPr="00E10446">
        <w:tab/>
      </w:r>
      <w:hyperlink r:id="rId44" w:history="1">
        <w:r w:rsidRPr="00E10446">
          <w:rPr>
            <w:rStyle w:val="Hyperlink"/>
          </w:rPr>
          <w:t>https://www.cbn.gov.ng/out/2018/sd/pages%20105_139_a376_okwanya%20and%20</w:t>
        </w:r>
        <w:r w:rsidRPr="00E10446">
          <w:rPr>
            <w:rStyle w:val="Hyperlink"/>
            <w:u w:val="none"/>
          </w:rPr>
          <w:tab/>
        </w:r>
        <w:r w:rsidRPr="00E10446">
          <w:rPr>
            <w:rStyle w:val="Hyperlink"/>
          </w:rPr>
          <w:t>abah.pdf</w:t>
        </w:r>
      </w:hyperlink>
      <w:r w:rsidRPr="00E10446">
        <w:t xml:space="preserve"> </w:t>
      </w:r>
    </w:p>
    <w:p w14:paraId="2991A3F7" w14:textId="45DC61A5" w:rsidR="005801C8" w:rsidRPr="00E10446" w:rsidRDefault="002326DC" w:rsidP="00614E81">
      <w:pPr>
        <w:pStyle w:val="NormalWeb"/>
        <w:numPr>
          <w:ilvl w:val="0"/>
          <w:numId w:val="4"/>
        </w:numPr>
        <w:spacing w:before="0" w:beforeAutospacing="0" w:after="0" w:afterAutospacing="0"/>
        <w:jc w:val="both"/>
      </w:pPr>
      <w:r w:rsidRPr="00E10446">
        <w:t xml:space="preserve">Oyedepo, S. O. (2014). Towards achieving energy for sustainable development in Nigeria. </w:t>
      </w:r>
      <w:r w:rsidRPr="00E10446">
        <w:tab/>
      </w:r>
      <w:r w:rsidRPr="00E10446">
        <w:rPr>
          <w:rStyle w:val="Emphasis"/>
        </w:rPr>
        <w:t>Renewable and Sustainable Energy Reviews, 34</w:t>
      </w:r>
      <w:r w:rsidRPr="00E10446">
        <w:t xml:space="preserve">, 255–272. </w:t>
      </w:r>
      <w:r w:rsidRPr="00E10446">
        <w:tab/>
      </w:r>
      <w:hyperlink r:id="rId45" w:history="1">
        <w:r w:rsidRPr="00E3629F">
          <w:rPr>
            <w:rStyle w:val="Hyperlink"/>
          </w:rPr>
          <w:t>https://doi.org/</w:t>
        </w:r>
        <w:hyperlink r:id="rId46" w:history="1">
          <w:r w:rsidR="00E3629F" w:rsidRPr="00E3629F">
            <w:rPr>
              <w:rFonts w:ascii="Arial" w:hAnsi="Arial" w:cs="Arial"/>
              <w:color w:val="0000FF"/>
              <w:sz w:val="18"/>
              <w:u w:val="single"/>
            </w:rPr>
            <w:t>10.1093/acprof:oso/9780190212766.001.0001</w:t>
          </w:r>
        </w:hyperlink>
      </w:hyperlink>
      <w:r w:rsidR="00E3629F">
        <w:rPr>
          <w:rStyle w:val="Hyperlink"/>
        </w:rPr>
        <w:t xml:space="preserve"> </w:t>
      </w:r>
    </w:p>
    <w:p w14:paraId="286A9A77" w14:textId="112B795D" w:rsidR="005801C8" w:rsidRPr="00E10446" w:rsidRDefault="002326DC" w:rsidP="00614E81">
      <w:pPr>
        <w:pStyle w:val="NormalWeb"/>
        <w:numPr>
          <w:ilvl w:val="0"/>
          <w:numId w:val="4"/>
        </w:numPr>
        <w:spacing w:before="0" w:beforeAutospacing="0" w:after="0" w:afterAutospacing="0"/>
        <w:jc w:val="both"/>
      </w:pPr>
      <w:r w:rsidRPr="00E10446">
        <w:t xml:space="preserve">Ravallion, M. (2016). </w:t>
      </w:r>
      <w:r w:rsidRPr="00E10446">
        <w:rPr>
          <w:rStyle w:val="Emphasis"/>
        </w:rPr>
        <w:t>The economics of poverty: History, measurement, and policy</w:t>
      </w:r>
      <w:r w:rsidRPr="00E10446">
        <w:t xml:space="preserve">. Oxford </w:t>
      </w:r>
      <w:r w:rsidRPr="00E10446">
        <w:tab/>
        <w:t>University Press.</w:t>
      </w:r>
      <w:r w:rsidR="00E3629F">
        <w:t xml:space="preserve"> </w:t>
      </w:r>
      <w:hyperlink r:id="rId47" w:history="1">
        <w:r w:rsidR="00E3629F" w:rsidRPr="00E10446">
          <w:rPr>
            <w:rStyle w:val="Hyperlink"/>
          </w:rPr>
          <w:t>https://doi.org/10.3390/su13126789</w:t>
        </w:r>
      </w:hyperlink>
    </w:p>
    <w:p w14:paraId="1CB47EAE" w14:textId="77777777" w:rsidR="005801C8" w:rsidRPr="00E10446" w:rsidRDefault="002326DC" w:rsidP="00614E81">
      <w:pPr>
        <w:pStyle w:val="NormalWeb"/>
        <w:numPr>
          <w:ilvl w:val="0"/>
          <w:numId w:val="4"/>
        </w:numPr>
        <w:spacing w:before="0" w:beforeAutospacing="0" w:after="0" w:afterAutospacing="0"/>
        <w:jc w:val="both"/>
      </w:pPr>
      <w:r w:rsidRPr="00E10446">
        <w:t xml:space="preserve">Romer, P. M. (1990). Endogenous technological change. </w:t>
      </w:r>
      <w:r w:rsidRPr="00E10446">
        <w:rPr>
          <w:i/>
          <w:iCs/>
        </w:rPr>
        <w:t>Journal of Political Economy</w:t>
      </w:r>
      <w:r w:rsidRPr="00E10446">
        <w:t xml:space="preserve">, 98(5, </w:t>
      </w:r>
      <w:r w:rsidRPr="00E10446">
        <w:tab/>
        <w:t xml:space="preserve">Part 2), S71–S102. </w:t>
      </w:r>
      <w:hyperlink r:id="rId48" w:history="1">
        <w:r w:rsidRPr="00E10446">
          <w:rPr>
            <w:rStyle w:val="Hyperlink"/>
          </w:rPr>
          <w:t>https://doi.org/10.1086/261725</w:t>
        </w:r>
      </w:hyperlink>
      <w:r w:rsidRPr="00E10446">
        <w:t xml:space="preserve"> </w:t>
      </w:r>
    </w:p>
    <w:p w14:paraId="08BF7232" w14:textId="412E025E" w:rsidR="005801C8" w:rsidRPr="00E10446" w:rsidRDefault="002326DC" w:rsidP="00614E81">
      <w:pPr>
        <w:pStyle w:val="NormalWeb"/>
        <w:numPr>
          <w:ilvl w:val="0"/>
          <w:numId w:val="4"/>
        </w:numPr>
        <w:spacing w:before="0" w:beforeAutospacing="0" w:after="0" w:afterAutospacing="0"/>
        <w:jc w:val="both"/>
      </w:pPr>
      <w:r w:rsidRPr="00E10446">
        <w:t xml:space="preserve">Sarkodie, S. A., &amp; Adams, S. (2020). Electricity access, human development index, governance </w:t>
      </w:r>
      <w:r w:rsidRPr="00E10446">
        <w:tab/>
        <w:t xml:space="preserve">and income inequality in Sub-Saharan Africa. </w:t>
      </w:r>
      <w:r w:rsidRPr="00E10446">
        <w:rPr>
          <w:rStyle w:val="Emphasis"/>
        </w:rPr>
        <w:t>Energy Reports, 6</w:t>
      </w:r>
      <w:r w:rsidRPr="00E10446">
        <w:t xml:space="preserve">, 455–466. </w:t>
      </w:r>
      <w:r w:rsidRPr="00E10446">
        <w:tab/>
      </w:r>
      <w:hyperlink r:id="rId49" w:history="1">
        <w:r w:rsidRPr="00E10446">
          <w:rPr>
            <w:rStyle w:val="Hyperlink"/>
          </w:rPr>
          <w:t>https://doi.org/10.1016/j.egyr.2020.02.009</w:t>
        </w:r>
      </w:hyperlink>
      <w:r w:rsidRPr="00E10446">
        <w:t xml:space="preserve"> </w:t>
      </w:r>
    </w:p>
    <w:p w14:paraId="338CA3E2" w14:textId="77777777" w:rsidR="005801C8" w:rsidRPr="00E10446" w:rsidRDefault="002326DC" w:rsidP="00614E81">
      <w:pPr>
        <w:pStyle w:val="NormalWeb"/>
        <w:numPr>
          <w:ilvl w:val="0"/>
          <w:numId w:val="4"/>
        </w:numPr>
        <w:spacing w:before="0" w:beforeAutospacing="0" w:after="0" w:afterAutospacing="0"/>
        <w:jc w:val="both"/>
      </w:pPr>
      <w:r w:rsidRPr="00E10446">
        <w:t xml:space="preserve">Sen, A. (1999). </w:t>
      </w:r>
      <w:r w:rsidRPr="00E10446">
        <w:rPr>
          <w:rStyle w:val="Emphasis"/>
        </w:rPr>
        <w:t>Development as freedom</w:t>
      </w:r>
      <w:r w:rsidRPr="00E10446">
        <w:t>. Oxford University Press.</w:t>
      </w:r>
    </w:p>
    <w:p w14:paraId="74B46388" w14:textId="77777777" w:rsidR="002332A3" w:rsidRDefault="002326DC" w:rsidP="00614E81">
      <w:pPr>
        <w:pStyle w:val="NormalWeb"/>
        <w:numPr>
          <w:ilvl w:val="0"/>
          <w:numId w:val="4"/>
        </w:numPr>
        <w:spacing w:before="0" w:beforeAutospacing="0" w:after="0" w:afterAutospacing="0"/>
        <w:jc w:val="both"/>
      </w:pPr>
      <w:r w:rsidRPr="00E10446">
        <w:t xml:space="preserve">Sy, S. A. (2022a). Energy poverty in developing countries: A review of concepts and </w:t>
      </w:r>
      <w:r w:rsidRPr="00E10446">
        <w:tab/>
        <w:t xml:space="preserve">measurements. </w:t>
      </w:r>
      <w:r w:rsidRPr="00E10446">
        <w:rPr>
          <w:i/>
          <w:iCs/>
        </w:rPr>
        <w:t>Energy Research &amp; Social Science</w:t>
      </w:r>
      <w:r w:rsidRPr="00E10446">
        <w:t xml:space="preserve">, 89, 102562. </w:t>
      </w:r>
      <w:r w:rsidRPr="00E10446">
        <w:tab/>
      </w:r>
      <w:hyperlink r:id="rId50" w:history="1">
        <w:r w:rsidRPr="00E10446">
          <w:rPr>
            <w:rStyle w:val="Hyperlink"/>
          </w:rPr>
          <w:t>https://doi.org/10.1016/j.erss.2022.102562</w:t>
        </w:r>
      </w:hyperlink>
      <w:r w:rsidRPr="00E10446">
        <w:t xml:space="preserve">  </w:t>
      </w:r>
    </w:p>
    <w:p w14:paraId="01EC0542" w14:textId="77777777" w:rsidR="002332A3" w:rsidRDefault="002332A3" w:rsidP="00614E81">
      <w:pPr>
        <w:pStyle w:val="NormalWeb"/>
        <w:numPr>
          <w:ilvl w:val="0"/>
          <w:numId w:val="4"/>
        </w:numPr>
        <w:spacing w:before="0" w:beforeAutospacing="0" w:after="0" w:afterAutospacing="0"/>
        <w:jc w:val="both"/>
      </w:pPr>
      <w:proofErr w:type="spellStart"/>
      <w:r w:rsidRPr="002332A3">
        <w:t>Touray</w:t>
      </w:r>
      <w:proofErr w:type="spellEnd"/>
      <w:r w:rsidRPr="002332A3">
        <w:t xml:space="preserve">, A., &amp; Hao, Y. (2025). Bridging the energy gap: Macro-drivers of access-based energy </w:t>
      </w:r>
      <w:r>
        <w:tab/>
      </w:r>
      <w:r w:rsidRPr="002332A3">
        <w:t>poverty in West Africa. </w:t>
      </w:r>
      <w:r w:rsidRPr="002332A3">
        <w:rPr>
          <w:i/>
          <w:iCs/>
        </w:rPr>
        <w:t>Energy Economics</w:t>
      </w:r>
      <w:r w:rsidRPr="002332A3">
        <w:t xml:space="preserve">, 148, Article </w:t>
      </w:r>
      <w:r>
        <w:tab/>
      </w:r>
      <w:r w:rsidRPr="002332A3">
        <w:t>108707. </w:t>
      </w:r>
      <w:hyperlink r:id="rId51" w:tgtFrame="_blank" w:history="1">
        <w:r w:rsidRPr="002332A3">
          <w:rPr>
            <w:rStyle w:val="Hyperlink"/>
          </w:rPr>
          <w:t>https://doi.org/10.1016/j.eneco.2025.108707</w:t>
        </w:r>
      </w:hyperlink>
    </w:p>
    <w:p w14:paraId="32C528F2" w14:textId="77777777" w:rsidR="00A45833" w:rsidRDefault="002332A3" w:rsidP="00614E81">
      <w:pPr>
        <w:pStyle w:val="NormalWeb"/>
        <w:numPr>
          <w:ilvl w:val="0"/>
          <w:numId w:val="4"/>
        </w:numPr>
        <w:spacing w:before="0" w:beforeAutospacing="0" w:after="0" w:afterAutospacing="0"/>
        <w:jc w:val="both"/>
      </w:pPr>
      <w:r w:rsidRPr="002332A3">
        <w:t xml:space="preserve">Tshabalala, T., Davies, M., &amp; </w:t>
      </w:r>
      <w:proofErr w:type="spellStart"/>
      <w:r w:rsidRPr="002332A3">
        <w:t>Mohlakoana</w:t>
      </w:r>
      <w:proofErr w:type="spellEnd"/>
      <w:r w:rsidRPr="002332A3">
        <w:t xml:space="preserve">, N. (2025). Contextualising a multi-dimensional </w:t>
      </w:r>
      <w:r>
        <w:tab/>
      </w:r>
      <w:r w:rsidRPr="002332A3">
        <w:t xml:space="preserve">perspective on energy poverty in South Africa: A systematic literature </w:t>
      </w:r>
      <w:r>
        <w:lastRenderedPageBreak/>
        <w:tab/>
      </w:r>
      <w:r w:rsidRPr="002332A3">
        <w:t>review. </w:t>
      </w:r>
      <w:r w:rsidRPr="002332A3">
        <w:rPr>
          <w:i/>
          <w:iCs/>
        </w:rPr>
        <w:t>Environmental Research: Energy</w:t>
      </w:r>
      <w:r w:rsidRPr="002332A3">
        <w:t>, 2, 015010. </w:t>
      </w:r>
      <w:hyperlink r:id="rId52" w:history="1">
        <w:r w:rsidRPr="002332A3">
          <w:rPr>
            <w:rStyle w:val="Hyperlink"/>
          </w:rPr>
          <w:t>https://doi.org/10.1088/2753-</w:t>
        </w:r>
        <w:r w:rsidRPr="002332A3">
          <w:rPr>
            <w:rStyle w:val="Hyperlink"/>
            <w:u w:val="none"/>
          </w:rPr>
          <w:tab/>
        </w:r>
        <w:r w:rsidRPr="002332A3">
          <w:rPr>
            <w:rStyle w:val="Hyperlink"/>
          </w:rPr>
          <w:t>3751/adb491</w:t>
        </w:r>
      </w:hyperlink>
    </w:p>
    <w:p w14:paraId="53CCE4CF" w14:textId="2ECC7623" w:rsidR="00A45833" w:rsidRPr="00E10446" w:rsidRDefault="00A45833" w:rsidP="00614E81">
      <w:pPr>
        <w:pStyle w:val="NormalWeb"/>
        <w:numPr>
          <w:ilvl w:val="0"/>
          <w:numId w:val="4"/>
        </w:numPr>
        <w:spacing w:before="0" w:beforeAutospacing="0" w:after="0" w:afterAutospacing="0"/>
        <w:jc w:val="both"/>
      </w:pPr>
      <w:proofErr w:type="spellStart"/>
      <w:r w:rsidRPr="00A45833">
        <w:t>Türüç-Seraj</w:t>
      </w:r>
      <w:proofErr w:type="spellEnd"/>
      <w:r w:rsidRPr="00A45833">
        <w:t xml:space="preserve">, F., et al. (2025). The role of human capital and energy transition in economic </w:t>
      </w:r>
      <w:r>
        <w:tab/>
      </w:r>
      <w:r w:rsidRPr="00A45833">
        <w:t>growth: Evidence from Sub-Saharan African countries. </w:t>
      </w:r>
      <w:r w:rsidRPr="00A45833">
        <w:rPr>
          <w:i/>
          <w:iCs/>
        </w:rPr>
        <w:t>Sustainability</w:t>
      </w:r>
      <w:r w:rsidRPr="00A45833">
        <w:t>, 17</w:t>
      </w:r>
      <w:r>
        <w:t xml:space="preserve"> </w:t>
      </w:r>
      <w:r w:rsidRPr="00A45833">
        <w:t xml:space="preserve">(11), </w:t>
      </w:r>
      <w:r>
        <w:tab/>
      </w:r>
      <w:r w:rsidRPr="00A45833">
        <w:t>Article 4889. </w:t>
      </w:r>
      <w:hyperlink r:id="rId53" w:tgtFrame="_blank" w:history="1">
        <w:r w:rsidRPr="00A45833">
          <w:rPr>
            <w:rStyle w:val="Hyperlink"/>
          </w:rPr>
          <w:t>https://doi.org/10.3390/su17114889</w:t>
        </w:r>
      </w:hyperlink>
    </w:p>
    <w:p w14:paraId="623D3B8A" w14:textId="3DB83226" w:rsidR="005801C8" w:rsidRPr="00E10446" w:rsidRDefault="002326DC" w:rsidP="00614E81">
      <w:pPr>
        <w:pStyle w:val="NormalWeb"/>
        <w:numPr>
          <w:ilvl w:val="0"/>
          <w:numId w:val="4"/>
        </w:numPr>
        <w:spacing w:before="0" w:beforeAutospacing="0" w:after="0" w:afterAutospacing="0"/>
        <w:jc w:val="both"/>
      </w:pPr>
      <w:r w:rsidRPr="00E10446">
        <w:t xml:space="preserve">Zainudin, N. (2025). What is energy poverty? A concept analysis. </w:t>
      </w:r>
      <w:r w:rsidRPr="00E10446">
        <w:rPr>
          <w:i/>
          <w:iCs/>
        </w:rPr>
        <w:t xml:space="preserve">International Journal of </w:t>
      </w:r>
      <w:r w:rsidRPr="00E10446">
        <w:rPr>
          <w:i/>
          <w:iCs/>
        </w:rPr>
        <w:tab/>
        <w:t>Academic Research in Business and Social Sciences</w:t>
      </w:r>
      <w:r w:rsidRPr="00E10446">
        <w:t xml:space="preserve">, 15(1), 45-58. </w:t>
      </w:r>
      <w:r w:rsidRPr="00E10446">
        <w:tab/>
      </w:r>
      <w:hyperlink r:id="rId54" w:history="1">
        <w:r w:rsidRPr="00E10446">
          <w:rPr>
            <w:rStyle w:val="Hyperlink"/>
          </w:rPr>
          <w:t>https://doi.org/10.6007/IJARBSS/v15-i1/20123</w:t>
        </w:r>
      </w:hyperlink>
      <w:r w:rsidRPr="00E10446">
        <w:t xml:space="preserve">  </w:t>
      </w:r>
    </w:p>
    <w:p w14:paraId="62220C40" w14:textId="7F0A4A6B" w:rsidR="005801C8" w:rsidRDefault="002326DC" w:rsidP="00614E81">
      <w:pPr>
        <w:pStyle w:val="NormalWeb"/>
        <w:numPr>
          <w:ilvl w:val="0"/>
          <w:numId w:val="4"/>
        </w:numPr>
        <w:spacing w:before="0" w:beforeAutospacing="0" w:after="0" w:afterAutospacing="0"/>
        <w:jc w:val="both"/>
      </w:pPr>
      <w:r w:rsidRPr="00E10446">
        <w:t xml:space="preserve">World Bank. (2023). </w:t>
      </w:r>
      <w:r w:rsidRPr="00E10446">
        <w:rPr>
          <w:rStyle w:val="Emphasis"/>
        </w:rPr>
        <w:t>World Development Indicators</w:t>
      </w:r>
      <w:r w:rsidRPr="00E10446">
        <w:t>. Washington, DC: World Bank.</w:t>
      </w:r>
      <w:r w:rsidR="00FE5F9B">
        <w:t xml:space="preserve"> </w:t>
      </w:r>
      <w:r w:rsidR="00FE5F9B">
        <w:tab/>
      </w:r>
      <w:hyperlink r:id="rId55" w:history="1">
        <w:r w:rsidR="00756F24" w:rsidRPr="00946117">
          <w:rPr>
            <w:rStyle w:val="Hyperlink"/>
          </w:rPr>
          <w:t>https://databank.worldbank.org/source/world-development-indicators</w:t>
        </w:r>
      </w:hyperlink>
      <w:r w:rsidR="00FE5F9B">
        <w:t xml:space="preserve"> </w:t>
      </w:r>
    </w:p>
    <w:p w14:paraId="6CB9C453" w14:textId="77777777" w:rsidR="005801C8" w:rsidRDefault="005801C8">
      <w:pPr>
        <w:spacing w:before="100" w:beforeAutospacing="1" w:after="100" w:afterAutospacing="1" w:line="240" w:lineRule="auto"/>
        <w:rPr>
          <w:rFonts w:ascii="Times New Roman" w:eastAsia="Times New Roman" w:hAnsi="Times New Roman" w:cs="Times New Roman"/>
          <w:sz w:val="24"/>
          <w:szCs w:val="24"/>
          <w:lang w:eastAsia="en-GB"/>
        </w:rPr>
      </w:pPr>
    </w:p>
    <w:bookmarkEnd w:id="4"/>
    <w:p w14:paraId="2DAD900D" w14:textId="77777777" w:rsidR="005801C8" w:rsidRDefault="005801C8">
      <w:pPr>
        <w:jc w:val="both"/>
        <w:rPr>
          <w:rFonts w:ascii="Times New Roman" w:hAnsi="Times New Roman" w:cs="Times New Roman"/>
          <w:sz w:val="24"/>
          <w:szCs w:val="24"/>
        </w:rPr>
      </w:pPr>
    </w:p>
    <w:sectPr w:rsidR="005801C8">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84C9" w14:textId="77777777" w:rsidR="009B6570" w:rsidRDefault="009B6570">
      <w:pPr>
        <w:spacing w:after="0" w:line="240" w:lineRule="auto"/>
      </w:pPr>
      <w:r>
        <w:separator/>
      </w:r>
    </w:p>
  </w:endnote>
  <w:endnote w:type="continuationSeparator" w:id="0">
    <w:p w14:paraId="0079148B" w14:textId="77777777" w:rsidR="009B6570" w:rsidRDefault="009B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85D69" w14:textId="77777777" w:rsidR="00D730B7" w:rsidRDefault="00D73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A895" w14:textId="77777777" w:rsidR="005801C8" w:rsidRDefault="002326DC">
    <w:pPr>
      <w:pStyle w:val="Footer"/>
      <w:jc w:val="center"/>
    </w:pPr>
    <w:r>
      <w:fldChar w:fldCharType="begin"/>
    </w:r>
    <w:r>
      <w:instrText xml:space="preserve"> PAGE   \* MERGEFORMAT </w:instrText>
    </w:r>
    <w:r>
      <w:fldChar w:fldCharType="separate"/>
    </w:r>
    <w:r>
      <w:rPr>
        <w:noProof/>
      </w:rPr>
      <w:t>2</w:t>
    </w:r>
    <w:r>
      <w:rPr>
        <w:noProof/>
      </w:rPr>
      <w:fldChar w:fldCharType="end"/>
    </w:r>
  </w:p>
  <w:p w14:paraId="25AA3658" w14:textId="77777777" w:rsidR="005801C8" w:rsidRDefault="00580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BBCD4" w14:textId="77777777" w:rsidR="00D730B7" w:rsidRDefault="00D73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A28FB" w14:textId="77777777" w:rsidR="009B6570" w:rsidRDefault="009B6570">
      <w:pPr>
        <w:spacing w:after="0" w:line="240" w:lineRule="auto"/>
      </w:pPr>
      <w:r>
        <w:separator/>
      </w:r>
    </w:p>
  </w:footnote>
  <w:footnote w:type="continuationSeparator" w:id="0">
    <w:p w14:paraId="4A810910" w14:textId="77777777" w:rsidR="009B6570" w:rsidRDefault="009B6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C14A" w14:textId="1DF2371E" w:rsidR="00D730B7" w:rsidRDefault="009B6570">
    <w:pPr>
      <w:pStyle w:val="Header"/>
    </w:pPr>
    <w:r>
      <w:rPr>
        <w:noProof/>
      </w:rPr>
      <w:pict w14:anchorId="055B6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30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E321F" w14:textId="6735537C" w:rsidR="00D730B7" w:rsidRDefault="009B6570">
    <w:pPr>
      <w:pStyle w:val="Header"/>
    </w:pPr>
    <w:r>
      <w:rPr>
        <w:noProof/>
      </w:rPr>
      <w:pict w14:anchorId="108F5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30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B714" w14:textId="47A82AAC" w:rsidR="00D730B7" w:rsidRDefault="009B6570">
    <w:pPr>
      <w:pStyle w:val="Header"/>
    </w:pPr>
    <w:r>
      <w:rPr>
        <w:noProof/>
      </w:rPr>
      <w:pict w14:anchorId="529C0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930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4E214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2AA3C57"/>
    <w:multiLevelType w:val="hybridMultilevel"/>
    <w:tmpl w:val="159C7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132F7"/>
    <w:multiLevelType w:val="hybridMultilevel"/>
    <w:tmpl w:val="F90C0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75A2E"/>
    <w:multiLevelType w:val="multilevel"/>
    <w:tmpl w:val="5330AE04"/>
    <w:lvl w:ilvl="0">
      <w:start w:val="1"/>
      <w:numFmt w:val="decimal"/>
      <w:lvlText w:val="%1."/>
      <w:lvlJc w:val="left"/>
      <w:pPr>
        <w:ind w:left="5179"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C8"/>
    <w:rsid w:val="00003A7C"/>
    <w:rsid w:val="00010B97"/>
    <w:rsid w:val="00016310"/>
    <w:rsid w:val="0002205B"/>
    <w:rsid w:val="00024022"/>
    <w:rsid w:val="00024A0C"/>
    <w:rsid w:val="000259CB"/>
    <w:rsid w:val="000529DA"/>
    <w:rsid w:val="0005491A"/>
    <w:rsid w:val="00055C16"/>
    <w:rsid w:val="000642BA"/>
    <w:rsid w:val="00076A8B"/>
    <w:rsid w:val="00080B54"/>
    <w:rsid w:val="00084F93"/>
    <w:rsid w:val="0008572F"/>
    <w:rsid w:val="000F67EB"/>
    <w:rsid w:val="001112EC"/>
    <w:rsid w:val="00123FA8"/>
    <w:rsid w:val="00134648"/>
    <w:rsid w:val="00134981"/>
    <w:rsid w:val="0014240F"/>
    <w:rsid w:val="001700F9"/>
    <w:rsid w:val="00191CBB"/>
    <w:rsid w:val="001B1AB5"/>
    <w:rsid w:val="001C41B9"/>
    <w:rsid w:val="001D05D8"/>
    <w:rsid w:val="001D5522"/>
    <w:rsid w:val="001E67B6"/>
    <w:rsid w:val="00204D8E"/>
    <w:rsid w:val="002145B1"/>
    <w:rsid w:val="00215B58"/>
    <w:rsid w:val="00221FBE"/>
    <w:rsid w:val="002326DC"/>
    <w:rsid w:val="002332A3"/>
    <w:rsid w:val="00236CFB"/>
    <w:rsid w:val="002608B2"/>
    <w:rsid w:val="00266818"/>
    <w:rsid w:val="0027110D"/>
    <w:rsid w:val="00276472"/>
    <w:rsid w:val="00290946"/>
    <w:rsid w:val="002B19C5"/>
    <w:rsid w:val="002B306C"/>
    <w:rsid w:val="002C1AB0"/>
    <w:rsid w:val="002D3A1B"/>
    <w:rsid w:val="002F6F37"/>
    <w:rsid w:val="00300998"/>
    <w:rsid w:val="00321A95"/>
    <w:rsid w:val="0033053C"/>
    <w:rsid w:val="00357218"/>
    <w:rsid w:val="003640FA"/>
    <w:rsid w:val="00370497"/>
    <w:rsid w:val="00370F01"/>
    <w:rsid w:val="00372FA1"/>
    <w:rsid w:val="00376BA6"/>
    <w:rsid w:val="003817DC"/>
    <w:rsid w:val="003847FF"/>
    <w:rsid w:val="00390782"/>
    <w:rsid w:val="00392BCC"/>
    <w:rsid w:val="003938FE"/>
    <w:rsid w:val="003968C7"/>
    <w:rsid w:val="003C3EEC"/>
    <w:rsid w:val="003D36FF"/>
    <w:rsid w:val="003D6AFC"/>
    <w:rsid w:val="003D7B53"/>
    <w:rsid w:val="003F33AD"/>
    <w:rsid w:val="004124B0"/>
    <w:rsid w:val="00415FBC"/>
    <w:rsid w:val="004372D6"/>
    <w:rsid w:val="0044429B"/>
    <w:rsid w:val="00447A83"/>
    <w:rsid w:val="00454677"/>
    <w:rsid w:val="0049475F"/>
    <w:rsid w:val="004C79EC"/>
    <w:rsid w:val="004E4A21"/>
    <w:rsid w:val="004F0753"/>
    <w:rsid w:val="005020A5"/>
    <w:rsid w:val="00502A3A"/>
    <w:rsid w:val="00512F3F"/>
    <w:rsid w:val="00524D4B"/>
    <w:rsid w:val="00525801"/>
    <w:rsid w:val="00556788"/>
    <w:rsid w:val="00572BE6"/>
    <w:rsid w:val="00572ED5"/>
    <w:rsid w:val="005801C8"/>
    <w:rsid w:val="0058360D"/>
    <w:rsid w:val="00586083"/>
    <w:rsid w:val="005A3399"/>
    <w:rsid w:val="005A3B4D"/>
    <w:rsid w:val="005C5392"/>
    <w:rsid w:val="005D4B7B"/>
    <w:rsid w:val="005D4D09"/>
    <w:rsid w:val="005E0F37"/>
    <w:rsid w:val="005E49BB"/>
    <w:rsid w:val="005E5894"/>
    <w:rsid w:val="005E6DAD"/>
    <w:rsid w:val="005F62CF"/>
    <w:rsid w:val="0060318A"/>
    <w:rsid w:val="0060541B"/>
    <w:rsid w:val="00614E81"/>
    <w:rsid w:val="00615251"/>
    <w:rsid w:val="00625E5D"/>
    <w:rsid w:val="00662C3E"/>
    <w:rsid w:val="006735FA"/>
    <w:rsid w:val="0067685A"/>
    <w:rsid w:val="006A7DED"/>
    <w:rsid w:val="006C644A"/>
    <w:rsid w:val="006C6C49"/>
    <w:rsid w:val="00726ED6"/>
    <w:rsid w:val="00741344"/>
    <w:rsid w:val="007468BD"/>
    <w:rsid w:val="00750726"/>
    <w:rsid w:val="00756F24"/>
    <w:rsid w:val="0076747D"/>
    <w:rsid w:val="00773B6B"/>
    <w:rsid w:val="0078403D"/>
    <w:rsid w:val="00793C1B"/>
    <w:rsid w:val="0079759B"/>
    <w:rsid w:val="007B0F6A"/>
    <w:rsid w:val="007C79AB"/>
    <w:rsid w:val="007E23F0"/>
    <w:rsid w:val="007E7AE3"/>
    <w:rsid w:val="007F31DF"/>
    <w:rsid w:val="007F3705"/>
    <w:rsid w:val="007F4E5D"/>
    <w:rsid w:val="00800352"/>
    <w:rsid w:val="0084499A"/>
    <w:rsid w:val="00855A6C"/>
    <w:rsid w:val="00873C72"/>
    <w:rsid w:val="008904BC"/>
    <w:rsid w:val="008B0ACB"/>
    <w:rsid w:val="008B60B4"/>
    <w:rsid w:val="008B7F18"/>
    <w:rsid w:val="008D337A"/>
    <w:rsid w:val="008D59FE"/>
    <w:rsid w:val="008F7768"/>
    <w:rsid w:val="00900BB3"/>
    <w:rsid w:val="0090787E"/>
    <w:rsid w:val="00915203"/>
    <w:rsid w:val="00936704"/>
    <w:rsid w:val="009410E1"/>
    <w:rsid w:val="009538B9"/>
    <w:rsid w:val="00976AA0"/>
    <w:rsid w:val="009B6570"/>
    <w:rsid w:val="009C393E"/>
    <w:rsid w:val="009C7A51"/>
    <w:rsid w:val="00A00F8D"/>
    <w:rsid w:val="00A1492F"/>
    <w:rsid w:val="00A26924"/>
    <w:rsid w:val="00A4368E"/>
    <w:rsid w:val="00A447D5"/>
    <w:rsid w:val="00A45833"/>
    <w:rsid w:val="00A50769"/>
    <w:rsid w:val="00A55471"/>
    <w:rsid w:val="00A60C6D"/>
    <w:rsid w:val="00A7758E"/>
    <w:rsid w:val="00A80114"/>
    <w:rsid w:val="00AB299A"/>
    <w:rsid w:val="00AB41F3"/>
    <w:rsid w:val="00AC2536"/>
    <w:rsid w:val="00AD7170"/>
    <w:rsid w:val="00AF0C0D"/>
    <w:rsid w:val="00AF592F"/>
    <w:rsid w:val="00B02DDD"/>
    <w:rsid w:val="00B12516"/>
    <w:rsid w:val="00B12A30"/>
    <w:rsid w:val="00B27652"/>
    <w:rsid w:val="00B42FE9"/>
    <w:rsid w:val="00B63554"/>
    <w:rsid w:val="00B65383"/>
    <w:rsid w:val="00B71FC2"/>
    <w:rsid w:val="00B75FB3"/>
    <w:rsid w:val="00BA1823"/>
    <w:rsid w:val="00BB0EA2"/>
    <w:rsid w:val="00BB5AAA"/>
    <w:rsid w:val="00BD17E0"/>
    <w:rsid w:val="00BD7307"/>
    <w:rsid w:val="00BE6D65"/>
    <w:rsid w:val="00BE7616"/>
    <w:rsid w:val="00C04ED5"/>
    <w:rsid w:val="00C147CB"/>
    <w:rsid w:val="00C23885"/>
    <w:rsid w:val="00C403E1"/>
    <w:rsid w:val="00C41E01"/>
    <w:rsid w:val="00C616E9"/>
    <w:rsid w:val="00C71CA0"/>
    <w:rsid w:val="00C81BDF"/>
    <w:rsid w:val="00CA79BF"/>
    <w:rsid w:val="00CB159B"/>
    <w:rsid w:val="00CC2757"/>
    <w:rsid w:val="00CE4399"/>
    <w:rsid w:val="00D03FD0"/>
    <w:rsid w:val="00D41D38"/>
    <w:rsid w:val="00D4611A"/>
    <w:rsid w:val="00D54E46"/>
    <w:rsid w:val="00D56547"/>
    <w:rsid w:val="00D730B7"/>
    <w:rsid w:val="00D8383D"/>
    <w:rsid w:val="00D92E57"/>
    <w:rsid w:val="00D93A23"/>
    <w:rsid w:val="00D945DE"/>
    <w:rsid w:val="00D96543"/>
    <w:rsid w:val="00D96C90"/>
    <w:rsid w:val="00DA4194"/>
    <w:rsid w:val="00DA5CB2"/>
    <w:rsid w:val="00DB5AA5"/>
    <w:rsid w:val="00DB7618"/>
    <w:rsid w:val="00DC1033"/>
    <w:rsid w:val="00DC2D78"/>
    <w:rsid w:val="00DD3684"/>
    <w:rsid w:val="00DD4662"/>
    <w:rsid w:val="00DD6D60"/>
    <w:rsid w:val="00DF598E"/>
    <w:rsid w:val="00E003FF"/>
    <w:rsid w:val="00E10446"/>
    <w:rsid w:val="00E175B1"/>
    <w:rsid w:val="00E34F1A"/>
    <w:rsid w:val="00E3629F"/>
    <w:rsid w:val="00E409F3"/>
    <w:rsid w:val="00E47271"/>
    <w:rsid w:val="00E6733A"/>
    <w:rsid w:val="00E67DD1"/>
    <w:rsid w:val="00E956A0"/>
    <w:rsid w:val="00EA7BFC"/>
    <w:rsid w:val="00EB04F2"/>
    <w:rsid w:val="00EC206B"/>
    <w:rsid w:val="00ED0D65"/>
    <w:rsid w:val="00EE4935"/>
    <w:rsid w:val="00EF510E"/>
    <w:rsid w:val="00F03BE4"/>
    <w:rsid w:val="00F628B5"/>
    <w:rsid w:val="00FA15BB"/>
    <w:rsid w:val="00FA351F"/>
    <w:rsid w:val="00FA5183"/>
    <w:rsid w:val="00FA6A57"/>
    <w:rsid w:val="00FC4A46"/>
    <w:rsid w:val="00FD1D83"/>
    <w:rsid w:val="00FD34AE"/>
    <w:rsid w:val="00FE5F9B"/>
    <w:rsid w:val="00FF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255B02"/>
  <w15:docId w15:val="{A22D947F-B21C-4A79-86D4-2E029CB5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punct">
    <w:name w:val="mpunct"/>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paragraph" w:customStyle="1" w:styleId="break-words">
    <w:name w:val="break-words"/>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op">
    <w:name w:val="mop"/>
    <w:basedOn w:val="DefaultParagraphFont"/>
  </w:style>
  <w:style w:type="character" w:customStyle="1" w:styleId="mopen">
    <w:name w:val="mopen"/>
    <w:basedOn w:val="DefaultParagraphFont"/>
  </w:style>
  <w:style w:type="character" w:customStyle="1" w:styleId="mclose">
    <w:name w:val="mclose"/>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table" w:styleId="PlainTable2">
    <w:name w:val="Plain Table 2"/>
    <w:basedOn w:val="TableNormal"/>
    <w:uiPriority w:val="42"/>
    <w:rsid w:val="00525801"/>
    <w:pPr>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4499A"/>
    <w:rPr>
      <w:color w:val="605E5C"/>
      <w:shd w:val="clear" w:color="auto" w:fill="E1DFDD"/>
    </w:rPr>
  </w:style>
  <w:style w:type="paragraph" w:styleId="NoSpacing">
    <w:name w:val="No Spacing"/>
    <w:uiPriority w:val="1"/>
    <w:qFormat/>
    <w:rsid w:val="00A55471"/>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6101">
      <w:bodyDiv w:val="1"/>
      <w:marLeft w:val="0"/>
      <w:marRight w:val="0"/>
      <w:marTop w:val="0"/>
      <w:marBottom w:val="0"/>
      <w:divBdr>
        <w:top w:val="none" w:sz="0" w:space="0" w:color="auto"/>
        <w:left w:val="none" w:sz="0" w:space="0" w:color="auto"/>
        <w:bottom w:val="none" w:sz="0" w:space="0" w:color="auto"/>
        <w:right w:val="none" w:sz="0" w:space="0" w:color="auto"/>
      </w:divBdr>
    </w:div>
    <w:div w:id="654916263">
      <w:bodyDiv w:val="1"/>
      <w:marLeft w:val="0"/>
      <w:marRight w:val="0"/>
      <w:marTop w:val="0"/>
      <w:marBottom w:val="0"/>
      <w:divBdr>
        <w:top w:val="none" w:sz="0" w:space="0" w:color="auto"/>
        <w:left w:val="none" w:sz="0" w:space="0" w:color="auto"/>
        <w:bottom w:val="none" w:sz="0" w:space="0" w:color="auto"/>
        <w:right w:val="none" w:sz="0" w:space="0" w:color="auto"/>
      </w:divBdr>
    </w:div>
    <w:div w:id="828904671">
      <w:bodyDiv w:val="1"/>
      <w:marLeft w:val="0"/>
      <w:marRight w:val="0"/>
      <w:marTop w:val="0"/>
      <w:marBottom w:val="0"/>
      <w:divBdr>
        <w:top w:val="none" w:sz="0" w:space="0" w:color="auto"/>
        <w:left w:val="none" w:sz="0" w:space="0" w:color="auto"/>
        <w:bottom w:val="none" w:sz="0" w:space="0" w:color="auto"/>
        <w:right w:val="none" w:sz="0" w:space="0" w:color="auto"/>
      </w:divBdr>
    </w:div>
    <w:div w:id="964046542">
      <w:bodyDiv w:val="1"/>
      <w:marLeft w:val="0"/>
      <w:marRight w:val="0"/>
      <w:marTop w:val="0"/>
      <w:marBottom w:val="0"/>
      <w:divBdr>
        <w:top w:val="none" w:sz="0" w:space="0" w:color="auto"/>
        <w:left w:val="none" w:sz="0" w:space="0" w:color="auto"/>
        <w:bottom w:val="none" w:sz="0" w:space="0" w:color="auto"/>
        <w:right w:val="none" w:sz="0" w:space="0" w:color="auto"/>
      </w:divBdr>
    </w:div>
    <w:div w:id="1066995198">
      <w:bodyDiv w:val="1"/>
      <w:marLeft w:val="0"/>
      <w:marRight w:val="0"/>
      <w:marTop w:val="0"/>
      <w:marBottom w:val="0"/>
      <w:divBdr>
        <w:top w:val="none" w:sz="0" w:space="0" w:color="auto"/>
        <w:left w:val="none" w:sz="0" w:space="0" w:color="auto"/>
        <w:bottom w:val="none" w:sz="0" w:space="0" w:color="auto"/>
        <w:right w:val="none" w:sz="0" w:space="0" w:color="auto"/>
      </w:divBdr>
    </w:div>
    <w:div w:id="1198082029">
      <w:bodyDiv w:val="1"/>
      <w:marLeft w:val="0"/>
      <w:marRight w:val="0"/>
      <w:marTop w:val="0"/>
      <w:marBottom w:val="0"/>
      <w:divBdr>
        <w:top w:val="none" w:sz="0" w:space="0" w:color="auto"/>
        <w:left w:val="none" w:sz="0" w:space="0" w:color="auto"/>
        <w:bottom w:val="none" w:sz="0" w:space="0" w:color="auto"/>
        <w:right w:val="none" w:sz="0" w:space="0" w:color="auto"/>
      </w:divBdr>
    </w:div>
    <w:div w:id="1444689113">
      <w:bodyDiv w:val="1"/>
      <w:marLeft w:val="0"/>
      <w:marRight w:val="0"/>
      <w:marTop w:val="0"/>
      <w:marBottom w:val="0"/>
      <w:divBdr>
        <w:top w:val="none" w:sz="0" w:space="0" w:color="auto"/>
        <w:left w:val="none" w:sz="0" w:space="0" w:color="auto"/>
        <w:bottom w:val="none" w:sz="0" w:space="0" w:color="auto"/>
        <w:right w:val="none" w:sz="0" w:space="0" w:color="auto"/>
      </w:divBdr>
    </w:div>
    <w:div w:id="2057124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eco.2015.03.027" TargetMode="External"/><Relationship Id="rId18" Type="http://schemas.openxmlformats.org/officeDocument/2006/relationships/hyperlink" Target="https://doi.org/10.1016/j.eneco.2010.07.004" TargetMode="External"/><Relationship Id="rId26" Type="http://schemas.openxmlformats.org/officeDocument/2006/relationships/hyperlink" Target="https://doi.org/10.1016/j.esd.2022.12.003" TargetMode="External"/><Relationship Id="rId39" Type="http://schemas.openxmlformats.org/officeDocument/2006/relationships/hyperlink" Target="https://doi.org/10.1016/j.jeconom.2019.04.009" TargetMode="External"/><Relationship Id="rId21" Type="http://schemas.openxmlformats.org/officeDocument/2006/relationships/hyperlink" Target="https://doi.org/10.1016/j.esr.2025.101840" TargetMode="External"/><Relationship Id="rId34" Type="http://schemas.openxmlformats.org/officeDocument/2006/relationships/hyperlink" Target="https://www.cgdev.org/sites/default/files/electricity-situation-ghana-challenges-and-%09opportunities.pdf" TargetMode="External"/><Relationship Id="rId42" Type="http://schemas.openxmlformats.org/officeDocument/2006/relationships/hyperlink" Target="https://doi.org/10.1016/j.eneco.2025.108707" TargetMode="External"/><Relationship Id="rId47" Type="http://schemas.openxmlformats.org/officeDocument/2006/relationships/hyperlink" Target="https://doi.org/10.3390/su13126789" TargetMode="External"/><Relationship Id="rId50" Type="http://schemas.openxmlformats.org/officeDocument/2006/relationships/hyperlink" Target="https://doi.org/10.1016/j.erss.2022.102562" TargetMode="External"/><Relationship Id="rId55" Type="http://schemas.openxmlformats.org/officeDocument/2006/relationships/hyperlink" Target="https://databank.worldbank.org/source/world-development-indicators" TargetMode="External"/><Relationship Id="rId63"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worlddev.2014.01.026" TargetMode="External"/><Relationship Id="rId29" Type="http://schemas.openxmlformats.org/officeDocument/2006/relationships/hyperlink" Target="https://doi.org/10.3389/fenvs.2025.1696193" TargetMode="External"/><Relationship Id="rId11" Type="http://schemas.openxmlformats.org/officeDocument/2006/relationships/hyperlink" Target="https://doi.org/10.1108/JFRA-04-2025-0299" TargetMode="External"/><Relationship Id="rId24" Type="http://schemas.openxmlformats.org/officeDocument/2006/relationships/hyperlink" Target="https://doi.org/10.1016/j.eneco.2009.10.004" TargetMode="External"/><Relationship Id="rId32" Type="http://schemas.openxmlformats.org/officeDocument/2006/relationships/hyperlink" Target="https://doi.org/10.1017/CBO9780511754098" TargetMode="External"/><Relationship Id="rId37" Type="http://schemas.openxmlformats.org/officeDocument/2006/relationships/hyperlink" Target="https://doi.org/10.1002/9781119482260" TargetMode="External"/><Relationship Id="rId40" Type="http://schemas.openxmlformats.org/officeDocument/2006/relationships/hyperlink" Target="https://doi.org/10.3390/en18071851" TargetMode="External"/><Relationship Id="rId45" Type="http://schemas.openxmlformats.org/officeDocument/2006/relationships/hyperlink" Target="https://doi.org/10.1016/j.rser.2014.03.019" TargetMode="External"/><Relationship Id="rId53" Type="http://schemas.openxmlformats.org/officeDocument/2006/relationships/hyperlink" Target="https://doi.org/10.3390/su17114889"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doi.org/10.1016/j.eneco.2010.07.004" TargetMode="External"/><Relationship Id="rId14" Type="http://schemas.openxmlformats.org/officeDocument/2006/relationships/hyperlink" Target="https://doi.org/10.1080/13504509.2023.2301373" TargetMode="External"/><Relationship Id="rId22" Type="http://schemas.openxmlformats.org/officeDocument/2006/relationships/hyperlink" Target="https://doi.org/10.1007/978-3-030-53953-5" TargetMode="External"/><Relationship Id="rId27" Type="http://schemas.openxmlformats.org/officeDocument/2006/relationships/hyperlink" Target="https://doi.org/10.1093/ooenergy/oiae019" TargetMode="External"/><Relationship Id="rId30" Type="http://schemas.openxmlformats.org/officeDocument/2006/relationships/hyperlink" Target="https://doi.org/10.1016/j.enpol.2025.114500" TargetMode="External"/><Relationship Id="rId35" Type="http://schemas.openxmlformats.org/officeDocument/2006/relationships/hyperlink" Target="https://doi.org/10.1016/j.erss.2024.103664" TargetMode="External"/><Relationship Id="rId43" Type="http://schemas.openxmlformats.org/officeDocument/2006/relationships/hyperlink" Target="https://mpra.ub.uni-muenchen.de/124134/" TargetMode="External"/><Relationship Id="rId48" Type="http://schemas.openxmlformats.org/officeDocument/2006/relationships/hyperlink" Target="https://doi.org/10.1086/261725" TargetMode="External"/><Relationship Id="rId56" Type="http://schemas.openxmlformats.org/officeDocument/2006/relationships/header" Target="header1.xml"/><Relationship Id="rId8" Type="http://schemas.openxmlformats.org/officeDocument/2006/relationships/hyperlink" Target="https://doi.org/10.1016/j.eneco.2018.07.022" TargetMode="External"/><Relationship Id="rId51" Type="http://schemas.openxmlformats.org/officeDocument/2006/relationships/hyperlink" Target="https://doi.org/10.1016/j.eneco.2025.108707" TargetMode="External"/><Relationship Id="rId3" Type="http://schemas.openxmlformats.org/officeDocument/2006/relationships/settings" Target="settings.xml"/><Relationship Id="rId12" Type="http://schemas.openxmlformats.org/officeDocument/2006/relationships/hyperlink" Target="https://doi.org/10.1016/j.eneco.2024.106783" TargetMode="External"/><Relationship Id="rId17" Type="http://schemas.openxmlformats.org/officeDocument/2006/relationships/hyperlink" Target="https://doi.org/10.3390/su17031333" TargetMode="External"/><Relationship Id="rId25" Type="http://schemas.openxmlformats.org/officeDocument/2006/relationships/hyperlink" Target="https://doi.org/10.1007/s11356-023-27005-1" TargetMode="External"/><Relationship Id="rId33" Type="http://schemas.openxmlformats.org/officeDocument/2006/relationships/hyperlink" Target="https://ersawps.org/index.php/working-paper-series/article/view/163" TargetMode="External"/><Relationship Id="rId38" Type="http://schemas.openxmlformats.org/officeDocument/2006/relationships/hyperlink" Target="https://doi.org/10.1016/0304-3932(88)90168-7" TargetMode="External"/><Relationship Id="rId46" Type="http://schemas.openxmlformats.org/officeDocument/2006/relationships/hyperlink" Target="https://doi.org/10.1093/acprof:oso/9780190212766.001.0001" TargetMode="External"/><Relationship Id="rId59" Type="http://schemas.openxmlformats.org/officeDocument/2006/relationships/footer" Target="footer2.xml"/><Relationship Id="rId20" Type="http://schemas.openxmlformats.org/officeDocument/2006/relationships/hyperlink" Target="https://doi.org/10.1016/j.eneco.2010.07.004" TargetMode="External"/><Relationship Id="rId41" Type="http://schemas.openxmlformats.org/officeDocument/2006/relationships/hyperlink" Target="https://doi.org/10.1016/j.erss.2018.05.002" TargetMode="External"/><Relationship Id="rId54" Type="http://schemas.openxmlformats.org/officeDocument/2006/relationships/hyperlink" Target="https://doi.org/10.6007/IJARBSS/v15-i1/2012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energy.2013.09.011" TargetMode="External"/><Relationship Id="rId23" Type="http://schemas.openxmlformats.org/officeDocument/2006/relationships/hyperlink" Target="https://doi.org/10.1016/j.energy.2025.137569" TargetMode="External"/><Relationship Id="rId28" Type="http://schemas.openxmlformats.org/officeDocument/2006/relationships/hyperlink" Target="https://doi.org/10.3390/su17031007" TargetMode="External"/><Relationship Id="rId36" Type="http://schemas.openxmlformats.org/officeDocument/2006/relationships/hyperlink" Target="https://doi.org/10.1016/j.enpol.2020.111557" TargetMode="External"/><Relationship Id="rId49" Type="http://schemas.openxmlformats.org/officeDocument/2006/relationships/hyperlink" Target="https://doi.org/10.1016/j.egyr.2020.02.009" TargetMode="External"/><Relationship Id="rId57" Type="http://schemas.openxmlformats.org/officeDocument/2006/relationships/header" Target="header2.xml"/><Relationship Id="rId10" Type="http://schemas.openxmlformats.org/officeDocument/2006/relationships/hyperlink" Target="https://doi.org/10.1016/j.rser.2015.05.030" TargetMode="External"/><Relationship Id="rId31" Type="http://schemas.openxmlformats.org/officeDocument/2006/relationships/hyperlink" Target="https://doi.org/10.1016/j.enpol.2023.113948" TargetMode="External"/><Relationship Id="rId44" Type="http://schemas.openxmlformats.org/officeDocument/2006/relationships/hyperlink" Target="https://www.cbn.gov.ng/out/2018/sd/pages%20105_139_a376_okwanya%20and%20%09abah.pdf" TargetMode="External"/><Relationship Id="rId52" Type="http://schemas.openxmlformats.org/officeDocument/2006/relationships/hyperlink" Target="https://doi.org/10.1088/2753-%093751/adb491"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j.eneco.2021.10516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sic\OneDrive\Desktop\2026%20working%20folder\2026%20Journal%20Papers\Energy%20consumption%20and%20poverty%20reduction\Energy-poverty%20Pane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Sheet1!$B$1</c:f>
              <c:strCache>
                <c:ptCount val="1"/>
                <c:pt idx="0">
                  <c:v>Year</c:v>
                </c:pt>
              </c:strCache>
            </c:strRef>
          </c:tx>
          <c:spPr>
            <a:solidFill>
              <a:schemeClr val="accent2"/>
            </a:solidFill>
            <a:ln>
              <a:noFill/>
            </a:ln>
            <a:effectLst/>
          </c:spPr>
          <c:invertIfNegative val="0"/>
          <c:val>
            <c:numRef>
              <c:f>Sheet1!$B$2:$B$176</c:f>
              <c:numCache>
                <c:formatCode>General</c:formatCode>
                <c:ptCount val="17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pt idx="35">
                  <c:v>1990</c:v>
                </c:pt>
                <c:pt idx="36">
                  <c:v>1991</c:v>
                </c:pt>
                <c:pt idx="37">
                  <c:v>1992</c:v>
                </c:pt>
                <c:pt idx="38">
                  <c:v>1993</c:v>
                </c:pt>
                <c:pt idx="39">
                  <c:v>1994</c:v>
                </c:pt>
                <c:pt idx="40">
                  <c:v>1995</c:v>
                </c:pt>
                <c:pt idx="41">
                  <c:v>1996</c:v>
                </c:pt>
                <c:pt idx="42">
                  <c:v>1997</c:v>
                </c:pt>
                <c:pt idx="43">
                  <c:v>1998</c:v>
                </c:pt>
                <c:pt idx="44">
                  <c:v>1999</c:v>
                </c:pt>
                <c:pt idx="45">
                  <c:v>2000</c:v>
                </c:pt>
                <c:pt idx="46">
                  <c:v>2001</c:v>
                </c:pt>
                <c:pt idx="47">
                  <c:v>2002</c:v>
                </c:pt>
                <c:pt idx="48">
                  <c:v>2003</c:v>
                </c:pt>
                <c:pt idx="49">
                  <c:v>2004</c:v>
                </c:pt>
                <c:pt idx="50">
                  <c:v>2005</c:v>
                </c:pt>
                <c:pt idx="51">
                  <c:v>2006</c:v>
                </c:pt>
                <c:pt idx="52">
                  <c:v>2007</c:v>
                </c:pt>
                <c:pt idx="53">
                  <c:v>2008</c:v>
                </c:pt>
                <c:pt idx="54">
                  <c:v>2009</c:v>
                </c:pt>
                <c:pt idx="55">
                  <c:v>2010</c:v>
                </c:pt>
                <c:pt idx="56">
                  <c:v>2011</c:v>
                </c:pt>
                <c:pt idx="57">
                  <c:v>2012</c:v>
                </c:pt>
                <c:pt idx="58">
                  <c:v>2013</c:v>
                </c:pt>
                <c:pt idx="59">
                  <c:v>2014</c:v>
                </c:pt>
                <c:pt idx="60">
                  <c:v>2015</c:v>
                </c:pt>
                <c:pt idx="61">
                  <c:v>2016</c:v>
                </c:pt>
                <c:pt idx="62">
                  <c:v>2017</c:v>
                </c:pt>
                <c:pt idx="63">
                  <c:v>2018</c:v>
                </c:pt>
                <c:pt idx="64">
                  <c:v>2019</c:v>
                </c:pt>
                <c:pt idx="65">
                  <c:v>2020</c:v>
                </c:pt>
                <c:pt idx="66">
                  <c:v>2021</c:v>
                </c:pt>
                <c:pt idx="67">
                  <c:v>2022</c:v>
                </c:pt>
                <c:pt idx="68">
                  <c:v>2023</c:v>
                </c:pt>
                <c:pt idx="69">
                  <c:v>2024</c:v>
                </c:pt>
                <c:pt idx="70">
                  <c:v>1990</c:v>
                </c:pt>
                <c:pt idx="71">
                  <c:v>1991</c:v>
                </c:pt>
                <c:pt idx="72">
                  <c:v>1992</c:v>
                </c:pt>
                <c:pt idx="73">
                  <c:v>1993</c:v>
                </c:pt>
                <c:pt idx="74">
                  <c:v>1994</c:v>
                </c:pt>
                <c:pt idx="75">
                  <c:v>1995</c:v>
                </c:pt>
                <c:pt idx="76">
                  <c:v>1996</c:v>
                </c:pt>
                <c:pt idx="77">
                  <c:v>1997</c:v>
                </c:pt>
                <c:pt idx="78">
                  <c:v>1998</c:v>
                </c:pt>
                <c:pt idx="79">
                  <c:v>1999</c:v>
                </c:pt>
                <c:pt idx="80">
                  <c:v>2000</c:v>
                </c:pt>
                <c:pt idx="81">
                  <c:v>2001</c:v>
                </c:pt>
                <c:pt idx="82">
                  <c:v>2002</c:v>
                </c:pt>
                <c:pt idx="83">
                  <c:v>2003</c:v>
                </c:pt>
                <c:pt idx="84">
                  <c:v>2004</c:v>
                </c:pt>
                <c:pt idx="85">
                  <c:v>2005</c:v>
                </c:pt>
                <c:pt idx="86">
                  <c:v>2006</c:v>
                </c:pt>
                <c:pt idx="87">
                  <c:v>2007</c:v>
                </c:pt>
                <c:pt idx="88">
                  <c:v>2008</c:v>
                </c:pt>
                <c:pt idx="89">
                  <c:v>2009</c:v>
                </c:pt>
                <c:pt idx="90">
                  <c:v>2010</c:v>
                </c:pt>
                <c:pt idx="91">
                  <c:v>2011</c:v>
                </c:pt>
                <c:pt idx="92">
                  <c:v>2012</c:v>
                </c:pt>
                <c:pt idx="93">
                  <c:v>2013</c:v>
                </c:pt>
                <c:pt idx="94">
                  <c:v>2014</c:v>
                </c:pt>
                <c:pt idx="95">
                  <c:v>2015</c:v>
                </c:pt>
                <c:pt idx="96">
                  <c:v>2016</c:v>
                </c:pt>
                <c:pt idx="97">
                  <c:v>2017</c:v>
                </c:pt>
                <c:pt idx="98">
                  <c:v>2018</c:v>
                </c:pt>
                <c:pt idx="99">
                  <c:v>2019</c:v>
                </c:pt>
                <c:pt idx="100">
                  <c:v>2020</c:v>
                </c:pt>
                <c:pt idx="101">
                  <c:v>2021</c:v>
                </c:pt>
                <c:pt idx="102">
                  <c:v>2022</c:v>
                </c:pt>
                <c:pt idx="103">
                  <c:v>2023</c:v>
                </c:pt>
                <c:pt idx="104">
                  <c:v>2024</c:v>
                </c:pt>
                <c:pt idx="105">
                  <c:v>1990</c:v>
                </c:pt>
                <c:pt idx="106">
                  <c:v>1991</c:v>
                </c:pt>
                <c:pt idx="107">
                  <c:v>1992</c:v>
                </c:pt>
                <c:pt idx="108">
                  <c:v>1993</c:v>
                </c:pt>
                <c:pt idx="109">
                  <c:v>1994</c:v>
                </c:pt>
                <c:pt idx="110">
                  <c:v>1995</c:v>
                </c:pt>
                <c:pt idx="111">
                  <c:v>1996</c:v>
                </c:pt>
                <c:pt idx="112">
                  <c:v>1997</c:v>
                </c:pt>
                <c:pt idx="113">
                  <c:v>1998</c:v>
                </c:pt>
                <c:pt idx="114">
                  <c:v>1999</c:v>
                </c:pt>
                <c:pt idx="115">
                  <c:v>2000</c:v>
                </c:pt>
                <c:pt idx="116">
                  <c:v>2001</c:v>
                </c:pt>
                <c:pt idx="117">
                  <c:v>2002</c:v>
                </c:pt>
                <c:pt idx="118">
                  <c:v>2003</c:v>
                </c:pt>
                <c:pt idx="119">
                  <c:v>2004</c:v>
                </c:pt>
                <c:pt idx="120">
                  <c:v>2005</c:v>
                </c:pt>
                <c:pt idx="121">
                  <c:v>2006</c:v>
                </c:pt>
                <c:pt idx="122">
                  <c:v>2007</c:v>
                </c:pt>
                <c:pt idx="123">
                  <c:v>2008</c:v>
                </c:pt>
                <c:pt idx="124">
                  <c:v>2009</c:v>
                </c:pt>
                <c:pt idx="125">
                  <c:v>2010</c:v>
                </c:pt>
                <c:pt idx="126">
                  <c:v>2011</c:v>
                </c:pt>
                <c:pt idx="127">
                  <c:v>2012</c:v>
                </c:pt>
                <c:pt idx="128">
                  <c:v>2013</c:v>
                </c:pt>
                <c:pt idx="129">
                  <c:v>2014</c:v>
                </c:pt>
                <c:pt idx="130">
                  <c:v>2015</c:v>
                </c:pt>
                <c:pt idx="131">
                  <c:v>2016</c:v>
                </c:pt>
                <c:pt idx="132">
                  <c:v>2017</c:v>
                </c:pt>
                <c:pt idx="133">
                  <c:v>2018</c:v>
                </c:pt>
                <c:pt idx="134">
                  <c:v>2019</c:v>
                </c:pt>
                <c:pt idx="135">
                  <c:v>2020</c:v>
                </c:pt>
                <c:pt idx="136">
                  <c:v>2021</c:v>
                </c:pt>
                <c:pt idx="137">
                  <c:v>2022</c:v>
                </c:pt>
                <c:pt idx="138">
                  <c:v>2023</c:v>
                </c:pt>
                <c:pt idx="139">
                  <c:v>2024</c:v>
                </c:pt>
                <c:pt idx="140">
                  <c:v>1990</c:v>
                </c:pt>
                <c:pt idx="141">
                  <c:v>1991</c:v>
                </c:pt>
                <c:pt idx="142">
                  <c:v>1992</c:v>
                </c:pt>
                <c:pt idx="143">
                  <c:v>1993</c:v>
                </c:pt>
                <c:pt idx="144">
                  <c:v>1994</c:v>
                </c:pt>
                <c:pt idx="145">
                  <c:v>1995</c:v>
                </c:pt>
                <c:pt idx="146">
                  <c:v>1996</c:v>
                </c:pt>
                <c:pt idx="147">
                  <c:v>1997</c:v>
                </c:pt>
                <c:pt idx="148">
                  <c:v>1998</c:v>
                </c:pt>
                <c:pt idx="149">
                  <c:v>1999</c:v>
                </c:pt>
                <c:pt idx="150">
                  <c:v>2000</c:v>
                </c:pt>
                <c:pt idx="151">
                  <c:v>2001</c:v>
                </c:pt>
                <c:pt idx="152">
                  <c:v>2002</c:v>
                </c:pt>
                <c:pt idx="153">
                  <c:v>2003</c:v>
                </c:pt>
                <c:pt idx="154">
                  <c:v>2004</c:v>
                </c:pt>
                <c:pt idx="155">
                  <c:v>2005</c:v>
                </c:pt>
                <c:pt idx="156">
                  <c:v>2006</c:v>
                </c:pt>
                <c:pt idx="157">
                  <c:v>2007</c:v>
                </c:pt>
                <c:pt idx="158">
                  <c:v>2008</c:v>
                </c:pt>
                <c:pt idx="159">
                  <c:v>2009</c:v>
                </c:pt>
                <c:pt idx="160">
                  <c:v>2010</c:v>
                </c:pt>
                <c:pt idx="161">
                  <c:v>2011</c:v>
                </c:pt>
                <c:pt idx="162">
                  <c:v>2012</c:v>
                </c:pt>
                <c:pt idx="163">
                  <c:v>2013</c:v>
                </c:pt>
                <c:pt idx="164">
                  <c:v>2014</c:v>
                </c:pt>
                <c:pt idx="165">
                  <c:v>2015</c:v>
                </c:pt>
                <c:pt idx="166">
                  <c:v>2016</c:v>
                </c:pt>
                <c:pt idx="167">
                  <c:v>2017</c:v>
                </c:pt>
                <c:pt idx="168">
                  <c:v>2018</c:v>
                </c:pt>
                <c:pt idx="169">
                  <c:v>2019</c:v>
                </c:pt>
                <c:pt idx="170">
                  <c:v>2020</c:v>
                </c:pt>
                <c:pt idx="171">
                  <c:v>2021</c:v>
                </c:pt>
                <c:pt idx="172">
                  <c:v>2022</c:v>
                </c:pt>
                <c:pt idx="173">
                  <c:v>2023</c:v>
                </c:pt>
                <c:pt idx="174">
                  <c:v>2024</c:v>
                </c:pt>
              </c:numCache>
            </c:numRef>
          </c:val>
          <c:extLst>
            <c:ext xmlns:c16="http://schemas.microsoft.com/office/drawing/2014/chart" uri="{C3380CC4-5D6E-409C-BE32-E72D297353CC}">
              <c16:uniqueId val="{00000000-7D3D-4EA6-BFEF-5C03F286FE55}"/>
            </c:ext>
          </c:extLst>
        </c:ser>
        <c:dLbls>
          <c:showLegendKey val="0"/>
          <c:showVal val="0"/>
          <c:showCatName val="0"/>
          <c:showSerName val="0"/>
          <c:showPercent val="0"/>
          <c:showBubbleSize val="0"/>
        </c:dLbls>
        <c:gapWidth val="269"/>
        <c:axId val="261475631"/>
        <c:axId val="261473135"/>
      </c:barChart>
      <c:barChart>
        <c:barDir val="col"/>
        <c:grouping val="clustered"/>
        <c:varyColors val="0"/>
        <c:ser>
          <c:idx val="0"/>
          <c:order val="0"/>
          <c:tx>
            <c:strRef>
              <c:f>Sheet1!$A$1</c:f>
              <c:strCache>
                <c:ptCount val="1"/>
                <c:pt idx="0">
                  <c:v>Country</c:v>
                </c:pt>
              </c:strCache>
            </c:strRef>
          </c:tx>
          <c:spPr>
            <a:solidFill>
              <a:schemeClr val="accent1"/>
            </a:solidFill>
            <a:ln>
              <a:noFill/>
            </a:ln>
            <a:effectLst/>
          </c:spPr>
          <c:invertIfNegative val="0"/>
          <c:val>
            <c:numRef>
              <c:f>Sheet1!$A$2:$A$176</c:f>
              <c:numCache>
                <c:formatCode>General</c:formatCode>
                <c:ptCount val="175"/>
                <c:pt idx="0">
                  <c:v>0</c:v>
                </c:pt>
                <c:pt idx="35">
                  <c:v>0</c:v>
                </c:pt>
                <c:pt idx="70">
                  <c:v>0</c:v>
                </c:pt>
                <c:pt idx="105">
                  <c:v>0</c:v>
                </c:pt>
                <c:pt idx="140">
                  <c:v>0</c:v>
                </c:pt>
              </c:numCache>
            </c:numRef>
          </c:val>
          <c:extLst>
            <c:ext xmlns:c16="http://schemas.microsoft.com/office/drawing/2014/chart" uri="{C3380CC4-5D6E-409C-BE32-E72D297353CC}">
              <c16:uniqueId val="{00000001-7D3D-4EA6-BFEF-5C03F286FE55}"/>
            </c:ext>
          </c:extLst>
        </c:ser>
        <c:dLbls>
          <c:showLegendKey val="0"/>
          <c:showVal val="0"/>
          <c:showCatName val="0"/>
          <c:showSerName val="0"/>
          <c:showPercent val="0"/>
          <c:showBubbleSize val="0"/>
        </c:dLbls>
        <c:gapWidth val="269"/>
        <c:axId val="323966751"/>
        <c:axId val="323965503"/>
      </c:barChart>
      <c:lineChart>
        <c:grouping val="standard"/>
        <c:varyColors val="0"/>
        <c:ser>
          <c:idx val="5"/>
          <c:order val="5"/>
          <c:tx>
            <c:strRef>
              <c:f>Sheet1!$F$1</c:f>
              <c:strCache>
                <c:ptCount val="1"/>
                <c:pt idx="0">
                  <c:v>LAP</c:v>
                </c:pt>
              </c:strCache>
            </c:strRef>
          </c:tx>
          <c:spPr>
            <a:ln w="38100" cap="rnd">
              <a:solidFill>
                <a:schemeClr val="accent6"/>
              </a:solidFill>
              <a:round/>
            </a:ln>
            <a:effectLst/>
          </c:spPr>
          <c:marker>
            <c:symbol val="none"/>
          </c:marker>
          <c:val>
            <c:numRef>
              <c:f>Sheet1!$F$2:$F$176</c:f>
              <c:numCache>
                <c:formatCode>General</c:formatCode>
                <c:ptCount val="175"/>
                <c:pt idx="0">
                  <c:v>12205.040712915843</c:v>
                </c:pt>
                <c:pt idx="1">
                  <c:v>12300.840097769684</c:v>
                </c:pt>
                <c:pt idx="2">
                  <c:v>11663.725980728317</c:v>
                </c:pt>
                <c:pt idx="3">
                  <c:v>11044.108865637088</c:v>
                </c:pt>
                <c:pt idx="4">
                  <c:v>10705.332929384971</c:v>
                </c:pt>
                <c:pt idx="5">
                  <c:v>10849.390211549882</c:v>
                </c:pt>
                <c:pt idx="6">
                  <c:v>10853.442540554941</c:v>
                </c:pt>
                <c:pt idx="7">
                  <c:v>10827.238302425878</c:v>
                </c:pt>
                <c:pt idx="8">
                  <c:v>10598.150273849255</c:v>
                </c:pt>
                <c:pt idx="9">
                  <c:v>10851.840558979873</c:v>
                </c:pt>
                <c:pt idx="10">
                  <c:v>11205.935022650305</c:v>
                </c:pt>
                <c:pt idx="11">
                  <c:v>12589.63538205503</c:v>
                </c:pt>
                <c:pt idx="12">
                  <c:v>13200.614059985523</c:v>
                </c:pt>
                <c:pt idx="13">
                  <c:v>14078.020119809447</c:v>
                </c:pt>
                <c:pt idx="14">
                  <c:v>14663.351290458537</c:v>
                </c:pt>
                <c:pt idx="15">
                  <c:v>15196.552628266149</c:v>
                </c:pt>
                <c:pt idx="16">
                  <c:v>15821.446900163301</c:v>
                </c:pt>
                <c:pt idx="17">
                  <c:v>16492.426352337145</c:v>
                </c:pt>
                <c:pt idx="18">
                  <c:v>17368.850295141525</c:v>
                </c:pt>
                <c:pt idx="19">
                  <c:v>18310.824935628436</c:v>
                </c:pt>
                <c:pt idx="20">
                  <c:v>18803.323019960419</c:v>
                </c:pt>
                <c:pt idx="21">
                  <c:v>19079.917745623599</c:v>
                </c:pt>
                <c:pt idx="22">
                  <c:v>19845.468169210963</c:v>
                </c:pt>
                <c:pt idx="23">
                  <c:v>20593.249531826899</c:v>
                </c:pt>
                <c:pt idx="24">
                  <c:v>20619.10250382861</c:v>
                </c:pt>
                <c:pt idx="25">
                  <c:v>19790.288583183541</c:v>
                </c:pt>
                <c:pt idx="26">
                  <c:v>19436.167489698386</c:v>
                </c:pt>
                <c:pt idx="27">
                  <c:v>19284.625024719426</c:v>
                </c:pt>
                <c:pt idx="28">
                  <c:v>19181.356905239394</c:v>
                </c:pt>
                <c:pt idx="29">
                  <c:v>17925.438427170182</c:v>
                </c:pt>
                <c:pt idx="30">
                  <c:v>17376.180785137854</c:v>
                </c:pt>
                <c:pt idx="31">
                  <c:v>17087.203561719751</c:v>
                </c:pt>
                <c:pt idx="32">
                  <c:v>16753.706339801385</c:v>
                </c:pt>
                <c:pt idx="33">
                  <c:v>16929.657132969194</c:v>
                </c:pt>
                <c:pt idx="34">
                  <c:v>17100</c:v>
                </c:pt>
                <c:pt idx="35">
                  <c:v>7399.5292217747701</c:v>
                </c:pt>
                <c:pt idx="36">
                  <c:v>7580.6960475833857</c:v>
                </c:pt>
                <c:pt idx="37">
                  <c:v>7769.8367252444841</c:v>
                </c:pt>
                <c:pt idx="38">
                  <c:v>7851.4953534016477</c:v>
                </c:pt>
                <c:pt idx="39">
                  <c:v>7996.1506503785258</c:v>
                </c:pt>
                <c:pt idx="40">
                  <c:v>8192.4069998530158</c:v>
                </c:pt>
                <c:pt idx="41">
                  <c:v>8338.632595080695</c:v>
                </c:pt>
                <c:pt idx="42">
                  <c:v>8512.1483709376589</c:v>
                </c:pt>
                <c:pt idx="43">
                  <c:v>8796.4794669564999</c:v>
                </c:pt>
                <c:pt idx="44">
                  <c:v>8879.6908969490851</c:v>
                </c:pt>
                <c:pt idx="45">
                  <c:v>8855.6134773350022</c:v>
                </c:pt>
                <c:pt idx="46">
                  <c:v>8859.157781596823</c:v>
                </c:pt>
                <c:pt idx="47">
                  <c:v>8924.528170356185</c:v>
                </c:pt>
                <c:pt idx="48">
                  <c:v>9035.5675102013229</c:v>
                </c:pt>
                <c:pt idx="49">
                  <c:v>9185.231553491305</c:v>
                </c:pt>
                <c:pt idx="50">
                  <c:v>9391.3457310805625</c:v>
                </c:pt>
                <c:pt idx="51">
                  <c:v>9532.0911685800547</c:v>
                </c:pt>
                <c:pt idx="52">
                  <c:v>10109.464504199021</c:v>
                </c:pt>
                <c:pt idx="53">
                  <c:v>10330.46248032837</c:v>
                </c:pt>
                <c:pt idx="54">
                  <c:v>10861.12357327887</c:v>
                </c:pt>
                <c:pt idx="55">
                  <c:v>11936.074900830994</c:v>
                </c:pt>
                <c:pt idx="56">
                  <c:v>12586.837167743022</c:v>
                </c:pt>
                <c:pt idx="57">
                  <c:v>13052.786109840805</c:v>
                </c:pt>
                <c:pt idx="58">
                  <c:v>13620.226949403699</c:v>
                </c:pt>
                <c:pt idx="59">
                  <c:v>14151.739350614887</c:v>
                </c:pt>
                <c:pt idx="60">
                  <c:v>14263.428141966802</c:v>
                </c:pt>
                <c:pt idx="61">
                  <c:v>14996.719093396458</c:v>
                </c:pt>
                <c:pt idx="62">
                  <c:v>15873.673859647284</c:v>
                </c:pt>
                <c:pt idx="63">
                  <c:v>16875.136096705341</c:v>
                </c:pt>
                <c:pt idx="64">
                  <c:v>17123.610134556195</c:v>
                </c:pt>
                <c:pt idx="65">
                  <c:v>17906.614174601069</c:v>
                </c:pt>
                <c:pt idx="66">
                  <c:v>18467.099935556485</c:v>
                </c:pt>
                <c:pt idx="67">
                  <c:v>18586.622168353602</c:v>
                </c:pt>
                <c:pt idx="68">
                  <c:v>19154.875453475262</c:v>
                </c:pt>
                <c:pt idx="69">
                  <c:v>19700</c:v>
                </c:pt>
                <c:pt idx="70">
                  <c:v>15742.170566917344</c:v>
                </c:pt>
                <c:pt idx="71">
                  <c:v>15054.809985214628</c:v>
                </c:pt>
                <c:pt idx="72">
                  <c:v>14263.131793626048</c:v>
                </c:pt>
                <c:pt idx="73">
                  <c:v>13656.208824896034</c:v>
                </c:pt>
                <c:pt idx="74">
                  <c:v>13881.449596419418</c:v>
                </c:pt>
                <c:pt idx="75">
                  <c:v>14329.59171306488</c:v>
                </c:pt>
                <c:pt idx="76">
                  <c:v>15062.523085896668</c:v>
                </c:pt>
                <c:pt idx="77">
                  <c:v>15107.287152454433</c:v>
                </c:pt>
                <c:pt idx="78">
                  <c:v>14791.727749422349</c:v>
                </c:pt>
                <c:pt idx="79">
                  <c:v>14390.160748806757</c:v>
                </c:pt>
                <c:pt idx="80">
                  <c:v>13745.41186259708</c:v>
                </c:pt>
                <c:pt idx="81">
                  <c:v>13057.613400135224</c:v>
                </c:pt>
                <c:pt idx="82">
                  <c:v>12164.855450746061</c:v>
                </c:pt>
                <c:pt idx="83">
                  <c:v>12245.585881847499</c:v>
                </c:pt>
                <c:pt idx="84">
                  <c:v>12070.980627952486</c:v>
                </c:pt>
                <c:pt idx="85">
                  <c:v>12098.721428436642</c:v>
                </c:pt>
                <c:pt idx="86">
                  <c:v>11958.194330448217</c:v>
                </c:pt>
                <c:pt idx="87">
                  <c:v>12114.829926370032</c:v>
                </c:pt>
                <c:pt idx="88">
                  <c:v>12056.391665926671</c:v>
                </c:pt>
                <c:pt idx="89">
                  <c:v>12386.870608344163</c:v>
                </c:pt>
                <c:pt idx="90">
                  <c:v>11364.795737549885</c:v>
                </c:pt>
                <c:pt idx="91">
                  <c:v>11835.819307787106</c:v>
                </c:pt>
                <c:pt idx="92">
                  <c:v>12358.998302787188</c:v>
                </c:pt>
                <c:pt idx="93">
                  <c:v>13052.40591964142</c:v>
                </c:pt>
                <c:pt idx="94">
                  <c:v>13563.828048668329</c:v>
                </c:pt>
                <c:pt idx="95">
                  <c:v>14077.127427535546</c:v>
                </c:pt>
                <c:pt idx="96">
                  <c:v>15083.635134021308</c:v>
                </c:pt>
                <c:pt idx="97">
                  <c:v>15487.818908067844</c:v>
                </c:pt>
                <c:pt idx="98">
                  <c:v>16182.299641182128</c:v>
                </c:pt>
                <c:pt idx="99">
                  <c:v>15835.359456996837</c:v>
                </c:pt>
                <c:pt idx="100">
                  <c:v>16154.72936406195</c:v>
                </c:pt>
                <c:pt idx="101">
                  <c:v>16390.310971564184</c:v>
                </c:pt>
                <c:pt idx="102">
                  <c:v>16924.85393571543</c:v>
                </c:pt>
                <c:pt idx="103">
                  <c:v>17398.987858472046</c:v>
                </c:pt>
                <c:pt idx="104">
                  <c:v>17873</c:v>
                </c:pt>
                <c:pt idx="105">
                  <c:v>10963.648507482074</c:v>
                </c:pt>
                <c:pt idx="106">
                  <c:v>10769.129509914166</c:v>
                </c:pt>
                <c:pt idx="107">
                  <c:v>10572.082279343484</c:v>
                </c:pt>
                <c:pt idx="108">
                  <c:v>10255.52005885892</c:v>
                </c:pt>
                <c:pt idx="109">
                  <c:v>10492.985027365794</c:v>
                </c:pt>
                <c:pt idx="110">
                  <c:v>10409.453451272913</c:v>
                </c:pt>
                <c:pt idx="111">
                  <c:v>10436.070543503543</c:v>
                </c:pt>
                <c:pt idx="112">
                  <c:v>10764.524892243304</c:v>
                </c:pt>
                <c:pt idx="113">
                  <c:v>11132.433344435909</c:v>
                </c:pt>
                <c:pt idx="114">
                  <c:v>11259.991382583035</c:v>
                </c:pt>
                <c:pt idx="115">
                  <c:v>11441.647709151903</c:v>
                </c:pt>
                <c:pt idx="116">
                  <c:v>11153.588063334388</c:v>
                </c:pt>
                <c:pt idx="117">
                  <c:v>11459.217170196665</c:v>
                </c:pt>
                <c:pt idx="118">
                  <c:v>11692.472416723154</c:v>
                </c:pt>
                <c:pt idx="119">
                  <c:v>11884.667660667452</c:v>
                </c:pt>
                <c:pt idx="120">
                  <c:v>11875.771036162861</c:v>
                </c:pt>
                <c:pt idx="121">
                  <c:v>12039.97987191924</c:v>
                </c:pt>
                <c:pt idx="122">
                  <c:v>12312.329125841965</c:v>
                </c:pt>
                <c:pt idx="123">
                  <c:v>12477.714146726326</c:v>
                </c:pt>
                <c:pt idx="124">
                  <c:v>12727.478597212221</c:v>
                </c:pt>
                <c:pt idx="125">
                  <c:v>12718.334503429911</c:v>
                </c:pt>
                <c:pt idx="126">
                  <c:v>13160.560779172809</c:v>
                </c:pt>
                <c:pt idx="127">
                  <c:v>13376.18577352429</c:v>
                </c:pt>
                <c:pt idx="128">
                  <c:v>14011.358308045101</c:v>
                </c:pt>
                <c:pt idx="129">
                  <c:v>14701.894660869011</c:v>
                </c:pt>
                <c:pt idx="130">
                  <c:v>13381.12005341485</c:v>
                </c:pt>
                <c:pt idx="131">
                  <c:v>15063.610166199094</c:v>
                </c:pt>
                <c:pt idx="132">
                  <c:v>14600.403696429725</c:v>
                </c:pt>
                <c:pt idx="133">
                  <c:v>13972.700221248415</c:v>
                </c:pt>
                <c:pt idx="134">
                  <c:v>13749.370762499246</c:v>
                </c:pt>
                <c:pt idx="135">
                  <c:v>13883.455492245166</c:v>
                </c:pt>
                <c:pt idx="136">
                  <c:v>13771.230144588031</c:v>
                </c:pt>
                <c:pt idx="137">
                  <c:v>13907.239255926836</c:v>
                </c:pt>
                <c:pt idx="138">
                  <c:v>14316.850104239029</c:v>
                </c:pt>
                <c:pt idx="139">
                  <c:v>14727</c:v>
                </c:pt>
                <c:pt idx="140">
                  <c:v>6024.2180242656968</c:v>
                </c:pt>
                <c:pt idx="141">
                  <c:v>6035.3448381957378</c:v>
                </c:pt>
                <c:pt idx="142">
                  <c:v>6157.0140575250371</c:v>
                </c:pt>
                <c:pt idx="143">
                  <c:v>6219.5767850974189</c:v>
                </c:pt>
                <c:pt idx="144">
                  <c:v>6332.92382569846</c:v>
                </c:pt>
                <c:pt idx="145">
                  <c:v>6438.9930342774069</c:v>
                </c:pt>
                <c:pt idx="146">
                  <c:v>6660.3718216621555</c:v>
                </c:pt>
                <c:pt idx="147">
                  <c:v>6805.5471969309383</c:v>
                </c:pt>
                <c:pt idx="148">
                  <c:v>6922.5461706861897</c:v>
                </c:pt>
                <c:pt idx="149">
                  <c:v>6981.9373203818914</c:v>
                </c:pt>
                <c:pt idx="150">
                  <c:v>7179.818929985001</c:v>
                </c:pt>
                <c:pt idx="151">
                  <c:v>7452.7678860818187</c:v>
                </c:pt>
                <c:pt idx="152">
                  <c:v>7446.8968598133888</c:v>
                </c:pt>
                <c:pt idx="153">
                  <c:v>7533.7588406027153</c:v>
                </c:pt>
                <c:pt idx="154">
                  <c:v>7692.769866018717</c:v>
                </c:pt>
                <c:pt idx="155">
                  <c:v>7700.9713723373989</c:v>
                </c:pt>
                <c:pt idx="156">
                  <c:v>8095.2424419508698</c:v>
                </c:pt>
                <c:pt idx="157">
                  <c:v>8290.4804117028252</c:v>
                </c:pt>
                <c:pt idx="158">
                  <c:v>8068.995174689474</c:v>
                </c:pt>
                <c:pt idx="159">
                  <c:v>8324.6482939894959</c:v>
                </c:pt>
                <c:pt idx="160">
                  <c:v>8641.5088000328633</c:v>
                </c:pt>
                <c:pt idx="161">
                  <c:v>8982.3538086274384</c:v>
                </c:pt>
                <c:pt idx="162">
                  <c:v>9189.6645029065821</c:v>
                </c:pt>
                <c:pt idx="163">
                  <c:v>9381.7334374286893</c:v>
                </c:pt>
                <c:pt idx="164">
                  <c:v>9585.154205161718</c:v>
                </c:pt>
                <c:pt idx="165">
                  <c:v>10424.77355870996</c:v>
                </c:pt>
                <c:pt idx="166">
                  <c:v>11294.482945034026</c:v>
                </c:pt>
                <c:pt idx="167">
                  <c:v>11816.500221763557</c:v>
                </c:pt>
                <c:pt idx="168">
                  <c:v>12298.242465584059</c:v>
                </c:pt>
                <c:pt idx="169">
                  <c:v>12748.306497926464</c:v>
                </c:pt>
                <c:pt idx="170">
                  <c:v>12976.680191891563</c:v>
                </c:pt>
                <c:pt idx="171">
                  <c:v>12957.065329953886</c:v>
                </c:pt>
                <c:pt idx="172">
                  <c:v>13265.947981121635</c:v>
                </c:pt>
                <c:pt idx="173">
                  <c:v>13569.422868270109</c:v>
                </c:pt>
                <c:pt idx="174">
                  <c:v>13872</c:v>
                </c:pt>
              </c:numCache>
            </c:numRef>
          </c:val>
          <c:smooth val="0"/>
          <c:extLst>
            <c:ext xmlns:c16="http://schemas.microsoft.com/office/drawing/2014/chart" uri="{C3380CC4-5D6E-409C-BE32-E72D297353CC}">
              <c16:uniqueId val="{00000002-7D3D-4EA6-BFEF-5C03F286FE55}"/>
            </c:ext>
          </c:extLst>
        </c:ser>
        <c:ser>
          <c:idx val="6"/>
          <c:order val="6"/>
          <c:tx>
            <c:strRef>
              <c:f>Sheet1!$G$1</c:f>
              <c:strCache>
                <c:ptCount val="1"/>
                <c:pt idx="0">
                  <c:v>GDP</c:v>
                </c:pt>
              </c:strCache>
            </c:strRef>
          </c:tx>
          <c:spPr>
            <a:ln w="38100" cap="rnd">
              <a:solidFill>
                <a:schemeClr val="accent1">
                  <a:lumMod val="60000"/>
                </a:schemeClr>
              </a:solidFill>
              <a:round/>
            </a:ln>
            <a:effectLst/>
          </c:spPr>
          <c:marker>
            <c:symbol val="none"/>
          </c:marker>
          <c:val>
            <c:numRef>
              <c:f>Sheet1!$G$2:$G$176</c:f>
              <c:numCache>
                <c:formatCode>General</c:formatCode>
                <c:ptCount val="175"/>
                <c:pt idx="0">
                  <c:v>556.37644913090162</c:v>
                </c:pt>
                <c:pt idx="1">
                  <c:v>596.93879571072239</c:v>
                </c:pt>
                <c:pt idx="2">
                  <c:v>508.51590568278522</c:v>
                </c:pt>
                <c:pt idx="3">
                  <c:v>539.57320229754225</c:v>
                </c:pt>
                <c:pt idx="4">
                  <c:v>744.88424715137728</c:v>
                </c:pt>
                <c:pt idx="5">
                  <c:v>1271.6161735319879</c:v>
                </c:pt>
                <c:pt idx="6">
                  <c:v>1632.7246937027587</c:v>
                </c:pt>
                <c:pt idx="7">
                  <c:v>1720.2754094939573</c:v>
                </c:pt>
                <c:pt idx="8">
                  <c:v>1822.4699845247333</c:v>
                </c:pt>
                <c:pt idx="9">
                  <c:v>480.66936394180459</c:v>
                </c:pt>
                <c:pt idx="10">
                  <c:v>547.3182989033786</c:v>
                </c:pt>
                <c:pt idx="11">
                  <c:v>566.42823181293306</c:v>
                </c:pt>
                <c:pt idx="12">
                  <c:v>712.16485207768551</c:v>
                </c:pt>
                <c:pt idx="13">
                  <c:v>763.38874536722255</c:v>
                </c:pt>
                <c:pt idx="14">
                  <c:v>962.48104194733003</c:v>
                </c:pt>
                <c:pt idx="15">
                  <c:v>1211.3770350438622</c:v>
                </c:pt>
                <c:pt idx="16">
                  <c:v>1599.5389155636485</c:v>
                </c:pt>
                <c:pt idx="17">
                  <c:v>1815.5269754582685</c:v>
                </c:pt>
                <c:pt idx="18">
                  <c:v>2154.1054354536427</c:v>
                </c:pt>
                <c:pt idx="19">
                  <c:v>1820.4863385478188</c:v>
                </c:pt>
                <c:pt idx="20">
                  <c:v>2202.2567295734402</c:v>
                </c:pt>
                <c:pt idx="21">
                  <c:v>2418.4131697587463</c:v>
                </c:pt>
                <c:pt idx="22">
                  <c:v>2633.197346713614</c:v>
                </c:pt>
                <c:pt idx="23">
                  <c:v>2872.7908337939821</c:v>
                </c:pt>
                <c:pt idx="24">
                  <c:v>3088.7213131616927</c:v>
                </c:pt>
                <c:pt idx="25">
                  <c:v>2585.733606717974</c:v>
                </c:pt>
                <c:pt idx="26">
                  <c:v>2070.4127339594961</c:v>
                </c:pt>
                <c:pt idx="27">
                  <c:v>1876.3402711177298</c:v>
                </c:pt>
                <c:pt idx="28">
                  <c:v>2057.8794455401057</c:v>
                </c:pt>
                <c:pt idx="29">
                  <c:v>3189.8128649851574</c:v>
                </c:pt>
                <c:pt idx="30">
                  <c:v>2797.184580686855</c:v>
                </c:pt>
                <c:pt idx="31">
                  <c:v>2787.4877922442797</c:v>
                </c:pt>
                <c:pt idx="32">
                  <c:v>2899.1604747032429</c:v>
                </c:pt>
                <c:pt idx="33">
                  <c:v>2138.7638371998255</c:v>
                </c:pt>
                <c:pt idx="34">
                  <c:v>1084.1604180543611</c:v>
                </c:pt>
                <c:pt idx="35">
                  <c:v>382.54246368353978</c:v>
                </c:pt>
                <c:pt idx="36">
                  <c:v>418.25412134998646</c:v>
                </c:pt>
                <c:pt idx="37">
                  <c:v>396.42640764051737</c:v>
                </c:pt>
                <c:pt idx="38">
                  <c:v>359.80084409752834</c:v>
                </c:pt>
                <c:pt idx="39">
                  <c:v>320.50390343252013</c:v>
                </c:pt>
                <c:pt idx="40">
                  <c:v>371.53724303383552</c:v>
                </c:pt>
                <c:pt idx="41">
                  <c:v>389.27126789883107</c:v>
                </c:pt>
                <c:pt idx="42">
                  <c:v>377.84193550146057</c:v>
                </c:pt>
                <c:pt idx="43">
                  <c:v>400.36679950852397</c:v>
                </c:pt>
                <c:pt idx="44">
                  <c:v>403.03732612727305</c:v>
                </c:pt>
                <c:pt idx="45">
                  <c:v>253.74693620334378</c:v>
                </c:pt>
                <c:pt idx="46">
                  <c:v>263.54215649485292</c:v>
                </c:pt>
                <c:pt idx="47">
                  <c:v>297.46164468774049</c:v>
                </c:pt>
                <c:pt idx="48">
                  <c:v>358.39927142072963</c:v>
                </c:pt>
                <c:pt idx="49">
                  <c:v>406.13210532956532</c:v>
                </c:pt>
                <c:pt idx="50">
                  <c:v>478.61190919102785</c:v>
                </c:pt>
                <c:pt idx="51">
                  <c:v>906.44102756488678</c:v>
                </c:pt>
                <c:pt idx="52">
                  <c:v>1050.124615249259</c:v>
                </c:pt>
                <c:pt idx="53">
                  <c:v>1182.6576125601646</c:v>
                </c:pt>
                <c:pt idx="54">
                  <c:v>1047.7043009358633</c:v>
                </c:pt>
                <c:pt idx="55">
                  <c:v>1263.8925176053895</c:v>
                </c:pt>
                <c:pt idx="56">
                  <c:v>1507.4357319875289</c:v>
                </c:pt>
                <c:pt idx="57">
                  <c:v>1543.7752423576376</c:v>
                </c:pt>
                <c:pt idx="58">
                  <c:v>2294.7958469374339</c:v>
                </c:pt>
                <c:pt idx="59">
                  <c:v>1949.9083292384551</c:v>
                </c:pt>
                <c:pt idx="60">
                  <c:v>1722.7728283360616</c:v>
                </c:pt>
                <c:pt idx="61">
                  <c:v>1912.4799133995061</c:v>
                </c:pt>
                <c:pt idx="62">
                  <c:v>2012.2866264126542</c:v>
                </c:pt>
                <c:pt idx="63">
                  <c:v>2195.3216601637732</c:v>
                </c:pt>
                <c:pt idx="64">
                  <c:v>2186.6582268261286</c:v>
                </c:pt>
                <c:pt idx="65">
                  <c:v>2195.4548165998676</c:v>
                </c:pt>
                <c:pt idx="66">
                  <c:v>2445.1866252934401</c:v>
                </c:pt>
                <c:pt idx="67">
                  <c:v>2229.8912264780301</c:v>
                </c:pt>
                <c:pt idx="68">
                  <c:v>2383.9041048341815</c:v>
                </c:pt>
                <c:pt idx="69">
                  <c:v>2390.7723765271498</c:v>
                </c:pt>
                <c:pt idx="70">
                  <c:v>885.64784221492755</c:v>
                </c:pt>
                <c:pt idx="71">
                  <c:v>827.24188916698483</c:v>
                </c:pt>
                <c:pt idx="72">
                  <c:v>844.90222380673833</c:v>
                </c:pt>
                <c:pt idx="73">
                  <c:v>804.14965721125225</c:v>
                </c:pt>
                <c:pt idx="74">
                  <c:v>581.88846857740521</c:v>
                </c:pt>
                <c:pt idx="75">
                  <c:v>740.47309991329996</c:v>
                </c:pt>
                <c:pt idx="76">
                  <c:v>1170.2362204966555</c:v>
                </c:pt>
                <c:pt idx="77">
                  <c:v>1124.6567486792735</c:v>
                </c:pt>
                <c:pt idx="78">
                  <c:v>1177.3713381534178</c:v>
                </c:pt>
                <c:pt idx="79">
                  <c:v>1096.1352058757184</c:v>
                </c:pt>
                <c:pt idx="80">
                  <c:v>936.63654134879835</c:v>
                </c:pt>
                <c:pt idx="81">
                  <c:v>924.72729496206637</c:v>
                </c:pt>
                <c:pt idx="82">
                  <c:v>967.81586441599109</c:v>
                </c:pt>
                <c:pt idx="83">
                  <c:v>1111.1713508788687</c:v>
                </c:pt>
                <c:pt idx="84">
                  <c:v>1199.8252452854629</c:v>
                </c:pt>
                <c:pt idx="85">
                  <c:v>1197.746169794149</c:v>
                </c:pt>
                <c:pt idx="86">
                  <c:v>1230.4305683858356</c:v>
                </c:pt>
                <c:pt idx="87">
                  <c:v>1367.5381772232606</c:v>
                </c:pt>
                <c:pt idx="88">
                  <c:v>1583.9706670137175</c:v>
                </c:pt>
                <c:pt idx="89">
                  <c:v>1540.4539356959599</c:v>
                </c:pt>
                <c:pt idx="90">
                  <c:v>1553.5488704814325</c:v>
                </c:pt>
                <c:pt idx="91">
                  <c:v>1596.6282656599792</c:v>
                </c:pt>
                <c:pt idx="92">
                  <c:v>1546.9460184731029</c:v>
                </c:pt>
                <c:pt idx="93">
                  <c:v>1786.1586203132365</c:v>
                </c:pt>
                <c:pt idx="94">
                  <c:v>1991.3653942340416</c:v>
                </c:pt>
                <c:pt idx="95">
                  <c:v>1814.7185508801674</c:v>
                </c:pt>
                <c:pt idx="96">
                  <c:v>1862.5959708128676</c:v>
                </c:pt>
                <c:pt idx="97">
                  <c:v>1964.299303383425</c:v>
                </c:pt>
                <c:pt idx="98">
                  <c:v>2130.8661938114374</c:v>
                </c:pt>
                <c:pt idx="99">
                  <c:v>2141.7683617011467</c:v>
                </c:pt>
                <c:pt idx="100">
                  <c:v>2179.7293483293465</c:v>
                </c:pt>
                <c:pt idx="101">
                  <c:v>2455.9812764114818</c:v>
                </c:pt>
                <c:pt idx="102">
                  <c:v>2333.3712830125887</c:v>
                </c:pt>
                <c:pt idx="103">
                  <c:v>2591.9659048118979</c:v>
                </c:pt>
                <c:pt idx="104">
                  <c:v>2727.8935220697044</c:v>
                </c:pt>
                <c:pt idx="105">
                  <c:v>957.31433743817718</c:v>
                </c:pt>
                <c:pt idx="106">
                  <c:v>913.39957579673739</c:v>
                </c:pt>
                <c:pt idx="107">
                  <c:v>951.20496008780685</c:v>
                </c:pt>
                <c:pt idx="108">
                  <c:v>877.52900343802992</c:v>
                </c:pt>
                <c:pt idx="109">
                  <c:v>583.78277603218078</c:v>
                </c:pt>
                <c:pt idx="110">
                  <c:v>714.99439635729698</c:v>
                </c:pt>
                <c:pt idx="111">
                  <c:v>723.46995008114914</c:v>
                </c:pt>
                <c:pt idx="112">
                  <c:v>650.77632140744754</c:v>
                </c:pt>
                <c:pt idx="113">
                  <c:v>684.58810578578573</c:v>
                </c:pt>
                <c:pt idx="114">
                  <c:v>677.51633872726757</c:v>
                </c:pt>
                <c:pt idx="115">
                  <c:v>603.23316245515775</c:v>
                </c:pt>
                <c:pt idx="116">
                  <c:v>637.21353056372357</c:v>
                </c:pt>
                <c:pt idx="117">
                  <c:v>669.43044731920872</c:v>
                </c:pt>
                <c:pt idx="118">
                  <c:v>817.88803422144235</c:v>
                </c:pt>
                <c:pt idx="119">
                  <c:v>918.10207952215535</c:v>
                </c:pt>
                <c:pt idx="120">
                  <c:v>979.84610152017103</c:v>
                </c:pt>
                <c:pt idx="121">
                  <c:v>1017.2019674798737</c:v>
                </c:pt>
                <c:pt idx="122">
                  <c:v>1188.9387780817513</c:v>
                </c:pt>
                <c:pt idx="123">
                  <c:v>1398.7921801002094</c:v>
                </c:pt>
                <c:pt idx="124">
                  <c:v>1308.6940433620512</c:v>
                </c:pt>
                <c:pt idx="125">
                  <c:v>1275.8835749235707</c:v>
                </c:pt>
                <c:pt idx="126">
                  <c:v>1374.6759187384446</c:v>
                </c:pt>
                <c:pt idx="127">
                  <c:v>1326.837988483788</c:v>
                </c:pt>
                <c:pt idx="128">
                  <c:v>1379.831965539237</c:v>
                </c:pt>
                <c:pt idx="129">
                  <c:v>1398.8913760138187</c:v>
                </c:pt>
                <c:pt idx="130">
                  <c:v>1218.0061355543774</c:v>
                </c:pt>
                <c:pt idx="131">
                  <c:v>1266.4395715158721</c:v>
                </c:pt>
                <c:pt idx="132">
                  <c:v>1356.8051844903102</c:v>
                </c:pt>
                <c:pt idx="133">
                  <c:v>1452.556125624453</c:v>
                </c:pt>
                <c:pt idx="134">
                  <c:v>1431.1812893215913</c:v>
                </c:pt>
                <c:pt idx="135">
                  <c:v>1461.0872035055261</c:v>
                </c:pt>
                <c:pt idx="136">
                  <c:v>1598.1067695227428</c:v>
                </c:pt>
                <c:pt idx="137">
                  <c:v>1574.0281059305996</c:v>
                </c:pt>
                <c:pt idx="138">
                  <c:v>1698.0338730084263</c:v>
                </c:pt>
                <c:pt idx="139">
                  <c:v>1773.218299234481</c:v>
                </c:pt>
                <c:pt idx="140">
                  <c:v>604.30442270253195</c:v>
                </c:pt>
                <c:pt idx="141">
                  <c:v>656.42373119517993</c:v>
                </c:pt>
                <c:pt idx="142">
                  <c:v>692.6478026628057</c:v>
                </c:pt>
                <c:pt idx="143">
                  <c:v>670.7417782299591</c:v>
                </c:pt>
                <c:pt idx="144">
                  <c:v>671.57638505875218</c:v>
                </c:pt>
                <c:pt idx="145">
                  <c:v>713.03146055868319</c:v>
                </c:pt>
                <c:pt idx="146">
                  <c:v>726.02544258379919</c:v>
                </c:pt>
                <c:pt idx="147">
                  <c:v>695.58174225826031</c:v>
                </c:pt>
                <c:pt idx="148">
                  <c:v>647.37992083277788</c:v>
                </c:pt>
                <c:pt idx="149">
                  <c:v>610.61484294276238</c:v>
                </c:pt>
                <c:pt idx="150">
                  <c:v>518.15706692402625</c:v>
                </c:pt>
                <c:pt idx="151">
                  <c:v>483.0851202147411</c:v>
                </c:pt>
                <c:pt idx="152">
                  <c:v>495.91607355926942</c:v>
                </c:pt>
                <c:pt idx="153">
                  <c:v>566.48540588068033</c:v>
                </c:pt>
                <c:pt idx="154">
                  <c:v>584.89774053808139</c:v>
                </c:pt>
                <c:pt idx="155">
                  <c:v>463.17768685097968</c:v>
                </c:pt>
                <c:pt idx="156">
                  <c:v>446.98055413501288</c:v>
                </c:pt>
                <c:pt idx="157">
                  <c:v>650.14857530474251</c:v>
                </c:pt>
                <c:pt idx="158">
                  <c:v>703.53282578436892</c:v>
                </c:pt>
                <c:pt idx="159">
                  <c:v>662.18591466557473</c:v>
                </c:pt>
                <c:pt idx="160">
                  <c:v>659.23532621131517</c:v>
                </c:pt>
                <c:pt idx="161">
                  <c:v>636.69495874764834</c:v>
                </c:pt>
                <c:pt idx="162">
                  <c:v>699.35337721219651</c:v>
                </c:pt>
                <c:pt idx="163">
                  <c:v>748.45502082473433</c:v>
                </c:pt>
                <c:pt idx="164">
                  <c:v>765.1469993892789</c:v>
                </c:pt>
                <c:pt idx="165">
                  <c:v>747.35696675944757</c:v>
                </c:pt>
                <c:pt idx="166">
                  <c:v>711.9965097823158</c:v>
                </c:pt>
                <c:pt idx="167">
                  <c:v>833.59862169112102</c:v>
                </c:pt>
                <c:pt idx="168">
                  <c:v>933.27361563370505</c:v>
                </c:pt>
                <c:pt idx="169">
                  <c:v>1031.341464807319</c:v>
                </c:pt>
                <c:pt idx="170">
                  <c:v>1053.6609769641459</c:v>
                </c:pt>
                <c:pt idx="171">
                  <c:v>1244.9655047791368</c:v>
                </c:pt>
                <c:pt idx="172">
                  <c:v>1416.5961201176417</c:v>
                </c:pt>
                <c:pt idx="173">
                  <c:v>1555.4937580686064</c:v>
                </c:pt>
                <c:pt idx="174">
                  <c:v>1694.9537586219271</c:v>
                </c:pt>
              </c:numCache>
            </c:numRef>
          </c:val>
          <c:smooth val="0"/>
          <c:extLst>
            <c:ext xmlns:c16="http://schemas.microsoft.com/office/drawing/2014/chart" uri="{C3380CC4-5D6E-409C-BE32-E72D297353CC}">
              <c16:uniqueId val="{00000003-7D3D-4EA6-BFEF-5C03F286FE55}"/>
            </c:ext>
          </c:extLst>
        </c:ser>
        <c:dLbls>
          <c:showLegendKey val="0"/>
          <c:showVal val="0"/>
          <c:showCatName val="0"/>
          <c:showSerName val="0"/>
          <c:showPercent val="0"/>
          <c:showBubbleSize val="0"/>
        </c:dLbls>
        <c:marker val="1"/>
        <c:smooth val="0"/>
        <c:axId val="261475631"/>
        <c:axId val="261473135"/>
      </c:lineChart>
      <c:lineChart>
        <c:grouping val="standard"/>
        <c:varyColors val="0"/>
        <c:ser>
          <c:idx val="2"/>
          <c:order val="2"/>
          <c:tx>
            <c:strRef>
              <c:f>Sheet1!$C$1</c:f>
              <c:strCache>
                <c:ptCount val="1"/>
                <c:pt idx="0">
                  <c:v>POV</c:v>
                </c:pt>
              </c:strCache>
            </c:strRef>
          </c:tx>
          <c:spPr>
            <a:ln w="38100" cap="rnd">
              <a:solidFill>
                <a:schemeClr val="accent3"/>
              </a:solidFill>
              <a:round/>
            </a:ln>
            <a:effectLst/>
          </c:spPr>
          <c:marker>
            <c:symbol val="none"/>
          </c:marker>
          <c:trendline>
            <c:spPr>
              <a:ln w="19050" cap="rnd">
                <a:solidFill>
                  <a:schemeClr val="accent3"/>
                </a:solidFill>
                <a:round/>
              </a:ln>
              <a:effectLst/>
            </c:spPr>
            <c:trendlineType val="linear"/>
            <c:dispRSqr val="0"/>
            <c:dispEq val="0"/>
          </c:trendline>
          <c:val>
            <c:numRef>
              <c:f>Sheet1!$C$2:$C$176</c:f>
              <c:numCache>
                <c:formatCode>General</c:formatCode>
                <c:ptCount val="175"/>
                <c:pt idx="0">
                  <c:v>45.732999999999997</c:v>
                </c:pt>
                <c:pt idx="1">
                  <c:v>45.482999999999997</c:v>
                </c:pt>
                <c:pt idx="2">
                  <c:v>45.587000000000003</c:v>
                </c:pt>
                <c:pt idx="3">
                  <c:v>45.783000000000001</c:v>
                </c:pt>
                <c:pt idx="4">
                  <c:v>45.747999999999998</c:v>
                </c:pt>
                <c:pt idx="5">
                  <c:v>45.87</c:v>
                </c:pt>
                <c:pt idx="6">
                  <c:v>45.832999999999998</c:v>
                </c:pt>
                <c:pt idx="7">
                  <c:v>45.96</c:v>
                </c:pt>
                <c:pt idx="8">
                  <c:v>46.148000000000003</c:v>
                </c:pt>
                <c:pt idx="9">
                  <c:v>46.609000000000002</c:v>
                </c:pt>
                <c:pt idx="10">
                  <c:v>47.143000000000001</c:v>
                </c:pt>
                <c:pt idx="11">
                  <c:v>47.548999999999999</c:v>
                </c:pt>
                <c:pt idx="12">
                  <c:v>48.02</c:v>
                </c:pt>
                <c:pt idx="13">
                  <c:v>48.618000000000002</c:v>
                </c:pt>
                <c:pt idx="14">
                  <c:v>49.148000000000003</c:v>
                </c:pt>
                <c:pt idx="15">
                  <c:v>49.537999999999997</c:v>
                </c:pt>
                <c:pt idx="16">
                  <c:v>49.875999999999998</c:v>
                </c:pt>
                <c:pt idx="17">
                  <c:v>50.381</c:v>
                </c:pt>
                <c:pt idx="18">
                  <c:v>50.747999999999998</c:v>
                </c:pt>
                <c:pt idx="19">
                  <c:v>51.08</c:v>
                </c:pt>
                <c:pt idx="20">
                  <c:v>51.314999999999998</c:v>
                </c:pt>
                <c:pt idx="21">
                  <c:v>51.49</c:v>
                </c:pt>
                <c:pt idx="22">
                  <c:v>51.688000000000002</c:v>
                </c:pt>
                <c:pt idx="23">
                  <c:v>51.826999999999998</c:v>
                </c:pt>
                <c:pt idx="24">
                  <c:v>51.94</c:v>
                </c:pt>
                <c:pt idx="25">
                  <c:v>51.939</c:v>
                </c:pt>
                <c:pt idx="26">
                  <c:v>52.189</c:v>
                </c:pt>
                <c:pt idx="27">
                  <c:v>52.396999999999998</c:v>
                </c:pt>
                <c:pt idx="28">
                  <c:v>52.668999999999997</c:v>
                </c:pt>
                <c:pt idx="29">
                  <c:v>53.009</c:v>
                </c:pt>
                <c:pt idx="30">
                  <c:v>53.072000000000003</c:v>
                </c:pt>
                <c:pt idx="31">
                  <c:v>53.454999999999998</c:v>
                </c:pt>
                <c:pt idx="32">
                  <c:v>54.079000000000001</c:v>
                </c:pt>
                <c:pt idx="33">
                  <c:v>54.462000000000003</c:v>
                </c:pt>
                <c:pt idx="34">
                  <c:v>54.822000000000003</c:v>
                </c:pt>
                <c:pt idx="35">
                  <c:v>55.722000000000001</c:v>
                </c:pt>
                <c:pt idx="36">
                  <c:v>56.055</c:v>
                </c:pt>
                <c:pt idx="37">
                  <c:v>56.286000000000001</c:v>
                </c:pt>
                <c:pt idx="38">
                  <c:v>56.234000000000002</c:v>
                </c:pt>
                <c:pt idx="39">
                  <c:v>56.661999999999999</c:v>
                </c:pt>
                <c:pt idx="40">
                  <c:v>56.957000000000001</c:v>
                </c:pt>
                <c:pt idx="41">
                  <c:v>57.241</c:v>
                </c:pt>
                <c:pt idx="42">
                  <c:v>57.524999999999999</c:v>
                </c:pt>
                <c:pt idx="43">
                  <c:v>57.835000000000001</c:v>
                </c:pt>
                <c:pt idx="44">
                  <c:v>58.139000000000003</c:v>
                </c:pt>
                <c:pt idx="45">
                  <c:v>58.402999999999999</c:v>
                </c:pt>
                <c:pt idx="46">
                  <c:v>58.709000000000003</c:v>
                </c:pt>
                <c:pt idx="47">
                  <c:v>59.014000000000003</c:v>
                </c:pt>
                <c:pt idx="48">
                  <c:v>59.316000000000003</c:v>
                </c:pt>
                <c:pt idx="49">
                  <c:v>59.637999999999998</c:v>
                </c:pt>
                <c:pt idx="50">
                  <c:v>59.975000000000001</c:v>
                </c:pt>
                <c:pt idx="51">
                  <c:v>60.281999999999996</c:v>
                </c:pt>
                <c:pt idx="52">
                  <c:v>60.578000000000003</c:v>
                </c:pt>
                <c:pt idx="53">
                  <c:v>60.927999999999997</c:v>
                </c:pt>
                <c:pt idx="54">
                  <c:v>61.296999999999997</c:v>
                </c:pt>
                <c:pt idx="55">
                  <c:v>61.616999999999997</c:v>
                </c:pt>
                <c:pt idx="56">
                  <c:v>61.994999999999997</c:v>
                </c:pt>
                <c:pt idx="57">
                  <c:v>62.396999999999998</c:v>
                </c:pt>
                <c:pt idx="58">
                  <c:v>62.832000000000001</c:v>
                </c:pt>
                <c:pt idx="59">
                  <c:v>63.174999999999997</c:v>
                </c:pt>
                <c:pt idx="60">
                  <c:v>63.521999999999998</c:v>
                </c:pt>
                <c:pt idx="61">
                  <c:v>63.829000000000001</c:v>
                </c:pt>
                <c:pt idx="62">
                  <c:v>64.138000000000005</c:v>
                </c:pt>
                <c:pt idx="63">
                  <c:v>64.454999999999998</c:v>
                </c:pt>
                <c:pt idx="64">
                  <c:v>64.308999999999997</c:v>
                </c:pt>
                <c:pt idx="65">
                  <c:v>64.286000000000001</c:v>
                </c:pt>
                <c:pt idx="66">
                  <c:v>65.245999999999995</c:v>
                </c:pt>
                <c:pt idx="67">
                  <c:v>65.498000000000005</c:v>
                </c:pt>
                <c:pt idx="68">
                  <c:v>65.712000000000003</c:v>
                </c:pt>
                <c:pt idx="69">
                  <c:v>65.801000000000002</c:v>
                </c:pt>
                <c:pt idx="70">
                  <c:v>52.795999999999999</c:v>
                </c:pt>
                <c:pt idx="71">
                  <c:v>52.621000000000002</c:v>
                </c:pt>
                <c:pt idx="72">
                  <c:v>52.429000000000002</c:v>
                </c:pt>
                <c:pt idx="73">
                  <c:v>52.247</c:v>
                </c:pt>
                <c:pt idx="74">
                  <c:v>52.005000000000003</c:v>
                </c:pt>
                <c:pt idx="75">
                  <c:v>51.713000000000001</c:v>
                </c:pt>
                <c:pt idx="76">
                  <c:v>51.595999999999997</c:v>
                </c:pt>
                <c:pt idx="77">
                  <c:v>51.497999999999998</c:v>
                </c:pt>
                <c:pt idx="78">
                  <c:v>51.22</c:v>
                </c:pt>
                <c:pt idx="79">
                  <c:v>51.273000000000003</c:v>
                </c:pt>
                <c:pt idx="80">
                  <c:v>51.393000000000001</c:v>
                </c:pt>
                <c:pt idx="81">
                  <c:v>51.427999999999997</c:v>
                </c:pt>
                <c:pt idx="82">
                  <c:v>51.543999999999997</c:v>
                </c:pt>
                <c:pt idx="83">
                  <c:v>51.442999999999998</c:v>
                </c:pt>
                <c:pt idx="84">
                  <c:v>51.939</c:v>
                </c:pt>
                <c:pt idx="85">
                  <c:v>52.432000000000002</c:v>
                </c:pt>
                <c:pt idx="86">
                  <c:v>52.884999999999998</c:v>
                </c:pt>
                <c:pt idx="87">
                  <c:v>53.451999999999998</c:v>
                </c:pt>
                <c:pt idx="88">
                  <c:v>54.179000000000002</c:v>
                </c:pt>
                <c:pt idx="89">
                  <c:v>54.744</c:v>
                </c:pt>
                <c:pt idx="90">
                  <c:v>55.281999999999996</c:v>
                </c:pt>
                <c:pt idx="91">
                  <c:v>55.972000000000001</c:v>
                </c:pt>
                <c:pt idx="92">
                  <c:v>56.57</c:v>
                </c:pt>
                <c:pt idx="93">
                  <c:v>57.057000000000002</c:v>
                </c:pt>
                <c:pt idx="94">
                  <c:v>57.771999999999998</c:v>
                </c:pt>
                <c:pt idx="95">
                  <c:v>58.280999999999999</c:v>
                </c:pt>
                <c:pt idx="96">
                  <c:v>58.814</c:v>
                </c:pt>
                <c:pt idx="97">
                  <c:v>59.314999999999998</c:v>
                </c:pt>
                <c:pt idx="98">
                  <c:v>59.795000000000002</c:v>
                </c:pt>
                <c:pt idx="99">
                  <c:v>60.274000000000001</c:v>
                </c:pt>
                <c:pt idx="100">
                  <c:v>60.14</c:v>
                </c:pt>
                <c:pt idx="101">
                  <c:v>60.29</c:v>
                </c:pt>
                <c:pt idx="102">
                  <c:v>61.561999999999998</c:v>
                </c:pt>
                <c:pt idx="103">
                  <c:v>61.944000000000003</c:v>
                </c:pt>
                <c:pt idx="104">
                  <c:v>63.301000000000002</c:v>
                </c:pt>
                <c:pt idx="105">
                  <c:v>56.673999999999999</c:v>
                </c:pt>
                <c:pt idx="106">
                  <c:v>57.036999999999999</c:v>
                </c:pt>
                <c:pt idx="107">
                  <c:v>57.286999999999999</c:v>
                </c:pt>
                <c:pt idx="108">
                  <c:v>57.347999999999999</c:v>
                </c:pt>
                <c:pt idx="109">
                  <c:v>57.478999999999999</c:v>
                </c:pt>
                <c:pt idx="110">
                  <c:v>57.335999999999999</c:v>
                </c:pt>
                <c:pt idx="111">
                  <c:v>57.128999999999998</c:v>
                </c:pt>
                <c:pt idx="112">
                  <c:v>57.106999999999999</c:v>
                </c:pt>
                <c:pt idx="113">
                  <c:v>57.076000000000001</c:v>
                </c:pt>
                <c:pt idx="114">
                  <c:v>57.314999999999998</c:v>
                </c:pt>
                <c:pt idx="115">
                  <c:v>57.615000000000002</c:v>
                </c:pt>
                <c:pt idx="116">
                  <c:v>58.158000000000001</c:v>
                </c:pt>
                <c:pt idx="117">
                  <c:v>58.911999999999999</c:v>
                </c:pt>
                <c:pt idx="118">
                  <c:v>59.473999999999997</c:v>
                </c:pt>
                <c:pt idx="119">
                  <c:v>60.308</c:v>
                </c:pt>
                <c:pt idx="120">
                  <c:v>60.98</c:v>
                </c:pt>
                <c:pt idx="121">
                  <c:v>61.801000000000002</c:v>
                </c:pt>
                <c:pt idx="122">
                  <c:v>62.652999999999999</c:v>
                </c:pt>
                <c:pt idx="123">
                  <c:v>63.201000000000001</c:v>
                </c:pt>
                <c:pt idx="124">
                  <c:v>63.750999999999998</c:v>
                </c:pt>
                <c:pt idx="125">
                  <c:v>64.221000000000004</c:v>
                </c:pt>
                <c:pt idx="126">
                  <c:v>64.799000000000007</c:v>
                </c:pt>
                <c:pt idx="127">
                  <c:v>65.228999999999999</c:v>
                </c:pt>
                <c:pt idx="128">
                  <c:v>65.638000000000005</c:v>
                </c:pt>
                <c:pt idx="129">
                  <c:v>66.001000000000005</c:v>
                </c:pt>
                <c:pt idx="130">
                  <c:v>66.450999999999993</c:v>
                </c:pt>
                <c:pt idx="131">
                  <c:v>66.724000000000004</c:v>
                </c:pt>
                <c:pt idx="132">
                  <c:v>67.058999999999997</c:v>
                </c:pt>
                <c:pt idx="133">
                  <c:v>67.379000000000005</c:v>
                </c:pt>
                <c:pt idx="134">
                  <c:v>67.668000000000006</c:v>
                </c:pt>
                <c:pt idx="135">
                  <c:v>67.495999999999995</c:v>
                </c:pt>
                <c:pt idx="136">
                  <c:v>66.867999999999995</c:v>
                </c:pt>
                <c:pt idx="137">
                  <c:v>67.787999999999997</c:v>
                </c:pt>
                <c:pt idx="138">
                  <c:v>68.683000000000007</c:v>
                </c:pt>
                <c:pt idx="139">
                  <c:v>69.600999999999999</c:v>
                </c:pt>
                <c:pt idx="140">
                  <c:v>47.252000000000002</c:v>
                </c:pt>
                <c:pt idx="141">
                  <c:v>47.780999999999999</c:v>
                </c:pt>
                <c:pt idx="142">
                  <c:v>48.265999999999998</c:v>
                </c:pt>
                <c:pt idx="143">
                  <c:v>48.819000000000003</c:v>
                </c:pt>
                <c:pt idx="144">
                  <c:v>49.188000000000002</c:v>
                </c:pt>
                <c:pt idx="145">
                  <c:v>49.835999999999999</c:v>
                </c:pt>
                <c:pt idx="146">
                  <c:v>50.545999999999999</c:v>
                </c:pt>
                <c:pt idx="147">
                  <c:v>51.113</c:v>
                </c:pt>
                <c:pt idx="148">
                  <c:v>51.61</c:v>
                </c:pt>
                <c:pt idx="149">
                  <c:v>51.987000000000002</c:v>
                </c:pt>
                <c:pt idx="150">
                  <c:v>52.42</c:v>
                </c:pt>
                <c:pt idx="151">
                  <c:v>52.668999999999997</c:v>
                </c:pt>
                <c:pt idx="152">
                  <c:v>53.2</c:v>
                </c:pt>
                <c:pt idx="153">
                  <c:v>53.588999999999999</c:v>
                </c:pt>
                <c:pt idx="154">
                  <c:v>53.975000000000001</c:v>
                </c:pt>
                <c:pt idx="155">
                  <c:v>54.421999999999997</c:v>
                </c:pt>
                <c:pt idx="156">
                  <c:v>54.875</c:v>
                </c:pt>
                <c:pt idx="157">
                  <c:v>55.232999999999997</c:v>
                </c:pt>
                <c:pt idx="158">
                  <c:v>55.703000000000003</c:v>
                </c:pt>
                <c:pt idx="159">
                  <c:v>56.052</c:v>
                </c:pt>
                <c:pt idx="160">
                  <c:v>56.430999999999997</c:v>
                </c:pt>
                <c:pt idx="161">
                  <c:v>56.777999999999999</c:v>
                </c:pt>
                <c:pt idx="162">
                  <c:v>57.116999999999997</c:v>
                </c:pt>
                <c:pt idx="163">
                  <c:v>57.459000000000003</c:v>
                </c:pt>
                <c:pt idx="164">
                  <c:v>57.581000000000003</c:v>
                </c:pt>
                <c:pt idx="165">
                  <c:v>57.899000000000001</c:v>
                </c:pt>
                <c:pt idx="166">
                  <c:v>58.49</c:v>
                </c:pt>
                <c:pt idx="167">
                  <c:v>58.715000000000003</c:v>
                </c:pt>
                <c:pt idx="168">
                  <c:v>59.042999999999999</c:v>
                </c:pt>
                <c:pt idx="169">
                  <c:v>59.378999999999998</c:v>
                </c:pt>
                <c:pt idx="170">
                  <c:v>59.35</c:v>
                </c:pt>
                <c:pt idx="171">
                  <c:v>59.372999999999998</c:v>
                </c:pt>
                <c:pt idx="172">
                  <c:v>60.432000000000002</c:v>
                </c:pt>
                <c:pt idx="173">
                  <c:v>60.74</c:v>
                </c:pt>
                <c:pt idx="174">
                  <c:v>61.052</c:v>
                </c:pt>
              </c:numCache>
            </c:numRef>
          </c:val>
          <c:smooth val="0"/>
          <c:extLst>
            <c:ext xmlns:c16="http://schemas.microsoft.com/office/drawing/2014/chart" uri="{C3380CC4-5D6E-409C-BE32-E72D297353CC}">
              <c16:uniqueId val="{00000005-7D3D-4EA6-BFEF-5C03F286FE55}"/>
            </c:ext>
          </c:extLst>
        </c:ser>
        <c:ser>
          <c:idx val="3"/>
          <c:order val="3"/>
          <c:tx>
            <c:strRef>
              <c:f>Sheet1!$D$1</c:f>
              <c:strCache>
                <c:ptCount val="1"/>
                <c:pt idx="0">
                  <c:v>RENC</c:v>
                </c:pt>
              </c:strCache>
            </c:strRef>
          </c:tx>
          <c:spPr>
            <a:ln w="38100" cap="rnd">
              <a:solidFill>
                <a:schemeClr val="accent4"/>
              </a:solidFill>
              <a:round/>
            </a:ln>
            <a:effectLst/>
          </c:spPr>
          <c:marker>
            <c:symbol val="none"/>
          </c:marker>
          <c:val>
            <c:numRef>
              <c:f>Sheet1!$D$2:$D$176</c:f>
              <c:numCache>
                <c:formatCode>General</c:formatCode>
                <c:ptCount val="175"/>
                <c:pt idx="0">
                  <c:v>87.8</c:v>
                </c:pt>
                <c:pt idx="1">
                  <c:v>86.5</c:v>
                </c:pt>
                <c:pt idx="2">
                  <c:v>84.5</c:v>
                </c:pt>
                <c:pt idx="3">
                  <c:v>86.3</c:v>
                </c:pt>
                <c:pt idx="4">
                  <c:v>88.6</c:v>
                </c:pt>
                <c:pt idx="5">
                  <c:v>88</c:v>
                </c:pt>
                <c:pt idx="6">
                  <c:v>87.1</c:v>
                </c:pt>
                <c:pt idx="7">
                  <c:v>85.6</c:v>
                </c:pt>
                <c:pt idx="8">
                  <c:v>87.2</c:v>
                </c:pt>
                <c:pt idx="9">
                  <c:v>87.2</c:v>
                </c:pt>
                <c:pt idx="10">
                  <c:v>86</c:v>
                </c:pt>
                <c:pt idx="11">
                  <c:v>84.5</c:v>
                </c:pt>
                <c:pt idx="12">
                  <c:v>84.5</c:v>
                </c:pt>
                <c:pt idx="13">
                  <c:v>82.9</c:v>
                </c:pt>
                <c:pt idx="14">
                  <c:v>84</c:v>
                </c:pt>
                <c:pt idx="15">
                  <c:v>83.9</c:v>
                </c:pt>
                <c:pt idx="16">
                  <c:v>85.8</c:v>
                </c:pt>
                <c:pt idx="17">
                  <c:v>87.1</c:v>
                </c:pt>
                <c:pt idx="18">
                  <c:v>85.7</c:v>
                </c:pt>
                <c:pt idx="19">
                  <c:v>88.1</c:v>
                </c:pt>
                <c:pt idx="20">
                  <c:v>86</c:v>
                </c:pt>
                <c:pt idx="21">
                  <c:v>84.1</c:v>
                </c:pt>
                <c:pt idx="22">
                  <c:v>83.9</c:v>
                </c:pt>
                <c:pt idx="23">
                  <c:v>81.400000000000006</c:v>
                </c:pt>
                <c:pt idx="24">
                  <c:v>79.900000000000006</c:v>
                </c:pt>
                <c:pt idx="25">
                  <c:v>81.3</c:v>
                </c:pt>
                <c:pt idx="26">
                  <c:v>81.099999999999994</c:v>
                </c:pt>
                <c:pt idx="27">
                  <c:v>81.599999999999994</c:v>
                </c:pt>
                <c:pt idx="28">
                  <c:v>80.8</c:v>
                </c:pt>
                <c:pt idx="29">
                  <c:v>80.099999999999994</c:v>
                </c:pt>
                <c:pt idx="30">
                  <c:v>81.8</c:v>
                </c:pt>
                <c:pt idx="31">
                  <c:v>80.3</c:v>
                </c:pt>
                <c:pt idx="32">
                  <c:v>79.5</c:v>
                </c:pt>
                <c:pt idx="33">
                  <c:v>79</c:v>
                </c:pt>
                <c:pt idx="34">
                  <c:v>78.5</c:v>
                </c:pt>
                <c:pt idx="35">
                  <c:v>80.599999999999994</c:v>
                </c:pt>
                <c:pt idx="36">
                  <c:v>82.9</c:v>
                </c:pt>
                <c:pt idx="37">
                  <c:v>81</c:v>
                </c:pt>
                <c:pt idx="38">
                  <c:v>81.3</c:v>
                </c:pt>
                <c:pt idx="39">
                  <c:v>80.599999999999994</c:v>
                </c:pt>
                <c:pt idx="40">
                  <c:v>79.8</c:v>
                </c:pt>
                <c:pt idx="41">
                  <c:v>78.8</c:v>
                </c:pt>
                <c:pt idx="42">
                  <c:v>78.3</c:v>
                </c:pt>
                <c:pt idx="43">
                  <c:v>73.599999999999994</c:v>
                </c:pt>
                <c:pt idx="44">
                  <c:v>72.8</c:v>
                </c:pt>
                <c:pt idx="45">
                  <c:v>71.599999999999994</c:v>
                </c:pt>
                <c:pt idx="46">
                  <c:v>69.3</c:v>
                </c:pt>
                <c:pt idx="47">
                  <c:v>65.7</c:v>
                </c:pt>
                <c:pt idx="48">
                  <c:v>64.5</c:v>
                </c:pt>
                <c:pt idx="49">
                  <c:v>62.4</c:v>
                </c:pt>
                <c:pt idx="50">
                  <c:v>61.4</c:v>
                </c:pt>
                <c:pt idx="51">
                  <c:v>58.6</c:v>
                </c:pt>
                <c:pt idx="52">
                  <c:v>54.5</c:v>
                </c:pt>
                <c:pt idx="53">
                  <c:v>57.3</c:v>
                </c:pt>
                <c:pt idx="54">
                  <c:v>51.9</c:v>
                </c:pt>
                <c:pt idx="55">
                  <c:v>51.9</c:v>
                </c:pt>
                <c:pt idx="56">
                  <c:v>50.1</c:v>
                </c:pt>
                <c:pt idx="57">
                  <c:v>46.5</c:v>
                </c:pt>
                <c:pt idx="58">
                  <c:v>46.2</c:v>
                </c:pt>
                <c:pt idx="59">
                  <c:v>47.7</c:v>
                </c:pt>
                <c:pt idx="60">
                  <c:v>44</c:v>
                </c:pt>
                <c:pt idx="61">
                  <c:v>45.2</c:v>
                </c:pt>
                <c:pt idx="62">
                  <c:v>45.3</c:v>
                </c:pt>
                <c:pt idx="63">
                  <c:v>42.1</c:v>
                </c:pt>
                <c:pt idx="64">
                  <c:v>42.6</c:v>
                </c:pt>
                <c:pt idx="65">
                  <c:v>40</c:v>
                </c:pt>
                <c:pt idx="66">
                  <c:v>39</c:v>
                </c:pt>
                <c:pt idx="67">
                  <c:v>38.5</c:v>
                </c:pt>
                <c:pt idx="68">
                  <c:v>38</c:v>
                </c:pt>
                <c:pt idx="69">
                  <c:v>37.5</c:v>
                </c:pt>
                <c:pt idx="70">
                  <c:v>73.599999999999994</c:v>
                </c:pt>
                <c:pt idx="71">
                  <c:v>74</c:v>
                </c:pt>
                <c:pt idx="72">
                  <c:v>74.599999999999994</c:v>
                </c:pt>
                <c:pt idx="73">
                  <c:v>75.099999999999994</c:v>
                </c:pt>
                <c:pt idx="74">
                  <c:v>75.599999999999994</c:v>
                </c:pt>
                <c:pt idx="75">
                  <c:v>74.900000000000006</c:v>
                </c:pt>
                <c:pt idx="76">
                  <c:v>74</c:v>
                </c:pt>
                <c:pt idx="77">
                  <c:v>72.099999999999994</c:v>
                </c:pt>
                <c:pt idx="78">
                  <c:v>73.400000000000006</c:v>
                </c:pt>
                <c:pt idx="79">
                  <c:v>61.9</c:v>
                </c:pt>
                <c:pt idx="80">
                  <c:v>63.7</c:v>
                </c:pt>
                <c:pt idx="81">
                  <c:v>64.7</c:v>
                </c:pt>
                <c:pt idx="82">
                  <c:v>65.3</c:v>
                </c:pt>
                <c:pt idx="83">
                  <c:v>70.3</c:v>
                </c:pt>
                <c:pt idx="84">
                  <c:v>75.400000000000006</c:v>
                </c:pt>
                <c:pt idx="85">
                  <c:v>77.900000000000006</c:v>
                </c:pt>
                <c:pt idx="86">
                  <c:v>74.8</c:v>
                </c:pt>
                <c:pt idx="87">
                  <c:v>76.3</c:v>
                </c:pt>
                <c:pt idx="88">
                  <c:v>74.2</c:v>
                </c:pt>
                <c:pt idx="89">
                  <c:v>73.7</c:v>
                </c:pt>
                <c:pt idx="90">
                  <c:v>75.400000000000006</c:v>
                </c:pt>
                <c:pt idx="91">
                  <c:v>79.099999999999994</c:v>
                </c:pt>
                <c:pt idx="92">
                  <c:v>74.900000000000006</c:v>
                </c:pt>
                <c:pt idx="93">
                  <c:v>72.2</c:v>
                </c:pt>
                <c:pt idx="94">
                  <c:v>71.900000000000006</c:v>
                </c:pt>
                <c:pt idx="95">
                  <c:v>64.5</c:v>
                </c:pt>
                <c:pt idx="96">
                  <c:v>64</c:v>
                </c:pt>
                <c:pt idx="97">
                  <c:v>62.5</c:v>
                </c:pt>
                <c:pt idx="98">
                  <c:v>60.5</c:v>
                </c:pt>
                <c:pt idx="99">
                  <c:v>61.1</c:v>
                </c:pt>
                <c:pt idx="100">
                  <c:v>61.8</c:v>
                </c:pt>
                <c:pt idx="101">
                  <c:v>58.2</c:v>
                </c:pt>
                <c:pt idx="102">
                  <c:v>56.5</c:v>
                </c:pt>
                <c:pt idx="103">
                  <c:v>55</c:v>
                </c:pt>
                <c:pt idx="104">
                  <c:v>54</c:v>
                </c:pt>
                <c:pt idx="105">
                  <c:v>55.5</c:v>
                </c:pt>
                <c:pt idx="106">
                  <c:v>55.3</c:v>
                </c:pt>
                <c:pt idx="107">
                  <c:v>53.7</c:v>
                </c:pt>
                <c:pt idx="108">
                  <c:v>55.1</c:v>
                </c:pt>
                <c:pt idx="109">
                  <c:v>54.8</c:v>
                </c:pt>
                <c:pt idx="110">
                  <c:v>53.2</c:v>
                </c:pt>
                <c:pt idx="111">
                  <c:v>52.5</c:v>
                </c:pt>
                <c:pt idx="112">
                  <c:v>50.7</c:v>
                </c:pt>
                <c:pt idx="113">
                  <c:v>48</c:v>
                </c:pt>
                <c:pt idx="114">
                  <c:v>45.9</c:v>
                </c:pt>
                <c:pt idx="115">
                  <c:v>47.5</c:v>
                </c:pt>
                <c:pt idx="116">
                  <c:v>45.8</c:v>
                </c:pt>
                <c:pt idx="117">
                  <c:v>43.8</c:v>
                </c:pt>
                <c:pt idx="118">
                  <c:v>43.7</c:v>
                </c:pt>
                <c:pt idx="119">
                  <c:v>39.9</c:v>
                </c:pt>
                <c:pt idx="120">
                  <c:v>40.299999999999997</c:v>
                </c:pt>
                <c:pt idx="121">
                  <c:v>43.4</c:v>
                </c:pt>
                <c:pt idx="122">
                  <c:v>40</c:v>
                </c:pt>
                <c:pt idx="123">
                  <c:v>39.799999999999997</c:v>
                </c:pt>
                <c:pt idx="124">
                  <c:v>51.3</c:v>
                </c:pt>
                <c:pt idx="125">
                  <c:v>49.5</c:v>
                </c:pt>
                <c:pt idx="126">
                  <c:v>48</c:v>
                </c:pt>
                <c:pt idx="127">
                  <c:v>49.6</c:v>
                </c:pt>
                <c:pt idx="128">
                  <c:v>42.7</c:v>
                </c:pt>
                <c:pt idx="129">
                  <c:v>42.5</c:v>
                </c:pt>
                <c:pt idx="130">
                  <c:v>39.1</c:v>
                </c:pt>
                <c:pt idx="131">
                  <c:v>36.700000000000003</c:v>
                </c:pt>
                <c:pt idx="132">
                  <c:v>36.799999999999997</c:v>
                </c:pt>
                <c:pt idx="133">
                  <c:v>34.200000000000003</c:v>
                </c:pt>
                <c:pt idx="134">
                  <c:v>36.200000000000003</c:v>
                </c:pt>
                <c:pt idx="135">
                  <c:v>38.700000000000003</c:v>
                </c:pt>
                <c:pt idx="136">
                  <c:v>35.4</c:v>
                </c:pt>
                <c:pt idx="137">
                  <c:v>34.5</c:v>
                </c:pt>
                <c:pt idx="138">
                  <c:v>33.5</c:v>
                </c:pt>
                <c:pt idx="139">
                  <c:v>33</c:v>
                </c:pt>
                <c:pt idx="140">
                  <c:v>89.5</c:v>
                </c:pt>
                <c:pt idx="141">
                  <c:v>89.6</c:v>
                </c:pt>
                <c:pt idx="142">
                  <c:v>86.6</c:v>
                </c:pt>
                <c:pt idx="143">
                  <c:v>86.2</c:v>
                </c:pt>
                <c:pt idx="144">
                  <c:v>86</c:v>
                </c:pt>
                <c:pt idx="145">
                  <c:v>90</c:v>
                </c:pt>
                <c:pt idx="146">
                  <c:v>88.8</c:v>
                </c:pt>
                <c:pt idx="147">
                  <c:v>85.2</c:v>
                </c:pt>
                <c:pt idx="148">
                  <c:v>84.3</c:v>
                </c:pt>
                <c:pt idx="149">
                  <c:v>86.3</c:v>
                </c:pt>
                <c:pt idx="150">
                  <c:v>85.5</c:v>
                </c:pt>
                <c:pt idx="151">
                  <c:v>84.8</c:v>
                </c:pt>
                <c:pt idx="152">
                  <c:v>84.3</c:v>
                </c:pt>
                <c:pt idx="153">
                  <c:v>83.5</c:v>
                </c:pt>
                <c:pt idx="154">
                  <c:v>83.2</c:v>
                </c:pt>
                <c:pt idx="155">
                  <c:v>81.599999999999994</c:v>
                </c:pt>
                <c:pt idx="156">
                  <c:v>81.099999999999994</c:v>
                </c:pt>
                <c:pt idx="157">
                  <c:v>80.400000000000006</c:v>
                </c:pt>
                <c:pt idx="158">
                  <c:v>80.2</c:v>
                </c:pt>
                <c:pt idx="159">
                  <c:v>79.2</c:v>
                </c:pt>
                <c:pt idx="160">
                  <c:v>75.7</c:v>
                </c:pt>
                <c:pt idx="161">
                  <c:v>74.8</c:v>
                </c:pt>
                <c:pt idx="162">
                  <c:v>76.400000000000006</c:v>
                </c:pt>
                <c:pt idx="163">
                  <c:v>78.5</c:v>
                </c:pt>
                <c:pt idx="164">
                  <c:v>78.599999999999994</c:v>
                </c:pt>
                <c:pt idx="165">
                  <c:v>76.2</c:v>
                </c:pt>
                <c:pt idx="166">
                  <c:v>75.3</c:v>
                </c:pt>
                <c:pt idx="167">
                  <c:v>72</c:v>
                </c:pt>
                <c:pt idx="168">
                  <c:v>73.2</c:v>
                </c:pt>
                <c:pt idx="169">
                  <c:v>68.3</c:v>
                </c:pt>
                <c:pt idx="170">
                  <c:v>65.8</c:v>
                </c:pt>
                <c:pt idx="171">
                  <c:v>66.8</c:v>
                </c:pt>
                <c:pt idx="172">
                  <c:v>66.599999999999994</c:v>
                </c:pt>
                <c:pt idx="173">
                  <c:v>66</c:v>
                </c:pt>
                <c:pt idx="174">
                  <c:v>65.5</c:v>
                </c:pt>
              </c:numCache>
            </c:numRef>
          </c:val>
          <c:smooth val="0"/>
          <c:extLst>
            <c:ext xmlns:c16="http://schemas.microsoft.com/office/drawing/2014/chart" uri="{C3380CC4-5D6E-409C-BE32-E72D297353CC}">
              <c16:uniqueId val="{00000006-7D3D-4EA6-BFEF-5C03F286FE55}"/>
            </c:ext>
          </c:extLst>
        </c:ser>
        <c:ser>
          <c:idx val="4"/>
          <c:order val="4"/>
          <c:tx>
            <c:strRef>
              <c:f>Sheet1!$E$1</c:f>
              <c:strCache>
                <c:ptCount val="1"/>
                <c:pt idx="0">
                  <c:v>NRENC</c:v>
                </c:pt>
              </c:strCache>
            </c:strRef>
          </c:tx>
          <c:spPr>
            <a:ln w="38100" cap="rnd">
              <a:solidFill>
                <a:schemeClr val="accent5"/>
              </a:solidFill>
              <a:round/>
            </a:ln>
            <a:effectLst/>
          </c:spPr>
          <c:marker>
            <c:symbol val="none"/>
          </c:marker>
          <c:val>
            <c:numRef>
              <c:f>Sheet1!$E$2:$E$176</c:f>
              <c:numCache>
                <c:formatCode>General</c:formatCode>
                <c:ptCount val="175"/>
                <c:pt idx="0">
                  <c:v>48.810853555956299</c:v>
                </c:pt>
                <c:pt idx="1">
                  <c:v>51.243120359732863</c:v>
                </c:pt>
                <c:pt idx="2">
                  <c:v>52.511960734728135</c:v>
                </c:pt>
                <c:pt idx="3">
                  <c:v>51.458954925832444</c:v>
                </c:pt>
                <c:pt idx="4">
                  <c:v>45.058410675797184</c:v>
                </c:pt>
                <c:pt idx="5">
                  <c:v>45.948328726910745</c:v>
                </c:pt>
                <c:pt idx="6">
                  <c:v>47.439376191072199</c:v>
                </c:pt>
                <c:pt idx="7">
                  <c:v>46.890923030610359</c:v>
                </c:pt>
                <c:pt idx="8">
                  <c:v>43.009851729395393</c:v>
                </c:pt>
                <c:pt idx="9">
                  <c:v>43.963536392090887</c:v>
                </c:pt>
                <c:pt idx="10">
                  <c:v>45.848993512503675</c:v>
                </c:pt>
                <c:pt idx="11">
                  <c:v>48.909050207622613</c:v>
                </c:pt>
                <c:pt idx="12">
                  <c:v>48.658905796121523</c:v>
                </c:pt>
                <c:pt idx="13">
                  <c:v>52.25654207836363</c:v>
                </c:pt>
                <c:pt idx="14">
                  <c:v>53.395085394992037</c:v>
                </c:pt>
                <c:pt idx="15">
                  <c:v>51.494969106489954</c:v>
                </c:pt>
                <c:pt idx="16">
                  <c:v>48.723849037731476</c:v>
                </c:pt>
                <c:pt idx="17">
                  <c:v>44.758681575199581</c:v>
                </c:pt>
                <c:pt idx="18">
                  <c:v>46.105908454554864</c:v>
                </c:pt>
                <c:pt idx="19">
                  <c:v>41.859253921337555</c:v>
                </c:pt>
                <c:pt idx="20">
                  <c:v>38.867856656748764</c:v>
                </c:pt>
                <c:pt idx="21">
                  <c:v>37.541559938808028</c:v>
                </c:pt>
                <c:pt idx="22">
                  <c:v>39.879693867594582</c:v>
                </c:pt>
                <c:pt idx="23">
                  <c:v>39.20123588802096</c:v>
                </c:pt>
                <c:pt idx="24">
                  <c:v>39.250041215615973</c:v>
                </c:pt>
                <c:pt idx="25">
                  <c:v>41.781783655412546</c:v>
                </c:pt>
                <c:pt idx="26">
                  <c:v>81.010000000000005</c:v>
                </c:pt>
                <c:pt idx="27">
                  <c:v>80.5</c:v>
                </c:pt>
                <c:pt idx="28">
                  <c:v>79.900000000000006</c:v>
                </c:pt>
                <c:pt idx="29">
                  <c:v>78.5</c:v>
                </c:pt>
                <c:pt idx="30">
                  <c:v>77.8</c:v>
                </c:pt>
                <c:pt idx="31">
                  <c:v>76.900000000000006</c:v>
                </c:pt>
                <c:pt idx="32">
                  <c:v>76</c:v>
                </c:pt>
                <c:pt idx="33">
                  <c:v>75.2</c:v>
                </c:pt>
                <c:pt idx="34">
                  <c:v>74.5</c:v>
                </c:pt>
                <c:pt idx="35">
                  <c:v>18.233659227362896</c:v>
                </c:pt>
                <c:pt idx="36">
                  <c:v>16.56048690918578</c:v>
                </c:pt>
                <c:pt idx="37">
                  <c:v>16.086621877447605</c:v>
                </c:pt>
                <c:pt idx="38">
                  <c:v>17.406517382164576</c:v>
                </c:pt>
                <c:pt idx="39">
                  <c:v>17.608805335104723</c:v>
                </c:pt>
                <c:pt idx="40">
                  <c:v>18.783624489524453</c:v>
                </c:pt>
                <c:pt idx="41">
                  <c:v>19.342960976236569</c:v>
                </c:pt>
                <c:pt idx="42">
                  <c:v>20.481160612688129</c:v>
                </c:pt>
                <c:pt idx="43">
                  <c:v>26.618837296904079</c:v>
                </c:pt>
                <c:pt idx="44">
                  <c:v>25.859895804910348</c:v>
                </c:pt>
                <c:pt idx="45">
                  <c:v>28.129363954357196</c:v>
                </c:pt>
                <c:pt idx="46">
                  <c:v>32.180850342065021</c:v>
                </c:pt>
                <c:pt idx="47">
                  <c:v>35.92613320840546</c:v>
                </c:pt>
                <c:pt idx="48">
                  <c:v>36.465356940034773</c:v>
                </c:pt>
                <c:pt idx="49">
                  <c:v>37.098426441589957</c:v>
                </c:pt>
                <c:pt idx="50">
                  <c:v>37.639868963303272</c:v>
                </c:pt>
                <c:pt idx="51">
                  <c:v>42.572794987826882</c:v>
                </c:pt>
                <c:pt idx="52">
                  <c:v>45.956373552365001</c:v>
                </c:pt>
                <c:pt idx="53">
                  <c:v>40.363408087792429</c:v>
                </c:pt>
                <c:pt idx="54">
                  <c:v>45.857893096713944</c:v>
                </c:pt>
                <c:pt idx="55">
                  <c:v>48.780788391974262</c:v>
                </c:pt>
                <c:pt idx="56">
                  <c:v>49.739070356931983</c:v>
                </c:pt>
                <c:pt idx="57">
                  <c:v>51.137995019219595</c:v>
                </c:pt>
                <c:pt idx="58">
                  <c:v>53.021717870354735</c:v>
                </c:pt>
                <c:pt idx="59">
                  <c:v>52.674390640496362</c:v>
                </c:pt>
                <c:pt idx="60">
                  <c:v>52.182337235275853</c:v>
                </c:pt>
                <c:pt idx="61">
                  <c:v>50</c:v>
                </c:pt>
                <c:pt idx="62">
                  <c:v>49.5</c:v>
                </c:pt>
                <c:pt idx="63">
                  <c:v>48.8</c:v>
                </c:pt>
                <c:pt idx="64">
                  <c:v>48.2</c:v>
                </c:pt>
                <c:pt idx="65">
                  <c:v>47.5</c:v>
                </c:pt>
                <c:pt idx="66">
                  <c:v>46.8</c:v>
                </c:pt>
                <c:pt idx="67">
                  <c:v>46.2</c:v>
                </c:pt>
                <c:pt idx="68">
                  <c:v>45.8</c:v>
                </c:pt>
                <c:pt idx="69">
                  <c:v>45.2</c:v>
                </c:pt>
                <c:pt idx="70">
                  <c:v>23.701275866882447</c:v>
                </c:pt>
                <c:pt idx="71">
                  <c:v>23.318369335484228</c:v>
                </c:pt>
                <c:pt idx="72">
                  <c:v>27.594666223173164</c:v>
                </c:pt>
                <c:pt idx="73">
                  <c:v>28.549564756133407</c:v>
                </c:pt>
                <c:pt idx="74">
                  <c:v>28.241703228128994</c:v>
                </c:pt>
                <c:pt idx="75">
                  <c:v>25.146718331904218</c:v>
                </c:pt>
                <c:pt idx="76">
                  <c:v>32.013659050557202</c:v>
                </c:pt>
                <c:pt idx="77">
                  <c:v>32.103150036384257</c:v>
                </c:pt>
                <c:pt idx="78">
                  <c:v>30.821904425466883</c:v>
                </c:pt>
                <c:pt idx="79">
                  <c:v>40.885346204260777</c:v>
                </c:pt>
                <c:pt idx="80">
                  <c:v>37.123880815533518</c:v>
                </c:pt>
                <c:pt idx="81">
                  <c:v>34.292367648811464</c:v>
                </c:pt>
                <c:pt idx="82">
                  <c:v>37.842295781412972</c:v>
                </c:pt>
                <c:pt idx="83">
                  <c:v>32.495722380377941</c:v>
                </c:pt>
                <c:pt idx="84">
                  <c:v>24.926168634822378</c:v>
                </c:pt>
                <c:pt idx="85">
                  <c:v>25.386679060621191</c:v>
                </c:pt>
                <c:pt idx="86">
                  <c:v>21.445199227436245</c:v>
                </c:pt>
                <c:pt idx="87">
                  <c:v>24.249025093065864</c:v>
                </c:pt>
                <c:pt idx="88">
                  <c:v>24.612314497224784</c:v>
                </c:pt>
                <c:pt idx="89">
                  <c:v>22.713722939008392</c:v>
                </c:pt>
                <c:pt idx="90">
                  <c:v>28.406419463019272</c:v>
                </c:pt>
                <c:pt idx="91">
                  <c:v>25.665512786352458</c:v>
                </c:pt>
                <c:pt idx="92">
                  <c:v>30.045324076370893</c:v>
                </c:pt>
                <c:pt idx="93">
                  <c:v>33.756741265387731</c:v>
                </c:pt>
                <c:pt idx="94">
                  <c:v>34.159519133634348</c:v>
                </c:pt>
                <c:pt idx="95">
                  <c:v>31.902862960224201</c:v>
                </c:pt>
                <c:pt idx="96">
                  <c:v>23.826248889999999</c:v>
                </c:pt>
                <c:pt idx="97">
                  <c:v>23.644765700000001</c:v>
                </c:pt>
                <c:pt idx="98">
                  <c:v>23.463282499999998</c:v>
                </c:pt>
                <c:pt idx="99">
                  <c:v>23.281799299999999</c:v>
                </c:pt>
                <c:pt idx="100">
                  <c:v>23.100316110000001</c:v>
                </c:pt>
                <c:pt idx="101">
                  <c:v>22.918832909999999</c:v>
                </c:pt>
                <c:pt idx="102">
                  <c:v>22.73734971</c:v>
                </c:pt>
                <c:pt idx="103">
                  <c:v>22.555866510000001</c:v>
                </c:pt>
                <c:pt idx="104">
                  <c:v>22.37438332</c:v>
                </c:pt>
                <c:pt idx="105">
                  <c:v>43.252354246384392</c:v>
                </c:pt>
                <c:pt idx="106">
                  <c:v>42.382283718142034</c:v>
                </c:pt>
                <c:pt idx="107">
                  <c:v>45.401018233074367</c:v>
                </c:pt>
                <c:pt idx="108">
                  <c:v>44.834820237613506</c:v>
                </c:pt>
                <c:pt idx="109">
                  <c:v>44.025307823963473</c:v>
                </c:pt>
                <c:pt idx="110">
                  <c:v>45.643975109175209</c:v>
                </c:pt>
                <c:pt idx="111">
                  <c:v>45.418489747532718</c:v>
                </c:pt>
                <c:pt idx="112">
                  <c:v>47.063876272464853</c:v>
                </c:pt>
                <c:pt idx="113">
                  <c:v>48.444311227759691</c:v>
                </c:pt>
                <c:pt idx="114">
                  <c:v>49.709174053709546</c:v>
                </c:pt>
                <c:pt idx="115">
                  <c:v>50.297436788110836</c:v>
                </c:pt>
                <c:pt idx="116">
                  <c:v>53.252183896055129</c:v>
                </c:pt>
                <c:pt idx="117">
                  <c:v>52.602534608218178</c:v>
                </c:pt>
                <c:pt idx="118">
                  <c:v>51.769124815069354</c:v>
                </c:pt>
                <c:pt idx="119">
                  <c:v>55.077488258509135</c:v>
                </c:pt>
                <c:pt idx="120">
                  <c:v>55.619448439938758</c:v>
                </c:pt>
                <c:pt idx="121">
                  <c:v>55.16975176148884</c:v>
                </c:pt>
                <c:pt idx="122">
                  <c:v>53.906142361549001</c:v>
                </c:pt>
                <c:pt idx="123">
                  <c:v>53.671686524181858</c:v>
                </c:pt>
                <c:pt idx="124">
                  <c:v>44.519178077491688</c:v>
                </c:pt>
                <c:pt idx="125">
                  <c:v>44.583575152146807</c:v>
                </c:pt>
                <c:pt idx="126">
                  <c:v>46.83465861290189</c:v>
                </c:pt>
                <c:pt idx="127">
                  <c:v>45.769159642324411</c:v>
                </c:pt>
                <c:pt idx="128">
                  <c:v>52.105512215623421</c:v>
                </c:pt>
                <c:pt idx="129">
                  <c:v>52.927073854848949</c:v>
                </c:pt>
                <c:pt idx="130">
                  <c:v>29.744617799787736</c:v>
                </c:pt>
                <c:pt idx="131">
                  <c:v>40.00615131</c:v>
                </c:pt>
                <c:pt idx="132">
                  <c:v>38.566699630000002</c:v>
                </c:pt>
                <c:pt idx="133">
                  <c:v>37.127247939999997</c:v>
                </c:pt>
                <c:pt idx="134">
                  <c:v>35.687796249999998</c:v>
                </c:pt>
                <c:pt idx="135">
                  <c:v>34.24834456</c:v>
                </c:pt>
                <c:pt idx="136">
                  <c:v>32.808892870000001</c:v>
                </c:pt>
                <c:pt idx="137">
                  <c:v>31.369441179999999</c:v>
                </c:pt>
                <c:pt idx="138">
                  <c:v>29.929989500000001</c:v>
                </c:pt>
                <c:pt idx="139">
                  <c:v>28.490537809999999</c:v>
                </c:pt>
                <c:pt idx="140">
                  <c:v>18.13</c:v>
                </c:pt>
                <c:pt idx="141">
                  <c:v>18.829999999999998</c:v>
                </c:pt>
                <c:pt idx="142">
                  <c:v>18.850000000000001</c:v>
                </c:pt>
                <c:pt idx="143">
                  <c:v>19.260000000000002</c:v>
                </c:pt>
                <c:pt idx="144">
                  <c:v>20.51</c:v>
                </c:pt>
                <c:pt idx="145">
                  <c:v>21.74</c:v>
                </c:pt>
                <c:pt idx="146">
                  <c:v>27.01</c:v>
                </c:pt>
                <c:pt idx="147">
                  <c:v>36.01</c:v>
                </c:pt>
                <c:pt idx="148">
                  <c:v>41.08</c:v>
                </c:pt>
                <c:pt idx="149">
                  <c:v>45.15</c:v>
                </c:pt>
                <c:pt idx="150">
                  <c:v>54.15</c:v>
                </c:pt>
                <c:pt idx="151">
                  <c:v>56.41</c:v>
                </c:pt>
                <c:pt idx="152">
                  <c:v>68.7</c:v>
                </c:pt>
                <c:pt idx="153">
                  <c:v>70.77</c:v>
                </c:pt>
                <c:pt idx="154">
                  <c:v>91.77</c:v>
                </c:pt>
                <c:pt idx="155">
                  <c:v>91.75</c:v>
                </c:pt>
                <c:pt idx="156">
                  <c:v>91.58</c:v>
                </c:pt>
                <c:pt idx="157">
                  <c:v>92.49</c:v>
                </c:pt>
                <c:pt idx="158">
                  <c:v>92.59</c:v>
                </c:pt>
                <c:pt idx="159">
                  <c:v>92.81</c:v>
                </c:pt>
                <c:pt idx="160">
                  <c:v>93.03</c:v>
                </c:pt>
                <c:pt idx="161">
                  <c:v>93.78</c:v>
                </c:pt>
                <c:pt idx="162">
                  <c:v>93.64</c:v>
                </c:pt>
                <c:pt idx="163">
                  <c:v>94.56</c:v>
                </c:pt>
                <c:pt idx="164">
                  <c:v>92.78</c:v>
                </c:pt>
                <c:pt idx="165">
                  <c:v>92.17</c:v>
                </c:pt>
                <c:pt idx="166">
                  <c:v>93.26</c:v>
                </c:pt>
                <c:pt idx="167">
                  <c:v>92.53</c:v>
                </c:pt>
                <c:pt idx="168">
                  <c:v>93.4</c:v>
                </c:pt>
                <c:pt idx="169">
                  <c:v>92.91</c:v>
                </c:pt>
                <c:pt idx="170">
                  <c:v>91.96</c:v>
                </c:pt>
                <c:pt idx="171">
                  <c:v>93.29</c:v>
                </c:pt>
                <c:pt idx="172">
                  <c:v>93.37</c:v>
                </c:pt>
                <c:pt idx="173">
                  <c:v>93.45</c:v>
                </c:pt>
                <c:pt idx="174">
                  <c:v>93.53</c:v>
                </c:pt>
              </c:numCache>
            </c:numRef>
          </c:val>
          <c:smooth val="0"/>
          <c:extLst>
            <c:ext xmlns:c16="http://schemas.microsoft.com/office/drawing/2014/chart" uri="{C3380CC4-5D6E-409C-BE32-E72D297353CC}">
              <c16:uniqueId val="{00000007-7D3D-4EA6-BFEF-5C03F286FE55}"/>
            </c:ext>
          </c:extLst>
        </c:ser>
        <c:dLbls>
          <c:showLegendKey val="0"/>
          <c:showVal val="0"/>
          <c:showCatName val="0"/>
          <c:showSerName val="0"/>
          <c:showPercent val="0"/>
          <c:showBubbleSize val="0"/>
        </c:dLbls>
        <c:marker val="1"/>
        <c:smooth val="0"/>
        <c:axId val="323966751"/>
        <c:axId val="323965503"/>
      </c:lineChart>
      <c:catAx>
        <c:axId val="26147563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61473135"/>
        <c:crosses val="autoZero"/>
        <c:auto val="1"/>
        <c:lblAlgn val="ctr"/>
        <c:lblOffset val="100"/>
        <c:noMultiLvlLbl val="0"/>
      </c:catAx>
      <c:valAx>
        <c:axId val="2614731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475631"/>
        <c:crosses val="autoZero"/>
        <c:crossBetween val="between"/>
      </c:valAx>
      <c:valAx>
        <c:axId val="323965503"/>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966751"/>
        <c:crosses val="max"/>
        <c:crossBetween val="between"/>
      </c:valAx>
      <c:catAx>
        <c:axId val="323966751"/>
        <c:scaling>
          <c:orientation val="minMax"/>
        </c:scaling>
        <c:delete val="0"/>
        <c:axPos val="t"/>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23965503"/>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7438</TotalTime>
  <Pages>20</Pages>
  <Words>10261</Words>
  <Characters>58494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Eche</dc:creator>
  <cp:lastModifiedBy>SDI 1022</cp:lastModifiedBy>
  <cp:revision>205</cp:revision>
  <dcterms:created xsi:type="dcterms:W3CDTF">2026-02-16T18:30:00Z</dcterms:created>
  <dcterms:modified xsi:type="dcterms:W3CDTF">2026-04-17T11:19:00Z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d74980fe-75ce-4bb8-969d-117d32310ac5</vt:lpwstr>
  </property>
  <property fmtid="{D5CDD505-2E9C-101B-9397-08002B2CF9AE}" pid="3" name="ICV">
    <vt:lpwstr>71799c00c8d347e7a11c6b41ab8ce426</vt:lpwstr>
  </property>
</Properties>
</file>