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AFB" w:rsidRPr="00801F94" w:rsidRDefault="003E2B81" w:rsidP="00441B6F">
      <w:pPr>
        <w:pStyle w:val="Copyright"/>
        <w:spacing w:after="0" w:line="240" w:lineRule="auto"/>
        <w:jc w:val="both"/>
        <w:rPr>
          <w:rFonts w:ascii="Arial" w:hAnsi="Arial" w:cs="Arial"/>
          <w:sz w:val="36"/>
          <w:szCs w:val="36"/>
        </w:rPr>
      </w:pPr>
      <w:r w:rsidRPr="00801F94">
        <w:rPr>
          <w:rFonts w:ascii="Arial" w:hAnsi="Arial" w:cs="Arial"/>
          <w:b/>
          <w:sz w:val="36"/>
          <w:szCs w:val="36"/>
        </w:rPr>
        <w:t>Green Approach to Ampicillin Removal: Modified Rice Husk as a Sustainable Adsorbent</w:t>
      </w:r>
    </w:p>
    <w:p w:rsidR="00B01FCD" w:rsidRPr="00801F94" w:rsidRDefault="00F4243E" w:rsidP="00441B6F">
      <w:pPr>
        <w:pStyle w:val="Copyright"/>
        <w:spacing w:after="0" w:line="240" w:lineRule="auto"/>
        <w:jc w:val="both"/>
        <w:rPr>
          <w:rFonts w:ascii="Arial" w:hAnsi="Arial" w:cs="Arial"/>
        </w:rPr>
        <w:sectPr w:rsidR="00B01FCD" w:rsidRPr="00801F94" w:rsidSect="00BB3AFB">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801F94">
        <w:rPr>
          <w:rFonts w:ascii="Arial" w:hAnsi="Arial" w:cs="Arial"/>
          <w:noProof/>
        </w:rPr>
        <mc:AlternateContent>
          <mc:Choice Requires="wps">
            <w:drawing>
              <wp:inline distT="0" distB="0" distL="0" distR="0">
                <wp:extent cx="5303520" cy="635"/>
                <wp:effectExtent l="13335" t="9525" r="17145" b="9525"/>
                <wp:docPr id="16432063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64FB4D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01F94">
        <w:rPr>
          <w:rFonts w:ascii="Arial" w:hAnsi="Arial" w:cs="Arial"/>
        </w:rPr>
        <w:t>.</w:t>
      </w:r>
    </w:p>
    <w:p w:rsidR="00790ADA" w:rsidRPr="00801F94" w:rsidRDefault="00B01FCD" w:rsidP="00441B6F">
      <w:pPr>
        <w:pStyle w:val="AbstHead"/>
        <w:spacing w:after="0"/>
        <w:jc w:val="both"/>
        <w:rPr>
          <w:rFonts w:ascii="Arial" w:hAnsi="Arial" w:cs="Arial"/>
        </w:rPr>
      </w:pPr>
      <w:r w:rsidRPr="00801F94">
        <w:rPr>
          <w:rFonts w:ascii="Arial" w:hAnsi="Arial" w:cs="Arial"/>
        </w:rPr>
        <w:t>ABSTRACT</w:t>
      </w:r>
      <w:r w:rsidR="0066510A" w:rsidRPr="00801F94">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801F94" w:rsidTr="001E44FE">
        <w:tc>
          <w:tcPr>
            <w:tcW w:w="9576" w:type="dxa"/>
            <w:shd w:val="clear" w:color="auto" w:fill="F2F2F2"/>
          </w:tcPr>
          <w:p w:rsidR="00F4243E" w:rsidRPr="00801F94" w:rsidRDefault="0090540D" w:rsidP="00F4243E">
            <w:pPr>
              <w:pStyle w:val="Body"/>
              <w:spacing w:after="0"/>
              <w:rPr>
                <w:rFonts w:ascii="Arial" w:eastAsia="Calibri" w:hAnsi="Arial" w:cs="Arial"/>
              </w:rPr>
            </w:pPr>
            <w:r w:rsidRPr="0090540D">
              <w:rPr>
                <w:rFonts w:ascii="Arial" w:eastAsia="Calibri" w:hAnsi="Arial" w:cs="Arial"/>
              </w:rPr>
              <w:t xml:space="preserve">Widespread occurrence of the antibiotic ampicillin in water bodies, due to incomplete removal by conventional treatments, contributes to antimicrobial resistance and environmental risks. </w:t>
            </w:r>
            <w:r w:rsidR="00F4243E" w:rsidRPr="00801F94">
              <w:rPr>
                <w:rFonts w:ascii="Arial" w:eastAsia="Calibri" w:hAnsi="Arial" w:cs="Arial"/>
              </w:rPr>
              <w:t xml:space="preserve">This study evaluated the adsorption performance of acid-treated rice husk (ARH) for the removal of ampicillin from </w:t>
            </w:r>
            <w:r w:rsidR="00806434" w:rsidRPr="00801F94">
              <w:rPr>
                <w:rFonts w:ascii="Arial" w:eastAsia="Calibri" w:hAnsi="Arial" w:cs="Arial"/>
              </w:rPr>
              <w:t>industrial wash off</w:t>
            </w:r>
            <w:r w:rsidR="00F4243E" w:rsidRPr="00801F94">
              <w:rPr>
                <w:rFonts w:ascii="Arial" w:eastAsia="Calibri" w:hAnsi="Arial" w:cs="Arial"/>
              </w:rPr>
              <w:t xml:space="preserve">, incorporating kinetic, thermodynamic, and statistical optimization frameworks. </w:t>
            </w:r>
          </w:p>
          <w:p w:rsidR="00F4243E" w:rsidRPr="00801F94" w:rsidRDefault="00F4243E" w:rsidP="00F4243E">
            <w:pPr>
              <w:pStyle w:val="Body"/>
              <w:spacing w:after="0"/>
              <w:rPr>
                <w:rFonts w:ascii="Arial" w:eastAsia="Calibri" w:hAnsi="Arial" w:cs="Arial"/>
              </w:rPr>
            </w:pPr>
            <w:r w:rsidRPr="00801F94">
              <w:rPr>
                <w:rFonts w:ascii="Arial" w:hAnsi="Arial" w:cs="Arial"/>
              </w:rPr>
              <w:t xml:space="preserve">Rice husk was treated with </w:t>
            </w:r>
            <w:proofErr w:type="spellStart"/>
            <w:r w:rsidRPr="00801F94">
              <w:rPr>
                <w:rFonts w:ascii="Arial" w:hAnsi="Arial" w:cs="Arial"/>
              </w:rPr>
              <w:t>tetraoxosulphate</w:t>
            </w:r>
            <w:proofErr w:type="spellEnd"/>
            <w:r w:rsidRPr="00801F94">
              <w:rPr>
                <w:rFonts w:ascii="Arial" w:hAnsi="Arial" w:cs="Arial"/>
              </w:rPr>
              <w:t xml:space="preserve"> (VI</w:t>
            </w:r>
            <w:proofErr w:type="gramStart"/>
            <w:r w:rsidRPr="00801F94">
              <w:rPr>
                <w:rFonts w:ascii="Arial" w:hAnsi="Arial" w:cs="Arial"/>
              </w:rPr>
              <w:t>)  acid</w:t>
            </w:r>
            <w:proofErr w:type="gramEnd"/>
            <w:r w:rsidRPr="00801F94">
              <w:rPr>
                <w:rFonts w:ascii="Arial" w:hAnsi="Arial" w:cs="Arial"/>
              </w:rPr>
              <w:t xml:space="preserve"> (H</w:t>
            </w:r>
            <w:r w:rsidRPr="00801F94">
              <w:rPr>
                <w:rFonts w:ascii="Arial" w:hAnsi="Arial" w:cs="Arial"/>
                <w:vertAlign w:val="subscript"/>
              </w:rPr>
              <w:t>2</w:t>
            </w:r>
            <w:r w:rsidRPr="00801F94">
              <w:rPr>
                <w:rFonts w:ascii="Arial" w:hAnsi="Arial" w:cs="Arial"/>
              </w:rPr>
              <w:t>SO</w:t>
            </w:r>
            <w:r w:rsidRPr="00801F94">
              <w:rPr>
                <w:rFonts w:ascii="Arial" w:hAnsi="Arial" w:cs="Arial"/>
                <w:vertAlign w:val="subscript"/>
              </w:rPr>
              <w:t>4</w:t>
            </w:r>
            <w:r w:rsidRPr="00801F94">
              <w:rPr>
                <w:rFonts w:ascii="Arial" w:hAnsi="Arial" w:cs="Arial"/>
              </w:rPr>
              <w:t>), noted as ARH and then characterized for surface functional groups and morphology. Experiments were carried out by varying three adsorption factors: adsorbent dosage (</w:t>
            </w:r>
            <w:r w:rsidR="0065067E" w:rsidRPr="00801F94">
              <w:rPr>
                <w:rFonts w:ascii="Arial" w:hAnsi="Arial" w:cs="Arial"/>
              </w:rPr>
              <w:t>1 to 5</w:t>
            </w:r>
            <w:r w:rsidRPr="00801F94">
              <w:rPr>
                <w:rFonts w:ascii="Arial" w:hAnsi="Arial" w:cs="Arial"/>
              </w:rPr>
              <w:t>g), contact time (</w:t>
            </w:r>
            <w:r w:rsidR="0065067E" w:rsidRPr="00801F94">
              <w:rPr>
                <w:rFonts w:ascii="Arial" w:hAnsi="Arial" w:cs="Arial"/>
              </w:rPr>
              <w:t>29.3 to 180</w:t>
            </w:r>
            <w:r w:rsidRPr="00801F94">
              <w:rPr>
                <w:rFonts w:ascii="Arial" w:hAnsi="Arial" w:cs="Arial"/>
              </w:rPr>
              <w:t xml:space="preserve">min) and </w:t>
            </w:r>
            <w:r w:rsidRPr="00801F94">
              <w:rPr>
                <w:rFonts w:ascii="Arial" w:eastAsia="Calibri" w:hAnsi="Arial" w:cs="Arial"/>
              </w:rPr>
              <w:t>ampicillin concentration</w:t>
            </w:r>
            <w:r w:rsidR="0065067E" w:rsidRPr="00801F94">
              <w:rPr>
                <w:rFonts w:ascii="Arial" w:eastAsia="Calibri" w:hAnsi="Arial" w:cs="Arial"/>
              </w:rPr>
              <w:t xml:space="preserve"> (1 to 5mg/mL).</w:t>
            </w:r>
            <w:r w:rsidRPr="00801F94">
              <w:rPr>
                <w:rFonts w:ascii="Arial" w:hAnsi="Arial" w:cs="Arial"/>
              </w:rPr>
              <w:t xml:space="preserve"> Adsorption experiment was designed using the central composite design (CCD) of the response surface methodology (RSM). Experiments were carried out for optimization, equilibrium isotherm, kinetics and thermodynamic studies.</w:t>
            </w:r>
          </w:p>
          <w:p w:rsidR="00F4243E" w:rsidRPr="00801F94" w:rsidRDefault="00F4243E" w:rsidP="00F4243E">
            <w:pPr>
              <w:pStyle w:val="Body"/>
              <w:spacing w:after="0"/>
              <w:rPr>
                <w:rFonts w:ascii="Arial" w:eastAsia="Calibri" w:hAnsi="Arial" w:cs="Arial"/>
              </w:rPr>
            </w:pPr>
            <w:bookmarkStart w:id="0" w:name="_Hlk205267766"/>
            <w:r w:rsidRPr="00801F94">
              <w:rPr>
                <w:rFonts w:ascii="Arial" w:eastAsia="Calibri" w:hAnsi="Arial" w:cs="Arial"/>
              </w:rPr>
              <w:t>The adsorption kinetics aligned closely with the pseudo-second-order model (R² = 0.9964). Thermodynamic analysis confirmed the process to be both spontaneous and exothermic, characterized by a negative enthalpy change (ΔH° = –21.17 kJ/</w:t>
            </w:r>
            <w:proofErr w:type="spellStart"/>
            <w:r w:rsidRPr="00801F94">
              <w:rPr>
                <w:rFonts w:ascii="Arial" w:eastAsia="Calibri" w:hAnsi="Arial" w:cs="Arial"/>
              </w:rPr>
              <w:t>mol</w:t>
            </w:r>
            <w:proofErr w:type="spellEnd"/>
            <w:r w:rsidRPr="00801F94">
              <w:rPr>
                <w:rFonts w:ascii="Arial" w:eastAsia="Calibri" w:hAnsi="Arial" w:cs="Arial"/>
              </w:rPr>
              <w:t xml:space="preserve">) and consistently negative Gibbs free energy values suggesting </w:t>
            </w:r>
            <w:proofErr w:type="spellStart"/>
            <w:r w:rsidRPr="00801F94">
              <w:rPr>
                <w:rFonts w:ascii="Arial" w:eastAsia="Calibri" w:hAnsi="Arial" w:cs="Arial"/>
              </w:rPr>
              <w:t>favourable</w:t>
            </w:r>
            <w:proofErr w:type="spellEnd"/>
            <w:r w:rsidRPr="00801F94">
              <w:rPr>
                <w:rFonts w:ascii="Arial" w:eastAsia="Calibri" w:hAnsi="Arial" w:cs="Arial"/>
              </w:rPr>
              <w:t xml:space="preserve"> adsorption. Ampicillin concentration and ARH dosage were identified as the most statistically significant parameters influencing removal efficiency. The developed quadratic model exhibited high predictive reliability (R² = 0.9660, </w:t>
            </w:r>
            <w:r w:rsidRPr="00801F94">
              <w:rPr>
                <w:rFonts w:ascii="Arial" w:eastAsia="Calibri" w:hAnsi="Arial" w:cs="Arial"/>
                <w:i/>
                <w:iCs/>
              </w:rPr>
              <w:t>P </w:t>
            </w:r>
            <w:r w:rsidRPr="00801F94">
              <w:rPr>
                <w:rFonts w:ascii="Arial" w:eastAsia="Calibri" w:hAnsi="Arial" w:cs="Arial"/>
              </w:rPr>
              <w:t xml:space="preserve">&lt; 0.001) with low significant lack-of-fit, supporting its robustness. Optimization analysis predicted a maximum removal efficiency of 94.99% under the conditions of 181 minutes contact time, 1.0 g/L ARH dosage, and 4.47 mg/L initial concentration, achieving a desirability score of 1.000. </w:t>
            </w:r>
            <w:bookmarkEnd w:id="0"/>
          </w:p>
          <w:p w:rsidR="00505F06" w:rsidRPr="00801F94" w:rsidRDefault="00F4243E" w:rsidP="00F4243E">
            <w:pPr>
              <w:pStyle w:val="Body"/>
              <w:spacing w:after="0"/>
              <w:rPr>
                <w:rFonts w:ascii="Arial" w:eastAsia="Calibri" w:hAnsi="Arial" w:cs="Arial"/>
                <w:szCs w:val="22"/>
              </w:rPr>
            </w:pPr>
            <w:r w:rsidRPr="00801F94">
              <w:rPr>
                <w:rFonts w:ascii="Arial" w:eastAsia="Calibri" w:hAnsi="Arial" w:cs="Arial"/>
              </w:rPr>
              <w:t xml:space="preserve">These findings underscore the efficacy of ARH as a sustainable, low-cost </w:t>
            </w:r>
            <w:proofErr w:type="spellStart"/>
            <w:r w:rsidRPr="00801F94">
              <w:rPr>
                <w:rFonts w:ascii="Arial" w:eastAsia="Calibri" w:hAnsi="Arial" w:cs="Arial"/>
              </w:rPr>
              <w:t>biosorbent</w:t>
            </w:r>
            <w:proofErr w:type="spellEnd"/>
            <w:r w:rsidRPr="00801F94">
              <w:rPr>
                <w:rFonts w:ascii="Arial" w:eastAsia="Calibri" w:hAnsi="Arial" w:cs="Arial"/>
              </w:rPr>
              <w:t xml:space="preserve"> for the treatment of pharmaceutical-laden wastewater, demonstrating high performance under carefully optimized conditions and strong potential for scalable environmental applications.</w:t>
            </w:r>
          </w:p>
        </w:tc>
      </w:tr>
    </w:tbl>
    <w:p w:rsidR="00636EB2" w:rsidRPr="00801F94" w:rsidRDefault="00636EB2" w:rsidP="00441B6F">
      <w:pPr>
        <w:pStyle w:val="Body"/>
        <w:spacing w:after="0"/>
        <w:rPr>
          <w:rFonts w:ascii="Arial" w:hAnsi="Arial" w:cs="Arial"/>
          <w:i/>
        </w:rPr>
      </w:pPr>
    </w:p>
    <w:p w:rsidR="00F4243E" w:rsidRPr="00801F94" w:rsidRDefault="00F4243E" w:rsidP="00F4243E">
      <w:pPr>
        <w:pStyle w:val="Body"/>
        <w:spacing w:after="0"/>
        <w:rPr>
          <w:rFonts w:ascii="Arial" w:hAnsi="Arial" w:cs="Arial"/>
          <w:i/>
        </w:rPr>
      </w:pPr>
    </w:p>
    <w:p w:rsidR="00F56DCB" w:rsidRPr="00801F94" w:rsidRDefault="00F56DCB" w:rsidP="00F56DCB">
      <w:pPr>
        <w:pStyle w:val="Body"/>
        <w:spacing w:after="0"/>
        <w:jc w:val="center"/>
        <w:rPr>
          <w:rFonts w:ascii="Arial" w:hAnsi="Arial" w:cs="Arial"/>
          <w:b/>
          <w:bCs/>
          <w:i/>
        </w:rPr>
      </w:pPr>
      <w:r w:rsidRPr="00801F94">
        <w:rPr>
          <w:rFonts w:ascii="Arial" w:hAnsi="Arial" w:cs="Arial"/>
          <w:b/>
          <w:bCs/>
          <w:i/>
        </w:rPr>
        <w:t>Graphical Abstract</w:t>
      </w:r>
    </w:p>
    <w:p w:rsidR="00F56DCB" w:rsidRPr="00801F94" w:rsidRDefault="00F56DCB" w:rsidP="00F4243E">
      <w:pPr>
        <w:pStyle w:val="Body"/>
        <w:spacing w:after="0"/>
        <w:rPr>
          <w:rFonts w:ascii="Arial" w:hAnsi="Arial" w:cs="Arial"/>
          <w:i/>
        </w:rPr>
      </w:pPr>
    </w:p>
    <w:p w:rsidR="00445AED" w:rsidRPr="00801F94" w:rsidRDefault="00445AED" w:rsidP="00F56DCB">
      <w:pPr>
        <w:pStyle w:val="Body"/>
        <w:spacing w:after="0"/>
        <w:jc w:val="center"/>
        <w:rPr>
          <w:rFonts w:ascii="Arial" w:hAnsi="Arial" w:cs="Arial"/>
          <w:b/>
          <w:bCs/>
          <w:i/>
        </w:rPr>
      </w:pPr>
      <w:r w:rsidRPr="00801F94">
        <w:rPr>
          <w:rFonts w:ascii="Arial" w:hAnsi="Arial" w:cs="Arial"/>
          <w:b/>
          <w:bCs/>
          <w:i/>
          <w:noProof/>
        </w:rPr>
        <w:drawing>
          <wp:inline distT="0" distB="0" distL="0" distR="0">
            <wp:extent cx="4439920" cy="2625602"/>
            <wp:effectExtent l="0" t="0" r="0" b="3810"/>
            <wp:docPr id="1236986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4670" cy="2634325"/>
                    </a:xfrm>
                    <a:prstGeom prst="rect">
                      <a:avLst/>
                    </a:prstGeom>
                    <a:noFill/>
                    <a:ln>
                      <a:noFill/>
                    </a:ln>
                  </pic:spPr>
                </pic:pic>
              </a:graphicData>
            </a:graphic>
          </wp:inline>
        </w:drawing>
      </w:r>
    </w:p>
    <w:p w:rsidR="00445AED" w:rsidRPr="00801F94" w:rsidRDefault="00445AED" w:rsidP="00F4243E">
      <w:pPr>
        <w:pStyle w:val="Body"/>
        <w:spacing w:after="0"/>
        <w:jc w:val="center"/>
        <w:rPr>
          <w:rFonts w:ascii="Arial" w:hAnsi="Arial" w:cs="Arial"/>
          <w:b/>
          <w:bCs/>
          <w:i/>
          <w:lang w:val="en-GB"/>
        </w:rPr>
      </w:pPr>
    </w:p>
    <w:p w:rsidR="00F4243E" w:rsidRPr="00801F94" w:rsidRDefault="00F4243E" w:rsidP="00F4243E">
      <w:pPr>
        <w:pStyle w:val="Body"/>
        <w:spacing w:after="0"/>
        <w:rPr>
          <w:rFonts w:ascii="Arial" w:hAnsi="Arial" w:cs="Arial"/>
          <w:i/>
        </w:rPr>
      </w:pPr>
      <w:r w:rsidRPr="00801F94">
        <w:rPr>
          <w:rFonts w:ascii="Arial" w:hAnsi="Arial" w:cs="Arial"/>
          <w:i/>
        </w:rPr>
        <w:t>Keywords:</w:t>
      </w:r>
      <w:bookmarkStart w:id="1" w:name="_Hlk205269696"/>
      <w:r w:rsidR="00D51A6A" w:rsidRPr="00801F94">
        <w:rPr>
          <w:rFonts w:ascii="Arial" w:hAnsi="Arial" w:cs="Arial"/>
          <w:i/>
        </w:rPr>
        <w:t xml:space="preserve"> Sustainability, Green chemistry</w:t>
      </w:r>
      <w:proofErr w:type="gramStart"/>
      <w:r w:rsidR="00D51A6A" w:rsidRPr="00801F94">
        <w:rPr>
          <w:rFonts w:ascii="Arial" w:hAnsi="Arial" w:cs="Arial"/>
          <w:i/>
        </w:rPr>
        <w:t xml:space="preserve">, </w:t>
      </w:r>
      <w:r w:rsidRPr="00801F94">
        <w:rPr>
          <w:rFonts w:ascii="Arial" w:hAnsi="Arial" w:cs="Arial"/>
          <w:i/>
        </w:rPr>
        <w:t xml:space="preserve"> </w:t>
      </w:r>
      <w:r w:rsidR="00D51A6A" w:rsidRPr="00801F94">
        <w:rPr>
          <w:rFonts w:ascii="Arial" w:hAnsi="Arial" w:cs="Arial"/>
          <w:i/>
        </w:rPr>
        <w:t>Biomass</w:t>
      </w:r>
      <w:proofErr w:type="gramEnd"/>
      <w:r w:rsidRPr="00801F94">
        <w:rPr>
          <w:rFonts w:ascii="Arial" w:hAnsi="Arial" w:cs="Arial"/>
          <w:i/>
        </w:rPr>
        <w:t xml:space="preserve">, Adsorption, </w:t>
      </w:r>
      <w:r w:rsidR="00D51A6A" w:rsidRPr="00801F94">
        <w:rPr>
          <w:rFonts w:ascii="Arial" w:hAnsi="Arial" w:cs="Arial"/>
          <w:i/>
        </w:rPr>
        <w:t>pharmaceutical effluent</w:t>
      </w:r>
      <w:r w:rsidRPr="00801F94">
        <w:rPr>
          <w:rFonts w:ascii="Arial" w:hAnsi="Arial" w:cs="Arial"/>
          <w:i/>
        </w:rPr>
        <w:t>, Optimization</w:t>
      </w:r>
      <w:bookmarkEnd w:id="1"/>
    </w:p>
    <w:p w:rsidR="0024282C" w:rsidRPr="00801F94" w:rsidRDefault="0024282C" w:rsidP="00441B6F">
      <w:pPr>
        <w:pStyle w:val="Body"/>
        <w:spacing w:after="0"/>
        <w:rPr>
          <w:rFonts w:ascii="Arial" w:hAnsi="Arial" w:cs="Arial"/>
          <w:i/>
          <w:sz w:val="18"/>
        </w:rPr>
      </w:pPr>
    </w:p>
    <w:p w:rsidR="007F7B32" w:rsidRPr="00801F94" w:rsidRDefault="00902823" w:rsidP="00441B6F">
      <w:pPr>
        <w:pStyle w:val="AbstHead"/>
        <w:spacing w:after="0"/>
        <w:jc w:val="both"/>
        <w:rPr>
          <w:rFonts w:ascii="Arial" w:hAnsi="Arial" w:cs="Arial"/>
        </w:rPr>
      </w:pPr>
      <w:r w:rsidRPr="00801F94">
        <w:rPr>
          <w:rFonts w:ascii="Arial" w:hAnsi="Arial" w:cs="Arial"/>
        </w:rPr>
        <w:lastRenderedPageBreak/>
        <w:t xml:space="preserve">1. </w:t>
      </w:r>
      <w:r w:rsidR="00B01FCD" w:rsidRPr="00801F94">
        <w:rPr>
          <w:rFonts w:ascii="Arial" w:hAnsi="Arial" w:cs="Arial"/>
        </w:rPr>
        <w:t>INTRODUCTION</w:t>
      </w:r>
    </w:p>
    <w:p w:rsidR="00790ADA" w:rsidRPr="00801F94" w:rsidRDefault="00790ADA" w:rsidP="00441B6F">
      <w:pPr>
        <w:pStyle w:val="AbstHead"/>
        <w:spacing w:after="0"/>
        <w:jc w:val="both"/>
        <w:rPr>
          <w:rFonts w:ascii="Arial" w:hAnsi="Arial" w:cs="Arial"/>
        </w:rPr>
      </w:pPr>
    </w:p>
    <w:p w:rsidR="00F4243E" w:rsidRPr="00801F94" w:rsidRDefault="00F4243E" w:rsidP="00F4243E">
      <w:pPr>
        <w:pStyle w:val="Body"/>
        <w:spacing w:after="0"/>
        <w:rPr>
          <w:rFonts w:ascii="Arial" w:hAnsi="Arial" w:cs="Arial"/>
        </w:rPr>
      </w:pPr>
      <w:bookmarkStart w:id="2" w:name="_Hlk205268184"/>
      <w:r w:rsidRPr="00801F94">
        <w:rPr>
          <w:rFonts w:ascii="Arial" w:hAnsi="Arial" w:cs="Arial"/>
        </w:rPr>
        <w:t xml:space="preserve">Pharmaceutical contaminants, particularly antibiotics, have emerged as persistent </w:t>
      </w:r>
      <w:proofErr w:type="spellStart"/>
      <w:r w:rsidRPr="00801F94">
        <w:rPr>
          <w:rFonts w:ascii="Arial" w:hAnsi="Arial" w:cs="Arial"/>
        </w:rPr>
        <w:t>micropollutants</w:t>
      </w:r>
      <w:proofErr w:type="spellEnd"/>
      <w:r w:rsidRPr="00801F94">
        <w:rPr>
          <w:rFonts w:ascii="Arial" w:hAnsi="Arial" w:cs="Arial"/>
        </w:rPr>
        <w:t xml:space="preserve"> in aquatic systems due to their extensive use in human health care, veterinary practice, and agriculture</w:t>
      </w:r>
      <w:r w:rsidR="00AC0A46" w:rsidRPr="00801F94">
        <w:rPr>
          <w:rFonts w:ascii="Arial" w:hAnsi="Arial" w:cs="Arial"/>
        </w:rPr>
        <w:t xml:space="preserve"> (</w:t>
      </w:r>
      <w:r w:rsidR="00AC0A46" w:rsidRPr="00801F94">
        <w:rPr>
          <w:rStyle w:val="Strong"/>
          <w:rFonts w:ascii="Arial" w:eastAsiaTheme="majorEastAsia" w:hAnsi="Arial" w:cs="Arial"/>
          <w:b w:val="0"/>
          <w:bCs w:val="0"/>
        </w:rPr>
        <w:t xml:space="preserve">Rahman and </w:t>
      </w:r>
      <w:proofErr w:type="spellStart"/>
      <w:r w:rsidR="00AC0A46" w:rsidRPr="00801F94">
        <w:rPr>
          <w:rStyle w:val="Strong"/>
          <w:rFonts w:ascii="Arial" w:eastAsiaTheme="majorEastAsia" w:hAnsi="Arial" w:cs="Arial"/>
          <w:b w:val="0"/>
          <w:bCs w:val="0"/>
        </w:rPr>
        <w:t>Varshneya</w:t>
      </w:r>
      <w:proofErr w:type="spellEnd"/>
      <w:r w:rsidR="00AC0A46" w:rsidRPr="00801F94">
        <w:rPr>
          <w:rStyle w:val="Strong"/>
          <w:rFonts w:ascii="Arial" w:eastAsiaTheme="majorEastAsia" w:hAnsi="Arial" w:cs="Arial"/>
          <w:b w:val="0"/>
          <w:bCs w:val="0"/>
        </w:rPr>
        <w:t xml:space="preserve">, </w:t>
      </w:r>
      <w:r w:rsidR="00AC0A46" w:rsidRPr="00801F94">
        <w:rPr>
          <w:rFonts w:ascii="Arial" w:hAnsi="Arial" w:cs="Arial"/>
        </w:rPr>
        <w:t xml:space="preserve">2020). </w:t>
      </w:r>
      <w:r w:rsidRPr="00801F94">
        <w:rPr>
          <w:rFonts w:ascii="Arial" w:hAnsi="Arial" w:cs="Arial"/>
        </w:rPr>
        <w:t>Antibiotic consumption at high levels in both human and veterinary populations pose</w:t>
      </w:r>
      <w:r w:rsidR="00013CFF" w:rsidRPr="00801F94">
        <w:rPr>
          <w:rFonts w:ascii="Arial" w:hAnsi="Arial" w:cs="Arial"/>
        </w:rPr>
        <w:t>s</w:t>
      </w:r>
      <w:r w:rsidRPr="00801F94">
        <w:rPr>
          <w:rFonts w:ascii="Arial" w:hAnsi="Arial" w:cs="Arial"/>
        </w:rPr>
        <w:t xml:space="preserve"> a risk </w:t>
      </w:r>
      <w:r w:rsidR="00013CFF" w:rsidRPr="00801F94">
        <w:rPr>
          <w:rFonts w:ascii="Arial" w:hAnsi="Arial" w:cs="Arial"/>
        </w:rPr>
        <w:t>and</w:t>
      </w:r>
      <w:r w:rsidRPr="00801F94">
        <w:rPr>
          <w:rFonts w:ascii="Arial" w:hAnsi="Arial" w:cs="Arial"/>
        </w:rPr>
        <w:t xml:space="preserve"> adversely affect</w:t>
      </w:r>
      <w:r w:rsidR="00013CFF" w:rsidRPr="00801F94">
        <w:rPr>
          <w:rFonts w:ascii="Arial" w:hAnsi="Arial" w:cs="Arial"/>
        </w:rPr>
        <w:t>s</w:t>
      </w:r>
      <w:r w:rsidRPr="00801F94">
        <w:rPr>
          <w:rFonts w:ascii="Arial" w:hAnsi="Arial" w:cs="Arial"/>
        </w:rPr>
        <w:t xml:space="preserve"> the health of living organisms (</w:t>
      </w:r>
      <w:proofErr w:type="spellStart"/>
      <w:r w:rsidRPr="00801F94">
        <w:rPr>
          <w:rFonts w:ascii="Arial" w:hAnsi="Arial" w:cs="Arial"/>
        </w:rPr>
        <w:t>Míguez</w:t>
      </w:r>
      <w:proofErr w:type="spellEnd"/>
      <w:r w:rsidRPr="00801F94">
        <w:rPr>
          <w:rFonts w:ascii="Arial" w:hAnsi="Arial" w:cs="Arial"/>
        </w:rPr>
        <w:t>-Gonzalez, 2023).  Ampicillin, a widely administered β-lactam antibiotic, is commonly detected in surface water, wastewater, and even drinking water, primarily because of its incomplete metabolism and the limited removal efficiency of conventional treatment processes (</w:t>
      </w:r>
      <w:proofErr w:type="spellStart"/>
      <w:r w:rsidRPr="00801F94">
        <w:rPr>
          <w:rFonts w:ascii="Arial" w:hAnsi="Arial" w:cs="Arial"/>
        </w:rPr>
        <w:t>Kümmerer</w:t>
      </w:r>
      <w:proofErr w:type="spellEnd"/>
      <w:r w:rsidRPr="00801F94">
        <w:rPr>
          <w:rFonts w:ascii="Arial" w:hAnsi="Arial" w:cs="Arial"/>
        </w:rPr>
        <w:t>, 2009; Michael et al., 2013). The presence of trace-level antibiotics in aquatic environments contributes to the global escalation of antimicrobial resistance (AMR), posing serious ecological and public health challenges (Martinez, 2009; WHO, 201</w:t>
      </w:r>
      <w:r w:rsidR="00AA2365" w:rsidRPr="00801F94">
        <w:rPr>
          <w:rFonts w:ascii="Arial" w:hAnsi="Arial" w:cs="Arial"/>
        </w:rPr>
        <w:t>6</w:t>
      </w:r>
      <w:r w:rsidRPr="00801F94">
        <w:rPr>
          <w:rFonts w:ascii="Arial" w:hAnsi="Arial" w:cs="Arial"/>
        </w:rPr>
        <w:t xml:space="preserve">). </w:t>
      </w:r>
    </w:p>
    <w:p w:rsidR="00F911F2" w:rsidRPr="00801F94" w:rsidRDefault="00F4243E" w:rsidP="00F4243E">
      <w:pPr>
        <w:pStyle w:val="Body"/>
        <w:spacing w:after="0"/>
        <w:rPr>
          <w:rFonts w:ascii="Arial" w:hAnsi="Arial" w:cs="Arial"/>
        </w:rPr>
      </w:pPr>
      <w:r w:rsidRPr="00801F94">
        <w:rPr>
          <w:rFonts w:ascii="Arial" w:hAnsi="Arial" w:cs="Arial"/>
        </w:rPr>
        <w:t>Various treatment technologies, including membrane filtration, advanced oxidation processes</w:t>
      </w:r>
      <w:r w:rsidR="00F911F2" w:rsidRPr="00801F94">
        <w:rPr>
          <w:rFonts w:ascii="Arial" w:hAnsi="Arial" w:cs="Arial"/>
        </w:rPr>
        <w:t xml:space="preserve"> (AOPs)</w:t>
      </w:r>
      <w:r w:rsidRPr="00801F94">
        <w:rPr>
          <w:rFonts w:ascii="Arial" w:hAnsi="Arial" w:cs="Arial"/>
        </w:rPr>
        <w:t>, and biodegradation, have been employed to mitigate antibiotic contamination (Ahmed et al., 2017).</w:t>
      </w:r>
    </w:p>
    <w:p w:rsidR="00F4243E" w:rsidRPr="00801F94" w:rsidRDefault="00F911F2" w:rsidP="00F4243E">
      <w:pPr>
        <w:pStyle w:val="Body"/>
        <w:spacing w:after="0"/>
        <w:rPr>
          <w:rFonts w:ascii="Arial" w:hAnsi="Arial" w:cs="Arial"/>
        </w:rPr>
      </w:pPr>
      <w:r w:rsidRPr="00801F94">
        <w:rPr>
          <w:rFonts w:ascii="Arial" w:hAnsi="Arial" w:cs="Arial"/>
        </w:rPr>
        <w:t xml:space="preserve">Recent studies have demonstrated that AOPs such as Fenton, photo-Fenton, </w:t>
      </w:r>
      <w:proofErr w:type="spellStart"/>
      <w:r w:rsidRPr="00801F94">
        <w:rPr>
          <w:rFonts w:ascii="Arial" w:hAnsi="Arial" w:cs="Arial"/>
        </w:rPr>
        <w:t>ozonation</w:t>
      </w:r>
      <w:proofErr w:type="spellEnd"/>
      <w:r w:rsidRPr="00801F94">
        <w:rPr>
          <w:rFonts w:ascii="Arial" w:hAnsi="Arial" w:cs="Arial"/>
        </w:rPr>
        <w:t xml:space="preserve">, </w:t>
      </w:r>
      <w:proofErr w:type="spellStart"/>
      <w:r w:rsidRPr="00801F94">
        <w:rPr>
          <w:rFonts w:ascii="Arial" w:hAnsi="Arial" w:cs="Arial"/>
        </w:rPr>
        <w:t>photocatalysis</w:t>
      </w:r>
      <w:proofErr w:type="spellEnd"/>
      <w:r w:rsidRPr="00801F94">
        <w:rPr>
          <w:rFonts w:ascii="Arial" w:hAnsi="Arial" w:cs="Arial"/>
        </w:rPr>
        <w:t>, and UV/H</w:t>
      </w:r>
      <w:r w:rsidRPr="00801F94">
        <w:rPr>
          <w:rFonts w:ascii="Cambria Math" w:hAnsi="Cambria Math" w:cs="Cambria Math"/>
        </w:rPr>
        <w:t>₂</w:t>
      </w:r>
      <w:r w:rsidRPr="00801F94">
        <w:rPr>
          <w:rFonts w:ascii="Arial" w:hAnsi="Arial" w:cs="Arial"/>
        </w:rPr>
        <w:t>O</w:t>
      </w:r>
      <w:r w:rsidRPr="00801F94">
        <w:rPr>
          <w:rFonts w:ascii="Cambria Math" w:hAnsi="Cambria Math" w:cs="Cambria Math"/>
        </w:rPr>
        <w:t>₂</w:t>
      </w:r>
      <w:r w:rsidRPr="00801F94">
        <w:rPr>
          <w:rFonts w:ascii="Arial" w:hAnsi="Arial" w:cs="Arial"/>
        </w:rPr>
        <w:t xml:space="preserve"> systems are highly efficient for the degradation and mineralization of pharmaceutical contaminants in water systems (</w:t>
      </w:r>
      <w:proofErr w:type="spellStart"/>
      <w:r w:rsidRPr="00801F94">
        <w:rPr>
          <w:rFonts w:ascii="Arial" w:hAnsi="Arial" w:cs="Arial"/>
        </w:rPr>
        <w:t>Shulin</w:t>
      </w:r>
      <w:proofErr w:type="spellEnd"/>
      <w:r w:rsidRPr="00801F94">
        <w:rPr>
          <w:rFonts w:ascii="Arial" w:hAnsi="Arial" w:cs="Arial"/>
        </w:rPr>
        <w:t xml:space="preserve">, et. al., 2026). However, despite their effectiveness, these approaches especially are often associated with limitations such as high operational costs, energy demand, and the possible formation of intermediate by-products that may exhibit residual toxicity and </w:t>
      </w:r>
      <w:r w:rsidR="00F4243E" w:rsidRPr="00801F94">
        <w:rPr>
          <w:rFonts w:ascii="Arial" w:hAnsi="Arial" w:cs="Arial"/>
        </w:rPr>
        <w:t>reduced scalability</w:t>
      </w:r>
      <w:r w:rsidR="00691D3E" w:rsidRPr="00801F94">
        <w:rPr>
          <w:rFonts w:ascii="Arial" w:hAnsi="Arial" w:cs="Arial"/>
        </w:rPr>
        <w:t xml:space="preserve"> </w:t>
      </w:r>
      <w:r w:rsidRPr="00801F94">
        <w:rPr>
          <w:rFonts w:ascii="Arial" w:hAnsi="Arial" w:cs="Arial"/>
        </w:rPr>
        <w:t>(</w:t>
      </w:r>
      <w:proofErr w:type="spellStart"/>
      <w:r w:rsidR="00691D3E" w:rsidRPr="00801F94">
        <w:rPr>
          <w:rFonts w:ascii="Arial" w:hAnsi="Arial" w:cs="Arial"/>
        </w:rPr>
        <w:t>Shulin</w:t>
      </w:r>
      <w:proofErr w:type="spellEnd"/>
      <w:r w:rsidR="00691D3E" w:rsidRPr="00801F94">
        <w:rPr>
          <w:rFonts w:ascii="Arial" w:hAnsi="Arial" w:cs="Arial"/>
        </w:rPr>
        <w:t>, et. al., 2026</w:t>
      </w:r>
      <w:r w:rsidRPr="00801F94">
        <w:rPr>
          <w:rFonts w:ascii="Arial" w:hAnsi="Arial" w:cs="Arial"/>
        </w:rPr>
        <w:t>)</w:t>
      </w:r>
      <w:r w:rsidR="00F4243E" w:rsidRPr="00801F94">
        <w:rPr>
          <w:rFonts w:ascii="Arial" w:hAnsi="Arial" w:cs="Arial"/>
        </w:rPr>
        <w:t>. In contrast, adsorption has gained prominence as a versatile, cost-effective, and environmentally benign alternative for the removal of pharmaceutical pollutants from water systems (</w:t>
      </w:r>
      <w:proofErr w:type="spellStart"/>
      <w:r w:rsidR="00F4243E" w:rsidRPr="00801F94">
        <w:rPr>
          <w:rFonts w:ascii="Arial" w:hAnsi="Arial" w:cs="Arial"/>
        </w:rPr>
        <w:t>Crini</w:t>
      </w:r>
      <w:proofErr w:type="spellEnd"/>
      <w:r w:rsidR="00F4243E" w:rsidRPr="00801F94">
        <w:rPr>
          <w:rFonts w:ascii="Arial" w:hAnsi="Arial" w:cs="Arial"/>
        </w:rPr>
        <w:t xml:space="preserve"> &amp; </w:t>
      </w:r>
      <w:proofErr w:type="spellStart"/>
      <w:r w:rsidR="00F4243E" w:rsidRPr="00801F94">
        <w:rPr>
          <w:rFonts w:ascii="Arial" w:hAnsi="Arial" w:cs="Arial"/>
        </w:rPr>
        <w:t>Lichtfouse</w:t>
      </w:r>
      <w:proofErr w:type="spellEnd"/>
      <w:r w:rsidR="00F4243E" w:rsidRPr="00801F94">
        <w:rPr>
          <w:rFonts w:ascii="Arial" w:hAnsi="Arial" w:cs="Arial"/>
        </w:rPr>
        <w:t xml:space="preserve">, 2019). </w:t>
      </w:r>
    </w:p>
    <w:p w:rsidR="00691D3E" w:rsidRPr="00801F94" w:rsidRDefault="00F4243E" w:rsidP="00F4243E">
      <w:pPr>
        <w:pStyle w:val="Body"/>
        <w:spacing w:after="0"/>
        <w:rPr>
          <w:rFonts w:ascii="Arial" w:hAnsi="Arial" w:cs="Arial"/>
        </w:rPr>
      </w:pPr>
      <w:r w:rsidRPr="00801F94">
        <w:rPr>
          <w:rFonts w:ascii="Arial" w:hAnsi="Arial" w:cs="Arial"/>
        </w:rPr>
        <w:t xml:space="preserve">Among the array of low-cost adsorbents, agricultural biomass residues offer benefits due to their availability, biodegradability, and potential for chemical modification to enhance adsorption performance </w:t>
      </w:r>
      <w:r w:rsidR="007F2134" w:rsidRPr="00801F94">
        <w:rPr>
          <w:rFonts w:ascii="Arial" w:hAnsi="Arial" w:cs="Arial"/>
        </w:rPr>
        <w:t>(</w:t>
      </w:r>
      <w:r w:rsidRPr="00801F94">
        <w:rPr>
          <w:rFonts w:ascii="Arial" w:hAnsi="Arial" w:cs="Arial"/>
        </w:rPr>
        <w:t xml:space="preserve">Yu, et.al 2016; Zhang, et.al 2023; </w:t>
      </w:r>
      <w:proofErr w:type="spellStart"/>
      <w:r w:rsidRPr="00801F94">
        <w:rPr>
          <w:rFonts w:ascii="Arial" w:hAnsi="Arial" w:cs="Arial"/>
        </w:rPr>
        <w:t>Ajala</w:t>
      </w:r>
      <w:proofErr w:type="spellEnd"/>
      <w:r w:rsidRPr="00801F94">
        <w:rPr>
          <w:rFonts w:ascii="Arial" w:hAnsi="Arial" w:cs="Arial"/>
        </w:rPr>
        <w:t>, et.al 2023; Alawa, et.al 2025). Rice husk, a major agro-industrial by</w:t>
      </w:r>
      <w:r w:rsidR="007F2134" w:rsidRPr="00801F94">
        <w:rPr>
          <w:rFonts w:ascii="Arial" w:hAnsi="Arial" w:cs="Arial"/>
        </w:rPr>
        <w:t>-</w:t>
      </w:r>
      <w:r w:rsidRPr="00801F94">
        <w:rPr>
          <w:rFonts w:ascii="Arial" w:hAnsi="Arial" w:cs="Arial"/>
        </w:rPr>
        <w:t xml:space="preserve">product in rice-producing regions, is rich in silica, lignin, and cellulose—components that provide functional groups </w:t>
      </w:r>
      <w:r w:rsidR="00013CFF" w:rsidRPr="00801F94">
        <w:rPr>
          <w:rFonts w:ascii="Arial" w:hAnsi="Arial" w:cs="Arial"/>
        </w:rPr>
        <w:t>needed</w:t>
      </w:r>
      <w:r w:rsidRPr="00801F94">
        <w:rPr>
          <w:rFonts w:ascii="Arial" w:hAnsi="Arial" w:cs="Arial"/>
        </w:rPr>
        <w:t xml:space="preserve"> to adsorption. </w:t>
      </w:r>
    </w:p>
    <w:p w:rsidR="00F4243E" w:rsidRPr="00801F94" w:rsidRDefault="00691D3E" w:rsidP="00691D3E">
      <w:pPr>
        <w:spacing w:after="160" w:line="278" w:lineRule="auto"/>
        <w:rPr>
          <w:rFonts w:ascii="Arial" w:hAnsi="Arial" w:cs="Arial"/>
        </w:rPr>
      </w:pPr>
      <w:r w:rsidRPr="00801F94">
        <w:rPr>
          <w:rFonts w:ascii="Arial" w:hAnsi="Arial" w:cs="Arial"/>
        </w:rPr>
        <w:t xml:space="preserve">Several studies have demonstrated that mineral acids are particularly effective for modifying </w:t>
      </w:r>
      <w:proofErr w:type="spellStart"/>
      <w:r w:rsidRPr="00801F94">
        <w:rPr>
          <w:rFonts w:ascii="Arial" w:hAnsi="Arial" w:cs="Arial"/>
        </w:rPr>
        <w:t>lignocellulosic</w:t>
      </w:r>
      <w:proofErr w:type="spellEnd"/>
      <w:r w:rsidRPr="00801F94">
        <w:rPr>
          <w:rFonts w:ascii="Arial" w:hAnsi="Arial" w:cs="Arial"/>
        </w:rPr>
        <w:t xml:space="preserve"> materials due to </w:t>
      </w:r>
      <w:r w:rsidR="00D7201B" w:rsidRPr="00801F94">
        <w:rPr>
          <w:rFonts w:ascii="Arial" w:hAnsi="Arial" w:cs="Arial"/>
        </w:rPr>
        <w:t>their</w:t>
      </w:r>
      <w:r w:rsidRPr="00801F94">
        <w:rPr>
          <w:rFonts w:ascii="Arial" w:hAnsi="Arial" w:cs="Arial"/>
        </w:rPr>
        <w:t xml:space="preserve"> strong </w:t>
      </w:r>
      <w:r w:rsidR="00D7201B" w:rsidRPr="00801F94">
        <w:rPr>
          <w:rFonts w:ascii="Arial" w:hAnsi="Arial" w:cs="Arial"/>
        </w:rPr>
        <w:t>oxidizing</w:t>
      </w:r>
      <w:r w:rsidRPr="00801F94">
        <w:rPr>
          <w:rFonts w:ascii="Arial" w:hAnsi="Arial" w:cs="Arial"/>
        </w:rPr>
        <w:t xml:space="preserve"> nature. </w:t>
      </w:r>
      <w:proofErr w:type="spellStart"/>
      <w:r w:rsidRPr="00801F94">
        <w:rPr>
          <w:rFonts w:ascii="Arial" w:hAnsi="Arial" w:cs="Arial"/>
        </w:rPr>
        <w:t>Emdadi</w:t>
      </w:r>
      <w:proofErr w:type="spellEnd"/>
      <w:r w:rsidRPr="00801F94">
        <w:rPr>
          <w:rFonts w:ascii="Arial" w:hAnsi="Arial" w:cs="Arial"/>
        </w:rPr>
        <w:t xml:space="preserve"> et al.</w:t>
      </w:r>
      <w:r w:rsidR="00D650D0" w:rsidRPr="00801F94">
        <w:rPr>
          <w:rFonts w:ascii="Arial" w:hAnsi="Arial" w:cs="Arial"/>
        </w:rPr>
        <w:t>,</w:t>
      </w:r>
      <w:r w:rsidRPr="00801F94">
        <w:rPr>
          <w:rFonts w:ascii="Arial" w:hAnsi="Arial" w:cs="Arial"/>
        </w:rPr>
        <w:t xml:space="preserve"> (</w:t>
      </w:r>
      <w:hyperlink r:id="rId13" w:history="1">
        <w:r w:rsidRPr="00801F94">
          <w:rPr>
            <w:rStyle w:val="Hyperlink"/>
            <w:rFonts w:ascii="Arial" w:hAnsi="Arial" w:cs="Arial"/>
            <w:color w:val="000000" w:themeColor="text1"/>
            <w:u w:val="none"/>
          </w:rPr>
          <w:t>2017</w:t>
        </w:r>
      </w:hyperlink>
      <w:r w:rsidRPr="00801F94">
        <w:rPr>
          <w:rFonts w:ascii="Arial" w:hAnsi="Arial" w:cs="Arial"/>
        </w:rPr>
        <w:t>) used nitric acid to prepare chemically modified rice husk for desiccant applications</w:t>
      </w:r>
      <w:r w:rsidR="00013CFF" w:rsidRPr="00801F94">
        <w:rPr>
          <w:rFonts w:ascii="Arial" w:hAnsi="Arial" w:cs="Arial"/>
        </w:rPr>
        <w:t xml:space="preserve">. This </w:t>
      </w:r>
      <w:r w:rsidRPr="00801F94">
        <w:rPr>
          <w:rFonts w:ascii="Arial" w:hAnsi="Arial" w:cs="Arial"/>
        </w:rPr>
        <w:t>show</w:t>
      </w:r>
      <w:r w:rsidR="00013CFF" w:rsidRPr="00801F94">
        <w:rPr>
          <w:rFonts w:ascii="Arial" w:hAnsi="Arial" w:cs="Arial"/>
        </w:rPr>
        <w:t>ed</w:t>
      </w:r>
      <w:r w:rsidRPr="00801F94">
        <w:rPr>
          <w:rFonts w:ascii="Arial" w:hAnsi="Arial" w:cs="Arial"/>
        </w:rPr>
        <w:t xml:space="preserve"> increased porosity and functionalization compared to untreated samples. Similarly, </w:t>
      </w:r>
      <w:proofErr w:type="spellStart"/>
      <w:r w:rsidRPr="00801F94">
        <w:rPr>
          <w:rFonts w:ascii="Arial" w:hAnsi="Arial" w:cs="Arial"/>
        </w:rPr>
        <w:t>Asim</w:t>
      </w:r>
      <w:proofErr w:type="spellEnd"/>
      <w:r w:rsidRPr="00801F94">
        <w:rPr>
          <w:rFonts w:ascii="Arial" w:hAnsi="Arial" w:cs="Arial"/>
        </w:rPr>
        <w:t xml:space="preserve"> et al.</w:t>
      </w:r>
      <w:r w:rsidR="00D650D0" w:rsidRPr="00801F94">
        <w:rPr>
          <w:rFonts w:ascii="Arial" w:hAnsi="Arial" w:cs="Arial"/>
        </w:rPr>
        <w:t>,</w:t>
      </w:r>
      <w:r w:rsidRPr="00801F94">
        <w:rPr>
          <w:rFonts w:ascii="Arial" w:hAnsi="Arial" w:cs="Arial"/>
        </w:rPr>
        <w:t xml:space="preserve"> (</w:t>
      </w:r>
      <w:hyperlink r:id="rId14" w:history="1">
        <w:r w:rsidRPr="00801F94">
          <w:rPr>
            <w:rStyle w:val="Hyperlink"/>
            <w:rFonts w:ascii="Arial" w:hAnsi="Arial" w:cs="Arial"/>
            <w:color w:val="000000" w:themeColor="text1"/>
            <w:u w:val="none"/>
          </w:rPr>
          <w:t>2015</w:t>
        </w:r>
      </w:hyperlink>
      <w:r w:rsidRPr="00801F94">
        <w:rPr>
          <w:rFonts w:ascii="Arial" w:hAnsi="Arial" w:cs="Arial"/>
        </w:rPr>
        <w:t xml:space="preserve">) </w:t>
      </w:r>
      <w:r w:rsidR="00D7201B" w:rsidRPr="00801F94">
        <w:rPr>
          <w:rFonts w:ascii="Arial" w:hAnsi="Arial" w:cs="Arial"/>
        </w:rPr>
        <w:t>emphasized</w:t>
      </w:r>
      <w:r w:rsidRPr="00801F94">
        <w:rPr>
          <w:rFonts w:ascii="Arial" w:hAnsi="Arial" w:cs="Arial"/>
        </w:rPr>
        <w:t xml:space="preserve"> the benefits of strong </w:t>
      </w:r>
      <w:r w:rsidR="00D7201B" w:rsidRPr="00801F94">
        <w:rPr>
          <w:rFonts w:ascii="Arial" w:hAnsi="Arial" w:cs="Arial"/>
        </w:rPr>
        <w:t>oxidizers</w:t>
      </w:r>
      <w:r w:rsidRPr="00801F94">
        <w:rPr>
          <w:rFonts w:ascii="Arial" w:hAnsi="Arial" w:cs="Arial"/>
        </w:rPr>
        <w:t xml:space="preserve"> like HNO</w:t>
      </w:r>
      <w:r w:rsidRPr="00801F94">
        <w:rPr>
          <w:rFonts w:ascii="Cambria Math" w:hAnsi="Cambria Math" w:cs="Cambria Math"/>
        </w:rPr>
        <w:t>₃</w:t>
      </w:r>
      <w:r w:rsidRPr="00801F94">
        <w:rPr>
          <w:rFonts w:ascii="Arial" w:hAnsi="Arial" w:cs="Arial"/>
        </w:rPr>
        <w:t xml:space="preserve"> in improving the surface characteristics of biomass-based adsorbents for environmental applications.</w:t>
      </w:r>
      <w:r w:rsidR="00013CFF" w:rsidRPr="00801F94">
        <w:rPr>
          <w:rFonts w:ascii="Arial" w:hAnsi="Arial" w:cs="Arial"/>
        </w:rPr>
        <w:t xml:space="preserve"> Through acid modification, the surface properties of rice husk can be significantly improved, yielding acid-modified rice husk (ARH) with enhanced affinity for polar organic contaminants such as ampicillin (Bhattacharyya &amp; Sharma, 2004). In this work a similar acid </w:t>
      </w:r>
      <w:r w:rsidRPr="00801F94">
        <w:rPr>
          <w:rFonts w:ascii="Arial" w:hAnsi="Arial" w:cs="Arial"/>
        </w:rPr>
        <w:t>H</w:t>
      </w:r>
      <w:r w:rsidRPr="00801F94">
        <w:rPr>
          <w:rFonts w:ascii="Arial" w:hAnsi="Arial" w:cs="Arial"/>
          <w:vertAlign w:val="subscript"/>
        </w:rPr>
        <w:t>2</w:t>
      </w:r>
      <w:r w:rsidRPr="00801F94">
        <w:rPr>
          <w:rFonts w:ascii="Arial" w:hAnsi="Arial" w:cs="Arial"/>
        </w:rPr>
        <w:t>SO</w:t>
      </w:r>
      <w:r w:rsidRPr="00801F94">
        <w:rPr>
          <w:rFonts w:ascii="Arial" w:hAnsi="Arial" w:cs="Arial"/>
          <w:vertAlign w:val="subscript"/>
        </w:rPr>
        <w:t>4</w:t>
      </w:r>
      <w:r w:rsidRPr="00801F94">
        <w:rPr>
          <w:rFonts w:ascii="Arial" w:hAnsi="Arial" w:cs="Arial"/>
        </w:rPr>
        <w:t xml:space="preserve"> is chosen because it acts as an </w:t>
      </w:r>
      <w:r w:rsidR="00D7201B" w:rsidRPr="00801F94">
        <w:rPr>
          <w:rFonts w:ascii="Arial" w:hAnsi="Arial" w:cs="Arial"/>
        </w:rPr>
        <w:t>oxidizing</w:t>
      </w:r>
      <w:r w:rsidRPr="00801F94">
        <w:rPr>
          <w:rFonts w:ascii="Arial" w:hAnsi="Arial" w:cs="Arial"/>
        </w:rPr>
        <w:t xml:space="preserve"> agent, enabling selective removal of lignin and hemicellulose while preserving the cellulose framework. </w:t>
      </w:r>
    </w:p>
    <w:p w:rsidR="00F4243E" w:rsidRPr="00801F94" w:rsidRDefault="00F4243E" w:rsidP="00F4243E">
      <w:pPr>
        <w:pStyle w:val="Body"/>
        <w:spacing w:after="0"/>
        <w:rPr>
          <w:rFonts w:ascii="Arial" w:hAnsi="Arial" w:cs="Arial"/>
        </w:rPr>
      </w:pPr>
      <w:r w:rsidRPr="00801F94">
        <w:rPr>
          <w:rFonts w:ascii="Arial" w:hAnsi="Arial" w:cs="Arial"/>
        </w:rPr>
        <w:t xml:space="preserve">Response Surface Methodology (RSM) is a powerful statistical tool for developing predictive models and optimizing complex processes with multiple variables (Myers et al., 2016, </w:t>
      </w:r>
      <w:bookmarkStart w:id="3" w:name="_Hlk207805076"/>
      <w:proofErr w:type="spellStart"/>
      <w:r w:rsidRPr="00801F94">
        <w:rPr>
          <w:rFonts w:ascii="Arial" w:hAnsi="Arial" w:cs="Arial"/>
        </w:rPr>
        <w:t>Bezerra</w:t>
      </w:r>
      <w:proofErr w:type="spellEnd"/>
      <w:r w:rsidRPr="00801F94">
        <w:rPr>
          <w:rFonts w:ascii="Arial" w:hAnsi="Arial" w:cs="Arial"/>
        </w:rPr>
        <w:t xml:space="preserve"> et al., 2008</w:t>
      </w:r>
      <w:bookmarkEnd w:id="3"/>
      <w:r w:rsidRPr="00801F94">
        <w:rPr>
          <w:rFonts w:ascii="Arial" w:hAnsi="Arial" w:cs="Arial"/>
        </w:rPr>
        <w:t>). The Central Composite Design (CCD) stands out among RSM's experimental designs. It efficiently estimates linear, interaction, and quadratic effects with fewer experimental runs. CCD has proven successful in environmental engineering, especially for optimizing the removal of pharmaceutical contaminants like tetracycline, ciprofloxacin, and sulfamethoxazole using low-cost adsorbents (</w:t>
      </w:r>
      <w:proofErr w:type="spellStart"/>
      <w:r w:rsidRPr="00801F94">
        <w:rPr>
          <w:rFonts w:ascii="Arial" w:hAnsi="Arial" w:cs="Arial"/>
        </w:rPr>
        <w:t>Crini</w:t>
      </w:r>
      <w:proofErr w:type="spellEnd"/>
      <w:r w:rsidRPr="00801F94">
        <w:rPr>
          <w:rFonts w:ascii="Arial" w:hAnsi="Arial" w:cs="Arial"/>
        </w:rPr>
        <w:t xml:space="preserve"> &amp; </w:t>
      </w:r>
      <w:proofErr w:type="spellStart"/>
      <w:r w:rsidRPr="00801F94">
        <w:rPr>
          <w:rFonts w:ascii="Arial" w:hAnsi="Arial" w:cs="Arial"/>
        </w:rPr>
        <w:t>Lichtfouse</w:t>
      </w:r>
      <w:proofErr w:type="spellEnd"/>
      <w:r w:rsidRPr="00801F94">
        <w:rPr>
          <w:rFonts w:ascii="Arial" w:hAnsi="Arial" w:cs="Arial"/>
        </w:rPr>
        <w:t xml:space="preserve">, 2019). For instance, Rahman and </w:t>
      </w:r>
      <w:proofErr w:type="spellStart"/>
      <w:r w:rsidRPr="00801F94">
        <w:rPr>
          <w:rFonts w:ascii="Arial" w:hAnsi="Arial" w:cs="Arial"/>
        </w:rPr>
        <w:t>Varshney</w:t>
      </w:r>
      <w:proofErr w:type="spellEnd"/>
      <w:r w:rsidRPr="00801F94">
        <w:rPr>
          <w:rFonts w:ascii="Arial" w:hAnsi="Arial" w:cs="Arial"/>
        </w:rPr>
        <w:t xml:space="preserve"> (2020), assessed the optimized removal efficiency of ampicillin from aqueous solution by </w:t>
      </w:r>
      <w:proofErr w:type="spellStart"/>
      <w:r w:rsidRPr="00801F94">
        <w:rPr>
          <w:rFonts w:ascii="Arial" w:hAnsi="Arial" w:cs="Arial"/>
        </w:rPr>
        <w:t>polydopamine</w:t>
      </w:r>
      <w:proofErr w:type="spellEnd"/>
      <w:r w:rsidRPr="00801F94">
        <w:rPr>
          <w:rFonts w:ascii="Arial" w:hAnsi="Arial" w:cs="Arial"/>
        </w:rPr>
        <w:t>/</w:t>
      </w:r>
      <w:proofErr w:type="gramStart"/>
      <w:r w:rsidRPr="00801F94">
        <w:rPr>
          <w:rFonts w:ascii="Arial" w:hAnsi="Arial" w:cs="Arial"/>
        </w:rPr>
        <w:t>zirconium(</w:t>
      </w:r>
      <w:proofErr w:type="gramEnd"/>
      <w:r w:rsidRPr="00801F94">
        <w:rPr>
          <w:rFonts w:ascii="Arial" w:hAnsi="Arial" w:cs="Arial"/>
        </w:rPr>
        <w:t>iv) iodate using  response surface methodology.</w:t>
      </w:r>
    </w:p>
    <w:p w:rsidR="006C523A" w:rsidRPr="00801F94" w:rsidRDefault="00F4243E" w:rsidP="00F4243E">
      <w:pPr>
        <w:pStyle w:val="Body"/>
        <w:spacing w:after="0"/>
        <w:rPr>
          <w:rFonts w:ascii="Arial" w:hAnsi="Arial" w:cs="Arial"/>
        </w:rPr>
      </w:pPr>
      <w:r w:rsidRPr="00801F94">
        <w:rPr>
          <w:rFonts w:ascii="Arial" w:hAnsi="Arial" w:cs="Arial"/>
        </w:rPr>
        <w:t xml:space="preserve">Despite these advances, the specific application of CCD-RSM for ampicillin removal using acid-modified rice husk (ARH) is still largely unexplored. </w:t>
      </w:r>
    </w:p>
    <w:p w:rsidR="00D51A6A" w:rsidRPr="00801F94" w:rsidRDefault="00233746" w:rsidP="00233746">
      <w:pPr>
        <w:pStyle w:val="Body"/>
        <w:spacing w:after="0"/>
        <w:rPr>
          <w:rFonts w:ascii="Arial" w:hAnsi="Arial" w:cs="Arial"/>
        </w:rPr>
      </w:pPr>
      <w:r w:rsidRPr="00801F94">
        <w:rPr>
          <w:rFonts w:ascii="Arial" w:hAnsi="Arial" w:cs="Arial"/>
        </w:rPr>
        <w:t>This study presents a novel application of acid-modified rice husk (ARH) as a sustainable adsorbent for the removal of ampicillin from aqueous solution. Unlike many previous studies that focus on heavy metals or dyes, this work targets a pharmaceutical contaminant of emerging environmental concern at environmentally relevant concentrations.</w:t>
      </w:r>
      <w:r w:rsidR="00D51A6A" w:rsidRPr="00801F94">
        <w:rPr>
          <w:rFonts w:ascii="Arial" w:hAnsi="Arial" w:cs="Arial"/>
        </w:rPr>
        <w:t xml:space="preserve"> </w:t>
      </w:r>
      <w:r w:rsidRPr="00801F94">
        <w:rPr>
          <w:rFonts w:ascii="Arial" w:hAnsi="Arial" w:cs="Arial"/>
        </w:rPr>
        <w:t xml:space="preserve">This </w:t>
      </w:r>
      <w:r w:rsidR="00D51A6A" w:rsidRPr="00801F94">
        <w:rPr>
          <w:rFonts w:ascii="Arial" w:hAnsi="Arial" w:cs="Arial"/>
        </w:rPr>
        <w:t xml:space="preserve">further </w:t>
      </w:r>
      <w:r w:rsidRPr="00801F94">
        <w:rPr>
          <w:rFonts w:ascii="Arial" w:hAnsi="Arial" w:cs="Arial"/>
        </w:rPr>
        <w:t xml:space="preserve">provides a more </w:t>
      </w:r>
      <w:r w:rsidR="00D51A6A" w:rsidRPr="00801F94">
        <w:rPr>
          <w:rFonts w:ascii="Arial" w:hAnsi="Arial" w:cs="Arial"/>
        </w:rPr>
        <w:t xml:space="preserve">statistically </w:t>
      </w:r>
      <w:r w:rsidRPr="00801F94">
        <w:rPr>
          <w:rFonts w:ascii="Arial" w:hAnsi="Arial" w:cs="Arial"/>
        </w:rPr>
        <w:t>reliable and predictive optimization framework.</w:t>
      </w:r>
    </w:p>
    <w:p w:rsidR="00233746" w:rsidRPr="00801F94" w:rsidRDefault="00233746" w:rsidP="00233746">
      <w:pPr>
        <w:pStyle w:val="Body"/>
        <w:spacing w:after="0"/>
        <w:rPr>
          <w:rFonts w:ascii="Arial" w:hAnsi="Arial" w:cs="Arial"/>
        </w:rPr>
      </w:pPr>
      <w:r w:rsidRPr="00801F94">
        <w:rPr>
          <w:rFonts w:ascii="Arial" w:hAnsi="Arial" w:cs="Arial"/>
        </w:rPr>
        <w:t xml:space="preserve">Furthermore, the combined use of kinetic, isotherm, and thermodynamic models, supported by FTIR analysis, offers a comprehensive understanding of the adsorption mechanism. The utilization of locally </w:t>
      </w:r>
      <w:r w:rsidRPr="00801F94">
        <w:rPr>
          <w:rFonts w:ascii="Arial" w:hAnsi="Arial" w:cs="Arial"/>
        </w:rPr>
        <w:lastRenderedPageBreak/>
        <w:t>sourced agricultural waste also highlights the potential for low-cost, sustainable water treatment solutions, particularly in developing regions.</w:t>
      </w:r>
    </w:p>
    <w:bookmarkEnd w:id="2"/>
    <w:p w:rsidR="00F4243E" w:rsidRPr="00801F94" w:rsidRDefault="00F4243E" w:rsidP="00F4243E">
      <w:pPr>
        <w:pStyle w:val="Body"/>
        <w:spacing w:after="0"/>
        <w:rPr>
          <w:rFonts w:ascii="Arial" w:hAnsi="Arial" w:cs="Arial"/>
        </w:rPr>
      </w:pPr>
    </w:p>
    <w:p w:rsidR="00790ADA" w:rsidRPr="00801F94" w:rsidRDefault="00790ADA" w:rsidP="00441B6F">
      <w:pPr>
        <w:pStyle w:val="Body"/>
        <w:spacing w:after="0"/>
        <w:rPr>
          <w:rFonts w:ascii="Arial" w:hAnsi="Arial" w:cs="Arial"/>
        </w:rPr>
      </w:pPr>
    </w:p>
    <w:p w:rsidR="007F7B32" w:rsidRPr="00801F94" w:rsidRDefault="00902823" w:rsidP="00441B6F">
      <w:pPr>
        <w:pStyle w:val="AbstHead"/>
        <w:spacing w:after="0"/>
        <w:jc w:val="both"/>
        <w:rPr>
          <w:rFonts w:ascii="Arial" w:hAnsi="Arial" w:cs="Arial"/>
        </w:rPr>
      </w:pPr>
      <w:r w:rsidRPr="00801F94">
        <w:rPr>
          <w:rFonts w:ascii="Arial" w:hAnsi="Arial" w:cs="Arial"/>
        </w:rPr>
        <w:t>2. material and method</w:t>
      </w:r>
      <w:r w:rsidR="00000F8F" w:rsidRPr="00801F94">
        <w:rPr>
          <w:rFonts w:ascii="Arial" w:hAnsi="Arial" w:cs="Arial"/>
        </w:rPr>
        <w:t xml:space="preserve">s </w:t>
      </w:r>
    </w:p>
    <w:p w:rsidR="00F4243E" w:rsidRPr="00801F94" w:rsidRDefault="00F4243E" w:rsidP="00F4243E">
      <w:pPr>
        <w:jc w:val="both"/>
        <w:rPr>
          <w:rFonts w:ascii="Arial" w:hAnsi="Arial" w:cs="Arial"/>
          <w:b/>
          <w:bCs/>
          <w:sz w:val="22"/>
          <w:szCs w:val="22"/>
        </w:rPr>
      </w:pPr>
      <w:bookmarkStart w:id="4" w:name="_Hlk205268447"/>
      <w:r w:rsidRPr="00801F94">
        <w:rPr>
          <w:rFonts w:ascii="Arial" w:hAnsi="Arial" w:cs="Arial"/>
          <w:b/>
          <w:bCs/>
          <w:sz w:val="22"/>
          <w:szCs w:val="22"/>
        </w:rPr>
        <w:t>2.1 Materials</w:t>
      </w:r>
    </w:p>
    <w:p w:rsidR="00F4243E" w:rsidRPr="00801F94" w:rsidRDefault="00F4243E" w:rsidP="00F4243E">
      <w:pPr>
        <w:jc w:val="both"/>
        <w:rPr>
          <w:rFonts w:ascii="Arial" w:hAnsi="Arial" w:cs="Arial"/>
          <w:b/>
          <w:bCs/>
          <w:u w:val="single"/>
        </w:rPr>
      </w:pPr>
      <w:r w:rsidRPr="00801F94">
        <w:rPr>
          <w:rFonts w:ascii="Arial" w:hAnsi="Arial" w:cs="Arial"/>
          <w:b/>
          <w:bCs/>
          <w:u w:val="single"/>
        </w:rPr>
        <w:t>2.1.1 Collection of Materials</w:t>
      </w:r>
    </w:p>
    <w:p w:rsidR="00BA1AD1" w:rsidRPr="00801F94" w:rsidRDefault="00F4243E" w:rsidP="00F4243E">
      <w:pPr>
        <w:jc w:val="both"/>
        <w:rPr>
          <w:rFonts w:ascii="Arial" w:hAnsi="Arial" w:cs="Arial"/>
        </w:rPr>
      </w:pPr>
      <w:r w:rsidRPr="00801F94">
        <w:rPr>
          <w:rFonts w:ascii="Arial" w:hAnsi="Arial" w:cs="Arial"/>
        </w:rPr>
        <w:t xml:space="preserve">The rice husk used as the adsorbent precursor was obtained from a local mill in </w:t>
      </w:r>
      <w:proofErr w:type="spellStart"/>
      <w:r w:rsidRPr="00801F94">
        <w:rPr>
          <w:rFonts w:ascii="Arial" w:hAnsi="Arial" w:cs="Arial"/>
        </w:rPr>
        <w:t>Aguleri</w:t>
      </w:r>
      <w:proofErr w:type="spellEnd"/>
      <w:r w:rsidRPr="00801F94">
        <w:rPr>
          <w:rFonts w:ascii="Arial" w:hAnsi="Arial" w:cs="Arial"/>
        </w:rPr>
        <w:t xml:space="preserve">, </w:t>
      </w:r>
      <w:proofErr w:type="spellStart"/>
      <w:r w:rsidRPr="00801F94">
        <w:rPr>
          <w:rFonts w:ascii="Arial" w:hAnsi="Arial" w:cs="Arial"/>
        </w:rPr>
        <w:t>Otuocha</w:t>
      </w:r>
      <w:proofErr w:type="spellEnd"/>
      <w:r w:rsidRPr="00801F94">
        <w:rPr>
          <w:rFonts w:ascii="Arial" w:hAnsi="Arial" w:cs="Arial"/>
        </w:rPr>
        <w:t xml:space="preserve">, Anambra East Local Government Area, </w:t>
      </w:r>
      <w:proofErr w:type="gramStart"/>
      <w:r w:rsidRPr="00801F94">
        <w:rPr>
          <w:rFonts w:ascii="Arial" w:hAnsi="Arial" w:cs="Arial"/>
        </w:rPr>
        <w:t>Anambra</w:t>
      </w:r>
      <w:proofErr w:type="gramEnd"/>
      <w:r w:rsidRPr="00801F94">
        <w:rPr>
          <w:rFonts w:ascii="Arial" w:hAnsi="Arial" w:cs="Arial"/>
        </w:rPr>
        <w:t xml:space="preserve"> State, Nigeria. Ampicillin (fig. 1) reference standard was supplied by Quality Pharmaceuticals PVT Ltd. (India). </w:t>
      </w:r>
      <w:r w:rsidR="00D940D3" w:rsidRPr="00801F94">
        <w:rPr>
          <w:rFonts w:ascii="Arial" w:hAnsi="Arial" w:cs="Arial"/>
        </w:rPr>
        <w:t>The ampicillin wash-off was obtained from the pharmaceutical plant strictly and immediately after the production of only ampicillin. This was tested for ampicillin content only. The</w:t>
      </w:r>
      <w:r w:rsidRPr="00801F94">
        <w:rPr>
          <w:rFonts w:ascii="Arial" w:hAnsi="Arial" w:cs="Arial"/>
        </w:rPr>
        <w:t xml:space="preserve"> wash-off was collected</w:t>
      </w:r>
      <w:r w:rsidR="00834660" w:rsidRPr="00801F94">
        <w:rPr>
          <w:rFonts w:ascii="Arial" w:hAnsi="Arial" w:cs="Arial"/>
        </w:rPr>
        <w:t xml:space="preserve"> </w:t>
      </w:r>
      <w:r w:rsidRPr="00801F94">
        <w:rPr>
          <w:rFonts w:ascii="Arial" w:hAnsi="Arial" w:cs="Arial"/>
        </w:rPr>
        <w:t xml:space="preserve">from Gauze Pharmaceuticals </w:t>
      </w:r>
      <w:proofErr w:type="spellStart"/>
      <w:r w:rsidRPr="00801F94">
        <w:rPr>
          <w:rFonts w:ascii="Arial" w:hAnsi="Arial" w:cs="Arial"/>
        </w:rPr>
        <w:t>Awka</w:t>
      </w:r>
      <w:proofErr w:type="spellEnd"/>
      <w:r w:rsidRPr="00801F94">
        <w:rPr>
          <w:rFonts w:ascii="Arial" w:hAnsi="Arial" w:cs="Arial"/>
        </w:rPr>
        <w:t>, Anambra State, Nigeria.</w:t>
      </w:r>
      <w:r w:rsidR="006D4C4E" w:rsidRPr="00801F94">
        <w:rPr>
          <w:rFonts w:ascii="Arial" w:hAnsi="Arial" w:cs="Arial"/>
        </w:rPr>
        <w:t xml:space="preserve"> </w:t>
      </w:r>
      <w:r w:rsidRPr="00801F94">
        <w:rPr>
          <w:rFonts w:ascii="Arial" w:hAnsi="Arial" w:cs="Arial"/>
        </w:rPr>
        <w:t xml:space="preserve">All chemicals used were of analytical grade and were used without further purification. Distilled water was used throughout all experimental procedures. </w:t>
      </w:r>
      <w:bookmarkEnd w:id="4"/>
    </w:p>
    <w:p w:rsidR="00F4243E" w:rsidRPr="00801F94" w:rsidRDefault="00F4243E" w:rsidP="00F4243E">
      <w:pPr>
        <w:jc w:val="both"/>
        <w:rPr>
          <w:rFonts w:ascii="Arial" w:hAnsi="Arial" w:cs="Arial"/>
          <w:b/>
          <w:bCs/>
          <w:sz w:val="22"/>
          <w:szCs w:val="22"/>
        </w:rPr>
      </w:pPr>
      <w:r w:rsidRPr="00801F94">
        <w:rPr>
          <w:rFonts w:ascii="Arial" w:hAnsi="Arial" w:cs="Arial"/>
          <w:b/>
          <w:bCs/>
          <w:sz w:val="22"/>
          <w:szCs w:val="22"/>
        </w:rPr>
        <w:t>2.2 Methods</w:t>
      </w:r>
    </w:p>
    <w:p w:rsidR="00F4243E" w:rsidRPr="00801F94" w:rsidRDefault="00F4243E" w:rsidP="00F4243E">
      <w:pPr>
        <w:contextualSpacing/>
        <w:jc w:val="both"/>
        <w:rPr>
          <w:rFonts w:ascii="Arial" w:hAnsi="Arial" w:cs="Arial"/>
          <w:b/>
          <w:bCs/>
          <w:u w:val="single"/>
        </w:rPr>
      </w:pPr>
      <w:r w:rsidRPr="00801F94">
        <w:rPr>
          <w:rFonts w:ascii="Arial" w:hAnsi="Arial" w:cs="Arial"/>
          <w:b/>
          <w:bCs/>
          <w:u w:val="single"/>
        </w:rPr>
        <w:t>2.2.1 Preparation</w:t>
      </w:r>
      <w:r w:rsidR="00BA1AD1" w:rsidRPr="00801F94">
        <w:rPr>
          <w:rFonts w:ascii="Arial" w:hAnsi="Arial" w:cs="Arial"/>
          <w:b/>
          <w:bCs/>
          <w:u w:val="single"/>
        </w:rPr>
        <w:t xml:space="preserve"> and characterization</w:t>
      </w:r>
      <w:r w:rsidRPr="00801F94">
        <w:rPr>
          <w:rFonts w:ascii="Arial" w:hAnsi="Arial" w:cs="Arial"/>
          <w:b/>
          <w:bCs/>
          <w:u w:val="single"/>
        </w:rPr>
        <w:t xml:space="preserve"> of Rice Husk Adsorbent</w:t>
      </w:r>
    </w:p>
    <w:p w:rsidR="00EC310A" w:rsidRPr="00801F94" w:rsidRDefault="00EC310A" w:rsidP="00EC310A">
      <w:pPr>
        <w:contextualSpacing/>
        <w:jc w:val="both"/>
        <w:rPr>
          <w:rFonts w:ascii="Arial" w:hAnsi="Arial" w:cs="Arial"/>
          <w:color w:val="000000" w:themeColor="text1"/>
        </w:rPr>
      </w:pPr>
      <w:bookmarkStart w:id="5" w:name="_Hlk226719242"/>
      <w:r w:rsidRPr="00801F94">
        <w:rPr>
          <w:rFonts w:ascii="Arial" w:hAnsi="Arial" w:cs="Arial"/>
          <w:color w:val="000000" w:themeColor="text1"/>
        </w:rPr>
        <w:t xml:space="preserve">The rice husk sample was acid-modified according to the process described by </w:t>
      </w:r>
      <w:bookmarkStart w:id="6" w:name="_Hlk226725413"/>
      <w:proofErr w:type="spellStart"/>
      <w:r w:rsidRPr="00801F94">
        <w:rPr>
          <w:rFonts w:ascii="Arial" w:hAnsi="Arial" w:cs="Arial"/>
          <w:color w:val="000000" w:themeColor="text1"/>
        </w:rPr>
        <w:t>Nwadibia</w:t>
      </w:r>
      <w:proofErr w:type="spellEnd"/>
      <w:r w:rsidRPr="00801F94">
        <w:rPr>
          <w:rFonts w:ascii="Arial" w:hAnsi="Arial" w:cs="Arial"/>
          <w:color w:val="000000" w:themeColor="text1"/>
        </w:rPr>
        <w:t>, et al.</w:t>
      </w:r>
      <w:r w:rsidR="00D650D0" w:rsidRPr="00801F94">
        <w:rPr>
          <w:rFonts w:ascii="Arial" w:hAnsi="Arial" w:cs="Arial"/>
          <w:color w:val="000000" w:themeColor="text1"/>
        </w:rPr>
        <w:t xml:space="preserve">, </w:t>
      </w:r>
      <w:r w:rsidRPr="00801F94">
        <w:rPr>
          <w:rFonts w:ascii="Arial" w:hAnsi="Arial" w:cs="Arial"/>
          <w:color w:val="000000" w:themeColor="text1"/>
        </w:rPr>
        <w:t>2025</w:t>
      </w:r>
      <w:bookmarkEnd w:id="6"/>
      <w:r w:rsidRPr="00801F94">
        <w:rPr>
          <w:rFonts w:ascii="Arial" w:hAnsi="Arial" w:cs="Arial"/>
          <w:color w:val="000000" w:themeColor="text1"/>
        </w:rPr>
        <w:t>. The dried rice husk was soaked in 500 mL of 1 M H</w:t>
      </w:r>
      <w:r w:rsidRPr="00801F94">
        <w:rPr>
          <w:rFonts w:ascii="Cambria Math" w:hAnsi="Cambria Math" w:cs="Cambria Math"/>
          <w:color w:val="000000" w:themeColor="text1"/>
        </w:rPr>
        <w:t>₂</w:t>
      </w:r>
      <w:r w:rsidRPr="00801F94">
        <w:rPr>
          <w:rFonts w:ascii="Arial" w:hAnsi="Arial" w:cs="Arial"/>
          <w:color w:val="000000" w:themeColor="text1"/>
        </w:rPr>
        <w:t>SO</w:t>
      </w:r>
      <w:r w:rsidRPr="00801F94">
        <w:rPr>
          <w:rFonts w:ascii="Cambria Math" w:hAnsi="Cambria Math" w:cs="Cambria Math"/>
          <w:color w:val="000000" w:themeColor="text1"/>
        </w:rPr>
        <w:t>₄</w:t>
      </w:r>
      <w:r w:rsidRPr="00801F94">
        <w:rPr>
          <w:rFonts w:ascii="Arial" w:hAnsi="Arial" w:cs="Arial"/>
          <w:color w:val="000000" w:themeColor="text1"/>
        </w:rPr>
        <w:t xml:space="preserve"> in a 1 L beaker stirred for 20 min and left for 24 h.</w:t>
      </w:r>
    </w:p>
    <w:p w:rsidR="00EC310A" w:rsidRPr="00801F94" w:rsidRDefault="00EC310A" w:rsidP="00EC310A">
      <w:pPr>
        <w:contextualSpacing/>
        <w:jc w:val="both"/>
        <w:rPr>
          <w:rFonts w:ascii="Arial" w:hAnsi="Arial" w:cs="Arial"/>
          <w:color w:val="000000" w:themeColor="text1"/>
        </w:rPr>
      </w:pPr>
      <w:r w:rsidRPr="00801F94">
        <w:rPr>
          <w:rFonts w:ascii="Arial" w:hAnsi="Arial" w:cs="Arial"/>
          <w:color w:val="000000" w:themeColor="text1"/>
        </w:rPr>
        <w:t xml:space="preserve">After the 24-hour treatment, sample was filtered and washed repeatedly with distilled water until the wash off water reached neutral pH (pH ≈ 7). The treated rice husk was then oven-dried at 110 °C for 4 hours and labelled as ARH (acid-modified rice husk). The ARH was characterized for surface functional groups using </w:t>
      </w:r>
      <w:r w:rsidR="00BA1AD1" w:rsidRPr="00801F94">
        <w:rPr>
          <w:rFonts w:ascii="Arial" w:hAnsi="Arial" w:cs="Arial"/>
        </w:rPr>
        <w:t>FTIR spectrophotometer (Buck M530-IR)</w:t>
      </w:r>
      <w:r w:rsidRPr="00801F94">
        <w:rPr>
          <w:rFonts w:ascii="Arial" w:hAnsi="Arial" w:cs="Arial"/>
          <w:color w:val="000000" w:themeColor="text1"/>
        </w:rPr>
        <w:t xml:space="preserve">. To analyze for surface morphology, </w:t>
      </w:r>
      <w:r w:rsidR="00BA1AD1" w:rsidRPr="00801F94">
        <w:rPr>
          <w:rFonts w:ascii="Arial" w:hAnsi="Arial" w:cs="Arial"/>
        </w:rPr>
        <w:t xml:space="preserve">Scanning Electron Microscope (SEM) (Phenom </w:t>
      </w:r>
      <w:proofErr w:type="spellStart"/>
      <w:r w:rsidR="00BA1AD1" w:rsidRPr="00801F94">
        <w:rPr>
          <w:rFonts w:ascii="Arial" w:hAnsi="Arial" w:cs="Arial"/>
        </w:rPr>
        <w:t>ProX</w:t>
      </w:r>
      <w:proofErr w:type="spellEnd"/>
      <w:r w:rsidR="00BA1AD1" w:rsidRPr="00801F94">
        <w:rPr>
          <w:rFonts w:ascii="Arial" w:hAnsi="Arial" w:cs="Arial"/>
        </w:rPr>
        <w:t xml:space="preserve"> Q150R)</w:t>
      </w:r>
      <w:r w:rsidRPr="00801F94">
        <w:rPr>
          <w:rFonts w:ascii="Arial" w:hAnsi="Arial" w:cs="Arial"/>
          <w:color w:val="000000" w:themeColor="text1"/>
        </w:rPr>
        <w:t xml:space="preserve"> was used.</w:t>
      </w:r>
    </w:p>
    <w:bookmarkEnd w:id="5"/>
    <w:p w:rsidR="0065067E" w:rsidRPr="00801F94" w:rsidRDefault="0065067E" w:rsidP="00F4243E">
      <w:pPr>
        <w:contextualSpacing/>
        <w:jc w:val="both"/>
        <w:rPr>
          <w:rFonts w:ascii="Arial" w:hAnsi="Arial" w:cs="Arial"/>
          <w:color w:val="000000" w:themeColor="text1"/>
        </w:rPr>
      </w:pPr>
      <w:r w:rsidRPr="00801F94">
        <w:rPr>
          <w:rFonts w:ascii="Arial" w:hAnsi="Arial" w:cs="Arial"/>
          <w:color w:val="000000" w:themeColor="text1"/>
        </w:rPr>
        <w:t>To prevent secondary environmental pollution arising from acid modification, the residual acid effluent was properly treated prior to disposal. The acidic waste was neutralized using sodium hydroxide to achieve a near-neutral pH (6.5–8.5), converting the acid into harmless salts and water.</w:t>
      </w:r>
    </w:p>
    <w:p w:rsidR="00F4243E" w:rsidRPr="00801F94" w:rsidRDefault="00F4243E" w:rsidP="00F4243E">
      <w:pPr>
        <w:jc w:val="both"/>
        <w:rPr>
          <w:rFonts w:ascii="Arial" w:hAnsi="Arial" w:cs="Arial"/>
          <w:b/>
          <w:bCs/>
          <w:u w:val="single"/>
        </w:rPr>
      </w:pPr>
      <w:r w:rsidRPr="00801F94">
        <w:rPr>
          <w:rFonts w:ascii="Arial" w:hAnsi="Arial" w:cs="Arial"/>
          <w:b/>
          <w:bCs/>
          <w:u w:val="single"/>
        </w:rPr>
        <w:t>2.2.</w:t>
      </w:r>
      <w:r w:rsidR="00EC310A" w:rsidRPr="00801F94">
        <w:rPr>
          <w:rFonts w:ascii="Arial" w:hAnsi="Arial" w:cs="Arial"/>
          <w:b/>
          <w:bCs/>
          <w:u w:val="single"/>
        </w:rPr>
        <w:t>2</w:t>
      </w:r>
      <w:r w:rsidRPr="00801F94">
        <w:rPr>
          <w:rFonts w:ascii="Arial" w:hAnsi="Arial" w:cs="Arial"/>
          <w:b/>
          <w:bCs/>
          <w:u w:val="single"/>
        </w:rPr>
        <w:t xml:space="preserve"> Standard Solution and Calibration Curve</w:t>
      </w:r>
    </w:p>
    <w:p w:rsidR="00AC0A46" w:rsidRPr="00801F94" w:rsidRDefault="00F4243E" w:rsidP="00AC0A46">
      <w:pPr>
        <w:jc w:val="both"/>
        <w:rPr>
          <w:rFonts w:ascii="Arial" w:hAnsi="Arial" w:cs="Arial"/>
        </w:rPr>
      </w:pPr>
      <w:r w:rsidRPr="00801F94">
        <w:rPr>
          <w:rFonts w:ascii="Arial" w:hAnsi="Arial" w:cs="Arial"/>
        </w:rPr>
        <w:t>A stock solution of ampicillin (500 </w:t>
      </w:r>
      <w:r w:rsidR="00BA1AD1" w:rsidRPr="00801F94">
        <w:rPr>
          <w:rFonts w:ascii="Arial" w:hAnsi="Arial" w:cs="Arial"/>
        </w:rPr>
        <w:t>m</w:t>
      </w:r>
      <w:r w:rsidRPr="00801F94">
        <w:rPr>
          <w:rFonts w:ascii="Arial" w:hAnsi="Arial" w:cs="Arial"/>
        </w:rPr>
        <w:t>g/L) was prepared by dissolving 0.5 g of reference standard in distilled water and making up to 1000 </w:t>
      </w:r>
      <w:proofErr w:type="spellStart"/>
      <w:r w:rsidRPr="00801F94">
        <w:rPr>
          <w:rFonts w:ascii="Arial" w:hAnsi="Arial" w:cs="Arial"/>
        </w:rPr>
        <w:t>mL.</w:t>
      </w:r>
      <w:proofErr w:type="spellEnd"/>
      <w:r w:rsidR="004E349E" w:rsidRPr="00801F94">
        <w:rPr>
          <w:rFonts w:ascii="Arial" w:hAnsi="Arial" w:cs="Arial"/>
        </w:rPr>
        <w:t xml:space="preserve"> The solution was freshly prepared prior to use to avoid degradation. </w:t>
      </w:r>
      <w:r w:rsidRPr="00801F94">
        <w:rPr>
          <w:rFonts w:ascii="Arial" w:hAnsi="Arial" w:cs="Arial"/>
        </w:rPr>
        <w:t xml:space="preserve">Serial dilutions were performed to obtain various concentrations. Absorbance readings were taken at </w:t>
      </w:r>
      <w:r w:rsidR="00ED1A9E" w:rsidRPr="00801F94">
        <w:rPr>
          <w:rFonts w:ascii="Arial" w:hAnsi="Arial" w:cs="Arial"/>
        </w:rPr>
        <w:t>2</w:t>
      </w:r>
      <w:r w:rsidR="00AC0A46" w:rsidRPr="00801F94">
        <w:rPr>
          <w:rFonts w:ascii="Arial" w:hAnsi="Arial" w:cs="Arial"/>
        </w:rPr>
        <w:t>69</w:t>
      </w:r>
      <w:r w:rsidRPr="00801F94">
        <w:rPr>
          <w:rFonts w:ascii="Arial" w:hAnsi="Arial" w:cs="Arial"/>
        </w:rPr>
        <w:t> nm (</w:t>
      </w:r>
      <w:r w:rsidR="00AC0A46" w:rsidRPr="00801F94">
        <w:rPr>
          <w:rFonts w:ascii="Arial" w:hAnsi="Arial" w:cs="Arial"/>
        </w:rPr>
        <w:t>Lin and Cen, 2022)</w:t>
      </w:r>
      <w:r w:rsidRPr="00801F94">
        <w:rPr>
          <w:rFonts w:ascii="Arial" w:hAnsi="Arial" w:cs="Arial"/>
        </w:rPr>
        <w:t xml:space="preserve">, and a calibration curve of (absorbance vs. concentration) was plotted. </w:t>
      </w:r>
    </w:p>
    <w:p w:rsidR="00F4243E" w:rsidRPr="00801F94" w:rsidRDefault="00F4243E" w:rsidP="00F4243E">
      <w:pPr>
        <w:jc w:val="both"/>
        <w:rPr>
          <w:rFonts w:ascii="Arial" w:hAnsi="Arial" w:cs="Arial"/>
        </w:rPr>
      </w:pPr>
    </w:p>
    <w:p w:rsidR="00F4243E" w:rsidRPr="00801F94" w:rsidRDefault="00F4243E" w:rsidP="00F4243E">
      <w:pPr>
        <w:jc w:val="both"/>
        <w:rPr>
          <w:rFonts w:ascii="Arial" w:hAnsi="Arial" w:cs="Arial"/>
          <w:b/>
          <w:bCs/>
          <w:u w:val="single"/>
        </w:rPr>
      </w:pPr>
      <w:r w:rsidRPr="00801F94">
        <w:rPr>
          <w:rFonts w:ascii="Arial" w:hAnsi="Arial" w:cs="Arial"/>
          <w:b/>
          <w:bCs/>
          <w:u w:val="single"/>
        </w:rPr>
        <w:t>2.2.</w:t>
      </w:r>
      <w:r w:rsidR="00EC310A" w:rsidRPr="00801F94">
        <w:rPr>
          <w:rFonts w:ascii="Arial" w:hAnsi="Arial" w:cs="Arial"/>
          <w:b/>
          <w:bCs/>
          <w:u w:val="single"/>
        </w:rPr>
        <w:t>3</w:t>
      </w:r>
      <w:r w:rsidRPr="00801F94">
        <w:rPr>
          <w:rFonts w:ascii="Arial" w:hAnsi="Arial" w:cs="Arial"/>
          <w:b/>
          <w:bCs/>
          <w:u w:val="single"/>
        </w:rPr>
        <w:t xml:space="preserve"> Pharmaceutical Wash-Off Solution</w:t>
      </w:r>
    </w:p>
    <w:p w:rsidR="00F4243E" w:rsidRPr="00801F94" w:rsidRDefault="00F4243E" w:rsidP="00F4243E">
      <w:pPr>
        <w:jc w:val="both"/>
        <w:rPr>
          <w:rFonts w:ascii="Arial" w:hAnsi="Arial" w:cs="Arial"/>
        </w:rPr>
      </w:pPr>
      <w:r w:rsidRPr="00801F94">
        <w:rPr>
          <w:rFonts w:ascii="Arial" w:hAnsi="Arial" w:cs="Arial"/>
        </w:rPr>
        <w:t xml:space="preserve">A 50 mg sample of solid </w:t>
      </w:r>
      <w:r w:rsidR="00834660" w:rsidRPr="00801F94">
        <w:rPr>
          <w:rFonts w:ascii="Arial" w:hAnsi="Arial" w:cs="Arial"/>
        </w:rPr>
        <w:t>ampicillin</w:t>
      </w:r>
      <w:r w:rsidRPr="00801F94">
        <w:rPr>
          <w:rFonts w:ascii="Arial" w:hAnsi="Arial" w:cs="Arial"/>
        </w:rPr>
        <w:t xml:space="preserve"> wash-off was weighed and added to 80 mL of distilled water, heated for 5 minutes in a water bath, and then diluted to 100</w:t>
      </w:r>
      <w:r w:rsidR="008C565F" w:rsidRPr="00801F94">
        <w:rPr>
          <w:rFonts w:ascii="Arial" w:hAnsi="Arial" w:cs="Arial"/>
        </w:rPr>
        <w:t>0</w:t>
      </w:r>
      <w:r w:rsidRPr="00801F94">
        <w:rPr>
          <w:rFonts w:ascii="Arial" w:hAnsi="Arial" w:cs="Arial"/>
        </w:rPr>
        <w:t> </w:t>
      </w:r>
      <w:proofErr w:type="spellStart"/>
      <w:r w:rsidRPr="00801F94">
        <w:rPr>
          <w:rFonts w:ascii="Arial" w:hAnsi="Arial" w:cs="Arial"/>
        </w:rPr>
        <w:t>mL.</w:t>
      </w:r>
      <w:proofErr w:type="spellEnd"/>
      <w:r w:rsidRPr="00801F94">
        <w:rPr>
          <w:rFonts w:ascii="Arial" w:hAnsi="Arial" w:cs="Arial"/>
        </w:rPr>
        <w:t xml:space="preserve"> The solution was filtered and used for adsorption studies. The </w:t>
      </w:r>
      <w:proofErr w:type="spellStart"/>
      <w:r w:rsidRPr="00801F94">
        <w:rPr>
          <w:rFonts w:ascii="Arial" w:hAnsi="Arial" w:cs="Arial"/>
        </w:rPr>
        <w:t>absorbances</w:t>
      </w:r>
      <w:proofErr w:type="spellEnd"/>
      <w:r w:rsidRPr="00801F94">
        <w:rPr>
          <w:rFonts w:ascii="Arial" w:hAnsi="Arial" w:cs="Arial"/>
        </w:rPr>
        <w:t xml:space="preserve"> of each solution were taken before and after adsorption.</w:t>
      </w:r>
    </w:p>
    <w:p w:rsidR="00F4243E" w:rsidRPr="00801F94" w:rsidRDefault="00F4243E" w:rsidP="00F4243E">
      <w:pPr>
        <w:jc w:val="both"/>
        <w:rPr>
          <w:rFonts w:ascii="Arial" w:hAnsi="Arial" w:cs="Arial"/>
          <w:sz w:val="24"/>
          <w:szCs w:val="24"/>
        </w:rPr>
      </w:pPr>
      <w:r w:rsidRPr="00801F94">
        <w:rPr>
          <w:rFonts w:ascii="Arial" w:hAnsi="Arial" w:cs="Arial"/>
          <w:noProof/>
          <w:sz w:val="24"/>
          <w:szCs w:val="24"/>
        </w:rPr>
        <w:drawing>
          <wp:inline distT="0" distB="0" distL="0" distR="0" wp14:anchorId="24D8004E" wp14:editId="0D9064A4">
            <wp:extent cx="3238500" cy="1200150"/>
            <wp:effectExtent l="0" t="0" r="0" b="0"/>
            <wp:docPr id="194949300"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1200150"/>
                    </a:xfrm>
                    <a:prstGeom prst="rect">
                      <a:avLst/>
                    </a:prstGeom>
                    <a:noFill/>
                    <a:ln>
                      <a:noFill/>
                    </a:ln>
                  </pic:spPr>
                </pic:pic>
              </a:graphicData>
            </a:graphic>
          </wp:inline>
        </w:drawing>
      </w:r>
    </w:p>
    <w:p w:rsidR="00F4243E" w:rsidRPr="00801F94" w:rsidRDefault="00F4243E" w:rsidP="00F4243E">
      <w:pPr>
        <w:jc w:val="both"/>
        <w:rPr>
          <w:rFonts w:ascii="Arial" w:hAnsi="Arial" w:cs="Arial"/>
          <w:b/>
          <w:bCs/>
        </w:rPr>
      </w:pPr>
      <w:r w:rsidRPr="00801F94">
        <w:rPr>
          <w:rFonts w:ascii="Arial" w:hAnsi="Arial" w:cs="Arial"/>
          <w:b/>
          <w:bCs/>
        </w:rPr>
        <w:t>Figure 1. Chemical structure of Ampicillin.</w:t>
      </w:r>
    </w:p>
    <w:p w:rsidR="00F4243E" w:rsidRPr="00801F94" w:rsidRDefault="00F4243E" w:rsidP="00F4243E">
      <w:pPr>
        <w:jc w:val="both"/>
        <w:rPr>
          <w:rFonts w:ascii="Arial" w:hAnsi="Arial" w:cs="Arial"/>
          <w:sz w:val="24"/>
          <w:szCs w:val="24"/>
        </w:rPr>
      </w:pPr>
    </w:p>
    <w:p w:rsidR="00F4243E" w:rsidRPr="00801F94" w:rsidRDefault="00F4243E" w:rsidP="00F4243E">
      <w:pPr>
        <w:contextualSpacing/>
        <w:jc w:val="both"/>
        <w:rPr>
          <w:rFonts w:ascii="Arial" w:hAnsi="Arial" w:cs="Arial"/>
          <w:b/>
          <w:bCs/>
          <w:sz w:val="22"/>
          <w:szCs w:val="22"/>
        </w:rPr>
      </w:pPr>
      <w:r w:rsidRPr="00801F94">
        <w:rPr>
          <w:rFonts w:ascii="Arial" w:hAnsi="Arial" w:cs="Arial"/>
          <w:b/>
          <w:bCs/>
          <w:sz w:val="22"/>
          <w:szCs w:val="22"/>
        </w:rPr>
        <w:t>2.</w:t>
      </w:r>
      <w:r w:rsidR="00EC310A" w:rsidRPr="00801F94">
        <w:rPr>
          <w:rFonts w:ascii="Arial" w:hAnsi="Arial" w:cs="Arial"/>
          <w:b/>
          <w:bCs/>
          <w:sz w:val="22"/>
          <w:szCs w:val="22"/>
        </w:rPr>
        <w:t>3</w:t>
      </w:r>
      <w:r w:rsidRPr="00801F94">
        <w:rPr>
          <w:rFonts w:ascii="Arial" w:hAnsi="Arial" w:cs="Arial"/>
          <w:b/>
          <w:bCs/>
          <w:sz w:val="22"/>
          <w:szCs w:val="22"/>
        </w:rPr>
        <w:t xml:space="preserve"> Experimental Design and Optimization</w:t>
      </w:r>
    </w:p>
    <w:p w:rsidR="00F4243E" w:rsidRPr="00801F94" w:rsidRDefault="00F4243E" w:rsidP="00F4243E">
      <w:pPr>
        <w:contextualSpacing/>
        <w:jc w:val="both"/>
        <w:rPr>
          <w:rFonts w:ascii="Arial" w:hAnsi="Arial" w:cs="Arial"/>
        </w:rPr>
      </w:pPr>
      <w:r w:rsidRPr="00801F94">
        <w:rPr>
          <w:rFonts w:ascii="Arial" w:hAnsi="Arial" w:cs="Arial"/>
        </w:rPr>
        <w:t>A statistical optimization of adsorption conditions was carried out using Response Surface Methodology based on a Central Composite Design (CCD) of Minitab 17. Factors evaluated included: contact time (min), A, adsorbent dosage (g) B, and initial concentration of ampicillin (mg/mL) C. Each factor was varied at five coded levels and experimental responses were modelled to determine effects and optimal conditions for maximum adsorption efficiency. The adequacy of the fitted model was validated through analysis of variance (ANOVA). (</w:t>
      </w:r>
      <w:r w:rsidRPr="00801F94">
        <w:rPr>
          <w:rStyle w:val="Strong"/>
          <w:rFonts w:ascii="Arial" w:eastAsiaTheme="majorEastAsia" w:hAnsi="Arial" w:cs="Arial"/>
        </w:rPr>
        <w:t xml:space="preserve">Atta et. al. </w:t>
      </w:r>
      <w:r w:rsidRPr="00801F94">
        <w:rPr>
          <w:rFonts w:ascii="Arial" w:hAnsi="Arial" w:cs="Arial"/>
        </w:rPr>
        <w:t>2022).</w:t>
      </w:r>
      <w:r w:rsidRPr="00801F94">
        <w:rPr>
          <w:rStyle w:val="Emphasis"/>
          <w:rFonts w:ascii="Arial" w:eastAsiaTheme="majorEastAsia" w:hAnsi="Arial" w:cs="Arial"/>
        </w:rPr>
        <w:t xml:space="preserve"> </w:t>
      </w:r>
      <w:r w:rsidRPr="00801F94">
        <w:rPr>
          <w:rFonts w:ascii="Arial" w:hAnsi="Arial" w:cs="Arial"/>
        </w:rPr>
        <w:t>Regression plots were generated to visualize the relationship between variables. The 2</w:t>
      </w:r>
      <w:r w:rsidRPr="00801F94">
        <w:rPr>
          <w:rFonts w:ascii="Arial" w:hAnsi="Arial" w:cs="Arial"/>
          <w:vertAlign w:val="superscript"/>
        </w:rPr>
        <w:t>nd</w:t>
      </w:r>
      <w:r w:rsidRPr="00801F94">
        <w:rPr>
          <w:rFonts w:ascii="Arial" w:hAnsi="Arial" w:cs="Arial"/>
        </w:rPr>
        <w:t xml:space="preserve"> order polynomial regression equation is given as:</w:t>
      </w:r>
    </w:p>
    <w:p w:rsidR="00F4243E" w:rsidRPr="00801F94" w:rsidRDefault="00F4243E" w:rsidP="00F4243E">
      <w:pPr>
        <w:spacing w:line="360" w:lineRule="auto"/>
        <w:jc w:val="both"/>
        <w:rPr>
          <w:rFonts w:ascii="Arial" w:hAnsi="Arial" w:cs="Arial"/>
          <w:lang w:val="en-GB"/>
        </w:rPr>
      </w:pPr>
      <w:r w:rsidRPr="00801F94">
        <w:rPr>
          <w:rFonts w:ascii="Arial" w:hAnsi="Arial" w:cs="Arial"/>
        </w:rPr>
        <w:t>Y = P</w:t>
      </w:r>
      <w:r w:rsidRPr="00801F94">
        <w:rPr>
          <w:rFonts w:ascii="Arial" w:hAnsi="Arial" w:cs="Arial"/>
          <w:vertAlign w:val="subscript"/>
        </w:rPr>
        <w:t>0</w:t>
      </w:r>
      <w:r w:rsidRPr="00801F94">
        <w:rPr>
          <w:rFonts w:ascii="Arial" w:hAnsi="Arial" w:cs="Arial"/>
        </w:rPr>
        <w:t xml:space="preserve"> + P</w:t>
      </w:r>
      <w:r w:rsidRPr="00801F94">
        <w:rPr>
          <w:rFonts w:ascii="Arial" w:hAnsi="Arial" w:cs="Arial"/>
          <w:vertAlign w:val="subscript"/>
        </w:rPr>
        <w:t>1</w:t>
      </w:r>
      <w:r w:rsidRPr="00801F94">
        <w:rPr>
          <w:rFonts w:ascii="Arial" w:hAnsi="Arial" w:cs="Arial"/>
        </w:rPr>
        <w:t>A + P</w:t>
      </w:r>
      <w:r w:rsidRPr="00801F94">
        <w:rPr>
          <w:rFonts w:ascii="Arial" w:hAnsi="Arial" w:cs="Arial"/>
          <w:vertAlign w:val="subscript"/>
        </w:rPr>
        <w:t>2</w:t>
      </w:r>
      <w:r w:rsidRPr="00801F94">
        <w:rPr>
          <w:rFonts w:ascii="Arial" w:hAnsi="Arial" w:cs="Arial"/>
        </w:rPr>
        <w:t>B + P</w:t>
      </w:r>
      <w:r w:rsidRPr="00801F94">
        <w:rPr>
          <w:rFonts w:ascii="Arial" w:hAnsi="Arial" w:cs="Arial"/>
          <w:vertAlign w:val="subscript"/>
        </w:rPr>
        <w:t>3</w:t>
      </w:r>
      <w:r w:rsidRPr="00801F94">
        <w:rPr>
          <w:rFonts w:ascii="Arial" w:hAnsi="Arial" w:cs="Arial"/>
        </w:rPr>
        <w:t>C + P</w:t>
      </w:r>
      <w:r w:rsidRPr="00801F94">
        <w:rPr>
          <w:rFonts w:ascii="Arial" w:hAnsi="Arial" w:cs="Arial"/>
          <w:vertAlign w:val="subscript"/>
        </w:rPr>
        <w:t>11</w:t>
      </w:r>
      <w:r w:rsidRPr="00801F94">
        <w:rPr>
          <w:rFonts w:ascii="Arial" w:hAnsi="Arial" w:cs="Arial"/>
        </w:rPr>
        <w:t>A</w:t>
      </w:r>
      <w:r w:rsidRPr="00801F94">
        <w:rPr>
          <w:rFonts w:ascii="Arial" w:hAnsi="Arial" w:cs="Arial"/>
          <w:vertAlign w:val="superscript"/>
        </w:rPr>
        <w:t>2</w:t>
      </w:r>
      <w:r w:rsidRPr="00801F94">
        <w:rPr>
          <w:rFonts w:ascii="Arial" w:hAnsi="Arial" w:cs="Arial"/>
        </w:rPr>
        <w:t xml:space="preserve"> + P</w:t>
      </w:r>
      <w:r w:rsidRPr="00801F94">
        <w:rPr>
          <w:rFonts w:ascii="Arial" w:hAnsi="Arial" w:cs="Arial"/>
          <w:vertAlign w:val="subscript"/>
        </w:rPr>
        <w:t>22</w:t>
      </w:r>
      <w:r w:rsidRPr="00801F94">
        <w:rPr>
          <w:rFonts w:ascii="Arial" w:hAnsi="Arial" w:cs="Arial"/>
        </w:rPr>
        <w:t>B</w:t>
      </w:r>
      <w:r w:rsidRPr="00801F94">
        <w:rPr>
          <w:rFonts w:ascii="Arial" w:hAnsi="Arial" w:cs="Arial"/>
          <w:vertAlign w:val="superscript"/>
        </w:rPr>
        <w:t>2</w:t>
      </w:r>
      <w:r w:rsidRPr="00801F94">
        <w:rPr>
          <w:rFonts w:ascii="Arial" w:hAnsi="Arial" w:cs="Arial"/>
        </w:rPr>
        <w:t xml:space="preserve"> + P</w:t>
      </w:r>
      <w:r w:rsidRPr="00801F94">
        <w:rPr>
          <w:rFonts w:ascii="Arial" w:hAnsi="Arial" w:cs="Arial"/>
          <w:vertAlign w:val="subscript"/>
        </w:rPr>
        <w:t>33</w:t>
      </w:r>
      <w:r w:rsidRPr="00801F94">
        <w:rPr>
          <w:rFonts w:ascii="Arial" w:hAnsi="Arial" w:cs="Arial"/>
        </w:rPr>
        <w:t>C</w:t>
      </w:r>
      <w:r w:rsidRPr="00801F94">
        <w:rPr>
          <w:rFonts w:ascii="Arial" w:hAnsi="Arial" w:cs="Arial"/>
          <w:vertAlign w:val="superscript"/>
        </w:rPr>
        <w:t>2</w:t>
      </w:r>
      <w:r w:rsidRPr="00801F94">
        <w:rPr>
          <w:rFonts w:ascii="Arial" w:hAnsi="Arial" w:cs="Arial"/>
        </w:rPr>
        <w:t xml:space="preserve"> + P</w:t>
      </w:r>
      <w:r w:rsidRPr="00801F94">
        <w:rPr>
          <w:rFonts w:ascii="Arial" w:hAnsi="Arial" w:cs="Arial"/>
          <w:vertAlign w:val="subscript"/>
        </w:rPr>
        <w:t>1</w:t>
      </w:r>
      <w:r w:rsidRPr="00801F94">
        <w:rPr>
          <w:rFonts w:ascii="Arial" w:hAnsi="Arial" w:cs="Arial"/>
        </w:rPr>
        <w:t>P</w:t>
      </w:r>
      <w:r w:rsidRPr="00801F94">
        <w:rPr>
          <w:rFonts w:ascii="Arial" w:hAnsi="Arial" w:cs="Arial"/>
          <w:vertAlign w:val="subscript"/>
        </w:rPr>
        <w:t>2</w:t>
      </w:r>
      <w:r w:rsidRPr="00801F94">
        <w:rPr>
          <w:rFonts w:ascii="Arial" w:hAnsi="Arial" w:cs="Arial"/>
        </w:rPr>
        <w:t>AB + P</w:t>
      </w:r>
      <w:r w:rsidRPr="00801F94">
        <w:rPr>
          <w:rFonts w:ascii="Arial" w:hAnsi="Arial" w:cs="Arial"/>
          <w:vertAlign w:val="subscript"/>
        </w:rPr>
        <w:t>1</w:t>
      </w:r>
      <w:r w:rsidRPr="00801F94">
        <w:rPr>
          <w:rFonts w:ascii="Arial" w:hAnsi="Arial" w:cs="Arial"/>
        </w:rPr>
        <w:t>P</w:t>
      </w:r>
      <w:r w:rsidRPr="00801F94">
        <w:rPr>
          <w:rFonts w:ascii="Arial" w:hAnsi="Arial" w:cs="Arial"/>
          <w:vertAlign w:val="subscript"/>
        </w:rPr>
        <w:t>3</w:t>
      </w:r>
      <w:r w:rsidRPr="00801F94">
        <w:rPr>
          <w:rFonts w:ascii="Arial" w:hAnsi="Arial" w:cs="Arial"/>
        </w:rPr>
        <w:t>AC + P</w:t>
      </w:r>
      <w:r w:rsidRPr="00801F94">
        <w:rPr>
          <w:rFonts w:ascii="Arial" w:hAnsi="Arial" w:cs="Arial"/>
          <w:vertAlign w:val="subscript"/>
        </w:rPr>
        <w:t>2</w:t>
      </w:r>
      <w:r w:rsidRPr="00801F94">
        <w:rPr>
          <w:rFonts w:ascii="Arial" w:hAnsi="Arial" w:cs="Arial"/>
        </w:rPr>
        <w:t>P</w:t>
      </w:r>
      <w:r w:rsidRPr="00801F94">
        <w:rPr>
          <w:rFonts w:ascii="Arial" w:hAnsi="Arial" w:cs="Arial"/>
          <w:vertAlign w:val="subscript"/>
        </w:rPr>
        <w:t>3</w:t>
      </w:r>
      <w:r w:rsidRPr="00801F94">
        <w:rPr>
          <w:rFonts w:ascii="Arial" w:hAnsi="Arial" w:cs="Arial"/>
        </w:rPr>
        <w:t xml:space="preserve">BC </w:t>
      </w:r>
      <w:r w:rsidRPr="00801F94">
        <w:rPr>
          <w:rFonts w:ascii="Arial" w:hAnsi="Arial" w:cs="Arial"/>
        </w:rPr>
        <w:tab/>
        <w:t xml:space="preserve">     1</w:t>
      </w:r>
    </w:p>
    <w:p w:rsidR="00F4243E" w:rsidRPr="00801F94" w:rsidRDefault="00F4243E" w:rsidP="00F4243E">
      <w:pPr>
        <w:jc w:val="both"/>
        <w:rPr>
          <w:rFonts w:ascii="Arial" w:hAnsi="Arial" w:cs="Arial"/>
        </w:rPr>
      </w:pPr>
      <w:proofErr w:type="gramStart"/>
      <w:r w:rsidRPr="00801F94">
        <w:rPr>
          <w:rFonts w:ascii="Arial" w:hAnsi="Arial" w:cs="Arial"/>
        </w:rPr>
        <w:lastRenderedPageBreak/>
        <w:t>where</w:t>
      </w:r>
      <w:proofErr w:type="gramEnd"/>
      <w:r w:rsidRPr="00801F94">
        <w:rPr>
          <w:rFonts w:ascii="Arial" w:hAnsi="Arial" w:cs="Arial"/>
        </w:rPr>
        <w:t xml:space="preserve"> Y is the dependent variable or response (% removal); P</w:t>
      </w:r>
      <w:r w:rsidRPr="00801F94">
        <w:rPr>
          <w:rFonts w:ascii="Arial" w:hAnsi="Arial" w:cs="Arial"/>
          <w:vertAlign w:val="subscript"/>
        </w:rPr>
        <w:t>0</w:t>
      </w:r>
      <w:r w:rsidRPr="00801F94">
        <w:rPr>
          <w:rFonts w:ascii="Arial" w:hAnsi="Arial" w:cs="Arial"/>
        </w:rPr>
        <w:t xml:space="preserve"> is the overall mean response or intercept constant; P</w:t>
      </w:r>
      <w:r w:rsidRPr="00801F94">
        <w:rPr>
          <w:rFonts w:ascii="Arial" w:hAnsi="Arial" w:cs="Arial"/>
          <w:vertAlign w:val="subscript"/>
        </w:rPr>
        <w:t>1</w:t>
      </w:r>
      <w:r w:rsidRPr="00801F94">
        <w:rPr>
          <w:rFonts w:ascii="Arial" w:hAnsi="Arial" w:cs="Arial"/>
        </w:rPr>
        <w:t>, P</w:t>
      </w:r>
      <w:r w:rsidRPr="00801F94">
        <w:rPr>
          <w:rFonts w:ascii="Arial" w:hAnsi="Arial" w:cs="Arial"/>
          <w:vertAlign w:val="subscript"/>
        </w:rPr>
        <w:t>2</w:t>
      </w:r>
      <w:r w:rsidRPr="00801F94">
        <w:rPr>
          <w:rFonts w:ascii="Arial" w:hAnsi="Arial" w:cs="Arial"/>
        </w:rPr>
        <w:t xml:space="preserve"> and P</w:t>
      </w:r>
      <w:r w:rsidRPr="00801F94">
        <w:rPr>
          <w:rFonts w:ascii="Arial" w:hAnsi="Arial" w:cs="Arial"/>
          <w:vertAlign w:val="subscript"/>
        </w:rPr>
        <w:t>3</w:t>
      </w:r>
      <w:r w:rsidRPr="00801F94">
        <w:rPr>
          <w:rFonts w:ascii="Arial" w:hAnsi="Arial" w:cs="Arial"/>
        </w:rPr>
        <w:t xml:space="preserve"> are the regression model coefficients. Experimental range and levels of the independent variables are shown in table 1.</w:t>
      </w:r>
    </w:p>
    <w:p w:rsidR="00F4243E" w:rsidRPr="00801F94" w:rsidRDefault="00F4243E" w:rsidP="00F4243E">
      <w:pPr>
        <w:jc w:val="both"/>
        <w:rPr>
          <w:rFonts w:ascii="Arial" w:hAnsi="Arial" w:cs="Arial"/>
        </w:rPr>
      </w:pPr>
    </w:p>
    <w:p w:rsidR="00F4243E" w:rsidRPr="00801F94" w:rsidRDefault="00F4243E" w:rsidP="00F4243E">
      <w:pPr>
        <w:spacing w:line="360" w:lineRule="auto"/>
        <w:ind w:left="1080" w:firstLine="360"/>
        <w:jc w:val="both"/>
        <w:rPr>
          <w:rFonts w:ascii="Arial" w:hAnsi="Arial" w:cs="Arial"/>
          <w:lang w:val="en-GB"/>
        </w:rPr>
      </w:pPr>
      <w:r w:rsidRPr="00801F94">
        <w:rPr>
          <w:rFonts w:ascii="Arial" w:hAnsi="Arial" w:cs="Arial"/>
          <w:b/>
        </w:rPr>
        <w:t xml:space="preserve">Table 1: Experimental range and levels of the independent variables </w:t>
      </w:r>
    </w:p>
    <w:tbl>
      <w:tblPr>
        <w:tblStyle w:val="ListTable6Colorful"/>
        <w:tblW w:w="0" w:type="auto"/>
        <w:jc w:val="center"/>
        <w:tblBorders>
          <w:top w:val="none" w:sz="0" w:space="0" w:color="auto"/>
          <w:bottom w:val="none" w:sz="0" w:space="0" w:color="auto"/>
        </w:tblBorders>
        <w:tblLook w:val="04A0" w:firstRow="1" w:lastRow="0" w:firstColumn="1" w:lastColumn="0" w:noHBand="0" w:noVBand="1"/>
      </w:tblPr>
      <w:tblGrid>
        <w:gridCol w:w="2117"/>
        <w:gridCol w:w="716"/>
        <w:gridCol w:w="961"/>
        <w:gridCol w:w="606"/>
        <w:gridCol w:w="439"/>
        <w:gridCol w:w="550"/>
        <w:gridCol w:w="550"/>
        <w:gridCol w:w="550"/>
      </w:tblGrid>
      <w:tr w:rsidR="00F4243E" w:rsidRPr="00801F94" w:rsidTr="004E349E">
        <w:trPr>
          <w:cnfStyle w:val="100000000000" w:firstRow="1" w:lastRow="0" w:firstColumn="0" w:lastColumn="0" w:oddVBand="0" w:evenVBand="0" w:oddHBand="0"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one" w:sz="0" w:space="0" w:color="auto"/>
            </w:tcBorders>
            <w:hideMark/>
          </w:tcPr>
          <w:p w:rsidR="00F4243E" w:rsidRPr="00801F94" w:rsidRDefault="00F4243E" w:rsidP="009C5EA9">
            <w:pPr>
              <w:rPr>
                <w:rFonts w:ascii="Arial" w:hAnsi="Arial" w:cs="Arial"/>
                <w:b w:val="0"/>
              </w:rPr>
            </w:pPr>
            <w:r w:rsidRPr="00801F94">
              <w:rPr>
                <w:rFonts w:ascii="Arial" w:hAnsi="Arial" w:cs="Arial"/>
              </w:rPr>
              <w:t>Variables</w:t>
            </w:r>
          </w:p>
        </w:tc>
        <w:tc>
          <w:tcPr>
            <w:tcW w:w="0" w:type="auto"/>
            <w:vMerge w:val="restart"/>
            <w:tcBorders>
              <w:top w:val="single" w:sz="4" w:space="0" w:color="auto"/>
              <w:bottom w:val="none" w:sz="0" w:space="0" w:color="auto"/>
            </w:tcBorders>
            <w:hideMark/>
          </w:tcPr>
          <w:p w:rsidR="00F4243E" w:rsidRPr="00801F94" w:rsidRDefault="00F4243E" w:rsidP="009C5E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01F94">
              <w:rPr>
                <w:rFonts w:ascii="Arial" w:hAnsi="Arial" w:cs="Arial"/>
              </w:rPr>
              <w:t>Code</w:t>
            </w:r>
          </w:p>
        </w:tc>
        <w:tc>
          <w:tcPr>
            <w:tcW w:w="0" w:type="auto"/>
            <w:vMerge w:val="restart"/>
            <w:tcBorders>
              <w:top w:val="single" w:sz="4" w:space="0" w:color="auto"/>
              <w:bottom w:val="none" w:sz="0" w:space="0" w:color="auto"/>
            </w:tcBorders>
            <w:hideMark/>
          </w:tcPr>
          <w:p w:rsidR="00F4243E" w:rsidRPr="00801F94" w:rsidRDefault="00F4243E" w:rsidP="009C5E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01F94">
              <w:rPr>
                <w:rFonts w:ascii="Arial" w:hAnsi="Arial" w:cs="Arial"/>
              </w:rPr>
              <w:t>Units</w:t>
            </w:r>
          </w:p>
        </w:tc>
        <w:tc>
          <w:tcPr>
            <w:tcW w:w="0" w:type="auto"/>
            <w:gridSpan w:val="5"/>
            <w:tcBorders>
              <w:top w:val="single" w:sz="4" w:space="0" w:color="auto"/>
              <w:bottom w:val="none" w:sz="0" w:space="0" w:color="auto"/>
            </w:tcBorders>
            <w:hideMark/>
          </w:tcPr>
          <w:p w:rsidR="00F4243E" w:rsidRPr="00801F94" w:rsidRDefault="00F4243E" w:rsidP="009C5EA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01F94">
              <w:rPr>
                <w:rFonts w:ascii="Arial" w:hAnsi="Arial" w:cs="Arial"/>
              </w:rPr>
              <w:t>Coded variable Levels</w:t>
            </w:r>
          </w:p>
        </w:tc>
      </w:tr>
      <w:tr w:rsidR="00F4243E" w:rsidRPr="00801F94" w:rsidTr="004E349E">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rsidR="00F4243E" w:rsidRPr="00801F94" w:rsidRDefault="00F4243E" w:rsidP="009C5EA9">
            <w:pPr>
              <w:rPr>
                <w:rFonts w:ascii="Arial" w:hAnsi="Arial" w:cs="Arial"/>
                <w:b w:val="0"/>
                <w:kern w:val="2"/>
                <w:lang w:val="en-GB"/>
              </w:rPr>
            </w:pPr>
          </w:p>
        </w:tc>
        <w:tc>
          <w:tcPr>
            <w:tcW w:w="0" w:type="auto"/>
            <w:vMerge/>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b/>
                <w:kern w:val="2"/>
                <w:lang w:val="en-GB"/>
              </w:rPr>
            </w:pPr>
          </w:p>
        </w:tc>
        <w:tc>
          <w:tcPr>
            <w:tcW w:w="0" w:type="auto"/>
            <w:vMerge/>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b/>
                <w:kern w:val="2"/>
                <w:lang w:val="en-GB"/>
              </w:rPr>
            </w:pPr>
          </w:p>
        </w:tc>
        <w:tc>
          <w:tcPr>
            <w:tcW w:w="0" w:type="auto"/>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-α</w:t>
            </w:r>
          </w:p>
        </w:tc>
        <w:tc>
          <w:tcPr>
            <w:tcW w:w="0" w:type="auto"/>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-1</w:t>
            </w:r>
          </w:p>
        </w:tc>
        <w:tc>
          <w:tcPr>
            <w:tcW w:w="0" w:type="auto"/>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0</w:t>
            </w:r>
          </w:p>
        </w:tc>
        <w:tc>
          <w:tcPr>
            <w:tcW w:w="0" w:type="auto"/>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+1</w:t>
            </w:r>
          </w:p>
        </w:tc>
        <w:tc>
          <w:tcPr>
            <w:tcW w:w="0" w:type="auto"/>
            <w:tcBorders>
              <w:bottom w:val="single" w:sz="4" w:space="0" w:color="auto"/>
            </w:tcBorders>
            <w:shd w:val="clear" w:color="auto" w:fill="auto"/>
            <w:hideMark/>
          </w:tcPr>
          <w:p w:rsidR="00F4243E" w:rsidRPr="00801F94" w:rsidRDefault="00F4243E" w:rsidP="009C5EA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+α</w:t>
            </w:r>
          </w:p>
        </w:tc>
      </w:tr>
      <w:tr w:rsidR="00F4243E" w:rsidRPr="00801F94" w:rsidTr="004E349E">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rsidR="00F4243E" w:rsidRPr="00801F94" w:rsidRDefault="00F4243E" w:rsidP="009C5EA9">
            <w:pPr>
              <w:rPr>
                <w:rFonts w:ascii="Arial" w:hAnsi="Arial" w:cs="Arial"/>
              </w:rPr>
            </w:pPr>
            <w:r w:rsidRPr="00801F94">
              <w:rPr>
                <w:rFonts w:ascii="Arial" w:hAnsi="Arial" w:cs="Arial"/>
              </w:rPr>
              <w:t>Contact time</w:t>
            </w:r>
          </w:p>
          <w:p w:rsidR="00F4243E" w:rsidRPr="00801F94" w:rsidRDefault="00F4243E" w:rsidP="009C5EA9">
            <w:pPr>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(min)</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29.3</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60</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105</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150</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0" w:type="auto"/>
            <w:tcBorders>
              <w:top w:val="single" w:sz="4" w:space="0" w:color="auto"/>
            </w:tcBorders>
            <w:hideMark/>
          </w:tcPr>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180</w:t>
            </w:r>
          </w:p>
          <w:p w:rsidR="00F4243E" w:rsidRPr="00801F94" w:rsidRDefault="00F4243E" w:rsidP="009C5EA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E349E" w:rsidRPr="00801F94" w:rsidTr="004E349E">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4E349E" w:rsidRPr="00801F94" w:rsidRDefault="004E349E" w:rsidP="004E349E">
            <w:pPr>
              <w:rPr>
                <w:rFonts w:ascii="Arial" w:hAnsi="Arial" w:cs="Arial"/>
              </w:rPr>
            </w:pPr>
            <w:r w:rsidRPr="00801F94">
              <w:rPr>
                <w:rFonts w:ascii="Arial" w:hAnsi="Arial" w:cs="Arial"/>
              </w:rPr>
              <w:t>Adsorbent dosage</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B</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(g)</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1</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2</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3</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4</w:t>
            </w:r>
          </w:p>
        </w:tc>
        <w:tc>
          <w:tcPr>
            <w:tcW w:w="0" w:type="auto"/>
            <w:shd w:val="clear" w:color="auto" w:fill="auto"/>
          </w:tcPr>
          <w:p w:rsidR="004E349E" w:rsidRPr="00801F94" w:rsidRDefault="004E349E" w:rsidP="004E349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5</w:t>
            </w:r>
          </w:p>
        </w:tc>
      </w:tr>
      <w:tr w:rsidR="004E349E" w:rsidRPr="00801F94" w:rsidTr="004E349E">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rsidR="004E349E" w:rsidRPr="00801F94" w:rsidRDefault="004E349E" w:rsidP="004E349E">
            <w:pPr>
              <w:rPr>
                <w:rFonts w:ascii="Arial" w:hAnsi="Arial" w:cs="Arial"/>
              </w:rPr>
            </w:pPr>
            <w:r w:rsidRPr="00801F94">
              <w:rPr>
                <w:rFonts w:ascii="Arial" w:hAnsi="Arial" w:cs="Arial"/>
              </w:rPr>
              <w:t>Initial concentration</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C</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(mg/mL)</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1</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2</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3</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4</w:t>
            </w:r>
          </w:p>
        </w:tc>
        <w:tc>
          <w:tcPr>
            <w:tcW w:w="0" w:type="auto"/>
            <w:tcBorders>
              <w:bottom w:val="single" w:sz="4" w:space="0" w:color="auto"/>
            </w:tcBorders>
          </w:tcPr>
          <w:p w:rsidR="004E349E" w:rsidRPr="00801F94" w:rsidRDefault="004E349E" w:rsidP="004E349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5</w:t>
            </w:r>
          </w:p>
        </w:tc>
      </w:tr>
    </w:tbl>
    <w:p w:rsidR="00F4243E" w:rsidRPr="00801F94" w:rsidRDefault="00F4243E" w:rsidP="00F4243E">
      <w:pPr>
        <w:jc w:val="both"/>
        <w:rPr>
          <w:rFonts w:ascii="Arial" w:hAnsi="Arial" w:cs="Arial"/>
          <w:b/>
          <w:bCs/>
          <w:kern w:val="2"/>
          <w:sz w:val="24"/>
          <w:szCs w:val="24"/>
        </w:rPr>
      </w:pPr>
    </w:p>
    <w:p w:rsidR="00F4243E" w:rsidRPr="00801F94" w:rsidRDefault="00F4243E" w:rsidP="00F4243E">
      <w:pPr>
        <w:jc w:val="both"/>
        <w:rPr>
          <w:rFonts w:ascii="Arial" w:hAnsi="Arial" w:cs="Arial"/>
          <w:b/>
          <w:bCs/>
          <w:sz w:val="22"/>
          <w:szCs w:val="22"/>
        </w:rPr>
      </w:pPr>
      <w:r w:rsidRPr="00801F94">
        <w:rPr>
          <w:rFonts w:ascii="Arial" w:hAnsi="Arial" w:cs="Arial"/>
          <w:b/>
          <w:bCs/>
          <w:sz w:val="22"/>
          <w:szCs w:val="22"/>
        </w:rPr>
        <w:t>2.4 Batch Adsorption Experiments for Kinetics, Isotherm and Thermodynamics Models</w:t>
      </w:r>
    </w:p>
    <w:p w:rsidR="00F4243E" w:rsidRPr="00801F94" w:rsidRDefault="00F4243E" w:rsidP="00F4243E">
      <w:pPr>
        <w:jc w:val="both"/>
        <w:rPr>
          <w:rFonts w:ascii="Arial" w:hAnsi="Arial" w:cs="Arial"/>
        </w:rPr>
      </w:pPr>
      <w:r w:rsidRPr="00801F94">
        <w:rPr>
          <w:rFonts w:ascii="Arial" w:hAnsi="Arial" w:cs="Arial"/>
        </w:rPr>
        <w:t>Batch adsorption experiments were carried out to assess the efficiency of ampicillin removal using acid-modified rice husk (ARH) under varying conditions. Experiments were conducted in 250 mL Erlenmeyer flasks containing 100 mL of ampicillin solution and 1 g of ARH. The mixtures were stirred using a mechanical shaker at 200 rpm for the required contact time. Key operational variables include: initial ampicillin concentration (1–5 mg/mL), contact time (30–180 minutes) and temperature (25–105 °C). After each run, samples were filtered, and residual ampicillin absorbance was determined via UV–Vis spectrophotometry at the drug’s λ</w:t>
      </w:r>
      <w:r w:rsidRPr="00801F94">
        <w:rPr>
          <w:rFonts w:ascii="Cambria Math" w:hAnsi="Cambria Math" w:cs="Cambria Math"/>
        </w:rPr>
        <w:t>ₘ</w:t>
      </w:r>
      <w:r w:rsidRPr="00801F94">
        <w:rPr>
          <w:rFonts w:ascii="Arial" w:hAnsi="Arial" w:cs="Arial"/>
        </w:rPr>
        <w:t xml:space="preserve">ₐₓ of </w:t>
      </w:r>
      <w:r w:rsidR="00AC0A46" w:rsidRPr="00801F94">
        <w:rPr>
          <w:rFonts w:ascii="Arial" w:hAnsi="Arial" w:cs="Arial"/>
        </w:rPr>
        <w:t>269</w:t>
      </w:r>
      <w:r w:rsidRPr="00801F94">
        <w:rPr>
          <w:rFonts w:ascii="Arial" w:hAnsi="Arial" w:cs="Arial"/>
        </w:rPr>
        <w:t xml:space="preserve"> nm</w:t>
      </w:r>
      <w:r w:rsidR="00AC0A46" w:rsidRPr="00801F94">
        <w:rPr>
          <w:rFonts w:ascii="Arial" w:hAnsi="Arial" w:cs="Arial"/>
        </w:rPr>
        <w:t xml:space="preserve"> (Lin and Cen, 2022)</w:t>
      </w:r>
      <w:r w:rsidRPr="00801F94">
        <w:rPr>
          <w:rFonts w:ascii="Arial" w:hAnsi="Arial" w:cs="Arial"/>
        </w:rPr>
        <w:t>. Corresponding concentrations were determined using standard ampicillin calibration curve. Experiments were performed in triplicates, and mean values were reported to ensure reproducibility.</w:t>
      </w:r>
    </w:p>
    <w:p w:rsidR="00F4243E" w:rsidRPr="00801F94" w:rsidRDefault="00F4243E" w:rsidP="00F4243E">
      <w:pPr>
        <w:jc w:val="both"/>
        <w:rPr>
          <w:rFonts w:ascii="Arial" w:hAnsi="Arial" w:cs="Arial"/>
        </w:rPr>
      </w:pPr>
    </w:p>
    <w:p w:rsidR="00F4243E" w:rsidRPr="00801F94" w:rsidRDefault="00F4243E" w:rsidP="00F4243E">
      <w:pPr>
        <w:jc w:val="both"/>
        <w:rPr>
          <w:rFonts w:ascii="Arial" w:hAnsi="Arial" w:cs="Arial"/>
          <w:b/>
          <w:bCs/>
          <w:u w:val="single"/>
        </w:rPr>
      </w:pPr>
      <w:r w:rsidRPr="00801F94">
        <w:rPr>
          <w:rFonts w:ascii="Arial" w:hAnsi="Arial" w:cs="Arial"/>
          <w:b/>
          <w:bCs/>
          <w:u w:val="single"/>
        </w:rPr>
        <w:t>2.4.4 Adsorption Performance Evaluation</w:t>
      </w:r>
    </w:p>
    <w:p w:rsidR="00F4243E" w:rsidRPr="00801F94" w:rsidRDefault="00F4243E" w:rsidP="00F4243E">
      <w:pPr>
        <w:jc w:val="both"/>
        <w:rPr>
          <w:rFonts w:ascii="Arial" w:hAnsi="Arial" w:cs="Arial"/>
        </w:rPr>
      </w:pPr>
      <w:bookmarkStart w:id="7" w:name="_Hlk204542043"/>
      <w:r w:rsidRPr="00801F94">
        <w:rPr>
          <w:rFonts w:ascii="Arial" w:hAnsi="Arial" w:cs="Arial"/>
        </w:rPr>
        <w:t>The removal percentage (</w:t>
      </w:r>
      <w:proofErr w:type="gramStart"/>
      <w:r w:rsidRPr="00801F94">
        <w:rPr>
          <w:rFonts w:ascii="Arial" w:hAnsi="Arial" w:cs="Arial"/>
        </w:rPr>
        <w:t>R%</w:t>
      </w:r>
      <w:proofErr w:type="gramEnd"/>
      <w:r w:rsidRPr="00801F94">
        <w:rPr>
          <w:rFonts w:ascii="Arial" w:hAnsi="Arial" w:cs="Arial"/>
        </w:rPr>
        <w:t xml:space="preserve">) and the adsorption capacity </w:t>
      </w:r>
      <w:proofErr w:type="spellStart"/>
      <w:r w:rsidRPr="00801F94">
        <w:rPr>
          <w:rFonts w:ascii="Arial" w:hAnsi="Arial" w:cs="Arial"/>
        </w:rPr>
        <w:t>qe</w:t>
      </w:r>
      <w:proofErr w:type="spellEnd"/>
      <w:r w:rsidRPr="00801F94">
        <w:rPr>
          <w:rFonts w:ascii="Arial" w:hAnsi="Arial" w:cs="Arial"/>
        </w:rPr>
        <w:t xml:space="preserve"> (mg/g) of the ampicillin were determined using </w:t>
      </w:r>
      <w:proofErr w:type="spellStart"/>
      <w:r w:rsidRPr="00801F94">
        <w:rPr>
          <w:rFonts w:ascii="Arial" w:hAnsi="Arial" w:cs="Arial"/>
        </w:rPr>
        <w:t>eqn</w:t>
      </w:r>
      <w:proofErr w:type="spellEnd"/>
      <w:r w:rsidRPr="00801F94">
        <w:rPr>
          <w:rFonts w:ascii="Arial" w:hAnsi="Arial" w:cs="Arial"/>
        </w:rPr>
        <w:t xml:space="preserve"> (1) and (2), respectively ( </w:t>
      </w:r>
      <w:proofErr w:type="spellStart"/>
      <w:r w:rsidRPr="00801F94">
        <w:rPr>
          <w:rFonts w:ascii="Arial" w:hAnsi="Arial" w:cs="Arial"/>
        </w:rPr>
        <w:t>Darweesh</w:t>
      </w:r>
      <w:proofErr w:type="spellEnd"/>
      <w:r w:rsidRPr="00801F94">
        <w:rPr>
          <w:rFonts w:ascii="Arial" w:hAnsi="Arial" w:cs="Arial"/>
        </w:rPr>
        <w:t xml:space="preserve">, 2026) </w:t>
      </w:r>
    </w:p>
    <w:p w:rsidR="00F4243E" w:rsidRPr="00801F94" w:rsidRDefault="00F4243E" w:rsidP="00F4243E">
      <w:pPr>
        <w:jc w:val="both"/>
        <w:rPr>
          <w:rFonts w:ascii="Arial" w:hAnsi="Arial" w:cs="Arial"/>
        </w:rPr>
      </w:pPr>
      <w:r w:rsidRPr="00801F94">
        <w:rPr>
          <w:rFonts w:ascii="Arial" w:hAnsi="Arial" w:cs="Arial"/>
        </w:rPr>
        <w:t xml:space="preserve">Percentage removal </w:t>
      </w:r>
      <m:oMath>
        <m:r>
          <m:rPr>
            <m:sty m:val="p"/>
          </m:rPr>
          <w:rPr>
            <w:rFonts w:ascii="Cambria Math" w:hAnsi="Cambria Math" w:cs="Arial"/>
          </w:rPr>
          <m:t>=</m:t>
        </m:r>
        <m:f>
          <m:fPr>
            <m:ctrlPr>
              <w:rPr>
                <w:rFonts w:ascii="Cambria Math" w:hAnsi="Cambria Math" w:cs="Arial"/>
                <w:kern w:val="2"/>
              </w:rPr>
            </m:ctrlPr>
          </m:fPr>
          <m:num>
            <m:d>
              <m:dPr>
                <m:ctrlPr>
                  <w:rPr>
                    <w:rFonts w:ascii="Cambria Math" w:hAnsi="Cambria Math" w:cs="Arial"/>
                    <w:kern w:val="2"/>
                  </w:rPr>
                </m:ctrlPr>
              </m:dPr>
              <m:e>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0-</m:t>
                    </m:r>
                  </m:sub>
                </m:sSub>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e>
            </m:d>
          </m:num>
          <m:den>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den>
        </m:f>
        <m:r>
          <m:rPr>
            <m:sty m:val="p"/>
          </m:rPr>
          <w:rPr>
            <w:rFonts w:ascii="Cambria Math" w:hAnsi="Cambria Math" w:cs="Arial"/>
          </w:rPr>
          <m:t xml:space="preserve"> x 100</m:t>
        </m:r>
      </m:oMath>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t xml:space="preserve">  1</w:t>
      </w:r>
      <w:r w:rsidRPr="00801F94">
        <w:rPr>
          <w:rFonts w:ascii="Arial" w:hAnsi="Arial" w:cs="Arial"/>
        </w:rPr>
        <w:tab/>
      </w:r>
    </w:p>
    <w:p w:rsidR="00F4243E" w:rsidRPr="00801F94" w:rsidRDefault="00F4243E" w:rsidP="00F4243E">
      <w:pPr>
        <w:jc w:val="both"/>
        <w:rPr>
          <w:rFonts w:ascii="Arial" w:hAnsi="Arial" w:cs="Arial"/>
        </w:rPr>
      </w:pPr>
      <w:r w:rsidRPr="00801F94">
        <w:rPr>
          <w:rFonts w:ascii="Arial" w:hAnsi="Arial" w:cs="Arial"/>
        </w:rPr>
        <w:t xml:space="preserve">The adsorption capacity </w:t>
      </w:r>
      <m:oMath>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=v</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r>
              <m:rPr>
                <m:sty m:val="p"/>
              </m:rPr>
              <w:rPr>
                <w:rFonts w:ascii="Cambria Math" w:hAnsi="Cambria Math" w:cs="Arial"/>
              </w:rPr>
              <m:t>)</m:t>
            </m:r>
          </m:num>
          <m:den>
            <m:r>
              <m:rPr>
                <m:sty m:val="p"/>
              </m:rPr>
              <w:rPr>
                <w:rFonts w:ascii="Cambria Math" w:hAnsi="Cambria Math" w:cs="Arial"/>
              </w:rPr>
              <m:t>m</m:t>
            </m:r>
          </m:den>
        </m:f>
      </m:oMath>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t xml:space="preserve">         </w:t>
      </w:r>
      <w:r w:rsidRPr="00801F94">
        <w:rPr>
          <w:rFonts w:ascii="Arial" w:hAnsi="Arial" w:cs="Arial"/>
        </w:rPr>
        <w:tab/>
        <w:t xml:space="preserve">   2</w:t>
      </w:r>
    </w:p>
    <w:bookmarkEnd w:id="7"/>
    <w:p w:rsidR="00F4243E" w:rsidRPr="00801F94" w:rsidRDefault="00F4243E" w:rsidP="00F4243E">
      <w:pPr>
        <w:jc w:val="both"/>
        <w:rPr>
          <w:rFonts w:ascii="Arial" w:hAnsi="Arial" w:cs="Arial"/>
        </w:rPr>
      </w:pPr>
    </w:p>
    <w:p w:rsidR="00F4243E" w:rsidRPr="00801F94" w:rsidRDefault="00F4243E" w:rsidP="00F4243E">
      <w:pPr>
        <w:jc w:val="both"/>
        <w:rPr>
          <w:rFonts w:ascii="Arial" w:hAnsi="Arial" w:cs="Arial"/>
        </w:rPr>
      </w:pPr>
      <w:proofErr w:type="gramStart"/>
      <w:r w:rsidRPr="00801F94">
        <w:rPr>
          <w:rFonts w:ascii="Arial" w:hAnsi="Arial" w:cs="Arial"/>
        </w:rPr>
        <w:t>where</w:t>
      </w:r>
      <w:proofErr w:type="gramEnd"/>
      <w:r w:rsidRPr="00801F94">
        <w:rPr>
          <w:rFonts w:ascii="Arial" w:hAnsi="Arial" w:cs="Arial"/>
        </w:rPr>
        <w:t xml:space="preserve"> C</w:t>
      </w:r>
      <w:r w:rsidRPr="00801F94">
        <w:rPr>
          <w:rFonts w:ascii="Arial" w:hAnsi="Arial" w:cs="Arial"/>
          <w:vertAlign w:val="subscript"/>
        </w:rPr>
        <w:t>0</w:t>
      </w:r>
      <w:r w:rsidRPr="00801F94">
        <w:rPr>
          <w:rFonts w:ascii="Arial" w:hAnsi="Arial" w:cs="Arial"/>
        </w:rPr>
        <w:t xml:space="preserve"> and C</w:t>
      </w:r>
      <w:r w:rsidRPr="00801F94">
        <w:rPr>
          <w:rFonts w:ascii="Arial" w:hAnsi="Arial" w:cs="Arial"/>
          <w:vertAlign w:val="subscript"/>
        </w:rPr>
        <w:t>e</w:t>
      </w:r>
      <w:r w:rsidRPr="00801F94">
        <w:rPr>
          <w:rFonts w:ascii="Arial" w:hAnsi="Arial" w:cs="Arial"/>
        </w:rPr>
        <w:t xml:space="preserve"> are the initial and final </w:t>
      </w:r>
      <w:r w:rsidR="00A75902" w:rsidRPr="00801F94">
        <w:rPr>
          <w:rFonts w:ascii="Arial" w:hAnsi="Arial" w:cs="Arial"/>
        </w:rPr>
        <w:t>ampicillin</w:t>
      </w:r>
      <w:r w:rsidRPr="00801F94">
        <w:rPr>
          <w:rFonts w:ascii="Arial" w:hAnsi="Arial" w:cs="Arial"/>
        </w:rPr>
        <w:t xml:space="preserve"> concentrations (mg</w:t>
      </w:r>
      <w:r w:rsidR="00233746" w:rsidRPr="00801F94">
        <w:rPr>
          <w:rFonts w:ascii="Arial" w:hAnsi="Arial" w:cs="Arial"/>
        </w:rPr>
        <w:t>/L</w:t>
      </w:r>
      <w:r w:rsidRPr="00801F94">
        <w:rPr>
          <w:rFonts w:ascii="Arial" w:hAnsi="Arial" w:cs="Arial"/>
        </w:rPr>
        <w:t>), respectively, V is the volume (l),and M is the mass of the adsorbent (g)</w:t>
      </w:r>
    </w:p>
    <w:p w:rsidR="00F4243E" w:rsidRPr="00801F94" w:rsidRDefault="00F4243E" w:rsidP="00F4243E">
      <w:pPr>
        <w:jc w:val="both"/>
        <w:rPr>
          <w:rFonts w:ascii="Arial" w:hAnsi="Arial" w:cs="Arial"/>
        </w:rPr>
      </w:pPr>
    </w:p>
    <w:p w:rsidR="00F4243E" w:rsidRPr="00801F94" w:rsidRDefault="00F4243E" w:rsidP="00F4243E">
      <w:pPr>
        <w:jc w:val="both"/>
        <w:rPr>
          <w:rFonts w:ascii="Arial" w:hAnsi="Arial" w:cs="Arial"/>
          <w:b/>
          <w:bCs/>
          <w:u w:val="single"/>
        </w:rPr>
      </w:pPr>
      <w:r w:rsidRPr="00801F94">
        <w:rPr>
          <w:rFonts w:ascii="Arial" w:hAnsi="Arial" w:cs="Arial"/>
          <w:b/>
          <w:bCs/>
          <w:u w:val="single"/>
        </w:rPr>
        <w:t>2.4.1 Kinetics Studies.</w:t>
      </w:r>
    </w:p>
    <w:p w:rsidR="00F4243E" w:rsidRPr="00801F94" w:rsidRDefault="00F4243E" w:rsidP="00F4243E">
      <w:pPr>
        <w:rPr>
          <w:rFonts w:ascii="Arial" w:hAnsi="Arial" w:cs="Arial"/>
        </w:rPr>
      </w:pPr>
      <w:r w:rsidRPr="00801F94">
        <w:rPr>
          <w:rFonts w:ascii="Arial" w:hAnsi="Arial" w:cs="Arial"/>
        </w:rPr>
        <w:t>Adsorption kinetics enables one to better understand sorption mechanism and rate-limiting steps (Abdu, et. al 2021; Al-</w:t>
      </w:r>
      <w:proofErr w:type="spellStart"/>
      <w:r w:rsidRPr="00801F94">
        <w:rPr>
          <w:rFonts w:ascii="Arial" w:hAnsi="Arial" w:cs="Arial"/>
        </w:rPr>
        <w:t>Musawi</w:t>
      </w:r>
      <w:proofErr w:type="spellEnd"/>
      <w:r w:rsidRPr="00801F94">
        <w:rPr>
          <w:rFonts w:ascii="Arial" w:hAnsi="Arial" w:cs="Arial"/>
        </w:rPr>
        <w:t xml:space="preserve">, et. al. 2017; Ibrahim et. al 2022; </w:t>
      </w:r>
      <w:proofErr w:type="spellStart"/>
      <w:r w:rsidRPr="00801F94">
        <w:rPr>
          <w:rFonts w:ascii="Arial" w:hAnsi="Arial" w:cs="Arial"/>
        </w:rPr>
        <w:t>Obradovic</w:t>
      </w:r>
      <w:proofErr w:type="spellEnd"/>
      <w:r w:rsidRPr="00801F94">
        <w:rPr>
          <w:rFonts w:ascii="Arial" w:hAnsi="Arial" w:cs="Arial"/>
        </w:rPr>
        <w:t>, 2020; Yeo, et. al. 2024).</w:t>
      </w:r>
    </w:p>
    <w:p w:rsidR="00F4243E" w:rsidRPr="00801F94" w:rsidRDefault="00F4243E" w:rsidP="00F4243E">
      <w:pPr>
        <w:jc w:val="both"/>
        <w:rPr>
          <w:rFonts w:ascii="Arial" w:hAnsi="Arial" w:cs="Arial"/>
        </w:rPr>
      </w:pPr>
      <w:r w:rsidRPr="00801F94">
        <w:rPr>
          <w:rFonts w:ascii="Arial" w:hAnsi="Arial" w:cs="Arial"/>
        </w:rPr>
        <w:t>Data obtained from time variation were analyzed using pseudo first-order (eq. 3) and pseudo second-order (eq. 4), (Ho 2006)</w:t>
      </w:r>
      <w:r w:rsidRPr="00801F94">
        <w:rPr>
          <w:rFonts w:ascii="Arial" w:hAnsi="Arial" w:cs="Arial"/>
          <w:b/>
          <w:bCs/>
        </w:rPr>
        <w:t xml:space="preserve"> </w:t>
      </w:r>
      <w:r w:rsidRPr="00801F94">
        <w:rPr>
          <w:rFonts w:ascii="Arial" w:hAnsi="Arial" w:cs="Arial"/>
        </w:rPr>
        <w:t>kinetics models:</w:t>
      </w:r>
    </w:p>
    <w:p w:rsidR="00F4243E" w:rsidRPr="00801F94" w:rsidRDefault="00F4243E" w:rsidP="00F4243E">
      <w:pPr>
        <w:jc w:val="both"/>
        <w:rPr>
          <w:rFonts w:ascii="Arial" w:hAnsi="Arial" w:cs="Arial"/>
        </w:rPr>
      </w:pPr>
      <m:oMath>
        <m:r>
          <m:rPr>
            <m:sty m:val="p"/>
          </m:rPr>
          <w:rPr>
            <w:rFonts w:ascii="Cambria Math" w:hAnsi="Cambria Math" w:cs="Arial"/>
          </w:rPr>
          <m:t xml:space="preserve">ln </m:t>
        </m:r>
        <m:d>
          <m:dPr>
            <m:ctrlPr>
              <w:rPr>
                <w:rFonts w:ascii="Cambria Math" w:hAnsi="Cambria Math" w:cs="Arial"/>
                <w:kern w:val="2"/>
              </w:rPr>
            </m:ctrlPr>
          </m:dPr>
          <m:e>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e>
        </m:d>
        <m:r>
          <m:rPr>
            <m:sty m:val="p"/>
          </m:rPr>
          <w:rPr>
            <w:rFonts w:ascii="Cambria Math" w:hAnsi="Cambria Math" w:cs="Arial"/>
          </w:rPr>
          <m:t>=  ln</m:t>
        </m:r>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k</m:t>
            </m:r>
          </m:e>
          <m:sub>
            <m:sSup>
              <m:sSupPr>
                <m:ctrlPr>
                  <w:rPr>
                    <w:rFonts w:ascii="Cambria Math" w:hAnsi="Cambria Math" w:cs="Arial"/>
                    <w:kern w:val="2"/>
                  </w:rPr>
                </m:ctrlPr>
              </m:sSupPr>
              <m:e>
                <m:r>
                  <m:rPr>
                    <m:sty m:val="p"/>
                  </m:rPr>
                  <w:rPr>
                    <w:rFonts w:ascii="Cambria Math" w:hAnsi="Cambria Math" w:cs="Arial"/>
                  </w:rPr>
                  <m:t>1</m:t>
                </m:r>
              </m:e>
              <m:sup>
                <m:r>
                  <m:rPr>
                    <m:sty m:val="p"/>
                  </m:rPr>
                  <w:rPr>
                    <w:rFonts w:ascii="Cambria Math" w:hAnsi="Cambria Math" w:cs="Arial"/>
                  </w:rPr>
                  <m:t>t</m:t>
                </m:r>
              </m:sup>
            </m:sSup>
          </m:sub>
        </m:sSub>
      </m:oMath>
      <w:r w:rsidRPr="00801F94">
        <w:rPr>
          <w:rFonts w:ascii="Arial" w:hAnsi="Arial" w:cs="Arial"/>
        </w:rPr>
        <w:t xml:space="preserve">                                             </w:t>
      </w:r>
      <w:r w:rsidRPr="00801F94">
        <w:rPr>
          <w:rFonts w:ascii="Arial" w:hAnsi="Arial" w:cs="Arial"/>
        </w:rPr>
        <w:tab/>
      </w:r>
      <w:r w:rsidRPr="00801F94">
        <w:rPr>
          <w:rFonts w:ascii="Arial" w:hAnsi="Arial" w:cs="Arial"/>
        </w:rPr>
        <w:tab/>
      </w:r>
      <w:r w:rsidRPr="00801F94">
        <w:rPr>
          <w:rFonts w:ascii="Arial" w:hAnsi="Arial" w:cs="Arial"/>
        </w:rPr>
        <w:tab/>
        <w:t xml:space="preserve">  3</w:t>
      </w:r>
    </w:p>
    <w:p w:rsidR="00F4243E" w:rsidRPr="00801F94" w:rsidRDefault="00D76EF8" w:rsidP="00F4243E">
      <w:pPr>
        <w:jc w:val="both"/>
        <w:rPr>
          <w:rFonts w:ascii="Arial" w:hAnsi="Arial" w:cs="Arial"/>
        </w:rPr>
      </w:pPr>
      <m:oMath>
        <m:f>
          <m:fPr>
            <m:ctrlPr>
              <w:rPr>
                <w:rFonts w:ascii="Cambria Math" w:hAnsi="Cambria Math" w:cs="Arial"/>
                <w:kern w:val="2"/>
              </w:rPr>
            </m:ctrlPr>
          </m:fPr>
          <m:num>
            <m:r>
              <m:rPr>
                <m:sty m:val="p"/>
              </m:rPr>
              <w:rPr>
                <w:rFonts w:ascii="Cambria Math" w:hAnsi="Cambria Math" w:cs="Arial"/>
              </w:rPr>
              <m:t>t</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1</m:t>
            </m:r>
          </m:num>
          <m:den>
            <m:r>
              <m:rPr>
                <m:sty m:val="p"/>
              </m:rPr>
              <w:rPr>
                <w:rFonts w:ascii="Cambria Math" w:hAnsi="Cambria Math" w:cs="Arial"/>
              </w:rPr>
              <m:t>k</m:t>
            </m:r>
            <m:sSup>
              <m:sSupPr>
                <m:ctrlPr>
                  <w:rPr>
                    <w:rFonts w:ascii="Cambria Math" w:hAnsi="Cambria Math" w:cs="Arial"/>
                    <w:kern w:val="2"/>
                  </w:rPr>
                </m:ctrlPr>
              </m:sSupPr>
              <m:e>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e>
              <m:sup>
                <m:r>
                  <m:rPr>
                    <m:sty m:val="p"/>
                  </m:rPr>
                  <w:rPr>
                    <w:rFonts w:ascii="Cambria Math" w:hAnsi="Cambria Math" w:cs="Arial"/>
                  </w:rPr>
                  <m:t>2</m:t>
                </m:r>
              </m:sup>
            </m:sSup>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t</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den>
        </m:f>
      </m:oMath>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t xml:space="preserve">  4</w:t>
      </w:r>
    </w:p>
    <w:p w:rsidR="00F4243E" w:rsidRPr="00801F94" w:rsidRDefault="00F4243E" w:rsidP="00F4243E">
      <w:pPr>
        <w:jc w:val="both"/>
        <w:rPr>
          <w:rFonts w:ascii="Arial" w:hAnsi="Arial" w:cs="Arial"/>
        </w:rPr>
      </w:pPr>
      <w:r w:rsidRPr="00801F94">
        <w:rPr>
          <w:rFonts w:ascii="Arial" w:hAnsi="Arial" w:cs="Arial"/>
        </w:rPr>
        <w:t>Where k</w:t>
      </w:r>
      <w:r w:rsidRPr="00801F94">
        <w:rPr>
          <w:rFonts w:ascii="Arial" w:hAnsi="Arial" w:cs="Arial"/>
          <w:vertAlign w:val="subscript"/>
        </w:rPr>
        <w:t>1</w:t>
      </w:r>
      <w:r w:rsidRPr="00801F94">
        <w:rPr>
          <w:rFonts w:ascii="Arial" w:hAnsi="Arial" w:cs="Arial"/>
        </w:rPr>
        <w:t xml:space="preserve"> (min</w:t>
      </w:r>
      <w:r w:rsidRPr="00801F94">
        <w:rPr>
          <w:rFonts w:ascii="Arial" w:hAnsi="Arial" w:cs="Arial"/>
          <w:vertAlign w:val="superscript"/>
        </w:rPr>
        <w:t>-1</w:t>
      </w:r>
      <w:r w:rsidRPr="00801F94">
        <w:rPr>
          <w:rFonts w:ascii="Arial" w:hAnsi="Arial" w:cs="Arial"/>
        </w:rPr>
        <w:t>) and k</w:t>
      </w:r>
      <w:r w:rsidRPr="00801F94">
        <w:rPr>
          <w:rFonts w:ascii="Arial" w:hAnsi="Arial" w:cs="Arial"/>
          <w:vertAlign w:val="subscript"/>
        </w:rPr>
        <w:t xml:space="preserve">2 </w:t>
      </w:r>
      <w:r w:rsidRPr="00801F94">
        <w:rPr>
          <w:rFonts w:ascii="Arial" w:hAnsi="Arial" w:cs="Arial"/>
        </w:rPr>
        <w:t>(</w:t>
      </w:r>
      <w:r w:rsidR="00A61F9F" w:rsidRPr="00801F94">
        <w:rPr>
          <w:rFonts w:ascii="Arial" w:hAnsi="Arial" w:cs="Arial"/>
        </w:rPr>
        <w:t>L/</w:t>
      </w:r>
      <w:r w:rsidRPr="00801F94">
        <w:rPr>
          <w:rFonts w:ascii="Arial" w:hAnsi="Arial" w:cs="Arial"/>
        </w:rPr>
        <w:t>mg</w:t>
      </w:r>
      <w:r w:rsidR="00A61F9F" w:rsidRPr="00801F94">
        <w:rPr>
          <w:rFonts w:ascii="Arial" w:hAnsi="Arial" w:cs="Arial"/>
        </w:rPr>
        <w:t>/</w:t>
      </w:r>
      <w:r w:rsidRPr="00801F94">
        <w:rPr>
          <w:rFonts w:ascii="Arial" w:hAnsi="Arial" w:cs="Arial"/>
        </w:rPr>
        <w:t xml:space="preserve">min) are the pseudo first-order and pseudo second-order adsorption rate constants, </w:t>
      </w:r>
      <w:proofErr w:type="spellStart"/>
      <w:r w:rsidRPr="00801F94">
        <w:rPr>
          <w:rFonts w:ascii="Arial" w:hAnsi="Arial" w:cs="Arial"/>
        </w:rPr>
        <w:t>q</w:t>
      </w:r>
      <w:r w:rsidRPr="00801F94">
        <w:rPr>
          <w:rFonts w:ascii="Arial" w:hAnsi="Arial" w:cs="Arial"/>
          <w:vertAlign w:val="subscript"/>
        </w:rPr>
        <w:t>e</w:t>
      </w:r>
      <w:proofErr w:type="spellEnd"/>
      <w:r w:rsidRPr="00801F94">
        <w:rPr>
          <w:rFonts w:ascii="Arial" w:hAnsi="Arial" w:cs="Arial"/>
        </w:rPr>
        <w:t xml:space="preserve"> amount of ampicillin deposited on the adsorbent’s surface at equilibrium, and </w:t>
      </w:r>
      <w:proofErr w:type="spellStart"/>
      <w:r w:rsidRPr="00801F94">
        <w:rPr>
          <w:rFonts w:ascii="Arial" w:hAnsi="Arial" w:cs="Arial"/>
        </w:rPr>
        <w:t>q</w:t>
      </w:r>
      <w:r w:rsidRPr="00801F94">
        <w:rPr>
          <w:rFonts w:ascii="Arial" w:hAnsi="Arial" w:cs="Arial"/>
          <w:vertAlign w:val="subscript"/>
        </w:rPr>
        <w:t>t</w:t>
      </w:r>
      <w:proofErr w:type="spellEnd"/>
      <w:r w:rsidRPr="00801F94">
        <w:rPr>
          <w:rFonts w:ascii="Arial" w:hAnsi="Arial" w:cs="Arial"/>
        </w:rPr>
        <w:t xml:space="preserve"> is the quantity deposited at any given moment (t). </w:t>
      </w:r>
      <w:proofErr w:type="gramStart"/>
      <w:r w:rsidRPr="00801F94">
        <w:rPr>
          <w:rFonts w:ascii="Arial" w:hAnsi="Arial" w:cs="Arial"/>
        </w:rPr>
        <w:t>k</w:t>
      </w:r>
      <w:r w:rsidRPr="00801F94">
        <w:rPr>
          <w:rFonts w:ascii="Arial" w:hAnsi="Arial" w:cs="Arial"/>
          <w:vertAlign w:val="subscript"/>
        </w:rPr>
        <w:t>1</w:t>
      </w:r>
      <w:proofErr w:type="gramEnd"/>
      <w:r w:rsidRPr="00801F94">
        <w:rPr>
          <w:rFonts w:ascii="Arial" w:hAnsi="Arial" w:cs="Arial"/>
          <w:vertAlign w:val="subscript"/>
        </w:rPr>
        <w:t xml:space="preserve"> </w:t>
      </w:r>
      <w:r w:rsidRPr="00801F94">
        <w:rPr>
          <w:rFonts w:ascii="Arial" w:hAnsi="Arial" w:cs="Arial"/>
        </w:rPr>
        <w:t>is calculated from the slope of the plot of log (</w:t>
      </w:r>
      <w:proofErr w:type="spellStart"/>
      <w:r w:rsidRPr="00801F94">
        <w:rPr>
          <w:rFonts w:ascii="Arial" w:hAnsi="Arial" w:cs="Arial"/>
        </w:rPr>
        <w:t>q</w:t>
      </w:r>
      <w:r w:rsidRPr="00801F94">
        <w:rPr>
          <w:rFonts w:ascii="Arial" w:hAnsi="Arial" w:cs="Arial"/>
          <w:vertAlign w:val="subscript"/>
        </w:rPr>
        <w:t>e</w:t>
      </w:r>
      <w:r w:rsidRPr="00801F94">
        <w:rPr>
          <w:rFonts w:ascii="Arial" w:hAnsi="Arial" w:cs="Arial"/>
        </w:rPr>
        <w:t>-q</w:t>
      </w:r>
      <w:r w:rsidRPr="00801F94">
        <w:rPr>
          <w:rFonts w:ascii="Arial" w:hAnsi="Arial" w:cs="Arial"/>
          <w:vertAlign w:val="subscript"/>
        </w:rPr>
        <w:t>t</w:t>
      </w:r>
      <w:proofErr w:type="spellEnd"/>
      <w:r w:rsidRPr="00801F94">
        <w:rPr>
          <w:rFonts w:ascii="Arial" w:hAnsi="Arial" w:cs="Arial"/>
        </w:rPr>
        <w:t>) vs t while k</w:t>
      </w:r>
      <w:r w:rsidRPr="00801F94">
        <w:rPr>
          <w:rFonts w:ascii="Arial" w:hAnsi="Arial" w:cs="Arial"/>
          <w:vertAlign w:val="subscript"/>
        </w:rPr>
        <w:t>2</w:t>
      </w:r>
      <w:r w:rsidRPr="00801F94">
        <w:rPr>
          <w:rFonts w:ascii="Arial" w:hAnsi="Arial" w:cs="Arial"/>
        </w:rPr>
        <w:t xml:space="preserve"> is calculated by finding the slope and intercept from the plot of t/</w:t>
      </w:r>
      <w:proofErr w:type="spellStart"/>
      <w:r w:rsidRPr="00801F94">
        <w:rPr>
          <w:rFonts w:ascii="Arial" w:hAnsi="Arial" w:cs="Arial"/>
        </w:rPr>
        <w:t>q</w:t>
      </w:r>
      <w:r w:rsidRPr="00801F94">
        <w:rPr>
          <w:rFonts w:ascii="Arial" w:hAnsi="Arial" w:cs="Arial"/>
          <w:vertAlign w:val="subscript"/>
        </w:rPr>
        <w:t>t</w:t>
      </w:r>
      <w:proofErr w:type="spellEnd"/>
      <w:r w:rsidRPr="00801F94">
        <w:rPr>
          <w:rFonts w:ascii="Arial" w:hAnsi="Arial" w:cs="Arial"/>
        </w:rPr>
        <w:t xml:space="preserve"> vs t.</w:t>
      </w:r>
      <w:r w:rsidRPr="00801F94">
        <w:rPr>
          <w:rFonts w:ascii="Arial" w:hAnsi="Arial" w:cs="Arial"/>
        </w:rPr>
        <w:tab/>
      </w:r>
      <w:r w:rsidRPr="00801F94">
        <w:rPr>
          <w:rFonts w:ascii="Arial" w:hAnsi="Arial" w:cs="Arial"/>
        </w:rPr>
        <w:tab/>
        <w:t xml:space="preserve"> </w:t>
      </w:r>
      <w:r w:rsidRPr="00801F94">
        <w:rPr>
          <w:rFonts w:ascii="Arial" w:hAnsi="Arial" w:cs="Arial"/>
        </w:rPr>
        <w:tab/>
      </w:r>
    </w:p>
    <w:p w:rsidR="00F4243E" w:rsidRPr="00801F94" w:rsidRDefault="00F4243E" w:rsidP="00F4243E">
      <w:pPr>
        <w:jc w:val="both"/>
        <w:rPr>
          <w:rFonts w:ascii="Arial" w:hAnsi="Arial" w:cs="Arial"/>
          <w:b/>
          <w:bCs/>
          <w:u w:val="single"/>
        </w:rPr>
      </w:pPr>
      <w:r w:rsidRPr="00801F94">
        <w:rPr>
          <w:rFonts w:ascii="Arial" w:hAnsi="Arial" w:cs="Arial"/>
          <w:b/>
          <w:bCs/>
          <w:u w:val="single"/>
        </w:rPr>
        <w:t>2.4.2. Diffusion Modelling Analysis</w:t>
      </w:r>
    </w:p>
    <w:p w:rsidR="00F4243E" w:rsidRPr="00801F94" w:rsidRDefault="00F4243E" w:rsidP="00F4243E">
      <w:pPr>
        <w:jc w:val="both"/>
        <w:rPr>
          <w:rFonts w:ascii="Arial" w:hAnsi="Arial" w:cs="Arial"/>
        </w:rPr>
      </w:pPr>
      <w:r w:rsidRPr="00801F94">
        <w:rPr>
          <w:rFonts w:ascii="Arial" w:hAnsi="Arial" w:cs="Arial"/>
        </w:rPr>
        <w:t xml:space="preserve">Diffusion models help determine whether the adsorption process is controlled by film diffusion (mass transfer from the bulk solution to the external surface of the adsorbent), </w:t>
      </w:r>
      <w:proofErr w:type="spellStart"/>
      <w:r w:rsidRPr="00801F94">
        <w:rPr>
          <w:rFonts w:ascii="Arial" w:hAnsi="Arial" w:cs="Arial"/>
        </w:rPr>
        <w:t>intraparticle</w:t>
      </w:r>
      <w:proofErr w:type="spellEnd"/>
      <w:r w:rsidRPr="00801F94">
        <w:rPr>
          <w:rFonts w:ascii="Arial" w:hAnsi="Arial" w:cs="Arial"/>
        </w:rPr>
        <w:t xml:space="preserve"> diffusion (mass transfer within the pores of the adsorbent), or a combination of both (Zhao, et. al 2024). To better understand the mass transfer dynamics governing ampicillin adsorption, </w:t>
      </w:r>
      <w:proofErr w:type="spellStart"/>
      <w:r w:rsidRPr="00801F94">
        <w:rPr>
          <w:rFonts w:ascii="Arial" w:hAnsi="Arial" w:cs="Arial"/>
        </w:rPr>
        <w:t>intraparticle</w:t>
      </w:r>
      <w:proofErr w:type="spellEnd"/>
      <w:r w:rsidRPr="00801F94">
        <w:rPr>
          <w:rFonts w:ascii="Arial" w:hAnsi="Arial" w:cs="Arial"/>
        </w:rPr>
        <w:t xml:space="preserve"> diffusion (</w:t>
      </w:r>
      <w:proofErr w:type="spellStart"/>
      <w:r w:rsidRPr="00801F94">
        <w:rPr>
          <w:rFonts w:ascii="Arial" w:hAnsi="Arial" w:cs="Arial"/>
        </w:rPr>
        <w:t>eqn</w:t>
      </w:r>
      <w:proofErr w:type="spellEnd"/>
      <w:r w:rsidRPr="00801F94">
        <w:rPr>
          <w:rFonts w:ascii="Arial" w:hAnsi="Arial" w:cs="Arial"/>
        </w:rPr>
        <w:t xml:space="preserve"> 5) and Boyd (</w:t>
      </w:r>
      <w:proofErr w:type="spellStart"/>
      <w:r w:rsidRPr="00801F94">
        <w:rPr>
          <w:rFonts w:ascii="Arial" w:hAnsi="Arial" w:cs="Arial"/>
        </w:rPr>
        <w:t>eqn</w:t>
      </w:r>
      <w:proofErr w:type="spellEnd"/>
      <w:r w:rsidRPr="00801F94">
        <w:rPr>
          <w:rFonts w:ascii="Arial" w:hAnsi="Arial" w:cs="Arial"/>
        </w:rPr>
        <w:t xml:space="preserve"> 6), diffusion models were applied. The </w:t>
      </w:r>
      <w:proofErr w:type="spellStart"/>
      <w:r w:rsidRPr="00801F94">
        <w:rPr>
          <w:rFonts w:ascii="Arial" w:hAnsi="Arial" w:cs="Arial"/>
        </w:rPr>
        <w:t>intraparticle</w:t>
      </w:r>
      <w:proofErr w:type="spellEnd"/>
      <w:r w:rsidRPr="00801F94">
        <w:rPr>
          <w:rFonts w:ascii="Arial" w:hAnsi="Arial" w:cs="Arial"/>
        </w:rPr>
        <w:t xml:space="preserve"> diffusion model (often described by Weber–Morris) predicts a linear relationship between adsorption quantity and the square root of time if diffusion inside the pores is solely the rate-limiting step. It is expressed as:</w:t>
      </w:r>
    </w:p>
    <w:p w:rsidR="00F4243E" w:rsidRPr="00801F94" w:rsidRDefault="00D76EF8"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t</m:t>
            </m:r>
          </m:sub>
        </m:sSub>
        <m:r>
          <m:rPr>
            <m:sty m:val="p"/>
          </m:rPr>
          <w:rPr>
            <w:rFonts w:ascii="Cambria Math" w:hAnsi="Cambria Math" w:cs="Arial"/>
          </w:rPr>
          <m:t>=</m:t>
        </m:r>
        <m:sSup>
          <m:sSupPr>
            <m:ctrlPr>
              <w:rPr>
                <w:rFonts w:ascii="Cambria Math" w:hAnsi="Cambria Math" w:cs="Arial"/>
                <w:kern w:val="2"/>
              </w:rPr>
            </m:ctrlPr>
          </m:sSupPr>
          <m:e>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id</m:t>
                </m:r>
              </m:sub>
            </m:sSub>
          </m:e>
          <m:sup>
            <m:r>
              <m:rPr>
                <m:sty m:val="p"/>
              </m:rPr>
              <w:rPr>
                <w:rFonts w:ascii="Cambria Math" w:hAnsi="Cambria Math" w:cs="Arial"/>
              </w:rPr>
              <m:t>0.5</m:t>
            </m:r>
          </m:sup>
        </m:sSup>
        <m:r>
          <m:rPr>
            <m:sty m:val="p"/>
          </m:rPr>
          <w:rPr>
            <w:rFonts w:ascii="Cambria Math" w:hAnsi="Cambria Math" w:cs="Arial"/>
          </w:rPr>
          <m:t>+ C</m:t>
        </m:r>
      </m:oMath>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t>5</w:t>
      </w:r>
    </w:p>
    <w:p w:rsidR="00F4243E" w:rsidRPr="00801F94" w:rsidRDefault="00F4243E" w:rsidP="00F4243E">
      <w:pPr>
        <w:jc w:val="both"/>
        <w:rPr>
          <w:rFonts w:ascii="Arial" w:hAnsi="Arial" w:cs="Arial"/>
        </w:rPr>
      </w:pPr>
      <w:r w:rsidRPr="00801F94">
        <w:rPr>
          <w:rFonts w:ascii="Arial" w:hAnsi="Arial" w:cs="Arial"/>
        </w:rPr>
        <w:lastRenderedPageBreak/>
        <w:t>Where k</w:t>
      </w:r>
      <w:r w:rsidRPr="00801F94">
        <w:rPr>
          <w:rFonts w:ascii="Arial" w:hAnsi="Arial" w:cs="Arial"/>
          <w:vertAlign w:val="subscript"/>
        </w:rPr>
        <w:t xml:space="preserve">id </w:t>
      </w:r>
      <w:r w:rsidRPr="00801F94">
        <w:rPr>
          <w:rFonts w:ascii="Arial" w:hAnsi="Arial" w:cs="Arial"/>
        </w:rPr>
        <w:t>is intra-particle diffusion rate constant (g/mg min) and the intercept of the plot, C, reflects the boundary layer effect or surface adsorption. The larger the intercept, the greater the contribution of the surface adsorption in the rate-determining step (Weber and Morris 1963)</w:t>
      </w:r>
    </w:p>
    <w:p w:rsidR="00F4243E" w:rsidRPr="00801F94" w:rsidRDefault="00F4243E" w:rsidP="00F4243E">
      <w:pPr>
        <w:jc w:val="both"/>
        <w:rPr>
          <w:rFonts w:ascii="Arial" w:hAnsi="Arial" w:cs="Arial"/>
        </w:rPr>
      </w:pPr>
      <w:r w:rsidRPr="00801F94">
        <w:rPr>
          <w:rFonts w:ascii="Arial" w:hAnsi="Arial" w:cs="Arial"/>
        </w:rPr>
        <w:t>On the other</w:t>
      </w:r>
      <w:r w:rsidR="00E47861" w:rsidRPr="00801F94">
        <w:rPr>
          <w:rFonts w:ascii="Arial" w:hAnsi="Arial" w:cs="Arial"/>
        </w:rPr>
        <w:t xml:space="preserve"> hand</w:t>
      </w:r>
      <w:r w:rsidRPr="00801F94">
        <w:rPr>
          <w:rFonts w:ascii="Arial" w:hAnsi="Arial" w:cs="Arial"/>
        </w:rPr>
        <w:t>, Boyd diffusion model is used to distinguish between film diffusion and pore (intra-particle) diffusion mechanisms in adsorption processes (Boyd et al.</w:t>
      </w:r>
      <w:proofErr w:type="gramStart"/>
      <w:r w:rsidR="00D650D0" w:rsidRPr="00801F94">
        <w:rPr>
          <w:rFonts w:ascii="Arial" w:hAnsi="Arial" w:cs="Arial"/>
        </w:rPr>
        <w:t>,</w:t>
      </w:r>
      <w:r w:rsidRPr="00801F94">
        <w:rPr>
          <w:rFonts w:ascii="Arial" w:hAnsi="Arial" w:cs="Arial"/>
        </w:rPr>
        <w:t>1947</w:t>
      </w:r>
      <w:proofErr w:type="gramEnd"/>
      <w:r w:rsidRPr="00801F94">
        <w:rPr>
          <w:rFonts w:ascii="Arial" w:hAnsi="Arial" w:cs="Arial"/>
        </w:rPr>
        <w:t>). It is based on Fick’s second law of diffusion and applies to spherical particles under constant diffusivity assumptions. The equation is given as:</w:t>
      </w:r>
    </w:p>
    <w:p w:rsidR="00F4243E" w:rsidRPr="00801F94" w:rsidRDefault="00F4243E" w:rsidP="00F4243E">
      <w:pPr>
        <w:jc w:val="both"/>
        <w:rPr>
          <w:rFonts w:ascii="Arial" w:hAnsi="Arial" w:cs="Arial"/>
        </w:rPr>
      </w:pPr>
      <w:r w:rsidRPr="00801F94">
        <w:rPr>
          <w:rFonts w:ascii="Arial" w:hAnsi="Arial" w:cs="Arial"/>
        </w:rPr>
        <w:t xml:space="preserve"> </w:t>
      </w:r>
      <w:proofErr w:type="spellStart"/>
      <w:proofErr w:type="gramStart"/>
      <w:r w:rsidRPr="00801F94">
        <w:rPr>
          <w:rFonts w:ascii="Arial" w:hAnsi="Arial" w:cs="Arial"/>
        </w:rPr>
        <w:t>B</w:t>
      </w:r>
      <w:r w:rsidRPr="00801F94">
        <w:rPr>
          <w:rFonts w:ascii="Arial" w:hAnsi="Arial" w:cs="Arial"/>
          <w:vertAlign w:val="subscript"/>
        </w:rPr>
        <w:t>t</w:t>
      </w:r>
      <w:proofErr w:type="spellEnd"/>
      <w:proofErr w:type="gramEnd"/>
      <w:r w:rsidRPr="00801F94">
        <w:rPr>
          <w:rFonts w:ascii="Arial" w:hAnsi="Arial" w:cs="Arial"/>
        </w:rPr>
        <w:t xml:space="preserve"> = </w:t>
      </w:r>
      <w:r w:rsidRPr="00801F94">
        <w:rPr>
          <w:rFonts w:ascii="Arial" w:hAnsi="Arial" w:cs="Arial"/>
        </w:rPr>
        <w:tab/>
      </w:r>
      <m:oMath>
        <m:r>
          <m:rPr>
            <m:sty m:val="p"/>
          </m:rPr>
          <w:rPr>
            <w:rFonts w:ascii="Cambria Math" w:hAnsi="Cambria Math" w:cs="Arial"/>
          </w:rPr>
          <m:t>-0.4977</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d>
          <m:dPr>
            <m:ctrlPr>
              <w:rPr>
                <w:rFonts w:ascii="Cambria Math" w:hAnsi="Cambria Math" w:cs="Arial"/>
                <w:kern w:val="2"/>
              </w:rPr>
            </m:ctrlPr>
          </m:dPr>
          <m:e>
            <m:r>
              <m:rPr>
                <m:sty m:val="p"/>
              </m:rPr>
              <w:rPr>
                <w:rFonts w:ascii="Cambria Math" w:hAnsi="Cambria Math" w:cs="Arial"/>
              </w:rPr>
              <m:t>1-F</m:t>
            </m:r>
          </m:e>
        </m:d>
      </m:oMath>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t>6</w:t>
      </w:r>
    </w:p>
    <w:p w:rsidR="00F4243E" w:rsidRPr="00801F94" w:rsidRDefault="00F4243E" w:rsidP="00F4243E">
      <w:pPr>
        <w:jc w:val="both"/>
        <w:rPr>
          <w:rFonts w:ascii="Arial" w:hAnsi="Arial" w:cs="Arial"/>
        </w:rPr>
      </w:pPr>
      <w:proofErr w:type="spellStart"/>
      <w:proofErr w:type="gramStart"/>
      <w:r w:rsidRPr="00801F94">
        <w:rPr>
          <w:rFonts w:ascii="Arial" w:hAnsi="Arial" w:cs="Arial"/>
        </w:rPr>
        <w:t>B</w:t>
      </w:r>
      <w:r w:rsidRPr="00801F94">
        <w:rPr>
          <w:rFonts w:ascii="Arial" w:hAnsi="Arial" w:cs="Arial"/>
          <w:vertAlign w:val="subscript"/>
        </w:rPr>
        <w:t>t</w:t>
      </w:r>
      <w:proofErr w:type="spellEnd"/>
      <w:proofErr w:type="gramEnd"/>
      <w:r w:rsidRPr="00801F94">
        <w:rPr>
          <w:rFonts w:ascii="Arial" w:hAnsi="Arial" w:cs="Arial"/>
        </w:rPr>
        <w:t xml:space="preserve"> is the Boyd function at time t, F is the fraction of solute adsorbed at time t, defined as:</w:t>
      </w:r>
    </w:p>
    <w:p w:rsidR="00F4243E" w:rsidRPr="00801F94" w:rsidRDefault="00F4243E" w:rsidP="00F4243E">
      <w:pPr>
        <w:jc w:val="both"/>
        <w:rPr>
          <w:rFonts w:ascii="Arial" w:hAnsi="Arial" w:cs="Arial"/>
        </w:rPr>
      </w:pPr>
      <w:r w:rsidRPr="00801F94">
        <w:rPr>
          <w:rFonts w:ascii="Arial" w:hAnsi="Arial" w:cs="Arial"/>
        </w:rPr>
        <w:t xml:space="preserve"> </w:t>
      </w:r>
      <m:oMath>
        <m:r>
          <m:rPr>
            <m:sty m:val="p"/>
          </m:rPr>
          <w:rPr>
            <w:rFonts w:ascii="Cambria Math" w:hAnsi="Cambria Math" w:cs="Arial"/>
          </w:rPr>
          <m:t>F=</m:t>
        </m:r>
        <m:f>
          <m:fPr>
            <m:ctrlPr>
              <w:rPr>
                <w:rFonts w:ascii="Cambria Math" w:hAnsi="Cambria Math" w:cs="Arial"/>
                <w:kern w:val="2"/>
                <w:lang w:val="en-GB"/>
              </w:rPr>
            </m:ctrlPr>
          </m:fPr>
          <m:num>
            <m:sSub>
              <m:sSubPr>
                <m:ctrlPr>
                  <w:rPr>
                    <w:rFonts w:ascii="Cambria Math" w:hAnsi="Cambria Math" w:cs="Arial"/>
                    <w:kern w:val="2"/>
                    <w:lang w:val="en-GB"/>
                  </w:rPr>
                </m:ctrlPr>
              </m:sSubPr>
              <m:e>
                <m:r>
                  <m:rPr>
                    <m:sty m:val="p"/>
                  </m:rPr>
                  <w:rPr>
                    <w:rFonts w:ascii="Cambria Math" w:hAnsi="Cambria Math" w:cs="Arial"/>
                  </w:rPr>
                  <m:t>q</m:t>
                </m:r>
              </m:e>
              <m:sub>
                <m:r>
                  <m:rPr>
                    <m:sty m:val="p"/>
                  </m:rPr>
                  <w:rPr>
                    <w:rFonts w:ascii="Cambria Math" w:hAnsi="Cambria Math" w:cs="Arial"/>
                  </w:rPr>
                  <m:t>t</m:t>
                </m:r>
              </m:sub>
            </m:sSub>
          </m:num>
          <m:den>
            <m:sSub>
              <m:sSubPr>
                <m:ctrlPr>
                  <w:rPr>
                    <w:rFonts w:ascii="Cambria Math" w:hAnsi="Cambria Math" w:cs="Arial"/>
                    <w:kern w:val="2"/>
                    <w:lang w:val="en-GB"/>
                  </w:rPr>
                </m:ctrlPr>
              </m:sSubPr>
              <m:e>
                <m:r>
                  <m:rPr>
                    <m:sty m:val="p"/>
                  </m:rPr>
                  <w:rPr>
                    <w:rFonts w:ascii="Cambria Math" w:hAnsi="Cambria Math" w:cs="Arial"/>
                  </w:rPr>
                  <m:t>q</m:t>
                </m:r>
              </m:e>
              <m:sub>
                <m:r>
                  <m:rPr>
                    <m:sty m:val="p"/>
                  </m:rPr>
                  <w:rPr>
                    <w:rFonts w:ascii="Cambria Math" w:hAnsi="Cambria Math" w:cs="Arial"/>
                  </w:rPr>
                  <m:t>e</m:t>
                </m:r>
              </m:sub>
            </m:sSub>
          </m:den>
        </m:f>
      </m:oMath>
      <w:r w:rsidRPr="00801F94">
        <w:rPr>
          <w:rFonts w:ascii="Arial" w:hAnsi="Arial" w:cs="Arial"/>
        </w:rPr>
        <w:t xml:space="preserve">, </w:t>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t>7</w:t>
      </w:r>
    </w:p>
    <w:p w:rsidR="00F4243E" w:rsidRPr="00801F94" w:rsidRDefault="00F4243E" w:rsidP="00F4243E">
      <w:pPr>
        <w:jc w:val="both"/>
        <w:rPr>
          <w:rFonts w:ascii="Arial" w:hAnsi="Arial" w:cs="Arial"/>
        </w:rPr>
      </w:pPr>
      <w:proofErr w:type="spellStart"/>
      <w:proofErr w:type="gramStart"/>
      <w:r w:rsidRPr="00801F94">
        <w:rPr>
          <w:rFonts w:ascii="Arial" w:hAnsi="Arial" w:cs="Arial"/>
        </w:rPr>
        <w:t>q</w:t>
      </w:r>
      <w:r w:rsidRPr="00801F94">
        <w:rPr>
          <w:rFonts w:ascii="Arial" w:hAnsi="Arial" w:cs="Arial"/>
          <w:vertAlign w:val="subscript"/>
        </w:rPr>
        <w:t>t</w:t>
      </w:r>
      <w:proofErr w:type="spellEnd"/>
      <w:proofErr w:type="gramEnd"/>
      <w:r w:rsidRPr="00801F94">
        <w:rPr>
          <w:rFonts w:ascii="Arial" w:hAnsi="Arial" w:cs="Arial"/>
        </w:rPr>
        <w:t xml:space="preserve"> is the amount of solute in (mg/g) adsorbed at time t and </w:t>
      </w:r>
      <w:proofErr w:type="spellStart"/>
      <w:r w:rsidRPr="00801F94">
        <w:rPr>
          <w:rFonts w:ascii="Arial" w:hAnsi="Arial" w:cs="Arial"/>
        </w:rPr>
        <w:t>q</w:t>
      </w:r>
      <w:r w:rsidRPr="00801F94">
        <w:rPr>
          <w:rFonts w:ascii="Arial" w:hAnsi="Arial" w:cs="Arial"/>
          <w:vertAlign w:val="subscript"/>
        </w:rPr>
        <w:t>e</w:t>
      </w:r>
      <w:proofErr w:type="spellEnd"/>
      <w:r w:rsidRPr="00801F94">
        <w:rPr>
          <w:rFonts w:ascii="Arial" w:hAnsi="Arial" w:cs="Arial"/>
        </w:rPr>
        <w:t xml:space="preserve"> is the amount of solute in (mg/g) adsorbed at equilibrium. If a linear plot of </w:t>
      </w:r>
      <w:proofErr w:type="spellStart"/>
      <w:proofErr w:type="gramStart"/>
      <w:r w:rsidRPr="00801F94">
        <w:rPr>
          <w:rFonts w:ascii="Arial" w:hAnsi="Arial" w:cs="Arial"/>
        </w:rPr>
        <w:t>B</w:t>
      </w:r>
      <w:r w:rsidRPr="00801F94">
        <w:rPr>
          <w:rFonts w:ascii="Arial" w:hAnsi="Arial" w:cs="Arial"/>
          <w:vertAlign w:val="subscript"/>
        </w:rPr>
        <w:t>t</w:t>
      </w:r>
      <w:proofErr w:type="spellEnd"/>
      <w:proofErr w:type="gramEnd"/>
      <w:r w:rsidRPr="00801F94">
        <w:rPr>
          <w:rFonts w:ascii="Arial" w:hAnsi="Arial" w:cs="Arial"/>
        </w:rPr>
        <w:t xml:space="preserve"> versus time (t) is obtained, the rate-controlling step is likely to be pore diffusion. Non-linearity of the plot indicates that film diffusion (boundary layer diffusion) may control the overall adsorption rate, especially in the early stages.</w:t>
      </w:r>
    </w:p>
    <w:p w:rsidR="00F4243E" w:rsidRPr="00801F94" w:rsidRDefault="00F4243E" w:rsidP="00F4243E">
      <w:pPr>
        <w:contextualSpacing/>
        <w:jc w:val="both"/>
        <w:rPr>
          <w:rFonts w:ascii="Arial" w:hAnsi="Arial" w:cs="Arial"/>
          <w:b/>
          <w:bCs/>
          <w:u w:val="single"/>
        </w:rPr>
      </w:pPr>
      <w:r w:rsidRPr="00801F94">
        <w:rPr>
          <w:rFonts w:ascii="Arial" w:hAnsi="Arial" w:cs="Arial"/>
          <w:b/>
          <w:bCs/>
          <w:u w:val="single"/>
        </w:rPr>
        <w:t>2.4.2 Isotherm Studies:</w:t>
      </w:r>
    </w:p>
    <w:p w:rsidR="00F4243E" w:rsidRPr="00801F94" w:rsidRDefault="00F4243E" w:rsidP="00F4243E">
      <w:pPr>
        <w:contextualSpacing/>
        <w:jc w:val="both"/>
        <w:rPr>
          <w:rFonts w:ascii="Arial" w:hAnsi="Arial" w:cs="Arial"/>
        </w:rPr>
      </w:pPr>
      <w:r w:rsidRPr="00801F94">
        <w:rPr>
          <w:rFonts w:ascii="Arial" w:hAnsi="Arial" w:cs="Arial"/>
        </w:rPr>
        <w:t>To evaluate the equilibrium interaction between ampicillin and acid-modified rice husk (ARH), adsorption capacit</w:t>
      </w:r>
      <w:r w:rsidR="00A80F34" w:rsidRPr="00801F94">
        <w:rPr>
          <w:rFonts w:ascii="Arial" w:hAnsi="Arial" w:cs="Arial"/>
        </w:rPr>
        <w:t>ies</w:t>
      </w:r>
      <w:r w:rsidRPr="00801F94">
        <w:rPr>
          <w:rFonts w:ascii="Arial" w:hAnsi="Arial" w:cs="Arial"/>
        </w:rPr>
        <w:t xml:space="preserve"> </w:t>
      </w:r>
      <w:r w:rsidR="00A75902" w:rsidRPr="00801F94">
        <w:rPr>
          <w:rFonts w:ascii="Arial" w:hAnsi="Arial" w:cs="Arial"/>
        </w:rPr>
        <w:t xml:space="preserve">at equilibrium </w:t>
      </w:r>
      <w:r w:rsidRPr="00801F94">
        <w:rPr>
          <w:rFonts w:ascii="Arial" w:hAnsi="Arial" w:cs="Arial"/>
        </w:rPr>
        <w:t>under varying concentration conditions,</w:t>
      </w:r>
      <w:r w:rsidR="00A75902" w:rsidRPr="00801F94">
        <w:rPr>
          <w:rFonts w:ascii="Arial" w:hAnsi="Arial" w:cs="Arial"/>
        </w:rPr>
        <w:t xml:space="preserve"> room temperature and time 60 </w:t>
      </w:r>
      <w:proofErr w:type="spellStart"/>
      <w:r w:rsidR="00A75902" w:rsidRPr="00801F94">
        <w:rPr>
          <w:rFonts w:ascii="Arial" w:hAnsi="Arial" w:cs="Arial"/>
        </w:rPr>
        <w:t>mins</w:t>
      </w:r>
      <w:proofErr w:type="spellEnd"/>
      <w:r w:rsidR="00A75902" w:rsidRPr="00801F94">
        <w:rPr>
          <w:rFonts w:ascii="Arial" w:hAnsi="Arial" w:cs="Arial"/>
        </w:rPr>
        <w:t xml:space="preserve"> were determined. T</w:t>
      </w:r>
      <w:r w:rsidRPr="00801F94">
        <w:rPr>
          <w:rFonts w:ascii="Arial" w:hAnsi="Arial" w:cs="Arial"/>
        </w:rPr>
        <w:t xml:space="preserve">he obtained data were fitted </w:t>
      </w:r>
      <w:r w:rsidR="00A75902" w:rsidRPr="00801F94">
        <w:rPr>
          <w:rFonts w:ascii="Arial" w:hAnsi="Arial" w:cs="Arial"/>
        </w:rPr>
        <w:t>in</w:t>
      </w:r>
      <w:r w:rsidRPr="00801F94">
        <w:rPr>
          <w:rFonts w:ascii="Arial" w:hAnsi="Arial" w:cs="Arial"/>
        </w:rPr>
        <w:t>to three isotherm models: Langmuir (</w:t>
      </w:r>
      <w:proofErr w:type="spellStart"/>
      <w:r w:rsidRPr="00801F94">
        <w:rPr>
          <w:rFonts w:ascii="Arial" w:hAnsi="Arial" w:cs="Arial"/>
        </w:rPr>
        <w:t>eq</w:t>
      </w:r>
      <w:proofErr w:type="spellEnd"/>
      <w:r w:rsidRPr="00801F94">
        <w:rPr>
          <w:rFonts w:ascii="Arial" w:hAnsi="Arial" w:cs="Arial"/>
        </w:rPr>
        <w:t xml:space="preserve"> 8), </w:t>
      </w:r>
      <w:proofErr w:type="spellStart"/>
      <w:r w:rsidRPr="00801F94">
        <w:rPr>
          <w:rFonts w:ascii="Arial" w:hAnsi="Arial" w:cs="Arial"/>
        </w:rPr>
        <w:t>Freundlich</w:t>
      </w:r>
      <w:proofErr w:type="spellEnd"/>
      <w:r w:rsidRPr="00801F94">
        <w:rPr>
          <w:rFonts w:ascii="Arial" w:hAnsi="Arial" w:cs="Arial"/>
        </w:rPr>
        <w:t xml:space="preserve"> (</w:t>
      </w:r>
      <w:proofErr w:type="spellStart"/>
      <w:r w:rsidRPr="00801F94">
        <w:rPr>
          <w:rFonts w:ascii="Arial" w:hAnsi="Arial" w:cs="Arial"/>
        </w:rPr>
        <w:t>eqn</w:t>
      </w:r>
      <w:proofErr w:type="spellEnd"/>
      <w:r w:rsidRPr="00801F94">
        <w:rPr>
          <w:rFonts w:ascii="Arial" w:hAnsi="Arial" w:cs="Arial"/>
        </w:rPr>
        <w:t xml:space="preserve"> 9) and </w:t>
      </w:r>
      <w:proofErr w:type="spellStart"/>
      <w:r w:rsidRPr="00801F94">
        <w:rPr>
          <w:rFonts w:ascii="Arial" w:hAnsi="Arial" w:cs="Arial"/>
        </w:rPr>
        <w:t>Dubinin</w:t>
      </w:r>
      <w:proofErr w:type="spellEnd"/>
      <w:r w:rsidRPr="00801F94">
        <w:rPr>
          <w:rFonts w:ascii="Arial" w:hAnsi="Arial" w:cs="Arial"/>
        </w:rPr>
        <w:t>–</w:t>
      </w:r>
      <w:proofErr w:type="spellStart"/>
      <w:r w:rsidRPr="00801F94">
        <w:rPr>
          <w:rFonts w:ascii="Arial" w:hAnsi="Arial" w:cs="Arial"/>
        </w:rPr>
        <w:t>Radushkevich</w:t>
      </w:r>
      <w:proofErr w:type="spellEnd"/>
      <w:r w:rsidRPr="00801F94">
        <w:rPr>
          <w:rFonts w:ascii="Arial" w:hAnsi="Arial" w:cs="Arial"/>
        </w:rPr>
        <w:t xml:space="preserve"> (D–R) (</w:t>
      </w:r>
      <w:proofErr w:type="spellStart"/>
      <w:r w:rsidRPr="00801F94">
        <w:rPr>
          <w:rFonts w:ascii="Arial" w:hAnsi="Arial" w:cs="Arial"/>
        </w:rPr>
        <w:t>eqn</w:t>
      </w:r>
      <w:proofErr w:type="spellEnd"/>
      <w:r w:rsidRPr="00801F94">
        <w:rPr>
          <w:rFonts w:ascii="Arial" w:hAnsi="Arial" w:cs="Arial"/>
        </w:rPr>
        <w:t xml:space="preserve"> 9). The Langmuir model assumes monolayer adsorption on homogeneous surface and high correlation suggests chemisorption. The </w:t>
      </w:r>
      <w:proofErr w:type="spellStart"/>
      <w:r w:rsidRPr="00801F94">
        <w:rPr>
          <w:rFonts w:ascii="Arial" w:hAnsi="Arial" w:cs="Arial"/>
        </w:rPr>
        <w:t>Freundlich</w:t>
      </w:r>
      <w:proofErr w:type="spellEnd"/>
      <w:r w:rsidRPr="00801F94">
        <w:rPr>
          <w:rFonts w:ascii="Arial" w:hAnsi="Arial" w:cs="Arial"/>
        </w:rPr>
        <w:t xml:space="preserve"> isotherm is empirical and is suitable for heterogeneous surfaces. </w:t>
      </w:r>
      <w:proofErr w:type="spellStart"/>
      <w:r w:rsidRPr="00801F94">
        <w:rPr>
          <w:rFonts w:ascii="Arial" w:hAnsi="Arial" w:cs="Arial"/>
        </w:rPr>
        <w:t>Dubinin</w:t>
      </w:r>
      <w:proofErr w:type="spellEnd"/>
      <w:r w:rsidRPr="00801F94">
        <w:rPr>
          <w:rFonts w:ascii="Arial" w:hAnsi="Arial" w:cs="Arial"/>
        </w:rPr>
        <w:t>–</w:t>
      </w:r>
      <w:proofErr w:type="spellStart"/>
      <w:r w:rsidRPr="00801F94">
        <w:rPr>
          <w:rFonts w:ascii="Arial" w:hAnsi="Arial" w:cs="Arial"/>
        </w:rPr>
        <w:t>Radushkevich</w:t>
      </w:r>
      <w:proofErr w:type="spellEnd"/>
      <w:r w:rsidRPr="00801F94">
        <w:rPr>
          <w:rFonts w:ascii="Arial" w:hAnsi="Arial" w:cs="Arial"/>
        </w:rPr>
        <w:t xml:space="preserve"> model is empirical for estimating porosity and adsorption energy. It tells the nature of adsorption by distinguishing </w:t>
      </w:r>
      <w:r w:rsidR="00A75902" w:rsidRPr="00801F94">
        <w:rPr>
          <w:rFonts w:ascii="Arial" w:hAnsi="Arial" w:cs="Arial"/>
        </w:rPr>
        <w:t xml:space="preserve">between </w:t>
      </w:r>
      <w:r w:rsidRPr="00801F94">
        <w:rPr>
          <w:rFonts w:ascii="Arial" w:hAnsi="Arial" w:cs="Arial"/>
        </w:rPr>
        <w:t>physical</w:t>
      </w:r>
      <w:r w:rsidR="00A75902" w:rsidRPr="00801F94">
        <w:rPr>
          <w:rFonts w:ascii="Arial" w:hAnsi="Arial" w:cs="Arial"/>
        </w:rPr>
        <w:t xml:space="preserve"> and</w:t>
      </w:r>
      <w:r w:rsidRPr="00801F94">
        <w:rPr>
          <w:rFonts w:ascii="Arial" w:hAnsi="Arial" w:cs="Arial"/>
        </w:rPr>
        <w:t xml:space="preserve"> chemical adsorption</w:t>
      </w:r>
      <w:r w:rsidR="00A75902" w:rsidRPr="00801F94">
        <w:rPr>
          <w:rFonts w:ascii="Arial" w:hAnsi="Arial" w:cs="Arial"/>
        </w:rPr>
        <w:t>s</w:t>
      </w:r>
      <w:r w:rsidRPr="00801F94">
        <w:rPr>
          <w:rFonts w:ascii="Arial" w:hAnsi="Arial" w:cs="Arial"/>
        </w:rPr>
        <w:t xml:space="preserve"> </w:t>
      </w:r>
      <w:proofErr w:type="gramStart"/>
      <w:r w:rsidRPr="00801F94">
        <w:rPr>
          <w:rFonts w:ascii="Arial" w:hAnsi="Arial" w:cs="Arial"/>
        </w:rPr>
        <w:t>( Al</w:t>
      </w:r>
      <w:proofErr w:type="gramEnd"/>
      <w:r w:rsidRPr="00801F94">
        <w:rPr>
          <w:rFonts w:ascii="Arial" w:hAnsi="Arial" w:cs="Arial"/>
        </w:rPr>
        <w:t>-</w:t>
      </w:r>
      <w:proofErr w:type="spellStart"/>
      <w:r w:rsidRPr="00801F94">
        <w:rPr>
          <w:rFonts w:ascii="Arial" w:hAnsi="Arial" w:cs="Arial"/>
        </w:rPr>
        <w:t>Ghouti</w:t>
      </w:r>
      <w:proofErr w:type="spellEnd"/>
      <w:r w:rsidRPr="00801F94">
        <w:rPr>
          <w:rFonts w:ascii="Arial" w:hAnsi="Arial" w:cs="Arial"/>
        </w:rPr>
        <w:t xml:space="preserve"> and; </w:t>
      </w:r>
      <w:hyperlink r:id="rId16" w:history="1">
        <w:r w:rsidRPr="00801F94">
          <w:rPr>
            <w:rStyle w:val="Hyperlink"/>
            <w:rFonts w:ascii="Arial" w:hAnsi="Arial" w:cs="Arial"/>
            <w:color w:val="auto"/>
          </w:rPr>
          <w:t>Yeo</w:t>
        </w:r>
      </w:hyperlink>
      <w:r w:rsidRPr="00801F94">
        <w:rPr>
          <w:rFonts w:ascii="Arial" w:hAnsi="Arial" w:cs="Arial"/>
          <w:vertAlign w:val="superscript"/>
        </w:rPr>
        <w:t xml:space="preserve"> , </w:t>
      </w:r>
      <w:r w:rsidRPr="00801F94">
        <w:rPr>
          <w:rFonts w:ascii="Arial" w:hAnsi="Arial" w:cs="Arial"/>
        </w:rPr>
        <w:t xml:space="preserve">2023, </w:t>
      </w:r>
      <w:proofErr w:type="spellStart"/>
      <w:r w:rsidRPr="00801F94">
        <w:rPr>
          <w:rFonts w:ascii="Arial" w:hAnsi="Arial" w:cs="Arial"/>
        </w:rPr>
        <w:t>Darweesh</w:t>
      </w:r>
      <w:proofErr w:type="spellEnd"/>
      <w:r w:rsidRPr="00801F94">
        <w:rPr>
          <w:rFonts w:ascii="Arial" w:hAnsi="Arial" w:cs="Arial"/>
        </w:rPr>
        <w:t xml:space="preserve">, et. </w:t>
      </w:r>
      <w:r w:rsidR="00372824" w:rsidRPr="00801F94">
        <w:rPr>
          <w:rFonts w:ascii="Arial" w:hAnsi="Arial" w:cs="Arial"/>
        </w:rPr>
        <w:t>al</w:t>
      </w:r>
      <w:r w:rsidRPr="00801F94">
        <w:rPr>
          <w:rFonts w:ascii="Arial" w:hAnsi="Arial" w:cs="Arial"/>
        </w:rPr>
        <w:t xml:space="preserve">., 2026). </w:t>
      </w:r>
    </w:p>
    <w:p w:rsidR="00F4243E" w:rsidRPr="00801F94" w:rsidRDefault="00D76EF8" w:rsidP="00F4243E">
      <w:pPr>
        <w:jc w:val="both"/>
        <w:rPr>
          <w:rFonts w:ascii="Arial" w:hAnsi="Arial" w:cs="Arial"/>
        </w:rPr>
      </w:pPr>
      <m:oMath>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den>
        </m:f>
        <m:r>
          <m:rPr>
            <m:sty m:val="p"/>
          </m:rPr>
          <w:rPr>
            <w:rFonts w:ascii="Cambria Math" w:hAnsi="Cambria Math" w:cs="Arial"/>
          </w:rPr>
          <m:t>=</m:t>
        </m:r>
        <m:f>
          <m:fPr>
            <m:ctrlPr>
              <w:rPr>
                <w:rFonts w:ascii="Cambria Math" w:hAnsi="Cambria Math" w:cs="Arial"/>
                <w:kern w:val="2"/>
              </w:rPr>
            </m:ctrlPr>
          </m:fPr>
          <m:num>
            <m:r>
              <m:rPr>
                <m:sty m:val="p"/>
              </m:rPr>
              <w:rPr>
                <w:rFonts w:ascii="Cambria Math" w:hAnsi="Cambria Math" w:cs="Arial"/>
              </w:rPr>
              <m:t>1</m:t>
            </m:r>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m</m:t>
                </m:r>
              </m:sub>
            </m:sSub>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L</m:t>
                </m:r>
              </m:sub>
            </m:sSub>
          </m:den>
        </m:f>
        <m:r>
          <m:rPr>
            <m:sty m:val="p"/>
          </m:rPr>
          <w:rPr>
            <w:rFonts w:ascii="Cambria Math" w:hAnsi="Cambria Math" w:cs="Arial"/>
          </w:rPr>
          <m:t>+</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m</m:t>
                </m:r>
              </m:sub>
            </m:sSub>
          </m:den>
        </m:f>
      </m:oMath>
      <w:r w:rsidR="00F4243E" w:rsidRPr="00801F94">
        <w:rPr>
          <w:rFonts w:ascii="Arial" w:hAnsi="Arial" w:cs="Arial"/>
        </w:rPr>
        <w:t xml:space="preserve"> </w:t>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t>8</w:t>
      </w:r>
    </w:p>
    <w:p w:rsidR="00F4243E" w:rsidRPr="00801F94" w:rsidRDefault="00F4243E" w:rsidP="00F4243E">
      <w:pPr>
        <w:jc w:val="both"/>
        <w:rPr>
          <w:rFonts w:ascii="Arial" w:hAnsi="Arial" w:cs="Arial"/>
        </w:rPr>
      </w:pPr>
      <w:r w:rsidRPr="00801F94">
        <w:rPr>
          <w:rFonts w:ascii="Arial" w:hAnsi="Arial" w:cs="Arial"/>
        </w:rPr>
        <w:t xml:space="preserve">Where </w:t>
      </w:r>
      <m:oMath>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o</m:t>
            </m:r>
          </m:sub>
        </m:sSub>
      </m:oMath>
      <w:r w:rsidRPr="00801F94">
        <w:rPr>
          <w:rFonts w:ascii="Arial" w:hAnsi="Arial" w:cs="Arial"/>
        </w:rPr>
        <w:t xml:space="preserve"> and </w:t>
      </w:r>
      <m:oMath>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oMath>
      <w:r w:rsidRPr="00801F94">
        <w:rPr>
          <w:rFonts w:ascii="Arial" w:hAnsi="Arial" w:cs="Arial"/>
        </w:rPr>
        <w:t xml:space="preserve"> are the initial and equilibrium ampicillin concentrations (mg/mL), respectively; q</w:t>
      </w:r>
      <w:r w:rsidRPr="00801F94">
        <w:rPr>
          <w:rFonts w:ascii="Arial" w:hAnsi="Arial" w:cs="Arial"/>
          <w:vertAlign w:val="subscript"/>
        </w:rPr>
        <w:t xml:space="preserve">max </w:t>
      </w:r>
      <w:r w:rsidRPr="00801F94">
        <w:rPr>
          <w:rFonts w:ascii="Arial" w:hAnsi="Arial" w:cs="Arial"/>
        </w:rPr>
        <w:t>is maximum adsorption capacity (mg/g) and K</w:t>
      </w:r>
      <w:r w:rsidRPr="00801F94">
        <w:rPr>
          <w:rFonts w:ascii="Arial" w:hAnsi="Arial" w:cs="Arial"/>
          <w:vertAlign w:val="subscript"/>
        </w:rPr>
        <w:t>L</w:t>
      </w:r>
      <w:r w:rsidRPr="00801F94">
        <w:rPr>
          <w:rFonts w:ascii="Arial" w:hAnsi="Arial" w:cs="Arial"/>
        </w:rPr>
        <w:t xml:space="preserve"> Langmuir constant (L/mg).</w:t>
      </w:r>
    </w:p>
    <w:p w:rsidR="00F4243E" w:rsidRPr="00801F94" w:rsidRDefault="00F4243E" w:rsidP="00F4243E">
      <w:pPr>
        <w:jc w:val="both"/>
        <w:rPr>
          <w:rFonts w:ascii="Arial" w:hAnsi="Arial" w:cs="Arial"/>
        </w:rPr>
      </w:pPr>
      <w:r w:rsidRPr="00801F94">
        <w:rPr>
          <w:rFonts w:ascii="Arial" w:hAnsi="Arial" w:cs="Arial"/>
        </w:rPr>
        <w:t xml:space="preserve">The </w:t>
      </w:r>
      <w:proofErr w:type="spellStart"/>
      <w:r w:rsidRPr="00801F94">
        <w:rPr>
          <w:rFonts w:ascii="Arial" w:hAnsi="Arial" w:cs="Arial"/>
        </w:rPr>
        <w:t>Freundlich</w:t>
      </w:r>
      <w:proofErr w:type="spellEnd"/>
      <w:r w:rsidRPr="00801F94">
        <w:rPr>
          <w:rFonts w:ascii="Arial" w:hAnsi="Arial" w:cs="Arial"/>
        </w:rPr>
        <w:t xml:space="preserve"> isotherm shows an empirical relationship describing the adsorption of solutes from a liquid to a solid surface and it assumes that different sites with several adsorption energies are involved. It is expressed as</w:t>
      </w:r>
      <w:proofErr w:type="gramStart"/>
      <w:r w:rsidRPr="00801F94">
        <w:rPr>
          <w:rFonts w:ascii="Arial" w:hAnsi="Arial" w:cs="Arial"/>
        </w:rPr>
        <w:t>:.</w:t>
      </w:r>
      <w:proofErr w:type="gramEnd"/>
    </w:p>
    <w:p w:rsidR="00F4243E" w:rsidRPr="00801F94" w:rsidRDefault="00D76EF8" w:rsidP="00F4243E">
      <w:pPr>
        <w:jc w:val="both"/>
        <w:rPr>
          <w:rFonts w:ascii="Arial" w:hAnsi="Arial" w:cs="Arial"/>
          <w:iCs/>
        </w:rPr>
      </w:pPr>
      <m:oMath>
        <m:sSub>
          <m:sSubPr>
            <m:ctrlPr>
              <w:rPr>
                <w:rFonts w:ascii="Cambria Math" w:hAnsi="Cambria Math" w:cs="Arial"/>
                <w:iCs/>
                <w:kern w:val="2"/>
              </w:rPr>
            </m:ctrlPr>
          </m:sSubPr>
          <m:e>
            <m:r>
              <m:rPr>
                <m:sty m:val="p"/>
              </m:rPr>
              <w:rPr>
                <w:rFonts w:ascii="Cambria Math" w:hAnsi="Cambria Math" w:cs="Arial"/>
              </w:rPr>
              <m:t>log q</m:t>
            </m:r>
          </m:e>
          <m:sub>
            <m:r>
              <m:rPr>
                <m:sty m:val="p"/>
              </m:rPr>
              <w:rPr>
                <w:rFonts w:ascii="Cambria Math" w:hAnsi="Cambria Math" w:cs="Arial"/>
              </w:rPr>
              <m:t>e</m:t>
            </m:r>
          </m:sub>
        </m:sSub>
        <m:r>
          <m:rPr>
            <m:sty m:val="p"/>
          </m:rPr>
          <w:rPr>
            <w:rFonts w:ascii="Cambria Math" w:hAnsi="Cambria Math" w:cs="Arial"/>
          </w:rPr>
          <m:t xml:space="preserve">=log </m:t>
        </m:r>
        <m:sSub>
          <m:sSubPr>
            <m:ctrlPr>
              <w:rPr>
                <w:rFonts w:ascii="Cambria Math" w:hAnsi="Cambria Math" w:cs="Arial"/>
                <w:iCs/>
                <w:kern w:val="2"/>
              </w:rPr>
            </m:ctrlPr>
          </m:sSubPr>
          <m:e>
            <m:r>
              <m:rPr>
                <m:sty m:val="p"/>
              </m:rPr>
              <w:rPr>
                <w:rFonts w:ascii="Cambria Math" w:hAnsi="Cambria Math" w:cs="Arial"/>
              </w:rPr>
              <m:t>K</m:t>
            </m:r>
          </m:e>
          <m:sub>
            <m:r>
              <m:rPr>
                <m:sty m:val="p"/>
              </m:rPr>
              <w:rPr>
                <w:rFonts w:ascii="Cambria Math" w:hAnsi="Cambria Math" w:cs="Arial"/>
              </w:rPr>
              <m:t>F</m:t>
            </m:r>
          </m:sub>
        </m:sSub>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1</m:t>
            </m:r>
          </m:num>
          <m:den>
            <m:r>
              <m:rPr>
                <m:sty m:val="p"/>
              </m:rPr>
              <w:rPr>
                <w:rFonts w:ascii="Cambria Math" w:hAnsi="Cambria Math" w:cs="Arial"/>
              </w:rPr>
              <m:t>n</m:t>
            </m:r>
          </m:den>
        </m:f>
        <m:r>
          <m:rPr>
            <m:sty m:val="p"/>
          </m:rPr>
          <w:rPr>
            <w:rFonts w:ascii="Cambria Math" w:hAnsi="Cambria Math" w:cs="Arial"/>
          </w:rPr>
          <m:t xml:space="preserve">log </m:t>
        </m:r>
        <m:sSub>
          <m:sSubPr>
            <m:ctrlPr>
              <w:rPr>
                <w:rFonts w:ascii="Cambria Math" w:hAnsi="Cambria Math" w:cs="Arial"/>
                <w:iCs/>
                <w:kern w:val="2"/>
              </w:rPr>
            </m:ctrlPr>
          </m:sSubPr>
          <m:e>
            <m:r>
              <m:rPr>
                <m:sty m:val="p"/>
              </m:rPr>
              <w:rPr>
                <w:rFonts w:ascii="Cambria Math" w:hAnsi="Cambria Math" w:cs="Arial"/>
              </w:rPr>
              <m:t>C</m:t>
            </m:r>
          </m:e>
          <m:sub>
            <m:r>
              <m:rPr>
                <m:sty m:val="p"/>
              </m:rPr>
              <w:rPr>
                <w:rFonts w:ascii="Cambria Math" w:hAnsi="Cambria Math" w:cs="Arial"/>
              </w:rPr>
              <m:t>e</m:t>
            </m:r>
          </m:sub>
        </m:sSub>
      </m:oMath>
      <w:r w:rsidR="00F4243E" w:rsidRPr="00801F94">
        <w:rPr>
          <w:rFonts w:ascii="Arial" w:hAnsi="Arial" w:cs="Arial"/>
          <w:iCs/>
        </w:rPr>
        <w:tab/>
      </w:r>
      <w:r w:rsidR="00F4243E" w:rsidRPr="00801F94">
        <w:rPr>
          <w:rFonts w:ascii="Arial" w:hAnsi="Arial" w:cs="Arial"/>
          <w:iCs/>
        </w:rPr>
        <w:tab/>
      </w:r>
      <w:r w:rsidR="00F4243E" w:rsidRPr="00801F94">
        <w:rPr>
          <w:rFonts w:ascii="Arial" w:hAnsi="Arial" w:cs="Arial"/>
          <w:iCs/>
        </w:rPr>
        <w:tab/>
      </w:r>
      <w:r w:rsidR="00F4243E" w:rsidRPr="00801F94">
        <w:rPr>
          <w:rFonts w:ascii="Arial" w:hAnsi="Arial" w:cs="Arial"/>
          <w:iCs/>
        </w:rPr>
        <w:tab/>
      </w:r>
      <w:r w:rsidR="00F4243E" w:rsidRPr="00801F94">
        <w:rPr>
          <w:rFonts w:ascii="Arial" w:hAnsi="Arial" w:cs="Arial"/>
          <w:iCs/>
        </w:rPr>
        <w:tab/>
      </w:r>
      <w:r w:rsidR="00F4243E" w:rsidRPr="00801F94">
        <w:rPr>
          <w:rFonts w:ascii="Arial" w:hAnsi="Arial" w:cs="Arial"/>
          <w:iCs/>
        </w:rPr>
        <w:tab/>
        <w:t>9</w:t>
      </w:r>
    </w:p>
    <w:p w:rsidR="00F4243E" w:rsidRPr="00801F94" w:rsidRDefault="00F4243E" w:rsidP="00F4243E">
      <w:pPr>
        <w:jc w:val="both"/>
        <w:rPr>
          <w:rFonts w:ascii="Arial" w:hAnsi="Arial" w:cs="Arial"/>
        </w:rPr>
      </w:pPr>
      <w:r w:rsidRPr="00801F94">
        <w:rPr>
          <w:rFonts w:ascii="Arial" w:hAnsi="Arial" w:cs="Arial"/>
        </w:rPr>
        <w:t>Where K</w:t>
      </w:r>
      <w:r w:rsidRPr="00801F94">
        <w:rPr>
          <w:rFonts w:ascii="Arial" w:hAnsi="Arial" w:cs="Arial"/>
          <w:vertAlign w:val="subscript"/>
        </w:rPr>
        <w:t>F</w:t>
      </w:r>
      <w:r w:rsidRPr="00801F94">
        <w:rPr>
          <w:rFonts w:ascii="Arial" w:hAnsi="Arial" w:cs="Arial"/>
        </w:rPr>
        <w:t xml:space="preserve"> is </w:t>
      </w:r>
      <w:proofErr w:type="spellStart"/>
      <w:r w:rsidRPr="00801F94">
        <w:rPr>
          <w:rFonts w:ascii="Arial" w:hAnsi="Arial" w:cs="Arial"/>
        </w:rPr>
        <w:t>Freundlich</w:t>
      </w:r>
      <w:proofErr w:type="spellEnd"/>
      <w:r w:rsidRPr="00801F94">
        <w:rPr>
          <w:rFonts w:ascii="Arial" w:hAnsi="Arial" w:cs="Arial"/>
        </w:rPr>
        <w:t xml:space="preserve"> constant indicating adsorption capacity. 1/n is adsorption intensity (dimensionless). Adsorption process is linear when n = 1, the chemical adsorption occurs when n &lt; 1, and the adsorption is a physical process when n &gt; 1. When the 1/n is &lt;1, it implies </w:t>
      </w:r>
      <w:proofErr w:type="spellStart"/>
      <w:r w:rsidRPr="00801F94">
        <w:rPr>
          <w:rFonts w:ascii="Arial" w:hAnsi="Arial" w:cs="Arial"/>
        </w:rPr>
        <w:t>favourable</w:t>
      </w:r>
      <w:proofErr w:type="spellEnd"/>
      <w:r w:rsidRPr="00801F94">
        <w:rPr>
          <w:rFonts w:ascii="Arial" w:hAnsi="Arial" w:cs="Arial"/>
        </w:rPr>
        <w:t xml:space="preserve"> adsorption. </w:t>
      </w:r>
    </w:p>
    <w:p w:rsidR="00F4243E" w:rsidRPr="00801F94" w:rsidRDefault="00F4243E" w:rsidP="00F4243E">
      <w:pPr>
        <w:rPr>
          <w:rFonts w:ascii="Arial" w:eastAsiaTheme="minorEastAsia" w:hAnsi="Arial" w:cs="Arial"/>
        </w:rPr>
      </w:pPr>
      <w:r w:rsidRPr="00801F94">
        <w:rPr>
          <w:rFonts w:ascii="Arial" w:hAnsi="Arial" w:cs="Arial"/>
        </w:rPr>
        <w:t xml:space="preserve">The </w:t>
      </w:r>
      <w:proofErr w:type="spellStart"/>
      <w:r w:rsidRPr="00801F94">
        <w:rPr>
          <w:rFonts w:ascii="Arial" w:hAnsi="Arial" w:cs="Arial"/>
        </w:rPr>
        <w:t>Dubinin</w:t>
      </w:r>
      <w:proofErr w:type="spellEnd"/>
      <w:r w:rsidRPr="00801F94">
        <w:rPr>
          <w:rFonts w:ascii="Arial" w:hAnsi="Arial" w:cs="Arial"/>
        </w:rPr>
        <w:t>–</w:t>
      </w:r>
      <w:proofErr w:type="spellStart"/>
      <w:r w:rsidRPr="00801F94">
        <w:rPr>
          <w:rFonts w:ascii="Arial" w:hAnsi="Arial" w:cs="Arial"/>
        </w:rPr>
        <w:t>Radushkevich</w:t>
      </w:r>
      <w:proofErr w:type="spellEnd"/>
      <w:r w:rsidRPr="00801F94">
        <w:rPr>
          <w:rFonts w:ascii="Arial" w:hAnsi="Arial" w:cs="Arial"/>
        </w:rPr>
        <w:t xml:space="preserve"> isotherm has the following form:</w:t>
      </w:r>
    </w:p>
    <w:p w:rsidR="00F4243E" w:rsidRPr="00801F94" w:rsidRDefault="00D76EF8" w:rsidP="00F4243E">
      <w:pPr>
        <w:jc w:val="both"/>
        <w:rPr>
          <w:rFonts w:ascii="Arial" w:eastAsiaTheme="minorHAnsi" w:hAnsi="Arial" w:cs="Arial"/>
        </w:rPr>
      </w:pPr>
      <m:oMath>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e</m:t>
            </m:r>
          </m:sub>
        </m:sSub>
        <m:r>
          <m:rPr>
            <m:sty m:val="p"/>
          </m:rPr>
          <w:rPr>
            <w:rFonts w:ascii="Cambria Math" w:hAnsi="Cambria Math" w:cs="Arial"/>
          </w:rPr>
          <m:t>=</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
          <m:sSubPr>
            <m:ctrlPr>
              <w:rPr>
                <w:rFonts w:ascii="Cambria Math" w:hAnsi="Cambria Math" w:cs="Arial"/>
                <w:kern w:val="2"/>
              </w:rPr>
            </m:ctrlPr>
          </m:sSubPr>
          <m:e>
            <m:r>
              <m:rPr>
                <m:sty m:val="p"/>
              </m:rPr>
              <w:rPr>
                <w:rFonts w:ascii="Cambria Math" w:hAnsi="Cambria Math" w:cs="Arial"/>
              </w:rPr>
              <m:t>q</m:t>
            </m:r>
          </m:e>
          <m:sub>
            <m:r>
              <m:rPr>
                <m:sty m:val="p"/>
              </m:rPr>
              <w:rPr>
                <w:rFonts w:ascii="Cambria Math" w:hAnsi="Cambria Math" w:cs="Arial"/>
              </w:rPr>
              <m:t>D</m:t>
            </m:r>
          </m:sub>
        </m:sSub>
        <m:r>
          <m:rPr>
            <m:sty m:val="p"/>
          </m:rPr>
          <w:rPr>
            <w:rFonts w:ascii="Cambria Math" w:hAnsi="Cambria Math" w:cs="Arial"/>
          </w:rPr>
          <m:t>-</m:t>
        </m:r>
        <m:sSup>
          <m:sSupPr>
            <m:ctrlPr>
              <w:rPr>
                <w:rFonts w:ascii="Cambria Math" w:hAnsi="Cambria Math" w:cs="Arial"/>
                <w:kern w:val="2"/>
              </w:rPr>
            </m:ctrlPr>
          </m:sSupPr>
          <m:e>
            <m:r>
              <m:rPr>
                <m:sty m:val="p"/>
              </m:rPr>
              <w:rPr>
                <w:rFonts w:ascii="Cambria Math" w:hAnsi="Cambria Math" w:cs="Arial"/>
              </w:rPr>
              <m:t>βε</m:t>
            </m:r>
          </m:e>
          <m:sup>
            <m:r>
              <m:rPr>
                <m:sty m:val="p"/>
              </m:rPr>
              <w:rPr>
                <w:rFonts w:ascii="Cambria Math" w:hAnsi="Cambria Math" w:cs="Arial"/>
              </w:rPr>
              <m:t>2</m:t>
            </m:r>
          </m:sup>
        </m:sSup>
      </m:oMath>
      <w:r w:rsidR="00F4243E" w:rsidRPr="00801F94">
        <w:rPr>
          <w:rFonts w:ascii="Arial" w:eastAsiaTheme="minorEastAsia" w:hAnsi="Arial" w:cs="Arial"/>
        </w:rPr>
        <w:tab/>
      </w:r>
      <w:r w:rsidR="00F4243E" w:rsidRPr="00801F94">
        <w:rPr>
          <w:rFonts w:ascii="Arial" w:eastAsiaTheme="minorEastAsia" w:hAnsi="Arial" w:cs="Arial"/>
        </w:rPr>
        <w:tab/>
      </w:r>
      <w:r w:rsidR="00F4243E" w:rsidRPr="00801F94">
        <w:rPr>
          <w:rFonts w:ascii="Arial" w:eastAsiaTheme="minorEastAsia" w:hAnsi="Arial" w:cs="Arial"/>
        </w:rPr>
        <w:tab/>
      </w:r>
      <w:r w:rsidR="00F4243E" w:rsidRPr="00801F94">
        <w:rPr>
          <w:rFonts w:ascii="Arial" w:eastAsiaTheme="minorEastAsia" w:hAnsi="Arial" w:cs="Arial"/>
        </w:rPr>
        <w:tab/>
      </w:r>
      <w:r w:rsidR="00F4243E" w:rsidRPr="00801F94">
        <w:rPr>
          <w:rFonts w:ascii="Arial" w:eastAsiaTheme="minorEastAsia" w:hAnsi="Arial" w:cs="Arial"/>
        </w:rPr>
        <w:tab/>
      </w:r>
      <w:r w:rsidR="00F4243E" w:rsidRPr="00801F94">
        <w:rPr>
          <w:rFonts w:ascii="Arial" w:eastAsiaTheme="minorEastAsia" w:hAnsi="Arial" w:cs="Arial"/>
        </w:rPr>
        <w:tab/>
      </w:r>
      <w:r w:rsidR="00F4243E" w:rsidRPr="00801F94">
        <w:rPr>
          <w:rFonts w:ascii="Arial" w:eastAsiaTheme="minorEastAsia" w:hAnsi="Arial" w:cs="Arial"/>
        </w:rPr>
        <w:tab/>
        <w:t>10</w:t>
      </w:r>
    </w:p>
    <w:p w:rsidR="00F4243E" w:rsidRPr="00801F94" w:rsidRDefault="00F4243E" w:rsidP="00F4243E">
      <w:pPr>
        <w:jc w:val="both"/>
        <w:rPr>
          <w:rFonts w:ascii="Arial" w:eastAsiaTheme="minorEastAsia" w:hAnsi="Arial" w:cs="Arial"/>
          <w:lang w:val="en-GB"/>
        </w:rPr>
      </w:pPr>
      <m:oMath>
        <m:r>
          <m:rPr>
            <m:sty m:val="p"/>
          </m:rPr>
          <w:rPr>
            <w:rFonts w:ascii="Cambria Math" w:hAnsi="Cambria Math" w:cs="Arial"/>
          </w:rPr>
          <m:t xml:space="preserve">Ɛ=RT </m:t>
        </m:r>
        <m:sSub>
          <m:sSubPr>
            <m:ctrlPr>
              <w:rPr>
                <w:rFonts w:ascii="Cambria Math" w:hAnsi="Cambria Math" w:cs="Arial"/>
                <w:kern w:val="2"/>
              </w:rPr>
            </m:ctrlPr>
          </m:sSubPr>
          <m:e>
            <m:r>
              <m:rPr>
                <m:sty m:val="p"/>
              </m:rPr>
              <w:rPr>
                <w:rFonts w:ascii="Cambria Math" w:hAnsi="Cambria Math" w:cs="Arial"/>
              </w:rPr>
              <m:t>l</m:t>
            </m:r>
          </m:e>
          <m:sub>
            <m:r>
              <m:rPr>
                <m:sty m:val="p"/>
              </m:rPr>
              <w:rPr>
                <w:rFonts w:ascii="Cambria Math" w:hAnsi="Cambria Math" w:cs="Arial"/>
              </w:rPr>
              <m:t>n</m:t>
            </m:r>
          </m:sub>
        </m:sSub>
        <m:sSubSup>
          <m:sSubSupPr>
            <m:ctrlPr>
              <w:rPr>
                <w:rFonts w:ascii="Cambria Math" w:hAnsi="Cambria Math" w:cs="Arial"/>
                <w:kern w:val="2"/>
              </w:rPr>
            </m:ctrlPr>
          </m:sSubSupPr>
          <m:e>
            <m:r>
              <m:rPr>
                <m:sty m:val="p"/>
              </m:rPr>
              <w:rPr>
                <w:rFonts w:ascii="Cambria Math" w:hAnsi="Cambria Math" w:cs="Arial"/>
              </w:rPr>
              <m:t>(1+</m:t>
            </m:r>
          </m:e>
          <m:sub>
            <m:r>
              <m:rPr>
                <m:sty m:val="p"/>
              </m:rPr>
              <w:rPr>
                <w:rFonts w:ascii="Cambria Math" w:hAnsi="Cambria Math" w:cs="Arial"/>
              </w:rPr>
              <m:t>Ce</m:t>
            </m:r>
          </m:sub>
          <m:sup>
            <m:r>
              <m:rPr>
                <m:sty m:val="p"/>
              </m:rPr>
              <w:rPr>
                <w:rFonts w:ascii="Cambria Math" w:hAnsi="Cambria Math" w:cs="Arial"/>
              </w:rPr>
              <m:t>1</m:t>
            </m:r>
          </m:sup>
        </m:sSubSup>
        <m:r>
          <m:rPr>
            <m:sty m:val="p"/>
          </m:rPr>
          <w:rPr>
            <w:rFonts w:ascii="Cambria Math" w:hAnsi="Cambria Math" w:cs="Arial"/>
          </w:rPr>
          <m:t>)</m:t>
        </m:r>
      </m:oMath>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t>11</w:t>
      </w:r>
    </w:p>
    <w:p w:rsidR="00F4243E" w:rsidRPr="00801F94" w:rsidRDefault="00F4243E" w:rsidP="00F4243E">
      <w:pPr>
        <w:jc w:val="both"/>
        <w:rPr>
          <w:rFonts w:ascii="Arial" w:eastAsiaTheme="minorEastAsia" w:hAnsi="Arial" w:cs="Arial"/>
        </w:rPr>
      </w:pPr>
      <m:oMath>
        <m:r>
          <m:rPr>
            <m:sty m:val="p"/>
          </m:rPr>
          <w:rPr>
            <w:rFonts w:ascii="Cambria Math" w:hAnsi="Cambria Math" w:cs="Arial"/>
          </w:rPr>
          <m:t>E =</m:t>
        </m:r>
        <m:rad>
          <m:radPr>
            <m:degHide m:val="1"/>
            <m:ctrlPr>
              <w:rPr>
                <w:rFonts w:ascii="Cambria Math" w:hAnsi="Cambria Math" w:cs="Arial"/>
                <w:kern w:val="2"/>
              </w:rPr>
            </m:ctrlPr>
          </m:radPr>
          <m:deg/>
          <m:e>
            <m:f>
              <m:fPr>
                <m:ctrlPr>
                  <w:rPr>
                    <w:rFonts w:ascii="Cambria Math" w:hAnsi="Cambria Math" w:cs="Arial"/>
                    <w:kern w:val="2"/>
                    <w:lang w:val="en-GB"/>
                  </w:rPr>
                </m:ctrlPr>
              </m:fPr>
              <m:num>
                <m:r>
                  <m:rPr>
                    <m:sty m:val="p"/>
                  </m:rPr>
                  <w:rPr>
                    <w:rFonts w:ascii="Cambria Math" w:hAnsi="Cambria Math" w:cs="Arial"/>
                  </w:rPr>
                  <m:t>1</m:t>
                </m:r>
              </m:num>
              <m:den>
                <m:r>
                  <m:rPr>
                    <m:sty m:val="p"/>
                  </m:rPr>
                  <w:rPr>
                    <w:rFonts w:ascii="Cambria Math" w:hAnsi="Cambria Math" w:cs="Arial"/>
                  </w:rPr>
                  <m:t>2β</m:t>
                </m:r>
              </m:den>
            </m:f>
          </m:e>
        </m:rad>
      </m:oMath>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r>
      <w:r w:rsidRPr="00801F94">
        <w:rPr>
          <w:rFonts w:ascii="Arial" w:eastAsiaTheme="minorEastAsia" w:hAnsi="Arial" w:cs="Arial"/>
        </w:rPr>
        <w:tab/>
        <w:t>12</w:t>
      </w:r>
    </w:p>
    <w:p w:rsidR="00F4243E" w:rsidRPr="00801F94" w:rsidRDefault="00F4243E" w:rsidP="00F4243E">
      <w:pPr>
        <w:jc w:val="both"/>
        <w:rPr>
          <w:rFonts w:ascii="Arial" w:eastAsiaTheme="minorHAnsi" w:hAnsi="Arial" w:cs="Arial"/>
        </w:rPr>
      </w:pPr>
      <w:proofErr w:type="spellStart"/>
      <w:proofErr w:type="gramStart"/>
      <w:r w:rsidRPr="00801F94">
        <w:rPr>
          <w:rFonts w:ascii="Arial" w:hAnsi="Arial" w:cs="Arial"/>
        </w:rPr>
        <w:t>q</w:t>
      </w:r>
      <w:r w:rsidRPr="00801F94">
        <w:rPr>
          <w:rFonts w:ascii="Arial" w:hAnsi="Arial" w:cs="Arial"/>
          <w:vertAlign w:val="subscript"/>
        </w:rPr>
        <w:t>D</w:t>
      </w:r>
      <w:proofErr w:type="spellEnd"/>
      <w:proofErr w:type="gramEnd"/>
      <w:r w:rsidRPr="00801F94">
        <w:rPr>
          <w:rFonts w:ascii="Arial" w:hAnsi="Arial" w:cs="Arial"/>
          <w:vertAlign w:val="subscript"/>
        </w:rPr>
        <w:t xml:space="preserve"> </w:t>
      </w:r>
      <w:r w:rsidRPr="00801F94">
        <w:rPr>
          <w:rFonts w:ascii="Arial" w:hAnsi="Arial" w:cs="Arial"/>
        </w:rPr>
        <w:t>is saturation capacity (mg/g), β adsorption energy constant related to adsorption energy and E is mean adsorption energy (kJ/</w:t>
      </w:r>
      <w:proofErr w:type="spellStart"/>
      <w:r w:rsidRPr="00801F94">
        <w:rPr>
          <w:rFonts w:ascii="Arial" w:hAnsi="Arial" w:cs="Arial"/>
        </w:rPr>
        <w:t>mol</w:t>
      </w:r>
      <w:proofErr w:type="spellEnd"/>
      <w:r w:rsidRPr="00801F94">
        <w:rPr>
          <w:rFonts w:ascii="Arial" w:hAnsi="Arial" w:cs="Arial"/>
        </w:rPr>
        <w:t>). E&lt; 8kJ/</w:t>
      </w:r>
      <w:proofErr w:type="spellStart"/>
      <w:r w:rsidRPr="00801F94">
        <w:rPr>
          <w:rFonts w:ascii="Arial" w:hAnsi="Arial" w:cs="Arial"/>
        </w:rPr>
        <w:t>mol</w:t>
      </w:r>
      <w:proofErr w:type="spellEnd"/>
      <w:r w:rsidRPr="00801F94">
        <w:rPr>
          <w:rFonts w:ascii="Arial" w:hAnsi="Arial" w:cs="Arial"/>
        </w:rPr>
        <w:t xml:space="preserve"> indicates </w:t>
      </w:r>
      <w:proofErr w:type="spellStart"/>
      <w:r w:rsidRPr="00801F94">
        <w:rPr>
          <w:rFonts w:ascii="Arial" w:hAnsi="Arial" w:cs="Arial"/>
        </w:rPr>
        <w:t>physisorption</w:t>
      </w:r>
      <w:proofErr w:type="spellEnd"/>
      <w:r w:rsidR="006705C2">
        <w:rPr>
          <w:rFonts w:ascii="Arial" w:hAnsi="Arial" w:cs="Arial"/>
        </w:rPr>
        <w:t xml:space="preserve">, </w:t>
      </w:r>
      <w:r w:rsidR="006705C2" w:rsidRPr="006705C2">
        <w:rPr>
          <w:rFonts w:ascii="Arial" w:hAnsi="Arial" w:cs="Arial"/>
        </w:rPr>
        <w:t>8&lt;E&lt;16</w:t>
      </w:r>
      <w:r w:rsidR="006705C2">
        <w:rPr>
          <w:rFonts w:ascii="Arial" w:hAnsi="Arial" w:cs="Arial"/>
        </w:rPr>
        <w:t xml:space="preserve"> indicates ion </w:t>
      </w:r>
      <w:proofErr w:type="gramStart"/>
      <w:r w:rsidR="006705C2">
        <w:rPr>
          <w:rFonts w:ascii="Arial" w:hAnsi="Arial" w:cs="Arial"/>
        </w:rPr>
        <w:t xml:space="preserve">exchange </w:t>
      </w:r>
      <w:r w:rsidRPr="00801F94">
        <w:rPr>
          <w:rFonts w:ascii="Arial" w:hAnsi="Arial" w:cs="Arial"/>
        </w:rPr>
        <w:t xml:space="preserve"> while</w:t>
      </w:r>
      <w:proofErr w:type="gramEnd"/>
      <w:r w:rsidRPr="00801F94">
        <w:rPr>
          <w:rFonts w:ascii="Arial" w:hAnsi="Arial" w:cs="Arial"/>
        </w:rPr>
        <w:t xml:space="preserve"> E &gt; </w:t>
      </w:r>
      <w:r w:rsidR="006705C2">
        <w:rPr>
          <w:rFonts w:ascii="Arial" w:hAnsi="Arial" w:cs="Arial"/>
        </w:rPr>
        <w:t>16</w:t>
      </w:r>
      <w:r w:rsidRPr="00801F94">
        <w:rPr>
          <w:rFonts w:ascii="Arial" w:hAnsi="Arial" w:cs="Arial"/>
        </w:rPr>
        <w:t>kJ/</w:t>
      </w:r>
      <w:proofErr w:type="spellStart"/>
      <w:r w:rsidRPr="00801F94">
        <w:rPr>
          <w:rFonts w:ascii="Arial" w:hAnsi="Arial" w:cs="Arial"/>
        </w:rPr>
        <w:t>mol</w:t>
      </w:r>
      <w:proofErr w:type="spellEnd"/>
      <w:r w:rsidRPr="00801F94">
        <w:rPr>
          <w:rFonts w:ascii="Arial" w:hAnsi="Arial" w:cs="Arial"/>
        </w:rPr>
        <w:t xml:space="preserve"> points to chemisorption (Akin, 2023).</w:t>
      </w:r>
    </w:p>
    <w:p w:rsidR="00F4243E" w:rsidRPr="00801F94" w:rsidRDefault="00F4243E" w:rsidP="00F4243E">
      <w:pPr>
        <w:contextualSpacing/>
        <w:jc w:val="both"/>
        <w:rPr>
          <w:rFonts w:ascii="Arial" w:hAnsi="Arial" w:cs="Arial"/>
          <w:b/>
          <w:bCs/>
          <w:u w:val="single"/>
        </w:rPr>
      </w:pPr>
      <w:r w:rsidRPr="00801F94">
        <w:rPr>
          <w:rFonts w:ascii="Arial" w:hAnsi="Arial" w:cs="Arial"/>
          <w:b/>
          <w:bCs/>
          <w:u w:val="single"/>
        </w:rPr>
        <w:t>2.4.3 Thermodynamics Studies</w:t>
      </w:r>
    </w:p>
    <w:p w:rsidR="00F4243E" w:rsidRPr="00801F94" w:rsidRDefault="00F4243E" w:rsidP="00F4243E">
      <w:pPr>
        <w:rPr>
          <w:rFonts w:ascii="Arial" w:hAnsi="Arial" w:cs="Arial"/>
        </w:rPr>
      </w:pPr>
      <w:r w:rsidRPr="00801F94">
        <w:rPr>
          <w:rFonts w:ascii="Arial" w:hAnsi="Arial" w:cs="Arial"/>
        </w:rPr>
        <w:t>Thermodynamics analysis assesses the spontaneity and temperature dependence of the adsorption process (</w:t>
      </w:r>
      <w:proofErr w:type="spellStart"/>
      <w:r w:rsidRPr="00801F94">
        <w:rPr>
          <w:rFonts w:ascii="Arial" w:hAnsi="Arial" w:cs="Arial"/>
        </w:rPr>
        <w:t>Balarak</w:t>
      </w:r>
      <w:proofErr w:type="spellEnd"/>
      <w:r w:rsidRPr="00801F94">
        <w:rPr>
          <w:rFonts w:ascii="Arial" w:hAnsi="Arial" w:cs="Arial"/>
        </w:rPr>
        <w:t xml:space="preserve"> et al.</w:t>
      </w:r>
      <w:r w:rsidR="00D650D0" w:rsidRPr="00801F94">
        <w:rPr>
          <w:rFonts w:ascii="Arial" w:hAnsi="Arial" w:cs="Arial"/>
        </w:rPr>
        <w:t>,</w:t>
      </w:r>
      <w:r w:rsidRPr="00801F94">
        <w:rPr>
          <w:rFonts w:ascii="Arial" w:hAnsi="Arial" w:cs="Arial"/>
        </w:rPr>
        <w:t xml:space="preserve"> 2015; </w:t>
      </w:r>
      <w:proofErr w:type="spellStart"/>
      <w:r w:rsidRPr="00801F94">
        <w:rPr>
          <w:rFonts w:ascii="Arial" w:hAnsi="Arial" w:cs="Arial"/>
        </w:rPr>
        <w:t>Demirtaş</w:t>
      </w:r>
      <w:proofErr w:type="spellEnd"/>
      <w:r w:rsidRPr="00801F94">
        <w:rPr>
          <w:rFonts w:ascii="Arial" w:hAnsi="Arial" w:cs="Arial"/>
        </w:rPr>
        <w:t xml:space="preserve"> et al.</w:t>
      </w:r>
      <w:r w:rsidR="00D650D0" w:rsidRPr="00801F94">
        <w:rPr>
          <w:rFonts w:ascii="Arial" w:hAnsi="Arial" w:cs="Arial"/>
        </w:rPr>
        <w:t>,</w:t>
      </w:r>
      <w:r w:rsidRPr="00801F94">
        <w:rPr>
          <w:rFonts w:ascii="Arial" w:hAnsi="Arial" w:cs="Arial"/>
        </w:rPr>
        <w:t xml:space="preserve"> 2022). Experiments were conducted across a temperature range of 25 °C to 105 °C, maintaining an initial ampicillin concentration of 4 mg/mL, a 1 g dosage, and a 180-minute contact time. Gibbs free energy (ΔG), enthalpy (ΔH), and entropy (ΔS) were calculated using the following equations:</w:t>
      </w:r>
    </w:p>
    <w:p w:rsidR="00F4243E" w:rsidRPr="00801F94" w:rsidRDefault="00D76EF8" w:rsidP="00F4243E">
      <w:pPr>
        <w:jc w:val="both"/>
        <w:rPr>
          <w:rFonts w:ascii="Arial" w:hAnsi="Arial" w:cs="Arial"/>
        </w:rPr>
      </w:pPr>
      <m:oMath>
        <m:d>
          <m:dPr>
            <m:begChr m:val=""/>
            <m:endChr m:val=""/>
            <m:ctrlPr>
              <w:rPr>
                <w:rFonts w:ascii="Cambria Math" w:hAnsi="Cambria Math" w:cs="Arial"/>
                <w:kern w:val="2"/>
              </w:rPr>
            </m:ctrlPr>
          </m:dPr>
          <m:e>
            <m:r>
              <m:rPr>
                <m:sty m:val="p"/>
              </m:rPr>
              <w:rPr>
                <w:rFonts w:ascii="Cambria Math" w:hAnsi="Cambria Math" w:cs="Arial"/>
              </w:rPr>
              <m:t>∆G</m:t>
            </m:r>
          </m:e>
        </m:d>
      </m:oMath>
      <w:proofErr w:type="gramStart"/>
      <w:r w:rsidR="00F4243E" w:rsidRPr="00801F94">
        <w:rPr>
          <w:rFonts w:ascii="Arial" w:hAnsi="Arial" w:cs="Arial"/>
        </w:rPr>
        <w:t xml:space="preserve">=  </w:t>
      </w:r>
      <w:proofErr w:type="gramEnd"/>
      <m:oMath>
        <m:d>
          <m:dPr>
            <m:begChr m:val=""/>
            <m:endChr m:val=""/>
            <m:ctrlPr>
              <w:rPr>
                <w:rFonts w:ascii="Cambria Math" w:hAnsi="Cambria Math" w:cs="Arial"/>
                <w:kern w:val="2"/>
              </w:rPr>
            </m:ctrlPr>
          </m:dPr>
          <m:e>
            <m:r>
              <m:rPr>
                <m:sty m:val="p"/>
              </m:rPr>
              <w:rPr>
                <w:rFonts w:ascii="Cambria Math" w:hAnsi="Cambria Math" w:cs="Arial"/>
              </w:rPr>
              <m:t>∆H</m:t>
            </m:r>
          </m:e>
        </m:d>
      </m:oMath>
      <w:r w:rsidR="00F4243E" w:rsidRPr="00801F94">
        <w:rPr>
          <w:rFonts w:ascii="Arial" w:hAnsi="Arial" w:cs="Arial"/>
        </w:rPr>
        <w:t xml:space="preserve">– </w:t>
      </w:r>
      <m:oMath>
        <m:r>
          <m:rPr>
            <m:sty m:val="p"/>
          </m:rPr>
          <w:rPr>
            <w:rFonts w:ascii="Cambria Math" w:hAnsi="Cambria Math" w:cs="Arial"/>
          </w:rPr>
          <m:t>T∆S</m:t>
        </m:r>
      </m:oMath>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t xml:space="preserve">              13</w:t>
      </w:r>
    </w:p>
    <w:p w:rsidR="00F4243E" w:rsidRPr="00801F94" w:rsidRDefault="00F4243E" w:rsidP="00F4243E">
      <w:pPr>
        <w:jc w:val="both"/>
        <w:rPr>
          <w:rFonts w:ascii="Arial" w:hAnsi="Arial" w:cs="Arial"/>
        </w:rPr>
      </w:pPr>
      <m:oMath>
        <m:r>
          <m:rPr>
            <m:sty m:val="p"/>
          </m:rPr>
          <w:rPr>
            <w:rFonts w:ascii="Cambria Math" w:hAnsi="Cambria Math" w:cs="Arial"/>
          </w:rPr>
          <m:t>ln</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oMath>
      <w:r w:rsidRPr="00801F94">
        <w:rPr>
          <w:rFonts w:ascii="Arial" w:hAnsi="Arial" w:cs="Arial"/>
        </w:rPr>
        <w:t>= -</w:t>
      </w:r>
      <m:oMath>
        <m:f>
          <m:fPr>
            <m:ctrlPr>
              <w:rPr>
                <w:rFonts w:ascii="Cambria Math" w:hAnsi="Cambria Math" w:cs="Arial"/>
                <w:kern w:val="2"/>
              </w:rPr>
            </m:ctrlPr>
          </m:fPr>
          <m:num>
            <m:r>
              <m:rPr>
                <m:sty m:val="p"/>
              </m:rPr>
              <w:rPr>
                <w:rFonts w:ascii="Cambria Math" w:hAnsi="Cambria Math" w:cs="Arial"/>
              </w:rPr>
              <m:t>∆H</m:t>
            </m:r>
          </m:num>
          <m:den>
            <m:r>
              <m:rPr>
                <m:sty m:val="p"/>
              </m:rPr>
              <w:rPr>
                <w:rFonts w:ascii="Cambria Math" w:hAnsi="Cambria Math" w:cs="Arial"/>
              </w:rPr>
              <m:t>RT</m:t>
            </m:r>
          </m:den>
        </m:f>
      </m:oMath>
      <w:r w:rsidRPr="00801F94">
        <w:rPr>
          <w:rFonts w:ascii="Arial" w:hAnsi="Arial" w:cs="Arial"/>
        </w:rPr>
        <w:t xml:space="preserve"> +   </w:t>
      </w:r>
      <m:oMath>
        <m:f>
          <m:fPr>
            <m:ctrlPr>
              <w:rPr>
                <w:rFonts w:ascii="Cambria Math" w:hAnsi="Cambria Math" w:cs="Arial"/>
                <w:kern w:val="2"/>
              </w:rPr>
            </m:ctrlPr>
          </m:fPr>
          <m:num>
            <m:r>
              <m:rPr>
                <m:sty m:val="p"/>
              </m:rPr>
              <w:rPr>
                <w:rFonts w:ascii="Cambria Math" w:hAnsi="Cambria Math" w:cs="Arial"/>
              </w:rPr>
              <m:t>∆S</m:t>
            </m:r>
          </m:num>
          <m:den>
            <m:r>
              <m:rPr>
                <m:sty m:val="p"/>
              </m:rPr>
              <w:rPr>
                <w:rFonts w:ascii="Cambria Math" w:hAnsi="Cambria Math" w:cs="Arial"/>
              </w:rPr>
              <m:t>R</m:t>
            </m:r>
          </m:den>
        </m:f>
      </m:oMath>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t xml:space="preserve"> 14   </w:t>
      </w:r>
    </w:p>
    <w:p w:rsidR="00F4243E" w:rsidRPr="00801F94" w:rsidRDefault="00D76EF8" w:rsidP="00F4243E">
      <w:pPr>
        <w:jc w:val="both"/>
        <w:rPr>
          <w:rFonts w:ascii="Arial" w:hAnsi="Arial" w:cs="Arial"/>
        </w:rPr>
      </w:pPr>
      <m:oMath>
        <m:d>
          <m:dPr>
            <m:begChr m:val=""/>
            <m:endChr m:val=""/>
            <m:ctrlPr>
              <w:rPr>
                <w:rFonts w:ascii="Cambria Math" w:hAnsi="Cambria Math" w:cs="Arial"/>
                <w:kern w:val="2"/>
              </w:rPr>
            </m:ctrlPr>
          </m:dPr>
          <m:e>
            <m:r>
              <m:rPr>
                <m:sty m:val="p"/>
              </m:rPr>
              <w:rPr>
                <w:rFonts w:ascii="Cambria Math" w:hAnsi="Cambria Math" w:cs="Arial"/>
              </w:rPr>
              <m:t>∆G</m:t>
            </m:r>
          </m:e>
        </m:d>
      </m:oMath>
      <w:r w:rsidR="00F4243E" w:rsidRPr="00801F94">
        <w:rPr>
          <w:rFonts w:ascii="Arial" w:hAnsi="Arial" w:cs="Arial"/>
        </w:rPr>
        <w:t xml:space="preserve">   = </w:t>
      </w:r>
      <m:oMath>
        <m:r>
          <m:rPr>
            <m:sty m:val="p"/>
          </m:rPr>
          <w:rPr>
            <w:rFonts w:ascii="Cambria Math" w:hAnsi="Cambria Math" w:cs="Arial"/>
          </w:rPr>
          <m:t>-RTln</m:t>
        </m:r>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oMath>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t xml:space="preserve"> 15</w:t>
      </w:r>
    </w:p>
    <w:p w:rsidR="00F4243E" w:rsidRPr="00801F94" w:rsidRDefault="00F4243E" w:rsidP="00F4243E">
      <w:pPr>
        <w:jc w:val="both"/>
        <w:rPr>
          <w:rFonts w:ascii="Arial" w:hAnsi="Arial" w:cs="Arial"/>
        </w:rPr>
      </w:pPr>
      <w:r w:rsidRPr="00801F94">
        <w:rPr>
          <w:rFonts w:ascii="Arial" w:hAnsi="Arial" w:cs="Arial"/>
        </w:rPr>
        <w:t>Where R is the universal gas constant (8.314 J</w:t>
      </w:r>
      <w:r w:rsidR="00233746" w:rsidRPr="00801F94">
        <w:rPr>
          <w:rFonts w:ascii="Arial" w:hAnsi="Arial" w:cs="Arial"/>
        </w:rPr>
        <w:t>/</w:t>
      </w:r>
      <w:proofErr w:type="spellStart"/>
      <w:r w:rsidRPr="00801F94">
        <w:rPr>
          <w:rFonts w:ascii="Arial" w:hAnsi="Arial" w:cs="Arial"/>
        </w:rPr>
        <w:t>mol</w:t>
      </w:r>
      <w:proofErr w:type="spellEnd"/>
      <w:r w:rsidR="00233746" w:rsidRPr="00801F94">
        <w:rPr>
          <w:rFonts w:ascii="Arial" w:hAnsi="Arial" w:cs="Arial"/>
        </w:rPr>
        <w:t>/</w:t>
      </w:r>
      <w:r w:rsidRPr="00801F94">
        <w:rPr>
          <w:rFonts w:ascii="Arial" w:hAnsi="Arial" w:cs="Arial"/>
        </w:rPr>
        <w:t>K), T is the absolute temperature (K), and K</w:t>
      </w:r>
      <w:r w:rsidRPr="00801F94">
        <w:rPr>
          <w:rFonts w:ascii="Arial" w:hAnsi="Arial" w:cs="Arial"/>
          <w:vertAlign w:val="subscript"/>
        </w:rPr>
        <w:t>c</w:t>
      </w:r>
      <w:proofErr w:type="gramStart"/>
      <w:r w:rsidRPr="00801F94">
        <w:rPr>
          <w:rFonts w:ascii="Arial" w:hAnsi="Arial" w:cs="Arial"/>
        </w:rPr>
        <w:t>​ is</w:t>
      </w:r>
      <w:proofErr w:type="gramEnd"/>
      <w:r w:rsidRPr="00801F94">
        <w:rPr>
          <w:rFonts w:ascii="Arial" w:hAnsi="Arial" w:cs="Arial"/>
        </w:rPr>
        <w:t xml:space="preserve"> the dimensionless equilibrium constant, calculated as:</w:t>
      </w:r>
    </w:p>
    <w:p w:rsidR="00F4243E" w:rsidRPr="00801F94" w:rsidRDefault="00D76EF8" w:rsidP="00F4243E">
      <w:pPr>
        <w:jc w:val="both"/>
        <w:rPr>
          <w:rFonts w:ascii="Arial" w:hAnsi="Arial" w:cs="Arial"/>
        </w:rPr>
      </w:pPr>
      <m:oMath>
        <m:sSub>
          <m:sSubPr>
            <m:ctrlPr>
              <w:rPr>
                <w:rFonts w:ascii="Cambria Math" w:hAnsi="Cambria Math" w:cs="Arial"/>
                <w:kern w:val="2"/>
              </w:rPr>
            </m:ctrlPr>
          </m:sSubPr>
          <m:e>
            <m:r>
              <m:rPr>
                <m:sty m:val="p"/>
              </m:rPr>
              <w:rPr>
                <w:rFonts w:ascii="Cambria Math" w:hAnsi="Cambria Math" w:cs="Arial"/>
              </w:rPr>
              <m:t>K</m:t>
            </m:r>
          </m:e>
          <m:sub>
            <m:r>
              <m:rPr>
                <m:sty m:val="p"/>
              </m:rPr>
              <w:rPr>
                <w:rFonts w:ascii="Cambria Math" w:hAnsi="Cambria Math" w:cs="Arial"/>
              </w:rPr>
              <m:t>c</m:t>
            </m:r>
          </m:sub>
        </m:sSub>
        <m:r>
          <m:rPr>
            <m:sty m:val="p"/>
          </m:rPr>
          <w:rPr>
            <w:rFonts w:ascii="Cambria Math" w:hAnsi="Cambria Math" w:cs="Arial"/>
          </w:rPr>
          <m:t>=</m:t>
        </m:r>
        <m:f>
          <m:fPr>
            <m:ctrlPr>
              <w:rPr>
                <w:rFonts w:ascii="Cambria Math" w:hAnsi="Cambria Math" w:cs="Arial"/>
                <w:kern w:val="2"/>
              </w:rPr>
            </m:ctrlPr>
          </m:fPr>
          <m:num>
            <m:sSub>
              <m:sSubPr>
                <m:ctrlPr>
                  <w:rPr>
                    <w:rFonts w:ascii="Cambria Math" w:hAnsi="Cambria Math" w:cs="Arial"/>
                    <w:kern w:val="2"/>
                  </w:rPr>
                </m:ctrlPr>
              </m:sSubPr>
              <m:e>
                <m:r>
                  <m:rPr>
                    <m:sty m:val="p"/>
                  </m:rPr>
                  <w:rPr>
                    <w:rFonts w:ascii="Cambria Math" w:hAnsi="Cambria Math" w:cs="Arial"/>
                  </w:rPr>
                  <m:t>1-C</m:t>
                </m:r>
              </m:e>
              <m:sub>
                <m:r>
                  <m:rPr>
                    <m:sty m:val="p"/>
                  </m:rPr>
                  <w:rPr>
                    <w:rFonts w:ascii="Cambria Math" w:hAnsi="Cambria Math" w:cs="Arial"/>
                  </w:rPr>
                  <m:t>e</m:t>
                </m:r>
              </m:sub>
            </m:sSub>
          </m:num>
          <m:den>
            <m:sSub>
              <m:sSubPr>
                <m:ctrlPr>
                  <w:rPr>
                    <w:rFonts w:ascii="Cambria Math" w:hAnsi="Cambria Math" w:cs="Arial"/>
                    <w:kern w:val="2"/>
                  </w:rPr>
                </m:ctrlPr>
              </m:sSubPr>
              <m:e>
                <m:r>
                  <m:rPr>
                    <m:sty m:val="p"/>
                  </m:rPr>
                  <w:rPr>
                    <w:rFonts w:ascii="Cambria Math" w:hAnsi="Cambria Math" w:cs="Arial"/>
                  </w:rPr>
                  <m:t>C</m:t>
                </m:r>
              </m:e>
              <m:sub>
                <m:r>
                  <m:rPr>
                    <m:sty m:val="p"/>
                  </m:rPr>
                  <w:rPr>
                    <w:rFonts w:ascii="Cambria Math" w:hAnsi="Cambria Math" w:cs="Arial"/>
                  </w:rPr>
                  <m:t>e</m:t>
                </m:r>
              </m:sub>
            </m:sSub>
          </m:den>
        </m:f>
      </m:oMath>
      <w:r w:rsidR="00F4243E" w:rsidRPr="00801F94">
        <w:rPr>
          <w:rFonts w:ascii="Arial" w:hAnsi="Arial" w:cs="Arial"/>
        </w:rPr>
        <w:tab/>
        <w:t xml:space="preserve"> </w:t>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r>
      <w:r w:rsidR="00F4243E" w:rsidRPr="00801F94">
        <w:rPr>
          <w:rFonts w:ascii="Arial" w:hAnsi="Arial" w:cs="Arial"/>
        </w:rPr>
        <w:tab/>
        <w:t xml:space="preserve">  16</w:t>
      </w:r>
    </w:p>
    <w:p w:rsidR="00F4243E" w:rsidRPr="00801F94" w:rsidRDefault="00F4243E" w:rsidP="00F4243E">
      <w:pPr>
        <w:jc w:val="both"/>
        <w:rPr>
          <w:rFonts w:ascii="Arial" w:hAnsi="Arial" w:cs="Arial"/>
        </w:rPr>
      </w:pPr>
      <w:r w:rsidRPr="00801F94">
        <w:rPr>
          <w:rFonts w:ascii="Arial" w:hAnsi="Arial" w:cs="Arial"/>
        </w:rPr>
        <w:lastRenderedPageBreak/>
        <w:t xml:space="preserve">A </w:t>
      </w:r>
      <w:proofErr w:type="spellStart"/>
      <w:r w:rsidRPr="00801F94">
        <w:rPr>
          <w:rFonts w:ascii="Arial" w:hAnsi="Arial" w:cs="Arial"/>
        </w:rPr>
        <w:t>Van't</w:t>
      </w:r>
      <w:proofErr w:type="spellEnd"/>
      <w:r w:rsidRPr="00801F94">
        <w:rPr>
          <w:rFonts w:ascii="Arial" w:hAnsi="Arial" w:cs="Arial"/>
        </w:rPr>
        <w:t xml:space="preserve"> Hoff plot (</w:t>
      </w:r>
      <w:proofErr w:type="spellStart"/>
      <w:r w:rsidRPr="00801F94">
        <w:rPr>
          <w:rFonts w:ascii="Arial" w:hAnsi="Arial" w:cs="Arial"/>
        </w:rPr>
        <w:t>lnK</w:t>
      </w:r>
      <w:r w:rsidRPr="00801F94">
        <w:rPr>
          <w:rFonts w:ascii="Arial" w:hAnsi="Arial" w:cs="Arial"/>
          <w:vertAlign w:val="subscript"/>
        </w:rPr>
        <w:t>c</w:t>
      </w:r>
      <w:proofErr w:type="spellEnd"/>
      <w:proofErr w:type="gramStart"/>
      <w:r w:rsidRPr="00801F94">
        <w:rPr>
          <w:rFonts w:ascii="Arial" w:hAnsi="Arial" w:cs="Arial"/>
        </w:rPr>
        <w:t>​ vs</w:t>
      </w:r>
      <w:proofErr w:type="gramEnd"/>
      <w:r w:rsidRPr="00801F94">
        <w:rPr>
          <w:rFonts w:ascii="Arial" w:hAnsi="Arial" w:cs="Arial"/>
        </w:rPr>
        <w:t>. 1/T) was employed to graphically de</w:t>
      </w:r>
      <w:r w:rsidR="00EE0661">
        <w:rPr>
          <w:rFonts w:ascii="Arial" w:hAnsi="Arial" w:cs="Arial"/>
        </w:rPr>
        <w:t>termine</w:t>
      </w:r>
      <w:r w:rsidRPr="00801F94">
        <w:rPr>
          <w:rFonts w:ascii="Arial" w:hAnsi="Arial" w:cs="Arial"/>
        </w:rPr>
        <w:t xml:space="preserve"> ΔH and ΔS. ΔG values were then computed for each temperature.</w:t>
      </w:r>
    </w:p>
    <w:p w:rsidR="00790ADA" w:rsidRPr="00801F94" w:rsidRDefault="00790ADA" w:rsidP="00441B6F">
      <w:pPr>
        <w:pStyle w:val="AbstHead"/>
        <w:spacing w:after="0"/>
        <w:jc w:val="both"/>
        <w:rPr>
          <w:rFonts w:ascii="Arial" w:hAnsi="Arial" w:cs="Arial"/>
        </w:rPr>
      </w:pPr>
    </w:p>
    <w:p w:rsidR="00790ADA" w:rsidRPr="00801F94" w:rsidRDefault="00790ADA" w:rsidP="00441B6F">
      <w:pPr>
        <w:pStyle w:val="Body"/>
        <w:spacing w:after="0"/>
        <w:rPr>
          <w:rFonts w:ascii="Arial" w:hAnsi="Arial" w:cs="Arial"/>
        </w:rPr>
      </w:pPr>
    </w:p>
    <w:p w:rsidR="00902823" w:rsidRPr="00801F94" w:rsidRDefault="00000F8F" w:rsidP="00441B6F">
      <w:pPr>
        <w:pStyle w:val="Head1"/>
        <w:spacing w:after="0"/>
        <w:jc w:val="both"/>
        <w:rPr>
          <w:rFonts w:ascii="Arial" w:hAnsi="Arial" w:cs="Arial"/>
        </w:rPr>
      </w:pPr>
      <w:r w:rsidRPr="00801F94">
        <w:rPr>
          <w:rFonts w:ascii="Arial" w:hAnsi="Arial" w:cs="Arial"/>
        </w:rPr>
        <w:t>3</w:t>
      </w:r>
      <w:r w:rsidR="00902823" w:rsidRPr="00801F94">
        <w:rPr>
          <w:rFonts w:ascii="Arial" w:hAnsi="Arial" w:cs="Arial"/>
        </w:rPr>
        <w:t xml:space="preserve">. </w:t>
      </w:r>
      <w:r w:rsidRPr="00801F94">
        <w:rPr>
          <w:rFonts w:ascii="Arial" w:hAnsi="Arial" w:cs="Arial"/>
        </w:rPr>
        <w:t>results and discussion</w:t>
      </w:r>
    </w:p>
    <w:p w:rsidR="00790ADA" w:rsidRPr="00801F94" w:rsidRDefault="00790ADA" w:rsidP="00441B6F">
      <w:pPr>
        <w:pStyle w:val="Head1"/>
        <w:spacing w:after="0"/>
        <w:jc w:val="both"/>
        <w:rPr>
          <w:rFonts w:ascii="Arial" w:hAnsi="Arial" w:cs="Arial"/>
        </w:rPr>
      </w:pPr>
    </w:p>
    <w:p w:rsidR="00F4243E"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3.1 Characterization of Adsorbent</w:t>
      </w:r>
    </w:p>
    <w:p w:rsidR="00F4243E" w:rsidRPr="00801F94" w:rsidRDefault="00F4243E" w:rsidP="00F4243E">
      <w:pPr>
        <w:pStyle w:val="Body"/>
        <w:spacing w:after="0"/>
        <w:rPr>
          <w:rFonts w:ascii="Arial" w:hAnsi="Arial" w:cs="Arial"/>
          <w:b/>
          <w:bCs/>
          <w:u w:val="single"/>
        </w:rPr>
      </w:pPr>
      <w:r w:rsidRPr="00801F94">
        <w:rPr>
          <w:rFonts w:ascii="Arial" w:hAnsi="Arial" w:cs="Arial"/>
          <w:b/>
          <w:bCs/>
          <w:u w:val="single"/>
        </w:rPr>
        <w:t xml:space="preserve">3.1.1 The FTIR Analysis </w:t>
      </w:r>
    </w:p>
    <w:p w:rsidR="007B3955" w:rsidRPr="00801F94" w:rsidRDefault="007B3955" w:rsidP="007B3955">
      <w:pPr>
        <w:jc w:val="both"/>
        <w:rPr>
          <w:rFonts w:ascii="Arial" w:hAnsi="Arial" w:cs="Arial"/>
        </w:rPr>
      </w:pPr>
      <w:bookmarkStart w:id="8" w:name="_Hlk226722337"/>
      <w:r w:rsidRPr="00801F94">
        <w:rPr>
          <w:rFonts w:ascii="Arial" w:hAnsi="Arial" w:cs="Arial"/>
        </w:rPr>
        <w:t xml:space="preserve">The FTIR spectra of raw rice husk (RH), acid-modified rice husk (ARH), and ARH after ampicillin adsorption (ARH–AMP) are presented in Figure </w:t>
      </w:r>
      <w:r w:rsidR="0053350D" w:rsidRPr="00801F94">
        <w:rPr>
          <w:rFonts w:ascii="Arial" w:hAnsi="Arial" w:cs="Arial"/>
        </w:rPr>
        <w:t>2</w:t>
      </w:r>
      <w:r w:rsidR="00C5156C" w:rsidRPr="00801F94">
        <w:rPr>
          <w:rFonts w:ascii="Arial" w:hAnsi="Arial" w:cs="Arial"/>
        </w:rPr>
        <w:t>a-c</w:t>
      </w:r>
      <w:r w:rsidRPr="00801F94">
        <w:rPr>
          <w:rFonts w:ascii="Arial" w:hAnsi="Arial" w:cs="Arial"/>
        </w:rPr>
        <w:t xml:space="preserve">, while the corresponding peak assignments are summarized in Table </w:t>
      </w:r>
      <w:r w:rsidR="0053350D" w:rsidRPr="00801F94">
        <w:rPr>
          <w:rFonts w:ascii="Arial" w:hAnsi="Arial" w:cs="Arial"/>
        </w:rPr>
        <w:t>2</w:t>
      </w:r>
      <w:r w:rsidRPr="00801F94">
        <w:rPr>
          <w:rFonts w:ascii="Arial" w:hAnsi="Arial" w:cs="Arial"/>
        </w:rPr>
        <w:t xml:space="preserve">. The spectrum of RH exhibits characteristic bands associated with </w:t>
      </w:r>
      <w:proofErr w:type="spellStart"/>
      <w:r w:rsidRPr="00801F94">
        <w:rPr>
          <w:rFonts w:ascii="Arial" w:hAnsi="Arial" w:cs="Arial"/>
        </w:rPr>
        <w:t>lignocellulosic</w:t>
      </w:r>
      <w:proofErr w:type="spellEnd"/>
      <w:r w:rsidRPr="00801F94">
        <w:rPr>
          <w:rFonts w:ascii="Arial" w:hAnsi="Arial" w:cs="Arial"/>
        </w:rPr>
        <w:t xml:space="preserve"> biomass and silica. The absorption peaks at 3144.44, 3410.43, 3576.36 cm</w:t>
      </w:r>
      <w:r w:rsidRPr="00801F94">
        <w:rPr>
          <w:rFonts w:ascii="Cambria Math" w:hAnsi="Cambria Math" w:cs="Cambria Math"/>
        </w:rPr>
        <w:t>⁻</w:t>
      </w:r>
      <w:r w:rsidRPr="00801F94">
        <w:rPr>
          <w:rFonts w:ascii="Arial" w:hAnsi="Arial" w:cs="Arial"/>
        </w:rPr>
        <w:t>¹. observed in the region 3600–3200 cm</w:t>
      </w:r>
      <w:r w:rsidRPr="00801F94">
        <w:rPr>
          <w:rFonts w:ascii="Cambria Math" w:hAnsi="Cambria Math" w:cs="Cambria Math"/>
        </w:rPr>
        <w:t>⁻</w:t>
      </w:r>
      <w:r w:rsidRPr="00801F94">
        <w:rPr>
          <w:rFonts w:ascii="Arial" w:hAnsi="Arial" w:cs="Arial"/>
        </w:rPr>
        <w:t xml:space="preserve">¹ </w:t>
      </w:r>
      <w:r w:rsidR="00F2172F" w:rsidRPr="00801F94">
        <w:rPr>
          <w:rFonts w:ascii="Arial" w:hAnsi="Arial" w:cs="Arial"/>
        </w:rPr>
        <w:t>are</w:t>
      </w:r>
      <w:r w:rsidRPr="00801F94">
        <w:rPr>
          <w:rFonts w:ascii="Arial" w:hAnsi="Arial" w:cs="Arial"/>
        </w:rPr>
        <w:t xml:space="preserve"> attributed to O–H stretching vibrations of hydroxyl groups present in cellulose, hemicellulose, and lignin, as well as physically adsorbed water (</w:t>
      </w:r>
      <w:proofErr w:type="spellStart"/>
      <w:r w:rsidRPr="00801F94">
        <w:rPr>
          <w:rFonts w:ascii="Arial" w:hAnsi="Arial" w:cs="Arial"/>
        </w:rPr>
        <w:t>Abugu</w:t>
      </w:r>
      <w:proofErr w:type="spellEnd"/>
      <w:r w:rsidRPr="00801F94">
        <w:rPr>
          <w:rFonts w:ascii="Arial" w:hAnsi="Arial" w:cs="Arial"/>
        </w:rPr>
        <w:t xml:space="preserve"> et. al., 2023</w:t>
      </w:r>
      <w:r w:rsidR="00C25F80" w:rsidRPr="00801F94">
        <w:rPr>
          <w:rFonts w:ascii="Arial" w:hAnsi="Arial" w:cs="Arial"/>
        </w:rPr>
        <w:t>;</w:t>
      </w:r>
      <w:r w:rsidRPr="00801F94">
        <w:rPr>
          <w:rFonts w:ascii="Arial" w:hAnsi="Arial" w:cs="Arial"/>
        </w:rPr>
        <w:t xml:space="preserve"> </w:t>
      </w:r>
      <w:proofErr w:type="spellStart"/>
      <w:r w:rsidRPr="00801F94">
        <w:rPr>
          <w:rFonts w:ascii="Arial" w:hAnsi="Arial" w:cs="Arial"/>
        </w:rPr>
        <w:t>Abugu</w:t>
      </w:r>
      <w:proofErr w:type="spellEnd"/>
      <w:r w:rsidRPr="00801F94">
        <w:rPr>
          <w:rFonts w:ascii="Arial" w:hAnsi="Arial" w:cs="Arial"/>
        </w:rPr>
        <w:t xml:space="preserve"> et. al., 2023</w:t>
      </w:r>
      <w:r w:rsidR="00C25F80" w:rsidRPr="00801F94">
        <w:rPr>
          <w:rFonts w:ascii="Arial" w:hAnsi="Arial" w:cs="Arial"/>
        </w:rPr>
        <w:t>;</w:t>
      </w:r>
      <w:r w:rsidR="0053350D" w:rsidRPr="00801F94">
        <w:rPr>
          <w:rFonts w:ascii="Arial" w:hAnsi="Arial" w:cs="Arial"/>
        </w:rPr>
        <w:t xml:space="preserve"> </w:t>
      </w:r>
      <w:proofErr w:type="spellStart"/>
      <w:r w:rsidR="0053350D" w:rsidRPr="00801F94">
        <w:rPr>
          <w:rFonts w:ascii="Arial" w:hAnsi="Arial" w:cs="Arial"/>
        </w:rPr>
        <w:t>Esmail</w:t>
      </w:r>
      <w:proofErr w:type="spellEnd"/>
      <w:r w:rsidR="0053350D" w:rsidRPr="00801F94">
        <w:rPr>
          <w:rFonts w:ascii="Arial" w:hAnsi="Arial" w:cs="Arial"/>
        </w:rPr>
        <w:t xml:space="preserve"> and Mohammed, 2012</w:t>
      </w:r>
      <w:r w:rsidR="00C25F80" w:rsidRPr="00801F94">
        <w:rPr>
          <w:rFonts w:ascii="Arial" w:hAnsi="Arial" w:cs="Arial"/>
        </w:rPr>
        <w:t xml:space="preserve">; </w:t>
      </w:r>
      <w:proofErr w:type="spellStart"/>
      <w:r w:rsidR="00C25F80" w:rsidRPr="00801F94">
        <w:rPr>
          <w:rFonts w:ascii="Arial" w:hAnsi="Arial" w:cs="Arial"/>
        </w:rPr>
        <w:t>Nandiyanto</w:t>
      </w:r>
      <w:proofErr w:type="spellEnd"/>
      <w:r w:rsidR="00C25F80" w:rsidRPr="00801F94">
        <w:rPr>
          <w:rFonts w:ascii="Arial" w:hAnsi="Arial" w:cs="Arial"/>
        </w:rPr>
        <w:t xml:space="preserve"> et. al, 2024).</w:t>
      </w:r>
      <w:r w:rsidRPr="00801F94">
        <w:rPr>
          <w:rFonts w:ascii="Arial" w:hAnsi="Arial" w:cs="Arial"/>
        </w:rPr>
        <w:t>). The peak 2939.77</w:t>
      </w:r>
      <w:proofErr w:type="gramStart"/>
      <w:r w:rsidRPr="00801F94">
        <w:rPr>
          <w:rFonts w:ascii="Arial" w:hAnsi="Arial" w:cs="Arial"/>
        </w:rPr>
        <w:t>,  cm</w:t>
      </w:r>
      <w:proofErr w:type="gramEnd"/>
      <w:r w:rsidRPr="00801F94">
        <w:rPr>
          <w:rFonts w:ascii="Cambria Math" w:hAnsi="Cambria Math" w:cs="Cambria Math"/>
        </w:rPr>
        <w:t>⁻</w:t>
      </w:r>
      <w:r w:rsidRPr="00801F94">
        <w:rPr>
          <w:rFonts w:ascii="Arial" w:hAnsi="Arial" w:cs="Arial"/>
        </w:rPr>
        <w:t>¹ correspond</w:t>
      </w:r>
      <w:r w:rsidR="00F2172F" w:rsidRPr="00801F94">
        <w:rPr>
          <w:rFonts w:ascii="Arial" w:hAnsi="Arial" w:cs="Arial"/>
        </w:rPr>
        <w:t>s</w:t>
      </w:r>
      <w:r w:rsidRPr="00801F94">
        <w:rPr>
          <w:rFonts w:ascii="Arial" w:hAnsi="Arial" w:cs="Arial"/>
        </w:rPr>
        <w:t xml:space="preserve"> to aliphatic C–H stretching vibrations, confirming the presence of organic constituents (</w:t>
      </w:r>
      <w:proofErr w:type="spellStart"/>
      <w:r w:rsidRPr="00801F94">
        <w:rPr>
          <w:rFonts w:ascii="Arial" w:hAnsi="Arial" w:cs="Arial"/>
          <w:color w:val="000000" w:themeColor="text1"/>
          <w:sz w:val="24"/>
          <w:szCs w:val="24"/>
        </w:rPr>
        <w:t>Nwadibia</w:t>
      </w:r>
      <w:proofErr w:type="spellEnd"/>
      <w:r w:rsidRPr="00801F94">
        <w:rPr>
          <w:rFonts w:ascii="Arial" w:hAnsi="Arial" w:cs="Arial"/>
          <w:color w:val="000000" w:themeColor="text1"/>
        </w:rPr>
        <w:t xml:space="preserve">, et al., 2025, </w:t>
      </w:r>
      <w:r w:rsidRPr="00801F94">
        <w:rPr>
          <w:rFonts w:ascii="Arial" w:hAnsi="Arial" w:cs="Arial"/>
        </w:rPr>
        <w:t>Khalil,   et al., 2020</w:t>
      </w:r>
      <w:r w:rsidRPr="00801F94">
        <w:rPr>
          <w:rFonts w:ascii="Arial" w:hAnsi="Arial" w:cs="Arial"/>
          <w:color w:val="000000" w:themeColor="text1"/>
        </w:rPr>
        <w:t>)</w:t>
      </w:r>
      <w:r w:rsidRPr="00801F94">
        <w:rPr>
          <w:rFonts w:ascii="Arial" w:hAnsi="Arial" w:cs="Arial"/>
        </w:rPr>
        <w:t>.</w:t>
      </w:r>
    </w:p>
    <w:p w:rsidR="007B3955" w:rsidRPr="00801F94" w:rsidRDefault="007B3955" w:rsidP="007B3955">
      <w:pPr>
        <w:jc w:val="both"/>
        <w:rPr>
          <w:rFonts w:ascii="Arial" w:hAnsi="Arial" w:cs="Arial"/>
        </w:rPr>
      </w:pPr>
      <w:r w:rsidRPr="00801F94">
        <w:rPr>
          <w:rFonts w:ascii="Arial" w:hAnsi="Arial" w:cs="Arial"/>
        </w:rPr>
        <w:t xml:space="preserve">The peaks around </w:t>
      </w:r>
      <w:r w:rsidR="0053350D" w:rsidRPr="00801F94">
        <w:rPr>
          <w:rFonts w:ascii="Arial" w:hAnsi="Arial" w:cs="Arial"/>
        </w:rPr>
        <w:t xml:space="preserve">1621.25 and </w:t>
      </w:r>
      <w:r w:rsidRPr="00801F94">
        <w:rPr>
          <w:rFonts w:ascii="Arial" w:hAnsi="Arial" w:cs="Arial"/>
        </w:rPr>
        <w:t xml:space="preserve">1820.19, correspond </w:t>
      </w:r>
      <w:proofErr w:type="gramStart"/>
      <w:r w:rsidRPr="00801F94">
        <w:rPr>
          <w:rFonts w:ascii="Arial" w:hAnsi="Arial" w:cs="Arial"/>
        </w:rPr>
        <w:t>to  C</w:t>
      </w:r>
      <w:proofErr w:type="gramEnd"/>
      <w:r w:rsidRPr="00801F94">
        <w:rPr>
          <w:rFonts w:ascii="Arial" w:hAnsi="Arial" w:cs="Arial"/>
        </w:rPr>
        <w:t>=O stretching of carbonyl groups, mainly from hemicellulose</w:t>
      </w:r>
      <w:r w:rsidR="00F2172F" w:rsidRPr="00801F94">
        <w:rPr>
          <w:rFonts w:ascii="Arial" w:hAnsi="Arial" w:cs="Arial"/>
        </w:rPr>
        <w:t xml:space="preserve"> </w:t>
      </w:r>
      <w:r w:rsidR="0053350D" w:rsidRPr="00801F94">
        <w:rPr>
          <w:rFonts w:ascii="Arial" w:hAnsi="Arial" w:cs="Arial"/>
        </w:rPr>
        <w:t>(</w:t>
      </w:r>
      <w:proofErr w:type="spellStart"/>
      <w:r w:rsidR="0053350D" w:rsidRPr="00801F94">
        <w:rPr>
          <w:rFonts w:ascii="Arial" w:hAnsi="Arial" w:cs="Arial"/>
        </w:rPr>
        <w:t>Álvarez-Torrellas</w:t>
      </w:r>
      <w:proofErr w:type="spellEnd"/>
      <w:r w:rsidR="0053350D" w:rsidRPr="00801F94">
        <w:rPr>
          <w:rFonts w:ascii="Arial" w:hAnsi="Arial" w:cs="Arial"/>
        </w:rPr>
        <w:t>, et al., 2016)</w:t>
      </w:r>
      <w:r w:rsidRPr="00801F94">
        <w:rPr>
          <w:rFonts w:ascii="Arial" w:hAnsi="Arial" w:cs="Arial"/>
        </w:rPr>
        <w:t xml:space="preserve">, while the peak </w:t>
      </w:r>
      <w:r w:rsidR="0053350D" w:rsidRPr="00801F94">
        <w:rPr>
          <w:rFonts w:ascii="Arial" w:hAnsi="Arial" w:cs="Arial"/>
        </w:rPr>
        <w:t>around</w:t>
      </w:r>
      <w:r w:rsidRPr="00801F94">
        <w:rPr>
          <w:rFonts w:ascii="Arial" w:hAnsi="Arial" w:cs="Arial"/>
        </w:rPr>
        <w:t xml:space="preserve"> 1500 cm</w:t>
      </w:r>
      <w:r w:rsidRPr="00801F94">
        <w:rPr>
          <w:rFonts w:ascii="Cambria Math" w:hAnsi="Cambria Math" w:cs="Cambria Math"/>
        </w:rPr>
        <w:t>⁻</w:t>
      </w:r>
      <w:r w:rsidRPr="00801F94">
        <w:rPr>
          <w:rFonts w:ascii="Arial" w:hAnsi="Arial" w:cs="Arial"/>
        </w:rPr>
        <w:t xml:space="preserve">¹ </w:t>
      </w:r>
      <w:r w:rsidR="0053350D" w:rsidRPr="00801F94">
        <w:rPr>
          <w:rFonts w:ascii="Arial" w:hAnsi="Arial" w:cs="Arial"/>
        </w:rPr>
        <w:t>is</w:t>
      </w:r>
      <w:r w:rsidRPr="00801F94">
        <w:rPr>
          <w:rFonts w:ascii="Arial" w:hAnsi="Arial" w:cs="Arial"/>
        </w:rPr>
        <w:t xml:space="preserve"> associated with aromatic C=C vibrations of lignin. Additionally, a strong band peak at 784.32 cm</w:t>
      </w:r>
      <w:r w:rsidRPr="00801F94">
        <w:rPr>
          <w:rFonts w:ascii="Cambria Math" w:hAnsi="Cambria Math" w:cs="Cambria Math"/>
        </w:rPr>
        <w:t>⁻</w:t>
      </w:r>
      <w:r w:rsidRPr="00801F94">
        <w:rPr>
          <w:rFonts w:ascii="Arial" w:hAnsi="Arial" w:cs="Arial"/>
        </w:rPr>
        <w:t xml:space="preserve">¹ is attributed to Si–O–Si stretching, confirming the siliceous nature of rice husk. </w:t>
      </w:r>
    </w:p>
    <w:p w:rsidR="007B3955" w:rsidRPr="00801F94" w:rsidRDefault="007B3955" w:rsidP="000C5E5D">
      <w:pPr>
        <w:jc w:val="both"/>
        <w:rPr>
          <w:rFonts w:ascii="Arial" w:hAnsi="Arial" w:cs="Arial"/>
        </w:rPr>
      </w:pPr>
      <w:r w:rsidRPr="00801F94">
        <w:rPr>
          <w:rFonts w:ascii="Arial" w:hAnsi="Arial" w:cs="Arial"/>
        </w:rPr>
        <w:t>Following acid modification, significant changes were observed in the FTIR spectrum of ARH. The intensity of peaks associated with lignin and hemicellulose (1319–1621 cm</w:t>
      </w:r>
      <w:r w:rsidRPr="00801F94">
        <w:rPr>
          <w:rFonts w:ascii="Cambria Math" w:hAnsi="Cambria Math" w:cs="Cambria Math"/>
        </w:rPr>
        <w:t>⁻</w:t>
      </w:r>
      <w:r w:rsidRPr="00801F94">
        <w:rPr>
          <w:rFonts w:ascii="Arial" w:hAnsi="Arial" w:cs="Arial"/>
        </w:rPr>
        <w:t>¹) decreased markedly, indicating the removal of organic components due to acid hydrolysis. The reduction of the carbonyl peak (~1820 cm</w:t>
      </w:r>
      <w:r w:rsidRPr="00801F94">
        <w:rPr>
          <w:rFonts w:ascii="Cambria Math" w:hAnsi="Cambria Math" w:cs="Cambria Math"/>
        </w:rPr>
        <w:t>⁻</w:t>
      </w:r>
      <w:r w:rsidRPr="00801F94">
        <w:rPr>
          <w:rFonts w:ascii="Arial" w:hAnsi="Arial" w:cs="Arial"/>
        </w:rPr>
        <w:t>¹) further suggests cleavage of ester linkages and structural reorganization. In contrast, the silica-related peaks (~1100–1000 and ~784 cm</w:t>
      </w:r>
      <w:r w:rsidRPr="00801F94">
        <w:rPr>
          <w:rFonts w:ascii="Cambria Math" w:hAnsi="Cambria Math" w:cs="Cambria Math"/>
        </w:rPr>
        <w:t>⁻</w:t>
      </w:r>
      <w:r w:rsidRPr="00801F94">
        <w:rPr>
          <w:rFonts w:ascii="Arial" w:hAnsi="Arial" w:cs="Arial"/>
        </w:rPr>
        <w:t xml:space="preserve">¹) became sharper and more pronounced, confirming increased exposure of the silica framework. This observation agrees with previous studies reporting that acid treatment enhances surface purity and adsorption capacity of biomass-derived adsorbents (Kaur et al., 2021; </w:t>
      </w:r>
      <w:proofErr w:type="spellStart"/>
      <w:r w:rsidRPr="00801F94">
        <w:rPr>
          <w:rFonts w:ascii="Arial" w:hAnsi="Arial" w:cs="Arial"/>
        </w:rPr>
        <w:t>Abugu</w:t>
      </w:r>
      <w:proofErr w:type="spellEnd"/>
      <w:r w:rsidRPr="00801F94">
        <w:rPr>
          <w:rFonts w:ascii="Arial" w:hAnsi="Arial" w:cs="Arial"/>
        </w:rPr>
        <w:t xml:space="preserve"> et al., 2023a; </w:t>
      </w:r>
      <w:proofErr w:type="spellStart"/>
      <w:r w:rsidRPr="00801F94">
        <w:rPr>
          <w:rFonts w:ascii="Arial" w:hAnsi="Arial" w:cs="Arial"/>
        </w:rPr>
        <w:t>Nwadibia</w:t>
      </w:r>
      <w:proofErr w:type="spellEnd"/>
      <w:r w:rsidRPr="00801F94">
        <w:rPr>
          <w:rFonts w:ascii="Arial" w:hAnsi="Arial" w:cs="Arial"/>
        </w:rPr>
        <w:t xml:space="preserve"> et al., 2025). After adsorption of ampicillin, additional changes were observed in the ARH–AMP spectrum. Notably, shifts in the O–H stretching region (3600–3200 cm</w:t>
      </w:r>
      <w:r w:rsidRPr="00801F94">
        <w:rPr>
          <w:rFonts w:ascii="Cambria Math" w:hAnsi="Cambria Math" w:cs="Cambria Math"/>
        </w:rPr>
        <w:t>⁻</w:t>
      </w:r>
      <w:r w:rsidRPr="00801F94">
        <w:rPr>
          <w:rFonts w:ascii="Arial" w:hAnsi="Arial" w:cs="Arial"/>
        </w:rPr>
        <w:t>¹) indicate the formation of hydrogen bonds between hydroxyl groups on ARH and functional groups (–NH</w:t>
      </w:r>
      <w:r w:rsidRPr="00801F94">
        <w:rPr>
          <w:rFonts w:ascii="Cambria Math" w:hAnsi="Cambria Math" w:cs="Cambria Math"/>
        </w:rPr>
        <w:t>₂</w:t>
      </w:r>
      <w:r w:rsidRPr="00801F94">
        <w:rPr>
          <w:rFonts w:ascii="Arial" w:hAnsi="Arial" w:cs="Arial"/>
        </w:rPr>
        <w:t>, –COOH) of ampicillin. The shifts in carbonyl peaks (~1621 and ~1820 cm</w:t>
      </w:r>
      <w:r w:rsidRPr="00801F94">
        <w:rPr>
          <w:rFonts w:ascii="Cambria Math" w:hAnsi="Cambria Math" w:cs="Cambria Math"/>
        </w:rPr>
        <w:t>⁻</w:t>
      </w:r>
      <w:r w:rsidRPr="00801F94">
        <w:rPr>
          <w:rFonts w:ascii="Arial" w:hAnsi="Arial" w:cs="Arial"/>
        </w:rPr>
        <w:t>¹) suggest interaction between the β-lactam ring and carboxyl groups of ampicillin with the adsorbent surface. Furthermore, slight shifts in the aromatic C=C band (~1436 cm</w:t>
      </w:r>
      <w:r w:rsidRPr="00801F94">
        <w:rPr>
          <w:rFonts w:ascii="Cambria Math" w:hAnsi="Cambria Math" w:cs="Cambria Math"/>
        </w:rPr>
        <w:t>⁻</w:t>
      </w:r>
      <w:r w:rsidRPr="00801F94">
        <w:rPr>
          <w:rFonts w:ascii="Arial" w:hAnsi="Arial" w:cs="Arial"/>
        </w:rPr>
        <w:t xml:space="preserve">¹) </w:t>
      </w:r>
      <w:r w:rsidR="000C5E5D" w:rsidRPr="00801F94">
        <w:rPr>
          <w:rFonts w:ascii="Arial" w:hAnsi="Arial" w:cs="Arial"/>
        </w:rPr>
        <w:t>suggests</w:t>
      </w:r>
      <w:r w:rsidRPr="00801F94">
        <w:rPr>
          <w:rFonts w:ascii="Arial" w:hAnsi="Arial" w:cs="Arial"/>
        </w:rPr>
        <w:t xml:space="preserve"> possible π–π interactions between the aromatic structures of ampicillin and residual lignin components (</w:t>
      </w:r>
      <w:proofErr w:type="spellStart"/>
      <w:r w:rsidRPr="00801F94">
        <w:rPr>
          <w:rFonts w:ascii="Arial" w:hAnsi="Arial" w:cs="Arial"/>
        </w:rPr>
        <w:t>Iwuozor</w:t>
      </w:r>
      <w:proofErr w:type="spellEnd"/>
      <w:r w:rsidRPr="00801F94">
        <w:rPr>
          <w:rFonts w:ascii="Arial" w:hAnsi="Arial" w:cs="Arial"/>
        </w:rPr>
        <w:t>, et. al., 2021, Wu, et al.</w:t>
      </w:r>
      <w:r w:rsidR="00D650D0" w:rsidRPr="00801F94">
        <w:rPr>
          <w:rFonts w:ascii="Arial" w:hAnsi="Arial" w:cs="Arial"/>
        </w:rPr>
        <w:t>,</w:t>
      </w:r>
      <w:r w:rsidRPr="00801F94">
        <w:rPr>
          <w:rFonts w:ascii="Arial" w:hAnsi="Arial" w:cs="Arial"/>
        </w:rPr>
        <w:t xml:space="preserve"> 2021). The silica-related peaks also exhibited minor shifts after adsorption, suggesting that </w:t>
      </w:r>
      <w:proofErr w:type="spellStart"/>
      <w:r w:rsidRPr="00801F94">
        <w:rPr>
          <w:rFonts w:ascii="Arial" w:hAnsi="Arial" w:cs="Arial"/>
        </w:rPr>
        <w:t>silanol</w:t>
      </w:r>
      <w:proofErr w:type="spellEnd"/>
      <w:r w:rsidRPr="00801F94">
        <w:rPr>
          <w:rFonts w:ascii="Arial" w:hAnsi="Arial" w:cs="Arial"/>
        </w:rPr>
        <w:t xml:space="preserve"> (Si–OH) groups participate in surface interactions. These combined spectral changes </w:t>
      </w:r>
      <w:r w:rsidR="000C5E5D" w:rsidRPr="00801F94">
        <w:rPr>
          <w:rFonts w:ascii="Arial" w:hAnsi="Arial" w:cs="Arial"/>
        </w:rPr>
        <w:t>suggest</w:t>
      </w:r>
      <w:r w:rsidRPr="00801F94">
        <w:rPr>
          <w:rFonts w:ascii="Arial" w:hAnsi="Arial" w:cs="Arial"/>
        </w:rPr>
        <w:t xml:space="preserve"> that adsorption of ampicillin onto ARH occurs</w:t>
      </w:r>
      <w:r w:rsidR="000C5E5D" w:rsidRPr="00801F94">
        <w:rPr>
          <w:rFonts w:ascii="Arial" w:hAnsi="Arial" w:cs="Arial"/>
        </w:rPr>
        <w:t xml:space="preserve"> possibly</w:t>
      </w:r>
      <w:r w:rsidRPr="00801F94">
        <w:rPr>
          <w:rFonts w:ascii="Arial" w:hAnsi="Arial" w:cs="Arial"/>
        </w:rPr>
        <w:t xml:space="preserve"> through multiple mechanisms, including: </w:t>
      </w:r>
      <w:r w:rsidR="000C5E5D" w:rsidRPr="00801F94">
        <w:rPr>
          <w:rFonts w:ascii="Arial" w:hAnsi="Arial" w:cs="Arial"/>
        </w:rPr>
        <w:t>h</w:t>
      </w:r>
      <w:r w:rsidRPr="00801F94">
        <w:rPr>
          <w:rFonts w:ascii="Arial" w:hAnsi="Arial" w:cs="Arial"/>
        </w:rPr>
        <w:t>ydrogen bonding between –OH (ARH) and –NH</w:t>
      </w:r>
      <w:r w:rsidRPr="00801F94">
        <w:rPr>
          <w:rFonts w:ascii="Cambria Math" w:hAnsi="Cambria Math" w:cs="Cambria Math"/>
        </w:rPr>
        <w:t>₂</w:t>
      </w:r>
      <w:r w:rsidRPr="00801F94">
        <w:rPr>
          <w:rFonts w:ascii="Arial" w:hAnsi="Arial" w:cs="Arial"/>
        </w:rPr>
        <w:t xml:space="preserve">/–COOH (ampicillin), </w:t>
      </w:r>
      <w:r w:rsidR="000C5E5D" w:rsidRPr="00801F94">
        <w:rPr>
          <w:rFonts w:ascii="Arial" w:hAnsi="Arial" w:cs="Arial"/>
        </w:rPr>
        <w:t>e</w:t>
      </w:r>
      <w:r w:rsidRPr="00801F94">
        <w:rPr>
          <w:rFonts w:ascii="Arial" w:hAnsi="Arial" w:cs="Arial"/>
        </w:rPr>
        <w:t xml:space="preserve">lectrostatic interactions between charged surface sites and ionized ampicillin species, π–π interactions between aromatic rings and, surface complexation involving silica groups. These findings strongly support the enhanced adsorption performance of ARH compared to RH, as acid treatment increases the availability of active sites and facilitates stronger </w:t>
      </w:r>
      <w:proofErr w:type="spellStart"/>
      <w:r w:rsidRPr="00801F94">
        <w:rPr>
          <w:rFonts w:ascii="Arial" w:hAnsi="Arial" w:cs="Arial"/>
        </w:rPr>
        <w:t>adsorbate</w:t>
      </w:r>
      <w:proofErr w:type="spellEnd"/>
      <w:r w:rsidRPr="00801F94">
        <w:rPr>
          <w:rFonts w:ascii="Arial" w:hAnsi="Arial" w:cs="Arial"/>
        </w:rPr>
        <w:t>–adsorbent interactions.</w:t>
      </w:r>
    </w:p>
    <w:p w:rsidR="007B3955" w:rsidRPr="00801F94" w:rsidRDefault="007B3955" w:rsidP="007B3955">
      <w:pPr>
        <w:rPr>
          <w:rFonts w:ascii="Arial" w:hAnsi="Arial" w:cs="Arial"/>
        </w:rPr>
      </w:pPr>
    </w:p>
    <w:p w:rsidR="00C5156C" w:rsidRPr="00801F94" w:rsidRDefault="00C5156C" w:rsidP="00F4243E">
      <w:pPr>
        <w:rPr>
          <w:rFonts w:ascii="Arial" w:hAnsi="Arial" w:cs="Arial"/>
          <w:noProof/>
        </w:rPr>
      </w:pPr>
    </w:p>
    <w:p w:rsidR="00C5156C" w:rsidRPr="00801F94" w:rsidRDefault="00C5156C" w:rsidP="00C5156C">
      <w:pPr>
        <w:pStyle w:val="Body"/>
        <w:spacing w:after="0"/>
        <w:rPr>
          <w:rFonts w:ascii="Arial" w:hAnsi="Arial" w:cs="Arial"/>
          <w:b/>
          <w:bCs/>
        </w:rPr>
      </w:pPr>
      <w:r w:rsidRPr="00801F94">
        <w:rPr>
          <w:rFonts w:ascii="Arial" w:hAnsi="Arial" w:cs="Arial"/>
          <w:noProof/>
        </w:rPr>
        <w:lastRenderedPageBreak/>
        <w:drawing>
          <wp:anchor distT="0" distB="0" distL="114300" distR="114300" simplePos="0" relativeHeight="251658240" behindDoc="0" locked="0" layoutInCell="1" allowOverlap="1" wp14:anchorId="6A746073">
            <wp:simplePos x="0" y="0"/>
            <wp:positionH relativeFrom="margin">
              <wp:align>left</wp:align>
            </wp:positionH>
            <wp:positionV relativeFrom="paragraph">
              <wp:posOffset>406</wp:posOffset>
            </wp:positionV>
            <wp:extent cx="4641850" cy="2282190"/>
            <wp:effectExtent l="0" t="0" r="635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532" t="9279" r="24184"/>
                    <a:stretch>
                      <a:fillRect/>
                    </a:stretch>
                  </pic:blipFill>
                  <pic:spPr bwMode="auto">
                    <a:xfrm>
                      <a:off x="0" y="0"/>
                      <a:ext cx="4663833" cy="2293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r w:rsidRPr="00801F94">
        <w:rPr>
          <w:rFonts w:ascii="Arial" w:hAnsi="Arial" w:cs="Arial"/>
          <w:noProof/>
        </w:rPr>
        <w:t xml:space="preserve"> </w:t>
      </w:r>
      <w:r w:rsidRPr="00801F94">
        <w:rPr>
          <w:rFonts w:ascii="Arial" w:hAnsi="Arial" w:cs="Arial"/>
          <w:b/>
          <w:bCs/>
        </w:rPr>
        <w:t xml:space="preserve">  Fig. 2a: FTIR spectra of Raw Rice Husk</w:t>
      </w:r>
    </w:p>
    <w:p w:rsidR="00C5156C" w:rsidRPr="00801F94" w:rsidRDefault="00C5156C" w:rsidP="00F4243E">
      <w:pPr>
        <w:rPr>
          <w:rFonts w:ascii="Arial" w:hAnsi="Arial" w:cs="Arial"/>
          <w:noProof/>
        </w:rPr>
      </w:pPr>
    </w:p>
    <w:p w:rsidR="00F4243E" w:rsidRPr="00801F94" w:rsidRDefault="00F4243E" w:rsidP="00F4243E">
      <w:pPr>
        <w:rPr>
          <w:rFonts w:ascii="Arial" w:hAnsi="Arial" w:cs="Arial"/>
          <w:noProof/>
        </w:rPr>
      </w:pPr>
      <w:r w:rsidRPr="00801F94">
        <w:rPr>
          <w:rFonts w:ascii="Arial" w:hAnsi="Arial" w:cs="Arial"/>
          <w:noProof/>
        </w:rPr>
        <w:drawing>
          <wp:inline distT="0" distB="0" distL="0" distR="0" wp14:anchorId="5E4D1533" wp14:editId="4E3339BE">
            <wp:extent cx="4630166" cy="2274393"/>
            <wp:effectExtent l="0" t="0" r="0" b="0"/>
            <wp:docPr id="20532355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4762" r="21660"/>
                    <a:stretch>
                      <a:fillRect/>
                    </a:stretch>
                  </pic:blipFill>
                  <pic:spPr bwMode="auto">
                    <a:xfrm>
                      <a:off x="0" y="0"/>
                      <a:ext cx="4672266" cy="2295073"/>
                    </a:xfrm>
                    <a:prstGeom prst="rect">
                      <a:avLst/>
                    </a:prstGeom>
                    <a:noFill/>
                    <a:ln>
                      <a:noFill/>
                    </a:ln>
                    <a:extLst>
                      <a:ext uri="{53640926-AAD7-44D8-BBD7-CCE9431645EC}">
                        <a14:shadowObscured xmlns:a14="http://schemas.microsoft.com/office/drawing/2010/main"/>
                      </a:ext>
                    </a:extLst>
                  </pic:spPr>
                </pic:pic>
              </a:graphicData>
            </a:graphic>
          </wp:inline>
        </w:drawing>
      </w:r>
    </w:p>
    <w:p w:rsidR="00C5156C" w:rsidRPr="00801F94" w:rsidRDefault="00C5156C" w:rsidP="00C5156C">
      <w:pPr>
        <w:pStyle w:val="Body"/>
        <w:spacing w:after="0"/>
        <w:rPr>
          <w:rFonts w:ascii="Arial" w:hAnsi="Arial" w:cs="Arial"/>
          <w:b/>
          <w:bCs/>
        </w:rPr>
      </w:pPr>
      <w:r w:rsidRPr="00801F94">
        <w:rPr>
          <w:rFonts w:ascii="Arial" w:hAnsi="Arial" w:cs="Arial"/>
          <w:b/>
          <w:bCs/>
        </w:rPr>
        <w:t xml:space="preserve">  Fig. 2</w:t>
      </w:r>
      <w:r w:rsidR="00F2172F" w:rsidRPr="00801F94">
        <w:rPr>
          <w:rFonts w:ascii="Arial" w:hAnsi="Arial" w:cs="Arial"/>
          <w:b/>
          <w:bCs/>
        </w:rPr>
        <w:t>b</w:t>
      </w:r>
      <w:r w:rsidRPr="00801F94">
        <w:rPr>
          <w:rFonts w:ascii="Arial" w:hAnsi="Arial" w:cs="Arial"/>
          <w:b/>
          <w:bCs/>
        </w:rPr>
        <w:t>: FTIR spectra of ARH before adsorption</w:t>
      </w:r>
    </w:p>
    <w:p w:rsidR="00C5156C" w:rsidRPr="00801F94" w:rsidRDefault="00C5156C" w:rsidP="00F4243E">
      <w:pPr>
        <w:rPr>
          <w:rFonts w:ascii="Arial" w:hAnsi="Arial" w:cs="Arial"/>
          <w:b/>
          <w:bCs/>
        </w:rPr>
      </w:pPr>
    </w:p>
    <w:p w:rsidR="00F4243E" w:rsidRPr="00801F94" w:rsidRDefault="00F4243E" w:rsidP="00F4243E">
      <w:pPr>
        <w:rPr>
          <w:rFonts w:ascii="Arial" w:hAnsi="Arial" w:cs="Arial"/>
          <w:b/>
          <w:bCs/>
        </w:rPr>
      </w:pPr>
    </w:p>
    <w:p w:rsidR="00F4243E" w:rsidRPr="00801F94" w:rsidRDefault="00F4243E" w:rsidP="00F4243E">
      <w:pPr>
        <w:rPr>
          <w:rFonts w:ascii="Arial" w:hAnsi="Arial" w:cs="Arial"/>
        </w:rPr>
      </w:pPr>
      <w:r w:rsidRPr="00801F94">
        <w:rPr>
          <w:rFonts w:ascii="Arial" w:hAnsi="Arial" w:cs="Arial"/>
          <w:noProof/>
        </w:rPr>
        <w:drawing>
          <wp:inline distT="0" distB="0" distL="0" distR="0" wp14:anchorId="1E3AFD4D" wp14:editId="58142D31">
            <wp:extent cx="4640852" cy="1967789"/>
            <wp:effectExtent l="0" t="0" r="7620" b="0"/>
            <wp:docPr id="44156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9"/>
                    <a:srcRect l="6310" r="21778"/>
                    <a:stretch>
                      <a:fillRect/>
                    </a:stretch>
                  </pic:blipFill>
                  <pic:spPr bwMode="auto">
                    <a:xfrm>
                      <a:off x="0" y="0"/>
                      <a:ext cx="4670876" cy="1980520"/>
                    </a:xfrm>
                    <a:prstGeom prst="rect">
                      <a:avLst/>
                    </a:prstGeom>
                    <a:ln>
                      <a:noFill/>
                    </a:ln>
                    <a:extLst>
                      <a:ext uri="{53640926-AAD7-44D8-BBD7-CCE9431645EC}">
                        <a14:shadowObscured xmlns:a14="http://schemas.microsoft.com/office/drawing/2010/main"/>
                      </a:ext>
                    </a:extLst>
                  </pic:spPr>
                </pic:pic>
              </a:graphicData>
            </a:graphic>
          </wp:inline>
        </w:drawing>
      </w:r>
    </w:p>
    <w:p w:rsidR="000822BA" w:rsidRPr="00801F94" w:rsidRDefault="00F4243E" w:rsidP="000822BA">
      <w:pPr>
        <w:pStyle w:val="Body"/>
        <w:spacing w:after="0"/>
        <w:rPr>
          <w:rFonts w:ascii="Arial" w:hAnsi="Arial" w:cs="Arial"/>
          <w:b/>
          <w:bCs/>
        </w:rPr>
      </w:pPr>
      <w:r w:rsidRPr="00801F94">
        <w:rPr>
          <w:rFonts w:ascii="Arial" w:hAnsi="Arial" w:cs="Arial"/>
          <w:b/>
          <w:bCs/>
        </w:rPr>
        <w:t xml:space="preserve">  Fig. </w:t>
      </w:r>
      <w:r w:rsidR="00F2172F" w:rsidRPr="00801F94">
        <w:rPr>
          <w:rFonts w:ascii="Arial" w:hAnsi="Arial" w:cs="Arial"/>
          <w:b/>
          <w:bCs/>
        </w:rPr>
        <w:t>c</w:t>
      </w:r>
      <w:r w:rsidRPr="00801F94">
        <w:rPr>
          <w:rFonts w:ascii="Arial" w:hAnsi="Arial" w:cs="Arial"/>
          <w:b/>
          <w:bCs/>
        </w:rPr>
        <w:t>2: FTIR spectra of</w:t>
      </w:r>
      <w:r w:rsidR="000822BA" w:rsidRPr="00801F94">
        <w:rPr>
          <w:rFonts w:ascii="Arial" w:hAnsi="Arial" w:cs="Arial"/>
          <w:b/>
          <w:bCs/>
        </w:rPr>
        <w:t xml:space="preserve"> ARH after adsorption</w:t>
      </w:r>
    </w:p>
    <w:p w:rsidR="00F2172F" w:rsidRPr="00801F94" w:rsidRDefault="00F2172F" w:rsidP="000822BA">
      <w:pPr>
        <w:pStyle w:val="Body"/>
        <w:spacing w:after="0"/>
        <w:rPr>
          <w:rFonts w:ascii="Arial" w:hAnsi="Arial" w:cs="Arial"/>
          <w:b/>
          <w:bCs/>
        </w:rPr>
      </w:pPr>
    </w:p>
    <w:p w:rsidR="00F2172F" w:rsidRPr="00801F94" w:rsidRDefault="00F2172F" w:rsidP="000822BA">
      <w:pPr>
        <w:pStyle w:val="Body"/>
        <w:spacing w:after="0"/>
        <w:rPr>
          <w:rFonts w:ascii="Arial" w:hAnsi="Arial" w:cs="Arial"/>
          <w:b/>
          <w:bCs/>
        </w:rPr>
      </w:pPr>
    </w:p>
    <w:p w:rsidR="00F2172F" w:rsidRPr="00801F94" w:rsidRDefault="00F2172F" w:rsidP="000822BA">
      <w:pPr>
        <w:pStyle w:val="Body"/>
        <w:spacing w:after="0"/>
        <w:rPr>
          <w:rFonts w:ascii="Arial" w:hAnsi="Arial" w:cs="Arial"/>
          <w:b/>
          <w:bCs/>
        </w:rPr>
      </w:pPr>
    </w:p>
    <w:p w:rsidR="00F2172F" w:rsidRPr="00801F94" w:rsidRDefault="00F2172F" w:rsidP="000822BA">
      <w:pPr>
        <w:pStyle w:val="Body"/>
        <w:spacing w:after="0"/>
        <w:rPr>
          <w:rFonts w:ascii="Arial" w:hAnsi="Arial" w:cs="Arial"/>
          <w:b/>
          <w:bCs/>
        </w:rPr>
      </w:pPr>
    </w:p>
    <w:p w:rsidR="000822BA" w:rsidRPr="00801F94" w:rsidRDefault="000822BA" w:rsidP="000822BA">
      <w:pPr>
        <w:pStyle w:val="Body"/>
        <w:spacing w:after="0"/>
        <w:rPr>
          <w:rFonts w:ascii="Arial" w:hAnsi="Arial" w:cs="Arial"/>
        </w:rPr>
      </w:pPr>
      <w:r w:rsidRPr="00801F94">
        <w:rPr>
          <w:rFonts w:ascii="Arial" w:hAnsi="Arial" w:cs="Arial"/>
        </w:rPr>
        <w:t>.</w:t>
      </w:r>
    </w:p>
    <w:p w:rsidR="0053350D" w:rsidRPr="00801F94" w:rsidRDefault="0053350D" w:rsidP="000822BA">
      <w:pPr>
        <w:pStyle w:val="Body"/>
        <w:spacing w:after="0"/>
        <w:rPr>
          <w:rFonts w:ascii="Arial" w:hAnsi="Arial" w:cs="Arial"/>
          <w:b/>
          <w:bCs/>
        </w:rPr>
      </w:pPr>
      <w:r w:rsidRPr="00801F94">
        <w:rPr>
          <w:rFonts w:ascii="Arial" w:hAnsi="Arial" w:cs="Arial"/>
          <w:b/>
          <w:bCs/>
        </w:rPr>
        <w:lastRenderedPageBreak/>
        <w:t>Table 2: FTIR Peak Assignments for RH, ARH, and ARH–AMP</w:t>
      </w:r>
    </w:p>
    <w:tbl>
      <w:tblPr>
        <w:tblStyle w:val="ListTable6Colorful"/>
        <w:tblW w:w="10253" w:type="dxa"/>
        <w:shd w:val="clear" w:color="auto" w:fill="FFFFFF" w:themeFill="background1"/>
        <w:tblLook w:val="04A0" w:firstRow="1" w:lastRow="0" w:firstColumn="1" w:lastColumn="0" w:noHBand="0" w:noVBand="1"/>
      </w:tblPr>
      <w:tblGrid>
        <w:gridCol w:w="1560"/>
        <w:gridCol w:w="1320"/>
        <w:gridCol w:w="1831"/>
        <w:gridCol w:w="1123"/>
        <w:gridCol w:w="1717"/>
        <w:gridCol w:w="951"/>
        <w:gridCol w:w="1751"/>
      </w:tblGrid>
      <w:tr w:rsidR="0053350D" w:rsidRPr="00801F94" w:rsidTr="0053350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Wavenumber (cm</w:t>
            </w:r>
            <w:r w:rsidRPr="00801F94">
              <w:rPr>
                <w:rFonts w:ascii="Cambria Math" w:hAnsi="Cambria Math" w:cs="Cambria Math"/>
              </w:rPr>
              <w:t>⁻</w:t>
            </w:r>
            <w:r w:rsidRPr="00801F94">
              <w:rPr>
                <w:rFonts w:ascii="Arial" w:hAnsi="Arial" w:cs="Arial"/>
              </w:rPr>
              <w:t>¹)</w:t>
            </w:r>
          </w:p>
        </w:tc>
        <w:tc>
          <w:tcPr>
            <w:tcW w:w="0" w:type="auto"/>
            <w:vMerge w:val="restart"/>
            <w:shd w:val="clear" w:color="auto" w:fill="FFFFFF" w:themeFill="background1"/>
            <w:hideMark/>
          </w:tcPr>
          <w:p w:rsidR="0053350D" w:rsidRPr="00801F94" w:rsidRDefault="0053350D" w:rsidP="001A2925">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Functional Group</w:t>
            </w:r>
          </w:p>
        </w:tc>
        <w:tc>
          <w:tcPr>
            <w:tcW w:w="0" w:type="auto"/>
            <w:vMerge w:val="restart"/>
            <w:shd w:val="clear" w:color="auto" w:fill="FFFFFF" w:themeFill="background1"/>
          </w:tcPr>
          <w:p w:rsidR="0053350D" w:rsidRPr="00801F94" w:rsidRDefault="0053350D" w:rsidP="001A2925">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Assignment</w:t>
            </w:r>
          </w:p>
        </w:tc>
        <w:tc>
          <w:tcPr>
            <w:tcW w:w="0" w:type="auto"/>
            <w:gridSpan w:val="3"/>
            <w:tcBorders>
              <w:bottom w:val="nil"/>
            </w:tcBorders>
            <w:shd w:val="clear" w:color="auto" w:fill="FFFFFF" w:themeFill="background1"/>
          </w:tcPr>
          <w:p w:rsidR="0053350D" w:rsidRPr="00801F94" w:rsidRDefault="0053350D" w:rsidP="001A2925">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Observation</w:t>
            </w:r>
          </w:p>
        </w:tc>
        <w:tc>
          <w:tcPr>
            <w:tcW w:w="0" w:type="auto"/>
            <w:vMerge w:val="restart"/>
            <w:shd w:val="clear" w:color="auto" w:fill="FFFFFF" w:themeFill="background1"/>
            <w:hideMark/>
          </w:tcPr>
          <w:p w:rsidR="0053350D" w:rsidRPr="00801F94" w:rsidRDefault="0053350D" w:rsidP="001A2925">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Interpretation</w:t>
            </w:r>
          </w:p>
        </w:tc>
      </w:tr>
      <w:tr w:rsidR="0053350D" w:rsidRPr="00801F94" w:rsidTr="0053350D">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rsidR="0053350D" w:rsidRPr="00801F94" w:rsidRDefault="0053350D" w:rsidP="001A2925">
            <w:pPr>
              <w:rPr>
                <w:rFonts w:ascii="Arial" w:hAnsi="Arial" w:cs="Arial"/>
                <w:b w:val="0"/>
                <w:bCs w:val="0"/>
              </w:rPr>
            </w:pPr>
          </w:p>
        </w:tc>
        <w:tc>
          <w:tcPr>
            <w:tcW w:w="0" w:type="auto"/>
            <w:vMerge/>
            <w:tcBorders>
              <w:bottom w:val="single" w:sz="4" w:space="0" w:color="auto"/>
            </w:tcBorders>
            <w:shd w:val="clear" w:color="auto" w:fill="FFFFFF" w:themeFill="background1"/>
          </w:tcPr>
          <w:p w:rsidR="0053350D" w:rsidRPr="00801F94" w:rsidRDefault="0053350D" w:rsidP="001A2925">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0" w:type="auto"/>
            <w:vMerge/>
            <w:tcBorders>
              <w:bottom w:val="single" w:sz="4" w:space="0" w:color="auto"/>
            </w:tcBorders>
            <w:shd w:val="clear" w:color="auto" w:fill="FFFFFF" w:themeFill="background1"/>
          </w:tcPr>
          <w:p w:rsidR="0053350D" w:rsidRPr="00801F94" w:rsidRDefault="0053350D" w:rsidP="001A2925">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0" w:type="auto"/>
            <w:tcBorders>
              <w:top w:val="nil"/>
              <w:bottom w:val="single" w:sz="4" w:space="0" w:color="auto"/>
            </w:tcBorders>
            <w:shd w:val="clear" w:color="auto" w:fill="FFFFFF" w:themeFill="background1"/>
          </w:tcPr>
          <w:p w:rsidR="0053350D" w:rsidRPr="00801F94" w:rsidRDefault="0053350D" w:rsidP="001A2925">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01F94">
              <w:rPr>
                <w:rFonts w:ascii="Arial" w:hAnsi="Arial" w:cs="Arial"/>
                <w:b/>
                <w:bCs/>
              </w:rPr>
              <w:t>RH</w:t>
            </w:r>
          </w:p>
        </w:tc>
        <w:tc>
          <w:tcPr>
            <w:tcW w:w="0" w:type="auto"/>
            <w:tcBorders>
              <w:top w:val="nil"/>
              <w:bottom w:val="single" w:sz="4" w:space="0" w:color="auto"/>
            </w:tcBorders>
            <w:shd w:val="clear" w:color="auto" w:fill="FFFFFF" w:themeFill="background1"/>
          </w:tcPr>
          <w:p w:rsidR="0053350D" w:rsidRPr="00801F94" w:rsidRDefault="0053350D" w:rsidP="001A2925">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01F94">
              <w:rPr>
                <w:rFonts w:ascii="Arial" w:hAnsi="Arial" w:cs="Arial"/>
                <w:b/>
                <w:bCs/>
              </w:rPr>
              <w:t>ARH</w:t>
            </w:r>
          </w:p>
        </w:tc>
        <w:tc>
          <w:tcPr>
            <w:tcW w:w="0" w:type="auto"/>
            <w:tcBorders>
              <w:top w:val="nil"/>
              <w:bottom w:val="single" w:sz="4" w:space="0" w:color="auto"/>
            </w:tcBorders>
            <w:shd w:val="clear" w:color="auto" w:fill="FFFFFF" w:themeFill="background1"/>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01F94">
              <w:rPr>
                <w:rFonts w:ascii="Arial" w:hAnsi="Arial" w:cs="Arial"/>
                <w:b/>
                <w:bCs/>
              </w:rPr>
              <w:t>ARH–AMP</w:t>
            </w:r>
          </w:p>
        </w:tc>
        <w:tc>
          <w:tcPr>
            <w:tcW w:w="0" w:type="auto"/>
            <w:vMerge/>
            <w:tcBorders>
              <w:bottom w:val="single" w:sz="4" w:space="0" w:color="auto"/>
            </w:tcBorders>
            <w:shd w:val="clear" w:color="auto" w:fill="FFFFFF" w:themeFill="background1"/>
          </w:tcPr>
          <w:p w:rsidR="0053350D" w:rsidRPr="00801F94" w:rsidRDefault="0053350D" w:rsidP="001A2925">
            <w:pP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53350D" w:rsidRPr="00801F94" w:rsidTr="0053350D">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3600–3200</w:t>
            </w:r>
          </w:p>
        </w:tc>
        <w:tc>
          <w:tcPr>
            <w:tcW w:w="0" w:type="auto"/>
            <w:tcBorders>
              <w:top w:val="single" w:sz="4" w:space="0" w:color="auto"/>
              <w:bottom w:val="nil"/>
            </w:tcBorders>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–OH stretching</w:t>
            </w:r>
          </w:p>
        </w:tc>
        <w:tc>
          <w:tcPr>
            <w:tcW w:w="0" w:type="auto"/>
            <w:tcBorders>
              <w:top w:val="single" w:sz="4" w:space="0" w:color="auto"/>
              <w:bottom w:val="nil"/>
            </w:tcBorders>
            <w:shd w:val="clear" w:color="auto" w:fill="FFFFFF" w:themeFill="background1"/>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Hydroxyl (cellulose, lignin, water)</w:t>
            </w:r>
          </w:p>
        </w:tc>
        <w:tc>
          <w:tcPr>
            <w:tcW w:w="0" w:type="auto"/>
            <w:tcBorders>
              <w:top w:val="single" w:sz="4" w:space="0" w:color="auto"/>
              <w:bottom w:val="nil"/>
            </w:tcBorders>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Broad, intense</w:t>
            </w:r>
          </w:p>
        </w:tc>
        <w:tc>
          <w:tcPr>
            <w:tcW w:w="0" w:type="auto"/>
            <w:tcBorders>
              <w:top w:val="single" w:sz="4" w:space="0" w:color="auto"/>
              <w:bottom w:val="nil"/>
            </w:tcBorders>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Reduced/shifted</w:t>
            </w:r>
          </w:p>
        </w:tc>
        <w:tc>
          <w:tcPr>
            <w:tcW w:w="0" w:type="auto"/>
            <w:tcBorders>
              <w:top w:val="single" w:sz="4" w:space="0" w:color="auto"/>
              <w:bottom w:val="nil"/>
            </w:tcBorders>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Further shifted</w:t>
            </w:r>
          </w:p>
        </w:tc>
        <w:tc>
          <w:tcPr>
            <w:tcW w:w="0" w:type="auto"/>
            <w:tcBorders>
              <w:top w:val="single" w:sz="4" w:space="0" w:color="auto"/>
              <w:bottom w:val="nil"/>
            </w:tcBorders>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H-bonding with ampicillin</w:t>
            </w:r>
          </w:p>
        </w:tc>
      </w:tr>
      <w:tr w:rsidR="0053350D" w:rsidRPr="00801F94"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2920–2850</w:t>
            </w:r>
          </w:p>
        </w:tc>
        <w:tc>
          <w:tcPr>
            <w:tcW w:w="0" w:type="auto"/>
            <w:tcBorders>
              <w:top w:val="nil"/>
            </w:tcBorders>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C–H stretching</w:t>
            </w:r>
          </w:p>
        </w:tc>
        <w:tc>
          <w:tcPr>
            <w:tcW w:w="0" w:type="auto"/>
            <w:tcBorders>
              <w:top w:val="nil"/>
            </w:tcBorders>
            <w:shd w:val="clear" w:color="auto" w:fill="FFFFFF" w:themeFill="background1"/>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Aliphatic groups</w:t>
            </w:r>
          </w:p>
        </w:tc>
        <w:tc>
          <w:tcPr>
            <w:tcW w:w="0" w:type="auto"/>
            <w:tcBorders>
              <w:top w:val="nil"/>
            </w:tcBorders>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Present</w:t>
            </w:r>
          </w:p>
        </w:tc>
        <w:tc>
          <w:tcPr>
            <w:tcW w:w="0" w:type="auto"/>
            <w:tcBorders>
              <w:top w:val="nil"/>
            </w:tcBorders>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Reduced</w:t>
            </w:r>
          </w:p>
        </w:tc>
        <w:tc>
          <w:tcPr>
            <w:tcW w:w="0" w:type="auto"/>
            <w:tcBorders>
              <w:top w:val="nil"/>
            </w:tcBorders>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Slight shift</w:t>
            </w:r>
          </w:p>
        </w:tc>
        <w:tc>
          <w:tcPr>
            <w:tcW w:w="0" w:type="auto"/>
            <w:tcBorders>
              <w:top w:val="nil"/>
            </w:tcBorders>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Organic removal + interaction</w:t>
            </w:r>
          </w:p>
        </w:tc>
      </w:tr>
      <w:tr w:rsidR="0053350D" w:rsidRPr="00801F94" w:rsidTr="0053350D">
        <w:trPr>
          <w:trHeight w:hRule="exact" w:val="102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~1820</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C=O (ester)</w:t>
            </w:r>
          </w:p>
        </w:tc>
        <w:tc>
          <w:tcPr>
            <w:tcW w:w="0" w:type="auto"/>
            <w:shd w:val="clear" w:color="auto" w:fill="FFFFFF" w:themeFill="background1"/>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Ester/anhydride</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Present</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Reduced</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Shifted</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Interaction with β-lactam/COOH</w:t>
            </w:r>
          </w:p>
        </w:tc>
      </w:tr>
      <w:tr w:rsidR="0053350D" w:rsidRPr="00801F94"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~1621</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C=O / H–O–H</w:t>
            </w:r>
          </w:p>
        </w:tc>
        <w:tc>
          <w:tcPr>
            <w:tcW w:w="0" w:type="auto"/>
            <w:shd w:val="clear" w:color="auto" w:fill="FFFFFF" w:themeFill="background1"/>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Carbonyl / adsorbed water</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Moderate</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Reduced</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Shifted</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801F94">
              <w:rPr>
                <w:rFonts w:ascii="Arial" w:hAnsi="Arial" w:cs="Arial"/>
              </w:rPr>
              <w:t>Adsorbate</w:t>
            </w:r>
            <w:proofErr w:type="spellEnd"/>
            <w:r w:rsidRPr="00801F94">
              <w:rPr>
                <w:rFonts w:ascii="Arial" w:hAnsi="Arial" w:cs="Arial"/>
              </w:rPr>
              <w:t xml:space="preserve"> binding</w:t>
            </w:r>
          </w:p>
        </w:tc>
      </w:tr>
      <w:tr w:rsidR="0053350D" w:rsidRPr="00801F94" w:rsidTr="0053350D">
        <w:trPr>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~1436</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Aromatic C=C</w:t>
            </w:r>
          </w:p>
        </w:tc>
        <w:tc>
          <w:tcPr>
            <w:tcW w:w="0" w:type="auto"/>
            <w:shd w:val="clear" w:color="auto" w:fill="FFFFFF" w:themeFill="background1"/>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Aromatic (lignin)</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Strong</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Reduced</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Shifted</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π–π interaction with ampicillin ring</w:t>
            </w:r>
          </w:p>
        </w:tc>
      </w:tr>
      <w:tr w:rsidR="0053350D" w:rsidRPr="00801F94"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~1319</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C–H bending</w:t>
            </w:r>
          </w:p>
        </w:tc>
        <w:tc>
          <w:tcPr>
            <w:tcW w:w="0" w:type="auto"/>
            <w:shd w:val="clear" w:color="auto" w:fill="FFFFFF" w:themeFill="background1"/>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Phenolic/lignin</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Present</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Reduced</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Slight shift</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Structural modification</w:t>
            </w:r>
          </w:p>
        </w:tc>
      </w:tr>
      <w:tr w:rsidR="0053350D" w:rsidRPr="00801F94" w:rsidTr="0053350D">
        <w:trPr>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1100–1000</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Si–O–Si</w:t>
            </w:r>
          </w:p>
        </w:tc>
        <w:tc>
          <w:tcPr>
            <w:tcW w:w="0" w:type="auto"/>
            <w:shd w:val="clear" w:color="auto" w:fill="FFFFFF" w:themeFill="background1"/>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Silica network</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Strong</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Stronger/sharper</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Slight shift</w:t>
            </w:r>
          </w:p>
        </w:tc>
        <w:tc>
          <w:tcPr>
            <w:tcW w:w="0" w:type="auto"/>
            <w:shd w:val="clear" w:color="auto" w:fill="FFFFFF" w:themeFill="background1"/>
            <w:hideMark/>
          </w:tcPr>
          <w:p w:rsidR="0053350D" w:rsidRPr="00801F94" w:rsidRDefault="0053350D" w:rsidP="001A2925">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Surface interaction</w:t>
            </w:r>
          </w:p>
        </w:tc>
      </w:tr>
      <w:tr w:rsidR="0053350D" w:rsidRPr="00801F94" w:rsidTr="0053350D">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53350D" w:rsidRPr="00801F94" w:rsidRDefault="0053350D" w:rsidP="001A2925">
            <w:pPr>
              <w:spacing w:after="160" w:line="278" w:lineRule="auto"/>
              <w:rPr>
                <w:rFonts w:ascii="Arial" w:hAnsi="Arial" w:cs="Arial"/>
              </w:rPr>
            </w:pPr>
            <w:r w:rsidRPr="00801F94">
              <w:rPr>
                <w:rFonts w:ascii="Arial" w:hAnsi="Arial" w:cs="Arial"/>
              </w:rPr>
              <w:t>~784</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Si–O</w:t>
            </w:r>
          </w:p>
        </w:tc>
        <w:tc>
          <w:tcPr>
            <w:tcW w:w="0" w:type="auto"/>
            <w:shd w:val="clear" w:color="auto" w:fill="FFFFFF" w:themeFill="background1"/>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Silica symmetric vibration</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Moderate</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Enhanced</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Slight shift</w:t>
            </w:r>
          </w:p>
        </w:tc>
        <w:tc>
          <w:tcPr>
            <w:tcW w:w="0" w:type="auto"/>
            <w:shd w:val="clear" w:color="auto" w:fill="FFFFFF" w:themeFill="background1"/>
            <w:hideMark/>
          </w:tcPr>
          <w:p w:rsidR="0053350D" w:rsidRPr="00801F94" w:rsidRDefault="0053350D" w:rsidP="001A2925">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Silica involvement</w:t>
            </w:r>
          </w:p>
        </w:tc>
      </w:tr>
    </w:tbl>
    <w:p w:rsidR="0053350D" w:rsidRPr="00801F94" w:rsidRDefault="0053350D" w:rsidP="000822BA">
      <w:pPr>
        <w:pStyle w:val="Body"/>
        <w:spacing w:after="0"/>
        <w:rPr>
          <w:rFonts w:ascii="Arial" w:hAnsi="Arial" w:cs="Arial"/>
        </w:rPr>
      </w:pPr>
    </w:p>
    <w:p w:rsidR="000822BA" w:rsidRPr="00801F94" w:rsidRDefault="000822BA" w:rsidP="000822BA">
      <w:pPr>
        <w:pStyle w:val="Body"/>
        <w:spacing w:after="0"/>
        <w:rPr>
          <w:rFonts w:ascii="Arial" w:hAnsi="Arial" w:cs="Arial"/>
          <w:b/>
          <w:bCs/>
          <w:u w:val="single"/>
        </w:rPr>
      </w:pPr>
    </w:p>
    <w:p w:rsidR="00F4243E" w:rsidRPr="00801F94" w:rsidRDefault="00F4243E" w:rsidP="000822BA">
      <w:pPr>
        <w:pStyle w:val="Body"/>
        <w:spacing w:after="0"/>
        <w:rPr>
          <w:rFonts w:ascii="Arial" w:hAnsi="Arial" w:cs="Arial"/>
          <w:b/>
          <w:bCs/>
          <w:u w:val="single"/>
        </w:rPr>
      </w:pPr>
    </w:p>
    <w:p w:rsidR="00F4243E" w:rsidRPr="00801F94" w:rsidRDefault="00F4243E" w:rsidP="00F4243E">
      <w:pPr>
        <w:pStyle w:val="Body"/>
        <w:spacing w:after="0"/>
        <w:rPr>
          <w:rFonts w:ascii="Arial" w:hAnsi="Arial" w:cs="Arial"/>
          <w:b/>
          <w:bCs/>
          <w:u w:val="single"/>
        </w:rPr>
      </w:pPr>
    </w:p>
    <w:p w:rsidR="00F4243E" w:rsidRPr="00801F94" w:rsidRDefault="00F4243E" w:rsidP="00F4243E">
      <w:pPr>
        <w:pStyle w:val="Body"/>
        <w:spacing w:after="0"/>
        <w:rPr>
          <w:rFonts w:ascii="Arial" w:hAnsi="Arial" w:cs="Arial"/>
          <w:b/>
          <w:bCs/>
          <w:u w:val="single"/>
        </w:rPr>
      </w:pPr>
      <w:r w:rsidRPr="00801F94">
        <w:rPr>
          <w:rFonts w:ascii="Arial" w:hAnsi="Arial" w:cs="Arial"/>
          <w:b/>
          <w:bCs/>
          <w:u w:val="single"/>
        </w:rPr>
        <w:t>3.1.2 SEM analysis</w:t>
      </w:r>
    </w:p>
    <w:p w:rsidR="000E3F94" w:rsidRPr="00801F94" w:rsidRDefault="00F4243E" w:rsidP="00F4243E">
      <w:pPr>
        <w:pStyle w:val="Body"/>
        <w:spacing w:after="0"/>
        <w:rPr>
          <w:rFonts w:ascii="Arial" w:hAnsi="Arial" w:cs="Arial"/>
        </w:rPr>
      </w:pPr>
      <w:r w:rsidRPr="00801F94">
        <w:rPr>
          <w:rFonts w:ascii="Arial" w:hAnsi="Arial" w:cs="Arial"/>
        </w:rPr>
        <w:t xml:space="preserve">The SEM image of untreated rice husk (fig. 3) exhibits a relatively smooth and compact structure with limited porosity. Only sparse, shallow surface features such as faint ridges and minimal depressions </w:t>
      </w:r>
      <w:proofErr w:type="gramStart"/>
      <w:r w:rsidRPr="00801F94">
        <w:rPr>
          <w:rFonts w:ascii="Arial" w:hAnsi="Arial" w:cs="Arial"/>
        </w:rPr>
        <w:t>were  visible</w:t>
      </w:r>
      <w:proofErr w:type="gramEnd"/>
      <w:r w:rsidRPr="00801F94">
        <w:rPr>
          <w:rFonts w:ascii="Arial" w:hAnsi="Arial" w:cs="Arial"/>
        </w:rPr>
        <w:t>. The matrix appears consolidated, suggesting the presence of unaltered structural components including cellulose, hemicellulose, lignin, and mineral inclusions. This morphology reflects the inherent integrity of the raw biomass and indicates minimal accessibility for surface-mediated processes such as adsorption or catalytic interaction.</w:t>
      </w:r>
      <w:r w:rsidR="00F2172F" w:rsidRPr="00801F94">
        <w:rPr>
          <w:rFonts w:ascii="Arial" w:hAnsi="Arial" w:cs="Arial"/>
        </w:rPr>
        <w:t xml:space="preserve"> </w:t>
      </w:r>
      <w:r w:rsidRPr="00801F94">
        <w:rPr>
          <w:rFonts w:ascii="Arial" w:hAnsi="Arial" w:cs="Arial"/>
        </w:rPr>
        <w:t xml:space="preserve">In contrast, the acid-modified rice husk reveals a highly irregular and porous surface. The micrograph shows an extensive network of interconnected pores, ranging from micrometer to sub-micrometer scale, uniformly distributed across the sample. The surface is significantly roughened, featuring fragmented edges, deep valleys, and intricate protrusions—hallmarks of acid-induced etching and dissolution. </w:t>
      </w:r>
    </w:p>
    <w:p w:rsidR="00F4243E" w:rsidRPr="00801F94" w:rsidRDefault="000E3F94" w:rsidP="00F4243E">
      <w:pPr>
        <w:pStyle w:val="Body"/>
        <w:spacing w:after="0"/>
        <w:rPr>
          <w:rFonts w:ascii="Arial" w:hAnsi="Arial" w:cs="Arial"/>
        </w:rPr>
      </w:pPr>
      <w:r w:rsidRPr="00801F94">
        <w:rPr>
          <w:rFonts w:ascii="Arial" w:hAnsi="Arial" w:cs="Arial"/>
        </w:rPr>
        <w:t>The change in morphology in SEM images could indicate a significant alteration in the material's composition or arrangement</w:t>
      </w:r>
      <w:r w:rsidR="009C693E" w:rsidRPr="00801F94">
        <w:rPr>
          <w:rFonts w:ascii="Arial" w:hAnsi="Arial" w:cs="Arial"/>
        </w:rPr>
        <w:t xml:space="preserve"> (</w:t>
      </w:r>
      <w:proofErr w:type="spellStart"/>
      <w:r w:rsidR="009C693E" w:rsidRPr="00801F94">
        <w:rPr>
          <w:rFonts w:ascii="Arial" w:hAnsi="Arial" w:cs="Arial"/>
        </w:rPr>
        <w:t>Sivakumar</w:t>
      </w:r>
      <w:proofErr w:type="spellEnd"/>
      <w:r w:rsidR="009C693E" w:rsidRPr="00801F94">
        <w:rPr>
          <w:rFonts w:ascii="Arial" w:hAnsi="Arial" w:cs="Arial"/>
        </w:rPr>
        <w:t>, 2025)</w:t>
      </w:r>
      <w:r w:rsidRPr="00801F94">
        <w:rPr>
          <w:rFonts w:ascii="Arial" w:hAnsi="Arial" w:cs="Arial"/>
        </w:rPr>
        <w:t xml:space="preserve">. </w:t>
      </w:r>
      <w:r w:rsidR="00F4243E" w:rsidRPr="00801F94">
        <w:rPr>
          <w:rFonts w:ascii="Arial" w:hAnsi="Arial" w:cs="Arial"/>
        </w:rPr>
        <w:t>These morphological changes are attributed to the degradation and removal of amorphous constituents like hemicellulose, lignin, and soluble inorganic materials, thereby exposing a more resilient carbonaceous or silica-rich framework.</w:t>
      </w:r>
    </w:p>
    <w:p w:rsidR="00F4243E" w:rsidRPr="00801F94" w:rsidRDefault="00F4243E" w:rsidP="00F4243E">
      <w:pPr>
        <w:pStyle w:val="Body"/>
        <w:spacing w:after="0"/>
        <w:rPr>
          <w:rFonts w:ascii="Arial" w:hAnsi="Arial" w:cs="Arial"/>
        </w:rPr>
      </w:pPr>
      <w:r w:rsidRPr="00801F94">
        <w:rPr>
          <w:rFonts w:ascii="Arial" w:hAnsi="Arial" w:cs="Arial"/>
        </w:rPr>
        <w:t>The acid treatment induced dramatic structural reconfiguration of the rice husk, transitioning from a compact, low-porosity surface to one with high surface roughness and extensive pore formation. The transformation from a minimally porous material to one with high surface heterogeneity significantly enhances the functional attributes of the rice husk. The modified surface offers increased accessibility to target molecules, making it well-suited for applications that demand high specific surface area, such as pollutant adsorption, heterogeneous catalysis, and composite reinforcement. The successful surface activation suggests promising potential for environmental remediation and advanced material engineering</w:t>
      </w:r>
      <w:r w:rsidR="00F8019E" w:rsidRPr="00801F94">
        <w:rPr>
          <w:rFonts w:ascii="Arial" w:hAnsi="Arial" w:cs="Arial"/>
        </w:rPr>
        <w:t xml:space="preserve"> (Kumar et. al, 2025). </w:t>
      </w:r>
      <w:r w:rsidRPr="00801F94">
        <w:rPr>
          <w:rFonts w:ascii="Arial" w:hAnsi="Arial" w:cs="Arial"/>
        </w:rPr>
        <w:t xml:space="preserve"> </w:t>
      </w:r>
    </w:p>
    <w:p w:rsidR="00A45BE8" w:rsidRPr="00801F94" w:rsidRDefault="00A45BE8" w:rsidP="00F4243E">
      <w:pPr>
        <w:pStyle w:val="Body"/>
        <w:spacing w:after="0"/>
        <w:rPr>
          <w:rFonts w:ascii="Arial" w:hAnsi="Arial" w:cs="Arial"/>
        </w:rPr>
      </w:pPr>
    </w:p>
    <w:p w:rsidR="001C7F8D" w:rsidRPr="00801F94" w:rsidRDefault="001C7F8D" w:rsidP="00F4243E">
      <w:pPr>
        <w:pStyle w:val="Body"/>
        <w:spacing w:after="0"/>
        <w:rPr>
          <w:rFonts w:ascii="Arial" w:hAnsi="Arial" w:cs="Arial"/>
          <w:lang w:val="en-GB"/>
        </w:rPr>
      </w:pPr>
    </w:p>
    <w:p w:rsidR="00F4243E" w:rsidRPr="00801F94" w:rsidRDefault="00F4243E" w:rsidP="00A45BE8">
      <w:pPr>
        <w:pStyle w:val="Body"/>
        <w:spacing w:after="0"/>
        <w:rPr>
          <w:rFonts w:ascii="Arial" w:hAnsi="Arial" w:cs="Arial"/>
        </w:rPr>
        <w:sectPr w:rsidR="00F4243E" w:rsidRPr="00801F94" w:rsidSect="00BB3AFB">
          <w:headerReference w:type="even" r:id="rId20"/>
          <w:headerReference w:type="default" r:id="rId21"/>
          <w:footerReference w:type="default" r:id="rId22"/>
          <w:headerReference w:type="first" r:id="rId23"/>
          <w:footerReference w:type="first" r:id="rId24"/>
          <w:type w:val="continuous"/>
          <w:pgSz w:w="12240" w:h="15840"/>
          <w:pgMar w:top="1440" w:right="1440" w:bottom="1440" w:left="1440" w:header="708" w:footer="708" w:gutter="0"/>
          <w:cols w:space="720"/>
        </w:sectPr>
      </w:pPr>
      <w:r w:rsidRPr="00801F94">
        <w:rPr>
          <w:rFonts w:ascii="Arial" w:hAnsi="Arial" w:cs="Arial"/>
        </w:rPr>
        <w:t xml:space="preserve">      </w:t>
      </w:r>
      <w:r w:rsidR="00A45BE8" w:rsidRPr="00801F94">
        <w:rPr>
          <w:rFonts w:ascii="Arial" w:hAnsi="Arial" w:cs="Arial"/>
          <w:noProof/>
        </w:rPr>
        <w:drawing>
          <wp:inline distT="0" distB="0" distL="0" distR="0" wp14:anchorId="4B42B623" wp14:editId="595234C1">
            <wp:extent cx="2519045" cy="2311879"/>
            <wp:effectExtent l="0" t="0" r="0" b="0"/>
            <wp:docPr id="22748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393" cy="2325047"/>
                    </a:xfrm>
                    <a:prstGeom prst="rect">
                      <a:avLst/>
                    </a:prstGeom>
                    <a:noFill/>
                    <a:ln>
                      <a:noFill/>
                    </a:ln>
                  </pic:spPr>
                </pic:pic>
              </a:graphicData>
            </a:graphic>
          </wp:inline>
        </w:drawing>
      </w:r>
      <w:r w:rsidRPr="00801F94">
        <w:rPr>
          <w:rFonts w:ascii="Arial" w:hAnsi="Arial" w:cs="Arial"/>
        </w:rPr>
        <w:tab/>
      </w:r>
      <w:r w:rsidR="00A45BE8" w:rsidRPr="00801F94">
        <w:rPr>
          <w:rFonts w:ascii="Arial" w:hAnsi="Arial" w:cs="Arial"/>
          <w:noProof/>
        </w:rPr>
        <w:drawing>
          <wp:inline distT="0" distB="0" distL="0" distR="0" wp14:anchorId="03D21CCF" wp14:editId="2EA7E4AD">
            <wp:extent cx="2518410" cy="2311464"/>
            <wp:effectExtent l="0" t="0" r="0" b="0"/>
            <wp:docPr id="454987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9610" cy="2321743"/>
                    </a:xfrm>
                    <a:prstGeom prst="rect">
                      <a:avLst/>
                    </a:prstGeom>
                    <a:noFill/>
                    <a:ln>
                      <a:noFill/>
                    </a:ln>
                  </pic:spPr>
                </pic:pic>
              </a:graphicData>
            </a:graphic>
          </wp:inline>
        </w:drawing>
      </w:r>
    </w:p>
    <w:p w:rsidR="00F4243E" w:rsidRPr="00801F94" w:rsidRDefault="00F4243E" w:rsidP="00F4243E">
      <w:pPr>
        <w:pStyle w:val="Body"/>
        <w:ind w:left="720" w:firstLine="720"/>
        <w:rPr>
          <w:rFonts w:ascii="Arial" w:hAnsi="Arial" w:cs="Arial"/>
        </w:rPr>
      </w:pPr>
      <w:proofErr w:type="gramStart"/>
      <w:r w:rsidRPr="00801F94">
        <w:rPr>
          <w:rFonts w:ascii="Arial" w:hAnsi="Arial" w:cs="Arial"/>
        </w:rPr>
        <w:t>a</w:t>
      </w:r>
      <w:proofErr w:type="gramEnd"/>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r>
      <w:r w:rsidRPr="00801F94">
        <w:rPr>
          <w:rFonts w:ascii="Arial" w:hAnsi="Arial" w:cs="Arial"/>
        </w:rPr>
        <w:tab/>
        <w:t xml:space="preserve"> b</w:t>
      </w:r>
    </w:p>
    <w:p w:rsidR="00F4243E" w:rsidRPr="00801F94" w:rsidRDefault="00F4243E" w:rsidP="00F4243E">
      <w:pPr>
        <w:pStyle w:val="Body"/>
        <w:spacing w:after="0"/>
        <w:ind w:firstLine="720"/>
        <w:rPr>
          <w:rFonts w:ascii="Arial" w:hAnsi="Arial" w:cs="Arial"/>
          <w:b/>
          <w:bCs/>
          <w:lang w:val="en-GB"/>
        </w:rPr>
      </w:pPr>
      <w:r w:rsidRPr="00801F94">
        <w:rPr>
          <w:rFonts w:ascii="Arial" w:hAnsi="Arial" w:cs="Arial"/>
          <w:b/>
          <w:bCs/>
          <w:lang w:val="en-GB"/>
        </w:rPr>
        <w:t>Fig 3: SEM microgram of (a</w:t>
      </w:r>
      <w:proofErr w:type="gramStart"/>
      <w:r w:rsidRPr="00801F94">
        <w:rPr>
          <w:rFonts w:ascii="Arial" w:hAnsi="Arial" w:cs="Arial"/>
          <w:b/>
          <w:bCs/>
          <w:lang w:val="en-GB"/>
        </w:rPr>
        <w:t>)Raw</w:t>
      </w:r>
      <w:proofErr w:type="gramEnd"/>
      <w:r w:rsidRPr="00801F94">
        <w:rPr>
          <w:rFonts w:ascii="Arial" w:hAnsi="Arial" w:cs="Arial"/>
          <w:b/>
          <w:bCs/>
          <w:lang w:val="en-GB"/>
        </w:rPr>
        <w:t xml:space="preserve"> and (b) acid-modified Rice Husk</w:t>
      </w:r>
    </w:p>
    <w:p w:rsidR="00693E90" w:rsidRPr="00801F94" w:rsidRDefault="00693E90" w:rsidP="00F4243E">
      <w:pPr>
        <w:pStyle w:val="Body"/>
        <w:spacing w:after="0"/>
        <w:ind w:firstLine="720"/>
        <w:rPr>
          <w:rFonts w:ascii="Arial" w:hAnsi="Arial" w:cs="Arial"/>
          <w:lang w:val="en-GB"/>
        </w:rPr>
      </w:pPr>
    </w:p>
    <w:p w:rsidR="00CD6214" w:rsidRPr="00801F94" w:rsidRDefault="00CD6214" w:rsidP="00AD5451">
      <w:pPr>
        <w:rPr>
          <w:rFonts w:ascii="Arial" w:hAnsi="Arial" w:cs="Arial"/>
          <w:b/>
          <w:bCs/>
        </w:rPr>
      </w:pPr>
    </w:p>
    <w:p w:rsidR="00CD6214" w:rsidRPr="00801F94" w:rsidRDefault="00CD6214" w:rsidP="00AD5451">
      <w:pPr>
        <w:rPr>
          <w:rFonts w:ascii="Arial" w:hAnsi="Arial" w:cs="Arial"/>
          <w:b/>
          <w:bCs/>
        </w:rPr>
      </w:pPr>
    </w:p>
    <w:p w:rsidR="00CD6214" w:rsidRPr="00801F94" w:rsidRDefault="00CD6214" w:rsidP="00AD5451">
      <w:pPr>
        <w:rPr>
          <w:rFonts w:ascii="Arial" w:hAnsi="Arial" w:cs="Arial"/>
          <w:b/>
          <w:bCs/>
        </w:rPr>
      </w:pPr>
    </w:p>
    <w:p w:rsidR="00CD6214" w:rsidRPr="00801F94" w:rsidRDefault="00CD6214" w:rsidP="00AD5451">
      <w:pPr>
        <w:rPr>
          <w:rFonts w:ascii="Arial" w:hAnsi="Arial" w:cs="Arial"/>
          <w:b/>
          <w:bCs/>
        </w:rPr>
      </w:pPr>
    </w:p>
    <w:p w:rsidR="00AD5451" w:rsidRPr="00801F94" w:rsidRDefault="00AD5451" w:rsidP="00AD5451">
      <w:pPr>
        <w:rPr>
          <w:rFonts w:ascii="Arial" w:hAnsi="Arial" w:cs="Arial"/>
          <w:b/>
          <w:bCs/>
        </w:rPr>
      </w:pPr>
      <w:r w:rsidRPr="00801F94">
        <w:rPr>
          <w:rFonts w:ascii="Arial" w:hAnsi="Arial" w:cs="Arial"/>
          <w:b/>
          <w:bCs/>
        </w:rPr>
        <w:t>3.1.3 PROPOSED MECHANISM FOR ACID MODIFICATION</w:t>
      </w:r>
    </w:p>
    <w:p w:rsidR="00AD5451" w:rsidRPr="00801F94" w:rsidRDefault="00AD5451" w:rsidP="00AD5451">
      <w:pPr>
        <w:spacing w:after="160"/>
        <w:jc w:val="both"/>
        <w:rPr>
          <w:rFonts w:ascii="Arial" w:hAnsi="Arial" w:cs="Arial"/>
        </w:rPr>
      </w:pPr>
      <w:r w:rsidRPr="00801F94">
        <w:rPr>
          <w:rFonts w:ascii="Arial" w:hAnsi="Arial" w:cs="Arial"/>
        </w:rPr>
        <w:t xml:space="preserve">The acid modification transformed rice husk from a dense, mineral-containing biomass into a clean, porous, functionalized adsorbent with abundant active sites, enhanced surface area, and improved affinity for antibiotic molecules like </w:t>
      </w:r>
      <w:r w:rsidR="00DD5DE7" w:rsidRPr="00801F94">
        <w:rPr>
          <w:rFonts w:ascii="Arial" w:hAnsi="Arial" w:cs="Arial"/>
        </w:rPr>
        <w:t>ampicillin. The</w:t>
      </w:r>
      <w:r w:rsidRPr="00801F94">
        <w:rPr>
          <w:rFonts w:ascii="Arial" w:hAnsi="Arial" w:cs="Arial"/>
        </w:rPr>
        <w:t xml:space="preserve"> mechanism can be described in stages:</w:t>
      </w:r>
    </w:p>
    <w:p w:rsidR="00AD5451" w:rsidRPr="00801F94" w:rsidRDefault="00AD5451" w:rsidP="00AD5451">
      <w:pPr>
        <w:spacing w:after="160" w:line="278" w:lineRule="auto"/>
        <w:jc w:val="both"/>
        <w:rPr>
          <w:rFonts w:ascii="Arial" w:hAnsi="Arial" w:cs="Arial"/>
          <w:b/>
          <w:bCs/>
        </w:rPr>
      </w:pPr>
      <w:proofErr w:type="spellStart"/>
      <w:r w:rsidRPr="00801F94">
        <w:rPr>
          <w:rFonts w:ascii="Arial" w:hAnsi="Arial" w:cs="Arial"/>
          <w:b/>
          <w:bCs/>
        </w:rPr>
        <w:t>i</w:t>
      </w:r>
      <w:proofErr w:type="spellEnd"/>
      <w:r w:rsidRPr="00801F94">
        <w:rPr>
          <w:rFonts w:ascii="Arial" w:hAnsi="Arial" w:cs="Arial"/>
          <w:b/>
          <w:bCs/>
        </w:rPr>
        <w:t>. Removal of Inorganic Impurities (Demineralization)</w:t>
      </w:r>
    </w:p>
    <w:p w:rsidR="00AD5451" w:rsidRPr="00801F94" w:rsidRDefault="00AD5451" w:rsidP="00AD5451">
      <w:pPr>
        <w:spacing w:after="160" w:line="278" w:lineRule="auto"/>
        <w:jc w:val="both"/>
        <w:rPr>
          <w:rFonts w:ascii="Arial" w:hAnsi="Arial" w:cs="Arial"/>
          <w:b/>
          <w:bCs/>
        </w:rPr>
      </w:pPr>
      <w:r w:rsidRPr="00801F94">
        <w:rPr>
          <w:rFonts w:ascii="Arial" w:hAnsi="Arial" w:cs="Arial"/>
        </w:rPr>
        <w:t>Raw rice husk contains minerals such as K</w:t>
      </w:r>
      <w:r w:rsidRPr="00801F94">
        <w:rPr>
          <w:rFonts w:ascii="Cambria Math" w:hAnsi="Cambria Math" w:cs="Cambria Math"/>
        </w:rPr>
        <w:t>⁺</w:t>
      </w:r>
      <w:r w:rsidRPr="00801F94">
        <w:rPr>
          <w:rFonts w:ascii="Arial" w:hAnsi="Arial" w:cs="Arial"/>
        </w:rPr>
        <w:t>, Ca²</w:t>
      </w:r>
      <w:r w:rsidRPr="00801F94">
        <w:rPr>
          <w:rFonts w:ascii="Cambria Math" w:hAnsi="Cambria Math" w:cs="Cambria Math"/>
        </w:rPr>
        <w:t>⁺</w:t>
      </w:r>
      <w:r w:rsidRPr="00801F94">
        <w:rPr>
          <w:rFonts w:ascii="Arial" w:hAnsi="Arial" w:cs="Arial"/>
        </w:rPr>
        <w:t>, Mg²</w:t>
      </w:r>
      <w:r w:rsidRPr="00801F94">
        <w:rPr>
          <w:rFonts w:ascii="Cambria Math" w:hAnsi="Cambria Math" w:cs="Cambria Math"/>
        </w:rPr>
        <w:t>⁺</w:t>
      </w:r>
      <w:r w:rsidRPr="00801F94">
        <w:rPr>
          <w:rFonts w:ascii="Arial" w:hAnsi="Arial" w:cs="Arial"/>
        </w:rPr>
        <w:t>, and Fe³</w:t>
      </w:r>
      <w:r w:rsidRPr="00801F94">
        <w:rPr>
          <w:rFonts w:ascii="Cambria Math" w:hAnsi="Cambria Math" w:cs="Cambria Math"/>
        </w:rPr>
        <w:t>⁺</w:t>
      </w:r>
      <w:r w:rsidRPr="00801F94">
        <w:rPr>
          <w:rFonts w:ascii="Arial" w:hAnsi="Arial" w:cs="Arial"/>
        </w:rPr>
        <w:t xml:space="preserve"> embedded within the </w:t>
      </w:r>
      <w:proofErr w:type="spellStart"/>
      <w:r w:rsidRPr="00801F94">
        <w:rPr>
          <w:rFonts w:ascii="Arial" w:hAnsi="Arial" w:cs="Arial"/>
        </w:rPr>
        <w:t>lignocellulosic</w:t>
      </w:r>
      <w:proofErr w:type="spellEnd"/>
      <w:r w:rsidRPr="00801F94">
        <w:rPr>
          <w:rFonts w:ascii="Arial" w:hAnsi="Arial" w:cs="Arial"/>
        </w:rPr>
        <w:t>–silica matrix. Acid treatment protonates and dissolves these impurities; this cleans the pore structure and exposes previously blocked adsorption sites.</w:t>
      </w:r>
      <w:r w:rsidRPr="00801F94">
        <w:rPr>
          <w:rFonts w:ascii="Arial" w:hAnsi="Arial" w:cs="Arial"/>
        </w:rPr>
        <w:br/>
      </w:r>
      <m:oMath>
        <m:sSup>
          <m:sSupPr>
            <m:ctrlPr>
              <w:rPr>
                <w:rFonts w:ascii="Cambria Math" w:hAnsi="Cambria Math" w:cs="Arial"/>
              </w:rPr>
            </m:ctrlPr>
          </m:sSupPr>
          <m:e>
            <m:r>
              <w:rPr>
                <w:rFonts w:ascii="Cambria Math" w:hAnsi="Cambria Math" w:cs="Arial"/>
              </w:rPr>
              <m:t>M</m:t>
            </m:r>
          </m:e>
          <m:sup>
            <m:r>
              <w:rPr>
                <w:rFonts w:ascii="Cambria Math" w:hAnsi="Cambria Math" w:cs="Arial"/>
              </w:rPr>
              <m:t>n</m:t>
            </m:r>
            <m:r>
              <m:rPr>
                <m:sty m:val="p"/>
              </m:rPr>
              <w:rPr>
                <w:rFonts w:ascii="Cambria Math" w:hAnsi="Cambria Math" w:cs="Arial"/>
              </w:rPr>
              <m:t>+</m:t>
            </m:r>
          </m:sup>
        </m:s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SO</m:t>
            </m:r>
          </m:e>
          <m:sub>
            <m:r>
              <m:rPr>
                <m:sty m:val="p"/>
              </m:rPr>
              <w:rPr>
                <w:rFonts w:ascii="Cambria Math" w:hAnsi="Cambria Math" w:cs="Arial"/>
              </w:rPr>
              <m:t>4</m:t>
            </m:r>
          </m:sub>
          <m:sup>
            <m:r>
              <m:rPr>
                <m:sty m:val="p"/>
              </m:rPr>
              <w:rPr>
                <w:rFonts w:ascii="Cambria Math" w:hAnsi="Cambria Math" w:cs="Arial"/>
              </w:rPr>
              <m:t>2-</m:t>
            </m:r>
          </m:sup>
        </m:sSubSup>
        <m:r>
          <m:rPr>
            <m:sty m:val="p"/>
          </m:rPr>
          <w:rPr>
            <w:rFonts w:ascii="Cambria Math" w:hAnsi="Cambria Math" w:cs="Arial"/>
          </w:rPr>
          <m:t>→</m:t>
        </m:r>
        <m:sSub>
          <m:sSubPr>
            <m:ctrlPr>
              <w:rPr>
                <w:rFonts w:ascii="Cambria Math" w:hAnsi="Cambria Math" w:cs="Arial"/>
              </w:rPr>
            </m:ctrlPr>
          </m:sSubPr>
          <m:e>
            <m:r>
              <w:rPr>
                <w:rFonts w:ascii="Cambria Math" w:hAnsi="Cambria Math" w:cs="Arial"/>
              </w:rPr>
              <m:t>M</m:t>
            </m:r>
            <m:sSub>
              <m:sSubPr>
                <m:ctrlPr>
                  <w:rPr>
                    <w:rFonts w:ascii="Cambria Math" w:hAnsi="Cambria Math" w:cs="Arial"/>
                  </w:rPr>
                </m:ctrlPr>
              </m:sSubPr>
              <m:e>
                <m:r>
                  <w:rPr>
                    <w:rFonts w:ascii="Cambria Math" w:hAnsi="Cambria Math" w:cs="Arial"/>
                  </w:rPr>
                  <m:t>SO</m:t>
                </m:r>
              </m:e>
              <m:sub>
                <m:r>
                  <m:rPr>
                    <m:sty m:val="p"/>
                  </m:rPr>
                  <w:rPr>
                    <w:rFonts w:ascii="Cambria Math" w:hAnsi="Cambria Math" w:cs="Arial"/>
                  </w:rPr>
                  <m:t>4</m:t>
                </m:r>
              </m:sub>
            </m:sSub>
          </m:e>
          <m:sub>
            <m:d>
              <m:dPr>
                <m:ctrlPr>
                  <w:rPr>
                    <w:rFonts w:ascii="Cambria Math" w:hAnsi="Cambria Math" w:cs="Arial"/>
                  </w:rPr>
                </m:ctrlPr>
              </m:dPr>
              <m:e>
                <m:r>
                  <w:rPr>
                    <w:rFonts w:ascii="Cambria Math" w:hAnsi="Cambria Math" w:cs="Arial"/>
                  </w:rPr>
                  <m:t>soluble</m:t>
                </m:r>
              </m:e>
            </m:d>
          </m:sub>
        </m:sSub>
      </m:oMath>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t>17</w:t>
      </w:r>
      <m:oMath>
        <m:r>
          <m:rPr>
            <m:sty m:val="p"/>
          </m:rPr>
          <w:rPr>
            <w:rFonts w:ascii="Cambria Math" w:hAnsi="Cambria Math" w:cs="Arial"/>
          </w:rPr>
          <w:br/>
        </m:r>
      </m:oMath>
      <w:r w:rsidRPr="00801F94">
        <w:rPr>
          <w:rFonts w:ascii="Arial" w:hAnsi="Arial" w:cs="Arial"/>
          <w:b/>
          <w:bCs/>
        </w:rPr>
        <w:t>ii. Hydrolysis of Lignocellulosic Components</w:t>
      </w:r>
    </w:p>
    <w:p w:rsidR="00AD5451" w:rsidRPr="00801F94" w:rsidRDefault="00AD5451" w:rsidP="00AD5451">
      <w:pPr>
        <w:tabs>
          <w:tab w:val="num" w:pos="1440"/>
        </w:tabs>
        <w:spacing w:after="160" w:line="278" w:lineRule="auto"/>
        <w:jc w:val="both"/>
        <w:rPr>
          <w:rFonts w:ascii="Arial" w:hAnsi="Arial" w:cs="Arial"/>
        </w:rPr>
      </w:pPr>
      <w:r w:rsidRPr="00801F94">
        <w:rPr>
          <w:rFonts w:ascii="Arial" w:hAnsi="Arial" w:cs="Arial"/>
        </w:rPr>
        <w:t>Rice husk is majorly composed of cellulose, hemicellulose, and lignin. H</w:t>
      </w:r>
      <w:r w:rsidRPr="00801F94">
        <w:rPr>
          <w:rFonts w:ascii="Cambria Math" w:hAnsi="Cambria Math" w:cs="Cambria Math"/>
        </w:rPr>
        <w:t>₂</w:t>
      </w:r>
      <w:r w:rsidRPr="00801F94">
        <w:rPr>
          <w:rFonts w:ascii="Arial" w:hAnsi="Arial" w:cs="Arial"/>
        </w:rPr>
        <w:t>SO</w:t>
      </w:r>
      <w:r w:rsidRPr="00801F94">
        <w:rPr>
          <w:rFonts w:ascii="Cambria Math" w:hAnsi="Cambria Math" w:cs="Cambria Math"/>
        </w:rPr>
        <w:t>₄</w:t>
      </w:r>
      <w:r w:rsidRPr="00801F94">
        <w:rPr>
          <w:rFonts w:ascii="Arial" w:hAnsi="Arial" w:cs="Arial"/>
        </w:rPr>
        <w:t xml:space="preserve"> hydrolyses </w:t>
      </w:r>
      <w:proofErr w:type="spellStart"/>
      <w:r w:rsidRPr="00801F94">
        <w:rPr>
          <w:rFonts w:ascii="Arial" w:hAnsi="Arial" w:cs="Arial"/>
        </w:rPr>
        <w:t>glycosidic</w:t>
      </w:r>
      <w:proofErr w:type="spellEnd"/>
      <w:r w:rsidRPr="00801F94">
        <w:rPr>
          <w:rFonts w:ascii="Arial" w:hAnsi="Arial" w:cs="Arial"/>
        </w:rPr>
        <w:t xml:space="preserve"> bonds in hemicellulose and partially disrupts cellulose, leading to the breakdown of rigid biomass structure, formation of micro- and </w:t>
      </w:r>
      <w:proofErr w:type="spellStart"/>
      <w:r w:rsidRPr="00801F94">
        <w:rPr>
          <w:rFonts w:ascii="Arial" w:hAnsi="Arial" w:cs="Arial"/>
        </w:rPr>
        <w:t>mesopores</w:t>
      </w:r>
      <w:proofErr w:type="spellEnd"/>
      <w:r w:rsidRPr="00801F94">
        <w:rPr>
          <w:rFonts w:ascii="Arial" w:hAnsi="Arial" w:cs="Arial"/>
        </w:rPr>
        <w:t xml:space="preserve"> and increased surface area</w:t>
      </w:r>
    </w:p>
    <w:p w:rsidR="00AD5451" w:rsidRPr="00801F94" w:rsidRDefault="00AD5451" w:rsidP="00AD5451">
      <w:pPr>
        <w:spacing w:after="160" w:line="278" w:lineRule="auto"/>
        <w:jc w:val="both"/>
        <w:rPr>
          <w:rFonts w:ascii="Arial" w:hAnsi="Arial" w:cs="Arial"/>
        </w:rPr>
      </w:pPr>
      <m:oMath>
        <m:r>
          <w:rPr>
            <w:rFonts w:ascii="Cambria Math" w:hAnsi="Cambria Math" w:cs="Arial"/>
          </w:rPr>
          <m:t>C</m:t>
        </m:r>
        <m:r>
          <m:rPr>
            <m:sty m:val="p"/>
          </m:rPr>
          <w:rPr>
            <w:rFonts w:ascii="Cambria Math" w:hAnsi="Cambria Math" w:cs="Arial"/>
          </w:rPr>
          <m:t>-</m:t>
        </m:r>
        <m:r>
          <w:rPr>
            <w:rFonts w:ascii="Cambria Math" w:hAnsi="Cambria Math" w:cs="Arial"/>
          </w:rPr>
          <m:t>O</m:t>
        </m:r>
        <m:r>
          <m:rPr>
            <m:sty m:val="p"/>
          </m:rPr>
          <w:rPr>
            <w:rFonts w:ascii="Cambria Math" w:hAnsi="Cambria Math" w:cs="Arial"/>
          </w:rPr>
          <m:t>-</m:t>
        </m:r>
        <m:r>
          <w:rPr>
            <w:rFonts w:ascii="Cambria Math" w:hAnsi="Cambria Math" w:cs="Arial"/>
          </w:rPr>
          <m:t>C</m:t>
        </m:r>
        <m:r>
          <m:rPr>
            <m:sty m:val="p"/>
          </m:rPr>
          <w:rPr>
            <w:rFonts w:ascii="Cambria Math" w:hAnsi="Cambria Math" w:cs="Arial"/>
          </w:rPr>
          <m:t>+</m:t>
        </m:r>
        <m:sSup>
          <m:sSupPr>
            <m:ctrlPr>
              <w:rPr>
                <w:rFonts w:ascii="Cambria Math" w:hAnsi="Cambria Math" w:cs="Arial"/>
              </w:rPr>
            </m:ctrlPr>
          </m:sSupPr>
          <m:e>
            <m:r>
              <w:rPr>
                <w:rFonts w:ascii="Cambria Math" w:hAnsi="Cambria Math" w:cs="Arial"/>
              </w:rPr>
              <m:t>H</m:t>
            </m:r>
          </m:e>
          <m:sup>
            <m:r>
              <m:rPr>
                <m:sty m:val="p"/>
              </m:rPr>
              <w:rPr>
                <w:rFonts w:ascii="Cambria Math" w:hAnsi="Cambria Math" w:cs="Arial"/>
              </w:rPr>
              <m:t>+</m:t>
            </m:r>
          </m:sup>
        </m:sSup>
        <m:r>
          <m:rPr>
            <m:sty m:val="p"/>
          </m:rPr>
          <w:rPr>
            <w:rFonts w:ascii="Cambria Math" w:hAnsi="Cambria Math" w:cs="Arial"/>
          </w:rPr>
          <m:t>→</m:t>
        </m:r>
        <m:r>
          <w:rPr>
            <w:rFonts w:ascii="Cambria Math" w:hAnsi="Cambria Math" w:cs="Arial"/>
          </w:rPr>
          <m:t>Fragmented</m:t>
        </m:r>
        <m:r>
          <m:rPr>
            <m:sty m:val="p"/>
          </m:rPr>
          <w:rPr>
            <w:rFonts w:ascii="Cambria Math" w:hAnsi="Cambria Math" w:cs="Arial"/>
          </w:rPr>
          <m:t xml:space="preserve"> </m:t>
        </m:r>
        <m:r>
          <w:rPr>
            <w:rFonts w:ascii="Cambria Math" w:hAnsi="Cambria Math" w:cs="Arial"/>
          </w:rPr>
          <m:t>chains</m:t>
        </m:r>
      </m:oMath>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t>18</w:t>
      </w:r>
    </w:p>
    <w:p w:rsidR="00AD5451" w:rsidRPr="00801F94" w:rsidRDefault="00AD5451" w:rsidP="00AD5451">
      <w:pPr>
        <w:spacing w:after="160" w:line="278" w:lineRule="auto"/>
        <w:jc w:val="both"/>
        <w:rPr>
          <w:rFonts w:ascii="Arial" w:hAnsi="Arial" w:cs="Arial"/>
          <w:b/>
          <w:bCs/>
        </w:rPr>
      </w:pPr>
      <w:proofErr w:type="gramStart"/>
      <w:r w:rsidRPr="00801F94">
        <w:rPr>
          <w:rFonts w:ascii="Arial" w:hAnsi="Arial" w:cs="Arial"/>
          <w:b/>
          <w:bCs/>
        </w:rPr>
        <w:t>ii. Dehydration</w:t>
      </w:r>
      <w:proofErr w:type="gramEnd"/>
      <w:r w:rsidRPr="00801F94">
        <w:rPr>
          <w:rFonts w:ascii="Arial" w:hAnsi="Arial" w:cs="Arial"/>
          <w:b/>
          <w:bCs/>
        </w:rPr>
        <w:t xml:space="preserve"> Effects</w:t>
      </w:r>
    </w:p>
    <w:p w:rsidR="00AD5451" w:rsidRPr="00801F94" w:rsidRDefault="00AD5451" w:rsidP="00AD5451">
      <w:pPr>
        <w:tabs>
          <w:tab w:val="num" w:pos="720"/>
        </w:tabs>
        <w:jc w:val="both"/>
        <w:rPr>
          <w:rFonts w:ascii="Arial" w:hAnsi="Arial" w:cs="Arial"/>
        </w:rPr>
      </w:pPr>
      <w:r w:rsidRPr="00801F94">
        <w:rPr>
          <w:rFonts w:ascii="Arial" w:hAnsi="Arial" w:cs="Arial"/>
        </w:rPr>
        <w:t>As a dehydrating agent, H</w:t>
      </w:r>
      <w:r w:rsidRPr="00801F94">
        <w:rPr>
          <w:rFonts w:ascii="Arial" w:hAnsi="Arial" w:cs="Arial"/>
          <w:vertAlign w:val="subscript"/>
        </w:rPr>
        <w:t>2</w:t>
      </w:r>
      <w:r w:rsidRPr="00801F94">
        <w:rPr>
          <w:rFonts w:ascii="Arial" w:hAnsi="Arial" w:cs="Arial"/>
        </w:rPr>
        <w:t>SO</w:t>
      </w:r>
      <w:r w:rsidRPr="00801F94">
        <w:rPr>
          <w:rFonts w:ascii="Arial" w:hAnsi="Arial" w:cs="Arial"/>
          <w:vertAlign w:val="subscript"/>
        </w:rPr>
        <w:t>4</w:t>
      </w:r>
      <w:r w:rsidRPr="00801F94">
        <w:rPr>
          <w:rFonts w:ascii="Arial" w:hAnsi="Arial" w:cs="Arial"/>
        </w:rPr>
        <w:t xml:space="preserve"> removes water molecules from the biomass matrix, promot</w:t>
      </w:r>
      <w:r w:rsidR="00DD5DE7" w:rsidRPr="00801F94">
        <w:rPr>
          <w:rFonts w:ascii="Arial" w:hAnsi="Arial" w:cs="Arial"/>
        </w:rPr>
        <w:t>ing</w:t>
      </w:r>
      <w:r w:rsidRPr="00801F94">
        <w:rPr>
          <w:rFonts w:ascii="Arial" w:hAnsi="Arial" w:cs="Arial"/>
        </w:rPr>
        <w:t xml:space="preserve"> partial carbonization. This increases structural stability and produces a more porous carbon-rich framework.</w:t>
      </w:r>
    </w:p>
    <w:p w:rsidR="00AD5451" w:rsidRPr="00801F94" w:rsidRDefault="00581EE4" w:rsidP="00AD5451">
      <w:pPr>
        <w:spacing w:after="160" w:line="278" w:lineRule="auto"/>
        <w:ind w:left="720"/>
        <w:jc w:val="both"/>
        <w:rPr>
          <w:rFonts w:ascii="Arial" w:hAnsi="Arial" w:cs="Arial"/>
        </w:rPr>
      </w:pPr>
      <m:oMath>
        <m:r>
          <m:rPr>
            <m:sty m:val="p"/>
          </m:rPr>
          <w:rPr>
            <w:rFonts w:ascii="Cambria Math" w:hAnsi="Cambria Math" w:cs="Arial"/>
          </w:rPr>
          <m:t xml:space="preserve">C-CH-OH   → -C-C- + </m:t>
        </m:r>
        <m:sSub>
          <m:sSubPr>
            <m:ctrlPr>
              <w:rPr>
                <w:rFonts w:ascii="Cambria Math" w:hAnsi="Cambria Math" w:cs="Arial"/>
                <w:vertAlign w:val="subscript"/>
              </w:rPr>
            </m:ctrlPr>
          </m:sSubPr>
          <m:e>
            <m:r>
              <m:rPr>
                <m:sty m:val="p"/>
              </m:rPr>
              <w:rPr>
                <w:rFonts w:ascii="Cambria Math" w:hAnsi="Cambria Math" w:cs="Arial"/>
                <w:vertAlign w:val="subscript"/>
              </w:rPr>
              <m:t>H</m:t>
            </m:r>
          </m:e>
          <m:sub>
            <m:r>
              <w:rPr>
                <w:rFonts w:ascii="Cambria Math" w:hAnsi="Cambria Math" w:cs="Arial"/>
                <w:vertAlign w:val="subscript"/>
              </w:rPr>
              <m:t>2</m:t>
            </m:r>
          </m:sub>
        </m:sSub>
        <m:r>
          <m:rPr>
            <m:sty m:val="p"/>
          </m:rPr>
          <w:rPr>
            <w:rFonts w:ascii="Cambria Math" w:hAnsi="Cambria Math" w:cs="Arial"/>
          </w:rPr>
          <m:t xml:space="preserve">O  </m:t>
        </m:r>
      </m:oMath>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t>19</w:t>
      </w:r>
    </w:p>
    <w:p w:rsidR="00AD5451" w:rsidRPr="00801F94" w:rsidRDefault="00AD5451" w:rsidP="00AD5451">
      <w:pPr>
        <w:spacing w:after="160" w:line="278" w:lineRule="auto"/>
        <w:jc w:val="both"/>
        <w:rPr>
          <w:rFonts w:ascii="Arial" w:hAnsi="Arial" w:cs="Arial"/>
          <w:b/>
          <w:bCs/>
        </w:rPr>
      </w:pPr>
      <w:r w:rsidRPr="00801F94">
        <w:rPr>
          <w:rFonts w:ascii="Arial" w:hAnsi="Arial" w:cs="Arial"/>
          <w:b/>
          <w:bCs/>
        </w:rPr>
        <w:t>i</w:t>
      </w:r>
      <w:r w:rsidR="00CD6214" w:rsidRPr="00801F94">
        <w:rPr>
          <w:rFonts w:ascii="Arial" w:hAnsi="Arial" w:cs="Arial"/>
          <w:b/>
          <w:bCs/>
        </w:rPr>
        <w:t>ii</w:t>
      </w:r>
      <w:r w:rsidRPr="00801F94">
        <w:rPr>
          <w:rFonts w:ascii="Arial" w:hAnsi="Arial" w:cs="Arial"/>
          <w:b/>
          <w:bCs/>
        </w:rPr>
        <w:t>. Introduction of Surface Functional Groups</w:t>
      </w:r>
    </w:p>
    <w:p w:rsidR="00AD5451" w:rsidRPr="00801F94" w:rsidRDefault="00AD5451" w:rsidP="00AD5451">
      <w:pPr>
        <w:spacing w:after="160" w:line="278" w:lineRule="auto"/>
        <w:jc w:val="both"/>
        <w:rPr>
          <w:rFonts w:ascii="Arial" w:hAnsi="Arial" w:cs="Arial"/>
        </w:rPr>
      </w:pPr>
      <w:r w:rsidRPr="00801F94">
        <w:rPr>
          <w:rFonts w:ascii="Arial" w:hAnsi="Arial" w:cs="Arial"/>
        </w:rPr>
        <w:lastRenderedPageBreak/>
        <w:t>Acid modification introduces oxygen-containing functional groups: hydroxyl (–OH) and Sulfonic groups (–SO</w:t>
      </w:r>
      <w:r w:rsidRPr="00801F94">
        <w:rPr>
          <w:rFonts w:ascii="Cambria Math" w:hAnsi="Cambria Math" w:cs="Cambria Math"/>
        </w:rPr>
        <w:t>₃</w:t>
      </w:r>
      <w:r w:rsidRPr="00801F94">
        <w:rPr>
          <w:rFonts w:ascii="Arial" w:hAnsi="Arial" w:cs="Arial"/>
        </w:rPr>
        <w:t xml:space="preserve">H, in this case). These groups arise from oxidation and </w:t>
      </w:r>
      <w:proofErr w:type="spellStart"/>
      <w:r w:rsidRPr="00801F94">
        <w:rPr>
          <w:rFonts w:ascii="Arial" w:hAnsi="Arial" w:cs="Arial"/>
        </w:rPr>
        <w:t>sulfonation</w:t>
      </w:r>
      <w:proofErr w:type="spellEnd"/>
      <w:r w:rsidRPr="00801F94">
        <w:rPr>
          <w:rFonts w:ascii="Arial" w:hAnsi="Arial" w:cs="Arial"/>
        </w:rPr>
        <w:t xml:space="preserve"> reactions and increase surface polarity and active binding sites for ampicillin</w:t>
      </w:r>
    </w:p>
    <w:p w:rsidR="00AD5451" w:rsidRPr="00801F94" w:rsidRDefault="00AD5451" w:rsidP="00AD5451">
      <w:pPr>
        <w:tabs>
          <w:tab w:val="num" w:pos="720"/>
        </w:tabs>
        <w:spacing w:after="160" w:line="278" w:lineRule="auto"/>
        <w:jc w:val="both"/>
        <w:rPr>
          <w:rFonts w:ascii="Arial" w:hAnsi="Arial" w:cs="Arial"/>
        </w:rPr>
      </w:pPr>
      <m:oMath>
        <m:r>
          <w:rPr>
            <w:rFonts w:ascii="Cambria Math" w:hAnsi="Cambria Math" w:cs="Arial"/>
          </w:rPr>
          <m:t>R</m:t>
        </m:r>
        <m:r>
          <m:rPr>
            <m:sty m:val="p"/>
          </m:rPr>
          <w:rPr>
            <w:rFonts w:ascii="Cambria Math" w:hAnsi="Cambria Math" w:cs="Arial"/>
          </w:rPr>
          <m:t>-</m:t>
        </m:r>
        <m:r>
          <w:rPr>
            <w:rFonts w:ascii="Cambria Math" w:hAnsi="Cambria Math" w:cs="Arial"/>
          </w:rPr>
          <m:t>H</m:t>
        </m:r>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H</m:t>
            </m:r>
          </m:e>
          <m:sub>
            <m:r>
              <m:rPr>
                <m:sty m:val="p"/>
              </m:rPr>
              <w:rPr>
                <w:rFonts w:ascii="Cambria Math" w:hAnsi="Cambria Math" w:cs="Arial"/>
              </w:rPr>
              <m:t>2</m:t>
            </m:r>
          </m:sub>
        </m:sSub>
        <m:r>
          <w:rPr>
            <w:rFonts w:ascii="Cambria Math" w:hAnsi="Cambria Math" w:cs="Arial"/>
          </w:rPr>
          <m:t>S</m:t>
        </m:r>
        <m:sSub>
          <m:sSubPr>
            <m:ctrlPr>
              <w:rPr>
                <w:rFonts w:ascii="Cambria Math" w:hAnsi="Cambria Math" w:cs="Arial"/>
              </w:rPr>
            </m:ctrlPr>
          </m:sSubPr>
          <m:e>
            <m:r>
              <w:rPr>
                <w:rFonts w:ascii="Cambria Math" w:hAnsi="Cambria Math" w:cs="Arial"/>
              </w:rPr>
              <m:t>O</m:t>
            </m:r>
          </m:e>
          <m:sub>
            <m:r>
              <m:rPr>
                <m:sty m:val="p"/>
              </m:rPr>
              <w:rPr>
                <w:rFonts w:ascii="Cambria Math" w:hAnsi="Cambria Math" w:cs="Arial"/>
              </w:rPr>
              <m:t>4</m:t>
            </m:r>
          </m:sub>
        </m:sSub>
        <m:r>
          <m:rPr>
            <m:sty m:val="p"/>
          </m:rPr>
          <w:rPr>
            <w:rFonts w:ascii="Cambria Math" w:hAnsi="Cambria Math" w:cs="Arial"/>
          </w:rPr>
          <m:t>→</m:t>
        </m:r>
        <m:r>
          <w:rPr>
            <w:rFonts w:ascii="Cambria Math" w:hAnsi="Cambria Math" w:cs="Arial"/>
          </w:rPr>
          <m:t>R</m:t>
        </m:r>
        <m:r>
          <m:rPr>
            <m:sty m:val="p"/>
          </m:rPr>
          <w:rPr>
            <w:rFonts w:ascii="Cambria Math" w:hAnsi="Cambria Math" w:cs="Arial"/>
          </w:rPr>
          <m:t>-</m:t>
        </m:r>
        <m:r>
          <w:rPr>
            <w:rFonts w:ascii="Cambria Math" w:hAnsi="Cambria Math" w:cs="Arial"/>
          </w:rPr>
          <m:t>S</m:t>
        </m:r>
        <m:sSub>
          <m:sSubPr>
            <m:ctrlPr>
              <w:rPr>
                <w:rFonts w:ascii="Cambria Math" w:hAnsi="Cambria Math" w:cs="Arial"/>
              </w:rPr>
            </m:ctrlPr>
          </m:sSubPr>
          <m:e>
            <m:r>
              <w:rPr>
                <w:rFonts w:ascii="Cambria Math" w:hAnsi="Cambria Math" w:cs="Arial"/>
              </w:rPr>
              <m:t>O</m:t>
            </m:r>
          </m:e>
          <m:sub>
            <m:r>
              <m:rPr>
                <m:sty m:val="p"/>
              </m:rPr>
              <w:rPr>
                <w:rFonts w:ascii="Cambria Math" w:hAnsi="Cambria Math" w:cs="Arial"/>
              </w:rPr>
              <m:t>3</m:t>
            </m:r>
          </m:sub>
        </m:sSub>
        <m:r>
          <w:rPr>
            <w:rFonts w:ascii="Cambria Math" w:hAnsi="Cambria Math" w:cs="Arial"/>
          </w:rPr>
          <m:t>H</m:t>
        </m:r>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m:t>
            </m:r>
          </m:e>
          <m:sub>
            <m:r>
              <m:rPr>
                <m:sty m:val="p"/>
              </m:rPr>
              <w:rPr>
                <w:rFonts w:ascii="Cambria Math" w:hAnsi="Cambria Math" w:cs="Arial"/>
              </w:rPr>
              <m:t>2</m:t>
            </m:r>
          </m:sub>
        </m:sSub>
        <m:r>
          <m:rPr>
            <m:sty m:val="p"/>
          </m:rPr>
          <w:rPr>
            <w:rFonts w:ascii="Cambria Math" w:hAnsi="Cambria Math" w:cs="Arial"/>
          </w:rPr>
          <m:t xml:space="preserve">O </m:t>
        </m:r>
      </m:oMath>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t>20</w:t>
      </w:r>
    </w:p>
    <w:p w:rsidR="00AD5451" w:rsidRPr="00801F94" w:rsidRDefault="00CD6214" w:rsidP="00AD5451">
      <w:pPr>
        <w:spacing w:after="160" w:line="278" w:lineRule="auto"/>
        <w:jc w:val="both"/>
        <w:rPr>
          <w:rFonts w:ascii="Arial" w:hAnsi="Arial" w:cs="Arial"/>
          <w:b/>
          <w:bCs/>
        </w:rPr>
      </w:pPr>
      <w:proofErr w:type="gramStart"/>
      <w:r w:rsidRPr="00801F94">
        <w:rPr>
          <w:rFonts w:ascii="Arial" w:hAnsi="Arial" w:cs="Arial"/>
          <w:b/>
          <w:bCs/>
        </w:rPr>
        <w:t>i</w:t>
      </w:r>
      <w:r w:rsidR="00AD5451" w:rsidRPr="00801F94">
        <w:rPr>
          <w:rFonts w:ascii="Arial" w:hAnsi="Arial" w:cs="Arial"/>
          <w:b/>
          <w:bCs/>
        </w:rPr>
        <w:t>v. Surface</w:t>
      </w:r>
      <w:proofErr w:type="gramEnd"/>
      <w:r w:rsidR="00AD5451" w:rsidRPr="00801F94">
        <w:rPr>
          <w:rFonts w:ascii="Arial" w:hAnsi="Arial" w:cs="Arial"/>
          <w:b/>
          <w:bCs/>
        </w:rPr>
        <w:t xml:space="preserve"> Charge Modification</w:t>
      </w:r>
    </w:p>
    <w:p w:rsidR="00AD5451" w:rsidRPr="00801F94" w:rsidRDefault="00AD5451" w:rsidP="00AD5451">
      <w:pPr>
        <w:jc w:val="both"/>
        <w:rPr>
          <w:rFonts w:ascii="Arial" w:hAnsi="Arial" w:cs="Arial"/>
        </w:rPr>
      </w:pPr>
      <w:r w:rsidRPr="00801F94">
        <w:rPr>
          <w:rFonts w:ascii="Arial" w:hAnsi="Arial" w:cs="Arial"/>
        </w:rPr>
        <w:t>Acid treatment protonates the surface:</w:t>
      </w:r>
    </w:p>
    <w:p w:rsidR="00AD5451" w:rsidRPr="00801F94" w:rsidRDefault="00AD5451" w:rsidP="00AD5451">
      <w:pPr>
        <w:spacing w:after="160" w:line="278" w:lineRule="auto"/>
        <w:jc w:val="both"/>
        <w:rPr>
          <w:rFonts w:ascii="Arial" w:hAnsi="Arial" w:cs="Arial"/>
        </w:rPr>
      </w:pPr>
      <w:r w:rsidRPr="00801F94">
        <w:rPr>
          <w:rFonts w:ascii="Arial" w:hAnsi="Arial" w:cs="Arial"/>
        </w:rPr>
        <w:t xml:space="preserve"> </w:t>
      </w:r>
      <m:oMath>
        <m:r>
          <m:rPr>
            <m:sty m:val="p"/>
          </m:rPr>
          <w:rPr>
            <w:rFonts w:ascii="Cambria Math" w:hAnsi="Cambria Math" w:cs="Arial"/>
          </w:rPr>
          <m:t>-OH+</m:t>
        </m:r>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w:rPr>
                <w:rFonts w:ascii="Cambria Math" w:hAnsi="Cambria Math" w:cs="Arial"/>
              </w:rPr>
              <m:t>O</m:t>
            </m:r>
            <m:sSub>
              <m:sSubPr>
                <m:ctrlPr>
                  <w:rPr>
                    <w:rFonts w:ascii="Cambria Math" w:hAnsi="Cambria Math" w:cs="Arial"/>
                  </w:rPr>
                </m:ctrlPr>
              </m:sSubPr>
              <m:e>
                <m:r>
                  <w:rPr>
                    <w:rFonts w:ascii="Cambria Math" w:hAnsi="Cambria Math" w:cs="Arial"/>
                  </w:rPr>
                  <m:t>H</m:t>
                </m:r>
              </m:e>
              <m:sub>
                <m:r>
                  <m:rPr>
                    <m:sty m:val="p"/>
                  </m:rPr>
                  <w:rPr>
                    <w:rFonts w:ascii="Cambria Math" w:hAnsi="Cambria Math" w:cs="Arial"/>
                  </w:rPr>
                  <m:t>2</m:t>
                </m:r>
              </m:sub>
            </m:sSub>
          </m:e>
          <m:sup>
            <m:r>
              <m:rPr>
                <m:sty m:val="p"/>
              </m:rPr>
              <w:rPr>
                <w:rFonts w:ascii="Cambria Math" w:hAnsi="Cambria Math" w:cs="Arial"/>
              </w:rPr>
              <m:t>+</m:t>
            </m:r>
          </m:sup>
        </m:sSup>
      </m:oMath>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r>
      <w:r w:rsidR="002B2313" w:rsidRPr="00801F94">
        <w:rPr>
          <w:rFonts w:ascii="Arial" w:hAnsi="Arial" w:cs="Arial"/>
        </w:rPr>
        <w:tab/>
        <w:t>21</w:t>
      </w:r>
    </w:p>
    <w:p w:rsidR="00AD5451" w:rsidRPr="00801F94" w:rsidRDefault="00AD5451" w:rsidP="00AD5451">
      <w:pPr>
        <w:tabs>
          <w:tab w:val="num" w:pos="1440"/>
        </w:tabs>
        <w:spacing w:after="160" w:line="278" w:lineRule="auto"/>
        <w:jc w:val="both"/>
        <w:rPr>
          <w:rFonts w:ascii="Arial" w:hAnsi="Arial" w:cs="Arial"/>
        </w:rPr>
      </w:pPr>
      <w:r w:rsidRPr="00801F94">
        <w:rPr>
          <w:rFonts w:ascii="Arial" w:hAnsi="Arial" w:cs="Arial"/>
        </w:rPr>
        <w:t xml:space="preserve">At acidic to neutral pH, the surface becomes positively charged, which promotes electrostatic attraction with negatively charged ampicillin species </w:t>
      </w:r>
    </w:p>
    <w:p w:rsidR="00AD5451" w:rsidRPr="00801F94" w:rsidRDefault="00AD5451" w:rsidP="00AD5451">
      <w:pPr>
        <w:spacing w:after="160" w:line="278" w:lineRule="auto"/>
        <w:jc w:val="both"/>
        <w:rPr>
          <w:rFonts w:ascii="Arial" w:hAnsi="Arial" w:cs="Arial"/>
          <w:b/>
          <w:bCs/>
        </w:rPr>
      </w:pPr>
      <w:r w:rsidRPr="00801F94">
        <w:rPr>
          <w:rFonts w:ascii="Arial" w:hAnsi="Arial" w:cs="Arial"/>
          <w:b/>
          <w:bCs/>
        </w:rPr>
        <w:t>v. Resulting Adsorption Mechanisms for Ampicillin</w:t>
      </w:r>
    </w:p>
    <w:p w:rsidR="00AD5451" w:rsidRPr="00801F94" w:rsidRDefault="00AD5451" w:rsidP="00AD5451">
      <w:pPr>
        <w:spacing w:after="160" w:line="278" w:lineRule="auto"/>
        <w:jc w:val="both"/>
        <w:rPr>
          <w:rFonts w:ascii="Arial" w:hAnsi="Arial" w:cs="Arial"/>
        </w:rPr>
      </w:pPr>
      <w:r w:rsidRPr="00801F94">
        <w:rPr>
          <w:rFonts w:ascii="Arial" w:hAnsi="Arial" w:cs="Arial"/>
        </w:rPr>
        <w:t>The modified rice husk (ARH</w:t>
      </w:r>
      <w:proofErr w:type="gramStart"/>
      <w:r w:rsidRPr="00801F94">
        <w:rPr>
          <w:rFonts w:ascii="Arial" w:hAnsi="Arial" w:cs="Arial"/>
        </w:rPr>
        <w:t>)  would</w:t>
      </w:r>
      <w:proofErr w:type="gramEnd"/>
      <w:r w:rsidRPr="00801F94">
        <w:rPr>
          <w:rFonts w:ascii="Arial" w:hAnsi="Arial" w:cs="Arial"/>
        </w:rPr>
        <w:t xml:space="preserve"> therefore adsorb ampicillin via multiple interactions:</w:t>
      </w:r>
    </w:p>
    <w:p w:rsidR="00AD5451" w:rsidRPr="00801F94" w:rsidRDefault="00AD5451" w:rsidP="00CD6214">
      <w:pPr>
        <w:numPr>
          <w:ilvl w:val="0"/>
          <w:numId w:val="35"/>
        </w:numPr>
        <w:spacing w:after="160" w:line="278" w:lineRule="auto"/>
        <w:ind w:left="714" w:hanging="357"/>
        <w:contextualSpacing/>
        <w:jc w:val="both"/>
        <w:rPr>
          <w:rFonts w:ascii="Arial" w:hAnsi="Arial" w:cs="Arial"/>
        </w:rPr>
      </w:pPr>
      <w:r w:rsidRPr="00801F94">
        <w:rPr>
          <w:rFonts w:ascii="Arial" w:hAnsi="Arial" w:cs="Arial"/>
        </w:rPr>
        <w:t>Electrostatic attraction (between charged surface and ionized ampicillin)</w:t>
      </w:r>
    </w:p>
    <w:p w:rsidR="00AD5451" w:rsidRPr="00801F94" w:rsidRDefault="00AD5451" w:rsidP="00CD6214">
      <w:pPr>
        <w:numPr>
          <w:ilvl w:val="0"/>
          <w:numId w:val="35"/>
        </w:numPr>
        <w:spacing w:after="160" w:line="278" w:lineRule="auto"/>
        <w:ind w:left="714" w:hanging="357"/>
        <w:contextualSpacing/>
        <w:jc w:val="both"/>
        <w:rPr>
          <w:rFonts w:ascii="Arial" w:hAnsi="Arial" w:cs="Arial"/>
        </w:rPr>
      </w:pPr>
      <w:r w:rsidRPr="00801F94">
        <w:rPr>
          <w:rFonts w:ascii="Arial" w:hAnsi="Arial" w:cs="Arial"/>
        </w:rPr>
        <w:t>Hydrogen bonding (–OH / –COOH with ampicillin functional groups)</w:t>
      </w:r>
    </w:p>
    <w:p w:rsidR="00AD5451" w:rsidRPr="00801F94" w:rsidRDefault="00AD5451" w:rsidP="00CD6214">
      <w:pPr>
        <w:numPr>
          <w:ilvl w:val="0"/>
          <w:numId w:val="35"/>
        </w:numPr>
        <w:spacing w:after="160" w:line="278" w:lineRule="auto"/>
        <w:ind w:left="714" w:hanging="357"/>
        <w:contextualSpacing/>
        <w:jc w:val="both"/>
        <w:rPr>
          <w:rFonts w:ascii="Arial" w:hAnsi="Arial" w:cs="Arial"/>
        </w:rPr>
      </w:pPr>
      <w:r w:rsidRPr="00801F94">
        <w:rPr>
          <w:rFonts w:ascii="Arial" w:hAnsi="Arial" w:cs="Arial"/>
        </w:rPr>
        <w:t>π–π interactions (between aromatic structures in carbonized matrix and ampicillin rings)</w:t>
      </w:r>
    </w:p>
    <w:p w:rsidR="00AD5451" w:rsidRPr="00801F94" w:rsidRDefault="00AD5451" w:rsidP="00CD6214">
      <w:pPr>
        <w:numPr>
          <w:ilvl w:val="0"/>
          <w:numId w:val="35"/>
        </w:numPr>
        <w:spacing w:after="160" w:line="278" w:lineRule="auto"/>
        <w:ind w:left="714" w:hanging="357"/>
        <w:contextualSpacing/>
        <w:jc w:val="both"/>
        <w:rPr>
          <w:rFonts w:ascii="Arial" w:hAnsi="Arial" w:cs="Arial"/>
        </w:rPr>
      </w:pPr>
      <w:r w:rsidRPr="00801F94">
        <w:rPr>
          <w:rFonts w:ascii="Arial" w:hAnsi="Arial" w:cs="Arial"/>
        </w:rPr>
        <w:t>Surface complexation/chemisorption (consistent with pseudo-second-order kinetics)</w:t>
      </w:r>
    </w:p>
    <w:p w:rsidR="00AD5451" w:rsidRPr="00801F94" w:rsidRDefault="00AD5451" w:rsidP="00AD5451">
      <w:pPr>
        <w:rPr>
          <w:rFonts w:ascii="Arial" w:hAnsi="Arial" w:cs="Arial"/>
        </w:rPr>
      </w:pPr>
    </w:p>
    <w:p w:rsidR="00F4243E"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3.2 Effect of Adsorption Parameters</w:t>
      </w:r>
    </w:p>
    <w:p w:rsidR="00F4243E" w:rsidRPr="00801F94" w:rsidRDefault="00F4243E" w:rsidP="00F4243E">
      <w:pPr>
        <w:pStyle w:val="Body"/>
        <w:spacing w:after="0"/>
        <w:rPr>
          <w:rFonts w:ascii="Arial" w:hAnsi="Arial" w:cs="Arial"/>
          <w:b/>
          <w:bCs/>
          <w:u w:val="single"/>
        </w:rPr>
      </w:pPr>
      <w:r w:rsidRPr="00801F94">
        <w:rPr>
          <w:rFonts w:ascii="Arial" w:hAnsi="Arial" w:cs="Arial"/>
          <w:b/>
          <w:bCs/>
          <w:u w:val="single"/>
        </w:rPr>
        <w:t>3.2.1 Effect of Contact Time</w:t>
      </w:r>
    </w:p>
    <w:p w:rsidR="006C523A" w:rsidRPr="00801F94" w:rsidRDefault="006C523A" w:rsidP="006C523A">
      <w:pPr>
        <w:spacing w:after="160" w:line="278" w:lineRule="auto"/>
        <w:contextualSpacing/>
        <w:jc w:val="both"/>
        <w:rPr>
          <w:rFonts w:ascii="Arial" w:hAnsi="Arial" w:cs="Arial"/>
        </w:rPr>
      </w:pPr>
      <w:bookmarkStart w:id="9" w:name="_Hlk227660549"/>
      <w:r w:rsidRPr="00801F94">
        <w:rPr>
          <w:rFonts w:ascii="Arial" w:hAnsi="Arial" w:cs="Arial"/>
        </w:rPr>
        <w:t xml:space="preserve">Figure 4 illustrates the influence of contact time on the adsorption of ampicillin onto ARH. The results reveal that adsorption efficiency was strongly time-dependent, particularly during the initial stage. Removal efficiency rose sharply from 0% at 0 s to ~60% within 5 </w:t>
      </w:r>
      <w:proofErr w:type="spellStart"/>
      <w:r w:rsidR="00581EE4" w:rsidRPr="00801F94">
        <w:rPr>
          <w:rFonts w:ascii="Arial" w:hAnsi="Arial" w:cs="Arial"/>
        </w:rPr>
        <w:t>mins</w:t>
      </w:r>
      <w:proofErr w:type="spellEnd"/>
      <w:r w:rsidRPr="00801F94">
        <w:rPr>
          <w:rFonts w:ascii="Arial" w:hAnsi="Arial" w:cs="Arial"/>
        </w:rPr>
        <w:t xml:space="preserve">, then increased further to ~72% at 10 </w:t>
      </w:r>
      <w:r w:rsidR="008C565F" w:rsidRPr="00801F94">
        <w:rPr>
          <w:rFonts w:ascii="Arial" w:hAnsi="Arial" w:cs="Arial"/>
        </w:rPr>
        <w:t>min</w:t>
      </w:r>
      <w:r w:rsidRPr="00801F94">
        <w:rPr>
          <w:rFonts w:ascii="Arial" w:hAnsi="Arial" w:cs="Arial"/>
        </w:rPr>
        <w:t xml:space="preserve"> and ~80% at 15 </w:t>
      </w:r>
      <w:r w:rsidR="008C565F" w:rsidRPr="00801F94">
        <w:rPr>
          <w:rFonts w:ascii="Arial" w:hAnsi="Arial" w:cs="Arial"/>
        </w:rPr>
        <w:t>min</w:t>
      </w:r>
      <w:r w:rsidRPr="00801F94">
        <w:rPr>
          <w:rFonts w:ascii="Arial" w:hAnsi="Arial" w:cs="Arial"/>
        </w:rPr>
        <w:t>. This rapid uptake is attributed to the abundance of vacant active sites on the ARH surface and the steep concentration gradient between the solution and adsorbent, which enhanced mass transfer and adsorption kinetics.</w:t>
      </w:r>
    </w:p>
    <w:p w:rsidR="006C523A" w:rsidRPr="00801F94" w:rsidRDefault="006C523A" w:rsidP="006C523A">
      <w:pPr>
        <w:spacing w:after="160" w:line="278" w:lineRule="auto"/>
        <w:contextualSpacing/>
        <w:jc w:val="both"/>
        <w:rPr>
          <w:rFonts w:ascii="Arial" w:hAnsi="Arial" w:cs="Arial"/>
        </w:rPr>
      </w:pPr>
      <w:r w:rsidRPr="00801F94">
        <w:rPr>
          <w:rFonts w:ascii="Arial" w:hAnsi="Arial" w:cs="Arial"/>
        </w:rPr>
        <w:t xml:space="preserve">Adsorption continued to rise gradually, reaching a maximum of ~82% at 30 </w:t>
      </w:r>
      <w:r w:rsidR="008C565F" w:rsidRPr="00801F94">
        <w:rPr>
          <w:rFonts w:ascii="Arial" w:hAnsi="Arial" w:cs="Arial"/>
        </w:rPr>
        <w:t>min</w:t>
      </w:r>
      <w:r w:rsidRPr="00801F94">
        <w:rPr>
          <w:rFonts w:ascii="Arial" w:hAnsi="Arial" w:cs="Arial"/>
        </w:rPr>
        <w:t xml:space="preserve">. The slower increase beyond the initial stage reflects progressive site occupation, reduced availability of active sites, and increased diffusion resistance. Such </w:t>
      </w:r>
      <w:proofErr w:type="spellStart"/>
      <w:r w:rsidRPr="00801F94">
        <w:rPr>
          <w:rFonts w:ascii="Arial" w:hAnsi="Arial" w:cs="Arial"/>
        </w:rPr>
        <w:t>behaviour</w:t>
      </w:r>
      <w:proofErr w:type="spellEnd"/>
      <w:r w:rsidRPr="00801F94">
        <w:rPr>
          <w:rFonts w:ascii="Arial" w:hAnsi="Arial" w:cs="Arial"/>
        </w:rPr>
        <w:t xml:space="preserve"> is typical of adsorption systems, where rapid uptake occurs initially, followed by a slower approach to equilibrium as sites become saturated (Al-</w:t>
      </w:r>
      <w:proofErr w:type="spellStart"/>
      <w:r w:rsidRPr="00801F94">
        <w:rPr>
          <w:rFonts w:ascii="Arial" w:hAnsi="Arial" w:cs="Arial"/>
        </w:rPr>
        <w:t>Joubory</w:t>
      </w:r>
      <w:proofErr w:type="spellEnd"/>
      <w:r w:rsidRPr="00801F94">
        <w:rPr>
          <w:rFonts w:ascii="Arial" w:hAnsi="Arial" w:cs="Arial"/>
        </w:rPr>
        <w:t xml:space="preserve"> et. al, 2023, Ali et. al, 2021).</w:t>
      </w:r>
    </w:p>
    <w:p w:rsidR="006C523A" w:rsidRPr="00801F94" w:rsidRDefault="006C523A" w:rsidP="006C523A">
      <w:pPr>
        <w:spacing w:after="160" w:line="278" w:lineRule="auto"/>
        <w:contextualSpacing/>
        <w:jc w:val="both"/>
        <w:rPr>
          <w:rFonts w:ascii="Arial" w:hAnsi="Arial" w:cs="Arial"/>
        </w:rPr>
      </w:pPr>
      <w:r w:rsidRPr="00801F94">
        <w:rPr>
          <w:rFonts w:ascii="Arial" w:hAnsi="Arial" w:cs="Arial"/>
        </w:rPr>
        <w:t>Beyond 30 min, adsorption efficiency slightly declined and stabilized between ~75–80% from 60 to 180 min, indicating equilibrium was achieved at ~30 min. At equilibrium, adsorption and desorption rates balance, resulting in no net change in capacity—a hallmark of adsorption processes (Kaur et. al, 2021).</w:t>
      </w:r>
    </w:p>
    <w:p w:rsidR="006C523A" w:rsidRPr="00801F94" w:rsidRDefault="006C523A" w:rsidP="006C523A">
      <w:pPr>
        <w:spacing w:after="160" w:line="278" w:lineRule="auto"/>
        <w:contextualSpacing/>
        <w:jc w:val="both"/>
        <w:rPr>
          <w:rFonts w:ascii="Arial" w:hAnsi="Arial" w:cs="Arial"/>
        </w:rPr>
      </w:pPr>
      <w:r w:rsidRPr="00801F94">
        <w:rPr>
          <w:rFonts w:ascii="Arial" w:hAnsi="Arial" w:cs="Arial"/>
        </w:rPr>
        <w:t xml:space="preserve">The rapid equilibrium observed here highlights the enhanced adsorption properties conferred by acid modification, which increases surface area, pore accessibility, and the density of functional groups, thereby improving affinity for pharmaceutical molecules. Similar findings have been reported for rice husk-based adsorbents, where equilibrium is reached quickly due to improved textural and reactive properties (Romero-Hernandez et. al, 2024; </w:t>
      </w:r>
      <w:proofErr w:type="spellStart"/>
      <w:r w:rsidRPr="00801F94">
        <w:rPr>
          <w:rFonts w:ascii="Arial" w:hAnsi="Arial" w:cs="Arial"/>
        </w:rPr>
        <w:t>Adamu</w:t>
      </w:r>
      <w:proofErr w:type="spellEnd"/>
      <w:r w:rsidRPr="00801F94">
        <w:rPr>
          <w:rFonts w:ascii="Arial" w:hAnsi="Arial" w:cs="Arial"/>
        </w:rPr>
        <w:t xml:space="preserve"> et. al, 2025)</w:t>
      </w:r>
    </w:p>
    <w:p w:rsidR="006C523A" w:rsidRPr="00801F94" w:rsidRDefault="006C523A" w:rsidP="006C523A">
      <w:pPr>
        <w:spacing w:after="160" w:line="278" w:lineRule="auto"/>
        <w:contextualSpacing/>
        <w:jc w:val="both"/>
        <w:rPr>
          <w:rFonts w:ascii="Arial" w:hAnsi="Arial" w:cs="Arial"/>
        </w:rPr>
      </w:pPr>
      <w:r w:rsidRPr="00801F94">
        <w:rPr>
          <w:rFonts w:ascii="Arial" w:hAnsi="Arial" w:cs="Arial"/>
        </w:rPr>
        <w:t xml:space="preserve">From a practical standpoint, the fast adsorption rate is advantageous for wastewater treatment, as it minimizes treatment time </w:t>
      </w:r>
      <w:bookmarkEnd w:id="9"/>
      <w:r w:rsidRPr="00801F94">
        <w:rPr>
          <w:rFonts w:ascii="Arial" w:hAnsi="Arial" w:cs="Arial"/>
        </w:rPr>
        <w:t xml:space="preserve">and enhances efficiency. Based on these results, </w:t>
      </w:r>
      <w:r w:rsidRPr="00801F94">
        <w:rPr>
          <w:rFonts w:ascii="Arial" w:hAnsi="Arial" w:cs="Arial"/>
        </w:rPr>
        <w:lastRenderedPageBreak/>
        <w:t xml:space="preserve">the optimum contact time for ampicillin adsorption onto ARH is 30 </w:t>
      </w:r>
      <w:r w:rsidR="008C565F" w:rsidRPr="00801F94">
        <w:rPr>
          <w:rFonts w:ascii="Arial" w:hAnsi="Arial" w:cs="Arial"/>
        </w:rPr>
        <w:t>min</w:t>
      </w:r>
      <w:r w:rsidRPr="00801F94">
        <w:rPr>
          <w:rFonts w:ascii="Arial" w:hAnsi="Arial" w:cs="Arial"/>
        </w:rPr>
        <w:t>, corresponding to the maximum removal efficiency observed.</w:t>
      </w:r>
    </w:p>
    <w:p w:rsidR="00F4243E" w:rsidRPr="00801F94" w:rsidRDefault="00F4243E" w:rsidP="00F4243E">
      <w:pPr>
        <w:pStyle w:val="Body"/>
        <w:spacing w:after="0"/>
        <w:jc w:val="center"/>
        <w:rPr>
          <w:rFonts w:ascii="Arial" w:hAnsi="Arial" w:cs="Arial"/>
        </w:rPr>
      </w:pPr>
      <w:r w:rsidRPr="00801F94">
        <w:rPr>
          <w:rFonts w:ascii="Arial" w:hAnsi="Arial" w:cs="Arial"/>
          <w:noProof/>
        </w:rPr>
        <w:drawing>
          <wp:inline distT="0" distB="0" distL="0" distR="0" wp14:anchorId="7D5D870C" wp14:editId="0812C762">
            <wp:extent cx="4572000" cy="1814170"/>
            <wp:effectExtent l="0" t="0" r="0" b="15240"/>
            <wp:docPr id="475379447" name="Chart 1">
              <a:extLst xmlns:a="http://schemas.openxmlformats.org/drawingml/2006/main">
                <a:ext uri="{FF2B5EF4-FFF2-40B4-BE49-F238E27FC236}">
                  <a16:creationId xmlns:a16="http://schemas.microsoft.com/office/drawing/2014/main" id="{91CFD80E-A93F-AF0F-3049-7F29C80E4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243E" w:rsidRPr="00801F94" w:rsidRDefault="00F4243E" w:rsidP="00F4243E">
      <w:pPr>
        <w:pStyle w:val="Body"/>
        <w:spacing w:after="0"/>
        <w:ind w:left="1440"/>
        <w:rPr>
          <w:rFonts w:ascii="Arial" w:hAnsi="Arial" w:cs="Arial"/>
          <w:b/>
          <w:bCs/>
          <w:lang w:val="en-GB"/>
        </w:rPr>
      </w:pPr>
      <w:r w:rsidRPr="00801F94">
        <w:rPr>
          <w:rFonts w:ascii="Arial" w:hAnsi="Arial" w:cs="Arial"/>
          <w:b/>
          <w:bCs/>
          <w:lang w:val="en-GB"/>
        </w:rPr>
        <w:t xml:space="preserve">  Fig 4: Effects of time on the mean percentage removal of ampicillin </w:t>
      </w:r>
    </w:p>
    <w:p w:rsidR="00F4243E" w:rsidRPr="00801F94" w:rsidRDefault="00F4243E" w:rsidP="00F4243E">
      <w:pPr>
        <w:pStyle w:val="Body"/>
        <w:spacing w:after="0"/>
        <w:rPr>
          <w:rFonts w:ascii="Arial" w:hAnsi="Arial" w:cs="Arial"/>
          <w:b/>
          <w:bCs/>
          <w:lang w:val="en-GB"/>
        </w:rPr>
      </w:pPr>
    </w:p>
    <w:p w:rsidR="00F4243E" w:rsidRPr="00801F94" w:rsidRDefault="00F4243E" w:rsidP="00F4243E">
      <w:pPr>
        <w:pStyle w:val="Body"/>
        <w:spacing w:after="0"/>
        <w:rPr>
          <w:rFonts w:ascii="Arial" w:hAnsi="Arial" w:cs="Arial"/>
          <w:b/>
          <w:bCs/>
          <w:u w:val="single"/>
        </w:rPr>
      </w:pPr>
      <w:r w:rsidRPr="00801F94">
        <w:rPr>
          <w:rFonts w:ascii="Arial" w:hAnsi="Arial" w:cs="Arial"/>
          <w:b/>
          <w:bCs/>
          <w:u w:val="single"/>
        </w:rPr>
        <w:t>3.2.2 Effect of ARH dosage</w:t>
      </w:r>
    </w:p>
    <w:p w:rsidR="00E46E6E" w:rsidRPr="00801F94" w:rsidRDefault="00F4243E" w:rsidP="00F4243E">
      <w:pPr>
        <w:pStyle w:val="Body"/>
        <w:spacing w:after="0"/>
        <w:rPr>
          <w:rFonts w:ascii="Arial" w:hAnsi="Arial" w:cs="Arial"/>
        </w:rPr>
      </w:pPr>
      <w:r w:rsidRPr="00801F94">
        <w:rPr>
          <w:rFonts w:ascii="Arial" w:hAnsi="Arial" w:cs="Arial"/>
        </w:rPr>
        <w:t xml:space="preserve">Fig. 5 illustrates the effect of ARH dosage on ampicillin removal. </w:t>
      </w:r>
      <w:r w:rsidRPr="00801F94">
        <w:rPr>
          <w:rFonts w:ascii="Arial" w:hAnsi="Arial" w:cs="Arial"/>
          <w:lang w:val="en-GB"/>
        </w:rPr>
        <w:t>The adsorbent dosage demonstrates a pronounced negative influence on ampicillin removal efficiency, with the removal rate declining sharply from over 85% to approximately 72% as the dosage increases from 1.0 to 5.0 g/L. This trend is typically attributed to the phenomenon of adsorbent oversupply, which can promote particle aggregation and subsequently reduce the effective surface area available for adsorption. Such aggregation may hinder mass transfer between the solute molecules and active binding sites, thereby diminishing overall adsorption performance. These findings suggest that lower dosages of acid-modified rice husk (ARH) are more effective</w:t>
      </w:r>
      <w:r w:rsidR="00E46E6E" w:rsidRPr="00801F94">
        <w:rPr>
          <w:rFonts w:ascii="Arial" w:hAnsi="Arial" w:cs="Arial"/>
          <w:lang w:val="en-GB"/>
        </w:rPr>
        <w:t xml:space="preserve"> (</w:t>
      </w:r>
      <w:proofErr w:type="spellStart"/>
      <w:r w:rsidR="00E46E6E" w:rsidRPr="00801F94">
        <w:rPr>
          <w:rFonts w:ascii="Arial" w:hAnsi="Arial" w:cs="Arial"/>
        </w:rPr>
        <w:t>Nausheen</w:t>
      </w:r>
      <w:proofErr w:type="spellEnd"/>
      <w:r w:rsidR="00E46E6E" w:rsidRPr="00801F94">
        <w:rPr>
          <w:rFonts w:ascii="Arial" w:hAnsi="Arial" w:cs="Arial"/>
        </w:rPr>
        <w:t xml:space="preserve"> et. al,</w:t>
      </w:r>
      <w:r w:rsidR="00A273FB" w:rsidRPr="00801F94">
        <w:rPr>
          <w:rFonts w:ascii="Arial" w:hAnsi="Arial" w:cs="Arial"/>
        </w:rPr>
        <w:t xml:space="preserve"> 2020)</w:t>
      </w:r>
      <w:r w:rsidRPr="00801F94">
        <w:rPr>
          <w:rFonts w:ascii="Arial" w:hAnsi="Arial" w:cs="Arial"/>
          <w:lang w:val="en-GB"/>
        </w:rPr>
        <w:t>, likely due to enhanced utilization of surface sites and improved solute–adsorbent interactions</w:t>
      </w:r>
      <w:r w:rsidR="00E46E6E" w:rsidRPr="00801F94">
        <w:rPr>
          <w:rFonts w:ascii="Arial" w:hAnsi="Arial" w:cs="Arial"/>
          <w:lang w:val="en-GB"/>
        </w:rPr>
        <w:t xml:space="preserve"> (</w:t>
      </w:r>
      <w:proofErr w:type="spellStart"/>
      <w:r w:rsidR="00E46E6E" w:rsidRPr="00801F94">
        <w:rPr>
          <w:rFonts w:ascii="Arial" w:hAnsi="Arial" w:cs="Arial"/>
        </w:rPr>
        <w:t>Kuppusamy</w:t>
      </w:r>
      <w:proofErr w:type="spellEnd"/>
      <w:r w:rsidR="00E46E6E" w:rsidRPr="00801F94">
        <w:rPr>
          <w:rFonts w:ascii="Arial" w:hAnsi="Arial" w:cs="Arial"/>
        </w:rPr>
        <w:t xml:space="preserve"> et. al, 2026).</w:t>
      </w:r>
    </w:p>
    <w:p w:rsidR="00E5132C" w:rsidRPr="00801F94" w:rsidRDefault="00E5132C" w:rsidP="00F4243E">
      <w:pPr>
        <w:pStyle w:val="Body"/>
        <w:spacing w:after="0"/>
        <w:rPr>
          <w:rFonts w:ascii="Arial" w:hAnsi="Arial" w:cs="Arial"/>
          <w:lang w:val="en-GB"/>
        </w:rPr>
      </w:pPr>
    </w:p>
    <w:p w:rsidR="00F4243E" w:rsidRPr="00801F94" w:rsidRDefault="003E2B81" w:rsidP="00F4243E">
      <w:pPr>
        <w:pStyle w:val="Body"/>
        <w:spacing w:after="0"/>
        <w:jc w:val="center"/>
        <w:rPr>
          <w:rFonts w:ascii="Arial" w:hAnsi="Arial" w:cs="Arial"/>
          <w:lang w:val="en-GB"/>
        </w:rPr>
      </w:pPr>
      <w:r w:rsidRPr="00801F94">
        <w:rPr>
          <w:rFonts w:ascii="Arial" w:hAnsi="Arial" w:cs="Arial"/>
          <w:noProof/>
        </w:rPr>
        <w:drawing>
          <wp:inline distT="0" distB="0" distL="0" distR="0" wp14:anchorId="70DC1904" wp14:editId="35A3F9B1">
            <wp:extent cx="4572000" cy="2743200"/>
            <wp:effectExtent l="0" t="0" r="0" b="0"/>
            <wp:docPr id="903494978" name="Chart 1">
              <a:extLst xmlns:a="http://schemas.openxmlformats.org/drawingml/2006/main">
                <a:ext uri="{FF2B5EF4-FFF2-40B4-BE49-F238E27FC236}">
                  <a16:creationId xmlns:a16="http://schemas.microsoft.com/office/drawing/2014/main" id="{FF37B430-C609-D5A1-BC0E-C8CACEB49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132C" w:rsidRPr="00801F94" w:rsidRDefault="00E5132C" w:rsidP="00F4243E">
      <w:pPr>
        <w:pStyle w:val="Body"/>
        <w:spacing w:after="0"/>
        <w:jc w:val="center"/>
        <w:rPr>
          <w:rFonts w:ascii="Arial" w:hAnsi="Arial" w:cs="Arial"/>
          <w:lang w:val="en-GB"/>
        </w:rPr>
      </w:pPr>
    </w:p>
    <w:p w:rsidR="00F4243E" w:rsidRPr="00801F94" w:rsidRDefault="00F4243E" w:rsidP="00F4243E">
      <w:pPr>
        <w:pStyle w:val="Body"/>
        <w:spacing w:after="0"/>
        <w:ind w:left="720"/>
        <w:rPr>
          <w:rFonts w:ascii="Arial" w:hAnsi="Arial" w:cs="Arial"/>
          <w:b/>
          <w:bCs/>
          <w:lang w:val="en-GB"/>
        </w:rPr>
      </w:pPr>
      <w:r w:rsidRPr="00801F94">
        <w:rPr>
          <w:rFonts w:ascii="Arial" w:hAnsi="Arial" w:cs="Arial"/>
          <w:b/>
          <w:bCs/>
          <w:lang w:val="en-GB"/>
        </w:rPr>
        <w:t xml:space="preserve">Fig 5: Effects </w:t>
      </w:r>
      <w:r w:rsidR="00D30A4D" w:rsidRPr="00801F94">
        <w:rPr>
          <w:rFonts w:ascii="Arial" w:hAnsi="Arial" w:cs="Arial"/>
          <w:b/>
          <w:bCs/>
          <w:lang w:val="en-GB"/>
        </w:rPr>
        <w:t>of ARH</w:t>
      </w:r>
      <w:r w:rsidRPr="00801F94">
        <w:rPr>
          <w:rFonts w:ascii="Arial" w:hAnsi="Arial" w:cs="Arial"/>
          <w:b/>
          <w:bCs/>
          <w:lang w:val="en-GB"/>
        </w:rPr>
        <w:t xml:space="preserve"> dosage on the mean percentage removal of ampicillin</w:t>
      </w:r>
    </w:p>
    <w:p w:rsidR="00F4243E" w:rsidRPr="00801F94" w:rsidRDefault="00F4243E" w:rsidP="00F4243E">
      <w:pPr>
        <w:pStyle w:val="Body"/>
        <w:spacing w:after="0"/>
        <w:rPr>
          <w:rFonts w:ascii="Arial" w:hAnsi="Arial" w:cs="Arial"/>
          <w:b/>
          <w:bCs/>
          <w:lang w:val="en-GB"/>
        </w:rPr>
      </w:pPr>
    </w:p>
    <w:p w:rsidR="00F4243E" w:rsidRPr="00801F94" w:rsidRDefault="00F4243E" w:rsidP="00F4243E">
      <w:pPr>
        <w:pStyle w:val="Body"/>
        <w:spacing w:after="0"/>
        <w:rPr>
          <w:rFonts w:ascii="Arial" w:hAnsi="Arial" w:cs="Arial"/>
          <w:b/>
          <w:bCs/>
          <w:u w:val="single"/>
        </w:rPr>
      </w:pPr>
      <w:r w:rsidRPr="00801F94">
        <w:rPr>
          <w:rFonts w:ascii="Arial" w:hAnsi="Arial" w:cs="Arial"/>
          <w:b/>
          <w:bCs/>
          <w:u w:val="single"/>
        </w:rPr>
        <w:t>3.2.3 Effect of Initial Ampicillin Concentration</w:t>
      </w:r>
    </w:p>
    <w:p w:rsidR="00F4243E" w:rsidRPr="00801F94" w:rsidRDefault="00F4243E" w:rsidP="00F4243E">
      <w:pPr>
        <w:pStyle w:val="Body"/>
        <w:spacing w:after="0"/>
        <w:rPr>
          <w:rFonts w:ascii="Arial" w:hAnsi="Arial" w:cs="Arial"/>
        </w:rPr>
      </w:pPr>
      <w:r w:rsidRPr="00801F94">
        <w:rPr>
          <w:rFonts w:ascii="Arial" w:hAnsi="Arial" w:cs="Arial"/>
        </w:rPr>
        <w:lastRenderedPageBreak/>
        <w:t xml:space="preserve">The influence of initial ampicillin concentration on its removal is presented in fig. 6. The percentage removal of ampicillin showed a clear positive correlation with increasing initial ampicillin concentration up to a certain point (approximately </w:t>
      </w:r>
      <w:r w:rsidR="00A273FB" w:rsidRPr="00801F94">
        <w:rPr>
          <w:rFonts w:ascii="Arial" w:hAnsi="Arial" w:cs="Arial"/>
        </w:rPr>
        <w:t>4.3</w:t>
      </w:r>
      <w:r w:rsidRPr="00801F94">
        <w:rPr>
          <w:rFonts w:ascii="Arial" w:hAnsi="Arial" w:cs="Arial"/>
        </w:rPr>
        <w:t xml:space="preserve"> mg/L), after which it began to slightly decline. Initially, as the concentration of ampicillin increased, the driving force for mass transfer from the solution to the adsorbent surface also increased, leading to a higher percentage of removal. This suggests that at lower concentrations, active sites on the adsorbent are readily available and utilized effectively. The subsequent slight decrease in removal efficiency at very high concentrations might be attributed to the saturation of available adsorption sites on the acid-modified rice husk, where the adsorbent capacity becomes limiting relative to the number of ampicillin molecules in solution</w:t>
      </w:r>
      <w:r w:rsidR="00A273FB" w:rsidRPr="00801F94">
        <w:rPr>
          <w:rFonts w:ascii="Arial" w:hAnsi="Arial" w:cs="Arial"/>
        </w:rPr>
        <w:t xml:space="preserve"> (Gupta et. al, S., 2025).</w:t>
      </w:r>
      <w:r w:rsidRPr="00801F94">
        <w:rPr>
          <w:rFonts w:ascii="Arial" w:hAnsi="Arial" w:cs="Arial"/>
        </w:rPr>
        <w:t xml:space="preserve"> This indicates an optimal initial concentration range where the adsorbent is most effective in removing ampicillin.</w:t>
      </w:r>
    </w:p>
    <w:p w:rsidR="00066D12" w:rsidRPr="00801F94" w:rsidRDefault="00066D12" w:rsidP="00F4243E">
      <w:pPr>
        <w:pStyle w:val="Body"/>
        <w:spacing w:after="0"/>
        <w:rPr>
          <w:rFonts w:ascii="Arial" w:hAnsi="Arial" w:cs="Arial"/>
        </w:rPr>
      </w:pP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ind w:firstLine="720"/>
        <w:rPr>
          <w:rFonts w:ascii="Arial" w:hAnsi="Arial" w:cs="Arial"/>
          <w:b/>
          <w:bCs/>
          <w:lang w:val="en-GB"/>
        </w:rPr>
      </w:pPr>
      <w:r w:rsidRPr="00801F94">
        <w:rPr>
          <w:rFonts w:ascii="Arial" w:hAnsi="Arial" w:cs="Arial"/>
          <w:noProof/>
        </w:rPr>
        <w:drawing>
          <wp:inline distT="0" distB="0" distL="0" distR="0" wp14:anchorId="4886AF81" wp14:editId="7207D3C2">
            <wp:extent cx="4572000" cy="2362809"/>
            <wp:effectExtent l="0" t="0" r="0" b="0"/>
            <wp:docPr id="915967450" name="Chart 1">
              <a:extLst xmlns:a="http://schemas.openxmlformats.org/drawingml/2006/main">
                <a:ext uri="{FF2B5EF4-FFF2-40B4-BE49-F238E27FC236}">
                  <a16:creationId xmlns:a16="http://schemas.microsoft.com/office/drawing/2014/main" id="{95585CBD-767A-9DFA-73EF-3259EDD78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243E" w:rsidRPr="00801F94" w:rsidRDefault="00F4243E" w:rsidP="00F4243E">
      <w:pPr>
        <w:pStyle w:val="Body"/>
        <w:spacing w:after="0"/>
        <w:ind w:firstLine="720"/>
        <w:rPr>
          <w:rFonts w:ascii="Arial" w:hAnsi="Arial" w:cs="Arial"/>
          <w:b/>
          <w:bCs/>
          <w:lang w:val="en-GB"/>
        </w:rPr>
      </w:pPr>
    </w:p>
    <w:p w:rsidR="00F4243E" w:rsidRPr="00801F94" w:rsidRDefault="00F4243E" w:rsidP="00F4243E">
      <w:pPr>
        <w:pStyle w:val="Body"/>
        <w:spacing w:after="0"/>
        <w:ind w:firstLine="720"/>
        <w:rPr>
          <w:rFonts w:ascii="Arial" w:hAnsi="Arial" w:cs="Arial"/>
          <w:b/>
          <w:bCs/>
          <w:lang w:val="en-GB"/>
        </w:rPr>
      </w:pPr>
      <w:r w:rsidRPr="00801F94">
        <w:rPr>
          <w:rFonts w:ascii="Arial" w:hAnsi="Arial" w:cs="Arial"/>
          <w:b/>
          <w:bCs/>
          <w:lang w:val="en-GB"/>
        </w:rPr>
        <w:t>Fig 6: Effects of concentration on the mean percentage removal of ampicillin</w:t>
      </w:r>
    </w:p>
    <w:p w:rsidR="00F4243E" w:rsidRPr="00801F94" w:rsidRDefault="00F4243E" w:rsidP="00F4243E">
      <w:pPr>
        <w:pStyle w:val="Body"/>
        <w:spacing w:after="0"/>
        <w:rPr>
          <w:rFonts w:ascii="Arial" w:hAnsi="Arial" w:cs="Arial"/>
          <w:b/>
          <w:bCs/>
          <w:lang w:val="en-GB"/>
        </w:rPr>
      </w:pPr>
    </w:p>
    <w:p w:rsidR="00C036A3"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3.3. Response Surface Optimization and Model Validation</w:t>
      </w:r>
    </w:p>
    <w:p w:rsidR="00C036A3" w:rsidRPr="00801F94" w:rsidRDefault="00C036A3" w:rsidP="00F4243E">
      <w:pPr>
        <w:pStyle w:val="Body"/>
        <w:spacing w:after="0"/>
        <w:rPr>
          <w:rFonts w:ascii="Arial" w:hAnsi="Arial" w:cs="Arial"/>
        </w:rPr>
      </w:pPr>
    </w:p>
    <w:p w:rsidR="00F4243E" w:rsidRPr="00801F94" w:rsidRDefault="00F4243E" w:rsidP="00044E52">
      <w:pPr>
        <w:jc w:val="both"/>
        <w:rPr>
          <w:rFonts w:ascii="Arial" w:hAnsi="Arial" w:cs="Arial"/>
        </w:rPr>
      </w:pPr>
      <w:r w:rsidRPr="00801F94">
        <w:rPr>
          <w:rFonts w:ascii="Arial" w:hAnsi="Arial" w:cs="Arial"/>
        </w:rPr>
        <w:t xml:space="preserve">Table </w:t>
      </w:r>
      <w:r w:rsidR="0053350D" w:rsidRPr="00801F94">
        <w:rPr>
          <w:rFonts w:ascii="Arial" w:hAnsi="Arial" w:cs="Arial"/>
        </w:rPr>
        <w:t>3</w:t>
      </w:r>
      <w:r w:rsidRPr="00801F94">
        <w:rPr>
          <w:rFonts w:ascii="Arial" w:hAnsi="Arial" w:cs="Arial"/>
        </w:rPr>
        <w:t xml:space="preserve"> presents the design matrix together with the experimentally determined percentage removal efficiencies and the corresponding values predicted by the developed quadratic model. </w:t>
      </w:r>
      <w:bookmarkStart w:id="10" w:name="_Hlk228183334"/>
      <w:r w:rsidRPr="00801F94">
        <w:rPr>
          <w:rFonts w:ascii="Arial" w:hAnsi="Arial" w:cs="Arial"/>
        </w:rPr>
        <w:t xml:space="preserve">The predicted values ranged from 55.78% and 90.10% closely aligning with the experimental percentage removal efficiencies </w:t>
      </w:r>
      <w:bookmarkEnd w:id="10"/>
      <w:r w:rsidRPr="00801F94">
        <w:rPr>
          <w:rFonts w:ascii="Arial" w:hAnsi="Arial" w:cs="Arial"/>
        </w:rPr>
        <w:t xml:space="preserve">that varied </w:t>
      </w:r>
      <w:proofErr w:type="gramStart"/>
      <w:r w:rsidRPr="00801F94">
        <w:rPr>
          <w:rFonts w:ascii="Arial" w:hAnsi="Arial" w:cs="Arial"/>
        </w:rPr>
        <w:t>between 52.91% to 89.93%</w:t>
      </w:r>
      <w:proofErr w:type="gramEnd"/>
      <w:r w:rsidRPr="00801F94">
        <w:rPr>
          <w:rFonts w:ascii="Arial" w:hAnsi="Arial" w:cs="Arial"/>
        </w:rPr>
        <w:t xml:space="preserve">.  This close agreement between predicted and observed values robustly affirms the adequacy and predictive capability of the quadratic model in describing the complex </w:t>
      </w:r>
      <w:proofErr w:type="spellStart"/>
      <w:r w:rsidRPr="00801F94">
        <w:rPr>
          <w:rFonts w:ascii="Arial" w:hAnsi="Arial" w:cs="Arial"/>
        </w:rPr>
        <w:t>behaviour</w:t>
      </w:r>
      <w:proofErr w:type="spellEnd"/>
      <w:r w:rsidRPr="00801F94">
        <w:rPr>
          <w:rFonts w:ascii="Arial" w:hAnsi="Arial" w:cs="Arial"/>
        </w:rPr>
        <w:t xml:space="preserve"> of the ampicillin adsorption process. The highest removal efficiency observed was 89.93% (Run 1: A = </w:t>
      </w:r>
      <w:r w:rsidR="00C036A3" w:rsidRPr="00801F94">
        <w:rPr>
          <w:rFonts w:ascii="Arial" w:hAnsi="Arial" w:cs="Arial"/>
        </w:rPr>
        <w:t>105 min</w:t>
      </w:r>
      <w:r w:rsidRPr="00801F94">
        <w:rPr>
          <w:rFonts w:ascii="Arial" w:hAnsi="Arial" w:cs="Arial"/>
        </w:rPr>
        <w:t xml:space="preserve">, B = </w:t>
      </w:r>
      <w:r w:rsidR="00C036A3" w:rsidRPr="00801F94">
        <w:rPr>
          <w:rFonts w:ascii="Arial" w:hAnsi="Arial" w:cs="Arial"/>
        </w:rPr>
        <w:t>1 g</w:t>
      </w:r>
      <w:r w:rsidRPr="00801F94">
        <w:rPr>
          <w:rFonts w:ascii="Arial" w:hAnsi="Arial" w:cs="Arial"/>
        </w:rPr>
        <w:t xml:space="preserve">, C = </w:t>
      </w:r>
      <w:r w:rsidR="00C036A3" w:rsidRPr="00801F94">
        <w:rPr>
          <w:rFonts w:ascii="Arial" w:hAnsi="Arial" w:cs="Arial"/>
        </w:rPr>
        <w:t>3 mg/L</w:t>
      </w:r>
      <w:r w:rsidRPr="00801F94">
        <w:rPr>
          <w:rFonts w:ascii="Arial" w:hAnsi="Arial" w:cs="Arial"/>
        </w:rPr>
        <w:t xml:space="preserve">), with the model predicting a very similar value of 90.10%. This high removal, achieved at a lower contact time and moderate initial concentration with an optimized dosage, suggests an efficient initial diffusion gradient and sufficient availability of active adsorption sites. Conversely, the minimum removal efficiency of 52.91% was recorded in Run 6 (A = </w:t>
      </w:r>
      <w:r w:rsidR="00C036A3" w:rsidRPr="00801F94">
        <w:rPr>
          <w:rFonts w:ascii="Arial" w:hAnsi="Arial" w:cs="Arial"/>
        </w:rPr>
        <w:t>105 min</w:t>
      </w:r>
      <w:r w:rsidRPr="00801F94">
        <w:rPr>
          <w:rFonts w:ascii="Arial" w:hAnsi="Arial" w:cs="Arial"/>
        </w:rPr>
        <w:t xml:space="preserve">, B = </w:t>
      </w:r>
      <w:r w:rsidR="00C036A3" w:rsidRPr="00801F94">
        <w:rPr>
          <w:rFonts w:ascii="Arial" w:hAnsi="Arial" w:cs="Arial"/>
        </w:rPr>
        <w:t>3 g</w:t>
      </w:r>
      <w:r w:rsidRPr="00801F94">
        <w:rPr>
          <w:rFonts w:ascii="Arial" w:hAnsi="Arial" w:cs="Arial"/>
        </w:rPr>
        <w:t xml:space="preserve">, C = </w:t>
      </w:r>
      <w:r w:rsidR="00DE1086" w:rsidRPr="00801F94">
        <w:rPr>
          <w:rFonts w:ascii="Arial" w:hAnsi="Arial" w:cs="Arial"/>
        </w:rPr>
        <w:t>5mg/L</w:t>
      </w:r>
      <w:r w:rsidRPr="00801F94">
        <w:rPr>
          <w:rFonts w:ascii="Arial" w:hAnsi="Arial" w:cs="Arial"/>
        </w:rPr>
        <w:t xml:space="preserve">). This outcome is likely attributable to an insufficient quantity of adsorbent at </w:t>
      </w:r>
      <w:r w:rsidR="00DE1086" w:rsidRPr="00801F94">
        <w:rPr>
          <w:rFonts w:ascii="Arial" w:hAnsi="Arial" w:cs="Arial"/>
        </w:rPr>
        <w:t>high concentration</w:t>
      </w:r>
      <w:r w:rsidRPr="00801F94">
        <w:rPr>
          <w:rFonts w:ascii="Arial" w:hAnsi="Arial" w:cs="Arial"/>
        </w:rPr>
        <w:t xml:space="preserve"> levels, leading to incomplete ampicillin uptake and saturation of available sites. The consistent removal efficiencies observed across the </w:t>
      </w:r>
      <w:proofErr w:type="spellStart"/>
      <w:r w:rsidRPr="00801F94">
        <w:rPr>
          <w:rFonts w:ascii="Arial" w:hAnsi="Arial" w:cs="Arial"/>
        </w:rPr>
        <w:t>centre</w:t>
      </w:r>
      <w:proofErr w:type="spellEnd"/>
      <w:r w:rsidRPr="00801F94">
        <w:rPr>
          <w:rFonts w:ascii="Arial" w:hAnsi="Arial" w:cs="Arial"/>
        </w:rPr>
        <w:t xml:space="preserve"> point runs (Runs 8, 9, 10, 12, 14, 16), ranging from 77.6% to 79.3%, underscore the good reproducibility of the experimental methodology and the inherent precision of the adsorption measurements. </w:t>
      </w:r>
    </w:p>
    <w:p w:rsidR="00C036A3" w:rsidRPr="00801F94" w:rsidRDefault="00C036A3" w:rsidP="00044E52">
      <w:pPr>
        <w:jc w:val="both"/>
        <w:rPr>
          <w:rFonts w:ascii="Arial" w:hAnsi="Arial" w:cs="Arial"/>
        </w:rPr>
      </w:pPr>
    </w:p>
    <w:p w:rsidR="00C036A3" w:rsidRPr="00801F94" w:rsidRDefault="00C036A3" w:rsidP="00044E52">
      <w:pPr>
        <w:jc w:val="both"/>
        <w:rPr>
          <w:rFonts w:ascii="Arial" w:hAnsi="Arial" w:cs="Arial"/>
        </w:rPr>
      </w:pPr>
      <w:r w:rsidRPr="00801F94">
        <w:rPr>
          <w:rFonts w:ascii="Arial" w:hAnsi="Arial" w:cs="Arial"/>
        </w:rPr>
        <w:lastRenderedPageBreak/>
        <w:t>This comparison between the experimental and RSM-predicted responses shows good agreement, with most deviations within ±5%, indicating high predictive accuracy of the model. The average percentage error was approximately 2.</w:t>
      </w:r>
      <w:r w:rsidR="0017459C" w:rsidRPr="00801F94">
        <w:rPr>
          <w:rFonts w:ascii="Arial" w:hAnsi="Arial" w:cs="Arial"/>
        </w:rPr>
        <w:t>4</w:t>
      </w:r>
      <w:r w:rsidRPr="00801F94">
        <w:rPr>
          <w:rFonts w:ascii="Arial" w:hAnsi="Arial" w:cs="Arial"/>
        </w:rPr>
        <w:t>%, confirming the adequacy of the regression model in describing the adsorption process. However, a higher deviation was observed for one experimental run (Run 3), where the error reached 14.47%. This discrepancy may be attributed to experimental variability or stronger interaction effects at extreme factor levels, which are not fully captured by the quadratic model. Despite this, the overall consistency between predicted and experimental values demonstrates that the model is reliable for optimization within the studied range.</w:t>
      </w:r>
      <w:r w:rsidR="00C57A78" w:rsidRPr="00801F94">
        <w:rPr>
          <w:rFonts w:ascii="Arial" w:hAnsi="Arial" w:cs="Arial"/>
        </w:rPr>
        <w:t xml:space="preserve"> The predictive power of the RSM model was further demonstrated by the plot of the predicted percentage removal efficiency against the experimental percentage removal efficiency (fig 7a), which yielded high coefficient of determination R</w:t>
      </w:r>
      <w:r w:rsidR="00C57A78" w:rsidRPr="00801F94">
        <w:rPr>
          <w:rFonts w:ascii="Arial" w:hAnsi="Arial" w:cs="Arial"/>
          <w:vertAlign w:val="superscript"/>
        </w:rPr>
        <w:t xml:space="preserve">2 </w:t>
      </w:r>
      <w:r w:rsidR="00C57A78" w:rsidRPr="00801F94">
        <w:rPr>
          <w:rFonts w:ascii="Arial" w:hAnsi="Arial" w:cs="Arial"/>
        </w:rPr>
        <w:t>of</w:t>
      </w:r>
      <w:r w:rsidR="00044E52" w:rsidRPr="00801F94">
        <w:rPr>
          <w:rFonts w:ascii="Arial" w:hAnsi="Arial" w:cs="Arial"/>
        </w:rPr>
        <w:t xml:space="preserve"> 0.96</w:t>
      </w:r>
      <w:r w:rsidR="00223DA3" w:rsidRPr="00801F94">
        <w:rPr>
          <w:rFonts w:ascii="Arial" w:hAnsi="Arial" w:cs="Arial"/>
        </w:rPr>
        <w:t>6</w:t>
      </w:r>
      <w:r w:rsidR="00044E52" w:rsidRPr="00801F94">
        <w:rPr>
          <w:rFonts w:ascii="Arial" w:hAnsi="Arial" w:cs="Arial"/>
        </w:rPr>
        <w:t>9</w:t>
      </w:r>
    </w:p>
    <w:p w:rsidR="00F4243E" w:rsidRPr="00801F94" w:rsidRDefault="00F4243E" w:rsidP="00044E52">
      <w:pPr>
        <w:jc w:val="both"/>
        <w:rPr>
          <w:rFonts w:ascii="Arial" w:hAnsi="Arial" w:cs="Arial"/>
        </w:rPr>
      </w:pPr>
      <w:r w:rsidRPr="00801F94">
        <w:rPr>
          <w:rFonts w:ascii="Arial" w:hAnsi="Arial" w:cs="Arial"/>
        </w:rPr>
        <w:t>To assess the robustness of the regression model describing ampicillin removal by acid-modified rice husk (ARH), a residual plot analysis was performed. As shown in Figure 7</w:t>
      </w:r>
      <w:r w:rsidR="00C57A78" w:rsidRPr="00801F94">
        <w:rPr>
          <w:rFonts w:ascii="Arial" w:hAnsi="Arial" w:cs="Arial"/>
        </w:rPr>
        <w:t>b</w:t>
      </w:r>
      <w:r w:rsidRPr="00801F94">
        <w:rPr>
          <w:rFonts w:ascii="Arial" w:hAnsi="Arial" w:cs="Arial"/>
        </w:rPr>
        <w:t xml:space="preserve">, the residuals are minimal and are randomly dispersed around the zero line, indicating a strong agreement between the model’s predictions and the observed experimental data. This random distribution suggests that key regression assumptions—linearity, independence, and homoscedasticity—are reasonably upheld. Notably, the plot reveals no discernible patterns such as curvature or funnel-shaped spread, which would typically signal model misspecification due to non-linearity or heteroscedasticity. The even spread of residuals implies that the model does not systematically </w:t>
      </w:r>
      <w:proofErr w:type="spellStart"/>
      <w:r w:rsidRPr="00801F94">
        <w:rPr>
          <w:rFonts w:ascii="Arial" w:hAnsi="Arial" w:cs="Arial"/>
        </w:rPr>
        <w:t>overpredict</w:t>
      </w:r>
      <w:proofErr w:type="spellEnd"/>
      <w:r w:rsidRPr="00801F94">
        <w:rPr>
          <w:rFonts w:ascii="Arial" w:hAnsi="Arial" w:cs="Arial"/>
        </w:rPr>
        <w:t xml:space="preserve"> or </w:t>
      </w:r>
      <w:proofErr w:type="spellStart"/>
      <w:r w:rsidRPr="00801F94">
        <w:rPr>
          <w:rFonts w:ascii="Arial" w:hAnsi="Arial" w:cs="Arial"/>
        </w:rPr>
        <w:t>underpredict</w:t>
      </w:r>
      <w:proofErr w:type="spellEnd"/>
      <w:r w:rsidRPr="00801F94">
        <w:rPr>
          <w:rFonts w:ascii="Arial" w:hAnsi="Arial" w:cs="Arial"/>
        </w:rPr>
        <w:t xml:space="preserve"> ampicillin removal efficiency across the range of fitted values.</w:t>
      </w:r>
      <w:bookmarkStart w:id="11" w:name="_Hlk228183251"/>
      <w:r w:rsidR="00C57A78" w:rsidRPr="00801F94">
        <w:rPr>
          <w:rFonts w:ascii="Arial" w:hAnsi="Arial" w:cs="Arial"/>
        </w:rPr>
        <w:t>).</w:t>
      </w:r>
      <w:bookmarkEnd w:id="11"/>
      <w:r w:rsidR="00C57A78" w:rsidRPr="00801F94">
        <w:rPr>
          <w:rFonts w:ascii="Arial" w:hAnsi="Arial" w:cs="Arial"/>
        </w:rPr>
        <w:t xml:space="preserve"> </w:t>
      </w:r>
      <w:r w:rsidRPr="00801F94">
        <w:rPr>
          <w:rFonts w:ascii="Arial" w:hAnsi="Arial" w:cs="Arial"/>
        </w:rPr>
        <w:t>Consequently, the established model can be confidently employed to predict ampicillin adsorption across a wide range of operational conditions and to guide subsequent process optimization efforts.</w:t>
      </w:r>
    </w:p>
    <w:p w:rsidR="00DE1086" w:rsidRDefault="00DE1086" w:rsidP="00C036A3">
      <w:pPr>
        <w:pStyle w:val="Body"/>
        <w:spacing w:after="0"/>
        <w:rPr>
          <w:rFonts w:ascii="Arial" w:hAnsi="Arial" w:cs="Arial"/>
        </w:rPr>
      </w:pPr>
    </w:p>
    <w:p w:rsidR="0090540D" w:rsidRPr="00801F94" w:rsidRDefault="0090540D" w:rsidP="00C036A3">
      <w:pPr>
        <w:pStyle w:val="Body"/>
        <w:spacing w:after="0"/>
        <w:rPr>
          <w:rFonts w:ascii="Arial" w:hAnsi="Arial" w:cs="Arial"/>
        </w:rPr>
      </w:pPr>
    </w:p>
    <w:p w:rsidR="00DE1086" w:rsidRPr="00801F94" w:rsidRDefault="00DE1086" w:rsidP="00C036A3">
      <w:pPr>
        <w:pStyle w:val="Body"/>
        <w:spacing w:after="0"/>
        <w:rPr>
          <w:rFonts w:ascii="Arial" w:hAnsi="Arial" w:cs="Arial"/>
        </w:rPr>
      </w:pPr>
      <w:bookmarkStart w:id="12" w:name="_GoBack"/>
      <w:bookmarkEnd w:id="12"/>
    </w:p>
    <w:p w:rsidR="00F4243E" w:rsidRPr="00801F94" w:rsidRDefault="00F4243E" w:rsidP="00F4243E">
      <w:pPr>
        <w:ind w:left="1440" w:firstLine="720"/>
        <w:jc w:val="both"/>
        <w:rPr>
          <w:rFonts w:ascii="Arial" w:eastAsiaTheme="minorEastAsia" w:hAnsi="Arial" w:cs="Arial"/>
          <w:b/>
        </w:rPr>
      </w:pPr>
      <w:bookmarkStart w:id="13" w:name="_Hlk205347259"/>
      <w:r w:rsidRPr="00801F94">
        <w:rPr>
          <w:rFonts w:ascii="Arial" w:hAnsi="Arial" w:cs="Arial"/>
          <w:b/>
        </w:rPr>
        <w:t xml:space="preserve">Table </w:t>
      </w:r>
      <w:r w:rsidR="0053350D" w:rsidRPr="00801F94">
        <w:rPr>
          <w:rFonts w:ascii="Arial" w:hAnsi="Arial" w:cs="Arial"/>
          <w:b/>
        </w:rPr>
        <w:t>3</w:t>
      </w:r>
      <w:r w:rsidRPr="00801F94">
        <w:rPr>
          <w:rFonts w:ascii="Arial" w:hAnsi="Arial" w:cs="Arial"/>
          <w:b/>
        </w:rPr>
        <w:t>: Design matrix for ampicillin removal</w:t>
      </w:r>
    </w:p>
    <w:tbl>
      <w:tblPr>
        <w:tblStyle w:val="TableGrid"/>
        <w:tblW w:w="295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83"/>
        <w:gridCol w:w="930"/>
        <w:gridCol w:w="866"/>
        <w:gridCol w:w="745"/>
        <w:gridCol w:w="871"/>
      </w:tblGrid>
      <w:tr w:rsidR="00F4243E" w:rsidRPr="00801F94" w:rsidTr="009C5EA9">
        <w:trPr>
          <w:jc w:val="center"/>
        </w:trPr>
        <w:tc>
          <w:tcPr>
            <w:tcW w:w="669" w:type="pct"/>
            <w:tcBorders>
              <w:top w:val="single" w:sz="4" w:space="0" w:color="auto"/>
              <w:left w:val="nil"/>
              <w:bottom w:val="single" w:sz="4" w:space="0" w:color="auto"/>
              <w:right w:val="nil"/>
            </w:tcBorders>
            <w:hideMark/>
          </w:tcPr>
          <w:p w:rsidR="00F4243E" w:rsidRPr="00801F94" w:rsidRDefault="00F4243E" w:rsidP="009C5EA9">
            <w:pPr>
              <w:jc w:val="both"/>
              <w:rPr>
                <w:rFonts w:ascii="Arial" w:eastAsiaTheme="minorHAnsi" w:hAnsi="Arial" w:cs="Arial"/>
                <w:b/>
                <w:bCs/>
                <w:sz w:val="20"/>
                <w:szCs w:val="20"/>
                <w:lang w:val="en-GB"/>
              </w:rPr>
            </w:pPr>
            <w:bookmarkStart w:id="14" w:name="_Hlk228073137"/>
            <w:bookmarkEnd w:id="13"/>
            <w:r w:rsidRPr="00801F94">
              <w:rPr>
                <w:rFonts w:ascii="Arial" w:hAnsi="Arial" w:cs="Arial"/>
                <w:b/>
                <w:bCs/>
                <w:sz w:val="20"/>
                <w:szCs w:val="20"/>
              </w:rPr>
              <w:t>SN</w:t>
            </w:r>
          </w:p>
        </w:tc>
        <w:tc>
          <w:tcPr>
            <w:tcW w:w="808" w:type="pct"/>
            <w:tcBorders>
              <w:top w:val="single" w:sz="4" w:space="0" w:color="auto"/>
              <w:left w:val="nil"/>
              <w:bottom w:val="single" w:sz="4" w:space="0" w:color="auto"/>
              <w:right w:val="nil"/>
            </w:tcBorders>
            <w:hideMark/>
          </w:tcPr>
          <w:p w:rsidR="00F4243E" w:rsidRPr="00801F94" w:rsidRDefault="00F4243E" w:rsidP="009C5EA9">
            <w:pPr>
              <w:jc w:val="both"/>
              <w:rPr>
                <w:rFonts w:ascii="Arial" w:hAnsi="Arial" w:cs="Arial"/>
                <w:b/>
                <w:bCs/>
                <w:sz w:val="20"/>
                <w:szCs w:val="20"/>
              </w:rPr>
            </w:pPr>
            <w:r w:rsidRPr="00801F94">
              <w:rPr>
                <w:rFonts w:ascii="Arial" w:hAnsi="Arial" w:cs="Arial"/>
                <w:b/>
                <w:bCs/>
                <w:sz w:val="20"/>
                <w:szCs w:val="20"/>
              </w:rPr>
              <w:t>A</w:t>
            </w:r>
          </w:p>
        </w:tc>
        <w:tc>
          <w:tcPr>
            <w:tcW w:w="960" w:type="pct"/>
            <w:tcBorders>
              <w:top w:val="single" w:sz="4" w:space="0" w:color="auto"/>
              <w:left w:val="nil"/>
              <w:bottom w:val="single" w:sz="4" w:space="0" w:color="auto"/>
              <w:right w:val="nil"/>
            </w:tcBorders>
            <w:hideMark/>
          </w:tcPr>
          <w:p w:rsidR="00F4243E" w:rsidRPr="00801F94" w:rsidRDefault="00F4243E" w:rsidP="009C5EA9">
            <w:pPr>
              <w:jc w:val="both"/>
              <w:rPr>
                <w:rFonts w:ascii="Arial" w:hAnsi="Arial" w:cs="Arial"/>
                <w:b/>
                <w:bCs/>
                <w:sz w:val="20"/>
                <w:szCs w:val="20"/>
              </w:rPr>
            </w:pPr>
            <w:r w:rsidRPr="00801F94">
              <w:rPr>
                <w:rFonts w:ascii="Arial" w:hAnsi="Arial" w:cs="Arial"/>
                <w:b/>
                <w:bCs/>
                <w:sz w:val="20"/>
                <w:szCs w:val="20"/>
              </w:rPr>
              <w:t>B</w:t>
            </w:r>
          </w:p>
        </w:tc>
        <w:tc>
          <w:tcPr>
            <w:tcW w:w="894" w:type="pct"/>
            <w:tcBorders>
              <w:top w:val="single" w:sz="4" w:space="0" w:color="auto"/>
              <w:left w:val="nil"/>
              <w:bottom w:val="single" w:sz="4" w:space="0" w:color="auto"/>
              <w:right w:val="nil"/>
            </w:tcBorders>
            <w:hideMark/>
          </w:tcPr>
          <w:p w:rsidR="00F4243E" w:rsidRPr="00801F94" w:rsidRDefault="00F4243E" w:rsidP="009C5EA9">
            <w:pPr>
              <w:jc w:val="both"/>
              <w:rPr>
                <w:rFonts w:ascii="Arial" w:hAnsi="Arial" w:cs="Arial"/>
                <w:b/>
                <w:bCs/>
                <w:sz w:val="20"/>
                <w:szCs w:val="20"/>
              </w:rPr>
            </w:pPr>
            <w:r w:rsidRPr="00801F94">
              <w:rPr>
                <w:rFonts w:ascii="Arial" w:hAnsi="Arial" w:cs="Arial"/>
                <w:b/>
                <w:bCs/>
                <w:sz w:val="20"/>
                <w:szCs w:val="20"/>
              </w:rPr>
              <w:t>C</w:t>
            </w:r>
          </w:p>
        </w:tc>
        <w:tc>
          <w:tcPr>
            <w:tcW w:w="769" w:type="pct"/>
            <w:tcBorders>
              <w:top w:val="single" w:sz="4" w:space="0" w:color="auto"/>
              <w:left w:val="nil"/>
              <w:bottom w:val="single" w:sz="4" w:space="0" w:color="auto"/>
              <w:right w:val="nil"/>
            </w:tcBorders>
            <w:hideMark/>
          </w:tcPr>
          <w:p w:rsidR="00F4243E" w:rsidRPr="00801F94" w:rsidRDefault="00F4243E" w:rsidP="009C5EA9">
            <w:pPr>
              <w:jc w:val="both"/>
              <w:rPr>
                <w:rFonts w:ascii="Arial" w:hAnsi="Arial" w:cs="Arial"/>
                <w:b/>
                <w:bCs/>
                <w:sz w:val="20"/>
                <w:szCs w:val="20"/>
              </w:rPr>
            </w:pPr>
            <w:r w:rsidRPr="00801F94">
              <w:rPr>
                <w:rFonts w:ascii="Arial" w:hAnsi="Arial" w:cs="Arial"/>
                <w:b/>
                <w:bCs/>
                <w:sz w:val="20"/>
                <w:szCs w:val="20"/>
              </w:rPr>
              <w:t>EXP</w:t>
            </w:r>
          </w:p>
        </w:tc>
        <w:tc>
          <w:tcPr>
            <w:tcW w:w="899" w:type="pct"/>
            <w:tcBorders>
              <w:top w:val="single" w:sz="4" w:space="0" w:color="auto"/>
              <w:left w:val="nil"/>
              <w:bottom w:val="single" w:sz="4" w:space="0" w:color="auto"/>
              <w:right w:val="nil"/>
            </w:tcBorders>
            <w:hideMark/>
          </w:tcPr>
          <w:p w:rsidR="00F4243E" w:rsidRPr="00801F94" w:rsidRDefault="00F4243E" w:rsidP="009C5EA9">
            <w:pPr>
              <w:jc w:val="both"/>
              <w:rPr>
                <w:rFonts w:ascii="Arial" w:hAnsi="Arial" w:cs="Arial"/>
                <w:b/>
                <w:bCs/>
                <w:sz w:val="20"/>
                <w:szCs w:val="20"/>
              </w:rPr>
            </w:pPr>
            <w:r w:rsidRPr="00801F94">
              <w:rPr>
                <w:rFonts w:ascii="Arial" w:hAnsi="Arial" w:cs="Arial"/>
                <w:b/>
                <w:bCs/>
                <w:sz w:val="20"/>
                <w:szCs w:val="20"/>
              </w:rPr>
              <w:t>RSM</w:t>
            </w:r>
          </w:p>
        </w:tc>
      </w:tr>
      <w:tr w:rsidR="00DE1086" w:rsidRPr="00801F94" w:rsidTr="009C5EA9">
        <w:trPr>
          <w:jc w:val="center"/>
        </w:trPr>
        <w:tc>
          <w:tcPr>
            <w:tcW w:w="669" w:type="pct"/>
            <w:tcBorders>
              <w:top w:val="single" w:sz="4" w:space="0" w:color="auto"/>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1</w:t>
            </w:r>
          </w:p>
        </w:tc>
        <w:tc>
          <w:tcPr>
            <w:tcW w:w="808" w:type="pct"/>
            <w:tcBorders>
              <w:top w:val="single" w:sz="4" w:space="0" w:color="auto"/>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0</w:t>
            </w:r>
          </w:p>
        </w:tc>
        <w:tc>
          <w:tcPr>
            <w:tcW w:w="960" w:type="pct"/>
            <w:tcBorders>
              <w:top w:val="single" w:sz="4" w:space="0" w:color="auto"/>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w:t>
            </w:r>
            <w:r w:rsidR="00DE1086" w:rsidRPr="00801F94">
              <w:rPr>
                <w:rFonts w:ascii="Arial" w:hAnsi="Arial" w:cs="Arial"/>
                <w:color w:val="EE0000"/>
                <w:sz w:val="20"/>
                <w:szCs w:val="20"/>
              </w:rPr>
              <w:t xml:space="preserve"> α</w:t>
            </w:r>
          </w:p>
        </w:tc>
        <w:tc>
          <w:tcPr>
            <w:tcW w:w="894" w:type="pct"/>
            <w:tcBorders>
              <w:top w:val="single" w:sz="4" w:space="0" w:color="auto"/>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0</w:t>
            </w:r>
          </w:p>
        </w:tc>
        <w:tc>
          <w:tcPr>
            <w:tcW w:w="769" w:type="pct"/>
            <w:tcBorders>
              <w:top w:val="single" w:sz="4" w:space="0" w:color="auto"/>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89.93</w:t>
            </w:r>
          </w:p>
        </w:tc>
        <w:tc>
          <w:tcPr>
            <w:tcW w:w="899" w:type="pct"/>
            <w:tcBorders>
              <w:top w:val="single" w:sz="4" w:space="0" w:color="auto"/>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90.10</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2</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84.31</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86.88</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3</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54.39</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62.26</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4</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w:t>
            </w:r>
            <w:r w:rsidR="00DE1086" w:rsidRPr="00801F94">
              <w:rPr>
                <w:rFonts w:ascii="Arial" w:hAnsi="Arial" w:cs="Arial"/>
                <w:sz w:val="20"/>
                <w:szCs w:val="20"/>
              </w:rPr>
              <w:t>α</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75.74</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75.50</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5</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74.59</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72.19</w:t>
            </w:r>
          </w:p>
        </w:tc>
      </w:tr>
      <w:tr w:rsidR="00DE1086"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6</w:t>
            </w:r>
          </w:p>
        </w:tc>
        <w:tc>
          <w:tcPr>
            <w:tcW w:w="808" w:type="pct"/>
            <w:tcBorders>
              <w:top w:val="nil"/>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0</w:t>
            </w:r>
          </w:p>
        </w:tc>
        <w:tc>
          <w:tcPr>
            <w:tcW w:w="894" w:type="pct"/>
            <w:tcBorders>
              <w:top w:val="nil"/>
              <w:left w:val="nil"/>
              <w:bottom w:val="nil"/>
              <w:right w:val="nil"/>
            </w:tcBorders>
            <w:hideMark/>
          </w:tcPr>
          <w:p w:rsidR="00F4243E" w:rsidRPr="00801F94" w:rsidRDefault="00DE1086" w:rsidP="009C5EA9">
            <w:pPr>
              <w:jc w:val="both"/>
              <w:rPr>
                <w:rFonts w:ascii="Arial" w:hAnsi="Arial" w:cs="Arial"/>
                <w:color w:val="EE0000"/>
                <w:sz w:val="20"/>
                <w:szCs w:val="20"/>
              </w:rPr>
            </w:pPr>
            <w:r w:rsidRPr="00801F94">
              <w:rPr>
                <w:rFonts w:ascii="Arial" w:hAnsi="Arial" w:cs="Arial"/>
                <w:color w:val="EE0000"/>
                <w:sz w:val="20"/>
                <w:szCs w:val="20"/>
              </w:rPr>
              <w:t xml:space="preserve">+ α </w:t>
            </w:r>
          </w:p>
        </w:tc>
        <w:tc>
          <w:tcPr>
            <w:tcW w:w="769" w:type="pct"/>
            <w:tcBorders>
              <w:top w:val="nil"/>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52.91</w:t>
            </w:r>
          </w:p>
        </w:tc>
        <w:tc>
          <w:tcPr>
            <w:tcW w:w="899" w:type="pct"/>
            <w:tcBorders>
              <w:top w:val="nil"/>
              <w:left w:val="nil"/>
              <w:bottom w:val="nil"/>
              <w:right w:val="nil"/>
            </w:tcBorders>
            <w:hideMark/>
          </w:tcPr>
          <w:p w:rsidR="00F4243E" w:rsidRPr="00801F94" w:rsidRDefault="00F4243E" w:rsidP="009C5EA9">
            <w:pPr>
              <w:jc w:val="both"/>
              <w:rPr>
                <w:rFonts w:ascii="Arial" w:hAnsi="Arial" w:cs="Arial"/>
                <w:color w:val="EE0000"/>
                <w:sz w:val="20"/>
                <w:szCs w:val="20"/>
              </w:rPr>
            </w:pPr>
            <w:r w:rsidRPr="00801F94">
              <w:rPr>
                <w:rFonts w:ascii="Arial" w:hAnsi="Arial" w:cs="Arial"/>
                <w:color w:val="EE0000"/>
                <w:sz w:val="20"/>
                <w:szCs w:val="20"/>
              </w:rPr>
              <w:t>55.78</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w:t>
            </w:r>
            <w:r w:rsidR="00DE1086" w:rsidRPr="00801F94">
              <w:rPr>
                <w:rFonts w:ascii="Arial" w:hAnsi="Arial" w:cs="Arial"/>
                <w:sz w:val="20"/>
                <w:szCs w:val="20"/>
              </w:rPr>
              <w:t xml:space="preserve"> α </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78.18</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80.56</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77.63</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77.83</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9</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76.28</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77.83</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10</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77.63</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77.83</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11</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80.59</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81.46</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12</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77.63</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77.83</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13</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81.67</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80.78</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14</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79.28</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77.83</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15</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75.39</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71.29</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16</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77.63</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77.83</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17</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78.14</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77.50</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18</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w:t>
            </w:r>
            <w:r w:rsidR="00DE1086" w:rsidRPr="00801F94">
              <w:rPr>
                <w:rFonts w:ascii="Arial" w:hAnsi="Arial" w:cs="Arial"/>
                <w:sz w:val="20"/>
                <w:szCs w:val="20"/>
              </w:rPr>
              <w:t xml:space="preserve">α </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81.99</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80.65</w:t>
            </w:r>
          </w:p>
        </w:tc>
      </w:tr>
      <w:tr w:rsidR="00F4243E" w:rsidRPr="00801F94" w:rsidTr="009C5EA9">
        <w:trPr>
          <w:jc w:val="center"/>
        </w:trPr>
        <w:tc>
          <w:tcPr>
            <w:tcW w:w="6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19</w:t>
            </w:r>
          </w:p>
        </w:tc>
        <w:tc>
          <w:tcPr>
            <w:tcW w:w="808"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960"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w:t>
            </w:r>
            <w:r w:rsidR="00DE1086" w:rsidRPr="00801F94">
              <w:rPr>
                <w:rFonts w:ascii="Arial" w:hAnsi="Arial" w:cs="Arial"/>
                <w:sz w:val="20"/>
                <w:szCs w:val="20"/>
              </w:rPr>
              <w:t xml:space="preserve">α </w:t>
            </w:r>
          </w:p>
        </w:tc>
        <w:tc>
          <w:tcPr>
            <w:tcW w:w="894"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0</w:t>
            </w:r>
          </w:p>
        </w:tc>
        <w:tc>
          <w:tcPr>
            <w:tcW w:w="76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76.43</w:t>
            </w:r>
          </w:p>
        </w:tc>
        <w:tc>
          <w:tcPr>
            <w:tcW w:w="899" w:type="pct"/>
            <w:tcBorders>
              <w:top w:val="nil"/>
              <w:left w:val="nil"/>
              <w:bottom w:val="nil"/>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77.79</w:t>
            </w:r>
          </w:p>
        </w:tc>
      </w:tr>
      <w:tr w:rsidR="00F4243E" w:rsidRPr="00801F94" w:rsidTr="009C5EA9">
        <w:trPr>
          <w:jc w:val="center"/>
        </w:trPr>
        <w:tc>
          <w:tcPr>
            <w:tcW w:w="669" w:type="pct"/>
            <w:tcBorders>
              <w:top w:val="nil"/>
              <w:left w:val="nil"/>
              <w:bottom w:val="single" w:sz="4" w:space="0" w:color="auto"/>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20</w:t>
            </w:r>
          </w:p>
        </w:tc>
        <w:tc>
          <w:tcPr>
            <w:tcW w:w="808" w:type="pct"/>
            <w:tcBorders>
              <w:top w:val="nil"/>
              <w:left w:val="nil"/>
              <w:bottom w:val="single" w:sz="4" w:space="0" w:color="auto"/>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960" w:type="pct"/>
            <w:tcBorders>
              <w:top w:val="nil"/>
              <w:left w:val="nil"/>
              <w:bottom w:val="single" w:sz="4" w:space="0" w:color="auto"/>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894" w:type="pct"/>
            <w:tcBorders>
              <w:top w:val="nil"/>
              <w:left w:val="nil"/>
              <w:bottom w:val="single" w:sz="4" w:space="0" w:color="auto"/>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+1</w:t>
            </w:r>
          </w:p>
        </w:tc>
        <w:tc>
          <w:tcPr>
            <w:tcW w:w="769" w:type="pct"/>
            <w:tcBorders>
              <w:top w:val="nil"/>
              <w:left w:val="nil"/>
              <w:bottom w:val="single" w:sz="4" w:space="0" w:color="auto"/>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85.25</w:t>
            </w:r>
          </w:p>
        </w:tc>
        <w:tc>
          <w:tcPr>
            <w:tcW w:w="899" w:type="pct"/>
            <w:tcBorders>
              <w:top w:val="nil"/>
              <w:left w:val="nil"/>
              <w:bottom w:val="single" w:sz="4" w:space="0" w:color="auto"/>
              <w:right w:val="nil"/>
            </w:tcBorders>
            <w:hideMark/>
          </w:tcPr>
          <w:p w:rsidR="00F4243E" w:rsidRPr="00801F94" w:rsidRDefault="00F4243E" w:rsidP="009C5EA9">
            <w:pPr>
              <w:jc w:val="both"/>
              <w:rPr>
                <w:rFonts w:ascii="Arial" w:hAnsi="Arial" w:cs="Arial"/>
                <w:sz w:val="20"/>
                <w:szCs w:val="20"/>
              </w:rPr>
            </w:pPr>
            <w:r w:rsidRPr="00801F94">
              <w:rPr>
                <w:rFonts w:ascii="Arial" w:hAnsi="Arial" w:cs="Arial"/>
                <w:sz w:val="20"/>
                <w:szCs w:val="20"/>
              </w:rPr>
              <w:t>83.85</w:t>
            </w:r>
          </w:p>
        </w:tc>
      </w:tr>
    </w:tbl>
    <w:bookmarkEnd w:id="14"/>
    <w:p w:rsidR="00C036A3" w:rsidRPr="00801F94" w:rsidRDefault="00223DA3" w:rsidP="00C036A3">
      <w:pPr>
        <w:pStyle w:val="Body"/>
        <w:spacing w:after="0"/>
        <w:jc w:val="center"/>
        <w:rPr>
          <w:rFonts w:ascii="Arial" w:hAnsi="Arial" w:cs="Arial"/>
          <w:b/>
          <w:bCs/>
          <w:lang w:val="en-GB"/>
        </w:rPr>
      </w:pPr>
      <w:r w:rsidRPr="00801F94">
        <w:rPr>
          <w:rFonts w:ascii="Arial" w:hAnsi="Arial" w:cs="Arial"/>
          <w:noProof/>
        </w:rPr>
        <w:lastRenderedPageBreak/>
        <w:drawing>
          <wp:inline distT="0" distB="0" distL="0" distR="0" wp14:anchorId="1BDABF78" wp14:editId="624E0A12">
            <wp:extent cx="4572000" cy="2743200"/>
            <wp:effectExtent l="0" t="0" r="0" b="0"/>
            <wp:docPr id="972157561" name="Chart 1">
              <a:extLst xmlns:a="http://schemas.openxmlformats.org/drawingml/2006/main">
                <a:ext uri="{FF2B5EF4-FFF2-40B4-BE49-F238E27FC236}">
                  <a16:creationId xmlns:a16="http://schemas.microsoft.com/office/drawing/2014/main" id="{2D200476-B983-773A-3CDF-B39095DC7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036A3" w:rsidRPr="00801F94">
        <w:rPr>
          <w:rFonts w:ascii="Arial" w:hAnsi="Arial" w:cs="Arial"/>
          <w:b/>
          <w:bCs/>
          <w:lang w:val="en-GB"/>
        </w:rPr>
        <w:t>Fig. 7</w:t>
      </w:r>
      <w:r w:rsidR="00044E52" w:rsidRPr="00801F94">
        <w:rPr>
          <w:rFonts w:ascii="Arial" w:hAnsi="Arial" w:cs="Arial"/>
          <w:b/>
          <w:bCs/>
          <w:lang w:val="en-GB"/>
        </w:rPr>
        <w:t>a</w:t>
      </w:r>
      <w:r w:rsidR="00C036A3" w:rsidRPr="00801F94">
        <w:rPr>
          <w:rFonts w:ascii="Arial" w:hAnsi="Arial" w:cs="Arial"/>
          <w:b/>
          <w:bCs/>
          <w:lang w:val="en-GB"/>
        </w:rPr>
        <w:t xml:space="preserve">: Plot of Residual versus predicted response versus </w:t>
      </w:r>
      <w:r w:rsidR="00C036A3" w:rsidRPr="00801F94">
        <w:rPr>
          <w:rFonts w:ascii="Arial" w:hAnsi="Arial" w:cs="Arial"/>
          <w:b/>
          <w:bCs/>
        </w:rPr>
        <w:t>Experimental response</w:t>
      </w:r>
    </w:p>
    <w:p w:rsidR="00C036A3" w:rsidRPr="00801F94" w:rsidRDefault="00C036A3" w:rsidP="00F4243E">
      <w:pPr>
        <w:pStyle w:val="Body"/>
        <w:spacing w:after="0"/>
        <w:jc w:val="center"/>
        <w:rPr>
          <w:rFonts w:ascii="Arial" w:hAnsi="Arial" w:cs="Arial"/>
        </w:rPr>
      </w:pPr>
    </w:p>
    <w:p w:rsidR="00C036A3" w:rsidRPr="00801F94" w:rsidRDefault="00C036A3" w:rsidP="00F4243E">
      <w:pPr>
        <w:pStyle w:val="Body"/>
        <w:spacing w:after="0"/>
        <w:jc w:val="center"/>
        <w:rPr>
          <w:rFonts w:ascii="Arial" w:hAnsi="Arial" w:cs="Arial"/>
        </w:rPr>
      </w:pPr>
    </w:p>
    <w:p w:rsidR="00C036A3" w:rsidRPr="00801F94" w:rsidRDefault="00C036A3" w:rsidP="00F4243E">
      <w:pPr>
        <w:pStyle w:val="Body"/>
        <w:spacing w:after="0"/>
        <w:jc w:val="center"/>
        <w:rPr>
          <w:rFonts w:ascii="Arial" w:hAnsi="Arial" w:cs="Arial"/>
        </w:rPr>
      </w:pPr>
    </w:p>
    <w:p w:rsidR="00D7201B" w:rsidRPr="00801F94" w:rsidRDefault="00D7201B" w:rsidP="00F4243E">
      <w:pPr>
        <w:pStyle w:val="Body"/>
        <w:spacing w:after="0"/>
        <w:jc w:val="center"/>
        <w:rPr>
          <w:rFonts w:ascii="Arial" w:hAnsi="Arial" w:cs="Arial"/>
        </w:rPr>
      </w:pPr>
      <w:r w:rsidRPr="00801F94">
        <w:rPr>
          <w:rFonts w:ascii="Arial" w:hAnsi="Arial" w:cs="Arial"/>
          <w:noProof/>
        </w:rPr>
        <w:drawing>
          <wp:inline distT="0" distB="0" distL="0" distR="0" wp14:anchorId="51B0CCA2" wp14:editId="58D03AF9">
            <wp:extent cx="4572000" cy="2743200"/>
            <wp:effectExtent l="0" t="0" r="0" b="0"/>
            <wp:docPr id="1076705324" name="Chart 1">
              <a:extLst xmlns:a="http://schemas.openxmlformats.org/drawingml/2006/main">
                <a:ext uri="{FF2B5EF4-FFF2-40B4-BE49-F238E27FC236}">
                  <a16:creationId xmlns:a16="http://schemas.microsoft.com/office/drawing/2014/main" id="{38D5A7C7-76A0-6400-CAFF-94DA6CFB2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243E" w:rsidRPr="00801F94" w:rsidRDefault="00F4243E" w:rsidP="00F4243E">
      <w:pPr>
        <w:pStyle w:val="Body"/>
        <w:spacing w:after="0"/>
        <w:jc w:val="center"/>
        <w:rPr>
          <w:rFonts w:ascii="Arial" w:hAnsi="Arial" w:cs="Arial"/>
        </w:rPr>
      </w:pPr>
    </w:p>
    <w:p w:rsidR="00F4243E" w:rsidRPr="00801F94" w:rsidRDefault="00F4243E" w:rsidP="00F4243E">
      <w:pPr>
        <w:pStyle w:val="Body"/>
        <w:spacing w:after="0"/>
        <w:jc w:val="center"/>
        <w:rPr>
          <w:rFonts w:ascii="Arial" w:hAnsi="Arial" w:cs="Arial"/>
          <w:b/>
          <w:bCs/>
          <w:lang w:val="en-GB"/>
        </w:rPr>
      </w:pPr>
      <w:r w:rsidRPr="00801F94">
        <w:rPr>
          <w:rFonts w:ascii="Arial" w:hAnsi="Arial" w:cs="Arial"/>
          <w:b/>
          <w:bCs/>
          <w:lang w:val="en-GB"/>
        </w:rPr>
        <w:t>Fig. 7</w:t>
      </w:r>
      <w:r w:rsidR="00044E52" w:rsidRPr="00801F94">
        <w:rPr>
          <w:rFonts w:ascii="Arial" w:hAnsi="Arial" w:cs="Arial"/>
          <w:b/>
          <w:bCs/>
          <w:lang w:val="en-GB"/>
        </w:rPr>
        <w:t>b</w:t>
      </w:r>
      <w:r w:rsidRPr="00801F94">
        <w:rPr>
          <w:rFonts w:ascii="Arial" w:hAnsi="Arial" w:cs="Arial"/>
          <w:b/>
          <w:bCs/>
          <w:lang w:val="en-GB"/>
        </w:rPr>
        <w:t>: Plot of Residual versus predicted values</w:t>
      </w:r>
    </w:p>
    <w:p w:rsidR="00F4243E" w:rsidRPr="00801F94" w:rsidRDefault="00F4243E" w:rsidP="00F4243E">
      <w:pPr>
        <w:pStyle w:val="Body"/>
        <w:spacing w:after="0"/>
        <w:rPr>
          <w:rFonts w:ascii="Arial" w:hAnsi="Arial" w:cs="Arial"/>
          <w:b/>
          <w:bCs/>
        </w:rPr>
      </w:pPr>
    </w:p>
    <w:p w:rsidR="00F4243E"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3.4 Analysis of Variance (ANOVA)</w:t>
      </w:r>
    </w:p>
    <w:p w:rsidR="00C24F1D" w:rsidRPr="00801F94" w:rsidRDefault="00044E52" w:rsidP="00223DA3">
      <w:pPr>
        <w:rPr>
          <w:rFonts w:ascii="Arial" w:hAnsi="Arial" w:cs="Arial"/>
        </w:rPr>
      </w:pPr>
      <w:r w:rsidRPr="00801F94">
        <w:rPr>
          <w:rFonts w:ascii="Arial" w:hAnsi="Arial" w:cs="Arial"/>
        </w:rPr>
        <w:t xml:space="preserve">The statistical significance and predictive power of the RSM model were further corroborated by the comprehensive ANOVA, </w:t>
      </w:r>
      <w:r w:rsidR="00F4243E" w:rsidRPr="00801F94">
        <w:rPr>
          <w:rFonts w:ascii="Arial" w:hAnsi="Arial" w:cs="Arial"/>
        </w:rPr>
        <w:t xml:space="preserve">with results summarized in Table </w:t>
      </w:r>
      <w:r w:rsidR="0053350D" w:rsidRPr="00801F94">
        <w:rPr>
          <w:rFonts w:ascii="Arial" w:hAnsi="Arial" w:cs="Arial"/>
        </w:rPr>
        <w:t>4</w:t>
      </w:r>
      <w:r w:rsidR="00F4243E" w:rsidRPr="00801F94">
        <w:rPr>
          <w:rFonts w:ascii="Arial" w:hAnsi="Arial" w:cs="Arial"/>
        </w:rPr>
        <w:t>.</w:t>
      </w:r>
      <w:r w:rsidRPr="00801F94">
        <w:rPr>
          <w:rFonts w:ascii="Arial" w:hAnsi="Arial" w:cs="Arial"/>
        </w:rPr>
        <w:t xml:space="preserve"> The analysis yielded high coefficient of determination (R</w:t>
      </w:r>
      <w:r w:rsidRPr="00801F94">
        <w:rPr>
          <w:rFonts w:ascii="Arial" w:hAnsi="Arial" w:cs="Arial"/>
          <w:vertAlign w:val="superscript"/>
        </w:rPr>
        <w:t>2</w:t>
      </w:r>
      <w:r w:rsidRPr="00801F94">
        <w:rPr>
          <w:rFonts w:ascii="Arial" w:hAnsi="Arial" w:cs="Arial"/>
        </w:rPr>
        <w:t>) and adjusted R</w:t>
      </w:r>
      <w:r w:rsidRPr="00801F94">
        <w:rPr>
          <w:rFonts w:ascii="Arial" w:hAnsi="Arial" w:cs="Arial"/>
          <w:vertAlign w:val="superscript"/>
        </w:rPr>
        <w:t>2</w:t>
      </w:r>
      <w:r w:rsidRPr="00801F94">
        <w:rPr>
          <w:rFonts w:ascii="Arial" w:hAnsi="Arial" w:cs="Arial"/>
        </w:rPr>
        <w:t xml:space="preserve"> values of 0.966 and 0.9354</w:t>
      </w:r>
      <w:r w:rsidR="00223DA3" w:rsidRPr="00801F94">
        <w:rPr>
          <w:rFonts w:ascii="Arial" w:hAnsi="Arial" w:cs="Arial"/>
        </w:rPr>
        <w:t xml:space="preserve"> respectively. </w:t>
      </w:r>
      <w:r w:rsidR="00A55809" w:rsidRPr="00801F94">
        <w:rPr>
          <w:rFonts w:ascii="Arial" w:hAnsi="Arial" w:cs="Arial"/>
        </w:rPr>
        <w:t>The final empirical model's equation for percentage removal of</w:t>
      </w:r>
      <w:r w:rsidR="00C24F1D" w:rsidRPr="00801F94">
        <w:rPr>
          <w:rFonts w:ascii="Arial" w:hAnsi="Arial" w:cs="Arial"/>
        </w:rPr>
        <w:t xml:space="preserve"> </w:t>
      </w:r>
      <w:r w:rsidR="00A55809" w:rsidRPr="00801F94">
        <w:rPr>
          <w:rFonts w:ascii="Arial" w:hAnsi="Arial" w:cs="Arial"/>
        </w:rPr>
        <w:t>ampicillin Y response</w:t>
      </w:r>
      <w:r w:rsidR="00C24F1D" w:rsidRPr="00801F94">
        <w:rPr>
          <w:rFonts w:ascii="Arial" w:hAnsi="Arial" w:cs="Arial"/>
        </w:rPr>
        <w:t xml:space="preserve"> </w:t>
      </w:r>
      <w:r w:rsidR="00A55809" w:rsidRPr="00801F94">
        <w:rPr>
          <w:rFonts w:ascii="Arial" w:hAnsi="Arial" w:cs="Arial"/>
        </w:rPr>
        <w:t>is given as equations17</w:t>
      </w:r>
      <w:r w:rsidR="00C24F1D" w:rsidRPr="00801F94">
        <w:rPr>
          <w:rFonts w:ascii="Arial" w:hAnsi="Arial" w:cs="Arial"/>
        </w:rPr>
        <w:t>. The synergetic and antagonistic effects of the respective variables were informed by the positive and negative signs before the terms (</w:t>
      </w:r>
      <w:proofErr w:type="spellStart"/>
      <w:r w:rsidR="00C24F1D" w:rsidRPr="00801F94">
        <w:rPr>
          <w:rFonts w:ascii="Arial" w:hAnsi="Arial" w:cs="Arial"/>
        </w:rPr>
        <w:t>Garba</w:t>
      </w:r>
      <w:proofErr w:type="spellEnd"/>
      <w:r w:rsidR="00C24F1D" w:rsidRPr="00801F94">
        <w:rPr>
          <w:rFonts w:ascii="Arial" w:hAnsi="Arial" w:cs="Arial"/>
        </w:rPr>
        <w:t xml:space="preserve"> and </w:t>
      </w:r>
      <w:proofErr w:type="spellStart"/>
      <w:r w:rsidR="00C24F1D" w:rsidRPr="00801F94">
        <w:rPr>
          <w:rFonts w:ascii="Arial" w:hAnsi="Arial" w:cs="Arial"/>
        </w:rPr>
        <w:t>Afidah</w:t>
      </w:r>
      <w:proofErr w:type="spellEnd"/>
      <w:r w:rsidR="00C24F1D" w:rsidRPr="00801F94">
        <w:rPr>
          <w:rFonts w:ascii="Arial" w:hAnsi="Arial" w:cs="Arial"/>
        </w:rPr>
        <w:t>, 2014)</w:t>
      </w:r>
    </w:p>
    <w:p w:rsidR="00A55809" w:rsidRPr="00801F94" w:rsidRDefault="00A55809" w:rsidP="00C24F1D">
      <w:pPr>
        <w:pStyle w:val="Body"/>
        <w:rPr>
          <w:rFonts w:ascii="Arial" w:hAnsi="Arial" w:cs="Arial"/>
        </w:rPr>
      </w:pPr>
      <w:r w:rsidRPr="00801F94">
        <w:rPr>
          <w:rFonts w:ascii="Arial" w:hAnsi="Arial" w:cs="Arial"/>
        </w:rPr>
        <w:lastRenderedPageBreak/>
        <w:t>% removal = 68.8 + 21.44</w:t>
      </w:r>
      <w:r w:rsidRPr="00801F94">
        <w:rPr>
          <w:rFonts w:ascii="Arial" w:hAnsi="Arial" w:cs="Arial"/>
          <w:i/>
          <w:iCs/>
        </w:rPr>
        <w:t>A</w:t>
      </w:r>
      <w:r w:rsidRPr="00801F94">
        <w:rPr>
          <w:rFonts w:ascii="Arial" w:hAnsi="Arial" w:cs="Arial"/>
        </w:rPr>
        <w:t xml:space="preserve"> - 0.113B - 0.840C - 3.295A</w:t>
      </w:r>
      <w:r w:rsidRPr="00801F94">
        <w:rPr>
          <w:rFonts w:ascii="Arial" w:hAnsi="Arial" w:cs="Arial"/>
          <w:vertAlign w:val="superscript"/>
        </w:rPr>
        <w:t>2</w:t>
      </w:r>
      <w:r w:rsidRPr="00801F94">
        <w:rPr>
          <w:rFonts w:ascii="Arial" w:hAnsi="Arial" w:cs="Arial"/>
        </w:rPr>
        <w:t xml:space="preserve"> + 0.000164B</w:t>
      </w:r>
      <w:r w:rsidRPr="00801F94">
        <w:rPr>
          <w:rFonts w:ascii="Arial" w:hAnsi="Arial" w:cs="Arial"/>
          <w:vertAlign w:val="superscript"/>
        </w:rPr>
        <w:t>2</w:t>
      </w:r>
      <w:r w:rsidRPr="00801F94">
        <w:rPr>
          <w:rFonts w:ascii="Arial" w:hAnsi="Arial" w:cs="Arial"/>
        </w:rPr>
        <w:t xml:space="preserve"> + 0.00325C</w:t>
      </w:r>
      <w:r w:rsidRPr="00801F94">
        <w:rPr>
          <w:rFonts w:ascii="Arial" w:hAnsi="Arial" w:cs="Arial"/>
          <w:vertAlign w:val="superscript"/>
        </w:rPr>
        <w:t>2</w:t>
      </w:r>
      <w:r w:rsidRPr="00801F94">
        <w:rPr>
          <w:rFonts w:ascii="Arial" w:hAnsi="Arial" w:cs="Arial"/>
        </w:rPr>
        <w:t xml:space="preserve"> + 0.0232A*B + 0.0672A*C + 0.000068 B*C</w:t>
      </w:r>
      <w:r w:rsidR="00C24F1D" w:rsidRPr="00801F94">
        <w:rPr>
          <w:rFonts w:ascii="Arial" w:hAnsi="Arial" w:cs="Arial"/>
        </w:rPr>
        <w:tab/>
      </w:r>
      <w:r w:rsidR="00C24F1D" w:rsidRPr="00801F94">
        <w:rPr>
          <w:rFonts w:ascii="Arial" w:hAnsi="Arial" w:cs="Arial"/>
        </w:rPr>
        <w:tab/>
      </w:r>
      <w:r w:rsidR="00C24F1D" w:rsidRPr="00801F94">
        <w:rPr>
          <w:rFonts w:ascii="Arial" w:hAnsi="Arial" w:cs="Arial"/>
        </w:rPr>
        <w:tab/>
      </w:r>
      <w:r w:rsidR="00C24F1D" w:rsidRPr="00801F94">
        <w:rPr>
          <w:rFonts w:ascii="Arial" w:hAnsi="Arial" w:cs="Arial"/>
        </w:rPr>
        <w:tab/>
      </w:r>
      <w:r w:rsidR="00C24F1D" w:rsidRPr="00801F94">
        <w:rPr>
          <w:rFonts w:ascii="Arial" w:hAnsi="Arial" w:cs="Arial"/>
        </w:rPr>
        <w:tab/>
        <w:t>17</w:t>
      </w:r>
    </w:p>
    <w:p w:rsidR="00F4243E" w:rsidRPr="00801F94" w:rsidRDefault="00F4243E" w:rsidP="00F4243E">
      <w:pPr>
        <w:pStyle w:val="Body"/>
        <w:spacing w:after="0"/>
        <w:rPr>
          <w:rFonts w:ascii="Arial" w:hAnsi="Arial" w:cs="Arial"/>
        </w:rPr>
      </w:pPr>
      <w:r w:rsidRPr="00801F94">
        <w:rPr>
          <w:rFonts w:ascii="Arial" w:hAnsi="Arial" w:cs="Arial"/>
        </w:rPr>
        <w:t xml:space="preserve">The model was highly significant (p &lt; 0.001), explaining 96.60% of the total variation in ampicillin removal. Moreover, the lack-of-fit test was not significant (p = 0.180), indicating that the model adequately fits the experimental data and is predictive within the studied range. </w:t>
      </w:r>
    </w:p>
    <w:p w:rsidR="00F4243E" w:rsidRPr="00801F94" w:rsidRDefault="00F4243E" w:rsidP="00F4243E">
      <w:pPr>
        <w:pStyle w:val="Body"/>
        <w:spacing w:after="0"/>
        <w:rPr>
          <w:rFonts w:ascii="Arial" w:hAnsi="Arial" w:cs="Arial"/>
        </w:rPr>
      </w:pPr>
      <w:r w:rsidRPr="00801F94">
        <w:rPr>
          <w:rFonts w:ascii="Arial" w:hAnsi="Arial" w:cs="Arial"/>
        </w:rPr>
        <w:t>Among the linear terms, the initial concentration of ampicillin (C) was the most influential factor (p &lt; 0.001), contributing 52.96% to the total variation, underscoring its dominant role in determining removal efficiency. Adsorbent dosage also showed a strong linear effect (p &lt; 0.001; 14.84% contribution), likely due to the increased availability of active binding sites at higher doses. Contact time had a statistically significant but smaller linear effect (p = 0.044), contributing only 1.81%, suggesting that its impact is less substantial compared to concentration and dosage.</w:t>
      </w:r>
    </w:p>
    <w:p w:rsidR="00F4243E" w:rsidRPr="00801F94" w:rsidRDefault="00F4243E" w:rsidP="00F4243E">
      <w:pPr>
        <w:pStyle w:val="Body"/>
        <w:spacing w:after="0"/>
        <w:rPr>
          <w:rFonts w:ascii="Arial" w:hAnsi="Arial" w:cs="Arial"/>
        </w:rPr>
      </w:pPr>
      <w:r w:rsidRPr="00801F94">
        <w:rPr>
          <w:rFonts w:ascii="Arial" w:hAnsi="Arial" w:cs="Arial"/>
        </w:rPr>
        <w:t>The quadratic terms were collectively significant (p &lt; 0.001), revealing non-linear relationships between the variables and removal efficiency. In particular, the quadratic effects of concentration (C²) and dosage (B²) were highly significant (p &lt; 0.001 and p = 0.002, respectively), contributing 11.66% and 10.02% of the variation. These results indicate that increases in concentration or dosage beyond certain thresholds may not proportionally improve removal, pointing to the existence of optimal operating ranges. In contrast, the quadratic effect of time (A²) was not significant (p = 0.827), reinforcing its primarily linear influence.</w:t>
      </w:r>
    </w:p>
    <w:p w:rsidR="00F4243E" w:rsidRPr="00801F94" w:rsidRDefault="00F4243E" w:rsidP="00F4243E">
      <w:pPr>
        <w:pStyle w:val="Body"/>
        <w:spacing w:after="0"/>
        <w:rPr>
          <w:rFonts w:ascii="Arial" w:hAnsi="Arial" w:cs="Arial"/>
        </w:rPr>
      </w:pPr>
      <w:r w:rsidRPr="00801F94">
        <w:rPr>
          <w:rFonts w:ascii="Arial" w:hAnsi="Arial" w:cs="Arial"/>
        </w:rPr>
        <w:t>Two-way interaction effects were also significant overall (p = 0.021). Notably, the interaction between time and concentration was statistically significant (p = 0.007; 3.91% contribution), suggesting that the optimal contact time is dependent on the initial ampicillin concentration. This interaction highlights the importance of co-optimizing these two parameters. Conversely, interactions between time and dosage (p = 0.103) and dosage and concentration (p = 0.442) were not significant, implying that their effects are largely independent.</w:t>
      </w:r>
    </w:p>
    <w:p w:rsidR="00F4243E" w:rsidRPr="00801F94" w:rsidRDefault="00F4243E" w:rsidP="00F4243E">
      <w:pPr>
        <w:pStyle w:val="Body"/>
        <w:spacing w:after="0"/>
        <w:rPr>
          <w:rFonts w:ascii="Arial" w:hAnsi="Arial" w:cs="Arial"/>
        </w:rPr>
      </w:pPr>
      <w:r w:rsidRPr="00801F94">
        <w:rPr>
          <w:rFonts w:ascii="Arial" w:hAnsi="Arial" w:cs="Arial"/>
        </w:rPr>
        <w:t xml:space="preserve"> </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ind w:firstLine="720"/>
        <w:rPr>
          <w:rFonts w:ascii="Arial" w:hAnsi="Arial" w:cs="Arial"/>
          <w:b/>
          <w:bCs/>
          <w:lang w:val="en-GB"/>
        </w:rPr>
      </w:pPr>
      <w:r w:rsidRPr="00801F94">
        <w:rPr>
          <w:rFonts w:ascii="Arial" w:hAnsi="Arial" w:cs="Arial"/>
          <w:b/>
          <w:bCs/>
        </w:rPr>
        <w:t xml:space="preserve">Table </w:t>
      </w:r>
      <w:r w:rsidR="0053350D" w:rsidRPr="00801F94">
        <w:rPr>
          <w:rFonts w:ascii="Arial" w:hAnsi="Arial" w:cs="Arial"/>
          <w:b/>
          <w:bCs/>
        </w:rPr>
        <w:t>4</w:t>
      </w:r>
      <w:r w:rsidRPr="00801F94">
        <w:rPr>
          <w:rFonts w:ascii="Arial" w:hAnsi="Arial" w:cs="Arial"/>
          <w:b/>
          <w:bCs/>
        </w:rPr>
        <w:t xml:space="preserve">: </w:t>
      </w:r>
      <w:r w:rsidRPr="00801F94">
        <w:rPr>
          <w:rFonts w:ascii="Arial" w:hAnsi="Arial" w:cs="Arial"/>
          <w:b/>
          <w:bCs/>
          <w:lang w:val="en-GB"/>
        </w:rPr>
        <w:t>Analysis of Variance for the % removal of ampicillin using ARH</w:t>
      </w:r>
    </w:p>
    <w:p w:rsidR="00F4243E" w:rsidRPr="00801F94" w:rsidRDefault="00F4243E" w:rsidP="00F4243E">
      <w:pPr>
        <w:pStyle w:val="Body"/>
        <w:spacing w:after="0"/>
        <w:ind w:firstLine="720"/>
        <w:rPr>
          <w:rFonts w:ascii="Arial" w:hAnsi="Arial" w:cs="Arial"/>
          <w:b/>
          <w:bCs/>
          <w:lang w:val="en-GB"/>
        </w:rPr>
      </w:pPr>
    </w:p>
    <w:tbl>
      <w:tblPr>
        <w:tblpPr w:leftFromText="180" w:rightFromText="180" w:bottomFromText="200" w:vertAnchor="text" w:tblpXSpec="center" w:tblpY="1"/>
        <w:tblOverlap w:val="never"/>
        <w:tblW w:w="0" w:type="auto"/>
        <w:tblLook w:val="04A0" w:firstRow="1" w:lastRow="0" w:firstColumn="1" w:lastColumn="0" w:noHBand="0" w:noVBand="1"/>
      </w:tblPr>
      <w:tblGrid>
        <w:gridCol w:w="1696"/>
        <w:gridCol w:w="468"/>
        <w:gridCol w:w="899"/>
        <w:gridCol w:w="1581"/>
        <w:gridCol w:w="899"/>
        <w:gridCol w:w="899"/>
        <w:gridCol w:w="878"/>
        <w:gridCol w:w="888"/>
      </w:tblGrid>
      <w:tr w:rsidR="00F4243E" w:rsidRPr="00801F94" w:rsidTr="009C5EA9">
        <w:trPr>
          <w:trHeight w:hRule="exact" w:val="283"/>
        </w:trPr>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Source</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DF</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proofErr w:type="spellStart"/>
            <w:r w:rsidRPr="00801F94">
              <w:rPr>
                <w:rFonts w:ascii="Arial" w:hAnsi="Arial" w:cs="Arial"/>
              </w:rPr>
              <w:t>Seq</w:t>
            </w:r>
            <w:proofErr w:type="spellEnd"/>
            <w:r w:rsidRPr="00801F94">
              <w:rPr>
                <w:rFonts w:ascii="Arial" w:hAnsi="Arial" w:cs="Arial"/>
              </w:rPr>
              <w:t xml:space="preserve"> SS</w:t>
            </w:r>
          </w:p>
        </w:tc>
        <w:tc>
          <w:tcPr>
            <w:tcW w:w="1662" w:type="dxa"/>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 xml:space="preserve">% Contribution </w:t>
            </w:r>
          </w:p>
        </w:tc>
        <w:tc>
          <w:tcPr>
            <w:tcW w:w="939" w:type="dxa"/>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proofErr w:type="spellStart"/>
            <w:r w:rsidRPr="00801F94">
              <w:rPr>
                <w:rFonts w:ascii="Arial" w:hAnsi="Arial" w:cs="Arial"/>
              </w:rPr>
              <w:t>Adj</w:t>
            </w:r>
            <w:proofErr w:type="spellEnd"/>
            <w:r w:rsidRPr="00801F94">
              <w:rPr>
                <w:rFonts w:ascii="Arial" w:hAnsi="Arial" w:cs="Arial"/>
              </w:rPr>
              <w:t xml:space="preserve"> SS</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proofErr w:type="spellStart"/>
            <w:r w:rsidRPr="00801F94">
              <w:rPr>
                <w:rFonts w:ascii="Arial" w:hAnsi="Arial" w:cs="Arial"/>
              </w:rPr>
              <w:t>Adj</w:t>
            </w:r>
            <w:proofErr w:type="spellEnd"/>
            <w:r w:rsidRPr="00801F94">
              <w:rPr>
                <w:rFonts w:ascii="Arial" w:hAnsi="Arial" w:cs="Arial"/>
              </w:rPr>
              <w:t xml:space="preserve"> MS</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F-Value</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P-Value</w:t>
            </w:r>
          </w:p>
        </w:tc>
      </w:tr>
      <w:tr w:rsidR="00F4243E" w:rsidRPr="00801F94" w:rsidTr="009C5EA9">
        <w:trPr>
          <w:trHeight w:hRule="exact" w:val="283"/>
        </w:trPr>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Model</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9</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1197.05</w:t>
            </w:r>
          </w:p>
        </w:tc>
        <w:tc>
          <w:tcPr>
            <w:tcW w:w="1662" w:type="dxa"/>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96.6</w:t>
            </w:r>
            <w:r w:rsidR="007F2134" w:rsidRPr="00801F94">
              <w:rPr>
                <w:rFonts w:ascii="Arial" w:hAnsi="Arial" w:cs="Arial"/>
              </w:rPr>
              <w:t>9</w:t>
            </w:r>
          </w:p>
        </w:tc>
        <w:tc>
          <w:tcPr>
            <w:tcW w:w="939" w:type="dxa"/>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1197.05</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133.005</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31.54</w:t>
            </w:r>
          </w:p>
        </w:tc>
        <w:tc>
          <w:tcPr>
            <w:tcW w:w="0" w:type="auto"/>
            <w:tcBorders>
              <w:top w:val="single" w:sz="4" w:space="0" w:color="auto"/>
              <w:left w:val="nil"/>
              <w:bottom w:val="nil"/>
              <w:right w:val="nil"/>
            </w:tcBorders>
            <w:noWrap/>
            <w:hideMark/>
          </w:tcPr>
          <w:p w:rsidR="00F4243E" w:rsidRPr="00801F94" w:rsidRDefault="00F4243E" w:rsidP="009C5EA9">
            <w:pPr>
              <w:pStyle w:val="Body"/>
              <w:rPr>
                <w:rFonts w:ascii="Arial" w:hAnsi="Arial" w:cs="Arial"/>
              </w:rPr>
            </w:pPr>
            <w:r w:rsidRPr="00801F94">
              <w:rPr>
                <w:rFonts w:ascii="Arial" w:hAnsi="Arial" w:cs="Arial"/>
              </w:rPr>
              <w:t>0</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Linear</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862.62</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69.61</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862.62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287.541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68.2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A</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22.43</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1.81</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22.43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22.425</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5.32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0.044</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B</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183.94</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14.84</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183.94</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183.941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43.63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C</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656.26</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52.96</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656.26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656.256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155.64</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Square</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269.66</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21.76</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269.66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89.887</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21.32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A</w:t>
            </w:r>
            <w:r w:rsidRPr="00801F94">
              <w:rPr>
                <w:rFonts w:ascii="Arial" w:hAnsi="Arial" w:cs="Arial"/>
                <w:vertAlign w:val="superscript"/>
              </w:rPr>
              <w:t>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1.02</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0.08</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0.21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0.211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0.05</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0.827</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B</w:t>
            </w:r>
            <w:r w:rsidRPr="00801F94">
              <w:rPr>
                <w:rFonts w:ascii="Arial" w:hAnsi="Arial" w:cs="Arial"/>
                <w:vertAlign w:val="superscript"/>
              </w:rPr>
              <w:t>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124.14</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10.02</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71.84</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71.841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17.04</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0.002</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C</w:t>
            </w:r>
            <w:r w:rsidRPr="00801F94">
              <w:rPr>
                <w:rFonts w:ascii="Arial" w:hAnsi="Arial" w:cs="Arial"/>
                <w:vertAlign w:val="superscript"/>
              </w:rPr>
              <w:t>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144.5</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11.66</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144.5</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144.496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34.27</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2-Way Interaction</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64.76</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5.23</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64.76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21.588</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5.12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0.021</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A*B</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13.6</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1.10</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13.6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13.598</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3.23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0.103</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A*C</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48.46</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3.91</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48.46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48.462</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11.49</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0.007</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B*C</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2.7</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0.22</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2.7</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2.703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0.64</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0.442</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Error</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10</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42.16</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3.</w:t>
            </w:r>
            <w:r w:rsidR="007F2134" w:rsidRPr="00801F94">
              <w:rPr>
                <w:rFonts w:ascii="Arial" w:hAnsi="Arial" w:cs="Arial"/>
              </w:rPr>
              <w:t>31</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42.16</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4.216</w:t>
            </w:r>
          </w:p>
        </w:tc>
        <w:tc>
          <w:tcPr>
            <w:tcW w:w="0" w:type="auto"/>
            <w:noWrap/>
            <w:hideMark/>
          </w:tcPr>
          <w:p w:rsidR="00F4243E" w:rsidRPr="00801F94" w:rsidRDefault="00F4243E" w:rsidP="009C5EA9">
            <w:pPr>
              <w:pStyle w:val="Body"/>
              <w:spacing w:after="0"/>
              <w:rPr>
                <w:rFonts w:ascii="Arial" w:hAnsi="Arial" w:cs="Arial"/>
              </w:rPr>
            </w:pPr>
          </w:p>
        </w:tc>
        <w:tc>
          <w:tcPr>
            <w:tcW w:w="0" w:type="auto"/>
            <w:noWrap/>
            <w:hideMark/>
          </w:tcPr>
          <w:p w:rsidR="00F4243E" w:rsidRPr="00801F94" w:rsidRDefault="00F4243E" w:rsidP="009C5EA9">
            <w:pPr>
              <w:pStyle w:val="Body"/>
              <w:rPr>
                <w:rFonts w:ascii="Arial" w:hAnsi="Arial" w:cs="Arial"/>
              </w:rPr>
            </w:pP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Lack-of-Fit</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5</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37.63</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3.04</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37.63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7.527</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0.831</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0.18</w:t>
            </w:r>
          </w:p>
        </w:tc>
      </w:tr>
      <w:tr w:rsidR="00F4243E" w:rsidRPr="00801F94" w:rsidTr="009C5EA9">
        <w:trPr>
          <w:trHeight w:hRule="exact" w:val="283"/>
        </w:trPr>
        <w:tc>
          <w:tcPr>
            <w:tcW w:w="0" w:type="auto"/>
            <w:noWrap/>
            <w:hideMark/>
          </w:tcPr>
          <w:p w:rsidR="00F4243E" w:rsidRPr="00801F94" w:rsidRDefault="00F4243E" w:rsidP="009C5EA9">
            <w:pPr>
              <w:pStyle w:val="Body"/>
              <w:rPr>
                <w:rFonts w:ascii="Arial" w:hAnsi="Arial" w:cs="Arial"/>
              </w:rPr>
            </w:pPr>
            <w:r w:rsidRPr="00801F94">
              <w:rPr>
                <w:rFonts w:ascii="Arial" w:hAnsi="Arial" w:cs="Arial"/>
              </w:rPr>
              <w:t>Pure Error</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5</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4.53</w:t>
            </w:r>
          </w:p>
        </w:tc>
        <w:tc>
          <w:tcPr>
            <w:tcW w:w="1662" w:type="dxa"/>
            <w:noWrap/>
            <w:hideMark/>
          </w:tcPr>
          <w:p w:rsidR="00F4243E" w:rsidRPr="00801F94" w:rsidRDefault="00F4243E" w:rsidP="009C5EA9">
            <w:pPr>
              <w:pStyle w:val="Body"/>
              <w:rPr>
                <w:rFonts w:ascii="Arial" w:hAnsi="Arial" w:cs="Arial"/>
              </w:rPr>
            </w:pPr>
            <w:r w:rsidRPr="00801F94">
              <w:rPr>
                <w:rFonts w:ascii="Arial" w:hAnsi="Arial" w:cs="Arial"/>
              </w:rPr>
              <w:t>0.</w:t>
            </w:r>
            <w:r w:rsidR="007F2134" w:rsidRPr="00801F94">
              <w:rPr>
                <w:rFonts w:ascii="Arial" w:hAnsi="Arial" w:cs="Arial"/>
              </w:rPr>
              <w:t>2</w:t>
            </w:r>
            <w:r w:rsidRPr="00801F94">
              <w:rPr>
                <w:rFonts w:ascii="Arial" w:hAnsi="Arial" w:cs="Arial"/>
              </w:rPr>
              <w:t>7</w:t>
            </w:r>
          </w:p>
        </w:tc>
        <w:tc>
          <w:tcPr>
            <w:tcW w:w="939" w:type="dxa"/>
            <w:noWrap/>
            <w:hideMark/>
          </w:tcPr>
          <w:p w:rsidR="00F4243E" w:rsidRPr="00801F94" w:rsidRDefault="00F4243E" w:rsidP="009C5EA9">
            <w:pPr>
              <w:pStyle w:val="Body"/>
              <w:rPr>
                <w:rFonts w:ascii="Arial" w:hAnsi="Arial" w:cs="Arial"/>
              </w:rPr>
            </w:pPr>
            <w:r w:rsidRPr="00801F94">
              <w:rPr>
                <w:rFonts w:ascii="Arial" w:hAnsi="Arial" w:cs="Arial"/>
              </w:rPr>
              <w:t>4.53</w:t>
            </w:r>
          </w:p>
        </w:tc>
        <w:tc>
          <w:tcPr>
            <w:tcW w:w="0" w:type="auto"/>
            <w:noWrap/>
            <w:hideMark/>
          </w:tcPr>
          <w:p w:rsidR="00F4243E" w:rsidRPr="00801F94" w:rsidRDefault="00F4243E" w:rsidP="009C5EA9">
            <w:pPr>
              <w:pStyle w:val="Body"/>
              <w:rPr>
                <w:rFonts w:ascii="Arial" w:hAnsi="Arial" w:cs="Arial"/>
              </w:rPr>
            </w:pPr>
            <w:r w:rsidRPr="00801F94">
              <w:rPr>
                <w:rFonts w:ascii="Arial" w:hAnsi="Arial" w:cs="Arial"/>
              </w:rPr>
              <w:t>0.906</w:t>
            </w:r>
          </w:p>
        </w:tc>
        <w:tc>
          <w:tcPr>
            <w:tcW w:w="0" w:type="auto"/>
            <w:noWrap/>
            <w:hideMark/>
          </w:tcPr>
          <w:p w:rsidR="00F4243E" w:rsidRPr="00801F94" w:rsidRDefault="00F4243E" w:rsidP="009C5EA9">
            <w:pPr>
              <w:pStyle w:val="Body"/>
              <w:spacing w:after="0"/>
              <w:rPr>
                <w:rFonts w:ascii="Arial" w:hAnsi="Arial" w:cs="Arial"/>
              </w:rPr>
            </w:pPr>
          </w:p>
        </w:tc>
        <w:tc>
          <w:tcPr>
            <w:tcW w:w="0" w:type="auto"/>
            <w:noWrap/>
            <w:hideMark/>
          </w:tcPr>
          <w:p w:rsidR="00F4243E" w:rsidRPr="00801F94" w:rsidRDefault="00F4243E" w:rsidP="009C5EA9">
            <w:pPr>
              <w:pStyle w:val="Body"/>
              <w:rPr>
                <w:rFonts w:ascii="Arial" w:hAnsi="Arial" w:cs="Arial"/>
              </w:rPr>
            </w:pPr>
          </w:p>
        </w:tc>
      </w:tr>
      <w:tr w:rsidR="00F4243E" w:rsidRPr="00801F94" w:rsidTr="009C5EA9">
        <w:trPr>
          <w:trHeight w:hRule="exact" w:val="283"/>
        </w:trPr>
        <w:tc>
          <w:tcPr>
            <w:tcW w:w="0" w:type="auto"/>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Total</w:t>
            </w:r>
          </w:p>
        </w:tc>
        <w:tc>
          <w:tcPr>
            <w:tcW w:w="0" w:type="auto"/>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19</w:t>
            </w:r>
          </w:p>
        </w:tc>
        <w:tc>
          <w:tcPr>
            <w:tcW w:w="0" w:type="auto"/>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1239.2</w:t>
            </w:r>
          </w:p>
        </w:tc>
        <w:tc>
          <w:tcPr>
            <w:tcW w:w="1662" w:type="dxa"/>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100</w:t>
            </w:r>
          </w:p>
        </w:tc>
        <w:tc>
          <w:tcPr>
            <w:tcW w:w="939" w:type="dxa"/>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 </w:t>
            </w:r>
          </w:p>
        </w:tc>
        <w:tc>
          <w:tcPr>
            <w:tcW w:w="0" w:type="auto"/>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 </w:t>
            </w:r>
          </w:p>
        </w:tc>
        <w:tc>
          <w:tcPr>
            <w:tcW w:w="0" w:type="auto"/>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 </w:t>
            </w:r>
          </w:p>
        </w:tc>
        <w:tc>
          <w:tcPr>
            <w:tcW w:w="0" w:type="auto"/>
            <w:tcBorders>
              <w:top w:val="nil"/>
              <w:left w:val="nil"/>
              <w:bottom w:val="single" w:sz="4" w:space="0" w:color="auto"/>
              <w:right w:val="nil"/>
            </w:tcBorders>
            <w:noWrap/>
            <w:hideMark/>
          </w:tcPr>
          <w:p w:rsidR="00F4243E" w:rsidRPr="00801F94" w:rsidRDefault="00F4243E" w:rsidP="009C5EA9">
            <w:pPr>
              <w:pStyle w:val="Body"/>
              <w:rPr>
                <w:rFonts w:ascii="Arial" w:hAnsi="Arial" w:cs="Arial"/>
              </w:rPr>
            </w:pPr>
            <w:r w:rsidRPr="00801F94">
              <w:rPr>
                <w:rFonts w:ascii="Arial" w:hAnsi="Arial" w:cs="Arial"/>
              </w:rPr>
              <w:t> </w:t>
            </w:r>
          </w:p>
        </w:tc>
      </w:tr>
    </w:tbl>
    <w:p w:rsidR="00F4243E" w:rsidRPr="00801F94" w:rsidRDefault="00F4243E" w:rsidP="00F4243E">
      <w:pPr>
        <w:pStyle w:val="Body"/>
        <w:spacing w:after="0"/>
        <w:ind w:firstLine="720"/>
        <w:rPr>
          <w:rFonts w:ascii="Arial" w:hAnsi="Arial" w:cs="Arial"/>
          <w:b/>
          <w:bCs/>
        </w:rPr>
      </w:pPr>
    </w:p>
    <w:p w:rsidR="00F4243E"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3.5 Response surface plots and desirability function results</w:t>
      </w:r>
    </w:p>
    <w:p w:rsidR="00F4243E" w:rsidRPr="00801F94" w:rsidRDefault="00F4243E" w:rsidP="00F4243E">
      <w:pPr>
        <w:pStyle w:val="Body"/>
        <w:spacing w:after="0"/>
        <w:rPr>
          <w:rFonts w:ascii="Arial" w:hAnsi="Arial" w:cs="Arial"/>
        </w:rPr>
      </w:pPr>
      <w:r w:rsidRPr="00801F94">
        <w:rPr>
          <w:rFonts w:ascii="Arial" w:hAnsi="Arial" w:cs="Arial"/>
        </w:rPr>
        <w:t xml:space="preserve">To comprehensively understand the interactive effects of the process parameters—contact time, adsorbent dosage and initial ampicillin concentration—on the removal efficiency of ampicillin using acid-modified rice husk (ARH), three-dimensional (3D) response surface plots were generated. These plots visually represent the relationships between paired variables while holding the third constant at its specified hold value (time = 105, dosage = 3, </w:t>
      </w:r>
      <w:proofErr w:type="spellStart"/>
      <w:r w:rsidRPr="00801F94">
        <w:rPr>
          <w:rFonts w:ascii="Arial" w:hAnsi="Arial" w:cs="Arial"/>
        </w:rPr>
        <w:t>conc</w:t>
      </w:r>
      <w:proofErr w:type="spellEnd"/>
      <w:r w:rsidRPr="00801F94">
        <w:rPr>
          <w:rFonts w:ascii="Arial" w:hAnsi="Arial" w:cs="Arial"/>
        </w:rPr>
        <w:t xml:space="preserve"> = 3), thereby aiding in the identification of optimal operating conditions for maximizing ampicillin removal.</w:t>
      </w:r>
    </w:p>
    <w:p w:rsidR="00F4243E" w:rsidRPr="00801F94" w:rsidRDefault="00F4243E" w:rsidP="00F4243E">
      <w:pPr>
        <w:pStyle w:val="Body"/>
        <w:spacing w:after="0"/>
        <w:rPr>
          <w:rFonts w:ascii="Arial" w:hAnsi="Arial" w:cs="Arial"/>
        </w:rPr>
      </w:pPr>
      <w:r w:rsidRPr="00801F94">
        <w:rPr>
          <w:rFonts w:ascii="Arial" w:hAnsi="Arial" w:cs="Arial"/>
        </w:rPr>
        <w:t xml:space="preserve">The plot in fig 8, shows how % removal varies with changes in time and dosage, while initial concentration is held constant at 3. The surface slopes upward with increasing contact time, indicating that longer exposure enhances removal efficiency—likely due to more time for solute–adsorbent interactions to occur. In contrast, the surface slopes downward as dosage increases, confirming the earlier finding that higher adsorbent dosages reduce removal efficiency. The curvature of the surface suggests a nonlinear relationship, especially with dosage. This supports the residual analysis, which hinted at some nonlinear effects. The plot does not show a flat plane, which means both variables have interactive and dynamic effects on the response. For example, at low dosage, increasing time significantly boosts removal. At high dosage, even long contact times fail to achieve high removal, likely due to adsorbent oversaturation or aggregation. The optimal region appears to be at low dosage (around 1–2 g/L) and high contact time (150–200 min), where removal efficiency peaks. This suggests that maximizing time while minimizing dosage yields the best performance—an important insight for cost-effective process design. The surface plot illustrating the interaction between contact time and initial ampicillin concentration (fig. 9) reveals a clear synergistic effect on removal efficiency. As the initial ampicillin concentration increases, the removal efficiency generally rises, with this effect becoming particularly pronounced when coupled with sufficiently long contact times. This visual observation directly supports the significant two-way interaction identified in the ANOVA between time and concentration (P=0.007). The plot suggests that while contact time alone might not be the sole dominant factor, its impact on ampicillin removal becomes critical in the presence of higher initial concentrations, reflecting a kinetic dependency where a greater number of ampicillin molecules requires a longer duration to achieve equilibrium adsorption. The interaction between adsorbent dosage and initial ampicillin concentration (fig 10) is characterized by a pronounced curvature on the response surface, indicating a clear non-linear </w:t>
      </w:r>
      <w:proofErr w:type="spellStart"/>
      <w:r w:rsidRPr="00801F94">
        <w:rPr>
          <w:rFonts w:ascii="Arial" w:hAnsi="Arial" w:cs="Arial"/>
        </w:rPr>
        <w:t>behaviour</w:t>
      </w:r>
      <w:proofErr w:type="spellEnd"/>
      <w:r w:rsidRPr="00801F94">
        <w:rPr>
          <w:rFonts w:ascii="Arial" w:hAnsi="Arial" w:cs="Arial"/>
        </w:rPr>
        <w:t xml:space="preserve">. At lower adsorbent dosages, the removal efficiency exhibits higher sensitivity to changes in initial ampicillin concentration. However, increasing the adsorbent dosage effectively mitigates this sensitivity by providing a greater number of active binding sites, thereby enhancing the overall removal capacity. This observed </w:t>
      </w:r>
      <w:proofErr w:type="spellStart"/>
      <w:r w:rsidRPr="00801F94">
        <w:rPr>
          <w:rFonts w:ascii="Arial" w:hAnsi="Arial" w:cs="Arial"/>
        </w:rPr>
        <w:t>behaviour</w:t>
      </w:r>
      <w:proofErr w:type="spellEnd"/>
      <w:r w:rsidRPr="00801F94">
        <w:rPr>
          <w:rFonts w:ascii="Arial" w:hAnsi="Arial" w:cs="Arial"/>
        </w:rPr>
        <w:t xml:space="preserve"> corresponds well with the significant quadratic effects of both initial concentration (</w:t>
      </w:r>
      <w:r w:rsidR="009C7F57" w:rsidRPr="00801F94">
        <w:rPr>
          <w:rFonts w:ascii="Arial" w:hAnsi="Arial" w:cs="Arial"/>
        </w:rPr>
        <w:t>A</w:t>
      </w:r>
      <w:r w:rsidR="009C7F57" w:rsidRPr="00801F94">
        <w:rPr>
          <w:rFonts w:ascii="Arial" w:hAnsi="Arial" w:cs="Arial"/>
          <w:vertAlign w:val="superscript"/>
        </w:rPr>
        <w:t>2</w:t>
      </w:r>
      <w:r w:rsidRPr="00801F94">
        <w:rPr>
          <w:rFonts w:ascii="Arial" w:hAnsi="Arial" w:cs="Arial"/>
        </w:rPr>
        <w:t>, P&lt;0.001, 11.66% contribution) and adsorbent dosage (</w:t>
      </w:r>
      <w:r w:rsidR="009C7F57" w:rsidRPr="00801F94">
        <w:rPr>
          <w:rFonts w:ascii="Arial" w:hAnsi="Arial" w:cs="Arial"/>
        </w:rPr>
        <w:t>C</w:t>
      </w:r>
      <w:r w:rsidR="009C7F57" w:rsidRPr="00801F94">
        <w:rPr>
          <w:rFonts w:ascii="Arial" w:hAnsi="Arial" w:cs="Arial"/>
          <w:vertAlign w:val="superscript"/>
        </w:rPr>
        <w:t>2</w:t>
      </w:r>
      <w:r w:rsidRPr="00801F94">
        <w:rPr>
          <w:rFonts w:ascii="Arial" w:hAnsi="Arial" w:cs="Arial"/>
        </w:rPr>
        <w:t>, P=0.002, 10.02% contribution) as identified in the ANOVA. These non-</w:t>
      </w:r>
      <w:proofErr w:type="spellStart"/>
      <w:r w:rsidRPr="00801F94">
        <w:rPr>
          <w:rFonts w:ascii="Arial" w:hAnsi="Arial" w:cs="Arial"/>
        </w:rPr>
        <w:t>linearities</w:t>
      </w:r>
      <w:proofErr w:type="spellEnd"/>
      <w:r w:rsidRPr="00801F94">
        <w:rPr>
          <w:rFonts w:ascii="Arial" w:hAnsi="Arial" w:cs="Arial"/>
        </w:rPr>
        <w:t xml:space="preserve"> underscore the existence of optimal ranges for each parameter, where excessively high initial concentrations may overwhelm the system's adsorption capacity unless adequately balanced with a correspondingly increased adsorbent dosage.</w:t>
      </w:r>
    </w:p>
    <w:p w:rsidR="00D34768" w:rsidRPr="00801F94" w:rsidRDefault="00D34768" w:rsidP="00F4243E">
      <w:pPr>
        <w:pStyle w:val="Body"/>
        <w:spacing w:after="0"/>
        <w:rPr>
          <w:rFonts w:ascii="Arial" w:hAnsi="Arial" w:cs="Arial"/>
        </w:rPr>
      </w:pPr>
    </w:p>
    <w:p w:rsidR="00D34768" w:rsidRPr="00801F94" w:rsidRDefault="00D34768" w:rsidP="00F4243E">
      <w:pPr>
        <w:pStyle w:val="Body"/>
        <w:spacing w:after="0"/>
        <w:rPr>
          <w:rFonts w:ascii="Arial" w:hAnsi="Arial" w:cs="Arial"/>
        </w:rPr>
      </w:pPr>
    </w:p>
    <w:p w:rsidR="00D34768" w:rsidRPr="00801F94" w:rsidRDefault="00D34768" w:rsidP="00F4243E">
      <w:pPr>
        <w:pStyle w:val="Body"/>
        <w:spacing w:after="0"/>
        <w:rPr>
          <w:rFonts w:ascii="Arial" w:hAnsi="Arial" w:cs="Arial"/>
        </w:rPr>
      </w:pPr>
    </w:p>
    <w:p w:rsidR="00F4243E" w:rsidRPr="00801F94" w:rsidRDefault="00F4243E" w:rsidP="00F4243E">
      <w:pPr>
        <w:pStyle w:val="Body"/>
        <w:spacing w:after="0"/>
        <w:jc w:val="center"/>
        <w:rPr>
          <w:rFonts w:ascii="Arial" w:hAnsi="Arial" w:cs="Arial"/>
        </w:rPr>
      </w:pPr>
      <w:r w:rsidRPr="00801F94">
        <w:rPr>
          <w:rFonts w:ascii="Arial" w:hAnsi="Arial" w:cs="Arial"/>
          <w:noProof/>
        </w:rPr>
        <w:lastRenderedPageBreak/>
        <w:drawing>
          <wp:inline distT="0" distB="0" distL="0" distR="0" wp14:anchorId="51DF04DA" wp14:editId="73CA089E">
            <wp:extent cx="2962275" cy="1657350"/>
            <wp:effectExtent l="0" t="0" r="9525" b="0"/>
            <wp:docPr id="780591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t="8533"/>
                    <a:stretch>
                      <a:fillRect/>
                    </a:stretch>
                  </pic:blipFill>
                  <pic:spPr bwMode="auto">
                    <a:xfrm>
                      <a:off x="0" y="0"/>
                      <a:ext cx="2962275" cy="1657350"/>
                    </a:xfrm>
                    <a:prstGeom prst="rect">
                      <a:avLst/>
                    </a:prstGeom>
                    <a:noFill/>
                    <a:ln>
                      <a:noFill/>
                    </a:ln>
                  </pic:spPr>
                </pic:pic>
              </a:graphicData>
            </a:graphic>
          </wp:inline>
        </w:drawing>
      </w:r>
    </w:p>
    <w:p w:rsidR="00F4243E" w:rsidRPr="00801F94" w:rsidRDefault="00F4243E" w:rsidP="00F4243E">
      <w:pPr>
        <w:pStyle w:val="Body"/>
        <w:spacing w:after="0"/>
        <w:jc w:val="center"/>
        <w:rPr>
          <w:rFonts w:ascii="Arial" w:hAnsi="Arial" w:cs="Arial"/>
          <w:b/>
          <w:bCs/>
        </w:rPr>
      </w:pPr>
      <w:r w:rsidRPr="00801F94">
        <w:rPr>
          <w:rFonts w:ascii="Arial" w:hAnsi="Arial" w:cs="Arial"/>
          <w:b/>
          <w:bCs/>
        </w:rPr>
        <w:t>Fig 8: Surface Plot of % removal vs time and ARH dosage</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jc w:val="center"/>
        <w:rPr>
          <w:rFonts w:ascii="Arial" w:hAnsi="Arial" w:cs="Arial"/>
        </w:rPr>
      </w:pPr>
      <w:r w:rsidRPr="00801F94">
        <w:rPr>
          <w:rFonts w:ascii="Arial" w:hAnsi="Arial" w:cs="Arial"/>
          <w:noProof/>
        </w:rPr>
        <w:drawing>
          <wp:inline distT="0" distB="0" distL="0" distR="0" wp14:anchorId="28B9850B" wp14:editId="7031C358">
            <wp:extent cx="2876550" cy="1924050"/>
            <wp:effectExtent l="0" t="0" r="0" b="0"/>
            <wp:docPr id="5096354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F4243E" w:rsidRPr="00801F94" w:rsidRDefault="00F4243E" w:rsidP="00F4243E">
      <w:pPr>
        <w:pStyle w:val="Body"/>
        <w:spacing w:after="0"/>
        <w:jc w:val="center"/>
        <w:rPr>
          <w:rFonts w:ascii="Arial" w:hAnsi="Arial" w:cs="Arial"/>
          <w:b/>
          <w:bCs/>
        </w:rPr>
      </w:pPr>
      <w:r w:rsidRPr="00801F94">
        <w:rPr>
          <w:rFonts w:ascii="Arial" w:hAnsi="Arial" w:cs="Arial"/>
          <w:b/>
          <w:bCs/>
        </w:rPr>
        <w:t>Fig 9: Surface Plot of % removal vs time and Concentration</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jc w:val="center"/>
        <w:rPr>
          <w:rFonts w:ascii="Arial" w:hAnsi="Arial" w:cs="Arial"/>
          <w:b/>
          <w:bCs/>
        </w:rPr>
      </w:pPr>
      <w:r w:rsidRPr="00801F94">
        <w:rPr>
          <w:rFonts w:ascii="Arial" w:hAnsi="Arial" w:cs="Arial"/>
          <w:b/>
          <w:bCs/>
          <w:noProof/>
        </w:rPr>
        <w:drawing>
          <wp:inline distT="0" distB="0" distL="0" distR="0" wp14:anchorId="40200AB1" wp14:editId="28470EBB">
            <wp:extent cx="2876550" cy="1924050"/>
            <wp:effectExtent l="0" t="0" r="0" b="0"/>
            <wp:docPr id="3088846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4F6DC7" w:rsidRPr="00801F94" w:rsidRDefault="004F6DC7" w:rsidP="00F4243E">
      <w:pPr>
        <w:pStyle w:val="Body"/>
        <w:spacing w:after="0"/>
        <w:jc w:val="center"/>
        <w:rPr>
          <w:rFonts w:ascii="Arial" w:hAnsi="Arial" w:cs="Arial"/>
          <w:b/>
          <w:bCs/>
        </w:rPr>
      </w:pPr>
    </w:p>
    <w:p w:rsidR="004F6DC7" w:rsidRPr="00801F94" w:rsidRDefault="004F6DC7" w:rsidP="00F4243E">
      <w:pPr>
        <w:pStyle w:val="Body"/>
        <w:spacing w:after="0"/>
        <w:jc w:val="center"/>
        <w:rPr>
          <w:rFonts w:ascii="Arial" w:hAnsi="Arial" w:cs="Arial"/>
          <w:b/>
          <w:bCs/>
        </w:rPr>
      </w:pPr>
    </w:p>
    <w:p w:rsidR="00F4243E" w:rsidRPr="00801F94" w:rsidRDefault="00F4243E" w:rsidP="00F4243E">
      <w:pPr>
        <w:pStyle w:val="Body"/>
        <w:spacing w:after="0"/>
        <w:jc w:val="center"/>
        <w:rPr>
          <w:rFonts w:ascii="Arial" w:hAnsi="Arial" w:cs="Arial"/>
          <w:b/>
          <w:bCs/>
        </w:rPr>
      </w:pPr>
      <w:r w:rsidRPr="00801F94">
        <w:rPr>
          <w:rFonts w:ascii="Arial" w:hAnsi="Arial" w:cs="Arial"/>
          <w:b/>
          <w:bCs/>
        </w:rPr>
        <w:t>Fig 10: Surface Plot of % removal vs ARH dosage and Concentration</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3.6 Optimal conditions for maximum removal efficiency</w:t>
      </w:r>
    </w:p>
    <w:p w:rsidR="00F4243E" w:rsidRPr="00801F94" w:rsidRDefault="00F4243E" w:rsidP="00F4243E">
      <w:pPr>
        <w:pStyle w:val="Body"/>
        <w:spacing w:after="0"/>
        <w:rPr>
          <w:rFonts w:ascii="Arial" w:hAnsi="Arial" w:cs="Arial"/>
        </w:rPr>
      </w:pPr>
      <w:r w:rsidRPr="00801F94">
        <w:rPr>
          <w:rFonts w:ascii="Arial" w:hAnsi="Arial" w:cs="Arial"/>
        </w:rPr>
        <w:t xml:space="preserve">The RSM optimization plots (fig. 11), identified </w:t>
      </w:r>
      <w:r w:rsidR="006C2C4F" w:rsidRPr="00801F94">
        <w:rPr>
          <w:rFonts w:ascii="Arial" w:hAnsi="Arial" w:cs="Arial"/>
        </w:rPr>
        <w:t xml:space="preserve">a time of 181 min, </w:t>
      </w:r>
      <w:r w:rsidRPr="00801F94">
        <w:rPr>
          <w:rFonts w:ascii="Arial" w:hAnsi="Arial" w:cs="Arial"/>
        </w:rPr>
        <w:t xml:space="preserve">the lowest tested dosage of 1.000 g and an initial ampicillin concentration of 4.4747 mg/L as the optimal conditions, under which a maximum predicted removal efficiency of 94.9894% was achieved. The associated desirability score of 1.0000 indicates perfect agreement between the model's prediction and the defined optimization target. The attainment of such high removal efficiency at the minimum dosage highlights the superior adsorptive capacity of ARH, underscoring its economic and environmental viability for large-scale applications. Notably, the efficiency profile </w:t>
      </w:r>
      <w:r w:rsidRPr="00801F94">
        <w:rPr>
          <w:rFonts w:ascii="Arial" w:hAnsi="Arial" w:cs="Arial"/>
        </w:rPr>
        <w:lastRenderedPageBreak/>
        <w:t xml:space="preserve">demonstrated a marked decline at higher dosages, indicative of active site saturation and resource inefficiency beyond the optimal range. Likewise, the concentration-response trend exhibited a typical plateau </w:t>
      </w:r>
      <w:proofErr w:type="spellStart"/>
      <w:r w:rsidRPr="00801F94">
        <w:rPr>
          <w:rFonts w:ascii="Arial" w:hAnsi="Arial" w:cs="Arial"/>
        </w:rPr>
        <w:t>behaviour</w:t>
      </w:r>
      <w:proofErr w:type="spellEnd"/>
      <w:r w:rsidRPr="00801F94">
        <w:rPr>
          <w:rFonts w:ascii="Arial" w:hAnsi="Arial" w:cs="Arial"/>
        </w:rPr>
        <w:t xml:space="preserve"> at elevated levels, suggesting limited enhancement in removal performance beyond approximately 4.47 mg/L due to surface saturation constraints. In contrast, contact time exhibited a more gradual influence, with model projections suggesting an optimal value near 1</w:t>
      </w:r>
      <w:r w:rsidR="006C2C4F" w:rsidRPr="00801F94">
        <w:rPr>
          <w:rFonts w:ascii="Arial" w:hAnsi="Arial" w:cs="Arial"/>
        </w:rPr>
        <w:t>80</w:t>
      </w:r>
      <w:r w:rsidRPr="00801F94">
        <w:rPr>
          <w:rFonts w:ascii="Arial" w:hAnsi="Arial" w:cs="Arial"/>
        </w:rPr>
        <w:t xml:space="preserve"> minutes, consistent with fixed-time assumptions used in constant-condition experiments. These results collectively affirm the effectiveness of ARH as a low-cost, sustainable adsorbent for the remediation of pharmaceutical-contaminated wastewater. The consistency of the optimization outcome across multiple variable interactions further supports the robustness of the RSM model, demonstrating its practical utility in fine-tuning process parameters for maximal adsorption performance. </w:t>
      </w:r>
    </w:p>
    <w:p w:rsidR="001038EF" w:rsidRPr="00801F94" w:rsidRDefault="001038EF" w:rsidP="00F4243E">
      <w:pPr>
        <w:pStyle w:val="Body"/>
        <w:spacing w:after="0"/>
        <w:rPr>
          <w:rFonts w:ascii="Arial" w:hAnsi="Arial" w:cs="Arial"/>
        </w:rPr>
      </w:pP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rPr>
          <w:rFonts w:ascii="Arial" w:hAnsi="Arial" w:cs="Arial"/>
        </w:rPr>
      </w:pPr>
      <w:r w:rsidRPr="00801F94">
        <w:rPr>
          <w:rFonts w:ascii="Arial" w:hAnsi="Arial" w:cs="Arial"/>
          <w:noProof/>
        </w:rPr>
        <w:drawing>
          <wp:inline distT="0" distB="0" distL="0" distR="0" wp14:anchorId="490CDB06" wp14:editId="0D3B4CC6">
            <wp:extent cx="5212080" cy="2090420"/>
            <wp:effectExtent l="0" t="0" r="7620" b="5080"/>
            <wp:docPr id="11722885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b="39925"/>
                    <a:stretch>
                      <a:fillRect/>
                    </a:stretch>
                  </pic:blipFill>
                  <pic:spPr bwMode="auto">
                    <a:xfrm>
                      <a:off x="0" y="0"/>
                      <a:ext cx="5212080" cy="2090420"/>
                    </a:xfrm>
                    <a:prstGeom prst="rect">
                      <a:avLst/>
                    </a:prstGeom>
                    <a:noFill/>
                    <a:ln>
                      <a:noFill/>
                    </a:ln>
                  </pic:spPr>
                </pic:pic>
              </a:graphicData>
            </a:graphic>
          </wp:inline>
        </w:drawing>
      </w:r>
    </w:p>
    <w:p w:rsidR="00F4243E" w:rsidRPr="00801F94" w:rsidRDefault="00F4243E" w:rsidP="00F4243E">
      <w:pPr>
        <w:pStyle w:val="Body"/>
        <w:spacing w:after="0"/>
        <w:jc w:val="center"/>
        <w:rPr>
          <w:rFonts w:ascii="Arial" w:hAnsi="Arial" w:cs="Arial"/>
          <w:b/>
          <w:bCs/>
        </w:rPr>
      </w:pPr>
      <w:r w:rsidRPr="00801F94">
        <w:rPr>
          <w:rFonts w:ascii="Arial" w:hAnsi="Arial" w:cs="Arial"/>
          <w:b/>
          <w:bCs/>
        </w:rPr>
        <w:t>Fig. 11: The response surface optimization plots</w:t>
      </w:r>
    </w:p>
    <w:p w:rsidR="00F4243E" w:rsidRPr="00801F94" w:rsidRDefault="00F4243E" w:rsidP="00F4243E">
      <w:pPr>
        <w:pStyle w:val="Body"/>
        <w:spacing w:after="0"/>
        <w:rPr>
          <w:rFonts w:ascii="Arial" w:hAnsi="Arial" w:cs="Arial"/>
        </w:rPr>
      </w:pPr>
      <w:r w:rsidRPr="00801F94">
        <w:rPr>
          <w:rFonts w:ascii="Arial" w:hAnsi="Arial" w:cs="Arial"/>
        </w:rPr>
        <w:t xml:space="preserve"> </w:t>
      </w:r>
    </w:p>
    <w:p w:rsidR="00F4243E" w:rsidRPr="00801F94" w:rsidRDefault="00F4243E" w:rsidP="00F4243E">
      <w:pPr>
        <w:pStyle w:val="Body"/>
        <w:spacing w:after="0"/>
        <w:rPr>
          <w:rFonts w:ascii="Arial" w:hAnsi="Arial" w:cs="Arial"/>
          <w:b/>
          <w:bCs/>
        </w:rPr>
      </w:pPr>
      <w:r w:rsidRPr="00801F94">
        <w:rPr>
          <w:rFonts w:ascii="Arial" w:hAnsi="Arial" w:cs="Arial"/>
          <w:b/>
          <w:bCs/>
        </w:rPr>
        <w:t>3.7 Adsorption Isotherms</w:t>
      </w:r>
    </w:p>
    <w:p w:rsidR="00F4243E" w:rsidRPr="00801F94" w:rsidRDefault="00F4243E" w:rsidP="00F4243E">
      <w:pPr>
        <w:pStyle w:val="Body"/>
        <w:spacing w:after="0"/>
        <w:rPr>
          <w:rFonts w:ascii="Arial" w:hAnsi="Arial" w:cs="Arial"/>
        </w:rPr>
      </w:pPr>
      <w:r w:rsidRPr="00801F94">
        <w:rPr>
          <w:rFonts w:ascii="Arial" w:hAnsi="Arial" w:cs="Arial"/>
        </w:rPr>
        <w:t xml:space="preserve">To understand the interaction between ampicillin and the acid-modified rice husk (ARH) at equilibrium, experimental adsorption data were fitted to three common isotherm models (fig 12): Langmuir, </w:t>
      </w:r>
      <w:proofErr w:type="spellStart"/>
      <w:r w:rsidRPr="00801F94">
        <w:rPr>
          <w:rFonts w:ascii="Arial" w:hAnsi="Arial" w:cs="Arial"/>
        </w:rPr>
        <w:t>Freundlich</w:t>
      </w:r>
      <w:proofErr w:type="spellEnd"/>
      <w:r w:rsidRPr="00801F94">
        <w:rPr>
          <w:rFonts w:ascii="Arial" w:hAnsi="Arial" w:cs="Arial"/>
        </w:rPr>
        <w:t xml:space="preserve">, and </w:t>
      </w:r>
      <w:proofErr w:type="spellStart"/>
      <w:r w:rsidRPr="00801F94">
        <w:rPr>
          <w:rFonts w:ascii="Arial" w:hAnsi="Arial" w:cs="Arial"/>
        </w:rPr>
        <w:t>Dubinin-Radushkevich</w:t>
      </w:r>
      <w:proofErr w:type="spellEnd"/>
      <w:r w:rsidRPr="00801F94">
        <w:rPr>
          <w:rFonts w:ascii="Arial" w:hAnsi="Arial" w:cs="Arial"/>
        </w:rPr>
        <w:t xml:space="preserve"> (D-R). The parameters obtained from these models, along with their respective coefficients of determination (R</w:t>
      </w:r>
      <w:r w:rsidRPr="00801F94">
        <w:rPr>
          <w:rFonts w:ascii="Arial" w:hAnsi="Arial" w:cs="Arial"/>
          <w:vertAlign w:val="superscript"/>
        </w:rPr>
        <w:t>2</w:t>
      </w:r>
      <w:r w:rsidRPr="00801F94">
        <w:rPr>
          <w:rFonts w:ascii="Arial" w:hAnsi="Arial" w:cs="Arial"/>
        </w:rPr>
        <w:t xml:space="preserve">), are summarized in Table </w:t>
      </w:r>
      <w:r w:rsidR="0053350D" w:rsidRPr="00801F94">
        <w:rPr>
          <w:rFonts w:ascii="Arial" w:hAnsi="Arial" w:cs="Arial"/>
        </w:rPr>
        <w:t>5</w:t>
      </w:r>
      <w:r w:rsidRPr="00801F94">
        <w:rPr>
          <w:rFonts w:ascii="Arial" w:hAnsi="Arial" w:cs="Arial"/>
        </w:rPr>
        <w:t xml:space="preserve">. </w:t>
      </w:r>
    </w:p>
    <w:p w:rsidR="00F4243E" w:rsidRPr="00801F94" w:rsidRDefault="00F4243E" w:rsidP="00F4243E">
      <w:pPr>
        <w:pStyle w:val="Body"/>
        <w:spacing w:after="0"/>
        <w:rPr>
          <w:rFonts w:ascii="Arial" w:hAnsi="Arial" w:cs="Arial"/>
        </w:rPr>
      </w:pPr>
      <w:r w:rsidRPr="00801F94">
        <w:rPr>
          <w:rFonts w:ascii="Arial" w:hAnsi="Arial" w:cs="Arial"/>
        </w:rPr>
        <w:t>The Langmuir isotherm model describes monolayer adsorption onto a homogeneous surface with a finite number of identical adsorption sites, assuming no interaction between adsorbed molecules. For the ARH, the Langmuir model yielded an R</w:t>
      </w:r>
      <w:r w:rsidRPr="00801F94">
        <w:rPr>
          <w:rFonts w:ascii="Arial" w:hAnsi="Arial" w:cs="Arial"/>
          <w:vertAlign w:val="superscript"/>
        </w:rPr>
        <w:t>2</w:t>
      </w:r>
      <w:r w:rsidRPr="00801F94">
        <w:rPr>
          <w:rFonts w:ascii="Arial" w:hAnsi="Arial" w:cs="Arial"/>
        </w:rPr>
        <w:t xml:space="preserve"> value of 0.8792. The maximum monolayer adsorption capacity (</w:t>
      </w:r>
      <w:proofErr w:type="spellStart"/>
      <w:proofErr w:type="gramStart"/>
      <w:r w:rsidRPr="00801F94">
        <w:rPr>
          <w:rFonts w:ascii="Arial" w:hAnsi="Arial" w:cs="Arial"/>
        </w:rPr>
        <w:t>q</w:t>
      </w:r>
      <w:r w:rsidRPr="00801F94">
        <w:rPr>
          <w:rFonts w:ascii="Arial" w:hAnsi="Arial" w:cs="Arial"/>
          <w:vertAlign w:val="subscript"/>
        </w:rPr>
        <w:t>m</w:t>
      </w:r>
      <w:proofErr w:type="spellEnd"/>
      <w:r w:rsidRPr="00801F94">
        <w:rPr>
          <w:rFonts w:ascii="Arial" w:hAnsi="Arial" w:cs="Arial"/>
        </w:rPr>
        <w:t>​)</w:t>
      </w:r>
      <w:proofErr w:type="gramEnd"/>
      <w:r w:rsidRPr="00801F94">
        <w:rPr>
          <w:rFonts w:ascii="Arial" w:hAnsi="Arial" w:cs="Arial"/>
        </w:rPr>
        <w:t xml:space="preserve"> was found to be 0.0445 mg/L. The Langmuir constant (</w:t>
      </w:r>
      <w:proofErr w:type="gramStart"/>
      <w:r w:rsidRPr="00801F94">
        <w:rPr>
          <w:rFonts w:ascii="Arial" w:hAnsi="Arial" w:cs="Arial"/>
        </w:rPr>
        <w:t>K</w:t>
      </w:r>
      <w:r w:rsidRPr="00801F94">
        <w:rPr>
          <w:rFonts w:ascii="Arial" w:hAnsi="Arial" w:cs="Arial"/>
          <w:vertAlign w:val="subscript"/>
        </w:rPr>
        <w:t>L</w:t>
      </w:r>
      <w:r w:rsidRPr="00801F94">
        <w:rPr>
          <w:rFonts w:ascii="Arial" w:hAnsi="Arial" w:cs="Arial"/>
        </w:rPr>
        <w:t>​)</w:t>
      </w:r>
      <w:proofErr w:type="gramEnd"/>
      <w:r w:rsidRPr="00801F94">
        <w:rPr>
          <w:rFonts w:ascii="Arial" w:hAnsi="Arial" w:cs="Arial"/>
        </w:rPr>
        <w:t>, related to the adsorption energy and affinity of the binding sites, was 2.502. The dimensionless separation factor (</w:t>
      </w:r>
      <w:proofErr w:type="gramStart"/>
      <w:r w:rsidRPr="00801F94">
        <w:rPr>
          <w:rFonts w:ascii="Arial" w:hAnsi="Arial" w:cs="Arial"/>
        </w:rPr>
        <w:t>R</w:t>
      </w:r>
      <w:r w:rsidRPr="00801F94">
        <w:rPr>
          <w:rFonts w:ascii="Arial" w:hAnsi="Arial" w:cs="Arial"/>
          <w:vertAlign w:val="subscript"/>
        </w:rPr>
        <w:t>L</w:t>
      </w:r>
      <w:r w:rsidRPr="00801F94">
        <w:rPr>
          <w:rFonts w:ascii="Arial" w:hAnsi="Arial" w:cs="Arial"/>
        </w:rPr>
        <w:t>​)</w:t>
      </w:r>
      <w:proofErr w:type="gramEnd"/>
      <w:r w:rsidRPr="00801F94">
        <w:rPr>
          <w:rFonts w:ascii="Arial" w:hAnsi="Arial" w:cs="Arial"/>
        </w:rPr>
        <w:t xml:space="preserve"> was calculated as 0.2855. Since 0&lt;R</w:t>
      </w:r>
      <w:r w:rsidRPr="00801F94">
        <w:rPr>
          <w:rFonts w:ascii="Arial" w:hAnsi="Arial" w:cs="Arial"/>
          <w:vertAlign w:val="subscript"/>
        </w:rPr>
        <w:t>L</w:t>
      </w:r>
      <w:r w:rsidRPr="00801F94">
        <w:rPr>
          <w:rFonts w:ascii="Arial" w:hAnsi="Arial" w:cs="Arial"/>
        </w:rPr>
        <w:t xml:space="preserve">​&lt;1, this indicates that the adsorption of ampicillin onto the acid-modified rice husk is a </w:t>
      </w:r>
      <w:proofErr w:type="spellStart"/>
      <w:r w:rsidRPr="00801F94">
        <w:rPr>
          <w:rFonts w:ascii="Arial" w:hAnsi="Arial" w:cs="Arial"/>
        </w:rPr>
        <w:t>favourable</w:t>
      </w:r>
      <w:proofErr w:type="spellEnd"/>
      <w:r w:rsidRPr="00801F94">
        <w:rPr>
          <w:rFonts w:ascii="Arial" w:hAnsi="Arial" w:cs="Arial"/>
        </w:rPr>
        <w:t xml:space="preserve"> process under the experimental conditions. However, the relatively lower R</w:t>
      </w:r>
      <w:r w:rsidRPr="00801F94">
        <w:rPr>
          <w:rFonts w:ascii="Arial" w:hAnsi="Arial" w:cs="Arial"/>
          <w:vertAlign w:val="superscript"/>
        </w:rPr>
        <w:t>2</w:t>
      </w:r>
      <w:r w:rsidRPr="00801F94">
        <w:rPr>
          <w:rFonts w:ascii="Arial" w:hAnsi="Arial" w:cs="Arial"/>
        </w:rPr>
        <w:t xml:space="preserve"> value compared to the </w:t>
      </w:r>
      <w:proofErr w:type="spellStart"/>
      <w:r w:rsidRPr="00801F94">
        <w:rPr>
          <w:rFonts w:ascii="Arial" w:hAnsi="Arial" w:cs="Arial"/>
        </w:rPr>
        <w:t>Freundlich</w:t>
      </w:r>
      <w:proofErr w:type="spellEnd"/>
      <w:r w:rsidRPr="00801F94">
        <w:rPr>
          <w:rFonts w:ascii="Arial" w:hAnsi="Arial" w:cs="Arial"/>
        </w:rPr>
        <w:t xml:space="preserve"> and D-R models suggests that the Langmuir model may not fully capture the complexity of the adsorption mechanism.</w:t>
      </w:r>
    </w:p>
    <w:p w:rsidR="00F4243E" w:rsidRPr="00801F94" w:rsidRDefault="00F4243E" w:rsidP="00F4243E">
      <w:pPr>
        <w:pStyle w:val="Body"/>
        <w:spacing w:after="0"/>
        <w:rPr>
          <w:rFonts w:ascii="Arial" w:hAnsi="Arial" w:cs="Arial"/>
        </w:rPr>
      </w:pPr>
      <w:r w:rsidRPr="00801F94">
        <w:rPr>
          <w:rFonts w:ascii="Arial" w:hAnsi="Arial" w:cs="Arial"/>
        </w:rPr>
        <w:t xml:space="preserve">The </w:t>
      </w:r>
      <w:proofErr w:type="spellStart"/>
      <w:r w:rsidRPr="00801F94">
        <w:rPr>
          <w:rFonts w:ascii="Arial" w:hAnsi="Arial" w:cs="Arial"/>
        </w:rPr>
        <w:t>Freundlich</w:t>
      </w:r>
      <w:proofErr w:type="spellEnd"/>
      <w:r w:rsidRPr="00801F94">
        <w:rPr>
          <w:rFonts w:ascii="Arial" w:hAnsi="Arial" w:cs="Arial"/>
        </w:rPr>
        <w:t xml:space="preserve"> isotherm is an empirical model that describes heterogeneous adsorption on surfaces with non-uniform adsorption energies, allowing for multilayer adsorption. This model provided the best fit to the experimental data, with an R</w:t>
      </w:r>
      <w:r w:rsidRPr="00801F94">
        <w:rPr>
          <w:rFonts w:ascii="Arial" w:hAnsi="Arial" w:cs="Arial"/>
          <w:vertAlign w:val="superscript"/>
        </w:rPr>
        <w:t>2</w:t>
      </w:r>
      <w:r w:rsidRPr="00801F94">
        <w:rPr>
          <w:rFonts w:ascii="Arial" w:hAnsi="Arial" w:cs="Arial"/>
        </w:rPr>
        <w:t xml:space="preserve"> value of 0.9356. The </w:t>
      </w:r>
      <w:proofErr w:type="spellStart"/>
      <w:r w:rsidRPr="00801F94">
        <w:rPr>
          <w:rFonts w:ascii="Arial" w:hAnsi="Arial" w:cs="Arial"/>
        </w:rPr>
        <w:t>Freundlich</w:t>
      </w:r>
      <w:proofErr w:type="spellEnd"/>
      <w:r w:rsidRPr="00801F94">
        <w:rPr>
          <w:rFonts w:ascii="Arial" w:hAnsi="Arial" w:cs="Arial"/>
        </w:rPr>
        <w:t xml:space="preserve"> constant (</w:t>
      </w:r>
      <w:proofErr w:type="gramStart"/>
      <w:r w:rsidRPr="00801F94">
        <w:rPr>
          <w:rFonts w:ascii="Arial" w:hAnsi="Arial" w:cs="Arial"/>
        </w:rPr>
        <w:t>K</w:t>
      </w:r>
      <w:r w:rsidRPr="00801F94">
        <w:rPr>
          <w:rFonts w:ascii="Arial" w:hAnsi="Arial" w:cs="Arial"/>
          <w:vertAlign w:val="subscript"/>
        </w:rPr>
        <w:t>F</w:t>
      </w:r>
      <w:r w:rsidRPr="00801F94">
        <w:rPr>
          <w:rFonts w:ascii="Arial" w:hAnsi="Arial" w:cs="Arial"/>
        </w:rPr>
        <w:t>​)</w:t>
      </w:r>
      <w:proofErr w:type="gramEnd"/>
      <w:r w:rsidRPr="00801F94">
        <w:rPr>
          <w:rFonts w:ascii="Arial" w:hAnsi="Arial" w:cs="Arial"/>
        </w:rPr>
        <w:t xml:space="preserve">, indicative of adsorption capacity, was 5.83. The heterogeneity factor (n) was determined to be 0.3275. A value of n between 0 and 1 (or 1/n greater than 1) indicates a heterogeneous surface, which is consistent with the SEM observations showing an irregular and porous morphology of the acid-modified rice husk. Furthermore, for </w:t>
      </w:r>
      <w:proofErr w:type="spellStart"/>
      <w:r w:rsidRPr="00801F94">
        <w:rPr>
          <w:rFonts w:ascii="Arial" w:hAnsi="Arial" w:cs="Arial"/>
        </w:rPr>
        <w:t>favourable</w:t>
      </w:r>
      <w:proofErr w:type="spellEnd"/>
      <w:r w:rsidRPr="00801F94">
        <w:rPr>
          <w:rFonts w:ascii="Arial" w:hAnsi="Arial" w:cs="Arial"/>
        </w:rPr>
        <w:t xml:space="preserve"> adsorption, the value of n should be greater than 1, or 1/n should be less than 1. In this case, n=0.327531, </w:t>
      </w:r>
      <w:r w:rsidRPr="00801F94">
        <w:rPr>
          <w:rFonts w:ascii="Arial" w:hAnsi="Arial" w:cs="Arial"/>
        </w:rPr>
        <w:lastRenderedPageBreak/>
        <w:t xml:space="preserve">meaning 1/n≈3.05. This suggests that the adsorption is not highly </w:t>
      </w:r>
      <w:proofErr w:type="spellStart"/>
      <w:r w:rsidRPr="00801F94">
        <w:rPr>
          <w:rFonts w:ascii="Arial" w:hAnsi="Arial" w:cs="Arial"/>
        </w:rPr>
        <w:t>favourable</w:t>
      </w:r>
      <w:proofErr w:type="spellEnd"/>
      <w:r w:rsidRPr="00801F94">
        <w:rPr>
          <w:rFonts w:ascii="Arial" w:hAnsi="Arial" w:cs="Arial"/>
        </w:rPr>
        <w:t xml:space="preserve"> in terms of intensity across all sites, or perhaps indicates a strong binding at initial stages followed by weaker binding. The higher R</w:t>
      </w:r>
      <w:r w:rsidRPr="00801F94">
        <w:rPr>
          <w:rFonts w:ascii="Arial" w:hAnsi="Arial" w:cs="Arial"/>
          <w:vertAlign w:val="superscript"/>
        </w:rPr>
        <w:t>2</w:t>
      </w:r>
      <w:r w:rsidRPr="00801F94">
        <w:rPr>
          <w:rFonts w:ascii="Arial" w:hAnsi="Arial" w:cs="Arial"/>
        </w:rPr>
        <w:t xml:space="preserve"> for the </w:t>
      </w:r>
      <w:proofErr w:type="spellStart"/>
      <w:r w:rsidRPr="00801F94">
        <w:rPr>
          <w:rFonts w:ascii="Arial" w:hAnsi="Arial" w:cs="Arial"/>
        </w:rPr>
        <w:t>Freundlich</w:t>
      </w:r>
      <w:proofErr w:type="spellEnd"/>
      <w:r w:rsidRPr="00801F94">
        <w:rPr>
          <w:rFonts w:ascii="Arial" w:hAnsi="Arial" w:cs="Arial"/>
        </w:rPr>
        <w:t xml:space="preserve"> model implies that the adsorption of ampicillin onto ARH is more accurately described as occurring on a heterogeneous surface with varying adsorption energies, rather than a uniform monolayer.</w:t>
      </w:r>
    </w:p>
    <w:p w:rsidR="00F4243E" w:rsidRPr="00801F94" w:rsidRDefault="00F4243E" w:rsidP="00F4243E">
      <w:pPr>
        <w:pStyle w:val="Body"/>
        <w:spacing w:after="0"/>
        <w:rPr>
          <w:rFonts w:ascii="Arial" w:hAnsi="Arial" w:cs="Arial"/>
        </w:rPr>
      </w:pPr>
      <w:r w:rsidRPr="00801F94">
        <w:rPr>
          <w:rFonts w:ascii="Arial" w:hAnsi="Arial" w:cs="Arial"/>
        </w:rPr>
        <w:t xml:space="preserve">The </w:t>
      </w:r>
      <w:proofErr w:type="spellStart"/>
      <w:r w:rsidRPr="00801F94">
        <w:rPr>
          <w:rFonts w:ascii="Arial" w:hAnsi="Arial" w:cs="Arial"/>
        </w:rPr>
        <w:t>Dubinin-Radushkevich</w:t>
      </w:r>
      <w:proofErr w:type="spellEnd"/>
      <w:r w:rsidRPr="00801F94">
        <w:rPr>
          <w:rFonts w:ascii="Arial" w:hAnsi="Arial" w:cs="Arial"/>
        </w:rPr>
        <w:t xml:space="preserve"> (D-R) isotherm is generally applied to express the adsorption mechanism following a pore-filling process, applicable to both homogeneous and heterogeneous surfaces. It is particularly useful for distinguishing between physical and chemical adsorption (Yeo et. al. 2023). The D-R model exhibited a good fit with an R</w:t>
      </w:r>
      <w:r w:rsidRPr="00801F94">
        <w:rPr>
          <w:rFonts w:ascii="Arial" w:hAnsi="Arial" w:cs="Arial"/>
          <w:vertAlign w:val="superscript"/>
        </w:rPr>
        <w:t>2</w:t>
      </w:r>
      <w:r w:rsidRPr="00801F94">
        <w:rPr>
          <w:rFonts w:ascii="Arial" w:hAnsi="Arial" w:cs="Arial"/>
        </w:rPr>
        <w:t xml:space="preserve"> value of 0.9268. The saturation adsorption capacity (</w:t>
      </w:r>
      <w:proofErr w:type="spellStart"/>
      <w:r w:rsidRPr="00801F94">
        <w:rPr>
          <w:rFonts w:ascii="Arial" w:hAnsi="Arial" w:cs="Arial"/>
        </w:rPr>
        <w:t>q</w:t>
      </w:r>
      <w:r w:rsidRPr="00801F94">
        <w:rPr>
          <w:rFonts w:ascii="Arial" w:hAnsi="Arial" w:cs="Arial"/>
          <w:vertAlign w:val="subscript"/>
        </w:rPr>
        <w:t>m</w:t>
      </w:r>
      <w:proofErr w:type="spellEnd"/>
      <w:r w:rsidRPr="00801F94">
        <w:rPr>
          <w:rFonts w:ascii="Arial" w:hAnsi="Arial" w:cs="Arial"/>
        </w:rPr>
        <w:t xml:space="preserve">) from this model was 1.957mg/L, which differs significantly from the </w:t>
      </w:r>
      <w:proofErr w:type="spellStart"/>
      <w:r w:rsidRPr="00801F94">
        <w:rPr>
          <w:rFonts w:ascii="Arial" w:hAnsi="Arial" w:cs="Arial"/>
        </w:rPr>
        <w:t>q</w:t>
      </w:r>
      <w:r w:rsidRPr="00801F94">
        <w:rPr>
          <w:rFonts w:ascii="Arial" w:hAnsi="Arial" w:cs="Arial"/>
          <w:vertAlign w:val="subscript"/>
        </w:rPr>
        <w:t>m</w:t>
      </w:r>
      <w:proofErr w:type="spellEnd"/>
      <w:proofErr w:type="gramStart"/>
      <w:r w:rsidRPr="00801F94">
        <w:rPr>
          <w:rFonts w:ascii="Arial" w:hAnsi="Arial" w:cs="Arial"/>
        </w:rPr>
        <w:t>​ obtained</w:t>
      </w:r>
      <w:proofErr w:type="gramEnd"/>
      <w:r w:rsidRPr="00801F94">
        <w:rPr>
          <w:rFonts w:ascii="Arial" w:hAnsi="Arial" w:cs="Arial"/>
        </w:rPr>
        <w:t xml:space="preserve"> from the Langmuir model, reflecting the different assumptions of each model regarding the adsorption mechanism. The mean free energy of adsorption (E) was calculated to be 605.65 J/</w:t>
      </w:r>
      <w:proofErr w:type="spellStart"/>
      <w:r w:rsidRPr="00801F94">
        <w:rPr>
          <w:rFonts w:ascii="Arial" w:hAnsi="Arial" w:cs="Arial"/>
        </w:rPr>
        <w:t>mol</w:t>
      </w:r>
      <w:proofErr w:type="spellEnd"/>
      <w:r w:rsidRPr="00801F94">
        <w:rPr>
          <w:rFonts w:ascii="Arial" w:hAnsi="Arial" w:cs="Arial"/>
        </w:rPr>
        <w:t xml:space="preserve"> (or 0.606kJ/</w:t>
      </w:r>
      <w:proofErr w:type="spellStart"/>
      <w:r w:rsidRPr="00801F94">
        <w:rPr>
          <w:rFonts w:ascii="Arial" w:hAnsi="Arial" w:cs="Arial"/>
        </w:rPr>
        <w:t>mol</w:t>
      </w:r>
      <w:proofErr w:type="spellEnd"/>
      <w:r w:rsidRPr="00801F94">
        <w:rPr>
          <w:rFonts w:ascii="Arial" w:hAnsi="Arial" w:cs="Arial"/>
        </w:rPr>
        <w:t>). The magnitude of E provides insight into the nature of the adsorption process: If E&lt;8 kJ/</w:t>
      </w:r>
      <w:proofErr w:type="spellStart"/>
      <w:r w:rsidRPr="00801F94">
        <w:rPr>
          <w:rFonts w:ascii="Arial" w:hAnsi="Arial" w:cs="Arial"/>
        </w:rPr>
        <w:t>mol</w:t>
      </w:r>
      <w:proofErr w:type="spellEnd"/>
      <w:r w:rsidRPr="00801F94">
        <w:rPr>
          <w:rFonts w:ascii="Arial" w:hAnsi="Arial" w:cs="Arial"/>
        </w:rPr>
        <w:t>, the adsorption is typically considered physical adsorption (</w:t>
      </w:r>
      <w:proofErr w:type="spellStart"/>
      <w:r w:rsidRPr="00801F94">
        <w:rPr>
          <w:rFonts w:ascii="Arial" w:hAnsi="Arial" w:cs="Arial"/>
        </w:rPr>
        <w:t>physisorption</w:t>
      </w:r>
      <w:proofErr w:type="spellEnd"/>
      <w:r w:rsidRPr="00801F94">
        <w:rPr>
          <w:rFonts w:ascii="Arial" w:hAnsi="Arial" w:cs="Arial"/>
        </w:rPr>
        <w:t>); if 8≤E≤16 kJ/</w:t>
      </w:r>
      <w:proofErr w:type="spellStart"/>
      <w:r w:rsidRPr="00801F94">
        <w:rPr>
          <w:rFonts w:ascii="Arial" w:hAnsi="Arial" w:cs="Arial"/>
        </w:rPr>
        <w:t>mol</w:t>
      </w:r>
      <w:proofErr w:type="spellEnd"/>
      <w:r w:rsidRPr="00801F94">
        <w:rPr>
          <w:rFonts w:ascii="Arial" w:hAnsi="Arial" w:cs="Arial"/>
        </w:rPr>
        <w:t>, it suggests ion exchange; if E&gt;16 kJ/</w:t>
      </w:r>
      <w:proofErr w:type="spellStart"/>
      <w:r w:rsidRPr="00801F94">
        <w:rPr>
          <w:rFonts w:ascii="Arial" w:hAnsi="Arial" w:cs="Arial"/>
        </w:rPr>
        <w:t>mol</w:t>
      </w:r>
      <w:proofErr w:type="spellEnd"/>
      <w:r w:rsidRPr="00801F94">
        <w:rPr>
          <w:rFonts w:ascii="Arial" w:hAnsi="Arial" w:cs="Arial"/>
        </w:rPr>
        <w:t>, it indicates chemical adsorption (chemisorption). Given that the calculated E value (0.606 kJ/</w:t>
      </w:r>
      <w:proofErr w:type="spellStart"/>
      <w:r w:rsidRPr="00801F94">
        <w:rPr>
          <w:rFonts w:ascii="Arial" w:hAnsi="Arial" w:cs="Arial"/>
        </w:rPr>
        <w:t>mol</w:t>
      </w:r>
      <w:proofErr w:type="spellEnd"/>
      <w:r w:rsidRPr="00801F94">
        <w:rPr>
          <w:rFonts w:ascii="Arial" w:hAnsi="Arial" w:cs="Arial"/>
        </w:rPr>
        <w:t>) is significantly less than 8 kJ/</w:t>
      </w:r>
      <w:proofErr w:type="spellStart"/>
      <w:r w:rsidRPr="00801F94">
        <w:rPr>
          <w:rFonts w:ascii="Arial" w:hAnsi="Arial" w:cs="Arial"/>
        </w:rPr>
        <w:t>mol</w:t>
      </w:r>
      <w:proofErr w:type="spellEnd"/>
      <w:r w:rsidRPr="00801F94">
        <w:rPr>
          <w:rFonts w:ascii="Arial" w:hAnsi="Arial" w:cs="Arial"/>
        </w:rPr>
        <w:t xml:space="preserve">, the adsorption of ampicillin onto the acid-modified rice husk is predominantly a physical adsorption process. This implies that weak forces, such as </w:t>
      </w:r>
      <w:proofErr w:type="gramStart"/>
      <w:r w:rsidRPr="00801F94">
        <w:rPr>
          <w:rFonts w:ascii="Arial" w:hAnsi="Arial" w:cs="Arial"/>
        </w:rPr>
        <w:t>an</w:t>
      </w:r>
      <w:proofErr w:type="gramEnd"/>
      <w:r w:rsidRPr="00801F94">
        <w:rPr>
          <w:rFonts w:ascii="Arial" w:hAnsi="Arial" w:cs="Arial"/>
        </w:rPr>
        <w:t xml:space="preserve"> der Waals forces, dipole-dipole interactions, or hydrogen bonding, are primarily responsible for the uptake of ampicillin by the ARH. </w:t>
      </w:r>
    </w:p>
    <w:p w:rsidR="00F4243E" w:rsidRPr="00801F94" w:rsidRDefault="00F4243E" w:rsidP="00F4243E">
      <w:pPr>
        <w:pStyle w:val="Body"/>
        <w:spacing w:after="0"/>
        <w:rPr>
          <w:rFonts w:ascii="Arial" w:hAnsi="Arial" w:cs="Arial"/>
        </w:rPr>
      </w:pPr>
      <w:r w:rsidRPr="00801F94">
        <w:rPr>
          <w:rFonts w:ascii="Arial" w:hAnsi="Arial" w:cs="Arial"/>
        </w:rPr>
        <w:t>Based on the R</w:t>
      </w:r>
      <w:r w:rsidRPr="00801F94">
        <w:rPr>
          <w:rFonts w:ascii="Arial" w:hAnsi="Arial" w:cs="Arial"/>
          <w:vertAlign w:val="superscript"/>
        </w:rPr>
        <w:t>2</w:t>
      </w:r>
      <w:r w:rsidRPr="00801F94">
        <w:rPr>
          <w:rFonts w:ascii="Arial" w:hAnsi="Arial" w:cs="Arial"/>
        </w:rPr>
        <w:t xml:space="preserve"> values, the </w:t>
      </w:r>
      <w:proofErr w:type="spellStart"/>
      <w:r w:rsidRPr="00801F94">
        <w:rPr>
          <w:rFonts w:ascii="Arial" w:hAnsi="Arial" w:cs="Arial"/>
        </w:rPr>
        <w:t>Freundlich</w:t>
      </w:r>
      <w:proofErr w:type="spellEnd"/>
      <w:r w:rsidRPr="00801F94">
        <w:rPr>
          <w:rFonts w:ascii="Arial" w:hAnsi="Arial" w:cs="Arial"/>
        </w:rPr>
        <w:t xml:space="preserve"> isotherm model provides the best description of the ampicillin adsorption equilibrium onto acid-modified rice husk (R</w:t>
      </w:r>
      <w:r w:rsidRPr="00801F94">
        <w:rPr>
          <w:rFonts w:ascii="Arial" w:hAnsi="Arial" w:cs="Arial"/>
          <w:vertAlign w:val="superscript"/>
        </w:rPr>
        <w:t>2</w:t>
      </w:r>
      <w:r w:rsidRPr="00801F94">
        <w:rPr>
          <w:rFonts w:ascii="Arial" w:hAnsi="Arial" w:cs="Arial"/>
        </w:rPr>
        <w:t xml:space="preserve">=0.9356), followed closely by the </w:t>
      </w:r>
      <w:proofErr w:type="spellStart"/>
      <w:r w:rsidRPr="00801F94">
        <w:rPr>
          <w:rFonts w:ascii="Arial" w:hAnsi="Arial" w:cs="Arial"/>
        </w:rPr>
        <w:t>Dubinin-Radushkevich</w:t>
      </w:r>
      <w:proofErr w:type="spellEnd"/>
      <w:r w:rsidRPr="00801F94">
        <w:rPr>
          <w:rFonts w:ascii="Arial" w:hAnsi="Arial" w:cs="Arial"/>
        </w:rPr>
        <w:t xml:space="preserve"> model (R</w:t>
      </w:r>
      <w:r w:rsidRPr="00801F94">
        <w:rPr>
          <w:rFonts w:ascii="Arial" w:hAnsi="Arial" w:cs="Arial"/>
          <w:vertAlign w:val="superscript"/>
        </w:rPr>
        <w:t>2</w:t>
      </w:r>
      <w:r w:rsidRPr="00801F94">
        <w:rPr>
          <w:rFonts w:ascii="Arial" w:hAnsi="Arial" w:cs="Arial"/>
        </w:rPr>
        <w:t>=0.9268), and then the Langmuir model (R</w:t>
      </w:r>
      <w:r w:rsidRPr="00801F94">
        <w:rPr>
          <w:rFonts w:ascii="Arial" w:hAnsi="Arial" w:cs="Arial"/>
          <w:vertAlign w:val="superscript"/>
        </w:rPr>
        <w:t>2</w:t>
      </w:r>
      <w:r w:rsidRPr="00801F94">
        <w:rPr>
          <w:rFonts w:ascii="Arial" w:hAnsi="Arial" w:cs="Arial"/>
        </w:rPr>
        <w:t xml:space="preserve">=0.8792). The superior fit of the </w:t>
      </w:r>
      <w:proofErr w:type="spellStart"/>
      <w:r w:rsidRPr="00801F94">
        <w:rPr>
          <w:rFonts w:ascii="Arial" w:hAnsi="Arial" w:cs="Arial"/>
        </w:rPr>
        <w:t>Freundlich</w:t>
      </w:r>
      <w:proofErr w:type="spellEnd"/>
      <w:r w:rsidRPr="00801F94">
        <w:rPr>
          <w:rFonts w:ascii="Arial" w:hAnsi="Arial" w:cs="Arial"/>
        </w:rPr>
        <w:t xml:space="preserve"> model suggests that the ARH surface is heterogeneous, consistent with the complex and irregular porous structure observed in the SEM analysis. The D-R model further supports a physical adsorption mechanism, indicating that ampicillin molecules are primarily bound to the ARH surface through weak intermolecular forces rather than strong chemical bonds. The </w:t>
      </w:r>
      <w:proofErr w:type="spellStart"/>
      <w:r w:rsidRPr="00801F94">
        <w:rPr>
          <w:rFonts w:ascii="Arial" w:hAnsi="Arial" w:cs="Arial"/>
        </w:rPr>
        <w:t>favourable</w:t>
      </w:r>
      <w:proofErr w:type="spellEnd"/>
      <w:r w:rsidRPr="00801F94">
        <w:rPr>
          <w:rFonts w:ascii="Arial" w:hAnsi="Arial" w:cs="Arial"/>
        </w:rPr>
        <w:t xml:space="preserve"> R</w:t>
      </w:r>
      <w:r w:rsidRPr="00801F94">
        <w:rPr>
          <w:rFonts w:ascii="Arial" w:hAnsi="Arial" w:cs="Arial"/>
          <w:vertAlign w:val="subscript"/>
        </w:rPr>
        <w:t>L</w:t>
      </w:r>
      <w:proofErr w:type="gramStart"/>
      <w:r w:rsidRPr="00801F94">
        <w:rPr>
          <w:rFonts w:ascii="Arial" w:hAnsi="Arial" w:cs="Arial"/>
        </w:rPr>
        <w:t>​ value</w:t>
      </w:r>
      <w:proofErr w:type="gramEnd"/>
      <w:r w:rsidRPr="00801F94">
        <w:rPr>
          <w:rFonts w:ascii="Arial" w:hAnsi="Arial" w:cs="Arial"/>
        </w:rPr>
        <w:t xml:space="preserve"> from the Langmuir model, despite its lower R</w:t>
      </w:r>
      <w:r w:rsidRPr="00801F94">
        <w:rPr>
          <w:rFonts w:ascii="Arial" w:hAnsi="Arial" w:cs="Arial"/>
          <w:vertAlign w:val="superscript"/>
        </w:rPr>
        <w:t>2</w:t>
      </w:r>
      <w:r w:rsidRPr="00801F94">
        <w:rPr>
          <w:rFonts w:ascii="Arial" w:hAnsi="Arial" w:cs="Arial"/>
        </w:rPr>
        <w:t>, still confirms the viability of ARH as an adsorbent for ampicillin.</w:t>
      </w:r>
    </w:p>
    <w:p w:rsidR="0053350D" w:rsidRPr="00801F94" w:rsidRDefault="0053350D" w:rsidP="00F4243E">
      <w:pPr>
        <w:pStyle w:val="Body"/>
        <w:spacing w:after="0"/>
        <w:rPr>
          <w:rFonts w:ascii="Arial" w:hAnsi="Arial" w:cs="Arial"/>
        </w:rPr>
      </w:pPr>
    </w:p>
    <w:p w:rsidR="00F4243E" w:rsidRPr="00801F94" w:rsidRDefault="00F4243E" w:rsidP="0053350D">
      <w:pPr>
        <w:pStyle w:val="Body"/>
        <w:contextualSpacing/>
        <w:rPr>
          <w:rFonts w:ascii="Arial" w:hAnsi="Arial" w:cs="Arial"/>
          <w:b/>
          <w:lang w:val="en-GB"/>
        </w:rPr>
      </w:pPr>
      <w:r w:rsidRPr="00801F94">
        <w:rPr>
          <w:rFonts w:ascii="Arial" w:hAnsi="Arial" w:cs="Arial"/>
          <w:b/>
          <w:lang w:val="en-GB"/>
        </w:rPr>
        <w:t xml:space="preserve">Table </w:t>
      </w:r>
      <w:r w:rsidR="0053350D" w:rsidRPr="00801F94">
        <w:rPr>
          <w:rFonts w:ascii="Arial" w:hAnsi="Arial" w:cs="Arial"/>
          <w:b/>
          <w:lang w:val="en-GB"/>
        </w:rPr>
        <w:t>5</w:t>
      </w:r>
      <w:r w:rsidRPr="00801F94">
        <w:rPr>
          <w:rFonts w:ascii="Arial" w:hAnsi="Arial" w:cs="Arial"/>
          <w:b/>
          <w:lang w:val="en-GB"/>
        </w:rPr>
        <w:t>: Isotherm parameters for adsorption of ampicillin</w:t>
      </w:r>
    </w:p>
    <w:tbl>
      <w:tblPr>
        <w:tblW w:w="9384" w:type="dxa"/>
        <w:tblBorders>
          <w:top w:val="single" w:sz="4" w:space="0" w:color="auto"/>
          <w:bottom w:val="single" w:sz="4" w:space="0" w:color="auto"/>
        </w:tblBorders>
        <w:tblLook w:val="04A0" w:firstRow="1" w:lastRow="0" w:firstColumn="1" w:lastColumn="0" w:noHBand="0" w:noVBand="1"/>
      </w:tblPr>
      <w:tblGrid>
        <w:gridCol w:w="1306"/>
        <w:gridCol w:w="1014"/>
        <w:gridCol w:w="828"/>
        <w:gridCol w:w="828"/>
        <w:gridCol w:w="828"/>
        <w:gridCol w:w="828"/>
        <w:gridCol w:w="828"/>
        <w:gridCol w:w="828"/>
        <w:gridCol w:w="1050"/>
        <w:gridCol w:w="828"/>
        <w:gridCol w:w="828"/>
      </w:tblGrid>
      <w:tr w:rsidR="00F4243E" w:rsidRPr="00801F94" w:rsidTr="009C5EA9">
        <w:trPr>
          <w:trHeight w:val="259"/>
        </w:trPr>
        <w:tc>
          <w:tcPr>
            <w:tcW w:w="0" w:type="auto"/>
            <w:tcBorders>
              <w:top w:val="single" w:sz="4" w:space="0" w:color="auto"/>
              <w:left w:val="nil"/>
              <w:bottom w:val="single" w:sz="4" w:space="0" w:color="auto"/>
              <w:right w:val="nil"/>
            </w:tcBorders>
            <w:noWrap/>
            <w:vAlign w:val="center"/>
            <w:hideMark/>
          </w:tcPr>
          <w:p w:rsidR="00F4243E" w:rsidRPr="00801F94" w:rsidRDefault="00F4243E" w:rsidP="009C5EA9">
            <w:pPr>
              <w:pStyle w:val="Body"/>
              <w:jc w:val="center"/>
              <w:rPr>
                <w:rFonts w:ascii="Arial" w:hAnsi="Arial" w:cs="Arial"/>
                <w:b/>
                <w:bCs/>
              </w:rPr>
            </w:pPr>
            <w:r w:rsidRPr="00801F94">
              <w:rPr>
                <w:rFonts w:ascii="Arial" w:hAnsi="Arial" w:cs="Arial"/>
                <w:b/>
                <w:bCs/>
              </w:rPr>
              <w:t>Model</w:t>
            </w:r>
          </w:p>
        </w:tc>
        <w:tc>
          <w:tcPr>
            <w:tcW w:w="0" w:type="auto"/>
            <w:gridSpan w:val="4"/>
            <w:tcBorders>
              <w:top w:val="single" w:sz="4" w:space="0" w:color="auto"/>
              <w:left w:val="nil"/>
              <w:bottom w:val="single" w:sz="4" w:space="0" w:color="auto"/>
              <w:right w:val="nil"/>
            </w:tcBorders>
            <w:noWrap/>
            <w:vAlign w:val="center"/>
            <w:hideMark/>
          </w:tcPr>
          <w:p w:rsidR="00F4243E" w:rsidRPr="00801F94" w:rsidRDefault="00F4243E" w:rsidP="009C5EA9">
            <w:pPr>
              <w:pStyle w:val="Body"/>
              <w:jc w:val="center"/>
              <w:rPr>
                <w:rFonts w:ascii="Arial" w:hAnsi="Arial" w:cs="Arial"/>
              </w:rPr>
            </w:pPr>
            <w:r w:rsidRPr="00801F94">
              <w:rPr>
                <w:rFonts w:ascii="Arial" w:hAnsi="Arial" w:cs="Arial"/>
              </w:rPr>
              <w:t>Langmuir</w:t>
            </w:r>
          </w:p>
        </w:tc>
        <w:tc>
          <w:tcPr>
            <w:tcW w:w="0" w:type="auto"/>
            <w:gridSpan w:val="3"/>
            <w:tcBorders>
              <w:top w:val="single" w:sz="4" w:space="0" w:color="auto"/>
              <w:left w:val="nil"/>
              <w:bottom w:val="single" w:sz="4" w:space="0" w:color="auto"/>
              <w:right w:val="nil"/>
            </w:tcBorders>
            <w:noWrap/>
            <w:vAlign w:val="center"/>
            <w:hideMark/>
          </w:tcPr>
          <w:p w:rsidR="00F4243E" w:rsidRPr="00801F94" w:rsidRDefault="00F4243E" w:rsidP="009C5EA9">
            <w:pPr>
              <w:pStyle w:val="Body"/>
              <w:jc w:val="center"/>
              <w:rPr>
                <w:rFonts w:ascii="Arial" w:hAnsi="Arial" w:cs="Arial"/>
              </w:rPr>
            </w:pPr>
            <w:proofErr w:type="spellStart"/>
            <w:r w:rsidRPr="00801F94">
              <w:rPr>
                <w:rFonts w:ascii="Arial" w:hAnsi="Arial" w:cs="Arial"/>
              </w:rPr>
              <w:t>Freundlich</w:t>
            </w:r>
            <w:proofErr w:type="spellEnd"/>
          </w:p>
        </w:tc>
        <w:tc>
          <w:tcPr>
            <w:tcW w:w="0" w:type="auto"/>
            <w:gridSpan w:val="3"/>
            <w:tcBorders>
              <w:top w:val="single" w:sz="4" w:space="0" w:color="auto"/>
              <w:left w:val="nil"/>
              <w:bottom w:val="single" w:sz="4" w:space="0" w:color="auto"/>
              <w:right w:val="nil"/>
            </w:tcBorders>
            <w:noWrap/>
            <w:vAlign w:val="center"/>
            <w:hideMark/>
          </w:tcPr>
          <w:p w:rsidR="00F4243E" w:rsidRPr="00801F94" w:rsidRDefault="00F4243E" w:rsidP="009C5EA9">
            <w:pPr>
              <w:pStyle w:val="Body"/>
              <w:jc w:val="center"/>
              <w:rPr>
                <w:rFonts w:ascii="Arial" w:hAnsi="Arial" w:cs="Arial"/>
              </w:rPr>
            </w:pPr>
            <w:r w:rsidRPr="00801F94">
              <w:rPr>
                <w:rFonts w:ascii="Arial" w:hAnsi="Arial" w:cs="Arial"/>
              </w:rPr>
              <w:t>DR</w:t>
            </w:r>
          </w:p>
        </w:tc>
      </w:tr>
      <w:tr w:rsidR="00F4243E" w:rsidRPr="00801F94" w:rsidTr="009C5EA9">
        <w:trPr>
          <w:trHeight w:val="308"/>
        </w:trPr>
        <w:tc>
          <w:tcPr>
            <w:tcW w:w="0" w:type="auto"/>
            <w:vMerge w:val="restart"/>
            <w:tcBorders>
              <w:top w:val="single" w:sz="4" w:space="0" w:color="auto"/>
              <w:left w:val="nil"/>
              <w:bottom w:val="single" w:sz="4" w:space="0" w:color="auto"/>
              <w:right w:val="nil"/>
            </w:tcBorders>
            <w:noWrap/>
            <w:vAlign w:val="center"/>
            <w:hideMark/>
          </w:tcPr>
          <w:p w:rsidR="00F4243E" w:rsidRPr="00801F94" w:rsidRDefault="00F4243E" w:rsidP="009C5EA9">
            <w:pPr>
              <w:pStyle w:val="Body"/>
              <w:rPr>
                <w:rFonts w:ascii="Arial" w:hAnsi="Arial" w:cs="Arial"/>
                <w:b/>
                <w:bCs/>
              </w:rPr>
            </w:pPr>
            <w:r w:rsidRPr="00801F94">
              <w:rPr>
                <w:rFonts w:ascii="Arial" w:hAnsi="Arial" w:cs="Arial"/>
                <w:b/>
                <w:bCs/>
              </w:rPr>
              <w:t>Parameters</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proofErr w:type="spellStart"/>
            <w:r w:rsidRPr="00801F94">
              <w:rPr>
                <w:rFonts w:ascii="Arial" w:hAnsi="Arial" w:cs="Arial"/>
              </w:rPr>
              <w:t>q</w:t>
            </w:r>
            <w:r w:rsidRPr="00801F94">
              <w:rPr>
                <w:rFonts w:ascii="Arial" w:hAnsi="Arial" w:cs="Arial"/>
                <w:vertAlign w:val="subscript"/>
              </w:rPr>
              <w:t>m</w:t>
            </w:r>
            <w:proofErr w:type="spellEnd"/>
            <w:r w:rsidRPr="00801F94">
              <w:rPr>
                <w:rFonts w:ascii="Arial" w:hAnsi="Arial" w:cs="Arial"/>
              </w:rPr>
              <w:t>(mg/L)</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K</w:t>
            </w:r>
            <w:r w:rsidRPr="00801F94">
              <w:rPr>
                <w:rFonts w:ascii="Arial" w:hAnsi="Arial" w:cs="Arial"/>
                <w:vertAlign w:val="subscript"/>
              </w:rPr>
              <w:t>L</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R</w:t>
            </w:r>
            <w:r w:rsidRPr="00801F94">
              <w:rPr>
                <w:rFonts w:ascii="Arial" w:hAnsi="Arial" w:cs="Arial"/>
                <w:vertAlign w:val="subscript"/>
              </w:rPr>
              <w:t>L</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R</w:t>
            </w:r>
            <w:r w:rsidRPr="00801F94">
              <w:rPr>
                <w:rFonts w:ascii="Arial" w:hAnsi="Arial" w:cs="Arial"/>
                <w:vertAlign w:val="superscript"/>
              </w:rPr>
              <w:t>2</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n</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K</w:t>
            </w:r>
            <w:r w:rsidRPr="00801F94">
              <w:rPr>
                <w:rFonts w:ascii="Arial" w:hAnsi="Arial" w:cs="Arial"/>
                <w:vertAlign w:val="subscript"/>
              </w:rPr>
              <w:t>F</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R</w:t>
            </w:r>
            <w:r w:rsidRPr="00801F94">
              <w:rPr>
                <w:rFonts w:ascii="Arial" w:hAnsi="Arial" w:cs="Arial"/>
                <w:vertAlign w:val="superscript"/>
              </w:rPr>
              <w:t>2</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proofErr w:type="spellStart"/>
            <w:r w:rsidRPr="00801F94">
              <w:rPr>
                <w:rFonts w:ascii="Arial" w:hAnsi="Arial" w:cs="Arial"/>
              </w:rPr>
              <w:t>q</w:t>
            </w:r>
            <w:r w:rsidRPr="00801F94">
              <w:rPr>
                <w:rFonts w:ascii="Arial" w:hAnsi="Arial" w:cs="Arial"/>
                <w:vertAlign w:val="subscript"/>
              </w:rPr>
              <w:t>m</w:t>
            </w:r>
            <w:proofErr w:type="spellEnd"/>
            <w:r w:rsidRPr="00801F94">
              <w:rPr>
                <w:rFonts w:ascii="Arial" w:hAnsi="Arial" w:cs="Arial"/>
                <w:vertAlign w:val="subscript"/>
              </w:rPr>
              <w:t xml:space="preserve"> </w:t>
            </w:r>
            <w:r w:rsidRPr="00801F94">
              <w:rPr>
                <w:rFonts w:ascii="Arial" w:hAnsi="Arial" w:cs="Arial"/>
              </w:rPr>
              <w:t>(mg/L)</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E (J)</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R</w:t>
            </w:r>
            <w:r w:rsidRPr="00801F94">
              <w:rPr>
                <w:rFonts w:ascii="Arial" w:hAnsi="Arial" w:cs="Arial"/>
                <w:vertAlign w:val="superscript"/>
              </w:rPr>
              <w:t>2</w:t>
            </w:r>
          </w:p>
        </w:tc>
      </w:tr>
      <w:tr w:rsidR="00F4243E" w:rsidRPr="00801F94" w:rsidTr="009C5EA9">
        <w:trPr>
          <w:trHeight w:val="259"/>
        </w:trPr>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rPr>
                <w:rFonts w:ascii="Arial" w:hAnsi="Arial" w:cs="Arial"/>
                <w:b/>
                <w:bCs/>
              </w:rPr>
            </w:pP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0.0445</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2.5025</w:t>
            </w:r>
          </w:p>
        </w:tc>
        <w:tc>
          <w:tcPr>
            <w:tcW w:w="0" w:type="auto"/>
            <w:tcBorders>
              <w:top w:val="nil"/>
              <w:left w:val="nil"/>
              <w:bottom w:val="single" w:sz="4" w:space="0" w:color="auto"/>
              <w:right w:val="nil"/>
            </w:tcBorders>
            <w:shd w:val="clear" w:color="auto" w:fill="FFFFFF"/>
            <w:noWrap/>
            <w:vAlign w:val="center"/>
            <w:hideMark/>
          </w:tcPr>
          <w:p w:rsidR="00F4243E" w:rsidRPr="00801F94" w:rsidRDefault="00F4243E" w:rsidP="009C5EA9">
            <w:pPr>
              <w:pStyle w:val="Body"/>
              <w:rPr>
                <w:rFonts w:ascii="Arial" w:hAnsi="Arial" w:cs="Arial"/>
              </w:rPr>
            </w:pPr>
            <w:r w:rsidRPr="00801F94">
              <w:rPr>
                <w:rFonts w:ascii="Arial" w:hAnsi="Arial" w:cs="Arial"/>
              </w:rPr>
              <w:t>0.2855</w:t>
            </w:r>
          </w:p>
        </w:tc>
        <w:tc>
          <w:tcPr>
            <w:tcW w:w="0" w:type="auto"/>
            <w:tcBorders>
              <w:top w:val="nil"/>
              <w:left w:val="nil"/>
              <w:bottom w:val="single" w:sz="4" w:space="0" w:color="auto"/>
              <w:right w:val="nil"/>
            </w:tcBorders>
            <w:shd w:val="clear" w:color="auto" w:fill="FFFFFF"/>
            <w:noWrap/>
            <w:vAlign w:val="center"/>
            <w:hideMark/>
          </w:tcPr>
          <w:p w:rsidR="00F4243E" w:rsidRPr="00801F94" w:rsidRDefault="00F4243E" w:rsidP="009C5EA9">
            <w:pPr>
              <w:pStyle w:val="Body"/>
              <w:rPr>
                <w:rFonts w:ascii="Arial" w:hAnsi="Arial" w:cs="Arial"/>
              </w:rPr>
            </w:pPr>
            <w:r w:rsidRPr="00801F94">
              <w:rPr>
                <w:rFonts w:ascii="Arial" w:hAnsi="Arial" w:cs="Arial"/>
              </w:rPr>
              <w:t>0.8792</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0.3275</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5.8292</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0.9356</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1.9571</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605.65</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rPr>
                <w:rFonts w:ascii="Arial" w:hAnsi="Arial" w:cs="Arial"/>
              </w:rPr>
            </w:pPr>
            <w:r w:rsidRPr="00801F94">
              <w:rPr>
                <w:rFonts w:ascii="Arial" w:hAnsi="Arial" w:cs="Arial"/>
              </w:rPr>
              <w:t>0.9268</w:t>
            </w:r>
          </w:p>
        </w:tc>
      </w:tr>
    </w:tbl>
    <w:p w:rsidR="00F4243E" w:rsidRPr="00801F94" w:rsidRDefault="00F4243E" w:rsidP="00F4243E">
      <w:pPr>
        <w:pStyle w:val="Body"/>
        <w:rPr>
          <w:rFonts w:ascii="Arial" w:hAnsi="Arial" w:cs="Arial"/>
          <w:bCs/>
          <w:lang w:val="en-GB"/>
        </w:rPr>
      </w:pPr>
    </w:p>
    <w:p w:rsidR="00423202" w:rsidRPr="00801F94" w:rsidRDefault="00F4243E" w:rsidP="00F4243E">
      <w:pPr>
        <w:pStyle w:val="Body"/>
        <w:spacing w:after="0"/>
        <w:jc w:val="center"/>
        <w:rPr>
          <w:rFonts w:ascii="Arial" w:hAnsi="Arial" w:cs="Arial"/>
          <w:b/>
          <w:bCs/>
        </w:rPr>
      </w:pPr>
      <w:r w:rsidRPr="00801F94">
        <w:rPr>
          <w:rFonts w:ascii="Arial" w:hAnsi="Arial" w:cs="Arial"/>
          <w:noProof/>
        </w:rPr>
        <w:lastRenderedPageBreak/>
        <w:drawing>
          <wp:inline distT="0" distB="0" distL="0" distR="0" wp14:anchorId="36FD085E" wp14:editId="2436E015">
            <wp:extent cx="4330598" cy="2533650"/>
            <wp:effectExtent l="0" t="0" r="13335" b="0"/>
            <wp:docPr id="1666227031"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23202" w:rsidRPr="00801F94" w:rsidRDefault="00423202" w:rsidP="00F4243E">
      <w:pPr>
        <w:pStyle w:val="Body"/>
        <w:spacing w:after="0"/>
        <w:jc w:val="center"/>
        <w:rPr>
          <w:rFonts w:ascii="Arial" w:hAnsi="Arial" w:cs="Arial"/>
          <w:b/>
          <w:bCs/>
        </w:rPr>
      </w:pPr>
      <w:proofErr w:type="gramStart"/>
      <w:r w:rsidRPr="00801F94">
        <w:rPr>
          <w:rFonts w:ascii="Arial" w:hAnsi="Arial" w:cs="Arial"/>
          <w:b/>
          <w:bCs/>
        </w:rPr>
        <w:t>a</w:t>
      </w:r>
      <w:proofErr w:type="gramEnd"/>
    </w:p>
    <w:p w:rsidR="00423202" w:rsidRPr="00801F94" w:rsidRDefault="00423202" w:rsidP="00F4243E">
      <w:pPr>
        <w:pStyle w:val="Body"/>
        <w:spacing w:after="0"/>
        <w:jc w:val="center"/>
        <w:rPr>
          <w:rFonts w:ascii="Arial" w:hAnsi="Arial" w:cs="Arial"/>
          <w:b/>
          <w:bCs/>
        </w:rPr>
      </w:pPr>
    </w:p>
    <w:p w:rsidR="00FE70E2" w:rsidRPr="00801F94" w:rsidRDefault="00FE70E2" w:rsidP="00F4243E">
      <w:pPr>
        <w:pStyle w:val="Body"/>
        <w:spacing w:after="0"/>
        <w:jc w:val="center"/>
        <w:rPr>
          <w:rFonts w:ascii="Arial" w:hAnsi="Arial" w:cs="Arial"/>
          <w:b/>
          <w:bCs/>
        </w:rPr>
      </w:pPr>
    </w:p>
    <w:p w:rsidR="00FE70E2" w:rsidRPr="00801F94" w:rsidRDefault="00FE70E2" w:rsidP="00F4243E">
      <w:pPr>
        <w:pStyle w:val="Body"/>
        <w:spacing w:after="0"/>
        <w:jc w:val="center"/>
        <w:rPr>
          <w:rFonts w:ascii="Arial" w:hAnsi="Arial" w:cs="Arial"/>
          <w:b/>
          <w:bCs/>
        </w:rPr>
      </w:pPr>
    </w:p>
    <w:p w:rsidR="00FE70E2" w:rsidRPr="00801F94" w:rsidRDefault="00FE70E2" w:rsidP="00F4243E">
      <w:pPr>
        <w:pStyle w:val="Body"/>
        <w:spacing w:after="0"/>
        <w:jc w:val="center"/>
        <w:rPr>
          <w:rFonts w:ascii="Arial" w:hAnsi="Arial" w:cs="Arial"/>
          <w:b/>
          <w:bCs/>
        </w:rPr>
      </w:pPr>
      <w:r w:rsidRPr="00801F94">
        <w:rPr>
          <w:rFonts w:ascii="Arial" w:hAnsi="Arial" w:cs="Arial"/>
          <w:noProof/>
        </w:rPr>
        <w:drawing>
          <wp:inline distT="0" distB="0" distL="0" distR="0" wp14:anchorId="3B1AFE9B" wp14:editId="2B6FA35F">
            <wp:extent cx="4572000" cy="2743200"/>
            <wp:effectExtent l="0" t="0" r="0" b="0"/>
            <wp:docPr id="2094657784" name="Chart 1">
              <a:extLst xmlns:a="http://schemas.openxmlformats.org/drawingml/2006/main">
                <a:ext uri="{FF2B5EF4-FFF2-40B4-BE49-F238E27FC236}">
                  <a16:creationId xmlns:a16="http://schemas.microsoft.com/office/drawing/2014/main" id="{A4390A47-CEB4-E38A-3F59-5942E0AF2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3202" w:rsidRPr="00801F94" w:rsidRDefault="00423202" w:rsidP="00FE70E2">
      <w:pPr>
        <w:pStyle w:val="Body"/>
        <w:ind w:left="4320"/>
        <w:rPr>
          <w:rFonts w:ascii="Arial" w:hAnsi="Arial" w:cs="Arial"/>
          <w:b/>
          <w:lang w:val="en-GB"/>
        </w:rPr>
      </w:pPr>
      <w:proofErr w:type="gramStart"/>
      <w:r w:rsidRPr="00801F94">
        <w:rPr>
          <w:rFonts w:ascii="Arial" w:hAnsi="Arial" w:cs="Arial"/>
          <w:b/>
          <w:lang w:val="en-GB"/>
        </w:rPr>
        <w:t>b</w:t>
      </w:r>
      <w:proofErr w:type="gramEnd"/>
    </w:p>
    <w:p w:rsidR="00423202" w:rsidRPr="00801F94" w:rsidRDefault="00423202" w:rsidP="00FE70E2">
      <w:pPr>
        <w:pStyle w:val="Body"/>
        <w:ind w:left="720" w:firstLine="720"/>
        <w:contextualSpacing/>
        <w:jc w:val="center"/>
        <w:rPr>
          <w:rFonts w:ascii="Arial" w:hAnsi="Arial" w:cs="Arial"/>
          <w:b/>
          <w:lang w:val="en-GB"/>
        </w:rPr>
      </w:pPr>
      <w:r w:rsidRPr="00801F94">
        <w:rPr>
          <w:rFonts w:ascii="Arial" w:hAnsi="Arial" w:cs="Arial"/>
          <w:noProof/>
        </w:rPr>
        <w:lastRenderedPageBreak/>
        <w:drawing>
          <wp:inline distT="0" distB="0" distL="0" distR="0" wp14:anchorId="5A96838D" wp14:editId="5B419E93">
            <wp:extent cx="4117746" cy="2533650"/>
            <wp:effectExtent l="0" t="0" r="16510" b="0"/>
            <wp:docPr id="47239362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4243E" w:rsidRPr="00801F94" w:rsidRDefault="00423202" w:rsidP="00FE70E2">
      <w:pPr>
        <w:pStyle w:val="Body"/>
        <w:ind w:left="720" w:firstLine="720"/>
        <w:contextualSpacing/>
        <w:jc w:val="center"/>
        <w:rPr>
          <w:rFonts w:ascii="Arial" w:hAnsi="Arial" w:cs="Arial"/>
          <w:b/>
          <w:lang w:val="en-GB"/>
        </w:rPr>
      </w:pPr>
      <w:proofErr w:type="gramStart"/>
      <w:r w:rsidRPr="00801F94">
        <w:rPr>
          <w:rFonts w:ascii="Arial" w:hAnsi="Arial" w:cs="Arial"/>
          <w:b/>
          <w:lang w:val="en-GB"/>
        </w:rPr>
        <w:t>c</w:t>
      </w:r>
      <w:proofErr w:type="gramEnd"/>
    </w:p>
    <w:p w:rsidR="00F4243E" w:rsidRPr="00801F94" w:rsidRDefault="00F4243E" w:rsidP="00F4243E">
      <w:pPr>
        <w:pStyle w:val="Body"/>
        <w:spacing w:after="0"/>
        <w:jc w:val="center"/>
        <w:rPr>
          <w:rFonts w:ascii="Arial" w:hAnsi="Arial" w:cs="Arial"/>
          <w:b/>
          <w:lang w:val="en-GB"/>
        </w:rPr>
      </w:pPr>
      <w:r w:rsidRPr="00801F94">
        <w:rPr>
          <w:rFonts w:ascii="Arial" w:hAnsi="Arial" w:cs="Arial"/>
          <w:b/>
          <w:lang w:val="en-GB"/>
        </w:rPr>
        <w:t xml:space="preserve">Fig 12: Isotherm plots for adsorption on (a) Langmuir (b) </w:t>
      </w:r>
      <w:proofErr w:type="spellStart"/>
      <w:r w:rsidRPr="00801F94">
        <w:rPr>
          <w:rFonts w:ascii="Arial" w:hAnsi="Arial" w:cs="Arial"/>
          <w:b/>
          <w:lang w:val="en-GB"/>
        </w:rPr>
        <w:t>Freundlich</w:t>
      </w:r>
      <w:proofErr w:type="spellEnd"/>
      <w:r w:rsidRPr="00801F94">
        <w:rPr>
          <w:rFonts w:ascii="Arial" w:hAnsi="Arial" w:cs="Arial"/>
          <w:b/>
          <w:lang w:val="en-GB"/>
        </w:rPr>
        <w:t xml:space="preserve"> and (c) D-R</w:t>
      </w:r>
    </w:p>
    <w:p w:rsidR="00F4243E" w:rsidRPr="00801F94" w:rsidRDefault="00F4243E" w:rsidP="00F4243E">
      <w:pPr>
        <w:pStyle w:val="Body"/>
        <w:spacing w:after="0"/>
        <w:rPr>
          <w:rFonts w:ascii="Arial" w:hAnsi="Arial" w:cs="Arial"/>
          <w:b/>
          <w:lang w:val="en-GB"/>
        </w:rPr>
      </w:pPr>
    </w:p>
    <w:p w:rsidR="00F4243E" w:rsidRPr="00801F94" w:rsidRDefault="00F4243E" w:rsidP="00F4243E">
      <w:pPr>
        <w:pStyle w:val="Body"/>
        <w:spacing w:after="0"/>
        <w:rPr>
          <w:rFonts w:ascii="Arial" w:hAnsi="Arial" w:cs="Arial"/>
          <w:b/>
          <w:sz w:val="22"/>
          <w:szCs w:val="22"/>
          <w:lang w:val="en-GB"/>
        </w:rPr>
      </w:pPr>
      <w:r w:rsidRPr="00801F94">
        <w:rPr>
          <w:rFonts w:ascii="Arial" w:hAnsi="Arial" w:cs="Arial"/>
          <w:b/>
          <w:bCs/>
          <w:sz w:val="22"/>
          <w:szCs w:val="22"/>
        </w:rPr>
        <w:t>3.8 Kinetic Studies</w:t>
      </w:r>
    </w:p>
    <w:p w:rsidR="000C5E5D" w:rsidRPr="00801F94" w:rsidRDefault="00F4243E" w:rsidP="009C7F57">
      <w:pPr>
        <w:pStyle w:val="Body"/>
        <w:contextualSpacing/>
        <w:rPr>
          <w:rFonts w:ascii="Arial" w:hAnsi="Arial" w:cs="Arial"/>
        </w:rPr>
      </w:pPr>
      <w:r w:rsidRPr="00801F94">
        <w:rPr>
          <w:rFonts w:ascii="Arial" w:hAnsi="Arial" w:cs="Arial"/>
        </w:rPr>
        <w:t xml:space="preserve">The kinetic parameters—calculated adsorption capacity </w:t>
      </w:r>
      <w:proofErr w:type="spellStart"/>
      <w:r w:rsidRPr="00801F94">
        <w:rPr>
          <w:rFonts w:ascii="Arial" w:hAnsi="Arial" w:cs="Arial"/>
        </w:rPr>
        <w:t>q</w:t>
      </w:r>
      <w:r w:rsidRPr="00801F94">
        <w:rPr>
          <w:rFonts w:ascii="Arial" w:hAnsi="Arial" w:cs="Arial"/>
          <w:vertAlign w:val="subscript"/>
        </w:rPr>
        <w:t>e</w:t>
      </w:r>
      <w:proofErr w:type="spellEnd"/>
      <w:r w:rsidRPr="00801F94">
        <w:rPr>
          <w:rFonts w:ascii="Arial" w:hAnsi="Arial" w:cs="Arial"/>
        </w:rPr>
        <w:t>, rate constants k, and correlation coefficients R</w:t>
      </w:r>
      <w:r w:rsidRPr="00801F94">
        <w:rPr>
          <w:rFonts w:ascii="Arial" w:hAnsi="Arial" w:cs="Arial"/>
          <w:vertAlign w:val="superscript"/>
        </w:rPr>
        <w:t>2</w:t>
      </w:r>
      <w:r w:rsidRPr="00801F94">
        <w:rPr>
          <w:rFonts w:ascii="Arial" w:hAnsi="Arial" w:cs="Arial"/>
        </w:rPr>
        <w:t xml:space="preserve">—are summarized in Table </w:t>
      </w:r>
      <w:r w:rsidR="0053350D" w:rsidRPr="00801F94">
        <w:rPr>
          <w:rFonts w:ascii="Arial" w:hAnsi="Arial" w:cs="Arial"/>
        </w:rPr>
        <w:t>6</w:t>
      </w:r>
      <w:r w:rsidRPr="00801F94">
        <w:rPr>
          <w:rFonts w:ascii="Arial" w:hAnsi="Arial" w:cs="Arial"/>
        </w:rPr>
        <w:t>. The pseudo first-order model (fig 13a) yielded a lower coefficient of determination (R</w:t>
      </w:r>
      <w:r w:rsidRPr="00801F94">
        <w:rPr>
          <w:rFonts w:ascii="Arial" w:hAnsi="Arial" w:cs="Arial"/>
          <w:vertAlign w:val="superscript"/>
        </w:rPr>
        <w:t>2</w:t>
      </w:r>
      <w:r w:rsidRPr="00801F94">
        <w:rPr>
          <w:rFonts w:ascii="Arial" w:hAnsi="Arial" w:cs="Arial"/>
        </w:rPr>
        <w:t xml:space="preserve"> = 0.724), indicating poor descriptive power and significant deviation from experimental data. The pseudo second-order model (fig 13b), however provided an exceptionally good fit to the experimental data, with an (R</w:t>
      </w:r>
      <w:r w:rsidRPr="00801F94">
        <w:rPr>
          <w:rFonts w:ascii="Arial" w:hAnsi="Arial" w:cs="Arial"/>
          <w:vertAlign w:val="superscript"/>
        </w:rPr>
        <w:t>2</w:t>
      </w:r>
      <w:r w:rsidRPr="00801F94">
        <w:rPr>
          <w:rFonts w:ascii="Arial" w:hAnsi="Arial" w:cs="Arial"/>
        </w:rPr>
        <w:t xml:space="preserve">) value of 0.9964, indicating near-perfect agreement between observed and predicted values. </w:t>
      </w:r>
    </w:p>
    <w:p w:rsidR="000C5E5D" w:rsidRPr="00801F94" w:rsidRDefault="000C5E5D" w:rsidP="009C7F57">
      <w:pPr>
        <w:pStyle w:val="Body"/>
        <w:contextualSpacing/>
        <w:rPr>
          <w:rFonts w:ascii="Arial" w:hAnsi="Arial" w:cs="Arial"/>
        </w:rPr>
      </w:pPr>
      <w:r w:rsidRPr="00801F94">
        <w:rPr>
          <w:rFonts w:ascii="Arial" w:hAnsi="Arial" w:cs="Arial"/>
        </w:rPr>
        <w:t xml:space="preserve">The pseudo-second-order model assumes that the adsorption rate is proportional to the square of the number of unoccupied sites (Ho &amp; McKay, 1999; </w:t>
      </w:r>
      <w:proofErr w:type="spellStart"/>
      <w:r w:rsidRPr="00801F94">
        <w:rPr>
          <w:rFonts w:ascii="Arial" w:hAnsi="Arial" w:cs="Arial"/>
        </w:rPr>
        <w:t>Sangoremi</w:t>
      </w:r>
      <w:proofErr w:type="spellEnd"/>
      <w:r w:rsidRPr="00801F94">
        <w:rPr>
          <w:rFonts w:ascii="Arial" w:hAnsi="Arial" w:cs="Arial"/>
        </w:rPr>
        <w:t>, 2025). However, despite its widespread use, the model is fundamentally empirical and does not inherently imply chemisorption, as it can successfully describe systems governed by diffusion and other physical processes (</w:t>
      </w:r>
      <w:proofErr w:type="spellStart"/>
      <w:r w:rsidRPr="00801F94">
        <w:rPr>
          <w:rFonts w:ascii="Arial" w:hAnsi="Arial" w:cs="Arial"/>
        </w:rPr>
        <w:t>Hubbe</w:t>
      </w:r>
      <w:proofErr w:type="spellEnd"/>
      <w:r w:rsidRPr="00801F94">
        <w:rPr>
          <w:rFonts w:ascii="Arial" w:hAnsi="Arial" w:cs="Arial"/>
        </w:rPr>
        <w:t xml:space="preserve">, et al., 2019; </w:t>
      </w:r>
      <w:proofErr w:type="spellStart"/>
      <w:r w:rsidRPr="00801F94">
        <w:rPr>
          <w:rFonts w:ascii="Arial" w:hAnsi="Arial" w:cs="Arial"/>
        </w:rPr>
        <w:t>Plazinski</w:t>
      </w:r>
      <w:proofErr w:type="spellEnd"/>
      <w:r w:rsidRPr="00801F94">
        <w:rPr>
          <w:rFonts w:ascii="Arial" w:hAnsi="Arial" w:cs="Arial"/>
        </w:rPr>
        <w:t xml:space="preserve"> et al., 2009; </w:t>
      </w:r>
      <w:proofErr w:type="spellStart"/>
      <w:r w:rsidRPr="00801F94">
        <w:rPr>
          <w:rFonts w:ascii="Arial" w:hAnsi="Arial" w:cs="Arial"/>
        </w:rPr>
        <w:t>Simonin</w:t>
      </w:r>
      <w:proofErr w:type="spellEnd"/>
      <w:r w:rsidRPr="00801F94">
        <w:rPr>
          <w:rFonts w:ascii="Arial" w:hAnsi="Arial" w:cs="Arial"/>
        </w:rPr>
        <w:t xml:space="preserve">, 2016). Furthermore, adsorption kinetics in heterogeneous systems are often influenced by </w:t>
      </w:r>
      <w:proofErr w:type="spellStart"/>
      <w:r w:rsidRPr="00801F94">
        <w:rPr>
          <w:rFonts w:ascii="Arial" w:hAnsi="Arial" w:cs="Arial"/>
        </w:rPr>
        <w:t>intraparticle</w:t>
      </w:r>
      <w:proofErr w:type="spellEnd"/>
      <w:r w:rsidRPr="00801F94">
        <w:rPr>
          <w:rFonts w:ascii="Arial" w:hAnsi="Arial" w:cs="Arial"/>
        </w:rPr>
        <w:t xml:space="preserve"> diffusion and surface heterogeneity, which can lead to pseudo-second-order behavior even in </w:t>
      </w:r>
      <w:proofErr w:type="spellStart"/>
      <w:r w:rsidRPr="00801F94">
        <w:rPr>
          <w:rFonts w:ascii="Arial" w:hAnsi="Arial" w:cs="Arial"/>
        </w:rPr>
        <w:t>physisorption</w:t>
      </w:r>
      <w:proofErr w:type="spellEnd"/>
      <w:r w:rsidRPr="00801F94">
        <w:rPr>
          <w:rFonts w:ascii="Arial" w:hAnsi="Arial" w:cs="Arial"/>
        </w:rPr>
        <w:t>-dominated systems (Boyd et al., 1947; Foo &amp; Hameed, 2010).</w:t>
      </w:r>
    </w:p>
    <w:p w:rsidR="000C5E5D" w:rsidRPr="00801F94" w:rsidRDefault="000C5E5D" w:rsidP="009C7F57">
      <w:pPr>
        <w:pStyle w:val="Body"/>
        <w:contextualSpacing/>
        <w:rPr>
          <w:rFonts w:ascii="Arial" w:hAnsi="Arial" w:cs="Arial"/>
        </w:rPr>
      </w:pPr>
    </w:p>
    <w:p w:rsidR="00F4243E" w:rsidRPr="00801F94" w:rsidRDefault="00F4243E" w:rsidP="009C7F57">
      <w:pPr>
        <w:pStyle w:val="Body"/>
        <w:contextualSpacing/>
        <w:rPr>
          <w:rFonts w:ascii="Arial" w:hAnsi="Arial" w:cs="Arial"/>
        </w:rPr>
      </w:pPr>
      <w:r w:rsidRPr="00801F94">
        <w:rPr>
          <w:rFonts w:ascii="Arial" w:hAnsi="Arial" w:cs="Arial"/>
        </w:rPr>
        <w:t xml:space="preserve">This finding is consistent with earlier research where pseudo-second-order kinetics well described ampicillin removal efficiency from aqueous solution by </w:t>
      </w:r>
      <w:proofErr w:type="spellStart"/>
      <w:r w:rsidRPr="00801F94">
        <w:rPr>
          <w:rFonts w:ascii="Arial" w:hAnsi="Arial" w:cs="Arial"/>
        </w:rPr>
        <w:t>polydopamine</w:t>
      </w:r>
      <w:proofErr w:type="spellEnd"/>
      <w:r w:rsidRPr="00801F94">
        <w:rPr>
          <w:rFonts w:ascii="Arial" w:hAnsi="Arial" w:cs="Arial"/>
        </w:rPr>
        <w:t>/</w:t>
      </w:r>
      <w:proofErr w:type="gramStart"/>
      <w:r w:rsidRPr="00801F94">
        <w:rPr>
          <w:rFonts w:ascii="Arial" w:hAnsi="Arial" w:cs="Arial"/>
        </w:rPr>
        <w:t>zirconium(</w:t>
      </w:r>
      <w:proofErr w:type="gramEnd"/>
      <w:r w:rsidRPr="00801F94">
        <w:rPr>
          <w:rFonts w:ascii="Arial" w:hAnsi="Arial" w:cs="Arial"/>
        </w:rPr>
        <w:t xml:space="preserve">iv) iodate: optimization by response surface methodology (Rahman and </w:t>
      </w:r>
      <w:proofErr w:type="spellStart"/>
      <w:r w:rsidRPr="00801F94">
        <w:rPr>
          <w:rFonts w:ascii="Arial" w:hAnsi="Arial" w:cs="Arial"/>
        </w:rPr>
        <w:t>Varshneya</w:t>
      </w:r>
      <w:proofErr w:type="spellEnd"/>
      <w:r w:rsidRPr="00801F94">
        <w:rPr>
          <w:rFonts w:ascii="Arial" w:hAnsi="Arial" w:cs="Arial"/>
        </w:rPr>
        <w:t xml:space="preserve">, 2020). Although the numerical values of rate constants are not directly comparable due to different units and formulations, the relatively high value of k in the pseudo-second-order model generally implies faster adsorption kinetics under this model. The pseudo-second-order model predicts a much higher equilibrium adsorption capacity compared to the pseudo-first-order. This suggests that the pseudo-second-order model better accounts for the actual adsorption </w:t>
      </w:r>
      <w:proofErr w:type="spellStart"/>
      <w:r w:rsidRPr="00801F94">
        <w:rPr>
          <w:rFonts w:ascii="Arial" w:hAnsi="Arial" w:cs="Arial"/>
        </w:rPr>
        <w:t>behaviour</w:t>
      </w:r>
      <w:proofErr w:type="spellEnd"/>
      <w:r w:rsidRPr="00801F94">
        <w:rPr>
          <w:rFonts w:ascii="Arial" w:hAnsi="Arial" w:cs="Arial"/>
        </w:rPr>
        <w:t xml:space="preserve"> of ampicillin onto ARH.</w:t>
      </w:r>
    </w:p>
    <w:p w:rsidR="00F4243E" w:rsidRPr="00801F94" w:rsidRDefault="00F4243E" w:rsidP="009C7F57">
      <w:pPr>
        <w:pStyle w:val="Body"/>
        <w:contextualSpacing/>
        <w:rPr>
          <w:rFonts w:ascii="Arial" w:hAnsi="Arial" w:cs="Arial"/>
        </w:rPr>
      </w:pPr>
      <w:r w:rsidRPr="00801F94">
        <w:rPr>
          <w:rFonts w:ascii="Arial" w:hAnsi="Arial" w:cs="Arial"/>
        </w:rPr>
        <w:t>Although the data fits the Pseudo-Second-Order kinetic model—frequently associated with chemisorption—the low free energy of adsorption (0.6 kJ/</w:t>
      </w:r>
      <w:proofErr w:type="spellStart"/>
      <w:r w:rsidRPr="00801F94">
        <w:rPr>
          <w:rFonts w:ascii="Arial" w:hAnsi="Arial" w:cs="Arial"/>
        </w:rPr>
        <w:t>mol</w:t>
      </w:r>
      <w:proofErr w:type="spellEnd"/>
      <w:r w:rsidRPr="00801F94">
        <w:rPr>
          <w:rFonts w:ascii="Arial" w:hAnsi="Arial" w:cs="Arial"/>
        </w:rPr>
        <w:t xml:space="preserve">) and the fit to the </w:t>
      </w:r>
      <w:proofErr w:type="spellStart"/>
      <w:r w:rsidRPr="00801F94">
        <w:rPr>
          <w:rFonts w:ascii="Arial" w:hAnsi="Arial" w:cs="Arial"/>
        </w:rPr>
        <w:t>Freundlich</w:t>
      </w:r>
      <w:proofErr w:type="spellEnd"/>
      <w:r w:rsidRPr="00801F94">
        <w:rPr>
          <w:rFonts w:ascii="Arial" w:hAnsi="Arial" w:cs="Arial"/>
        </w:rPr>
        <w:t xml:space="preserve"> isotherm suggest that the rate is limited by the availability of surface sites or a complex diffusion-reaction mechanism, rather than a true chemical reaction. It is therefore a physically-driven process controlled by surface site heterogeneity, as suggested by </w:t>
      </w:r>
      <w:proofErr w:type="spellStart"/>
      <w:r w:rsidRPr="00801F94">
        <w:rPr>
          <w:rFonts w:ascii="Arial" w:hAnsi="Arial" w:cs="Arial"/>
        </w:rPr>
        <w:t>Plazinski</w:t>
      </w:r>
      <w:proofErr w:type="spellEnd"/>
      <w:r w:rsidRPr="00801F94">
        <w:rPr>
          <w:rFonts w:ascii="Arial" w:hAnsi="Arial" w:cs="Arial"/>
        </w:rPr>
        <w:t xml:space="preserve"> et al.</w:t>
      </w:r>
      <w:r w:rsidR="00D650D0" w:rsidRPr="00801F94">
        <w:rPr>
          <w:rFonts w:ascii="Arial" w:hAnsi="Arial" w:cs="Arial"/>
        </w:rPr>
        <w:t xml:space="preserve">, </w:t>
      </w:r>
      <w:r w:rsidRPr="00801F94">
        <w:rPr>
          <w:rFonts w:ascii="Arial" w:hAnsi="Arial" w:cs="Arial"/>
        </w:rPr>
        <w:t>2009</w:t>
      </w:r>
      <w:r w:rsidR="00EE39F1" w:rsidRPr="00801F94">
        <w:rPr>
          <w:rFonts w:ascii="Arial" w:hAnsi="Arial" w:cs="Arial"/>
        </w:rPr>
        <w:t xml:space="preserve">. </w:t>
      </w:r>
    </w:p>
    <w:p w:rsidR="00F4243E" w:rsidRPr="00801F94" w:rsidRDefault="00F4243E" w:rsidP="009C7F57">
      <w:pPr>
        <w:pStyle w:val="Body"/>
        <w:spacing w:after="0"/>
        <w:contextualSpacing/>
        <w:rPr>
          <w:rFonts w:ascii="Arial" w:hAnsi="Arial" w:cs="Arial"/>
        </w:rPr>
      </w:pPr>
      <w:r w:rsidRPr="00801F94">
        <w:rPr>
          <w:rFonts w:ascii="Arial" w:hAnsi="Arial" w:cs="Arial"/>
        </w:rPr>
        <w:t xml:space="preserve">These findings align well with prior SEM characterization of the acid-modified rice husk, which revealed a highly porous and rough surface. The acid treatment substantially increased the number of reactive adsorption sites, removed amorphous </w:t>
      </w:r>
      <w:proofErr w:type="spellStart"/>
      <w:r w:rsidRPr="00801F94">
        <w:rPr>
          <w:rFonts w:ascii="Arial" w:hAnsi="Arial" w:cs="Arial"/>
        </w:rPr>
        <w:t>lignocellulosic</w:t>
      </w:r>
      <w:proofErr w:type="spellEnd"/>
      <w:r w:rsidRPr="00801F94">
        <w:rPr>
          <w:rFonts w:ascii="Arial" w:hAnsi="Arial" w:cs="Arial"/>
        </w:rPr>
        <w:t xml:space="preserve"> content, and exposed </w:t>
      </w:r>
      <w:r w:rsidRPr="00801F94">
        <w:rPr>
          <w:rFonts w:ascii="Arial" w:hAnsi="Arial" w:cs="Arial"/>
        </w:rPr>
        <w:lastRenderedPageBreak/>
        <w:t xml:space="preserve">silica-rich frameworks. The kinetic </w:t>
      </w:r>
      <w:proofErr w:type="spellStart"/>
      <w:r w:rsidRPr="00801F94">
        <w:rPr>
          <w:rFonts w:ascii="Arial" w:hAnsi="Arial" w:cs="Arial"/>
        </w:rPr>
        <w:t>behaviour</w:t>
      </w:r>
      <w:proofErr w:type="spellEnd"/>
      <w:r w:rsidRPr="00801F94">
        <w:rPr>
          <w:rFonts w:ascii="Arial" w:hAnsi="Arial" w:cs="Arial"/>
        </w:rPr>
        <w:t xml:space="preserve"> observed validates ARH as a viable, low-cost, and efficient </w:t>
      </w:r>
      <w:proofErr w:type="spellStart"/>
      <w:r w:rsidRPr="00801F94">
        <w:rPr>
          <w:rFonts w:ascii="Arial" w:hAnsi="Arial" w:cs="Arial"/>
        </w:rPr>
        <w:t>biosorbent</w:t>
      </w:r>
      <w:proofErr w:type="spellEnd"/>
      <w:r w:rsidRPr="00801F94">
        <w:rPr>
          <w:rFonts w:ascii="Arial" w:hAnsi="Arial" w:cs="Arial"/>
        </w:rPr>
        <w:t xml:space="preserve"> for ampicillin removal in wastewater treatment applications. Its fast equilibrium attainment and high adsorption capacity support scalable implementation in pharmaceutical effluent management, especially in regions affected by antimicrobial contamination.</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ind w:firstLine="720"/>
        <w:rPr>
          <w:rFonts w:ascii="Arial" w:hAnsi="Arial" w:cs="Arial"/>
          <w:b/>
          <w:bCs/>
        </w:rPr>
      </w:pPr>
      <w:r w:rsidRPr="00801F94">
        <w:rPr>
          <w:rFonts w:ascii="Arial" w:hAnsi="Arial" w:cs="Arial"/>
          <w:b/>
          <w:bCs/>
        </w:rPr>
        <w:t xml:space="preserve">          Table </w:t>
      </w:r>
      <w:r w:rsidR="0053350D" w:rsidRPr="00801F94">
        <w:rPr>
          <w:rFonts w:ascii="Arial" w:hAnsi="Arial" w:cs="Arial"/>
          <w:b/>
          <w:bCs/>
        </w:rPr>
        <w:t>6</w:t>
      </w:r>
      <w:r w:rsidRPr="00801F94">
        <w:rPr>
          <w:rFonts w:ascii="Arial" w:hAnsi="Arial" w:cs="Arial"/>
          <w:b/>
          <w:bCs/>
        </w:rPr>
        <w:t>. Kinetic parameters for ampicillin adsorption onto ARH</w:t>
      </w:r>
    </w:p>
    <w:p w:rsidR="00104349" w:rsidRPr="00801F94" w:rsidRDefault="00104349" w:rsidP="00F4243E">
      <w:pPr>
        <w:pStyle w:val="Body"/>
        <w:spacing w:after="0"/>
        <w:ind w:firstLine="720"/>
        <w:rPr>
          <w:rFonts w:ascii="Arial" w:hAnsi="Arial" w:cs="Arial"/>
          <w:b/>
          <w:bCs/>
        </w:rPr>
      </w:pPr>
    </w:p>
    <w:tbl>
      <w:tblPr>
        <w:tblW w:w="0" w:type="auto"/>
        <w:jc w:val="center"/>
        <w:tblLook w:val="04A0" w:firstRow="1" w:lastRow="0" w:firstColumn="1" w:lastColumn="0" w:noHBand="0" w:noVBand="1"/>
      </w:tblPr>
      <w:tblGrid>
        <w:gridCol w:w="1387"/>
        <w:gridCol w:w="1795"/>
        <w:gridCol w:w="2151"/>
      </w:tblGrid>
      <w:tr w:rsidR="00F4243E" w:rsidRPr="00801F94" w:rsidTr="009C5EA9">
        <w:trPr>
          <w:trHeight w:val="20"/>
          <w:jc w:val="center"/>
        </w:trPr>
        <w:tc>
          <w:tcPr>
            <w:tcW w:w="0" w:type="auto"/>
            <w:tcBorders>
              <w:top w:val="single" w:sz="4" w:space="0" w:color="auto"/>
              <w:left w:val="nil"/>
              <w:bottom w:val="single" w:sz="4" w:space="0" w:color="auto"/>
              <w:right w:val="nil"/>
            </w:tcBorders>
            <w:vAlign w:val="center"/>
            <w:hideMark/>
          </w:tcPr>
          <w:p w:rsidR="00F4243E" w:rsidRPr="00801F94" w:rsidRDefault="00F4243E" w:rsidP="009C5EA9">
            <w:pPr>
              <w:pStyle w:val="Body"/>
              <w:spacing w:after="0"/>
              <w:rPr>
                <w:rFonts w:ascii="Arial" w:hAnsi="Arial" w:cs="Arial"/>
              </w:rPr>
            </w:pPr>
            <w:r w:rsidRPr="00801F94">
              <w:rPr>
                <w:rFonts w:ascii="Arial" w:hAnsi="Arial" w:cs="Arial"/>
              </w:rPr>
              <w:t>Parameters</w:t>
            </w:r>
          </w:p>
        </w:tc>
        <w:tc>
          <w:tcPr>
            <w:tcW w:w="0" w:type="auto"/>
            <w:tcBorders>
              <w:top w:val="single" w:sz="4" w:space="0" w:color="auto"/>
              <w:left w:val="nil"/>
              <w:bottom w:val="single" w:sz="4" w:space="0" w:color="auto"/>
              <w:right w:val="nil"/>
            </w:tcBorders>
            <w:vAlign w:val="center"/>
            <w:hideMark/>
          </w:tcPr>
          <w:p w:rsidR="00F4243E" w:rsidRPr="00801F94" w:rsidRDefault="00F4243E" w:rsidP="009C5EA9">
            <w:pPr>
              <w:pStyle w:val="Body"/>
              <w:spacing w:after="0"/>
              <w:rPr>
                <w:rFonts w:ascii="Arial" w:hAnsi="Arial" w:cs="Arial"/>
              </w:rPr>
            </w:pPr>
            <w:r w:rsidRPr="00801F94">
              <w:rPr>
                <w:rFonts w:ascii="Arial" w:hAnsi="Arial" w:cs="Arial"/>
              </w:rPr>
              <w:t>Pseudo first order</w:t>
            </w:r>
          </w:p>
        </w:tc>
        <w:tc>
          <w:tcPr>
            <w:tcW w:w="0" w:type="auto"/>
            <w:tcBorders>
              <w:top w:val="single" w:sz="4" w:space="0" w:color="auto"/>
              <w:left w:val="nil"/>
              <w:bottom w:val="single" w:sz="4" w:space="0" w:color="auto"/>
              <w:right w:val="nil"/>
            </w:tcBorders>
            <w:vAlign w:val="center"/>
            <w:hideMark/>
          </w:tcPr>
          <w:p w:rsidR="00F4243E" w:rsidRPr="00801F94" w:rsidRDefault="00F4243E" w:rsidP="009C5EA9">
            <w:pPr>
              <w:pStyle w:val="Body"/>
              <w:spacing w:after="0"/>
              <w:rPr>
                <w:rFonts w:ascii="Arial" w:hAnsi="Arial" w:cs="Arial"/>
              </w:rPr>
            </w:pPr>
            <w:r w:rsidRPr="00801F94">
              <w:rPr>
                <w:rFonts w:ascii="Arial" w:hAnsi="Arial" w:cs="Arial"/>
              </w:rPr>
              <w:t>Pseudo Second order</w:t>
            </w:r>
          </w:p>
        </w:tc>
      </w:tr>
      <w:tr w:rsidR="00F4243E" w:rsidRPr="00801F94" w:rsidTr="009C5EA9">
        <w:trPr>
          <w:trHeight w:val="20"/>
          <w:jc w:val="center"/>
        </w:trPr>
        <w:tc>
          <w:tcPr>
            <w:tcW w:w="0" w:type="auto"/>
            <w:tcBorders>
              <w:top w:val="single" w:sz="4" w:space="0" w:color="auto"/>
            </w:tcBorders>
            <w:vAlign w:val="center"/>
            <w:hideMark/>
          </w:tcPr>
          <w:p w:rsidR="00F4243E" w:rsidRPr="00801F94" w:rsidRDefault="00F4243E" w:rsidP="009C5EA9">
            <w:pPr>
              <w:pStyle w:val="Body"/>
              <w:rPr>
                <w:rFonts w:ascii="Arial" w:hAnsi="Arial" w:cs="Arial"/>
              </w:rPr>
            </w:pPr>
            <w:proofErr w:type="spellStart"/>
            <w:r w:rsidRPr="00801F94">
              <w:rPr>
                <w:rFonts w:ascii="Arial" w:hAnsi="Arial" w:cs="Arial"/>
              </w:rPr>
              <w:t>q</w:t>
            </w:r>
            <w:r w:rsidRPr="00801F94">
              <w:rPr>
                <w:rFonts w:ascii="Arial" w:hAnsi="Arial" w:cs="Arial"/>
                <w:vertAlign w:val="subscript"/>
              </w:rPr>
              <w:t>e</w:t>
            </w:r>
            <w:proofErr w:type="spellEnd"/>
            <w:r w:rsidRPr="00801F94">
              <w:rPr>
                <w:rFonts w:ascii="Arial" w:hAnsi="Arial" w:cs="Arial"/>
                <w:vertAlign w:val="subscript"/>
              </w:rPr>
              <w:t xml:space="preserve"> (</w:t>
            </w:r>
            <w:proofErr w:type="spellStart"/>
            <w:r w:rsidRPr="00801F94">
              <w:rPr>
                <w:rFonts w:ascii="Arial" w:hAnsi="Arial" w:cs="Arial"/>
                <w:vertAlign w:val="subscript"/>
              </w:rPr>
              <w:t>calc</w:t>
            </w:r>
            <w:proofErr w:type="spellEnd"/>
            <w:r w:rsidRPr="00801F94">
              <w:rPr>
                <w:rFonts w:ascii="Arial" w:hAnsi="Arial" w:cs="Arial"/>
                <w:vertAlign w:val="subscript"/>
              </w:rPr>
              <w:t>)</w:t>
            </w:r>
            <w:r w:rsidRPr="00801F94">
              <w:rPr>
                <w:rFonts w:ascii="Arial" w:hAnsi="Arial" w:cs="Arial"/>
              </w:rPr>
              <w:t xml:space="preserve"> (mg/g)</w:t>
            </w:r>
          </w:p>
        </w:tc>
        <w:tc>
          <w:tcPr>
            <w:tcW w:w="0" w:type="auto"/>
            <w:tcBorders>
              <w:top w:val="single" w:sz="4" w:space="0" w:color="auto"/>
            </w:tcBorders>
            <w:vAlign w:val="center"/>
            <w:hideMark/>
          </w:tcPr>
          <w:p w:rsidR="00F4243E" w:rsidRPr="00801F94" w:rsidRDefault="00F4243E" w:rsidP="009C5EA9">
            <w:pPr>
              <w:pStyle w:val="Body"/>
              <w:rPr>
                <w:rFonts w:ascii="Arial" w:hAnsi="Arial" w:cs="Arial"/>
              </w:rPr>
            </w:pPr>
            <w:r w:rsidRPr="00801F94">
              <w:rPr>
                <w:rFonts w:ascii="Arial" w:hAnsi="Arial" w:cs="Arial"/>
              </w:rPr>
              <w:t>0.0022</w:t>
            </w:r>
          </w:p>
        </w:tc>
        <w:tc>
          <w:tcPr>
            <w:tcW w:w="0" w:type="auto"/>
            <w:tcBorders>
              <w:top w:val="single" w:sz="4" w:space="0" w:color="auto"/>
            </w:tcBorders>
            <w:vAlign w:val="center"/>
            <w:hideMark/>
          </w:tcPr>
          <w:p w:rsidR="00F4243E" w:rsidRPr="00801F94" w:rsidRDefault="00F4243E" w:rsidP="009C5EA9">
            <w:pPr>
              <w:pStyle w:val="Body"/>
              <w:rPr>
                <w:rFonts w:ascii="Arial" w:hAnsi="Arial" w:cs="Arial"/>
              </w:rPr>
            </w:pPr>
            <w:r w:rsidRPr="00801F94">
              <w:rPr>
                <w:rFonts w:ascii="Arial" w:hAnsi="Arial" w:cs="Arial"/>
              </w:rPr>
              <w:t>0.1872</w:t>
            </w:r>
          </w:p>
        </w:tc>
      </w:tr>
      <w:tr w:rsidR="00F4243E" w:rsidRPr="00801F94" w:rsidTr="009C5EA9">
        <w:trPr>
          <w:trHeight w:val="20"/>
          <w:jc w:val="center"/>
        </w:trPr>
        <w:tc>
          <w:tcPr>
            <w:tcW w:w="0" w:type="auto"/>
            <w:vAlign w:val="center"/>
            <w:hideMark/>
          </w:tcPr>
          <w:p w:rsidR="00F4243E" w:rsidRPr="00801F94" w:rsidRDefault="00F4243E" w:rsidP="009C5EA9">
            <w:pPr>
              <w:pStyle w:val="Body"/>
              <w:rPr>
                <w:rFonts w:ascii="Arial" w:hAnsi="Arial" w:cs="Arial"/>
              </w:rPr>
            </w:pPr>
            <w:r w:rsidRPr="00801F94">
              <w:rPr>
                <w:rFonts w:ascii="Arial" w:hAnsi="Arial" w:cs="Arial"/>
              </w:rPr>
              <w:t>k</w:t>
            </w:r>
          </w:p>
        </w:tc>
        <w:tc>
          <w:tcPr>
            <w:tcW w:w="0" w:type="auto"/>
            <w:vAlign w:val="center"/>
            <w:hideMark/>
          </w:tcPr>
          <w:p w:rsidR="00F4243E" w:rsidRPr="00801F94" w:rsidRDefault="00F4243E" w:rsidP="009C5EA9">
            <w:pPr>
              <w:pStyle w:val="Body"/>
              <w:rPr>
                <w:rFonts w:ascii="Arial" w:hAnsi="Arial" w:cs="Arial"/>
              </w:rPr>
            </w:pPr>
            <w:r w:rsidRPr="00801F94">
              <w:rPr>
                <w:rFonts w:ascii="Arial" w:hAnsi="Arial" w:cs="Arial"/>
              </w:rPr>
              <w:t>0.005min</w:t>
            </w:r>
            <w:r w:rsidRPr="00801F94">
              <w:rPr>
                <w:rFonts w:ascii="Arial" w:hAnsi="Arial" w:cs="Arial"/>
                <w:vertAlign w:val="superscript"/>
              </w:rPr>
              <w:t>-1</w:t>
            </w:r>
          </w:p>
        </w:tc>
        <w:tc>
          <w:tcPr>
            <w:tcW w:w="0" w:type="auto"/>
            <w:vAlign w:val="center"/>
            <w:hideMark/>
          </w:tcPr>
          <w:p w:rsidR="00F4243E" w:rsidRPr="00801F94" w:rsidRDefault="00F4243E" w:rsidP="009C5EA9">
            <w:pPr>
              <w:pStyle w:val="Body"/>
              <w:rPr>
                <w:rFonts w:ascii="Arial" w:hAnsi="Arial" w:cs="Arial"/>
              </w:rPr>
            </w:pPr>
            <w:r w:rsidRPr="00801F94">
              <w:rPr>
                <w:rFonts w:ascii="Arial" w:hAnsi="Arial" w:cs="Arial"/>
              </w:rPr>
              <w:t>10.293 (l/mg/min)</w:t>
            </w:r>
          </w:p>
        </w:tc>
      </w:tr>
      <w:tr w:rsidR="00F4243E" w:rsidRPr="00801F94" w:rsidTr="009C5EA9">
        <w:trPr>
          <w:trHeight w:val="20"/>
          <w:jc w:val="center"/>
        </w:trPr>
        <w:tc>
          <w:tcPr>
            <w:tcW w:w="0" w:type="auto"/>
            <w:tcBorders>
              <w:top w:val="nil"/>
              <w:left w:val="nil"/>
              <w:bottom w:val="single" w:sz="4" w:space="0" w:color="auto"/>
              <w:right w:val="nil"/>
            </w:tcBorders>
            <w:vAlign w:val="center"/>
            <w:hideMark/>
          </w:tcPr>
          <w:p w:rsidR="00F4243E" w:rsidRPr="00801F94" w:rsidRDefault="00F4243E" w:rsidP="009C5EA9">
            <w:pPr>
              <w:pStyle w:val="Body"/>
              <w:rPr>
                <w:rFonts w:ascii="Arial" w:hAnsi="Arial" w:cs="Arial"/>
              </w:rPr>
            </w:pPr>
            <w:r w:rsidRPr="00801F94">
              <w:rPr>
                <w:rFonts w:ascii="Arial" w:hAnsi="Arial" w:cs="Arial"/>
              </w:rPr>
              <w:t>R</w:t>
            </w:r>
            <w:r w:rsidRPr="00801F94">
              <w:rPr>
                <w:rFonts w:ascii="Arial" w:hAnsi="Arial" w:cs="Arial"/>
                <w:vertAlign w:val="superscript"/>
              </w:rPr>
              <w:t>2</w:t>
            </w:r>
          </w:p>
        </w:tc>
        <w:tc>
          <w:tcPr>
            <w:tcW w:w="0" w:type="auto"/>
            <w:tcBorders>
              <w:top w:val="nil"/>
              <w:left w:val="nil"/>
              <w:bottom w:val="single" w:sz="4" w:space="0" w:color="auto"/>
              <w:right w:val="nil"/>
            </w:tcBorders>
            <w:vAlign w:val="center"/>
            <w:hideMark/>
          </w:tcPr>
          <w:p w:rsidR="00F4243E" w:rsidRPr="00801F94" w:rsidRDefault="00F4243E" w:rsidP="009C5EA9">
            <w:pPr>
              <w:pStyle w:val="Body"/>
              <w:rPr>
                <w:rFonts w:ascii="Arial" w:hAnsi="Arial" w:cs="Arial"/>
              </w:rPr>
            </w:pPr>
            <w:r w:rsidRPr="00801F94">
              <w:rPr>
                <w:rFonts w:ascii="Arial" w:hAnsi="Arial" w:cs="Arial"/>
              </w:rPr>
              <w:t>0.7057</w:t>
            </w:r>
          </w:p>
        </w:tc>
        <w:tc>
          <w:tcPr>
            <w:tcW w:w="0" w:type="auto"/>
            <w:tcBorders>
              <w:top w:val="nil"/>
              <w:left w:val="nil"/>
              <w:bottom w:val="single" w:sz="4" w:space="0" w:color="auto"/>
              <w:right w:val="nil"/>
            </w:tcBorders>
            <w:vAlign w:val="center"/>
            <w:hideMark/>
          </w:tcPr>
          <w:p w:rsidR="00F4243E" w:rsidRPr="00801F94" w:rsidRDefault="00F4243E" w:rsidP="009C5EA9">
            <w:pPr>
              <w:pStyle w:val="Body"/>
              <w:rPr>
                <w:rFonts w:ascii="Arial" w:hAnsi="Arial" w:cs="Arial"/>
              </w:rPr>
            </w:pPr>
            <w:r w:rsidRPr="00801F94">
              <w:rPr>
                <w:rFonts w:ascii="Arial" w:hAnsi="Arial" w:cs="Arial"/>
              </w:rPr>
              <w:t>1</w:t>
            </w:r>
          </w:p>
        </w:tc>
      </w:tr>
    </w:tbl>
    <w:p w:rsidR="00F4243E" w:rsidRPr="00801F94" w:rsidRDefault="00F4243E" w:rsidP="00F4243E">
      <w:pPr>
        <w:pStyle w:val="Body"/>
        <w:spacing w:after="0"/>
        <w:rPr>
          <w:rFonts w:ascii="Arial" w:hAnsi="Arial" w:cs="Arial"/>
          <w:lang w:val="en-GB"/>
        </w:rPr>
      </w:pPr>
    </w:p>
    <w:p w:rsidR="00FE70E2" w:rsidRPr="00801F94" w:rsidRDefault="00FE70E2" w:rsidP="00FE70E2">
      <w:pPr>
        <w:pStyle w:val="Body"/>
        <w:spacing w:after="0"/>
        <w:jc w:val="center"/>
        <w:rPr>
          <w:rFonts w:ascii="Arial" w:hAnsi="Arial" w:cs="Arial"/>
          <w:lang w:val="en-GB"/>
        </w:rPr>
      </w:pPr>
      <w:r w:rsidRPr="00801F94">
        <w:rPr>
          <w:rFonts w:ascii="Arial" w:hAnsi="Arial" w:cs="Arial"/>
          <w:noProof/>
        </w:rPr>
        <w:drawing>
          <wp:inline distT="0" distB="0" distL="0" distR="0" wp14:anchorId="251A9B88" wp14:editId="08CD6EFA">
            <wp:extent cx="4161612" cy="1809750"/>
            <wp:effectExtent l="0" t="0" r="10795" b="0"/>
            <wp:docPr id="181234192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E70E2" w:rsidRPr="00801F94" w:rsidRDefault="00FE70E2" w:rsidP="00F4243E">
      <w:pPr>
        <w:pStyle w:val="Body"/>
        <w:spacing w:after="0"/>
        <w:rPr>
          <w:rFonts w:ascii="Arial" w:hAnsi="Arial" w:cs="Arial"/>
          <w:lang w:val="en-GB"/>
        </w:rPr>
      </w:pPr>
    </w:p>
    <w:p w:rsidR="00F4243E" w:rsidRPr="00801F94" w:rsidRDefault="00F4243E" w:rsidP="00F4243E">
      <w:pPr>
        <w:pStyle w:val="Body"/>
        <w:spacing w:after="0"/>
        <w:jc w:val="center"/>
        <w:rPr>
          <w:rFonts w:ascii="Arial" w:hAnsi="Arial" w:cs="Arial"/>
          <w:lang w:val="en-GB"/>
        </w:rPr>
      </w:pPr>
    </w:p>
    <w:p w:rsidR="00FE70E2" w:rsidRPr="00801F94" w:rsidRDefault="00F4243E" w:rsidP="00F4243E">
      <w:pPr>
        <w:pStyle w:val="Body"/>
        <w:ind w:firstLine="720"/>
        <w:rPr>
          <w:rFonts w:ascii="Arial" w:hAnsi="Arial" w:cs="Arial"/>
          <w:b/>
          <w:bCs/>
          <w:lang w:val="en-GB"/>
        </w:rPr>
      </w:pPr>
      <w:r w:rsidRPr="00801F94">
        <w:rPr>
          <w:rFonts w:ascii="Arial" w:hAnsi="Arial" w:cs="Arial"/>
          <w:b/>
          <w:bCs/>
          <w:lang w:val="en-GB"/>
        </w:rPr>
        <w:t xml:space="preserve">    </w:t>
      </w:r>
      <w:r w:rsidRPr="00801F94">
        <w:rPr>
          <w:rFonts w:ascii="Arial" w:hAnsi="Arial" w:cs="Arial"/>
          <w:b/>
          <w:bCs/>
          <w:lang w:val="en-GB"/>
        </w:rPr>
        <w:tab/>
      </w:r>
      <w:r w:rsidRPr="00801F94">
        <w:rPr>
          <w:rFonts w:ascii="Arial" w:hAnsi="Arial" w:cs="Arial"/>
          <w:b/>
          <w:bCs/>
          <w:lang w:val="en-GB"/>
        </w:rPr>
        <w:tab/>
        <w:t xml:space="preserve"> </w:t>
      </w:r>
      <w:r w:rsidR="00FE70E2" w:rsidRPr="00801F94">
        <w:rPr>
          <w:rFonts w:ascii="Arial" w:hAnsi="Arial" w:cs="Arial"/>
          <w:b/>
          <w:bCs/>
          <w:lang w:val="en-GB"/>
        </w:rPr>
        <w:t>A</w:t>
      </w:r>
    </w:p>
    <w:p w:rsidR="00FE70E2" w:rsidRPr="00801F94" w:rsidRDefault="00FE70E2" w:rsidP="00F4243E">
      <w:pPr>
        <w:pStyle w:val="Body"/>
        <w:ind w:firstLine="720"/>
        <w:rPr>
          <w:rFonts w:ascii="Arial" w:hAnsi="Arial" w:cs="Arial"/>
          <w:b/>
          <w:bCs/>
          <w:lang w:val="en-GB"/>
        </w:rPr>
      </w:pPr>
      <w:r w:rsidRPr="00801F94">
        <w:rPr>
          <w:rFonts w:ascii="Arial" w:hAnsi="Arial" w:cs="Arial"/>
          <w:noProof/>
        </w:rPr>
        <w:drawing>
          <wp:inline distT="0" distB="0" distL="0" distR="0" wp14:anchorId="0418BFA7" wp14:editId="447D1520">
            <wp:extent cx="3950208" cy="1809750"/>
            <wp:effectExtent l="0" t="0" r="12700" b="0"/>
            <wp:docPr id="172744745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4243E" w:rsidRPr="00801F94" w:rsidRDefault="00F4243E" w:rsidP="00F4243E">
      <w:pPr>
        <w:pStyle w:val="Body"/>
        <w:ind w:firstLine="720"/>
        <w:rPr>
          <w:rFonts w:ascii="Arial" w:hAnsi="Arial" w:cs="Arial"/>
          <w:b/>
          <w:bCs/>
          <w:lang w:val="en-GB"/>
        </w:rPr>
      </w:pPr>
      <w:r w:rsidRPr="00801F94">
        <w:rPr>
          <w:rFonts w:ascii="Arial" w:hAnsi="Arial" w:cs="Arial"/>
          <w:b/>
          <w:bCs/>
          <w:lang w:val="en-GB"/>
        </w:rPr>
        <w:tab/>
      </w:r>
      <w:r w:rsidRPr="00801F94">
        <w:rPr>
          <w:rFonts w:ascii="Arial" w:hAnsi="Arial" w:cs="Arial"/>
          <w:b/>
          <w:bCs/>
          <w:lang w:val="en-GB"/>
        </w:rPr>
        <w:tab/>
      </w:r>
      <w:r w:rsidRPr="00801F94">
        <w:rPr>
          <w:rFonts w:ascii="Arial" w:hAnsi="Arial" w:cs="Arial"/>
          <w:b/>
          <w:bCs/>
          <w:lang w:val="en-GB"/>
        </w:rPr>
        <w:tab/>
      </w:r>
      <w:r w:rsidRPr="00801F94">
        <w:rPr>
          <w:rFonts w:ascii="Arial" w:hAnsi="Arial" w:cs="Arial"/>
          <w:b/>
          <w:bCs/>
          <w:lang w:val="en-GB"/>
        </w:rPr>
        <w:tab/>
      </w:r>
      <w:proofErr w:type="gramStart"/>
      <w:r w:rsidRPr="00801F94">
        <w:rPr>
          <w:rFonts w:ascii="Arial" w:hAnsi="Arial" w:cs="Arial"/>
          <w:b/>
          <w:bCs/>
          <w:lang w:val="en-GB"/>
        </w:rPr>
        <w:t>b</w:t>
      </w:r>
      <w:proofErr w:type="gramEnd"/>
    </w:p>
    <w:p w:rsidR="00F4243E" w:rsidRPr="00801F94" w:rsidRDefault="00F4243E" w:rsidP="00F4243E">
      <w:pPr>
        <w:pStyle w:val="Body"/>
        <w:jc w:val="center"/>
        <w:rPr>
          <w:rFonts w:ascii="Arial" w:hAnsi="Arial" w:cs="Arial"/>
          <w:b/>
          <w:bCs/>
          <w:lang w:val="en-GB"/>
        </w:rPr>
      </w:pPr>
      <w:r w:rsidRPr="00801F94">
        <w:rPr>
          <w:rFonts w:ascii="Arial" w:hAnsi="Arial" w:cs="Arial"/>
          <w:b/>
          <w:bCs/>
          <w:lang w:val="en-GB"/>
        </w:rPr>
        <w:t>Fig 13: (a) Pseudo-first order, (b) Pseudo-second order plot for adsorption of ampicillin onto ARH</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rPr>
          <w:rFonts w:ascii="Arial" w:hAnsi="Arial" w:cs="Arial"/>
          <w:b/>
          <w:bCs/>
          <w:sz w:val="22"/>
          <w:szCs w:val="22"/>
        </w:rPr>
      </w:pPr>
      <w:bookmarkStart w:id="15" w:name="_Hlk204751081"/>
      <w:r w:rsidRPr="00801F94">
        <w:rPr>
          <w:rFonts w:ascii="Arial" w:hAnsi="Arial" w:cs="Arial"/>
          <w:b/>
          <w:bCs/>
          <w:sz w:val="22"/>
          <w:szCs w:val="22"/>
        </w:rPr>
        <w:t>3.9. Diffusion Modelling Analysis</w:t>
      </w:r>
    </w:p>
    <w:p w:rsidR="00F4243E" w:rsidRPr="00801F94" w:rsidRDefault="00F4243E" w:rsidP="00F4243E">
      <w:pPr>
        <w:pStyle w:val="Body"/>
        <w:spacing w:after="0"/>
        <w:rPr>
          <w:rFonts w:ascii="Arial" w:hAnsi="Arial" w:cs="Arial"/>
        </w:rPr>
      </w:pPr>
      <w:r w:rsidRPr="00801F94">
        <w:rPr>
          <w:rFonts w:ascii="Arial" w:hAnsi="Arial" w:cs="Arial"/>
        </w:rPr>
        <w:lastRenderedPageBreak/>
        <w:t xml:space="preserve">To better understand the mass transfer dynamics governing ampicillin adsorption, diffusion-based models were applied: </w:t>
      </w:r>
      <w:proofErr w:type="spellStart"/>
      <w:r w:rsidRPr="00801F94">
        <w:rPr>
          <w:rFonts w:ascii="Arial" w:hAnsi="Arial" w:cs="Arial"/>
        </w:rPr>
        <w:t>Intraparticle</w:t>
      </w:r>
      <w:proofErr w:type="spellEnd"/>
      <w:r w:rsidRPr="00801F94">
        <w:rPr>
          <w:rFonts w:ascii="Arial" w:hAnsi="Arial" w:cs="Arial"/>
        </w:rPr>
        <w:t xml:space="preserve"> diffusion and Ritchie–Boyd–</w:t>
      </w:r>
      <w:proofErr w:type="spellStart"/>
      <w:r w:rsidRPr="00801F94">
        <w:rPr>
          <w:rFonts w:ascii="Arial" w:hAnsi="Arial" w:cs="Arial"/>
        </w:rPr>
        <w:t>Ruckenstein</w:t>
      </w:r>
      <w:proofErr w:type="spellEnd"/>
      <w:r w:rsidRPr="00801F94">
        <w:rPr>
          <w:rFonts w:ascii="Arial" w:hAnsi="Arial" w:cs="Arial"/>
        </w:rPr>
        <w:t xml:space="preserve"> (</w:t>
      </w:r>
      <w:proofErr w:type="spellStart"/>
      <w:r w:rsidRPr="00801F94">
        <w:rPr>
          <w:rFonts w:ascii="Arial" w:hAnsi="Arial" w:cs="Arial"/>
        </w:rPr>
        <w:t>Richenberg</w:t>
      </w:r>
      <w:proofErr w:type="spellEnd"/>
      <w:r w:rsidRPr="00801F94">
        <w:rPr>
          <w:rFonts w:ascii="Arial" w:hAnsi="Arial" w:cs="Arial"/>
        </w:rPr>
        <w:t xml:space="preserve">) diffusion. </w:t>
      </w:r>
      <w:r w:rsidRPr="00801F94">
        <w:rPr>
          <w:rFonts w:ascii="Arial" w:hAnsi="Arial" w:cs="Arial"/>
          <w:lang w:val="en-GB"/>
        </w:rPr>
        <w:t xml:space="preserve">Diffusion models help determine whether the adsorption process is controlled by film diffusion (mass transfer from the bulk solution to the external surface of the adsorbent), </w:t>
      </w:r>
      <w:proofErr w:type="spellStart"/>
      <w:r w:rsidRPr="00801F94">
        <w:rPr>
          <w:rFonts w:ascii="Arial" w:hAnsi="Arial" w:cs="Arial"/>
          <w:lang w:val="en-GB"/>
        </w:rPr>
        <w:t>intraparticle</w:t>
      </w:r>
      <w:proofErr w:type="spellEnd"/>
      <w:r w:rsidRPr="00801F94">
        <w:rPr>
          <w:rFonts w:ascii="Arial" w:hAnsi="Arial" w:cs="Arial"/>
          <w:lang w:val="en-GB"/>
        </w:rPr>
        <w:t xml:space="preserve"> diffusion (mass transfer within the pores of the adsorbent), or a combination of both.</w:t>
      </w:r>
      <w:r w:rsidRPr="00801F94">
        <w:rPr>
          <w:rFonts w:ascii="Arial" w:hAnsi="Arial" w:cs="Arial"/>
        </w:rPr>
        <w:t xml:space="preserve">The </w:t>
      </w:r>
      <w:proofErr w:type="spellStart"/>
      <w:r w:rsidRPr="00801F94">
        <w:rPr>
          <w:rFonts w:ascii="Arial" w:hAnsi="Arial" w:cs="Arial"/>
        </w:rPr>
        <w:t>intraparticle</w:t>
      </w:r>
      <w:proofErr w:type="spellEnd"/>
      <w:r w:rsidRPr="00801F94">
        <w:rPr>
          <w:rFonts w:ascii="Arial" w:hAnsi="Arial" w:cs="Arial"/>
        </w:rPr>
        <w:t xml:space="preserve"> diffusion model (often described by Weber–Morris) predicts a linear relationship between adsorption quantity and the square root of time if diffusion inside the pores is sole the rate-limiting step. The plot is shown in fig. 14a, with </w:t>
      </w:r>
      <w:bookmarkEnd w:id="15"/>
      <w:r w:rsidRPr="00801F94">
        <w:rPr>
          <w:rFonts w:ascii="Arial" w:hAnsi="Arial" w:cs="Arial"/>
        </w:rPr>
        <w:t>an R</w:t>
      </w:r>
      <w:r w:rsidRPr="00801F94">
        <w:rPr>
          <w:rFonts w:ascii="Arial" w:hAnsi="Arial" w:cs="Arial"/>
          <w:vertAlign w:val="superscript"/>
        </w:rPr>
        <w:t>2</w:t>
      </w:r>
      <w:r w:rsidRPr="00801F94">
        <w:rPr>
          <w:rFonts w:ascii="Arial" w:hAnsi="Arial" w:cs="Arial"/>
        </w:rPr>
        <w:t xml:space="preserve"> </w:t>
      </w:r>
      <w:proofErr w:type="gramStart"/>
      <w:r w:rsidRPr="00801F94">
        <w:rPr>
          <w:rFonts w:ascii="Arial" w:hAnsi="Arial" w:cs="Arial"/>
        </w:rPr>
        <w:t>value  of</w:t>
      </w:r>
      <w:proofErr w:type="gramEnd"/>
      <w:r w:rsidRPr="00801F94">
        <w:rPr>
          <w:rFonts w:ascii="Arial" w:hAnsi="Arial" w:cs="Arial"/>
        </w:rPr>
        <w:t xml:space="preserve"> 0.6373. This suggests moderate contribution of </w:t>
      </w:r>
      <w:proofErr w:type="spellStart"/>
      <w:r w:rsidRPr="00801F94">
        <w:rPr>
          <w:rFonts w:ascii="Arial" w:hAnsi="Arial" w:cs="Arial"/>
        </w:rPr>
        <w:t>intraparticle</w:t>
      </w:r>
      <w:proofErr w:type="spellEnd"/>
      <w:r w:rsidRPr="00801F94">
        <w:rPr>
          <w:rFonts w:ascii="Arial" w:hAnsi="Arial" w:cs="Arial"/>
        </w:rPr>
        <w:t xml:space="preserve"> diffusion to the overall rate. However, this is not close enough to unity to be considered the dominant mechanism. </w:t>
      </w:r>
      <w:r w:rsidRPr="00801F94">
        <w:rPr>
          <w:rFonts w:ascii="Arial" w:hAnsi="Arial" w:cs="Arial"/>
          <w:lang w:val="en-GB"/>
        </w:rPr>
        <w:t xml:space="preserve">The constant 'C' in the </w:t>
      </w:r>
      <w:proofErr w:type="spellStart"/>
      <w:r w:rsidRPr="00801F94">
        <w:rPr>
          <w:rFonts w:ascii="Arial" w:hAnsi="Arial" w:cs="Arial"/>
          <w:lang w:val="en-GB"/>
        </w:rPr>
        <w:t>intraparticle</w:t>
      </w:r>
      <w:proofErr w:type="spellEnd"/>
      <w:r w:rsidRPr="00801F94">
        <w:rPr>
          <w:rFonts w:ascii="Arial" w:hAnsi="Arial" w:cs="Arial"/>
          <w:lang w:val="en-GB"/>
        </w:rPr>
        <w:t xml:space="preserve"> diffusion model provides an indication of the boundary layer thickness. </w:t>
      </w:r>
      <w:r w:rsidRPr="00801F94">
        <w:rPr>
          <w:rFonts w:ascii="Arial" w:hAnsi="Arial" w:cs="Arial"/>
        </w:rPr>
        <w:t xml:space="preserve">The intercept (C = 0.131) is a non-zero intercept signifying that boundary layer (film) diffusion also plays a role, meaning the process doesn’t occur entirely within the adsorbent particles. </w:t>
      </w:r>
      <w:r w:rsidRPr="00801F94">
        <w:rPr>
          <w:rFonts w:ascii="Arial" w:hAnsi="Arial" w:cs="Arial"/>
          <w:lang w:val="en-GB"/>
        </w:rPr>
        <w:t xml:space="preserve">Since C is not zero, it further supports that </w:t>
      </w:r>
      <w:proofErr w:type="spellStart"/>
      <w:r w:rsidRPr="00801F94">
        <w:rPr>
          <w:rFonts w:ascii="Arial" w:hAnsi="Arial" w:cs="Arial"/>
          <w:lang w:val="en-GB"/>
        </w:rPr>
        <w:t>intraparticle</w:t>
      </w:r>
      <w:proofErr w:type="spellEnd"/>
      <w:r w:rsidRPr="00801F94">
        <w:rPr>
          <w:rFonts w:ascii="Arial" w:hAnsi="Arial" w:cs="Arial"/>
          <w:lang w:val="en-GB"/>
        </w:rPr>
        <w:t xml:space="preserve"> diffusion is not the only controlling step. The coefficient of determination R</w:t>
      </w:r>
      <w:r w:rsidRPr="00801F94">
        <w:rPr>
          <w:rFonts w:ascii="Arial" w:hAnsi="Arial" w:cs="Arial"/>
          <w:vertAlign w:val="superscript"/>
          <w:lang w:val="en-GB"/>
        </w:rPr>
        <w:t xml:space="preserve">2 </w:t>
      </w:r>
      <w:r w:rsidRPr="00801F94">
        <w:rPr>
          <w:rFonts w:ascii="Arial" w:hAnsi="Arial" w:cs="Arial"/>
          <w:lang w:val="en-GB"/>
        </w:rPr>
        <w:t xml:space="preserve">for </w:t>
      </w:r>
      <w:proofErr w:type="spellStart"/>
      <w:r w:rsidRPr="00801F94">
        <w:rPr>
          <w:rFonts w:ascii="Arial" w:hAnsi="Arial" w:cs="Arial"/>
          <w:lang w:val="en-GB"/>
        </w:rPr>
        <w:t>Richenberg's</w:t>
      </w:r>
      <w:proofErr w:type="spellEnd"/>
      <w:r w:rsidRPr="00801F94">
        <w:rPr>
          <w:rFonts w:ascii="Arial" w:hAnsi="Arial" w:cs="Arial"/>
          <w:lang w:val="en-GB"/>
        </w:rPr>
        <w:t xml:space="preserve"> model is 0.8628. This value is significantly higher than that for the </w:t>
      </w:r>
      <w:proofErr w:type="spellStart"/>
      <w:r w:rsidRPr="00801F94">
        <w:rPr>
          <w:rFonts w:ascii="Arial" w:hAnsi="Arial" w:cs="Arial"/>
          <w:lang w:val="en-GB"/>
        </w:rPr>
        <w:t>intraparticle</w:t>
      </w:r>
      <w:proofErr w:type="spellEnd"/>
      <w:r w:rsidRPr="00801F94">
        <w:rPr>
          <w:rFonts w:ascii="Arial" w:hAnsi="Arial" w:cs="Arial"/>
          <w:lang w:val="en-GB"/>
        </w:rPr>
        <w:t xml:space="preserve"> diffusion model, indicating a better fit of the experimental data to </w:t>
      </w:r>
      <w:proofErr w:type="spellStart"/>
      <w:r w:rsidRPr="00801F94">
        <w:rPr>
          <w:rFonts w:ascii="Arial" w:hAnsi="Arial" w:cs="Arial"/>
          <w:lang w:val="en-GB"/>
        </w:rPr>
        <w:t>Richenberg's</w:t>
      </w:r>
      <w:proofErr w:type="spellEnd"/>
      <w:r w:rsidRPr="00801F94">
        <w:rPr>
          <w:rFonts w:ascii="Arial" w:hAnsi="Arial" w:cs="Arial"/>
          <w:lang w:val="en-GB"/>
        </w:rPr>
        <w:t xml:space="preserve"> model.</w:t>
      </w:r>
      <w:r w:rsidRPr="00801F94">
        <w:rPr>
          <w:rFonts w:ascii="Arial" w:hAnsi="Arial" w:cs="Arial"/>
        </w:rPr>
        <w:t xml:space="preserve"> </w:t>
      </w:r>
      <w:r w:rsidRPr="00801F94">
        <w:rPr>
          <w:rFonts w:ascii="Arial" w:hAnsi="Arial" w:cs="Arial"/>
          <w:lang w:val="en-GB"/>
        </w:rPr>
        <w:t xml:space="preserve">The better fit of the </w:t>
      </w:r>
      <w:proofErr w:type="spellStart"/>
      <w:r w:rsidRPr="00801F94">
        <w:rPr>
          <w:rFonts w:ascii="Arial" w:hAnsi="Arial" w:cs="Arial"/>
          <w:lang w:val="en-GB"/>
        </w:rPr>
        <w:t>Richenberg</w:t>
      </w:r>
      <w:proofErr w:type="spellEnd"/>
      <w:r w:rsidRPr="00801F94">
        <w:rPr>
          <w:rFonts w:ascii="Arial" w:hAnsi="Arial" w:cs="Arial"/>
          <w:lang w:val="en-GB"/>
        </w:rPr>
        <w:t xml:space="preserve"> model implies that film diffusion (boundary layer resistance) plays a significant role in the adsorption of ampicillin onto acid-modified rice husk.</w:t>
      </w:r>
      <w:r w:rsidRPr="00801F94">
        <w:rPr>
          <w:rFonts w:ascii="Arial" w:hAnsi="Arial" w:cs="Arial"/>
        </w:rPr>
        <w:t xml:space="preserve"> The diffusion modelling results suggest that the adsorption process involves multiple diffusion mechanisms (fig. 14), with film diffusion being more dominant than intra-particle diffusion.  Acid-modified rice husk's surface properties may </w:t>
      </w:r>
      <w:proofErr w:type="spellStart"/>
      <w:r w:rsidRPr="00801F94">
        <w:rPr>
          <w:rFonts w:ascii="Arial" w:hAnsi="Arial" w:cs="Arial"/>
        </w:rPr>
        <w:t>favour</w:t>
      </w:r>
      <w:proofErr w:type="spellEnd"/>
      <w:r w:rsidRPr="00801F94">
        <w:rPr>
          <w:rFonts w:ascii="Arial" w:hAnsi="Arial" w:cs="Arial"/>
        </w:rPr>
        <w:t xml:space="preserve"> fast adsorption at the boundary layer, with limited diffusion into pores. These observations align with prior studies on antibiotic adsorption using biomass-derived adsorbents (</w:t>
      </w:r>
      <w:proofErr w:type="spellStart"/>
      <w:r w:rsidRPr="00801F94">
        <w:rPr>
          <w:rFonts w:ascii="Arial" w:hAnsi="Arial" w:cs="Arial"/>
        </w:rPr>
        <w:t>Aymar</w:t>
      </w:r>
      <w:proofErr w:type="spellEnd"/>
      <w:r w:rsidRPr="00801F94">
        <w:rPr>
          <w:rFonts w:ascii="Arial" w:hAnsi="Arial" w:cs="Arial"/>
        </w:rPr>
        <w:t xml:space="preserve"> et al., 2019; Wang et al., 2021). Comparable results were also reported for ampicillin removal with modified clays and functionalized carbon materials, where both surface interactions and pore diffusion played significant roles in governing the adsorption process (</w:t>
      </w:r>
      <w:proofErr w:type="spellStart"/>
      <w:r w:rsidRPr="00801F94">
        <w:rPr>
          <w:rFonts w:ascii="Arial" w:hAnsi="Arial" w:cs="Arial"/>
        </w:rPr>
        <w:t>Haciosmanoğlu</w:t>
      </w:r>
      <w:proofErr w:type="spellEnd"/>
      <w:r w:rsidRPr="00801F94">
        <w:rPr>
          <w:rFonts w:ascii="Arial" w:hAnsi="Arial" w:cs="Arial"/>
        </w:rPr>
        <w:t xml:space="preserve"> et al., 2022). </w:t>
      </w:r>
      <w:r w:rsidRPr="00801F94">
        <w:rPr>
          <w:rFonts w:ascii="Arial" w:hAnsi="Arial" w:cs="Arial"/>
          <w:lang w:val="en-GB"/>
        </w:rPr>
        <w:t xml:space="preserve">Diffusion models complement kinetic models by breaking down the physical transport steps. Even if chemisorption is the rate-limiting reaction step, the overall rate can still be influenced by how quickly the </w:t>
      </w:r>
      <w:proofErr w:type="spellStart"/>
      <w:r w:rsidRPr="00801F94">
        <w:rPr>
          <w:rFonts w:ascii="Arial" w:hAnsi="Arial" w:cs="Arial"/>
          <w:lang w:val="en-GB"/>
        </w:rPr>
        <w:t>adsorbate</w:t>
      </w:r>
      <w:proofErr w:type="spellEnd"/>
      <w:r w:rsidRPr="00801F94">
        <w:rPr>
          <w:rFonts w:ascii="Arial" w:hAnsi="Arial" w:cs="Arial"/>
          <w:lang w:val="en-GB"/>
        </w:rPr>
        <w:t xml:space="preserve"> reaches the active sites via diffusion. The present diffusion analysis suggests that while chemisorption governs the reaction rate, the transport of ampicillin to the adsorbent surface and into its pores are also significant factors affecting the overall adsorption speed. </w:t>
      </w:r>
      <w:r w:rsidRPr="00801F94">
        <w:rPr>
          <w:rFonts w:ascii="Arial" w:hAnsi="Arial" w:cs="Arial"/>
        </w:rPr>
        <w:t xml:space="preserve">The acid-modified rice husk possesses </w:t>
      </w:r>
      <w:proofErr w:type="spellStart"/>
      <w:r w:rsidRPr="00801F94">
        <w:rPr>
          <w:rFonts w:ascii="Arial" w:hAnsi="Arial" w:cs="Arial"/>
        </w:rPr>
        <w:t>favourable</w:t>
      </w:r>
      <w:proofErr w:type="spellEnd"/>
      <w:r w:rsidRPr="00801F94">
        <w:rPr>
          <w:rFonts w:ascii="Arial" w:hAnsi="Arial" w:cs="Arial"/>
        </w:rPr>
        <w:t xml:space="preserve"> diffusion pathways, thanks to its porous architecture. While external film diffusion initiates the adsorption process, internal diffusion dominates the rate over time, making this </w:t>
      </w:r>
      <w:proofErr w:type="spellStart"/>
      <w:r w:rsidRPr="00801F94">
        <w:rPr>
          <w:rFonts w:ascii="Arial" w:hAnsi="Arial" w:cs="Arial"/>
        </w:rPr>
        <w:t>biosorbent</w:t>
      </w:r>
      <w:proofErr w:type="spellEnd"/>
      <w:r w:rsidRPr="00801F94">
        <w:rPr>
          <w:rFonts w:ascii="Arial" w:hAnsi="Arial" w:cs="Arial"/>
        </w:rPr>
        <w:t xml:space="preserve"> effective for capturing ampicillin in real-world water treatment scenarios.</w:t>
      </w: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jc w:val="center"/>
        <w:rPr>
          <w:rFonts w:ascii="Arial" w:hAnsi="Arial" w:cs="Arial"/>
          <w:lang w:val="en-GB"/>
        </w:rPr>
      </w:pPr>
      <w:r w:rsidRPr="00801F94">
        <w:rPr>
          <w:rFonts w:ascii="Arial" w:hAnsi="Arial" w:cs="Arial"/>
          <w:noProof/>
        </w:rPr>
        <w:drawing>
          <wp:inline distT="0" distB="0" distL="0" distR="0" wp14:anchorId="287D46A2" wp14:editId="690B7536">
            <wp:extent cx="2520000" cy="1952625"/>
            <wp:effectExtent l="0" t="0" r="13970" b="9525"/>
            <wp:docPr id="40336452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801F94">
        <w:rPr>
          <w:rFonts w:ascii="Arial" w:hAnsi="Arial" w:cs="Arial"/>
          <w:noProof/>
        </w:rPr>
        <w:drawing>
          <wp:inline distT="0" distB="0" distL="0" distR="0" wp14:anchorId="779C99F1" wp14:editId="4DCAA005">
            <wp:extent cx="2628000" cy="1952625"/>
            <wp:effectExtent l="0" t="0" r="1270" b="9525"/>
            <wp:docPr id="572776317"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243E" w:rsidRPr="00801F94" w:rsidRDefault="00F4243E" w:rsidP="00F4243E">
      <w:pPr>
        <w:pStyle w:val="Body"/>
        <w:jc w:val="center"/>
        <w:rPr>
          <w:rFonts w:ascii="Arial" w:hAnsi="Arial" w:cs="Arial"/>
          <w:lang w:val="en-GB"/>
        </w:rPr>
      </w:pPr>
      <w:proofErr w:type="gramStart"/>
      <w:r w:rsidRPr="00801F94">
        <w:rPr>
          <w:rFonts w:ascii="Arial" w:hAnsi="Arial" w:cs="Arial"/>
          <w:lang w:val="en-GB"/>
        </w:rPr>
        <w:t>a</w:t>
      </w:r>
      <w:proofErr w:type="gramEnd"/>
      <w:r w:rsidRPr="00801F94">
        <w:rPr>
          <w:rFonts w:ascii="Arial" w:hAnsi="Arial" w:cs="Arial"/>
          <w:lang w:val="en-GB"/>
        </w:rPr>
        <w:tab/>
      </w:r>
      <w:r w:rsidRPr="00801F94">
        <w:rPr>
          <w:rFonts w:ascii="Arial" w:hAnsi="Arial" w:cs="Arial"/>
          <w:lang w:val="en-GB"/>
        </w:rPr>
        <w:tab/>
      </w:r>
      <w:r w:rsidRPr="00801F94">
        <w:rPr>
          <w:rFonts w:ascii="Arial" w:hAnsi="Arial" w:cs="Arial"/>
          <w:lang w:val="en-GB"/>
        </w:rPr>
        <w:tab/>
      </w:r>
      <w:r w:rsidRPr="00801F94">
        <w:rPr>
          <w:rFonts w:ascii="Arial" w:hAnsi="Arial" w:cs="Arial"/>
          <w:lang w:val="en-GB"/>
        </w:rPr>
        <w:tab/>
      </w:r>
      <w:r w:rsidRPr="00801F94">
        <w:rPr>
          <w:rFonts w:ascii="Arial" w:hAnsi="Arial" w:cs="Arial"/>
          <w:lang w:val="en-GB"/>
        </w:rPr>
        <w:tab/>
        <w:t>b</w:t>
      </w:r>
    </w:p>
    <w:p w:rsidR="00F4243E" w:rsidRPr="00801F94" w:rsidRDefault="00F4243E" w:rsidP="00F4243E">
      <w:pPr>
        <w:pStyle w:val="Body"/>
        <w:spacing w:after="0"/>
        <w:jc w:val="center"/>
        <w:rPr>
          <w:rFonts w:ascii="Arial" w:hAnsi="Arial" w:cs="Arial"/>
          <w:b/>
          <w:bCs/>
        </w:rPr>
      </w:pPr>
      <w:r w:rsidRPr="00801F94">
        <w:rPr>
          <w:rFonts w:ascii="Arial" w:hAnsi="Arial" w:cs="Arial"/>
          <w:b/>
          <w:bCs/>
        </w:rPr>
        <w:lastRenderedPageBreak/>
        <w:t xml:space="preserve">Fig 14: (a) Intra particle diffusion plot and (b) </w:t>
      </w:r>
      <w:proofErr w:type="spellStart"/>
      <w:r w:rsidRPr="00801F94">
        <w:rPr>
          <w:rFonts w:ascii="Arial" w:hAnsi="Arial" w:cs="Arial"/>
          <w:b/>
          <w:bCs/>
        </w:rPr>
        <w:t>Richenberg</w:t>
      </w:r>
      <w:proofErr w:type="spellEnd"/>
      <w:r w:rsidRPr="00801F94">
        <w:rPr>
          <w:rFonts w:ascii="Arial" w:hAnsi="Arial" w:cs="Arial"/>
          <w:b/>
          <w:bCs/>
        </w:rPr>
        <w:t xml:space="preserve"> model for adsorption of ampicillin onto ARH</w:t>
      </w:r>
    </w:p>
    <w:p w:rsidR="00F4243E" w:rsidRPr="00801F94" w:rsidRDefault="00F4243E" w:rsidP="00F4243E">
      <w:pPr>
        <w:pStyle w:val="Body"/>
        <w:spacing w:after="0"/>
        <w:rPr>
          <w:rFonts w:ascii="Arial" w:hAnsi="Arial" w:cs="Arial"/>
          <w:b/>
          <w:bCs/>
        </w:rPr>
      </w:pPr>
    </w:p>
    <w:p w:rsidR="00F4243E" w:rsidRPr="00801F94" w:rsidRDefault="00F4243E" w:rsidP="00F4243E">
      <w:pPr>
        <w:pStyle w:val="Body"/>
        <w:spacing w:after="0"/>
        <w:rPr>
          <w:rFonts w:ascii="Arial" w:hAnsi="Arial" w:cs="Arial"/>
        </w:rPr>
      </w:pPr>
    </w:p>
    <w:p w:rsidR="00F4243E" w:rsidRPr="00801F94" w:rsidRDefault="00F4243E" w:rsidP="00F4243E">
      <w:pPr>
        <w:pStyle w:val="Body"/>
        <w:spacing w:after="0"/>
        <w:jc w:val="center"/>
        <w:rPr>
          <w:rFonts w:ascii="Arial" w:hAnsi="Arial" w:cs="Arial"/>
        </w:rPr>
      </w:pPr>
      <w:r w:rsidRPr="00801F94">
        <w:rPr>
          <w:rFonts w:ascii="Arial" w:hAnsi="Arial" w:cs="Arial"/>
          <w:noProof/>
        </w:rPr>
        <w:drawing>
          <wp:inline distT="0" distB="0" distL="0" distR="0" wp14:anchorId="7169C830" wp14:editId="0231DA9E">
            <wp:extent cx="3076575" cy="1714500"/>
            <wp:effectExtent l="0" t="0" r="9525" b="0"/>
            <wp:docPr id="17672753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t="16277"/>
                    <a:stretch>
                      <a:fillRect/>
                    </a:stretch>
                  </pic:blipFill>
                  <pic:spPr bwMode="auto">
                    <a:xfrm>
                      <a:off x="0" y="0"/>
                      <a:ext cx="3076575" cy="1714500"/>
                    </a:xfrm>
                    <a:prstGeom prst="rect">
                      <a:avLst/>
                    </a:prstGeom>
                    <a:noFill/>
                    <a:ln>
                      <a:noFill/>
                    </a:ln>
                  </pic:spPr>
                </pic:pic>
              </a:graphicData>
            </a:graphic>
          </wp:inline>
        </w:drawing>
      </w:r>
    </w:p>
    <w:p w:rsidR="00F4243E" w:rsidRPr="00801F94" w:rsidRDefault="00F4243E" w:rsidP="00F4243E">
      <w:pPr>
        <w:pStyle w:val="Body"/>
        <w:spacing w:after="0"/>
        <w:jc w:val="center"/>
        <w:rPr>
          <w:rFonts w:ascii="Arial" w:hAnsi="Arial" w:cs="Arial"/>
          <w:b/>
          <w:bCs/>
        </w:rPr>
      </w:pPr>
      <w:r w:rsidRPr="00801F94">
        <w:rPr>
          <w:rFonts w:ascii="Arial" w:hAnsi="Arial" w:cs="Arial"/>
          <w:b/>
          <w:bCs/>
        </w:rPr>
        <w:t>Fig. 15: Diffusion modelling of Ampicillin removal using ARH</w:t>
      </w:r>
    </w:p>
    <w:p w:rsidR="00F4243E" w:rsidRPr="00801F94" w:rsidRDefault="00F4243E" w:rsidP="00F4243E">
      <w:pPr>
        <w:pStyle w:val="Body"/>
        <w:rPr>
          <w:rFonts w:ascii="Arial" w:hAnsi="Arial" w:cs="Arial"/>
          <w:lang w:val="en-GB"/>
        </w:rPr>
      </w:pPr>
    </w:p>
    <w:p w:rsidR="00F4243E" w:rsidRPr="00801F94" w:rsidRDefault="00F4243E" w:rsidP="00F4243E">
      <w:pPr>
        <w:pStyle w:val="Body"/>
        <w:spacing w:after="0"/>
        <w:rPr>
          <w:rFonts w:ascii="Arial" w:hAnsi="Arial" w:cs="Arial"/>
          <w:b/>
          <w:bCs/>
          <w:sz w:val="22"/>
          <w:szCs w:val="22"/>
        </w:rPr>
      </w:pPr>
      <w:r w:rsidRPr="00801F94">
        <w:rPr>
          <w:rFonts w:ascii="Arial" w:hAnsi="Arial" w:cs="Arial"/>
          <w:b/>
          <w:bCs/>
          <w:sz w:val="22"/>
          <w:szCs w:val="22"/>
        </w:rPr>
        <w:t>3.10 Thermodynamic</w:t>
      </w:r>
      <w:r w:rsidR="00EE0FBA" w:rsidRPr="00801F94">
        <w:rPr>
          <w:rFonts w:ascii="Arial" w:hAnsi="Arial" w:cs="Arial"/>
          <w:b/>
          <w:bCs/>
          <w:sz w:val="22"/>
          <w:szCs w:val="22"/>
        </w:rPr>
        <w:t>s</w:t>
      </w:r>
      <w:r w:rsidRPr="00801F94">
        <w:rPr>
          <w:rFonts w:ascii="Arial" w:hAnsi="Arial" w:cs="Arial"/>
          <w:b/>
          <w:bCs/>
          <w:sz w:val="22"/>
          <w:szCs w:val="22"/>
        </w:rPr>
        <w:t xml:space="preserve"> Analysi</w:t>
      </w:r>
      <w:r w:rsidR="009E13A4" w:rsidRPr="00801F94">
        <w:rPr>
          <w:rFonts w:ascii="Arial" w:hAnsi="Arial" w:cs="Arial"/>
          <w:b/>
          <w:bCs/>
          <w:sz w:val="22"/>
          <w:szCs w:val="22"/>
        </w:rPr>
        <w:t>s</w:t>
      </w:r>
    </w:p>
    <w:p w:rsidR="00F4243E" w:rsidRPr="00801F94" w:rsidRDefault="00F4243E" w:rsidP="00F4243E">
      <w:pPr>
        <w:pStyle w:val="Body"/>
        <w:spacing w:after="0"/>
        <w:rPr>
          <w:rFonts w:ascii="Arial" w:hAnsi="Arial" w:cs="Arial"/>
        </w:rPr>
      </w:pPr>
      <w:r w:rsidRPr="00801F94">
        <w:rPr>
          <w:rFonts w:ascii="Arial" w:hAnsi="Arial" w:cs="Arial"/>
        </w:rPr>
        <w:t xml:space="preserve">Thermodynamic parameters—namely Gibbs free energy change (ΔG°), enthalpy change (ΔH°), and entropy change (ΔS°) were calculated to assess the spontaneity, energy change, and degree of disorder involved in the adsorption of ampicillin onto acid-modified rice husk (ARH). These values, summarized in Table </w:t>
      </w:r>
      <w:proofErr w:type="gramStart"/>
      <w:r w:rsidR="00AA66AA" w:rsidRPr="00801F94">
        <w:rPr>
          <w:rFonts w:ascii="Arial" w:hAnsi="Arial" w:cs="Arial"/>
        </w:rPr>
        <w:t>7</w:t>
      </w:r>
      <w:r w:rsidRPr="00801F94">
        <w:rPr>
          <w:rFonts w:ascii="Arial" w:hAnsi="Arial" w:cs="Arial"/>
        </w:rPr>
        <w:t xml:space="preserve"> ,</w:t>
      </w:r>
      <w:proofErr w:type="gramEnd"/>
      <w:r w:rsidRPr="00801F94">
        <w:rPr>
          <w:rFonts w:ascii="Arial" w:hAnsi="Arial" w:cs="Arial"/>
        </w:rPr>
        <w:t xml:space="preserve"> provide crucial insights into the feasibility and mechanism of the adsorption process. The </w:t>
      </w:r>
      <w:proofErr w:type="spellStart"/>
      <w:r w:rsidRPr="00801F94">
        <w:rPr>
          <w:rFonts w:ascii="Arial" w:hAnsi="Arial" w:cs="Arial"/>
        </w:rPr>
        <w:t>Van’t</w:t>
      </w:r>
      <w:proofErr w:type="spellEnd"/>
      <w:r w:rsidRPr="00801F94">
        <w:rPr>
          <w:rFonts w:ascii="Arial" w:hAnsi="Arial" w:cs="Arial"/>
        </w:rPr>
        <w:t xml:space="preserve"> Hoff plot (Figure </w:t>
      </w:r>
      <w:proofErr w:type="gramStart"/>
      <w:r w:rsidRPr="00801F94">
        <w:rPr>
          <w:rFonts w:ascii="Arial" w:hAnsi="Arial" w:cs="Arial"/>
        </w:rPr>
        <w:t>16 )</w:t>
      </w:r>
      <w:proofErr w:type="gramEnd"/>
      <w:r w:rsidRPr="00801F94">
        <w:rPr>
          <w:rFonts w:ascii="Arial" w:hAnsi="Arial" w:cs="Arial"/>
        </w:rPr>
        <w:t xml:space="preserve">, which illustrates the relationship between ln Kc and 1/T, displays a linear trend, indicating that the assumptions of the </w:t>
      </w:r>
      <w:proofErr w:type="spellStart"/>
      <w:r w:rsidRPr="00801F94">
        <w:rPr>
          <w:rFonts w:ascii="Arial" w:hAnsi="Arial" w:cs="Arial"/>
        </w:rPr>
        <w:t>Van’t</w:t>
      </w:r>
      <w:proofErr w:type="spellEnd"/>
      <w:r w:rsidRPr="00801F94">
        <w:rPr>
          <w:rFonts w:ascii="Arial" w:hAnsi="Arial" w:cs="Arial"/>
        </w:rPr>
        <w:t xml:space="preserve"> Hoff equation hold true over the studied temperature range. The derived linearity suggests that ΔH° and ΔS° can be regarded as constant within this range. The correlation coefficient (R² = 0.8964) signifies a strong fit, meaning that approximately 89.64% of the variation in ln Kc is explained by its linear relationship with 1/T. This reinforces the suitability of the </w:t>
      </w:r>
      <w:proofErr w:type="spellStart"/>
      <w:r w:rsidRPr="00801F94">
        <w:rPr>
          <w:rFonts w:ascii="Arial" w:hAnsi="Arial" w:cs="Arial"/>
        </w:rPr>
        <w:t>Van’t</w:t>
      </w:r>
      <w:proofErr w:type="spellEnd"/>
      <w:r w:rsidRPr="00801F94">
        <w:rPr>
          <w:rFonts w:ascii="Arial" w:hAnsi="Arial" w:cs="Arial"/>
        </w:rPr>
        <w:t xml:space="preserve"> Hoff model for describing the temperature dependence of the adsorption process. All calculated ΔG° values are negative, confirming that the adsorption of ampicillin onto ARH is spontaneous at all tested temperatures</w:t>
      </w:r>
      <w:r w:rsidR="0054266F" w:rsidRPr="00801F94">
        <w:rPr>
          <w:rFonts w:ascii="Arial" w:hAnsi="Arial" w:cs="Arial"/>
        </w:rPr>
        <w:t xml:space="preserve">. </w:t>
      </w:r>
      <w:r w:rsidRPr="00801F94">
        <w:rPr>
          <w:rFonts w:ascii="Arial" w:hAnsi="Arial" w:cs="Arial"/>
        </w:rPr>
        <w:t xml:space="preserve">However, the values become progressively less negative as temperature increases, indicating that spontaneity decreases with rising temperature. This trend is characteristic of exothermic adsorption, where the process becomes less </w:t>
      </w:r>
      <w:proofErr w:type="spellStart"/>
      <w:r w:rsidRPr="00801F94">
        <w:rPr>
          <w:rFonts w:ascii="Arial" w:hAnsi="Arial" w:cs="Arial"/>
        </w:rPr>
        <w:t>favourable</w:t>
      </w:r>
      <w:proofErr w:type="spellEnd"/>
      <w:r w:rsidRPr="00801F94">
        <w:rPr>
          <w:rFonts w:ascii="Arial" w:hAnsi="Arial" w:cs="Arial"/>
        </w:rPr>
        <w:t xml:space="preserve"> at higher temperatures. The negative ΔH° further supports the exothermic nature of the process, implying that heat is released as ampicillin binds to the rice husk surface. Accordingly, as the temperature rises (i.e., 1/T decreases), the equilibrium constant (Kc) declines, leading to a reduction in adsorption capacity. </w:t>
      </w:r>
    </w:p>
    <w:p w:rsidR="00F4243E" w:rsidRPr="00801F94" w:rsidRDefault="00F4243E" w:rsidP="00F4243E">
      <w:pPr>
        <w:pStyle w:val="Body"/>
        <w:spacing w:after="0"/>
        <w:rPr>
          <w:rFonts w:ascii="Arial" w:hAnsi="Arial" w:cs="Arial"/>
        </w:rPr>
      </w:pPr>
      <w:r w:rsidRPr="00801F94">
        <w:rPr>
          <w:rFonts w:ascii="Arial" w:hAnsi="Arial" w:cs="Arial"/>
        </w:rPr>
        <w:t>Enthalpy ΔH° in the range of 0 to −20 kJ/</w:t>
      </w:r>
      <w:proofErr w:type="spellStart"/>
      <w:r w:rsidRPr="00801F94">
        <w:rPr>
          <w:rFonts w:ascii="Arial" w:hAnsi="Arial" w:cs="Arial"/>
        </w:rPr>
        <w:t>mol</w:t>
      </w:r>
      <w:proofErr w:type="spellEnd"/>
      <w:r w:rsidRPr="00801F94">
        <w:rPr>
          <w:rFonts w:ascii="Arial" w:hAnsi="Arial" w:cs="Arial"/>
        </w:rPr>
        <w:t xml:space="preserve"> indicates typically </w:t>
      </w:r>
      <w:proofErr w:type="spellStart"/>
      <w:r w:rsidRPr="00801F94">
        <w:rPr>
          <w:rFonts w:ascii="Arial" w:hAnsi="Arial" w:cs="Arial"/>
        </w:rPr>
        <w:t>physisorption</w:t>
      </w:r>
      <w:proofErr w:type="spellEnd"/>
      <w:r w:rsidRPr="00801F94">
        <w:rPr>
          <w:rFonts w:ascii="Arial" w:hAnsi="Arial" w:cs="Arial"/>
        </w:rPr>
        <w:t xml:space="preserve"> (physical adsorption), which involves weak van der Waals forces or hydrogen bonding; from −20 to −80</w:t>
      </w:r>
      <w:r w:rsidRPr="00801F94">
        <w:rPr>
          <w:rFonts w:ascii="Arial" w:hAnsi="Arial" w:cs="Arial"/>
          <w:b/>
          <w:bCs/>
        </w:rPr>
        <w:t xml:space="preserve"> </w:t>
      </w:r>
      <w:r w:rsidRPr="00801F94">
        <w:rPr>
          <w:rFonts w:ascii="Arial" w:hAnsi="Arial" w:cs="Arial"/>
        </w:rPr>
        <w:t>kJ/</w:t>
      </w:r>
      <w:proofErr w:type="spellStart"/>
      <w:r w:rsidRPr="00801F94">
        <w:rPr>
          <w:rFonts w:ascii="Arial" w:hAnsi="Arial" w:cs="Arial"/>
        </w:rPr>
        <w:t>mol</w:t>
      </w:r>
      <w:proofErr w:type="spellEnd"/>
      <w:r w:rsidRPr="00801F94">
        <w:rPr>
          <w:rFonts w:ascii="Arial" w:hAnsi="Arial" w:cs="Arial"/>
        </w:rPr>
        <w:t xml:space="preserve"> indicates stronger </w:t>
      </w:r>
      <w:proofErr w:type="spellStart"/>
      <w:r w:rsidRPr="00801F94">
        <w:rPr>
          <w:rFonts w:ascii="Arial" w:hAnsi="Arial" w:cs="Arial"/>
        </w:rPr>
        <w:t>physisorption</w:t>
      </w:r>
      <w:proofErr w:type="spellEnd"/>
      <w:r w:rsidRPr="00801F94">
        <w:rPr>
          <w:rFonts w:ascii="Arial" w:hAnsi="Arial" w:cs="Arial"/>
        </w:rPr>
        <w:t xml:space="preserve"> or weak chemisorption, depending on the system and values above −80 kJ/</w:t>
      </w:r>
      <w:proofErr w:type="spellStart"/>
      <w:r w:rsidRPr="00801F94">
        <w:rPr>
          <w:rFonts w:ascii="Arial" w:hAnsi="Arial" w:cs="Arial"/>
        </w:rPr>
        <w:t>mol</w:t>
      </w:r>
      <w:proofErr w:type="spellEnd"/>
      <w:r w:rsidRPr="00801F94">
        <w:rPr>
          <w:rFonts w:ascii="Arial" w:hAnsi="Arial" w:cs="Arial"/>
        </w:rPr>
        <w:t xml:space="preserve"> show characteristic of chemisorption, involving chemical bond formation. The magnitude of ΔH° –21 kJ/</w:t>
      </w:r>
      <w:proofErr w:type="spellStart"/>
      <w:r w:rsidRPr="00801F94">
        <w:rPr>
          <w:rFonts w:ascii="Arial" w:hAnsi="Arial" w:cs="Arial"/>
        </w:rPr>
        <w:t>mol</w:t>
      </w:r>
      <w:proofErr w:type="spellEnd"/>
      <w:r w:rsidRPr="00801F94">
        <w:rPr>
          <w:rFonts w:ascii="Arial" w:hAnsi="Arial" w:cs="Arial"/>
        </w:rPr>
        <w:t xml:space="preserve">, suggests that stronger </w:t>
      </w:r>
      <w:proofErr w:type="spellStart"/>
      <w:r w:rsidRPr="00801F94">
        <w:rPr>
          <w:rFonts w:ascii="Arial" w:hAnsi="Arial" w:cs="Arial"/>
        </w:rPr>
        <w:t>physisorption</w:t>
      </w:r>
      <w:proofErr w:type="spellEnd"/>
      <w:r w:rsidRPr="00801F94">
        <w:rPr>
          <w:rFonts w:ascii="Arial" w:hAnsi="Arial" w:cs="Arial"/>
        </w:rPr>
        <w:t xml:space="preserve"> is the dominant mechanism, potentially involving weak interactions such as hydrogen bonding or van der Waals forces.  Zhu et al.</w:t>
      </w:r>
      <w:r w:rsidR="00D650D0" w:rsidRPr="00801F94">
        <w:rPr>
          <w:rFonts w:ascii="Arial" w:hAnsi="Arial" w:cs="Arial"/>
        </w:rPr>
        <w:t xml:space="preserve">, </w:t>
      </w:r>
      <w:r w:rsidRPr="00801F94">
        <w:rPr>
          <w:rFonts w:ascii="Arial" w:hAnsi="Arial" w:cs="Arial"/>
        </w:rPr>
        <w:t>2010</w:t>
      </w:r>
      <w:r w:rsidR="00D650D0" w:rsidRPr="00801F94">
        <w:rPr>
          <w:rFonts w:ascii="Arial" w:hAnsi="Arial" w:cs="Arial"/>
        </w:rPr>
        <w:t>,</w:t>
      </w:r>
      <w:r w:rsidRPr="00801F94">
        <w:rPr>
          <w:rFonts w:ascii="Arial" w:hAnsi="Arial" w:cs="Arial"/>
        </w:rPr>
        <w:t xml:space="preserve"> reported ΔH° values between −10 and −30 kJ/</w:t>
      </w:r>
      <w:proofErr w:type="spellStart"/>
      <w:r w:rsidRPr="00801F94">
        <w:rPr>
          <w:rFonts w:ascii="Arial" w:hAnsi="Arial" w:cs="Arial"/>
        </w:rPr>
        <w:t>mol</w:t>
      </w:r>
      <w:proofErr w:type="spellEnd"/>
      <w:r w:rsidRPr="00801F94">
        <w:rPr>
          <w:rFonts w:ascii="Arial" w:hAnsi="Arial" w:cs="Arial"/>
        </w:rPr>
        <w:t xml:space="preserve"> for antibiotic adsorption onto activated carbon, classifying it as physical but strong adsorption while </w:t>
      </w:r>
      <w:r w:rsidR="0054266F" w:rsidRPr="00801F94">
        <w:rPr>
          <w:rFonts w:ascii="Arial" w:hAnsi="Arial" w:cs="Arial"/>
        </w:rPr>
        <w:t xml:space="preserve">Mei et.al, </w:t>
      </w:r>
      <w:r w:rsidRPr="00801F94">
        <w:rPr>
          <w:rFonts w:ascii="Arial" w:hAnsi="Arial" w:cs="Arial"/>
        </w:rPr>
        <w:t>Wang &amp; Li (2007) found similar ΔH° values (~−25 kJ/</w:t>
      </w:r>
      <w:proofErr w:type="spellStart"/>
      <w:r w:rsidRPr="00801F94">
        <w:rPr>
          <w:rFonts w:ascii="Arial" w:hAnsi="Arial" w:cs="Arial"/>
        </w:rPr>
        <w:t>mol</w:t>
      </w:r>
      <w:proofErr w:type="spellEnd"/>
      <w:r w:rsidRPr="00801F94">
        <w:rPr>
          <w:rFonts w:ascii="Arial" w:hAnsi="Arial" w:cs="Arial"/>
        </w:rPr>
        <w:t>) for adsorption of tetracycline on mesoporous silica, attributed to H-bonding and electrostatic interactions.</w:t>
      </w:r>
    </w:p>
    <w:p w:rsidR="00F4243E" w:rsidRPr="00801F94" w:rsidRDefault="00F4243E" w:rsidP="00F4243E">
      <w:pPr>
        <w:pStyle w:val="Body"/>
        <w:spacing w:after="0"/>
        <w:rPr>
          <w:rFonts w:ascii="Arial" w:hAnsi="Arial" w:cs="Arial"/>
        </w:rPr>
      </w:pPr>
      <w:r w:rsidRPr="00801F94">
        <w:rPr>
          <w:rFonts w:ascii="Arial" w:hAnsi="Arial" w:cs="Arial"/>
        </w:rPr>
        <w:t>Additionally, the negative entropy change (ΔS° = –0.05 kJ/</w:t>
      </w:r>
      <w:proofErr w:type="spellStart"/>
      <w:r w:rsidRPr="00801F94">
        <w:rPr>
          <w:rFonts w:ascii="Arial" w:hAnsi="Arial" w:cs="Arial"/>
        </w:rPr>
        <w:t>mol·K</w:t>
      </w:r>
      <w:proofErr w:type="spellEnd"/>
      <w:r w:rsidRPr="00801F94">
        <w:rPr>
          <w:rFonts w:ascii="Arial" w:hAnsi="Arial" w:cs="Arial"/>
        </w:rPr>
        <w:t xml:space="preserve">) indicates a decrease in randomness at the solid–liquid interface during adsorption. This reduction in disorder suggests that the adsorbed ampicillin molecules become more structured on the ARH surface, likely due to hydrogen bonding, electrostatic interactions, or confinement within pores. While some </w:t>
      </w:r>
      <w:r w:rsidRPr="00801F94">
        <w:rPr>
          <w:rFonts w:ascii="Arial" w:hAnsi="Arial" w:cs="Arial"/>
        </w:rPr>
        <w:lastRenderedPageBreak/>
        <w:t>water molecules may be displaced (increasing the entropy of the surrounding water), the net system entropy decreases as a result of molecular ordering on the adsorbent surface—a typical feature of adsorption processes. In summary, the thermodynamic analysis confirms that the adsorption of ampicillin onto acid-modified rice husk is a spontaneous, exothermic, and physically driven process, governed by weak intermolecular interactions and influenced by temperature.</w:t>
      </w:r>
    </w:p>
    <w:p w:rsidR="00F4243E" w:rsidRPr="00801F94" w:rsidRDefault="00F4243E" w:rsidP="00F4243E">
      <w:pPr>
        <w:pStyle w:val="Body"/>
        <w:spacing w:after="0"/>
        <w:rPr>
          <w:rFonts w:ascii="Arial" w:hAnsi="Arial" w:cs="Arial"/>
        </w:rPr>
      </w:pPr>
    </w:p>
    <w:p w:rsidR="00F4243E" w:rsidRPr="00801F94" w:rsidRDefault="00F4243E" w:rsidP="00F4243E">
      <w:pPr>
        <w:pStyle w:val="Body"/>
        <w:jc w:val="center"/>
        <w:rPr>
          <w:rFonts w:ascii="Arial" w:hAnsi="Arial" w:cs="Arial"/>
          <w:b/>
          <w:bCs/>
        </w:rPr>
      </w:pPr>
      <w:r w:rsidRPr="00801F94">
        <w:rPr>
          <w:rFonts w:ascii="Arial" w:hAnsi="Arial" w:cs="Arial"/>
          <w:b/>
          <w:bCs/>
        </w:rPr>
        <w:t xml:space="preserve">Table </w:t>
      </w:r>
      <w:r w:rsidR="0053350D" w:rsidRPr="00801F94">
        <w:rPr>
          <w:rFonts w:ascii="Arial" w:hAnsi="Arial" w:cs="Arial"/>
          <w:b/>
          <w:bCs/>
        </w:rPr>
        <w:t>7</w:t>
      </w:r>
      <w:r w:rsidRPr="00801F94">
        <w:rPr>
          <w:rFonts w:ascii="Arial" w:hAnsi="Arial" w:cs="Arial"/>
          <w:b/>
          <w:bCs/>
        </w:rPr>
        <w:t>: Thermodynamic parameters for adsorption of ampicillin</w:t>
      </w:r>
    </w:p>
    <w:tbl>
      <w:tblPr>
        <w:tblW w:w="0" w:type="auto"/>
        <w:jc w:val="center"/>
        <w:tblBorders>
          <w:top w:val="single" w:sz="4" w:space="0" w:color="auto"/>
          <w:bottom w:val="single" w:sz="4" w:space="0" w:color="auto"/>
        </w:tblBorders>
        <w:tblLook w:val="04A0" w:firstRow="1" w:lastRow="0" w:firstColumn="1" w:lastColumn="0" w:noHBand="0" w:noVBand="1"/>
      </w:tblPr>
      <w:tblGrid>
        <w:gridCol w:w="928"/>
        <w:gridCol w:w="1439"/>
        <w:gridCol w:w="661"/>
        <w:gridCol w:w="1272"/>
      </w:tblGrid>
      <w:tr w:rsidR="00F4243E" w:rsidRPr="00801F94" w:rsidTr="009C5EA9">
        <w:trPr>
          <w:trHeight w:hRule="exact" w:val="283"/>
          <w:jc w:val="center"/>
        </w:trPr>
        <w:tc>
          <w:tcPr>
            <w:tcW w:w="0" w:type="auto"/>
            <w:tcBorders>
              <w:top w:val="single" w:sz="4" w:space="0" w:color="auto"/>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ΔH</w:t>
            </w:r>
          </w:p>
          <w:p w:rsidR="00F4243E" w:rsidRPr="00801F94" w:rsidRDefault="00F4243E" w:rsidP="009C5EA9">
            <w:pPr>
              <w:pStyle w:val="Body"/>
              <w:spacing w:after="0"/>
              <w:jc w:val="center"/>
              <w:rPr>
                <w:rFonts w:ascii="Arial" w:hAnsi="Arial" w:cs="Arial"/>
              </w:rPr>
            </w:pPr>
            <w:r w:rsidRPr="00801F94">
              <w:rPr>
                <w:rFonts w:ascii="Arial" w:hAnsi="Arial" w:cs="Arial"/>
              </w:rPr>
              <w:t>(kJ/</w:t>
            </w:r>
            <w:proofErr w:type="spellStart"/>
            <w:r w:rsidRPr="00801F94">
              <w:rPr>
                <w:rFonts w:ascii="Arial" w:hAnsi="Arial" w:cs="Arial"/>
              </w:rPr>
              <w:t>mol</w:t>
            </w:r>
            <w:proofErr w:type="spellEnd"/>
            <w:r w:rsidRPr="00801F94">
              <w:rPr>
                <w:rFonts w:ascii="Arial" w:hAnsi="Arial" w:cs="Arial"/>
              </w:rPr>
              <w:t>)</w:t>
            </w:r>
          </w:p>
        </w:tc>
        <w:tc>
          <w:tcPr>
            <w:tcW w:w="0" w:type="auto"/>
            <w:tcBorders>
              <w:top w:val="single" w:sz="4" w:space="0" w:color="auto"/>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ΔS (kJ/</w:t>
            </w:r>
            <w:proofErr w:type="spellStart"/>
            <w:r w:rsidRPr="00801F94">
              <w:rPr>
                <w:rFonts w:ascii="Arial" w:hAnsi="Arial" w:cs="Arial"/>
              </w:rPr>
              <w:t>mol</w:t>
            </w:r>
            <w:proofErr w:type="spellEnd"/>
            <w:r w:rsidRPr="00801F94">
              <w:rPr>
                <w:rFonts w:ascii="Arial" w:hAnsi="Arial" w:cs="Arial"/>
              </w:rPr>
              <w:t>/K)</w:t>
            </w:r>
          </w:p>
        </w:tc>
        <w:tc>
          <w:tcPr>
            <w:tcW w:w="0" w:type="auto"/>
            <w:tcBorders>
              <w:top w:val="single" w:sz="4" w:space="0" w:color="auto"/>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T (K)</w:t>
            </w:r>
          </w:p>
        </w:tc>
        <w:tc>
          <w:tcPr>
            <w:tcW w:w="0" w:type="auto"/>
            <w:tcBorders>
              <w:top w:val="single" w:sz="4" w:space="0" w:color="auto"/>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ΔG (kJ/</w:t>
            </w:r>
            <w:proofErr w:type="spellStart"/>
            <w:r w:rsidRPr="00801F94">
              <w:rPr>
                <w:rFonts w:ascii="Arial" w:hAnsi="Arial" w:cs="Arial"/>
              </w:rPr>
              <w:t>mol</w:t>
            </w:r>
            <w:proofErr w:type="spellEnd"/>
            <w:r w:rsidRPr="00801F94">
              <w:rPr>
                <w:rFonts w:ascii="Arial" w:hAnsi="Arial" w:cs="Arial"/>
              </w:rPr>
              <w:t>)</w:t>
            </w:r>
          </w:p>
        </w:tc>
      </w:tr>
      <w:tr w:rsidR="00F4243E" w:rsidRPr="00801F94" w:rsidTr="009C5EA9">
        <w:trPr>
          <w:trHeight w:hRule="exact" w:val="283"/>
          <w:jc w:val="center"/>
        </w:trPr>
        <w:tc>
          <w:tcPr>
            <w:tcW w:w="0" w:type="auto"/>
            <w:vMerge w:val="restart"/>
            <w:tcBorders>
              <w:top w:val="single" w:sz="4" w:space="0" w:color="auto"/>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-21.17</w:t>
            </w:r>
          </w:p>
        </w:tc>
        <w:tc>
          <w:tcPr>
            <w:tcW w:w="0" w:type="auto"/>
            <w:vMerge w:val="restart"/>
            <w:tcBorders>
              <w:top w:val="single" w:sz="4" w:space="0" w:color="auto"/>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-0.05</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298</w:t>
            </w:r>
          </w:p>
        </w:tc>
        <w:tc>
          <w:tcPr>
            <w:tcW w:w="0" w:type="auto"/>
            <w:tcBorders>
              <w:top w:val="single" w:sz="4" w:space="0" w:color="auto"/>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-6.02</w:t>
            </w:r>
          </w:p>
        </w:tc>
      </w:tr>
      <w:tr w:rsidR="00F4243E" w:rsidRPr="00801F94"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313</w:t>
            </w:r>
          </w:p>
        </w:tc>
        <w:tc>
          <w:tcPr>
            <w:tcW w:w="0" w:type="auto"/>
            <w:tcBorders>
              <w:top w:val="nil"/>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-5.26</w:t>
            </w:r>
          </w:p>
        </w:tc>
      </w:tr>
      <w:tr w:rsidR="00F4243E" w:rsidRPr="00801F94"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338</w:t>
            </w:r>
          </w:p>
        </w:tc>
        <w:tc>
          <w:tcPr>
            <w:tcW w:w="0" w:type="auto"/>
            <w:tcBorders>
              <w:top w:val="nil"/>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-3.99</w:t>
            </w:r>
          </w:p>
        </w:tc>
      </w:tr>
      <w:tr w:rsidR="00F4243E" w:rsidRPr="00801F94"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tcBorders>
              <w:top w:val="nil"/>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363</w:t>
            </w:r>
          </w:p>
        </w:tc>
        <w:tc>
          <w:tcPr>
            <w:tcW w:w="0" w:type="auto"/>
            <w:tcBorders>
              <w:top w:val="nil"/>
              <w:left w:val="nil"/>
              <w:bottom w:val="nil"/>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-2.72</w:t>
            </w:r>
          </w:p>
        </w:tc>
      </w:tr>
      <w:tr w:rsidR="00F4243E" w:rsidRPr="00801F94" w:rsidTr="009C5EA9">
        <w:trPr>
          <w:trHeight w:hRule="exact" w:val="283"/>
          <w:jc w:val="center"/>
        </w:trPr>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vMerge/>
            <w:tcBorders>
              <w:top w:val="single" w:sz="4" w:space="0" w:color="auto"/>
              <w:left w:val="nil"/>
              <w:bottom w:val="single" w:sz="4" w:space="0" w:color="auto"/>
              <w:right w:val="nil"/>
            </w:tcBorders>
            <w:vAlign w:val="center"/>
            <w:hideMark/>
          </w:tcPr>
          <w:p w:rsidR="00F4243E" w:rsidRPr="00801F94" w:rsidRDefault="00F4243E" w:rsidP="009C5EA9">
            <w:pPr>
              <w:pStyle w:val="Body"/>
              <w:jc w:val="center"/>
              <w:rPr>
                <w:rFonts w:ascii="Arial" w:hAnsi="Arial" w:cs="Arial"/>
              </w:rPr>
            </w:pP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378</w:t>
            </w:r>
          </w:p>
        </w:tc>
        <w:tc>
          <w:tcPr>
            <w:tcW w:w="0" w:type="auto"/>
            <w:tcBorders>
              <w:top w:val="nil"/>
              <w:left w:val="nil"/>
              <w:bottom w:val="single" w:sz="4" w:space="0" w:color="auto"/>
              <w:right w:val="nil"/>
            </w:tcBorders>
            <w:noWrap/>
            <w:vAlign w:val="center"/>
            <w:hideMark/>
          </w:tcPr>
          <w:p w:rsidR="00F4243E" w:rsidRPr="00801F94" w:rsidRDefault="00F4243E" w:rsidP="009C5EA9">
            <w:pPr>
              <w:pStyle w:val="Body"/>
              <w:spacing w:after="0"/>
              <w:jc w:val="center"/>
              <w:rPr>
                <w:rFonts w:ascii="Arial" w:hAnsi="Arial" w:cs="Arial"/>
              </w:rPr>
            </w:pPr>
            <w:r w:rsidRPr="00801F94">
              <w:rPr>
                <w:rFonts w:ascii="Arial" w:hAnsi="Arial" w:cs="Arial"/>
              </w:rPr>
              <w:t>-1.96</w:t>
            </w:r>
          </w:p>
        </w:tc>
      </w:tr>
    </w:tbl>
    <w:p w:rsidR="00F4243E" w:rsidRPr="00801F94" w:rsidRDefault="00F4243E" w:rsidP="00F4243E">
      <w:pPr>
        <w:pStyle w:val="Body"/>
        <w:spacing w:after="0"/>
        <w:jc w:val="center"/>
        <w:rPr>
          <w:rFonts w:ascii="Arial" w:hAnsi="Arial" w:cs="Arial"/>
          <w:lang w:val="en-GB"/>
        </w:rPr>
      </w:pPr>
    </w:p>
    <w:p w:rsidR="00F4243E" w:rsidRPr="00801F94" w:rsidRDefault="00F4243E" w:rsidP="00F4243E">
      <w:pPr>
        <w:pStyle w:val="Body"/>
        <w:spacing w:after="0"/>
        <w:jc w:val="center"/>
        <w:rPr>
          <w:rFonts w:ascii="Arial" w:hAnsi="Arial" w:cs="Arial"/>
        </w:rPr>
      </w:pPr>
      <w:r w:rsidRPr="00801F94">
        <w:rPr>
          <w:rFonts w:ascii="Arial" w:hAnsi="Arial" w:cs="Arial"/>
          <w:noProof/>
        </w:rPr>
        <w:drawing>
          <wp:inline distT="0" distB="0" distL="0" distR="0" wp14:anchorId="4D9C9891" wp14:editId="0B95E339">
            <wp:extent cx="2886075" cy="1809750"/>
            <wp:effectExtent l="0" t="0" r="9525" b="0"/>
            <wp:docPr id="159519808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4243E" w:rsidRPr="00801F94" w:rsidRDefault="00F4243E" w:rsidP="00F4243E">
      <w:pPr>
        <w:pStyle w:val="Body"/>
        <w:spacing w:after="0"/>
        <w:jc w:val="center"/>
        <w:rPr>
          <w:rFonts w:ascii="Arial" w:hAnsi="Arial" w:cs="Arial"/>
        </w:rPr>
      </w:pPr>
    </w:p>
    <w:p w:rsidR="00F4243E" w:rsidRPr="00801F94" w:rsidRDefault="00F4243E" w:rsidP="00F4243E">
      <w:pPr>
        <w:pStyle w:val="Body"/>
        <w:spacing w:after="0"/>
        <w:jc w:val="center"/>
        <w:rPr>
          <w:rFonts w:ascii="Arial" w:hAnsi="Arial" w:cs="Arial"/>
          <w:b/>
          <w:bCs/>
        </w:rPr>
      </w:pPr>
      <w:r w:rsidRPr="00801F94">
        <w:rPr>
          <w:rFonts w:ascii="Arial" w:hAnsi="Arial" w:cs="Arial"/>
          <w:b/>
          <w:bCs/>
        </w:rPr>
        <w:t>Fig 16: Thermodynamics plot for adsorption of ampicillin</w:t>
      </w:r>
    </w:p>
    <w:p w:rsidR="00DC6501" w:rsidRPr="00801F94" w:rsidRDefault="00DC6501" w:rsidP="00F4243E">
      <w:pPr>
        <w:pStyle w:val="Body"/>
        <w:spacing w:after="0"/>
        <w:jc w:val="center"/>
        <w:rPr>
          <w:rFonts w:ascii="Arial" w:hAnsi="Arial" w:cs="Arial"/>
          <w:b/>
          <w:bCs/>
        </w:rPr>
      </w:pPr>
    </w:p>
    <w:p w:rsidR="00DC6501" w:rsidRPr="00801F94" w:rsidRDefault="00DC6501" w:rsidP="00F4243E">
      <w:pPr>
        <w:pStyle w:val="Body"/>
        <w:spacing w:after="0"/>
        <w:jc w:val="center"/>
        <w:rPr>
          <w:rFonts w:ascii="Arial" w:hAnsi="Arial" w:cs="Arial"/>
          <w:b/>
          <w:bCs/>
        </w:rPr>
      </w:pPr>
    </w:p>
    <w:p w:rsidR="001832D9" w:rsidRPr="00801F94" w:rsidRDefault="001832D9" w:rsidP="001832D9">
      <w:pPr>
        <w:pStyle w:val="Body"/>
        <w:spacing w:after="0"/>
        <w:rPr>
          <w:rFonts w:ascii="Arial" w:hAnsi="Arial" w:cs="Arial"/>
          <w:b/>
          <w:bCs/>
        </w:rPr>
      </w:pPr>
      <w:r w:rsidRPr="00801F94">
        <w:rPr>
          <w:rFonts w:ascii="Arial" w:hAnsi="Arial" w:cs="Arial"/>
          <w:b/>
          <w:bCs/>
        </w:rPr>
        <w:t>3.3.1. Comparison of Adsorption Performance with Related Studies</w:t>
      </w:r>
    </w:p>
    <w:p w:rsidR="00DC6501" w:rsidRPr="00801F94" w:rsidRDefault="00DC6501" w:rsidP="00DC6501">
      <w:pPr>
        <w:pStyle w:val="Body"/>
        <w:spacing w:after="0"/>
        <w:rPr>
          <w:rFonts w:ascii="Arial" w:hAnsi="Arial" w:cs="Arial"/>
        </w:rPr>
      </w:pPr>
      <w:r w:rsidRPr="00801F94">
        <w:rPr>
          <w:rFonts w:ascii="Arial" w:hAnsi="Arial" w:cs="Arial"/>
        </w:rPr>
        <w:t xml:space="preserve">The adsorption performance of acid-modified rice husk (ARH) obtained in this study compares favorably with previously reported adsorbents derived from agricultural wastes. The maximum removal efficiency of approximately 94.99% observed for ampicillin is within the upper range of values reported for similar biomass-based adsorbents. For instance, rice husk ash has been reported to achieve high removal efficiency for </w:t>
      </w:r>
      <w:proofErr w:type="spellStart"/>
      <w:r w:rsidRPr="00801F94">
        <w:rPr>
          <w:rFonts w:ascii="Arial" w:hAnsi="Arial" w:cs="Arial"/>
        </w:rPr>
        <w:t>ofloxacin</w:t>
      </w:r>
      <w:proofErr w:type="spellEnd"/>
      <w:r w:rsidRPr="00801F94">
        <w:rPr>
          <w:rFonts w:ascii="Arial" w:hAnsi="Arial" w:cs="Arial"/>
        </w:rPr>
        <w:t xml:space="preserve"> under optimized conditions, while </w:t>
      </w:r>
      <w:proofErr w:type="spellStart"/>
      <w:r w:rsidRPr="00801F94">
        <w:rPr>
          <w:rFonts w:ascii="Arial" w:hAnsi="Arial" w:cs="Arial"/>
        </w:rPr>
        <w:t>NaOH</w:t>
      </w:r>
      <w:proofErr w:type="spellEnd"/>
      <w:r w:rsidRPr="00801F94">
        <w:rPr>
          <w:rFonts w:ascii="Arial" w:hAnsi="Arial" w:cs="Arial"/>
        </w:rPr>
        <w:t>-treated rice husk activated carbons have demonstrated removal efficiencies of up to 95% for pharmaceutical contaminants.</w:t>
      </w:r>
    </w:p>
    <w:p w:rsidR="001832D9" w:rsidRPr="00801F94" w:rsidRDefault="001832D9" w:rsidP="00DC6501">
      <w:pPr>
        <w:pStyle w:val="Body"/>
        <w:spacing w:after="0"/>
        <w:rPr>
          <w:rFonts w:ascii="Arial" w:hAnsi="Arial" w:cs="Arial"/>
        </w:rPr>
      </w:pPr>
    </w:p>
    <w:p w:rsidR="00DC6501" w:rsidRPr="00801F94" w:rsidRDefault="00DC6501" w:rsidP="00DC6501">
      <w:pPr>
        <w:pStyle w:val="Body"/>
        <w:spacing w:after="0"/>
        <w:rPr>
          <w:rFonts w:ascii="Arial" w:hAnsi="Arial" w:cs="Arial"/>
          <w:b/>
          <w:bCs/>
        </w:rPr>
      </w:pPr>
      <w:r w:rsidRPr="00801F94">
        <w:rPr>
          <w:rFonts w:ascii="Arial" w:hAnsi="Arial" w:cs="Arial"/>
          <w:b/>
          <w:bCs/>
        </w:rPr>
        <w:t xml:space="preserve">Table </w:t>
      </w:r>
      <w:r w:rsidR="001832D9" w:rsidRPr="00801F94">
        <w:rPr>
          <w:rFonts w:ascii="Arial" w:hAnsi="Arial" w:cs="Arial"/>
          <w:b/>
          <w:bCs/>
        </w:rPr>
        <w:t>8</w:t>
      </w:r>
      <w:r w:rsidRPr="00801F94">
        <w:rPr>
          <w:rFonts w:ascii="Arial" w:hAnsi="Arial" w:cs="Arial"/>
          <w:b/>
          <w:bCs/>
        </w:rPr>
        <w:t>: Comparison of Adsorption Performance with Related Studies</w:t>
      </w:r>
    </w:p>
    <w:tbl>
      <w:tblPr>
        <w:tblStyle w:val="ListTable2"/>
        <w:tblW w:w="0" w:type="auto"/>
        <w:tblInd w:w="-993" w:type="dxa"/>
        <w:shd w:val="clear" w:color="auto" w:fill="FFFFFF" w:themeFill="background1"/>
        <w:tblLook w:val="04A0" w:firstRow="1" w:lastRow="0" w:firstColumn="1" w:lastColumn="0" w:noHBand="0" w:noVBand="1"/>
      </w:tblPr>
      <w:tblGrid>
        <w:gridCol w:w="1761"/>
        <w:gridCol w:w="1695"/>
        <w:gridCol w:w="1283"/>
        <w:gridCol w:w="1328"/>
        <w:gridCol w:w="1939"/>
        <w:gridCol w:w="1195"/>
      </w:tblGrid>
      <w:tr w:rsidR="001832D9" w:rsidRPr="00801F94" w:rsidTr="0018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r w:rsidRPr="00801F94">
              <w:rPr>
                <w:rFonts w:ascii="Arial" w:hAnsi="Arial" w:cs="Arial"/>
              </w:rPr>
              <w:t>Adsorbent</w:t>
            </w:r>
          </w:p>
        </w:tc>
        <w:tc>
          <w:tcPr>
            <w:tcW w:w="0" w:type="auto"/>
            <w:shd w:val="clear" w:color="auto" w:fill="FFFFFF" w:themeFill="background1"/>
            <w:hideMark/>
          </w:tcPr>
          <w:p w:rsidR="001832D9" w:rsidRPr="00801F94" w:rsidRDefault="001832D9" w:rsidP="001A2925">
            <w:pPr>
              <w:spacing w:after="1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Target Pollutant</w:t>
            </w:r>
          </w:p>
        </w:tc>
        <w:tc>
          <w:tcPr>
            <w:tcW w:w="0" w:type="auto"/>
            <w:shd w:val="clear" w:color="auto" w:fill="FFFFFF" w:themeFill="background1"/>
            <w:hideMark/>
          </w:tcPr>
          <w:p w:rsidR="001832D9" w:rsidRPr="00801F94" w:rsidRDefault="001832D9" w:rsidP="001A2925">
            <w:pPr>
              <w:spacing w:after="1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 xml:space="preserve">Adsorption Capacity </w:t>
            </w:r>
          </w:p>
        </w:tc>
        <w:tc>
          <w:tcPr>
            <w:tcW w:w="0" w:type="auto"/>
            <w:shd w:val="clear" w:color="auto" w:fill="FFFFFF" w:themeFill="background1"/>
            <w:hideMark/>
          </w:tcPr>
          <w:p w:rsidR="001832D9" w:rsidRPr="00801F94" w:rsidRDefault="001832D9" w:rsidP="001A2925">
            <w:pPr>
              <w:spacing w:after="1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Key Conditions</w:t>
            </w:r>
          </w:p>
        </w:tc>
        <w:tc>
          <w:tcPr>
            <w:tcW w:w="0" w:type="auto"/>
            <w:shd w:val="clear" w:color="auto" w:fill="FFFFFF" w:themeFill="background1"/>
            <w:hideMark/>
          </w:tcPr>
          <w:p w:rsidR="001832D9" w:rsidRPr="00801F94" w:rsidRDefault="001832D9" w:rsidP="001A2925">
            <w:pPr>
              <w:spacing w:after="1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Model/Mechanism</w:t>
            </w:r>
          </w:p>
        </w:tc>
        <w:tc>
          <w:tcPr>
            <w:tcW w:w="0" w:type="auto"/>
            <w:shd w:val="clear" w:color="auto" w:fill="FFFFFF" w:themeFill="background1"/>
            <w:hideMark/>
          </w:tcPr>
          <w:p w:rsidR="001832D9" w:rsidRPr="00801F94" w:rsidRDefault="001832D9" w:rsidP="001A2925">
            <w:pPr>
              <w:spacing w:after="16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Reference</w:t>
            </w:r>
          </w:p>
        </w:tc>
      </w:tr>
      <w:tr w:rsidR="001832D9" w:rsidRPr="00801F94" w:rsidTr="00183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r w:rsidRPr="00801F94">
              <w:rPr>
                <w:rFonts w:ascii="Arial" w:hAnsi="Arial" w:cs="Arial"/>
              </w:rPr>
              <w:t>Acid-modified rice husk (ARH)</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Ampicillin</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b/>
                <w:bCs/>
              </w:rPr>
              <w:t xml:space="preserve">94.99% </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 xml:space="preserve">Dose ≈ 1.0 g/L; </w:t>
            </w:r>
            <w:proofErr w:type="spellStart"/>
            <w:r w:rsidRPr="00801F94">
              <w:rPr>
                <w:rFonts w:ascii="Arial" w:hAnsi="Arial" w:cs="Arial"/>
              </w:rPr>
              <w:t>Conc</w:t>
            </w:r>
            <w:proofErr w:type="spellEnd"/>
            <w:r w:rsidRPr="00801F94">
              <w:rPr>
                <w:rFonts w:ascii="Arial" w:hAnsi="Arial" w:cs="Arial"/>
              </w:rPr>
              <w:t xml:space="preserve"> ≈ 4.47 mg/L; time ≈ 180 min</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Pseudo-second-order; chemisorption; multilayer interactions</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b/>
                <w:bCs/>
              </w:rPr>
              <w:t>This study</w:t>
            </w:r>
          </w:p>
        </w:tc>
      </w:tr>
      <w:tr w:rsidR="001832D9" w:rsidRPr="00801F94" w:rsidTr="001832D9">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r w:rsidRPr="00801F94">
              <w:rPr>
                <w:rFonts w:ascii="Arial" w:hAnsi="Arial" w:cs="Arial"/>
              </w:rPr>
              <w:lastRenderedPageBreak/>
              <w:t>Rice husk ash</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801F94">
              <w:rPr>
                <w:rFonts w:ascii="Arial" w:hAnsi="Arial" w:cs="Arial"/>
              </w:rPr>
              <w:t>Ofloxacin</w:t>
            </w:r>
            <w:proofErr w:type="spellEnd"/>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 xml:space="preserve"> &gt;85%</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pH-dependent; moderate dosage</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Pseudo-second-order; diffusion-controlled</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Kaur et al.</w:t>
            </w:r>
            <w:r w:rsidR="00D650D0" w:rsidRPr="00801F94">
              <w:rPr>
                <w:rFonts w:ascii="Arial" w:hAnsi="Arial" w:cs="Arial"/>
              </w:rPr>
              <w:t>,</w:t>
            </w:r>
            <w:r w:rsidRPr="00801F94">
              <w:rPr>
                <w:rFonts w:ascii="Arial" w:hAnsi="Arial" w:cs="Arial"/>
              </w:rPr>
              <w:t xml:space="preserve"> 2021 </w:t>
            </w:r>
          </w:p>
        </w:tc>
      </w:tr>
      <w:tr w:rsidR="001832D9" w:rsidRPr="00801F94" w:rsidTr="00183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proofErr w:type="spellStart"/>
            <w:r w:rsidRPr="00801F94">
              <w:rPr>
                <w:rFonts w:ascii="Arial" w:hAnsi="Arial" w:cs="Arial"/>
              </w:rPr>
              <w:t>NaOH</w:t>
            </w:r>
            <w:proofErr w:type="spellEnd"/>
            <w:r w:rsidRPr="00801F94">
              <w:rPr>
                <w:rFonts w:ascii="Arial" w:hAnsi="Arial" w:cs="Arial"/>
              </w:rPr>
              <w:t>-treated rice husk activated carbon</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Pharmaceuticals</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~80–95% removal</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Alkaline activation; high surface area</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Langmuir, pseudo-second-order</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Romero-Hernandez et al.</w:t>
            </w:r>
            <w:r w:rsidR="00D650D0" w:rsidRPr="00801F94">
              <w:rPr>
                <w:rFonts w:ascii="Arial" w:hAnsi="Arial" w:cs="Arial"/>
              </w:rPr>
              <w:t>,</w:t>
            </w:r>
            <w:r w:rsidRPr="00801F94">
              <w:rPr>
                <w:rFonts w:ascii="Arial" w:hAnsi="Arial" w:cs="Arial"/>
              </w:rPr>
              <w:t xml:space="preserve"> 2024 </w:t>
            </w:r>
          </w:p>
        </w:tc>
      </w:tr>
      <w:tr w:rsidR="001832D9" w:rsidRPr="00801F94" w:rsidTr="001832D9">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r w:rsidRPr="00801F94">
              <w:rPr>
                <w:rFonts w:ascii="Arial" w:hAnsi="Arial" w:cs="Arial"/>
              </w:rPr>
              <w:t>Activated carbon from rice husk</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Azo dye (methyl orange)</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 xml:space="preserve"> &gt;90%</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Acid/thermal activation</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Langmuir isotherm</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801F94">
              <w:rPr>
                <w:rFonts w:ascii="Arial" w:hAnsi="Arial" w:cs="Arial"/>
              </w:rPr>
              <w:t>Nwadibia</w:t>
            </w:r>
            <w:proofErr w:type="spellEnd"/>
            <w:r w:rsidRPr="00801F94">
              <w:rPr>
                <w:rFonts w:ascii="Arial" w:hAnsi="Arial" w:cs="Arial"/>
              </w:rPr>
              <w:t xml:space="preserve"> et al.</w:t>
            </w:r>
            <w:r w:rsidR="00D650D0" w:rsidRPr="00801F94">
              <w:rPr>
                <w:rFonts w:ascii="Arial" w:hAnsi="Arial" w:cs="Arial"/>
              </w:rPr>
              <w:t>,</w:t>
            </w:r>
            <w:r w:rsidRPr="00801F94">
              <w:rPr>
                <w:rFonts w:ascii="Arial" w:hAnsi="Arial" w:cs="Arial"/>
              </w:rPr>
              <w:t xml:space="preserve"> 2025 </w:t>
            </w:r>
          </w:p>
        </w:tc>
      </w:tr>
      <w:tr w:rsidR="001832D9" w:rsidRPr="00801F94" w:rsidTr="00183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r w:rsidRPr="00801F94">
              <w:rPr>
                <w:rFonts w:ascii="Arial" w:hAnsi="Arial" w:cs="Arial"/>
              </w:rPr>
              <w:t xml:space="preserve">Natural </w:t>
            </w:r>
            <w:proofErr w:type="spellStart"/>
            <w:r w:rsidRPr="00801F94">
              <w:rPr>
                <w:rFonts w:ascii="Arial" w:hAnsi="Arial" w:cs="Arial"/>
              </w:rPr>
              <w:t>nano</w:t>
            </w:r>
            <w:proofErr w:type="spellEnd"/>
            <w:r w:rsidRPr="00801F94">
              <w:rPr>
                <w:rFonts w:ascii="Arial" w:hAnsi="Arial" w:cs="Arial"/>
              </w:rPr>
              <w:t>-mineral adsorbent</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Methyl orange</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 xml:space="preserve">Efficient adsorption </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Morphology-controlled</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Surface adsorption + electrostatic</w:t>
            </w:r>
          </w:p>
        </w:tc>
        <w:tc>
          <w:tcPr>
            <w:tcW w:w="0" w:type="auto"/>
            <w:shd w:val="clear" w:color="auto" w:fill="FFFFFF" w:themeFill="background1"/>
            <w:hideMark/>
          </w:tcPr>
          <w:p w:rsidR="001832D9" w:rsidRPr="00801F94" w:rsidRDefault="001832D9" w:rsidP="001A2925">
            <w:pPr>
              <w:spacing w:after="1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F94">
              <w:rPr>
                <w:rFonts w:ascii="Arial" w:hAnsi="Arial" w:cs="Arial"/>
              </w:rPr>
              <w:t xml:space="preserve">Wu et al. 2021 </w:t>
            </w:r>
          </w:p>
        </w:tc>
      </w:tr>
      <w:tr w:rsidR="001832D9" w:rsidRPr="00801F94" w:rsidTr="001832D9">
        <w:tc>
          <w:tcPr>
            <w:cnfStyle w:val="001000000000" w:firstRow="0" w:lastRow="0" w:firstColumn="1" w:lastColumn="0" w:oddVBand="0" w:evenVBand="0" w:oddHBand="0" w:evenHBand="0" w:firstRowFirstColumn="0" w:firstRowLastColumn="0" w:lastRowFirstColumn="0" w:lastRowLastColumn="0"/>
            <w:tcW w:w="2220" w:type="dxa"/>
            <w:shd w:val="clear" w:color="auto" w:fill="FFFFFF" w:themeFill="background1"/>
            <w:hideMark/>
          </w:tcPr>
          <w:p w:rsidR="001832D9" w:rsidRPr="00801F94" w:rsidRDefault="001832D9" w:rsidP="001A2925">
            <w:pPr>
              <w:spacing w:after="160"/>
              <w:contextualSpacing/>
              <w:rPr>
                <w:rFonts w:ascii="Arial" w:hAnsi="Arial" w:cs="Arial"/>
              </w:rPr>
            </w:pPr>
            <w:r w:rsidRPr="00801F94">
              <w:rPr>
                <w:rFonts w:ascii="Arial" w:hAnsi="Arial" w:cs="Arial"/>
              </w:rPr>
              <w:t>Modified agricultural waste adsorbents</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Antibiotics</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70–95% removal (varies)</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Surface modification improves efficiency</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F94">
              <w:rPr>
                <w:rFonts w:ascii="Arial" w:hAnsi="Arial" w:cs="Arial"/>
              </w:rPr>
              <w:t>Chemisorption dominant</w:t>
            </w:r>
          </w:p>
        </w:tc>
        <w:tc>
          <w:tcPr>
            <w:tcW w:w="0" w:type="auto"/>
            <w:shd w:val="clear" w:color="auto" w:fill="FFFFFF" w:themeFill="background1"/>
            <w:hideMark/>
          </w:tcPr>
          <w:p w:rsidR="001832D9" w:rsidRPr="00801F94" w:rsidRDefault="001832D9" w:rsidP="001A2925">
            <w:pPr>
              <w:spacing w:after="16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801F94">
              <w:rPr>
                <w:rFonts w:ascii="Arial" w:hAnsi="Arial" w:cs="Arial"/>
              </w:rPr>
              <w:t>Iwuozor</w:t>
            </w:r>
            <w:proofErr w:type="spellEnd"/>
            <w:r w:rsidRPr="00801F94">
              <w:rPr>
                <w:rFonts w:ascii="Arial" w:hAnsi="Arial" w:cs="Arial"/>
              </w:rPr>
              <w:t xml:space="preserve"> et al.</w:t>
            </w:r>
            <w:r w:rsidR="00D650D0" w:rsidRPr="00801F94">
              <w:rPr>
                <w:rFonts w:ascii="Arial" w:hAnsi="Arial" w:cs="Arial"/>
              </w:rPr>
              <w:t>,</w:t>
            </w:r>
            <w:r w:rsidRPr="00801F94">
              <w:rPr>
                <w:rFonts w:ascii="Arial" w:hAnsi="Arial" w:cs="Arial"/>
              </w:rPr>
              <w:t xml:space="preserve"> 2021 </w:t>
            </w:r>
          </w:p>
        </w:tc>
      </w:tr>
    </w:tbl>
    <w:p w:rsidR="001832D9" w:rsidRPr="00801F94" w:rsidRDefault="001832D9" w:rsidP="00DC6501">
      <w:pPr>
        <w:pStyle w:val="Body"/>
        <w:spacing w:after="0"/>
        <w:rPr>
          <w:rFonts w:ascii="Arial" w:hAnsi="Arial" w:cs="Arial"/>
        </w:rPr>
      </w:pPr>
    </w:p>
    <w:p w:rsidR="00806F64" w:rsidRPr="00801F94" w:rsidRDefault="00806F64" w:rsidP="007940B7">
      <w:pPr>
        <w:pStyle w:val="Body"/>
        <w:ind w:left="720"/>
        <w:rPr>
          <w:rFonts w:ascii="Arial" w:hAnsi="Arial" w:cs="Arial"/>
        </w:rPr>
      </w:pPr>
    </w:p>
    <w:p w:rsidR="007940B7" w:rsidRPr="00801F94" w:rsidRDefault="00806434" w:rsidP="00806434">
      <w:pPr>
        <w:pStyle w:val="Body"/>
        <w:rPr>
          <w:rFonts w:ascii="Arial" w:hAnsi="Arial" w:cs="Arial"/>
          <w:b/>
          <w:bCs/>
          <w:sz w:val="22"/>
          <w:szCs w:val="22"/>
        </w:rPr>
      </w:pPr>
      <w:r w:rsidRPr="00801F94">
        <w:rPr>
          <w:rFonts w:ascii="Arial" w:hAnsi="Arial" w:cs="Arial"/>
          <w:b/>
          <w:bCs/>
          <w:sz w:val="22"/>
          <w:szCs w:val="22"/>
        </w:rPr>
        <w:t>3.1</w:t>
      </w:r>
      <w:r w:rsidR="001832D9" w:rsidRPr="00801F94">
        <w:rPr>
          <w:rFonts w:ascii="Arial" w:hAnsi="Arial" w:cs="Arial"/>
          <w:b/>
          <w:bCs/>
          <w:sz w:val="22"/>
          <w:szCs w:val="22"/>
        </w:rPr>
        <w:t>.2</w:t>
      </w:r>
      <w:r w:rsidRPr="00801F94">
        <w:rPr>
          <w:rFonts w:ascii="Arial" w:hAnsi="Arial" w:cs="Arial"/>
          <w:b/>
          <w:bCs/>
          <w:sz w:val="22"/>
          <w:szCs w:val="22"/>
        </w:rPr>
        <w:t xml:space="preserve"> Research Highlights</w:t>
      </w:r>
    </w:p>
    <w:p w:rsidR="00D8451B" w:rsidRPr="00801F94" w:rsidRDefault="00D8451B" w:rsidP="000431D2">
      <w:pPr>
        <w:pStyle w:val="Body"/>
        <w:numPr>
          <w:ilvl w:val="0"/>
          <w:numId w:val="36"/>
        </w:numPr>
        <w:spacing w:after="0"/>
        <w:rPr>
          <w:rFonts w:ascii="Arial" w:hAnsi="Arial" w:cs="Arial"/>
        </w:rPr>
      </w:pPr>
      <w:r w:rsidRPr="00801F94">
        <w:rPr>
          <w:rFonts w:ascii="Arial" w:hAnsi="Arial" w:cs="Arial"/>
        </w:rPr>
        <w:t xml:space="preserve">Acid-modified rice husk (ARH) demonstrated </w:t>
      </w:r>
      <w:r w:rsidRPr="00801F94">
        <w:rPr>
          <w:rFonts w:ascii="Arial" w:hAnsi="Arial" w:cs="Arial"/>
          <w:b/>
          <w:bCs/>
        </w:rPr>
        <w:t>high efficiency for ampicillin removal</w:t>
      </w:r>
      <w:r w:rsidRPr="00801F94">
        <w:rPr>
          <w:rFonts w:ascii="Arial" w:hAnsi="Arial" w:cs="Arial"/>
        </w:rPr>
        <w:t>, achieving an optimized removal of ≈ 94.99% under RSM-predicted conditions, confirming its potential as a low-cost and sustainable adsorbent</w:t>
      </w:r>
      <w:r w:rsidR="000431D2" w:rsidRPr="00801F94">
        <w:rPr>
          <w:rFonts w:ascii="Arial" w:hAnsi="Arial" w:cs="Arial"/>
        </w:rPr>
        <w:t xml:space="preserve"> for </w:t>
      </w:r>
      <w:r w:rsidR="000431D2" w:rsidRPr="00801F94">
        <w:rPr>
          <w:rFonts w:ascii="Arial" w:hAnsi="Arial" w:cs="Arial"/>
          <w:b/>
          <w:bCs/>
        </w:rPr>
        <w:t>real wastewater treatment applications</w:t>
      </w:r>
      <w:r w:rsidR="000431D2" w:rsidRPr="00801F94">
        <w:rPr>
          <w:rFonts w:ascii="Arial" w:hAnsi="Arial" w:cs="Arial"/>
        </w:rPr>
        <w:t xml:space="preserve">. </w:t>
      </w:r>
    </w:p>
    <w:p w:rsidR="000431D2" w:rsidRPr="00801F94" w:rsidRDefault="000431D2" w:rsidP="000431D2">
      <w:pPr>
        <w:pStyle w:val="Body"/>
        <w:numPr>
          <w:ilvl w:val="0"/>
          <w:numId w:val="36"/>
        </w:numPr>
        <w:spacing w:after="0"/>
        <w:rPr>
          <w:rFonts w:ascii="Arial" w:hAnsi="Arial" w:cs="Arial"/>
        </w:rPr>
      </w:pPr>
      <w:r w:rsidRPr="00801F94">
        <w:rPr>
          <w:rFonts w:ascii="Arial" w:hAnsi="Arial" w:cs="Arial"/>
        </w:rPr>
        <w:t xml:space="preserve">The optimized process conditions obtained through RSM provide </w:t>
      </w:r>
      <w:r w:rsidRPr="00801F94">
        <w:rPr>
          <w:rFonts w:ascii="Arial" w:hAnsi="Arial" w:cs="Arial"/>
          <w:b/>
          <w:bCs/>
        </w:rPr>
        <w:t>practical design parameters</w:t>
      </w:r>
      <w:r w:rsidRPr="00801F94">
        <w:rPr>
          <w:rFonts w:ascii="Arial" w:hAnsi="Arial" w:cs="Arial"/>
        </w:rPr>
        <w:t xml:space="preserve"> for industrial and field-scale implementation. </w:t>
      </w:r>
    </w:p>
    <w:p w:rsidR="00C036A3" w:rsidRPr="00801F94" w:rsidRDefault="00C036A3" w:rsidP="000431D2">
      <w:pPr>
        <w:pStyle w:val="Body"/>
        <w:numPr>
          <w:ilvl w:val="0"/>
          <w:numId w:val="36"/>
        </w:numPr>
        <w:spacing w:after="0"/>
        <w:rPr>
          <w:rFonts w:ascii="Arial" w:hAnsi="Arial" w:cs="Arial"/>
        </w:rPr>
      </w:pPr>
      <w:r w:rsidRPr="00801F94">
        <w:rPr>
          <w:rFonts w:ascii="Arial" w:hAnsi="Arial" w:cs="Arial"/>
        </w:rPr>
        <w:t>“The adsorbent achieved high removal efficiency (≈95%) under optimized conditions; however, the maximum adsorption capacity (q</w:t>
      </w:r>
      <w:r w:rsidRPr="00801F94">
        <w:rPr>
          <w:rFonts w:ascii="Cambria Math" w:hAnsi="Cambria Math" w:cs="Cambria Math"/>
        </w:rPr>
        <w:t>ₘ</w:t>
      </w:r>
      <w:r w:rsidRPr="00801F94">
        <w:rPr>
          <w:rFonts w:ascii="Arial" w:hAnsi="Arial" w:cs="Arial"/>
        </w:rPr>
        <w:t xml:space="preserve"> = 0.0445 mg g</w:t>
      </w:r>
      <w:r w:rsidRPr="00801F94">
        <w:rPr>
          <w:rFonts w:ascii="Cambria Math" w:hAnsi="Cambria Math" w:cs="Cambria Math"/>
        </w:rPr>
        <w:t>⁻</w:t>
      </w:r>
      <w:r w:rsidRPr="00801F94">
        <w:rPr>
          <w:rFonts w:ascii="Arial" w:hAnsi="Arial" w:cs="Arial"/>
        </w:rPr>
        <w:t xml:space="preserve">¹) is relatively low compared to many reported </w:t>
      </w:r>
      <w:proofErr w:type="spellStart"/>
      <w:r w:rsidRPr="00801F94">
        <w:rPr>
          <w:rFonts w:ascii="Arial" w:hAnsi="Arial" w:cs="Arial"/>
        </w:rPr>
        <w:t>biosorbents</w:t>
      </w:r>
      <w:proofErr w:type="spellEnd"/>
      <w:r w:rsidRPr="00801F94">
        <w:rPr>
          <w:rFonts w:ascii="Arial" w:hAnsi="Arial" w:cs="Arial"/>
        </w:rPr>
        <w:t>. This indicates that the material is more suitable for treating low-concentration pharmaceutical contaminants rather than high-load applications.</w:t>
      </w:r>
    </w:p>
    <w:p w:rsidR="00806F64" w:rsidRPr="00801F94" w:rsidRDefault="00D8451B" w:rsidP="000431D2">
      <w:pPr>
        <w:pStyle w:val="Body"/>
        <w:numPr>
          <w:ilvl w:val="0"/>
          <w:numId w:val="34"/>
        </w:numPr>
        <w:spacing w:after="0"/>
        <w:rPr>
          <w:rFonts w:ascii="Arial" w:hAnsi="Arial" w:cs="Arial"/>
        </w:rPr>
      </w:pPr>
      <w:r w:rsidRPr="00801F94">
        <w:rPr>
          <w:rFonts w:ascii="Arial" w:hAnsi="Arial" w:cs="Arial"/>
        </w:rPr>
        <w:t xml:space="preserve">Adsorption kinetics followed the </w:t>
      </w:r>
      <w:r w:rsidRPr="00801F94">
        <w:rPr>
          <w:rFonts w:ascii="Arial" w:hAnsi="Arial" w:cs="Arial"/>
          <w:b/>
          <w:bCs/>
        </w:rPr>
        <w:t>pseudo-second-order model (R² ≈ 0.996)</w:t>
      </w:r>
      <w:r w:rsidRPr="00801F94">
        <w:rPr>
          <w:rFonts w:ascii="Arial" w:hAnsi="Arial" w:cs="Arial"/>
        </w:rPr>
        <w:t xml:space="preserve">, indicating that the rate-limiting step is primarily governed by chemisorption involving surface functional groups. </w:t>
      </w:r>
    </w:p>
    <w:p w:rsidR="00806F64" w:rsidRPr="00801F94" w:rsidRDefault="00D8451B" w:rsidP="001A2925">
      <w:pPr>
        <w:pStyle w:val="Body"/>
        <w:numPr>
          <w:ilvl w:val="0"/>
          <w:numId w:val="34"/>
        </w:numPr>
        <w:spacing w:after="0"/>
        <w:rPr>
          <w:rFonts w:ascii="Arial" w:hAnsi="Arial" w:cs="Arial"/>
        </w:rPr>
      </w:pPr>
      <w:r w:rsidRPr="00801F94">
        <w:rPr>
          <w:rFonts w:ascii="Arial" w:hAnsi="Arial" w:cs="Arial"/>
        </w:rPr>
        <w:t xml:space="preserve">Equilibrium data showed </w:t>
      </w:r>
      <w:r w:rsidR="00AA2365" w:rsidRPr="00801F94">
        <w:rPr>
          <w:rFonts w:ascii="Arial" w:hAnsi="Arial" w:cs="Arial"/>
          <w:b/>
          <w:bCs/>
        </w:rPr>
        <w:t>favourable</w:t>
      </w:r>
      <w:r w:rsidRPr="00801F94">
        <w:rPr>
          <w:rFonts w:ascii="Arial" w:hAnsi="Arial" w:cs="Arial"/>
          <w:b/>
          <w:bCs/>
        </w:rPr>
        <w:t xml:space="preserve"> adsorption </w:t>
      </w:r>
      <w:r w:rsidR="00AA2365" w:rsidRPr="00801F94">
        <w:rPr>
          <w:rFonts w:ascii="Arial" w:hAnsi="Arial" w:cs="Arial"/>
          <w:b/>
          <w:bCs/>
        </w:rPr>
        <w:t>behaviour</w:t>
      </w:r>
      <w:r w:rsidRPr="00801F94">
        <w:rPr>
          <w:rFonts w:ascii="Arial" w:hAnsi="Arial" w:cs="Arial"/>
        </w:rPr>
        <w:t>, best described by isotherm models (e.g., Langmuir/Freundlich), with separation factor (R</w:t>
      </w:r>
      <w:r w:rsidRPr="00801F94">
        <w:rPr>
          <w:rFonts w:ascii="Cambria Math" w:hAnsi="Cambria Math" w:cs="Cambria Math"/>
        </w:rPr>
        <w:t>ₗ</w:t>
      </w:r>
      <w:r w:rsidRPr="00801F94">
        <w:rPr>
          <w:rFonts w:ascii="Arial" w:hAnsi="Arial" w:cs="Arial"/>
        </w:rPr>
        <w:t xml:space="preserve"> &lt; 1) confirming strong affinity between ARH and ampicillin molecules.</w:t>
      </w:r>
    </w:p>
    <w:p w:rsidR="00806F64" w:rsidRPr="00801F94" w:rsidRDefault="00806F64" w:rsidP="00806F64">
      <w:pPr>
        <w:pStyle w:val="Body"/>
        <w:spacing w:after="0"/>
        <w:ind w:left="720"/>
        <w:rPr>
          <w:rFonts w:ascii="Arial" w:hAnsi="Arial" w:cs="Arial"/>
        </w:rPr>
      </w:pPr>
    </w:p>
    <w:p w:rsidR="00790ADA" w:rsidRPr="00801F94" w:rsidRDefault="00D8451B" w:rsidP="00D8451B">
      <w:pPr>
        <w:pStyle w:val="Body"/>
        <w:numPr>
          <w:ilvl w:val="0"/>
          <w:numId w:val="34"/>
        </w:numPr>
        <w:spacing w:after="0"/>
        <w:rPr>
          <w:rFonts w:ascii="Arial" w:hAnsi="Arial" w:cs="Arial"/>
        </w:rPr>
      </w:pPr>
      <w:r w:rsidRPr="00801F94">
        <w:rPr>
          <w:rFonts w:ascii="Arial" w:hAnsi="Arial" w:cs="Arial"/>
        </w:rPr>
        <w:t xml:space="preserve">Thermodynamic analysis revealed a </w:t>
      </w:r>
      <w:r w:rsidRPr="00801F94">
        <w:rPr>
          <w:rFonts w:ascii="Arial" w:hAnsi="Arial" w:cs="Arial"/>
          <w:b/>
          <w:bCs/>
        </w:rPr>
        <w:t>spontaneous and exothermic process</w:t>
      </w:r>
      <w:r w:rsidRPr="00801F94">
        <w:rPr>
          <w:rFonts w:ascii="Arial" w:hAnsi="Arial" w:cs="Arial"/>
        </w:rPr>
        <w:t xml:space="preserve"> (ΔG° &lt; 0, ΔH° ≈ −21.17 kJ/mol), with decreased randomness at the solid–solution interface (ΔS° &lt; 0), indicating stable adsorption interactions.</w:t>
      </w:r>
    </w:p>
    <w:p w:rsidR="000431D2" w:rsidRPr="00801F94" w:rsidRDefault="000431D2" w:rsidP="000431D2">
      <w:pPr>
        <w:pStyle w:val="ListParagraph"/>
        <w:rPr>
          <w:rFonts w:ascii="Arial" w:hAnsi="Arial" w:cs="Arial"/>
        </w:rPr>
      </w:pPr>
    </w:p>
    <w:p w:rsidR="00806434" w:rsidRPr="00801F94" w:rsidRDefault="00806434" w:rsidP="00806434">
      <w:pPr>
        <w:spacing w:after="160"/>
        <w:rPr>
          <w:rFonts w:ascii="Arial" w:hAnsi="Arial" w:cs="Arial"/>
          <w:b/>
          <w:bCs/>
          <w:sz w:val="22"/>
          <w:szCs w:val="22"/>
        </w:rPr>
      </w:pPr>
    </w:p>
    <w:p w:rsidR="00806434" w:rsidRPr="00801F94" w:rsidRDefault="00806434" w:rsidP="00806434">
      <w:pPr>
        <w:spacing w:after="160"/>
        <w:rPr>
          <w:rFonts w:ascii="Arial" w:hAnsi="Arial" w:cs="Arial"/>
          <w:b/>
          <w:bCs/>
          <w:sz w:val="22"/>
          <w:szCs w:val="22"/>
        </w:rPr>
      </w:pPr>
    </w:p>
    <w:p w:rsidR="00806434" w:rsidRPr="00801F94" w:rsidRDefault="00806434" w:rsidP="00806434">
      <w:pPr>
        <w:spacing w:after="160"/>
        <w:rPr>
          <w:rFonts w:ascii="Arial" w:hAnsi="Arial" w:cs="Arial"/>
          <w:b/>
          <w:bCs/>
          <w:sz w:val="22"/>
          <w:szCs w:val="22"/>
        </w:rPr>
      </w:pPr>
      <w:r w:rsidRPr="00801F94">
        <w:rPr>
          <w:rFonts w:ascii="Arial" w:hAnsi="Arial" w:cs="Arial"/>
          <w:b/>
          <w:bCs/>
          <w:sz w:val="22"/>
          <w:szCs w:val="22"/>
        </w:rPr>
        <w:t>3.1.</w:t>
      </w:r>
      <w:r w:rsidR="001832D9" w:rsidRPr="00801F94">
        <w:rPr>
          <w:rFonts w:ascii="Arial" w:hAnsi="Arial" w:cs="Arial"/>
          <w:b/>
          <w:bCs/>
          <w:sz w:val="22"/>
          <w:szCs w:val="22"/>
        </w:rPr>
        <w:t>3</w:t>
      </w:r>
      <w:r w:rsidRPr="00801F94">
        <w:rPr>
          <w:rFonts w:ascii="Arial" w:hAnsi="Arial" w:cs="Arial"/>
          <w:b/>
          <w:bCs/>
          <w:sz w:val="22"/>
          <w:szCs w:val="22"/>
        </w:rPr>
        <w:t xml:space="preserve"> Practical Applications</w:t>
      </w:r>
    </w:p>
    <w:p w:rsidR="00806434" w:rsidRPr="00801F94" w:rsidRDefault="00806434" w:rsidP="00806434">
      <w:pPr>
        <w:spacing w:after="160"/>
        <w:jc w:val="both"/>
        <w:rPr>
          <w:rFonts w:ascii="Arial" w:hAnsi="Arial" w:cs="Arial"/>
        </w:rPr>
      </w:pPr>
      <w:r w:rsidRPr="00801F94">
        <w:rPr>
          <w:rFonts w:ascii="Arial" w:hAnsi="Arial" w:cs="Arial"/>
        </w:rPr>
        <w:lastRenderedPageBreak/>
        <w:t>The findings of this study demonstrate that acid-modified rice husk (ARH) is an effective, low-cost, and sustainable adsorbent for the removal of ampicillin from aqueous systems. This presents several practical applications:</w:t>
      </w:r>
    </w:p>
    <w:p w:rsidR="00806434" w:rsidRPr="00801F94" w:rsidRDefault="00806434" w:rsidP="00806434">
      <w:pPr>
        <w:spacing w:after="160"/>
        <w:contextualSpacing/>
        <w:jc w:val="both"/>
        <w:rPr>
          <w:rFonts w:ascii="Arial" w:hAnsi="Arial" w:cs="Arial"/>
        </w:rPr>
      </w:pPr>
      <w:r w:rsidRPr="00801F94">
        <w:rPr>
          <w:rFonts w:ascii="Arial" w:hAnsi="Arial" w:cs="Arial"/>
        </w:rPr>
        <w:t>(a) Wastewater treatment involving pharmaceutical effluents from drug manufacturing industries, hospital wastewater containing antibiotic residues and municipal wastewater, where emerging contaminants such as antibiotics are increasingly detected. Its high adsorption efficiency makes it suitable for tertiary treatment processes aimed at polishing effluents before discharge.</w:t>
      </w:r>
    </w:p>
    <w:p w:rsidR="00806434" w:rsidRPr="00801F94" w:rsidRDefault="00806434" w:rsidP="00806434">
      <w:pPr>
        <w:spacing w:after="160"/>
        <w:contextualSpacing/>
        <w:jc w:val="both"/>
        <w:rPr>
          <w:rFonts w:ascii="Arial" w:hAnsi="Arial" w:cs="Arial"/>
        </w:rPr>
      </w:pPr>
      <w:r w:rsidRPr="00801F94">
        <w:rPr>
          <w:rFonts w:ascii="Arial" w:hAnsi="Arial" w:cs="Arial"/>
        </w:rPr>
        <w:t>(b) Rural and Decentralized Water Treatment: Due to its low cost, abundance, and simple preparation, ARH can be utilized in small-scale water purification systems in rural or low-income communities. This aligns with sustainable development goals related to clean water and environmental protection.</w:t>
      </w:r>
    </w:p>
    <w:p w:rsidR="00806434" w:rsidRPr="00801F94" w:rsidRDefault="00806434" w:rsidP="00806434">
      <w:pPr>
        <w:spacing w:after="160"/>
        <w:contextualSpacing/>
        <w:jc w:val="both"/>
        <w:rPr>
          <w:rFonts w:ascii="Arial" w:hAnsi="Arial" w:cs="Arial"/>
        </w:rPr>
      </w:pPr>
      <w:r w:rsidRPr="00801F94">
        <w:rPr>
          <w:rFonts w:ascii="Arial" w:hAnsi="Arial" w:cs="Arial"/>
        </w:rPr>
        <w:t xml:space="preserve">c) ARH-based adsorption systems can also be integrated into industrial processes for water recycling and reuse, reduction of environmental discharge loads </w:t>
      </w:r>
    </w:p>
    <w:p w:rsidR="00806434" w:rsidRPr="00801F94" w:rsidRDefault="00806434" w:rsidP="00806434">
      <w:pPr>
        <w:spacing w:after="160"/>
        <w:contextualSpacing/>
        <w:jc w:val="both"/>
        <w:rPr>
          <w:rFonts w:ascii="Arial" w:hAnsi="Arial" w:cs="Arial"/>
        </w:rPr>
      </w:pPr>
      <w:r w:rsidRPr="00801F94">
        <w:rPr>
          <w:rFonts w:ascii="Arial" w:hAnsi="Arial" w:cs="Arial"/>
        </w:rPr>
        <w:t>(d) The material can also be extended to the removal of other pharmaceutical compounds, dyes and organic pollutants and potentially heavy metals, due to functional surface groups</w:t>
      </w:r>
    </w:p>
    <w:p w:rsidR="00806434" w:rsidRPr="00801F94" w:rsidRDefault="00806434" w:rsidP="00806434">
      <w:pPr>
        <w:contextualSpacing/>
        <w:rPr>
          <w:rFonts w:ascii="Arial" w:hAnsi="Arial" w:cs="Arial"/>
        </w:rPr>
      </w:pPr>
    </w:p>
    <w:p w:rsidR="000431D2" w:rsidRPr="00801F94" w:rsidRDefault="000431D2" w:rsidP="000431D2">
      <w:pPr>
        <w:pStyle w:val="Body"/>
        <w:spacing w:after="0"/>
        <w:rPr>
          <w:rFonts w:ascii="Arial" w:hAnsi="Arial" w:cs="Arial"/>
        </w:rPr>
      </w:pPr>
    </w:p>
    <w:p w:rsidR="00D8451B" w:rsidRPr="00801F94" w:rsidRDefault="00D8451B" w:rsidP="00D8451B">
      <w:pPr>
        <w:pStyle w:val="Body"/>
        <w:spacing w:after="0"/>
        <w:ind w:left="720"/>
        <w:rPr>
          <w:rFonts w:ascii="Arial" w:hAnsi="Arial" w:cs="Arial"/>
        </w:rPr>
      </w:pPr>
    </w:p>
    <w:p w:rsidR="00B01FCD" w:rsidRPr="00801F94" w:rsidRDefault="00000F8F" w:rsidP="00441B6F">
      <w:pPr>
        <w:pStyle w:val="ConcHead"/>
        <w:spacing w:after="0"/>
        <w:jc w:val="both"/>
        <w:rPr>
          <w:rFonts w:ascii="Arial" w:hAnsi="Arial" w:cs="Arial"/>
        </w:rPr>
      </w:pPr>
      <w:r w:rsidRPr="00801F94">
        <w:rPr>
          <w:rFonts w:ascii="Arial" w:hAnsi="Arial" w:cs="Arial"/>
        </w:rPr>
        <w:t xml:space="preserve">4. </w:t>
      </w:r>
      <w:r w:rsidR="00B01FCD" w:rsidRPr="00801F94">
        <w:rPr>
          <w:rFonts w:ascii="Arial" w:hAnsi="Arial" w:cs="Arial"/>
        </w:rPr>
        <w:t>Conclusion</w:t>
      </w:r>
    </w:p>
    <w:p w:rsidR="00D8451B" w:rsidRPr="00801F94" w:rsidRDefault="00D8451B" w:rsidP="00F4243E">
      <w:pPr>
        <w:pStyle w:val="Body"/>
        <w:spacing w:after="0"/>
        <w:rPr>
          <w:rFonts w:ascii="Arial" w:hAnsi="Arial" w:cs="Arial"/>
        </w:rPr>
      </w:pPr>
    </w:p>
    <w:p w:rsidR="00F4243E" w:rsidRPr="00801F94" w:rsidRDefault="00F4243E" w:rsidP="00F4243E">
      <w:pPr>
        <w:pStyle w:val="Body"/>
        <w:spacing w:after="0"/>
        <w:rPr>
          <w:rFonts w:ascii="Arial" w:hAnsi="Arial" w:cs="Arial"/>
          <w:lang w:val="en-GB"/>
        </w:rPr>
      </w:pPr>
      <w:r w:rsidRPr="00801F94">
        <w:rPr>
          <w:rFonts w:ascii="Arial" w:hAnsi="Arial" w:cs="Arial"/>
        </w:rPr>
        <w:t xml:space="preserve">This study systematically investigated and </w:t>
      </w:r>
      <w:r w:rsidRPr="00801F94">
        <w:rPr>
          <w:rFonts w:ascii="Arial" w:hAnsi="Arial" w:cs="Arial"/>
          <w:lang w:val="en-GB"/>
        </w:rPr>
        <w:t>confirmed</w:t>
      </w:r>
      <w:r w:rsidRPr="00801F94">
        <w:rPr>
          <w:rFonts w:ascii="Arial" w:hAnsi="Arial" w:cs="Arial"/>
        </w:rPr>
        <w:t xml:space="preserve"> </w:t>
      </w:r>
      <w:r w:rsidRPr="00801F94">
        <w:rPr>
          <w:rFonts w:ascii="Arial" w:hAnsi="Arial" w:cs="Arial"/>
          <w:lang w:val="en-GB"/>
        </w:rPr>
        <w:t>acid-modified rice husk (ARH) as an effective and low-cost adsorbent for removing ampicillin from water</w:t>
      </w:r>
      <w:r w:rsidRPr="00801F94">
        <w:rPr>
          <w:rFonts w:ascii="Arial" w:hAnsi="Arial" w:cs="Arial"/>
        </w:rPr>
        <w:t xml:space="preserve">. </w:t>
      </w:r>
      <w:r w:rsidRPr="00801F94">
        <w:rPr>
          <w:rFonts w:ascii="Arial" w:hAnsi="Arial" w:cs="Arial"/>
          <w:lang w:val="en-GB"/>
        </w:rPr>
        <w:t xml:space="preserve"> FTIR analysis showed that functional groups like hydroxyl, carbonyl and silicates in adsorption. The process followed pseudo-second-order kinetics (R² ≈ 0.996) and was spontaneous, exothermic, and more ordered at the solid–solution interface. Response Surface Methodology (RSM) revealed significant effects of dosage, concentration, and time, with an optimal removal efficiency of 94.99% at minimal ARH usage. These results establish ARH as a sustainable and efficient adsorbent for pharmaceutical wastewater treatment.</w:t>
      </w:r>
    </w:p>
    <w:p w:rsidR="00013CFF" w:rsidRPr="00801F94" w:rsidRDefault="006D4C4E" w:rsidP="00013CFF">
      <w:pPr>
        <w:spacing w:after="160" w:line="278" w:lineRule="auto"/>
        <w:jc w:val="both"/>
        <w:rPr>
          <w:rFonts w:ascii="Arial" w:hAnsi="Arial" w:cs="Arial"/>
        </w:rPr>
      </w:pPr>
      <w:r w:rsidRPr="00801F94">
        <w:rPr>
          <w:rFonts w:ascii="Arial" w:hAnsi="Arial" w:cs="Arial"/>
        </w:rPr>
        <w:t xml:space="preserve">While the acid-modified rice husk (ARH) demonstrates significant potential for the adsorptive removal of ampicillin, several constraints warrant consideration for future research. The observed adsorption capacity remains relatively modest. Furthermore, the absence of systematic regeneration and </w:t>
      </w:r>
      <w:proofErr w:type="spellStart"/>
      <w:r w:rsidRPr="00801F94">
        <w:rPr>
          <w:rFonts w:ascii="Arial" w:hAnsi="Arial" w:cs="Arial"/>
        </w:rPr>
        <w:t>desorptive</w:t>
      </w:r>
      <w:proofErr w:type="spellEnd"/>
      <w:r w:rsidRPr="00801F94">
        <w:rPr>
          <w:rFonts w:ascii="Arial" w:hAnsi="Arial" w:cs="Arial"/>
        </w:rPr>
        <w:t xml:space="preserve"> cycles limits the assessment of the adsorbent's long-term stability and economic viability for large-scale applications. A comprehensive cost-benefit analysis and reusability study should be conducted to establish the material's industrial feasibility.</w:t>
      </w:r>
      <w:r w:rsidR="0065067E" w:rsidRPr="00801F94">
        <w:rPr>
          <w:rFonts w:ascii="Arial" w:hAnsi="Arial" w:cs="Arial"/>
        </w:rPr>
        <w:t xml:space="preserve"> Future work should explore acid recovery and reuse strategies to further enhance process sustainability</w:t>
      </w:r>
      <w:r w:rsidR="00013CFF" w:rsidRPr="00801F94">
        <w:rPr>
          <w:rFonts w:ascii="Arial" w:hAnsi="Arial" w:cs="Arial"/>
        </w:rPr>
        <w:t>. The RSM model predicted an optimum removal of ~95%; however, experimental validation of this optimum was not performed in the present study. Future work will focus on confirmation experiments to verify model predictions and assess reproducibility.</w:t>
      </w:r>
    </w:p>
    <w:p w:rsidR="006D4C4E" w:rsidRPr="00801F94" w:rsidRDefault="006D4C4E" w:rsidP="006D4C4E">
      <w:pPr>
        <w:spacing w:after="160" w:line="278" w:lineRule="auto"/>
        <w:jc w:val="both"/>
        <w:rPr>
          <w:rFonts w:ascii="Arial" w:hAnsi="Arial" w:cs="Arial"/>
        </w:rPr>
      </w:pPr>
    </w:p>
    <w:p w:rsidR="006D4C4E" w:rsidRPr="00801F94" w:rsidRDefault="006D4C4E" w:rsidP="00F4243E">
      <w:pPr>
        <w:pStyle w:val="Body"/>
        <w:spacing w:after="0"/>
        <w:rPr>
          <w:rFonts w:ascii="Arial" w:hAnsi="Arial" w:cs="Arial"/>
          <w:lang w:val="en-GB"/>
        </w:rPr>
      </w:pPr>
    </w:p>
    <w:p w:rsidR="00160D44" w:rsidRPr="00801F94" w:rsidRDefault="00160D44" w:rsidP="00F4243E">
      <w:pPr>
        <w:pStyle w:val="Body"/>
        <w:spacing w:after="0"/>
        <w:rPr>
          <w:rFonts w:ascii="Arial" w:hAnsi="Arial" w:cs="Arial"/>
          <w:lang w:val="en-GB"/>
        </w:rPr>
      </w:pPr>
    </w:p>
    <w:p w:rsidR="00284995" w:rsidRPr="00801F94" w:rsidRDefault="00284995" w:rsidP="00284995">
      <w:pPr>
        <w:rPr>
          <w:rFonts w:ascii="Arial" w:hAnsi="Arial" w:cs="Arial"/>
          <w:b/>
          <w:highlight w:val="yellow"/>
        </w:rPr>
      </w:pPr>
      <w:r w:rsidRPr="00801F94">
        <w:rPr>
          <w:rFonts w:ascii="Arial" w:hAnsi="Arial" w:cs="Arial"/>
          <w:b/>
          <w:highlight w:val="yellow"/>
        </w:rPr>
        <w:t>Disclaimer (Artificial intelligence)</w:t>
      </w:r>
    </w:p>
    <w:p w:rsidR="00284995" w:rsidRPr="00801F94" w:rsidRDefault="00284995" w:rsidP="00284995">
      <w:pPr>
        <w:rPr>
          <w:rFonts w:ascii="Arial" w:hAnsi="Arial" w:cs="Arial"/>
          <w:highlight w:val="yellow"/>
        </w:rPr>
      </w:pPr>
      <w:r w:rsidRPr="00801F94">
        <w:rPr>
          <w:rFonts w:ascii="Arial" w:hAnsi="Arial" w:cs="Arial"/>
          <w:highlight w:val="yellow"/>
        </w:rPr>
        <w:t>Author(s) hereby declare that NO generative AI technologies such as Large Language Models (</w:t>
      </w:r>
      <w:proofErr w:type="spellStart"/>
      <w:r w:rsidRPr="00801F94">
        <w:rPr>
          <w:rFonts w:ascii="Arial" w:hAnsi="Arial" w:cs="Arial"/>
          <w:highlight w:val="yellow"/>
        </w:rPr>
        <w:t>ChatGPT</w:t>
      </w:r>
      <w:proofErr w:type="spellEnd"/>
      <w:r w:rsidRPr="00801F94">
        <w:rPr>
          <w:rFonts w:ascii="Arial" w:hAnsi="Arial" w:cs="Arial"/>
          <w:highlight w:val="yellow"/>
        </w:rPr>
        <w:t xml:space="preserve">, COPILOT, etc.) and text-to-image generators have been used during the writing or editing of this manuscript. </w:t>
      </w:r>
    </w:p>
    <w:p w:rsidR="00284995" w:rsidRPr="00801F94" w:rsidRDefault="00284995" w:rsidP="00F4243E">
      <w:pPr>
        <w:pStyle w:val="Body"/>
        <w:spacing w:after="0"/>
        <w:rPr>
          <w:rFonts w:ascii="Arial" w:hAnsi="Arial" w:cs="Arial"/>
        </w:rPr>
      </w:pPr>
    </w:p>
    <w:p w:rsidR="00790ADA" w:rsidRPr="00801F94" w:rsidRDefault="00790ADA" w:rsidP="00441B6F">
      <w:pPr>
        <w:pStyle w:val="Body"/>
        <w:spacing w:after="0"/>
        <w:rPr>
          <w:rFonts w:ascii="Arial" w:hAnsi="Arial" w:cs="Arial"/>
        </w:rPr>
      </w:pPr>
    </w:p>
    <w:p w:rsidR="00860000" w:rsidRPr="00801F94" w:rsidRDefault="00860000" w:rsidP="00441B6F">
      <w:pPr>
        <w:pStyle w:val="ReferHead"/>
        <w:spacing w:after="0"/>
        <w:jc w:val="both"/>
        <w:rPr>
          <w:rFonts w:ascii="Arial" w:hAnsi="Arial" w:cs="Arial"/>
        </w:rPr>
      </w:pPr>
    </w:p>
    <w:p w:rsidR="00B01FCD" w:rsidRPr="00801F94" w:rsidRDefault="00B01FCD" w:rsidP="00441B6F">
      <w:pPr>
        <w:pStyle w:val="ReferHead"/>
        <w:spacing w:after="0"/>
        <w:jc w:val="both"/>
        <w:rPr>
          <w:rFonts w:ascii="Arial" w:hAnsi="Arial" w:cs="Arial"/>
        </w:rPr>
      </w:pPr>
      <w:r w:rsidRPr="00801F94">
        <w:rPr>
          <w:rFonts w:ascii="Arial" w:hAnsi="Arial" w:cs="Arial"/>
        </w:rPr>
        <w:t>References</w:t>
      </w:r>
    </w:p>
    <w:p w:rsidR="00140547" w:rsidRPr="00801F94" w:rsidRDefault="00140547" w:rsidP="00140547">
      <w:pPr>
        <w:contextualSpacing/>
        <w:rPr>
          <w:rFonts w:ascii="Arial" w:hAnsi="Arial" w:cs="Arial"/>
          <w:color w:val="EE0000"/>
          <w:sz w:val="24"/>
          <w:szCs w:val="24"/>
        </w:rPr>
      </w:pPr>
      <w:bookmarkStart w:id="16" w:name="_Hlk226493904"/>
    </w:p>
    <w:bookmarkEnd w:id="16"/>
    <w:p w:rsidR="00223DA3" w:rsidRPr="00801F94" w:rsidRDefault="00223DA3" w:rsidP="00F4243E">
      <w:pPr>
        <w:pStyle w:val="ReferHead"/>
        <w:spacing w:after="0"/>
        <w:jc w:val="both"/>
        <w:rPr>
          <w:rFonts w:ascii="Arial" w:hAnsi="Arial" w:cs="Arial"/>
          <w:b w:val="0"/>
          <w:sz w:val="20"/>
        </w:rPr>
      </w:pPr>
    </w:p>
    <w:p w:rsidR="00223DA3" w:rsidRPr="00801F94" w:rsidRDefault="00223DA3" w:rsidP="001A2925">
      <w:pPr>
        <w:pStyle w:val="ListParagraph"/>
        <w:numPr>
          <w:ilvl w:val="0"/>
          <w:numId w:val="31"/>
        </w:numPr>
        <w:rPr>
          <w:rFonts w:ascii="Arial" w:hAnsi="Arial" w:cs="Arial"/>
        </w:rPr>
      </w:pPr>
      <w:r w:rsidRPr="00801F94">
        <w:rPr>
          <w:rFonts w:ascii="Arial" w:hAnsi="Arial" w:cs="Arial"/>
        </w:rPr>
        <w:t>Abdu, N., Abdullahi, M., &amp; Yusuf, A. (2021). Kinetics and thermodynamics of nitrate adsorption by biochar derived from maize stalk. EQA - International Journal of Environmental Quality, 41, 17–32.</w:t>
      </w:r>
    </w:p>
    <w:p w:rsidR="00223DA3" w:rsidRPr="00801F94" w:rsidRDefault="00223DA3" w:rsidP="00B71EA8">
      <w:pPr>
        <w:pStyle w:val="ListParagraph"/>
        <w:numPr>
          <w:ilvl w:val="0"/>
          <w:numId w:val="31"/>
        </w:numPr>
        <w:rPr>
          <w:rFonts w:ascii="Arial" w:hAnsi="Arial" w:cs="Arial"/>
        </w:rPr>
      </w:pPr>
      <w:proofErr w:type="spellStart"/>
      <w:r w:rsidRPr="00801F94">
        <w:rPr>
          <w:rFonts w:ascii="Arial" w:hAnsi="Arial" w:cs="Arial"/>
        </w:rPr>
        <w:t>Abugu</w:t>
      </w:r>
      <w:proofErr w:type="spellEnd"/>
      <w:r w:rsidRPr="00801F94">
        <w:rPr>
          <w:rFonts w:ascii="Arial" w:hAnsi="Arial" w:cs="Arial"/>
        </w:rPr>
        <w:t xml:space="preserve">, H. O., Alum, O. L., </w:t>
      </w:r>
      <w:proofErr w:type="spellStart"/>
      <w:r w:rsidRPr="00801F94">
        <w:rPr>
          <w:rFonts w:ascii="Arial" w:hAnsi="Arial" w:cs="Arial"/>
        </w:rPr>
        <w:t>Ihedioha</w:t>
      </w:r>
      <w:proofErr w:type="spellEnd"/>
      <w:r w:rsidRPr="00801F94">
        <w:rPr>
          <w:rFonts w:ascii="Arial" w:hAnsi="Arial" w:cs="Arial"/>
        </w:rPr>
        <w:t xml:space="preserve">, J. N., </w:t>
      </w:r>
      <w:proofErr w:type="spellStart"/>
      <w:r w:rsidRPr="00801F94">
        <w:rPr>
          <w:rFonts w:ascii="Arial" w:hAnsi="Arial" w:cs="Arial"/>
        </w:rPr>
        <w:t>Ezugwu</w:t>
      </w:r>
      <w:proofErr w:type="spellEnd"/>
      <w:r w:rsidRPr="00801F94">
        <w:rPr>
          <w:rFonts w:ascii="Arial" w:hAnsi="Arial" w:cs="Arial"/>
        </w:rPr>
        <w:t xml:space="preserve">, A. L., </w:t>
      </w:r>
      <w:proofErr w:type="spellStart"/>
      <w:r w:rsidRPr="00801F94">
        <w:rPr>
          <w:rFonts w:ascii="Arial" w:hAnsi="Arial" w:cs="Arial"/>
        </w:rPr>
        <w:t>Ucheana</w:t>
      </w:r>
      <w:proofErr w:type="spellEnd"/>
      <w:r w:rsidRPr="00801F94">
        <w:rPr>
          <w:rFonts w:ascii="Arial" w:hAnsi="Arial" w:cs="Arial"/>
        </w:rPr>
        <w:t xml:space="preserve">, I. A., Ali, I. J., &amp; </w:t>
      </w:r>
      <w:proofErr w:type="spellStart"/>
      <w:r w:rsidRPr="00801F94">
        <w:rPr>
          <w:rFonts w:ascii="Arial" w:hAnsi="Arial" w:cs="Arial"/>
        </w:rPr>
        <w:t>Eze</w:t>
      </w:r>
      <w:proofErr w:type="spellEnd"/>
      <w:r w:rsidRPr="00801F94">
        <w:rPr>
          <w:rFonts w:ascii="Arial" w:hAnsi="Arial" w:cs="Arial"/>
        </w:rPr>
        <w:t>, S. I. (2023). Sequestration of Pb²</w:t>
      </w:r>
      <w:r w:rsidRPr="00801F94">
        <w:rPr>
          <w:rFonts w:ascii="Cambria Math" w:hAnsi="Cambria Math" w:cs="Cambria Math"/>
        </w:rPr>
        <w:t>⁺</w:t>
      </w:r>
      <w:r w:rsidRPr="00801F94">
        <w:rPr>
          <w:rFonts w:ascii="Arial" w:hAnsi="Arial" w:cs="Arial"/>
        </w:rPr>
        <w:t xml:space="preserve"> from aqueous solution using bio-based alkaline modified sorbent from waste </w:t>
      </w:r>
      <w:proofErr w:type="spellStart"/>
      <w:r w:rsidRPr="00801F94">
        <w:rPr>
          <w:rStyle w:val="Emphasis"/>
          <w:rFonts w:ascii="Arial" w:hAnsi="Arial" w:cs="Arial"/>
        </w:rPr>
        <w:t>Irvingia</w:t>
      </w:r>
      <w:proofErr w:type="spellEnd"/>
      <w:r w:rsidRPr="00801F94">
        <w:rPr>
          <w:rStyle w:val="Emphasis"/>
          <w:rFonts w:ascii="Arial" w:hAnsi="Arial" w:cs="Arial"/>
        </w:rPr>
        <w:t xml:space="preserve"> </w:t>
      </w:r>
      <w:proofErr w:type="spellStart"/>
      <w:r w:rsidRPr="00801F94">
        <w:rPr>
          <w:rStyle w:val="Emphasis"/>
          <w:rFonts w:ascii="Arial" w:hAnsi="Arial" w:cs="Arial"/>
        </w:rPr>
        <w:t>gabonensis</w:t>
      </w:r>
      <w:proofErr w:type="spellEnd"/>
      <w:r w:rsidRPr="00801F94">
        <w:rPr>
          <w:rFonts w:ascii="Arial" w:hAnsi="Arial" w:cs="Arial"/>
        </w:rPr>
        <w:t xml:space="preserve"> seed husk. </w:t>
      </w:r>
      <w:r w:rsidRPr="00801F94">
        <w:rPr>
          <w:rStyle w:val="Emphasis"/>
          <w:rFonts w:ascii="Arial" w:hAnsi="Arial" w:cs="Arial"/>
          <w:i w:val="0"/>
          <w:iCs w:val="0"/>
        </w:rPr>
        <w:t>Water Practice and Technology, 18</w:t>
      </w:r>
      <w:r w:rsidRPr="00801F94">
        <w:rPr>
          <w:rFonts w:ascii="Arial" w:hAnsi="Arial" w:cs="Arial"/>
        </w:rPr>
        <w:t xml:space="preserve">(11), 2495–2513. </w:t>
      </w:r>
      <w:hyperlink r:id="rId45" w:tgtFrame="_new" w:history="1">
        <w:r w:rsidRPr="00801F94">
          <w:rPr>
            <w:rStyle w:val="Hyperlink"/>
            <w:rFonts w:ascii="Arial" w:hAnsi="Arial" w:cs="Arial"/>
            <w:color w:val="auto"/>
            <w:u w:val="none"/>
          </w:rPr>
          <w:t>https://doi.org/10.2166/wpt.2023.170</w:t>
        </w:r>
      </w:hyperlink>
    </w:p>
    <w:p w:rsidR="00223DA3" w:rsidRPr="00801F94" w:rsidRDefault="00223DA3" w:rsidP="00B71EA8">
      <w:pPr>
        <w:pStyle w:val="ListParagraph"/>
        <w:numPr>
          <w:ilvl w:val="0"/>
          <w:numId w:val="31"/>
        </w:numPr>
        <w:rPr>
          <w:rFonts w:ascii="Arial" w:hAnsi="Arial" w:cs="Arial"/>
        </w:rPr>
      </w:pPr>
      <w:proofErr w:type="spellStart"/>
      <w:r w:rsidRPr="00801F94">
        <w:rPr>
          <w:rFonts w:ascii="Arial" w:hAnsi="Arial" w:cs="Arial"/>
        </w:rPr>
        <w:t>Abugu</w:t>
      </w:r>
      <w:proofErr w:type="spellEnd"/>
      <w:r w:rsidRPr="00801F94">
        <w:rPr>
          <w:rFonts w:ascii="Arial" w:hAnsi="Arial" w:cs="Arial"/>
        </w:rPr>
        <w:t xml:space="preserve">, H. O., </w:t>
      </w:r>
      <w:proofErr w:type="spellStart"/>
      <w:r w:rsidRPr="00801F94">
        <w:rPr>
          <w:rFonts w:ascii="Arial" w:hAnsi="Arial" w:cs="Arial"/>
        </w:rPr>
        <w:t>Eze</w:t>
      </w:r>
      <w:proofErr w:type="spellEnd"/>
      <w:r w:rsidRPr="00801F94">
        <w:rPr>
          <w:rFonts w:ascii="Arial" w:hAnsi="Arial" w:cs="Arial"/>
        </w:rPr>
        <w:t xml:space="preserve">, S. I., </w:t>
      </w:r>
      <w:proofErr w:type="spellStart"/>
      <w:r w:rsidRPr="00801F94">
        <w:rPr>
          <w:rFonts w:ascii="Arial" w:hAnsi="Arial" w:cs="Arial"/>
        </w:rPr>
        <w:t>Ezugwu</w:t>
      </w:r>
      <w:proofErr w:type="spellEnd"/>
      <w:r w:rsidRPr="00801F94">
        <w:rPr>
          <w:rFonts w:ascii="Arial" w:hAnsi="Arial" w:cs="Arial"/>
        </w:rPr>
        <w:t xml:space="preserve">, A. L., Ali, I. J., &amp; </w:t>
      </w:r>
      <w:proofErr w:type="spellStart"/>
      <w:r w:rsidRPr="00801F94">
        <w:rPr>
          <w:rFonts w:ascii="Arial" w:hAnsi="Arial" w:cs="Arial"/>
        </w:rPr>
        <w:t>Ihedioha</w:t>
      </w:r>
      <w:proofErr w:type="spellEnd"/>
      <w:r w:rsidRPr="00801F94">
        <w:rPr>
          <w:rFonts w:ascii="Arial" w:hAnsi="Arial" w:cs="Arial"/>
        </w:rPr>
        <w:t xml:space="preserve">, J. N. (2023). Chemical pretreatment of </w:t>
      </w:r>
      <w:proofErr w:type="spellStart"/>
      <w:r w:rsidRPr="00801F94">
        <w:rPr>
          <w:rStyle w:val="Emphasis"/>
          <w:rFonts w:ascii="Arial" w:hAnsi="Arial" w:cs="Arial"/>
        </w:rPr>
        <w:t>Lagenaria</w:t>
      </w:r>
      <w:proofErr w:type="spellEnd"/>
      <w:r w:rsidRPr="00801F94">
        <w:rPr>
          <w:rStyle w:val="Emphasis"/>
          <w:rFonts w:ascii="Arial" w:hAnsi="Arial" w:cs="Arial"/>
        </w:rPr>
        <w:t xml:space="preserve"> </w:t>
      </w:r>
      <w:proofErr w:type="spellStart"/>
      <w:r w:rsidRPr="00801F94">
        <w:rPr>
          <w:rStyle w:val="Emphasis"/>
          <w:rFonts w:ascii="Arial" w:hAnsi="Arial" w:cs="Arial"/>
        </w:rPr>
        <w:t>breviflora</w:t>
      </w:r>
      <w:proofErr w:type="spellEnd"/>
      <w:r w:rsidRPr="00801F94">
        <w:rPr>
          <w:rFonts w:ascii="Arial" w:hAnsi="Arial" w:cs="Arial"/>
        </w:rPr>
        <w:t xml:space="preserve"> seeds used as </w:t>
      </w:r>
      <w:proofErr w:type="spellStart"/>
      <w:r w:rsidRPr="00801F94">
        <w:rPr>
          <w:rFonts w:ascii="Arial" w:hAnsi="Arial" w:cs="Arial"/>
        </w:rPr>
        <w:t>biosorbents</w:t>
      </w:r>
      <w:proofErr w:type="spellEnd"/>
      <w:r w:rsidRPr="00801F94">
        <w:rPr>
          <w:rFonts w:ascii="Arial" w:hAnsi="Arial" w:cs="Arial"/>
        </w:rPr>
        <w:t xml:space="preserve"> for the removal of aqueous-bound Ni²</w:t>
      </w:r>
      <w:r w:rsidRPr="00801F94">
        <w:rPr>
          <w:rFonts w:ascii="Cambria Math" w:hAnsi="Cambria Math" w:cs="Cambria Math"/>
        </w:rPr>
        <w:t>⁺</w:t>
      </w:r>
      <w:r w:rsidRPr="00801F94">
        <w:rPr>
          <w:rFonts w:ascii="Arial" w:hAnsi="Arial" w:cs="Arial"/>
        </w:rPr>
        <w:t xml:space="preserve">. </w:t>
      </w:r>
      <w:r w:rsidRPr="00801F94">
        <w:rPr>
          <w:rStyle w:val="Emphasis"/>
          <w:rFonts w:ascii="Arial" w:hAnsi="Arial" w:cs="Arial"/>
          <w:i w:val="0"/>
          <w:iCs w:val="0"/>
        </w:rPr>
        <w:t>Water Practice and Technology, 18</w:t>
      </w:r>
      <w:r w:rsidRPr="00801F94">
        <w:rPr>
          <w:rFonts w:ascii="Arial" w:hAnsi="Arial" w:cs="Arial"/>
        </w:rPr>
        <w:t xml:space="preserve">(11), 2514–2535. </w:t>
      </w:r>
      <w:hyperlink r:id="rId46" w:tgtFrame="_new" w:history="1">
        <w:r w:rsidRPr="00801F94">
          <w:rPr>
            <w:rStyle w:val="Hyperlink"/>
            <w:rFonts w:ascii="Arial" w:hAnsi="Arial" w:cs="Arial"/>
            <w:color w:val="auto"/>
            <w:u w:val="none"/>
          </w:rPr>
          <w:t>https://doi.org/10.2166/wpt.2023.192</w:t>
        </w:r>
      </w:hyperlink>
    </w:p>
    <w:p w:rsidR="00223DA3" w:rsidRPr="00801F94" w:rsidRDefault="00223DA3" w:rsidP="001A2925">
      <w:pPr>
        <w:pStyle w:val="NormalWeb"/>
        <w:numPr>
          <w:ilvl w:val="0"/>
          <w:numId w:val="31"/>
        </w:numPr>
        <w:ind w:left="714" w:hanging="357"/>
        <w:contextualSpacing/>
        <w:rPr>
          <w:rFonts w:ascii="Arial" w:hAnsi="Arial" w:cs="Arial"/>
          <w:sz w:val="20"/>
          <w:szCs w:val="20"/>
        </w:rPr>
      </w:pPr>
      <w:proofErr w:type="spellStart"/>
      <w:r w:rsidRPr="00801F94">
        <w:rPr>
          <w:rFonts w:ascii="Arial" w:hAnsi="Arial" w:cs="Arial"/>
          <w:sz w:val="20"/>
          <w:szCs w:val="20"/>
        </w:rPr>
        <w:t>Adamu</w:t>
      </w:r>
      <w:proofErr w:type="spellEnd"/>
      <w:r w:rsidRPr="00801F94">
        <w:rPr>
          <w:rFonts w:ascii="Arial" w:hAnsi="Arial" w:cs="Arial"/>
          <w:sz w:val="20"/>
          <w:szCs w:val="20"/>
        </w:rPr>
        <w:t xml:space="preserve">, H.I., </w:t>
      </w:r>
      <w:proofErr w:type="spellStart"/>
      <w:r w:rsidRPr="00801F94">
        <w:rPr>
          <w:rFonts w:ascii="Arial" w:hAnsi="Arial" w:cs="Arial"/>
          <w:sz w:val="20"/>
          <w:szCs w:val="20"/>
        </w:rPr>
        <w:t>Faruruwa</w:t>
      </w:r>
      <w:proofErr w:type="spellEnd"/>
      <w:r w:rsidRPr="00801F94">
        <w:rPr>
          <w:rFonts w:ascii="Arial" w:hAnsi="Arial" w:cs="Arial"/>
          <w:sz w:val="20"/>
          <w:szCs w:val="20"/>
        </w:rPr>
        <w:t xml:space="preserve">, M.D., </w:t>
      </w:r>
      <w:proofErr w:type="spellStart"/>
      <w:r w:rsidRPr="00801F94">
        <w:rPr>
          <w:rFonts w:ascii="Arial" w:hAnsi="Arial" w:cs="Arial"/>
          <w:sz w:val="20"/>
          <w:szCs w:val="20"/>
        </w:rPr>
        <w:t>Adeyemi</w:t>
      </w:r>
      <w:proofErr w:type="spellEnd"/>
      <w:r w:rsidRPr="00801F94">
        <w:rPr>
          <w:rFonts w:ascii="Arial" w:hAnsi="Arial" w:cs="Arial"/>
          <w:sz w:val="20"/>
          <w:szCs w:val="20"/>
        </w:rPr>
        <w:t xml:space="preserve">, M.M., &amp; </w:t>
      </w:r>
      <w:proofErr w:type="spellStart"/>
      <w:r w:rsidRPr="00801F94">
        <w:rPr>
          <w:rFonts w:ascii="Arial" w:hAnsi="Arial" w:cs="Arial"/>
          <w:sz w:val="20"/>
          <w:szCs w:val="20"/>
        </w:rPr>
        <w:t>Tomori</w:t>
      </w:r>
      <w:proofErr w:type="spellEnd"/>
      <w:r w:rsidRPr="00801F94">
        <w:rPr>
          <w:rFonts w:ascii="Arial" w:hAnsi="Arial" w:cs="Arial"/>
          <w:sz w:val="20"/>
          <w:szCs w:val="20"/>
        </w:rPr>
        <w:t>, W.B. (2025). Green Synthesized Iron Oxide Nanoparticles from Rice Husk for Ciprofloxacin and Ibuprofen Adsorption. African Journal of Advances in Science and Technology Research.</w:t>
      </w:r>
    </w:p>
    <w:p w:rsidR="00223DA3" w:rsidRPr="00801F94" w:rsidRDefault="00223DA3" w:rsidP="00140547">
      <w:pPr>
        <w:pStyle w:val="NormalWeb"/>
        <w:numPr>
          <w:ilvl w:val="0"/>
          <w:numId w:val="31"/>
        </w:numPr>
        <w:ind w:left="714" w:hanging="357"/>
        <w:contextualSpacing/>
        <w:rPr>
          <w:rFonts w:ascii="Arial" w:hAnsi="Arial" w:cs="Arial"/>
          <w:sz w:val="20"/>
          <w:szCs w:val="20"/>
        </w:rPr>
      </w:pPr>
      <w:r w:rsidRPr="00801F94">
        <w:rPr>
          <w:rStyle w:val="Strong"/>
          <w:rFonts w:ascii="Arial" w:eastAsiaTheme="majorEastAsia" w:hAnsi="Arial" w:cs="Arial"/>
          <w:b w:val="0"/>
          <w:bCs w:val="0"/>
          <w:sz w:val="20"/>
          <w:szCs w:val="20"/>
        </w:rPr>
        <w:t xml:space="preserve">Ahmed, </w:t>
      </w:r>
      <w:proofErr w:type="gramStart"/>
      <w:r w:rsidRPr="00801F94">
        <w:rPr>
          <w:rStyle w:val="Strong"/>
          <w:rFonts w:ascii="Arial" w:eastAsiaTheme="majorEastAsia" w:hAnsi="Arial" w:cs="Arial"/>
          <w:b w:val="0"/>
          <w:bCs w:val="0"/>
          <w:sz w:val="20"/>
          <w:szCs w:val="20"/>
        </w:rPr>
        <w:t>M. B.,</w:t>
      </w:r>
      <w:proofErr w:type="gramEnd"/>
      <w:r w:rsidRPr="00801F94">
        <w:rPr>
          <w:rStyle w:val="Strong"/>
          <w:rFonts w:ascii="Arial" w:eastAsiaTheme="majorEastAsia" w:hAnsi="Arial" w:cs="Arial"/>
          <w:b w:val="0"/>
          <w:bCs w:val="0"/>
          <w:sz w:val="20"/>
          <w:szCs w:val="20"/>
        </w:rPr>
        <w:t xml:space="preserve"> Zhou, J.L., Ngo, H. H., </w:t>
      </w:r>
      <w:proofErr w:type="spellStart"/>
      <w:r w:rsidRPr="00801F94">
        <w:rPr>
          <w:rStyle w:val="Strong"/>
          <w:rFonts w:ascii="Arial" w:eastAsiaTheme="majorEastAsia" w:hAnsi="Arial" w:cs="Arial"/>
          <w:b w:val="0"/>
          <w:bCs w:val="0"/>
          <w:sz w:val="20"/>
          <w:szCs w:val="20"/>
        </w:rPr>
        <w:t>Guo</w:t>
      </w:r>
      <w:proofErr w:type="spellEnd"/>
      <w:r w:rsidRPr="00801F94">
        <w:rPr>
          <w:rStyle w:val="Strong"/>
          <w:rFonts w:ascii="Arial" w:eastAsiaTheme="majorEastAsia" w:hAnsi="Arial" w:cs="Arial"/>
          <w:b w:val="0"/>
          <w:bCs w:val="0"/>
          <w:sz w:val="20"/>
          <w:szCs w:val="20"/>
        </w:rPr>
        <w:t xml:space="preserve">, W., &amp; </w:t>
      </w:r>
      <w:proofErr w:type="spellStart"/>
      <w:r w:rsidRPr="00801F94">
        <w:rPr>
          <w:rStyle w:val="Strong"/>
          <w:rFonts w:ascii="Arial" w:eastAsiaTheme="majorEastAsia" w:hAnsi="Arial" w:cs="Arial"/>
          <w:b w:val="0"/>
          <w:bCs w:val="0"/>
          <w:sz w:val="20"/>
          <w:szCs w:val="20"/>
        </w:rPr>
        <w:t>Thomaidis</w:t>
      </w:r>
      <w:proofErr w:type="spellEnd"/>
      <w:r w:rsidRPr="00801F94">
        <w:rPr>
          <w:rStyle w:val="Strong"/>
          <w:rFonts w:ascii="Arial" w:eastAsiaTheme="majorEastAsia" w:hAnsi="Arial" w:cs="Arial"/>
          <w:b w:val="0"/>
          <w:bCs w:val="0"/>
          <w:sz w:val="20"/>
          <w:szCs w:val="20"/>
        </w:rPr>
        <w:t>, N. S. (2017)</w:t>
      </w:r>
      <w:r w:rsidRPr="00801F94">
        <w:rPr>
          <w:rFonts w:ascii="Arial" w:hAnsi="Arial" w:cs="Arial"/>
          <w:sz w:val="20"/>
          <w:szCs w:val="20"/>
        </w:rPr>
        <w:t xml:space="preserve">. </w:t>
      </w:r>
      <w:r w:rsidRPr="00801F94">
        <w:rPr>
          <w:rStyle w:val="Emphasis"/>
          <w:rFonts w:ascii="Arial" w:eastAsiaTheme="majorEastAsia" w:hAnsi="Arial" w:cs="Arial"/>
          <w:i w:val="0"/>
          <w:iCs w:val="0"/>
          <w:sz w:val="20"/>
          <w:szCs w:val="20"/>
        </w:rPr>
        <w:t>Progress in the biological and chemical treatment technologies for emerging contaminant removal from wastewater: A critical review</w:t>
      </w:r>
      <w:r w:rsidRPr="00801F94">
        <w:rPr>
          <w:rFonts w:ascii="Arial" w:hAnsi="Arial" w:cs="Arial"/>
          <w:sz w:val="20"/>
          <w:szCs w:val="20"/>
        </w:rPr>
        <w:t xml:space="preserve">. </w:t>
      </w:r>
      <w:r w:rsidRPr="00801F94">
        <w:rPr>
          <w:rStyle w:val="Emphasis"/>
          <w:rFonts w:ascii="Arial" w:eastAsiaTheme="majorEastAsia" w:hAnsi="Arial" w:cs="Arial"/>
          <w:i w:val="0"/>
          <w:iCs w:val="0"/>
          <w:sz w:val="20"/>
          <w:szCs w:val="20"/>
        </w:rPr>
        <w:t>Journal of Hazardous Materials</w:t>
      </w:r>
      <w:r w:rsidRPr="00801F94">
        <w:rPr>
          <w:rFonts w:ascii="Arial" w:hAnsi="Arial" w:cs="Arial"/>
          <w:sz w:val="20"/>
          <w:szCs w:val="20"/>
        </w:rPr>
        <w:t>, 323, 274–298.</w:t>
      </w:r>
    </w:p>
    <w:p w:rsidR="00223DA3" w:rsidRPr="00801F94" w:rsidRDefault="00223DA3" w:rsidP="00140547">
      <w:pPr>
        <w:pStyle w:val="ListParagraph"/>
        <w:numPr>
          <w:ilvl w:val="0"/>
          <w:numId w:val="31"/>
        </w:numPr>
        <w:spacing w:after="200"/>
        <w:ind w:left="714" w:hanging="357"/>
        <w:rPr>
          <w:rFonts w:ascii="Arial" w:hAnsi="Arial" w:cs="Arial"/>
        </w:rPr>
      </w:pPr>
      <w:r w:rsidRPr="00801F94">
        <w:rPr>
          <w:rFonts w:ascii="Arial" w:hAnsi="Arial" w:cs="Arial"/>
        </w:rPr>
        <w:t xml:space="preserve">Ajala, O. A., Akinnawo, S. O., Bamisaye, A., Adedipe, D. T., Adesina, M. O., Okon-Akan, O. A., Adebusuyi, T. A., Ojedokun, A. T., Adegoke, K. A., &amp; Bello, O. S. (2023). Adsorptive removal of antibiotic pollutants from wastewater using biomass/biochar-based adsorbents. </w:t>
      </w:r>
      <w:r w:rsidRPr="00801F94">
        <w:rPr>
          <w:rFonts w:ascii="Arial" w:eastAsiaTheme="majorEastAsia" w:hAnsi="Arial" w:cs="Arial"/>
        </w:rPr>
        <w:t>RSC Advances, 13</w:t>
      </w:r>
      <w:r w:rsidRPr="00801F94">
        <w:rPr>
          <w:rFonts w:ascii="Arial" w:hAnsi="Arial" w:cs="Arial"/>
        </w:rPr>
        <w:t xml:space="preserve">(7), 4678–4712. </w:t>
      </w:r>
    </w:p>
    <w:p w:rsidR="00223DA3" w:rsidRPr="00801F94" w:rsidRDefault="00223DA3" w:rsidP="00140547">
      <w:pPr>
        <w:pStyle w:val="ListParagraph"/>
        <w:numPr>
          <w:ilvl w:val="0"/>
          <w:numId w:val="31"/>
        </w:numPr>
        <w:ind w:left="714" w:hanging="357"/>
        <w:rPr>
          <w:rFonts w:ascii="Arial" w:hAnsi="Arial" w:cs="Arial"/>
        </w:rPr>
      </w:pPr>
      <w:r w:rsidRPr="00801F94">
        <w:rPr>
          <w:rFonts w:ascii="Arial" w:hAnsi="Arial" w:cs="Arial"/>
        </w:rPr>
        <w:t>Akin Sahbaz, D. (2023). Enhanced Adsorption Performance Cross-Linked Chitosan/</w:t>
      </w:r>
      <w:r w:rsidRPr="00801F94">
        <w:rPr>
          <w:rFonts w:ascii="Arial" w:hAnsi="Arial" w:cs="Arial"/>
          <w:i/>
          <w:iCs/>
        </w:rPr>
        <w:t>Citrus reticulata</w:t>
      </w:r>
      <w:r w:rsidRPr="00801F94">
        <w:rPr>
          <w:rFonts w:ascii="Arial" w:hAnsi="Arial" w:cs="Arial"/>
        </w:rPr>
        <w:t xml:space="preserve"> Peel Waste Composites as Low-Cost and Green Bio-Adsorbents: Kinetic, Equilibrium Isotherm, and Thermodynamic Studies. Polymers, 15(15), 3246. </w:t>
      </w:r>
      <w:hyperlink r:id="rId47" w:history="1">
        <w:r w:rsidRPr="00801F94">
          <w:rPr>
            <w:rStyle w:val="Hyperlink"/>
            <w:rFonts w:ascii="Arial" w:hAnsi="Arial" w:cs="Arial"/>
            <w:color w:val="auto"/>
            <w:u w:val="none"/>
          </w:rPr>
          <w:t>https://doi.org/10.3390/polym15153246</w:t>
        </w:r>
      </w:hyperlink>
    </w:p>
    <w:p w:rsidR="00223DA3" w:rsidRPr="00801F94" w:rsidRDefault="00223DA3" w:rsidP="00140547">
      <w:pPr>
        <w:pStyle w:val="ListParagraph"/>
        <w:numPr>
          <w:ilvl w:val="0"/>
          <w:numId w:val="31"/>
        </w:numPr>
        <w:spacing w:after="200"/>
        <w:ind w:left="714" w:hanging="357"/>
        <w:rPr>
          <w:rFonts w:ascii="Arial" w:hAnsi="Arial" w:cs="Arial"/>
        </w:rPr>
      </w:pPr>
      <w:r w:rsidRPr="00801F94">
        <w:rPr>
          <w:rFonts w:ascii="Arial" w:hAnsi="Arial" w:cs="Arial"/>
        </w:rPr>
        <w:t xml:space="preserve">Alawa, B., Singh, S., Chakma, S., Kishor, R., Stålsby Lundborg, C., &amp; Diwan, V. (2025). Development of novel biochar adsorbent using agricultural waste biomass for enhanced removal of ciprofloxacin from water: Insights into the isotherm, kinetics, and thermodynamic analysis. </w:t>
      </w:r>
      <w:r w:rsidRPr="00801F94">
        <w:rPr>
          <w:rFonts w:ascii="Arial" w:eastAsiaTheme="majorEastAsia" w:hAnsi="Arial" w:cs="Arial"/>
        </w:rPr>
        <w:t>Chemosphere, 375</w:t>
      </w:r>
      <w:r w:rsidRPr="00801F94">
        <w:rPr>
          <w:rFonts w:ascii="Arial" w:hAnsi="Arial" w:cs="Arial"/>
        </w:rPr>
        <w:t xml:space="preserve">, 144252. </w:t>
      </w:r>
      <w:hyperlink r:id="rId48" w:history="1">
        <w:r w:rsidRPr="00801F94">
          <w:rPr>
            <w:rStyle w:val="Hyperlink"/>
            <w:rFonts w:ascii="Arial" w:eastAsiaTheme="majorEastAsia" w:hAnsi="Arial" w:cs="Arial"/>
            <w:color w:val="auto"/>
            <w:u w:val="none"/>
          </w:rPr>
          <w:t>https://doi.org/10.1016/j.chemosphere.2024.144252</w:t>
        </w:r>
      </w:hyperlink>
    </w:p>
    <w:p w:rsidR="00223DA3" w:rsidRPr="00801F94" w:rsidRDefault="00223DA3" w:rsidP="00140547">
      <w:pPr>
        <w:pStyle w:val="ListParagraph"/>
        <w:numPr>
          <w:ilvl w:val="0"/>
          <w:numId w:val="31"/>
        </w:numPr>
        <w:ind w:left="714" w:hanging="357"/>
        <w:rPr>
          <w:rFonts w:ascii="Arial" w:hAnsi="Arial" w:cs="Arial"/>
        </w:rPr>
      </w:pPr>
      <w:bookmarkStart w:id="17" w:name="_Hlk219431538"/>
      <w:r w:rsidRPr="00801F94">
        <w:rPr>
          <w:rFonts w:ascii="Arial" w:hAnsi="Arial" w:cs="Arial"/>
        </w:rPr>
        <w:t>Al-</w:t>
      </w:r>
      <w:proofErr w:type="spellStart"/>
      <w:r w:rsidRPr="00801F94">
        <w:rPr>
          <w:rFonts w:ascii="Arial" w:hAnsi="Arial" w:cs="Arial"/>
        </w:rPr>
        <w:t>Ghouti</w:t>
      </w:r>
      <w:proofErr w:type="spellEnd"/>
      <w:r w:rsidRPr="00801F94">
        <w:rPr>
          <w:rFonts w:ascii="Arial" w:hAnsi="Arial" w:cs="Arial"/>
        </w:rPr>
        <w:t xml:space="preserve"> M.A. &amp; </w:t>
      </w:r>
      <w:proofErr w:type="spellStart"/>
      <w:r w:rsidRPr="00801F94">
        <w:rPr>
          <w:rFonts w:ascii="Arial" w:hAnsi="Arial" w:cs="Arial"/>
        </w:rPr>
        <w:t>Da'ana</w:t>
      </w:r>
      <w:proofErr w:type="spellEnd"/>
      <w:r w:rsidRPr="00801F94">
        <w:rPr>
          <w:rFonts w:ascii="Arial" w:hAnsi="Arial" w:cs="Arial"/>
        </w:rPr>
        <w:t xml:space="preserve"> D.A</w:t>
      </w:r>
      <w:bookmarkEnd w:id="17"/>
      <w:proofErr w:type="gramStart"/>
      <w:r w:rsidRPr="00801F94">
        <w:rPr>
          <w:rFonts w:ascii="Arial" w:hAnsi="Arial" w:cs="Arial"/>
        </w:rPr>
        <w:t>.(</w:t>
      </w:r>
      <w:proofErr w:type="gramEnd"/>
      <w:r w:rsidRPr="00801F94">
        <w:rPr>
          <w:rFonts w:ascii="Arial" w:hAnsi="Arial" w:cs="Arial"/>
        </w:rPr>
        <w:t xml:space="preserve"> 2020). Guidelines for the use and interpretation of adsorption isotherm models: A review. J Hazard Mater. 2020 Jul 5</w:t>
      </w:r>
      <w:proofErr w:type="gramStart"/>
      <w:r w:rsidRPr="00801F94">
        <w:rPr>
          <w:rFonts w:ascii="Arial" w:hAnsi="Arial" w:cs="Arial"/>
        </w:rPr>
        <w:t>;393:122383</w:t>
      </w:r>
      <w:proofErr w:type="gramEnd"/>
      <w:r w:rsidRPr="00801F94">
        <w:rPr>
          <w:rFonts w:ascii="Arial" w:hAnsi="Arial" w:cs="Arial"/>
        </w:rPr>
        <w:t xml:space="preserve">. </w:t>
      </w:r>
      <w:proofErr w:type="spellStart"/>
      <w:proofErr w:type="gramStart"/>
      <w:r w:rsidRPr="00801F94">
        <w:rPr>
          <w:rFonts w:ascii="Arial" w:hAnsi="Arial" w:cs="Arial"/>
        </w:rPr>
        <w:t>doi</w:t>
      </w:r>
      <w:proofErr w:type="spellEnd"/>
      <w:proofErr w:type="gramEnd"/>
      <w:r w:rsidRPr="00801F94">
        <w:rPr>
          <w:rFonts w:ascii="Arial" w:hAnsi="Arial" w:cs="Arial"/>
        </w:rPr>
        <w:t xml:space="preserve">: 10.1016/j.jhazmat.2020.122383. </w:t>
      </w:r>
      <w:proofErr w:type="spellStart"/>
      <w:r w:rsidRPr="00801F94">
        <w:rPr>
          <w:rFonts w:ascii="Arial" w:hAnsi="Arial" w:cs="Arial"/>
        </w:rPr>
        <w:t>Epub</w:t>
      </w:r>
      <w:proofErr w:type="spellEnd"/>
      <w:r w:rsidRPr="00801F94">
        <w:rPr>
          <w:rFonts w:ascii="Arial" w:hAnsi="Arial" w:cs="Arial"/>
        </w:rPr>
        <w:t xml:space="preserve"> 2020 Feb 29. PMID: 32369889.</w:t>
      </w:r>
    </w:p>
    <w:p w:rsidR="00223DA3" w:rsidRPr="00801F94" w:rsidRDefault="00223DA3" w:rsidP="00140547">
      <w:pPr>
        <w:numPr>
          <w:ilvl w:val="0"/>
          <w:numId w:val="31"/>
        </w:numPr>
        <w:ind w:left="714" w:hanging="357"/>
        <w:contextualSpacing/>
        <w:rPr>
          <w:rFonts w:ascii="Arial" w:hAnsi="Arial" w:cs="Arial"/>
        </w:rPr>
      </w:pPr>
      <w:r w:rsidRPr="00801F94">
        <w:rPr>
          <w:rFonts w:ascii="Arial" w:hAnsi="Arial" w:cs="Arial"/>
        </w:rPr>
        <w:t>Al-</w:t>
      </w:r>
      <w:proofErr w:type="spellStart"/>
      <w:r w:rsidRPr="00801F94">
        <w:rPr>
          <w:rFonts w:ascii="Arial" w:hAnsi="Arial" w:cs="Arial"/>
        </w:rPr>
        <w:t>Joubory</w:t>
      </w:r>
      <w:proofErr w:type="spellEnd"/>
      <w:r w:rsidRPr="00801F94">
        <w:rPr>
          <w:rFonts w:ascii="Arial" w:hAnsi="Arial" w:cs="Arial"/>
        </w:rPr>
        <w:t>, T. G. H., Al-</w:t>
      </w:r>
      <w:proofErr w:type="spellStart"/>
      <w:r w:rsidRPr="00801F94">
        <w:rPr>
          <w:rFonts w:ascii="Arial" w:hAnsi="Arial" w:cs="Arial"/>
        </w:rPr>
        <w:t>Hyali</w:t>
      </w:r>
      <w:proofErr w:type="spellEnd"/>
      <w:r w:rsidRPr="00801F94">
        <w:rPr>
          <w:rFonts w:ascii="Arial" w:hAnsi="Arial" w:cs="Arial"/>
        </w:rPr>
        <w:t>, E. A. S., &amp; Al-</w:t>
      </w:r>
      <w:proofErr w:type="spellStart"/>
      <w:r w:rsidRPr="00801F94">
        <w:rPr>
          <w:rFonts w:ascii="Arial" w:hAnsi="Arial" w:cs="Arial"/>
        </w:rPr>
        <w:t>Hadeethi</w:t>
      </w:r>
      <w:proofErr w:type="spellEnd"/>
      <w:r w:rsidRPr="00801F94">
        <w:rPr>
          <w:rFonts w:ascii="Arial" w:hAnsi="Arial" w:cs="Arial"/>
        </w:rPr>
        <w:t>, M. R. (2023). Study of the factors affecting the adsorption efficiency of some chemical pesticides using activated carbon at the nanoscale. International Journal of Advanced Chemistry Research, 5(1), 89–98.</w:t>
      </w:r>
    </w:p>
    <w:p w:rsidR="00223DA3" w:rsidRPr="00801F94" w:rsidRDefault="00223DA3" w:rsidP="00140547">
      <w:pPr>
        <w:numPr>
          <w:ilvl w:val="0"/>
          <w:numId w:val="31"/>
        </w:numPr>
        <w:ind w:left="714" w:hanging="357"/>
        <w:contextualSpacing/>
        <w:rPr>
          <w:rFonts w:ascii="Arial" w:hAnsi="Arial" w:cs="Arial"/>
        </w:rPr>
      </w:pPr>
      <w:r w:rsidRPr="00801F94">
        <w:rPr>
          <w:rFonts w:ascii="Arial" w:hAnsi="Arial" w:cs="Arial"/>
        </w:rPr>
        <w:t>Al-Musawi, T. J., Mahdi, Z. M., &amp; Al-Sammarraie, A. M. (2017). Kinetic mode</w:t>
      </w:r>
      <w:r w:rsidR="00AA2365" w:rsidRPr="00801F94">
        <w:rPr>
          <w:rFonts w:ascii="Arial" w:hAnsi="Arial" w:cs="Arial"/>
        </w:rPr>
        <w:t>l</w:t>
      </w:r>
      <w:r w:rsidRPr="00801F94">
        <w:rPr>
          <w:rFonts w:ascii="Arial" w:hAnsi="Arial" w:cs="Arial"/>
        </w:rPr>
        <w:t xml:space="preserve">ling of antibiotics adsorption from aqueous solution using Brouers–Sotolongo fractal equation. Environmental Science and Pollution Research, 24(4), 4048–4057. </w:t>
      </w:r>
      <w:hyperlink r:id="rId49" w:history="1">
        <w:r w:rsidRPr="00801F94">
          <w:rPr>
            <w:rStyle w:val="Hyperlink"/>
            <w:rFonts w:ascii="Arial" w:hAnsi="Arial" w:cs="Arial"/>
            <w:color w:val="auto"/>
            <w:u w:val="none"/>
          </w:rPr>
          <w:t>https://doi.org/10.1007/s11356-016-8182-z</w:t>
        </w:r>
      </w:hyperlink>
    </w:p>
    <w:p w:rsidR="00223DA3" w:rsidRPr="00801F94" w:rsidRDefault="00223DA3" w:rsidP="00140547">
      <w:pPr>
        <w:numPr>
          <w:ilvl w:val="0"/>
          <w:numId w:val="31"/>
        </w:numPr>
        <w:ind w:left="714" w:hanging="357"/>
        <w:contextualSpacing/>
        <w:rPr>
          <w:rFonts w:ascii="Arial" w:hAnsi="Arial" w:cs="Arial"/>
        </w:rPr>
      </w:pPr>
      <w:proofErr w:type="spellStart"/>
      <w:r w:rsidRPr="00801F94">
        <w:rPr>
          <w:rFonts w:ascii="Arial" w:hAnsi="Arial" w:cs="Arial"/>
        </w:rPr>
        <w:t>Álvarez-Torrellas</w:t>
      </w:r>
      <w:proofErr w:type="spellEnd"/>
      <w:r w:rsidRPr="00801F94">
        <w:rPr>
          <w:rFonts w:ascii="Arial" w:hAnsi="Arial" w:cs="Arial"/>
        </w:rPr>
        <w:t xml:space="preserve">, S., Rodríguez, A., </w:t>
      </w:r>
      <w:proofErr w:type="spellStart"/>
      <w:r w:rsidRPr="00801F94">
        <w:rPr>
          <w:rFonts w:ascii="Arial" w:hAnsi="Arial" w:cs="Arial"/>
        </w:rPr>
        <w:t>Ovejero</w:t>
      </w:r>
      <w:proofErr w:type="spellEnd"/>
      <w:r w:rsidRPr="00801F94">
        <w:rPr>
          <w:rFonts w:ascii="Arial" w:hAnsi="Arial" w:cs="Arial"/>
        </w:rPr>
        <w:t xml:space="preserve">, G., </w:t>
      </w:r>
      <w:proofErr w:type="spellStart"/>
      <w:r w:rsidRPr="00801F94">
        <w:rPr>
          <w:rFonts w:ascii="Arial" w:hAnsi="Arial" w:cs="Arial"/>
        </w:rPr>
        <w:t>García</w:t>
      </w:r>
      <w:proofErr w:type="spellEnd"/>
      <w:r w:rsidRPr="00801F94">
        <w:rPr>
          <w:rFonts w:ascii="Arial" w:hAnsi="Arial" w:cs="Arial"/>
        </w:rPr>
        <w:t xml:space="preserve">, J. (2016). Comparative adsorption performance of ibuprofen and tetracycline from aqueous solution by carbonaceous materials. Chemical Engineering Journal, 283. 936-947  </w:t>
      </w:r>
    </w:p>
    <w:p w:rsidR="00223DA3" w:rsidRPr="00801F94" w:rsidRDefault="00223DA3" w:rsidP="001A2925">
      <w:pPr>
        <w:pStyle w:val="ListParagraph"/>
        <w:numPr>
          <w:ilvl w:val="0"/>
          <w:numId w:val="31"/>
        </w:numPr>
        <w:spacing w:after="200"/>
        <w:ind w:left="714" w:hanging="357"/>
        <w:rPr>
          <w:rFonts w:ascii="Arial" w:hAnsi="Arial" w:cs="Arial"/>
        </w:rPr>
      </w:pPr>
      <w:proofErr w:type="spellStart"/>
      <w:r w:rsidRPr="00801F94">
        <w:rPr>
          <w:rFonts w:ascii="Arial" w:hAnsi="Arial" w:cs="Arial"/>
        </w:rPr>
        <w:t>Asim</w:t>
      </w:r>
      <w:proofErr w:type="spellEnd"/>
      <w:r w:rsidRPr="00801F94">
        <w:rPr>
          <w:rFonts w:ascii="Arial" w:hAnsi="Arial" w:cs="Arial"/>
        </w:rPr>
        <w:t xml:space="preserve">, N., Z. </w:t>
      </w:r>
      <w:proofErr w:type="spellStart"/>
      <w:r w:rsidRPr="00801F94">
        <w:rPr>
          <w:rFonts w:ascii="Arial" w:hAnsi="Arial" w:cs="Arial"/>
        </w:rPr>
        <w:t>Emdadi</w:t>
      </w:r>
      <w:proofErr w:type="spellEnd"/>
      <w:r w:rsidRPr="00801F94">
        <w:rPr>
          <w:rFonts w:ascii="Arial" w:hAnsi="Arial" w:cs="Arial"/>
        </w:rPr>
        <w:t xml:space="preserve">, M. Mohammad, M. A. </w:t>
      </w:r>
      <w:proofErr w:type="spellStart"/>
      <w:r w:rsidRPr="00801F94">
        <w:rPr>
          <w:rFonts w:ascii="Arial" w:hAnsi="Arial" w:cs="Arial"/>
        </w:rPr>
        <w:t>Yarmo</w:t>
      </w:r>
      <w:proofErr w:type="spellEnd"/>
      <w:r w:rsidRPr="00801F94">
        <w:rPr>
          <w:rFonts w:ascii="Arial" w:hAnsi="Arial" w:cs="Arial"/>
        </w:rPr>
        <w:t xml:space="preserve">, &amp; K. </w:t>
      </w:r>
      <w:proofErr w:type="spellStart"/>
      <w:r w:rsidRPr="00801F94">
        <w:rPr>
          <w:rFonts w:ascii="Arial" w:hAnsi="Arial" w:cs="Arial"/>
        </w:rPr>
        <w:t>Sopian</w:t>
      </w:r>
      <w:proofErr w:type="spellEnd"/>
      <w:r w:rsidRPr="00801F94">
        <w:rPr>
          <w:rFonts w:ascii="Arial" w:hAnsi="Arial" w:cs="Arial"/>
        </w:rPr>
        <w:t xml:space="preserve">. (2015). “Agricultural Solid Wastes for Green Desiccant Applications: An Overview of Research </w:t>
      </w:r>
      <w:r w:rsidRPr="00801F94">
        <w:rPr>
          <w:rFonts w:ascii="Arial" w:hAnsi="Arial" w:cs="Arial"/>
        </w:rPr>
        <w:lastRenderedPageBreak/>
        <w:t xml:space="preserve">Achievements, Opportunities and Perspectives.” Journal of Cleaner Production 91:26–35. </w:t>
      </w:r>
      <w:hyperlink r:id="rId50" w:history="1">
        <w:r w:rsidRPr="00801F94">
          <w:rPr>
            <w:rStyle w:val="Hyperlink"/>
            <w:rFonts w:ascii="Arial" w:hAnsi="Arial" w:cs="Arial"/>
            <w:color w:val="auto"/>
            <w:u w:val="none"/>
          </w:rPr>
          <w:t>https://doi.org/10.1016/j.jclepro.2014.12.015</w:t>
        </w:r>
      </w:hyperlink>
      <w:r w:rsidRPr="00801F94">
        <w:rPr>
          <w:rFonts w:ascii="Arial" w:hAnsi="Arial" w:cs="Arial"/>
        </w:rPr>
        <w:t>.</w:t>
      </w:r>
    </w:p>
    <w:p w:rsidR="00223DA3" w:rsidRPr="00801F94" w:rsidRDefault="00223DA3" w:rsidP="001A2925">
      <w:pPr>
        <w:pStyle w:val="ListParagraph"/>
        <w:numPr>
          <w:ilvl w:val="0"/>
          <w:numId w:val="31"/>
        </w:numPr>
        <w:spacing w:after="200"/>
        <w:ind w:left="714" w:hanging="357"/>
        <w:rPr>
          <w:rFonts w:ascii="Arial" w:hAnsi="Arial" w:cs="Arial"/>
        </w:rPr>
      </w:pPr>
      <w:r w:rsidRPr="00801F94">
        <w:rPr>
          <w:rStyle w:val="Strong"/>
          <w:rFonts w:ascii="Arial" w:eastAsiaTheme="majorEastAsia" w:hAnsi="Arial" w:cs="Arial"/>
          <w:b w:val="0"/>
          <w:bCs w:val="0"/>
        </w:rPr>
        <w:t xml:space="preserve">Atta, H. A., </w:t>
      </w:r>
      <w:proofErr w:type="spellStart"/>
      <w:r w:rsidRPr="00801F94">
        <w:rPr>
          <w:rStyle w:val="Strong"/>
          <w:rFonts w:ascii="Arial" w:eastAsiaTheme="majorEastAsia" w:hAnsi="Arial" w:cs="Arial"/>
          <w:b w:val="0"/>
          <w:bCs w:val="0"/>
        </w:rPr>
        <w:t>Hummadi</w:t>
      </w:r>
      <w:proofErr w:type="spellEnd"/>
      <w:r w:rsidRPr="00801F94">
        <w:rPr>
          <w:rStyle w:val="Strong"/>
          <w:rFonts w:ascii="Arial" w:eastAsiaTheme="majorEastAsia" w:hAnsi="Arial" w:cs="Arial"/>
          <w:b w:val="0"/>
          <w:bCs w:val="0"/>
        </w:rPr>
        <w:t>, K. K., &amp; M-</w:t>
      </w:r>
      <w:proofErr w:type="spellStart"/>
      <w:r w:rsidRPr="00801F94">
        <w:rPr>
          <w:rStyle w:val="Strong"/>
          <w:rFonts w:ascii="Arial" w:eastAsiaTheme="majorEastAsia" w:hAnsi="Arial" w:cs="Arial"/>
          <w:b w:val="0"/>
          <w:bCs w:val="0"/>
        </w:rPr>
        <w:t>Ridha</w:t>
      </w:r>
      <w:proofErr w:type="spellEnd"/>
      <w:r w:rsidRPr="00801F94">
        <w:rPr>
          <w:rStyle w:val="Strong"/>
          <w:rFonts w:ascii="Arial" w:eastAsiaTheme="majorEastAsia" w:hAnsi="Arial" w:cs="Arial"/>
          <w:b w:val="0"/>
          <w:bCs w:val="0"/>
        </w:rPr>
        <w:t>, M. J.</w:t>
      </w:r>
      <w:r w:rsidRPr="00801F94">
        <w:rPr>
          <w:rFonts w:ascii="Arial" w:hAnsi="Arial" w:cs="Arial"/>
        </w:rPr>
        <w:t xml:space="preserve"> (2022). </w:t>
      </w:r>
      <w:r w:rsidRPr="00801F94">
        <w:rPr>
          <w:rStyle w:val="Emphasis"/>
          <w:rFonts w:ascii="Arial" w:eastAsiaTheme="majorEastAsia" w:hAnsi="Arial" w:cs="Arial"/>
          <w:i w:val="0"/>
          <w:iCs w:val="0"/>
        </w:rPr>
        <w:t>The application of response surface methodology and Design-Expert® for analysis of ciprofloxacin removal from aqueous solution using raw rice husk: kinetic and isotherm studies</w:t>
      </w:r>
      <w:r w:rsidRPr="00801F94">
        <w:rPr>
          <w:rFonts w:ascii="Arial" w:hAnsi="Arial" w:cs="Arial"/>
        </w:rPr>
        <w:t xml:space="preserve">. </w:t>
      </w:r>
      <w:r w:rsidRPr="00801F94">
        <w:rPr>
          <w:rStyle w:val="Strong"/>
          <w:rFonts w:ascii="Arial" w:eastAsiaTheme="majorEastAsia" w:hAnsi="Arial" w:cs="Arial"/>
          <w:b w:val="0"/>
          <w:bCs w:val="0"/>
        </w:rPr>
        <w:t>Desalination and Water Treatment</w:t>
      </w:r>
      <w:r w:rsidRPr="00801F94">
        <w:rPr>
          <w:rFonts w:ascii="Arial" w:hAnsi="Arial" w:cs="Arial"/>
        </w:rPr>
        <w:t xml:space="preserve">, 248, 203–216. </w:t>
      </w:r>
      <w:hyperlink r:id="rId51" w:history="1">
        <w:r w:rsidRPr="00801F94">
          <w:rPr>
            <w:rStyle w:val="Hyperlink"/>
            <w:rFonts w:ascii="Arial" w:eastAsiaTheme="majorEastAsia" w:hAnsi="Arial" w:cs="Arial"/>
            <w:color w:val="auto"/>
            <w:u w:val="none"/>
          </w:rPr>
          <w:t>https://www.deswater.com/DWT_articles/vol_248_papers/248_2022_203.pdf</w:t>
        </w:r>
      </w:hyperlink>
    </w:p>
    <w:p w:rsidR="00223DA3" w:rsidRPr="00801F94" w:rsidRDefault="00223DA3" w:rsidP="00140547">
      <w:pPr>
        <w:pStyle w:val="ListParagraph"/>
        <w:numPr>
          <w:ilvl w:val="0"/>
          <w:numId w:val="31"/>
        </w:numPr>
        <w:ind w:left="714" w:hanging="357"/>
        <w:rPr>
          <w:rFonts w:ascii="Arial" w:hAnsi="Arial" w:cs="Arial"/>
        </w:rPr>
      </w:pPr>
      <w:proofErr w:type="spellStart"/>
      <w:r w:rsidRPr="00801F94">
        <w:rPr>
          <w:rFonts w:ascii="Arial" w:hAnsi="Arial" w:cs="Arial"/>
        </w:rPr>
        <w:t>Balarak</w:t>
      </w:r>
      <w:proofErr w:type="spellEnd"/>
      <w:r w:rsidRPr="00801F94">
        <w:rPr>
          <w:rFonts w:ascii="Arial" w:hAnsi="Arial" w:cs="Arial"/>
        </w:rPr>
        <w:t xml:space="preserve"> D, </w:t>
      </w:r>
      <w:proofErr w:type="spellStart"/>
      <w:r w:rsidRPr="00801F94">
        <w:rPr>
          <w:rFonts w:ascii="Arial" w:hAnsi="Arial" w:cs="Arial"/>
        </w:rPr>
        <w:t>Jaafari</w:t>
      </w:r>
      <w:proofErr w:type="spellEnd"/>
      <w:r w:rsidRPr="00801F94">
        <w:rPr>
          <w:rFonts w:ascii="Arial" w:hAnsi="Arial" w:cs="Arial"/>
        </w:rPr>
        <w:t xml:space="preserve"> J, </w:t>
      </w:r>
      <w:proofErr w:type="spellStart"/>
      <w:r w:rsidRPr="00801F94">
        <w:rPr>
          <w:rFonts w:ascii="Arial" w:hAnsi="Arial" w:cs="Arial"/>
        </w:rPr>
        <w:t>Hassani</w:t>
      </w:r>
      <w:proofErr w:type="spellEnd"/>
      <w:r w:rsidRPr="00801F94">
        <w:rPr>
          <w:rFonts w:ascii="Arial" w:hAnsi="Arial" w:cs="Arial"/>
        </w:rPr>
        <w:t xml:space="preserve"> G, </w:t>
      </w:r>
      <w:proofErr w:type="spellStart"/>
      <w:r w:rsidRPr="00801F94">
        <w:rPr>
          <w:rFonts w:ascii="Arial" w:hAnsi="Arial" w:cs="Arial"/>
        </w:rPr>
        <w:t>Mahdavi</w:t>
      </w:r>
      <w:proofErr w:type="spellEnd"/>
      <w:r w:rsidRPr="00801F94">
        <w:rPr>
          <w:rFonts w:ascii="Arial" w:hAnsi="Arial" w:cs="Arial"/>
        </w:rPr>
        <w:t xml:space="preserve"> Y, </w:t>
      </w:r>
      <w:proofErr w:type="spellStart"/>
      <w:r w:rsidRPr="00801F94">
        <w:rPr>
          <w:rFonts w:ascii="Arial" w:hAnsi="Arial" w:cs="Arial"/>
        </w:rPr>
        <w:t>Tyagi</w:t>
      </w:r>
      <w:proofErr w:type="spellEnd"/>
      <w:r w:rsidRPr="00801F94">
        <w:rPr>
          <w:rFonts w:ascii="Arial" w:hAnsi="Arial" w:cs="Arial"/>
        </w:rPr>
        <w:t xml:space="preserve"> I, Agarwal S, Gupta VK (2015). The use of low</w:t>
      </w:r>
      <w:r w:rsidR="00DD55CB" w:rsidRPr="00801F94">
        <w:rPr>
          <w:rFonts w:ascii="Arial" w:hAnsi="Arial" w:cs="Arial"/>
        </w:rPr>
        <w:t>-</w:t>
      </w:r>
      <w:r w:rsidRPr="00801F94">
        <w:rPr>
          <w:rFonts w:ascii="Arial" w:hAnsi="Arial" w:cs="Arial"/>
        </w:rPr>
        <w:t xml:space="preserve">cost adsorbent (Canola Residues) for the adsorption of methylene blue from aqueous solution: isotherm, kinetic and thermodynamic studies. Colloids Interface </w:t>
      </w:r>
      <w:proofErr w:type="spellStart"/>
      <w:r w:rsidRPr="00801F94">
        <w:rPr>
          <w:rFonts w:ascii="Arial" w:hAnsi="Arial" w:cs="Arial"/>
        </w:rPr>
        <w:t>Sci</w:t>
      </w:r>
      <w:proofErr w:type="spellEnd"/>
      <w:r w:rsidRPr="00801F94">
        <w:rPr>
          <w:rFonts w:ascii="Arial" w:hAnsi="Arial" w:cs="Arial"/>
        </w:rPr>
        <w:t xml:space="preserve"> </w:t>
      </w:r>
      <w:proofErr w:type="spellStart"/>
      <w:r w:rsidRPr="00801F94">
        <w:rPr>
          <w:rFonts w:ascii="Arial" w:hAnsi="Arial" w:cs="Arial"/>
        </w:rPr>
        <w:t>Commun</w:t>
      </w:r>
      <w:proofErr w:type="spellEnd"/>
      <w:r w:rsidRPr="00801F94">
        <w:rPr>
          <w:rFonts w:ascii="Arial" w:hAnsi="Arial" w:cs="Arial"/>
        </w:rPr>
        <w:t xml:space="preserve"> 7:16–19. </w:t>
      </w:r>
    </w:p>
    <w:p w:rsidR="00223DA3" w:rsidRPr="00801F94" w:rsidRDefault="00223DA3" w:rsidP="00140547">
      <w:pPr>
        <w:pStyle w:val="NormalWeb"/>
        <w:numPr>
          <w:ilvl w:val="0"/>
          <w:numId w:val="31"/>
        </w:numPr>
        <w:ind w:left="714" w:hanging="357"/>
        <w:contextualSpacing/>
        <w:rPr>
          <w:rFonts w:ascii="Arial" w:hAnsi="Arial" w:cs="Arial"/>
          <w:sz w:val="20"/>
          <w:szCs w:val="20"/>
        </w:rPr>
      </w:pPr>
      <w:proofErr w:type="spellStart"/>
      <w:r w:rsidRPr="00801F94">
        <w:rPr>
          <w:rFonts w:ascii="Arial" w:hAnsi="Arial" w:cs="Arial"/>
          <w:sz w:val="20"/>
          <w:szCs w:val="20"/>
        </w:rPr>
        <w:t>Bezerra</w:t>
      </w:r>
      <w:proofErr w:type="spellEnd"/>
      <w:r w:rsidRPr="00801F94">
        <w:rPr>
          <w:rFonts w:ascii="Arial" w:hAnsi="Arial" w:cs="Arial"/>
          <w:sz w:val="20"/>
          <w:szCs w:val="20"/>
        </w:rPr>
        <w:t xml:space="preserve">, M. A., Santelli, R. E., Oliveira, E. P., </w:t>
      </w:r>
      <w:proofErr w:type="spellStart"/>
      <w:r w:rsidRPr="00801F94">
        <w:rPr>
          <w:rFonts w:ascii="Arial" w:hAnsi="Arial" w:cs="Arial"/>
          <w:sz w:val="20"/>
          <w:szCs w:val="20"/>
        </w:rPr>
        <w:t>Villar</w:t>
      </w:r>
      <w:proofErr w:type="spellEnd"/>
      <w:r w:rsidRPr="00801F94">
        <w:rPr>
          <w:rFonts w:ascii="Arial" w:hAnsi="Arial" w:cs="Arial"/>
          <w:sz w:val="20"/>
          <w:szCs w:val="20"/>
        </w:rPr>
        <w:t xml:space="preserve">, L. S., </w:t>
      </w:r>
      <w:proofErr w:type="spellStart"/>
      <w:r w:rsidRPr="00801F94">
        <w:rPr>
          <w:rFonts w:ascii="Arial" w:hAnsi="Arial" w:cs="Arial"/>
          <w:sz w:val="20"/>
          <w:szCs w:val="20"/>
        </w:rPr>
        <w:t>Ebling</w:t>
      </w:r>
      <w:proofErr w:type="spellEnd"/>
      <w:r w:rsidRPr="00801F94">
        <w:rPr>
          <w:rFonts w:ascii="Arial" w:hAnsi="Arial" w:cs="Arial"/>
          <w:sz w:val="20"/>
          <w:szCs w:val="20"/>
        </w:rPr>
        <w:t xml:space="preserve">, M. C., &amp; de M. L. G. A. L. (2008). Response surface methodology (RSM) as a tool for optimization in analytical chemistry. </w:t>
      </w:r>
      <w:proofErr w:type="spellStart"/>
      <w:r w:rsidRPr="00801F94">
        <w:rPr>
          <w:rFonts w:ascii="Arial" w:hAnsi="Arial" w:cs="Arial"/>
          <w:sz w:val="20"/>
          <w:szCs w:val="20"/>
        </w:rPr>
        <w:t>Talanta</w:t>
      </w:r>
      <w:proofErr w:type="spellEnd"/>
      <w:r w:rsidRPr="00801F94">
        <w:rPr>
          <w:rFonts w:ascii="Arial" w:hAnsi="Arial" w:cs="Arial"/>
          <w:sz w:val="20"/>
          <w:szCs w:val="20"/>
        </w:rPr>
        <w:t xml:space="preserve">, 76(5), 965-976. </w:t>
      </w:r>
      <w:hyperlink r:id="rId52" w:tgtFrame="_blank" w:history="1">
        <w:r w:rsidRPr="00801F94">
          <w:rPr>
            <w:rStyle w:val="Hyperlink"/>
            <w:rFonts w:ascii="Arial" w:hAnsi="Arial" w:cs="Arial"/>
            <w:color w:val="auto"/>
            <w:sz w:val="20"/>
            <w:szCs w:val="20"/>
            <w:u w:val="none"/>
          </w:rPr>
          <w:t>https://doi.org/10.1016/j.talanta.2008.05.019</w:t>
        </w:r>
      </w:hyperlink>
    </w:p>
    <w:p w:rsidR="00223DA3" w:rsidRPr="00801F94" w:rsidRDefault="00223DA3" w:rsidP="00140547">
      <w:pPr>
        <w:pStyle w:val="NormalWeb"/>
        <w:numPr>
          <w:ilvl w:val="0"/>
          <w:numId w:val="31"/>
        </w:numPr>
        <w:ind w:left="714" w:hanging="357"/>
        <w:contextualSpacing/>
        <w:rPr>
          <w:rFonts w:ascii="Arial" w:hAnsi="Arial" w:cs="Arial"/>
          <w:sz w:val="20"/>
          <w:szCs w:val="20"/>
        </w:rPr>
      </w:pPr>
      <w:r w:rsidRPr="00801F94">
        <w:rPr>
          <w:rStyle w:val="Strong"/>
          <w:rFonts w:ascii="Arial" w:eastAsiaTheme="majorEastAsia" w:hAnsi="Arial" w:cs="Arial"/>
          <w:b w:val="0"/>
          <w:bCs w:val="0"/>
          <w:sz w:val="20"/>
          <w:szCs w:val="20"/>
        </w:rPr>
        <w:t>Bhattacharyya, K.G. &amp; Sharma, A. (2004)</w:t>
      </w:r>
      <w:r w:rsidRPr="00801F94">
        <w:rPr>
          <w:rFonts w:ascii="Arial" w:hAnsi="Arial" w:cs="Arial"/>
          <w:sz w:val="20"/>
          <w:szCs w:val="20"/>
        </w:rPr>
        <w:t xml:space="preserve">. </w:t>
      </w:r>
      <w:proofErr w:type="spellStart"/>
      <w:r w:rsidRPr="00801F94">
        <w:rPr>
          <w:rFonts w:ascii="Arial" w:hAnsi="Arial" w:cs="Arial"/>
          <w:i/>
          <w:iCs/>
          <w:sz w:val="20"/>
          <w:szCs w:val="20"/>
        </w:rPr>
        <w:t>Azadirachta</w:t>
      </w:r>
      <w:proofErr w:type="spellEnd"/>
      <w:r w:rsidRPr="00801F94">
        <w:rPr>
          <w:rFonts w:ascii="Arial" w:hAnsi="Arial" w:cs="Arial"/>
          <w:i/>
          <w:iCs/>
          <w:sz w:val="20"/>
          <w:szCs w:val="20"/>
        </w:rPr>
        <w:t xml:space="preserve"> </w:t>
      </w:r>
      <w:proofErr w:type="spellStart"/>
      <w:r w:rsidRPr="00801F94">
        <w:rPr>
          <w:rFonts w:ascii="Arial" w:hAnsi="Arial" w:cs="Arial"/>
          <w:i/>
          <w:iCs/>
          <w:sz w:val="20"/>
          <w:szCs w:val="20"/>
        </w:rPr>
        <w:t>indica</w:t>
      </w:r>
      <w:proofErr w:type="spellEnd"/>
      <w:r w:rsidRPr="00801F94">
        <w:rPr>
          <w:rFonts w:ascii="Arial" w:hAnsi="Arial" w:cs="Arial"/>
          <w:sz w:val="20"/>
          <w:szCs w:val="20"/>
        </w:rPr>
        <w:t xml:space="preserve"> leaf powder as an effective </w:t>
      </w:r>
      <w:proofErr w:type="spellStart"/>
      <w:r w:rsidRPr="00801F94">
        <w:rPr>
          <w:rFonts w:ascii="Arial" w:hAnsi="Arial" w:cs="Arial"/>
          <w:sz w:val="20"/>
          <w:szCs w:val="20"/>
        </w:rPr>
        <w:t>biosorbent</w:t>
      </w:r>
      <w:proofErr w:type="spellEnd"/>
      <w:r w:rsidRPr="00801F94">
        <w:rPr>
          <w:rFonts w:ascii="Arial" w:hAnsi="Arial" w:cs="Arial"/>
          <w:sz w:val="20"/>
          <w:szCs w:val="20"/>
        </w:rPr>
        <w:t xml:space="preserve"> for dyes: a case study with aqueous Congo Red solutions, Journal of Environmental Management,71(3), 217-229</w:t>
      </w:r>
    </w:p>
    <w:p w:rsidR="00223DA3" w:rsidRPr="00801F94" w:rsidRDefault="00223DA3" w:rsidP="00140547">
      <w:pPr>
        <w:pStyle w:val="NormalWeb"/>
        <w:numPr>
          <w:ilvl w:val="0"/>
          <w:numId w:val="31"/>
        </w:numPr>
        <w:ind w:left="720"/>
        <w:contextualSpacing/>
        <w:rPr>
          <w:rFonts w:ascii="Arial" w:hAnsi="Arial" w:cs="Arial"/>
          <w:sz w:val="20"/>
          <w:szCs w:val="20"/>
        </w:rPr>
      </w:pPr>
      <w:r w:rsidRPr="00801F94">
        <w:rPr>
          <w:rFonts w:ascii="Arial" w:hAnsi="Arial" w:cs="Arial"/>
          <w:sz w:val="20"/>
          <w:szCs w:val="20"/>
        </w:rPr>
        <w:t>Boyd, G. E., Adamson, A. W., &amp; Myers, L. S. (1947). The exchange adsorption of ions from aqueous solutions by organic zeolites. II. Kinetics. Journal of the American Chemical Society, 69(11), 2836-2840.</w:t>
      </w:r>
    </w:p>
    <w:p w:rsidR="00223DA3" w:rsidRPr="00801F94" w:rsidRDefault="00223DA3" w:rsidP="00140547">
      <w:pPr>
        <w:pStyle w:val="NormalWeb"/>
        <w:numPr>
          <w:ilvl w:val="0"/>
          <w:numId w:val="31"/>
        </w:numPr>
        <w:ind w:left="714" w:hanging="357"/>
        <w:contextualSpacing/>
        <w:rPr>
          <w:rFonts w:ascii="Arial" w:hAnsi="Arial" w:cs="Arial"/>
          <w:sz w:val="20"/>
          <w:szCs w:val="20"/>
        </w:rPr>
      </w:pPr>
      <w:proofErr w:type="spellStart"/>
      <w:r w:rsidRPr="00801F94">
        <w:rPr>
          <w:rStyle w:val="Strong"/>
          <w:rFonts w:ascii="Arial" w:eastAsiaTheme="majorEastAsia" w:hAnsi="Arial" w:cs="Arial"/>
          <w:b w:val="0"/>
          <w:bCs w:val="0"/>
          <w:sz w:val="20"/>
          <w:szCs w:val="20"/>
        </w:rPr>
        <w:t>Crini</w:t>
      </w:r>
      <w:proofErr w:type="spellEnd"/>
      <w:r w:rsidRPr="00801F94">
        <w:rPr>
          <w:rStyle w:val="Strong"/>
          <w:rFonts w:ascii="Arial" w:eastAsiaTheme="majorEastAsia" w:hAnsi="Arial" w:cs="Arial"/>
          <w:b w:val="0"/>
          <w:bCs w:val="0"/>
          <w:sz w:val="20"/>
          <w:szCs w:val="20"/>
        </w:rPr>
        <w:t xml:space="preserve">, G. &amp; </w:t>
      </w:r>
      <w:proofErr w:type="spellStart"/>
      <w:r w:rsidRPr="00801F94">
        <w:rPr>
          <w:rStyle w:val="Strong"/>
          <w:rFonts w:ascii="Arial" w:eastAsiaTheme="majorEastAsia" w:hAnsi="Arial" w:cs="Arial"/>
          <w:b w:val="0"/>
          <w:bCs w:val="0"/>
          <w:sz w:val="20"/>
          <w:szCs w:val="20"/>
        </w:rPr>
        <w:t>Lichtfouse</w:t>
      </w:r>
      <w:proofErr w:type="spellEnd"/>
      <w:r w:rsidRPr="00801F94">
        <w:rPr>
          <w:rStyle w:val="Strong"/>
          <w:rFonts w:ascii="Arial" w:eastAsiaTheme="majorEastAsia" w:hAnsi="Arial" w:cs="Arial"/>
          <w:b w:val="0"/>
          <w:bCs w:val="0"/>
          <w:sz w:val="20"/>
          <w:szCs w:val="20"/>
        </w:rPr>
        <w:t>, E. (2019)</w:t>
      </w:r>
      <w:r w:rsidRPr="00801F94">
        <w:rPr>
          <w:rFonts w:ascii="Arial" w:hAnsi="Arial" w:cs="Arial"/>
          <w:sz w:val="20"/>
          <w:szCs w:val="20"/>
        </w:rPr>
        <w:t xml:space="preserve">. </w:t>
      </w:r>
      <w:r w:rsidRPr="00801F94">
        <w:rPr>
          <w:rStyle w:val="Emphasis"/>
          <w:rFonts w:ascii="Arial" w:eastAsiaTheme="majorEastAsia" w:hAnsi="Arial" w:cs="Arial"/>
          <w:i w:val="0"/>
          <w:iCs w:val="0"/>
          <w:sz w:val="20"/>
          <w:szCs w:val="20"/>
        </w:rPr>
        <w:t>Advantages and disadvantages of techniques used for wastewater treatment</w:t>
      </w:r>
      <w:r w:rsidRPr="00801F94">
        <w:rPr>
          <w:rFonts w:ascii="Arial" w:hAnsi="Arial" w:cs="Arial"/>
          <w:sz w:val="20"/>
          <w:szCs w:val="20"/>
        </w:rPr>
        <w:t xml:space="preserve">. </w:t>
      </w:r>
      <w:r w:rsidRPr="00801F94">
        <w:rPr>
          <w:rStyle w:val="Emphasis"/>
          <w:rFonts w:ascii="Arial" w:eastAsiaTheme="majorEastAsia" w:hAnsi="Arial" w:cs="Arial"/>
          <w:i w:val="0"/>
          <w:iCs w:val="0"/>
          <w:sz w:val="20"/>
          <w:szCs w:val="20"/>
        </w:rPr>
        <w:t>Environmental Chemistry Letters</w:t>
      </w:r>
      <w:r w:rsidRPr="00801F94">
        <w:rPr>
          <w:rFonts w:ascii="Arial" w:hAnsi="Arial" w:cs="Arial"/>
          <w:sz w:val="20"/>
          <w:szCs w:val="20"/>
        </w:rPr>
        <w:t>, 17, 145–155.</w:t>
      </w:r>
    </w:p>
    <w:p w:rsidR="00223DA3" w:rsidRPr="00801F94" w:rsidRDefault="00223DA3" w:rsidP="00140547">
      <w:pPr>
        <w:pStyle w:val="ListParagraph"/>
        <w:numPr>
          <w:ilvl w:val="0"/>
          <w:numId w:val="31"/>
        </w:numPr>
        <w:ind w:left="714" w:hanging="357"/>
        <w:rPr>
          <w:rFonts w:ascii="Arial" w:hAnsi="Arial" w:cs="Arial"/>
        </w:rPr>
      </w:pPr>
      <w:bookmarkStart w:id="18" w:name="_Hlk219433450"/>
      <w:r w:rsidRPr="00801F94">
        <w:rPr>
          <w:rFonts w:ascii="Arial" w:hAnsi="Arial" w:cs="Arial"/>
        </w:rPr>
        <w:t xml:space="preserve">Darweesh, </w:t>
      </w:r>
      <w:bookmarkEnd w:id="18"/>
      <w:r w:rsidRPr="00801F94">
        <w:rPr>
          <w:rFonts w:ascii="Arial" w:hAnsi="Arial" w:cs="Arial"/>
        </w:rPr>
        <w:t>R. F. H., Zaki, R. M., Mahdy, A. &amp; Ahmed, A. S. A., (2026).  Enhanced adsorption of methylene blue (MB) dye by the MoS2/ZIF-8 composite: isotherm and kinetics studies,Mater. Adv.,7(1),338-350</w:t>
      </w:r>
    </w:p>
    <w:p w:rsidR="00223DA3" w:rsidRPr="00801F94" w:rsidRDefault="00223DA3" w:rsidP="00140547">
      <w:pPr>
        <w:pStyle w:val="ListParagraph"/>
        <w:numPr>
          <w:ilvl w:val="0"/>
          <w:numId w:val="31"/>
        </w:numPr>
        <w:ind w:left="714" w:hanging="357"/>
        <w:rPr>
          <w:rFonts w:ascii="Arial" w:hAnsi="Arial" w:cs="Arial"/>
        </w:rPr>
      </w:pPr>
      <w:proofErr w:type="spellStart"/>
      <w:r w:rsidRPr="00801F94">
        <w:rPr>
          <w:rFonts w:ascii="Arial" w:hAnsi="Arial" w:cs="Arial"/>
        </w:rPr>
        <w:t>Demirtaş</w:t>
      </w:r>
      <w:proofErr w:type="spellEnd"/>
      <w:r w:rsidRPr="00801F94">
        <w:rPr>
          <w:rFonts w:ascii="Arial" w:hAnsi="Arial" w:cs="Arial"/>
        </w:rPr>
        <w:t xml:space="preserve"> H, </w:t>
      </w:r>
      <w:proofErr w:type="spellStart"/>
      <w:r w:rsidRPr="00801F94">
        <w:rPr>
          <w:rFonts w:ascii="Arial" w:hAnsi="Arial" w:cs="Arial"/>
        </w:rPr>
        <w:t>Taşar</w:t>
      </w:r>
      <w:proofErr w:type="spellEnd"/>
      <w:r w:rsidRPr="00801F94">
        <w:rPr>
          <w:rFonts w:ascii="Arial" w:hAnsi="Arial" w:cs="Arial"/>
        </w:rPr>
        <w:t xml:space="preserve"> Ş, Kaya F. &amp; </w:t>
      </w:r>
      <w:proofErr w:type="spellStart"/>
      <w:r w:rsidRPr="00801F94">
        <w:rPr>
          <w:rFonts w:ascii="Arial" w:hAnsi="Arial" w:cs="Arial"/>
        </w:rPr>
        <w:t>Özer</w:t>
      </w:r>
      <w:proofErr w:type="spellEnd"/>
      <w:r w:rsidRPr="00801F94">
        <w:rPr>
          <w:rFonts w:ascii="Arial" w:hAnsi="Arial" w:cs="Arial"/>
        </w:rPr>
        <w:t xml:space="preserve"> A (2022). Sorption of BB41 dye molecules using </w:t>
      </w:r>
      <w:r w:rsidR="00AA2365" w:rsidRPr="00801F94">
        <w:rPr>
          <w:rFonts w:ascii="Arial" w:hAnsi="Arial" w:cs="Arial"/>
        </w:rPr>
        <w:t>chitosan</w:t>
      </w:r>
      <w:r w:rsidRPr="00801F94">
        <w:rPr>
          <w:rFonts w:ascii="Arial" w:hAnsi="Arial" w:cs="Arial"/>
        </w:rPr>
        <w:t xml:space="preserve">-based particles from aqueous solutions: </w:t>
      </w:r>
      <w:r w:rsidR="00DD55CB" w:rsidRPr="00801F94">
        <w:rPr>
          <w:rFonts w:ascii="Arial" w:hAnsi="Arial" w:cs="Arial"/>
        </w:rPr>
        <w:t>A</w:t>
      </w:r>
      <w:r w:rsidRPr="00801F94">
        <w:rPr>
          <w:rFonts w:ascii="Arial" w:hAnsi="Arial" w:cs="Arial"/>
        </w:rPr>
        <w:t xml:space="preserve"> kinetic and thermodynamic evaluation. J Environ </w:t>
      </w:r>
      <w:proofErr w:type="spellStart"/>
      <w:r w:rsidRPr="00801F94">
        <w:rPr>
          <w:rFonts w:ascii="Arial" w:hAnsi="Arial" w:cs="Arial"/>
        </w:rPr>
        <w:t>Chem</w:t>
      </w:r>
      <w:proofErr w:type="spellEnd"/>
      <w:r w:rsidRPr="00801F94">
        <w:rPr>
          <w:rFonts w:ascii="Arial" w:hAnsi="Arial" w:cs="Arial"/>
        </w:rPr>
        <w:t xml:space="preserve"> </w:t>
      </w:r>
      <w:proofErr w:type="spellStart"/>
      <w:r w:rsidRPr="00801F94">
        <w:rPr>
          <w:rFonts w:ascii="Arial" w:hAnsi="Arial" w:cs="Arial"/>
        </w:rPr>
        <w:t>Eng</w:t>
      </w:r>
      <w:proofErr w:type="spellEnd"/>
      <w:r w:rsidRPr="00801F94">
        <w:rPr>
          <w:rFonts w:ascii="Arial" w:hAnsi="Arial" w:cs="Arial"/>
        </w:rPr>
        <w:t xml:space="preserve"> 10(4):108062. </w:t>
      </w:r>
    </w:p>
    <w:p w:rsidR="00223DA3" w:rsidRPr="00801F94" w:rsidRDefault="00223DA3" w:rsidP="001A2925">
      <w:pPr>
        <w:pStyle w:val="ListParagraph"/>
        <w:numPr>
          <w:ilvl w:val="0"/>
          <w:numId w:val="31"/>
        </w:numPr>
        <w:spacing w:after="200"/>
        <w:ind w:left="720"/>
        <w:rPr>
          <w:rFonts w:ascii="Arial" w:hAnsi="Arial" w:cs="Arial"/>
        </w:rPr>
      </w:pPr>
      <w:proofErr w:type="spellStart"/>
      <w:r w:rsidRPr="00801F94">
        <w:rPr>
          <w:rFonts w:ascii="Arial" w:hAnsi="Arial" w:cs="Arial"/>
        </w:rPr>
        <w:t>Emdadi</w:t>
      </w:r>
      <w:proofErr w:type="spellEnd"/>
      <w:r w:rsidRPr="00801F94">
        <w:rPr>
          <w:rFonts w:ascii="Arial" w:hAnsi="Arial" w:cs="Arial"/>
        </w:rPr>
        <w:t xml:space="preserve">, Z., N. </w:t>
      </w:r>
      <w:proofErr w:type="spellStart"/>
      <w:r w:rsidRPr="00801F94">
        <w:rPr>
          <w:rFonts w:ascii="Arial" w:hAnsi="Arial" w:cs="Arial"/>
        </w:rPr>
        <w:t>Asim</w:t>
      </w:r>
      <w:proofErr w:type="spellEnd"/>
      <w:r w:rsidRPr="00801F94">
        <w:rPr>
          <w:rFonts w:ascii="Arial" w:hAnsi="Arial" w:cs="Arial"/>
        </w:rPr>
        <w:t xml:space="preserve">, M. Ambar </w:t>
      </w:r>
      <w:proofErr w:type="spellStart"/>
      <w:r w:rsidRPr="00801F94">
        <w:rPr>
          <w:rFonts w:ascii="Arial" w:hAnsi="Arial" w:cs="Arial"/>
        </w:rPr>
        <w:t>Yarmo</w:t>
      </w:r>
      <w:proofErr w:type="spellEnd"/>
      <w:r w:rsidRPr="00801F94">
        <w:rPr>
          <w:rFonts w:ascii="Arial" w:hAnsi="Arial" w:cs="Arial"/>
        </w:rPr>
        <w:t xml:space="preserve">, M. </w:t>
      </w:r>
      <w:proofErr w:type="spellStart"/>
      <w:r w:rsidRPr="00801F94">
        <w:rPr>
          <w:rFonts w:ascii="Arial" w:hAnsi="Arial" w:cs="Arial"/>
        </w:rPr>
        <w:t>Ebadi</w:t>
      </w:r>
      <w:proofErr w:type="spellEnd"/>
      <w:r w:rsidRPr="00801F94">
        <w:rPr>
          <w:rFonts w:ascii="Arial" w:hAnsi="Arial" w:cs="Arial"/>
        </w:rPr>
        <w:t xml:space="preserve">, M. Mohammad, &amp; K. </w:t>
      </w:r>
      <w:proofErr w:type="spellStart"/>
      <w:r w:rsidRPr="00801F94">
        <w:rPr>
          <w:rFonts w:ascii="Arial" w:hAnsi="Arial" w:cs="Arial"/>
        </w:rPr>
        <w:t>Sopian</w:t>
      </w:r>
      <w:proofErr w:type="spellEnd"/>
      <w:r w:rsidRPr="00801F94">
        <w:rPr>
          <w:rFonts w:ascii="Arial" w:hAnsi="Arial" w:cs="Arial"/>
        </w:rPr>
        <w:t xml:space="preserve">. (2017). “Chemically Treated Rice Husk Blends as Green Desiccant Materials for Industrial Application.” Chemical Engineering &amp; Technology 40 (9): 1619–1629. </w:t>
      </w:r>
      <w:hyperlink r:id="rId53" w:history="1">
        <w:r w:rsidRPr="00801F94">
          <w:rPr>
            <w:rStyle w:val="Hyperlink"/>
            <w:rFonts w:ascii="Arial" w:hAnsi="Arial" w:cs="Arial"/>
            <w:color w:val="auto"/>
            <w:u w:val="none"/>
          </w:rPr>
          <w:t>https://doi.org/10.1002/ceat.201600105</w:t>
        </w:r>
      </w:hyperlink>
      <w:r w:rsidRPr="00801F94">
        <w:rPr>
          <w:rFonts w:ascii="Arial" w:hAnsi="Arial" w:cs="Arial"/>
        </w:rPr>
        <w:t>.</w:t>
      </w:r>
    </w:p>
    <w:p w:rsidR="00DD55CB" w:rsidRPr="00801F94" w:rsidRDefault="00223DA3" w:rsidP="00BB5840">
      <w:pPr>
        <w:pStyle w:val="ListParagraph"/>
        <w:numPr>
          <w:ilvl w:val="0"/>
          <w:numId w:val="31"/>
        </w:numPr>
        <w:spacing w:after="200"/>
        <w:rPr>
          <w:rFonts w:ascii="Arial" w:hAnsi="Arial" w:cs="Arial"/>
        </w:rPr>
      </w:pPr>
      <w:proofErr w:type="spellStart"/>
      <w:r w:rsidRPr="00801F94">
        <w:rPr>
          <w:rFonts w:ascii="Arial" w:hAnsi="Arial" w:cs="Arial"/>
        </w:rPr>
        <w:t>Esmail</w:t>
      </w:r>
      <w:proofErr w:type="spellEnd"/>
      <w:proofErr w:type="gramStart"/>
      <w:r w:rsidRPr="00801F94">
        <w:rPr>
          <w:rFonts w:ascii="Arial" w:hAnsi="Arial" w:cs="Arial"/>
        </w:rPr>
        <w:t>,  S</w:t>
      </w:r>
      <w:proofErr w:type="gramEnd"/>
      <w:r w:rsidRPr="00801F94">
        <w:rPr>
          <w:rFonts w:ascii="Arial" w:hAnsi="Arial" w:cs="Arial"/>
        </w:rPr>
        <w:t xml:space="preserve">.,  &amp; S.  </w:t>
      </w:r>
      <w:proofErr w:type="spellStart"/>
      <w:r w:rsidRPr="00801F94">
        <w:rPr>
          <w:rFonts w:ascii="Arial" w:hAnsi="Arial" w:cs="Arial"/>
        </w:rPr>
        <w:t>Y.</w:t>
      </w:r>
      <w:proofErr w:type="gramStart"/>
      <w:r w:rsidRPr="00801F94">
        <w:rPr>
          <w:rFonts w:ascii="Arial" w:hAnsi="Arial" w:cs="Arial"/>
        </w:rPr>
        <w:t>,Mohammed</w:t>
      </w:r>
      <w:proofErr w:type="spellEnd"/>
      <w:proofErr w:type="gramEnd"/>
      <w:r w:rsidRPr="00801F94">
        <w:rPr>
          <w:rFonts w:ascii="Arial" w:hAnsi="Arial" w:cs="Arial"/>
        </w:rPr>
        <w:t xml:space="preserve">.(2012). Removal of Cadmium Ions from Simulated Wastewater Using Rice Husk </w:t>
      </w:r>
      <w:proofErr w:type="spellStart"/>
      <w:r w:rsidRPr="00801F94">
        <w:rPr>
          <w:rFonts w:ascii="Arial" w:hAnsi="Arial" w:cs="Arial"/>
        </w:rPr>
        <w:t>Biosorbent</w:t>
      </w:r>
      <w:proofErr w:type="spellEnd"/>
      <w:r w:rsidRPr="00801F94">
        <w:rPr>
          <w:rFonts w:ascii="Arial" w:hAnsi="Arial" w:cs="Arial"/>
        </w:rPr>
        <w:t xml:space="preserve">” Journal of Engineering, 18(07), pp. 868–875. </w:t>
      </w:r>
      <w:proofErr w:type="gramStart"/>
      <w:r w:rsidRPr="00801F94">
        <w:rPr>
          <w:rFonts w:ascii="Arial" w:hAnsi="Arial" w:cs="Arial"/>
        </w:rPr>
        <w:t>doi</w:t>
      </w:r>
      <w:proofErr w:type="gramEnd"/>
      <w:r w:rsidRPr="00801F94">
        <w:rPr>
          <w:rFonts w:ascii="Arial" w:hAnsi="Arial" w:cs="Arial"/>
        </w:rPr>
        <w:t>:</w:t>
      </w:r>
      <w:hyperlink r:id="rId54" w:history="1">
        <w:r w:rsidRPr="00801F94">
          <w:rPr>
            <w:rStyle w:val="Hyperlink"/>
            <w:rFonts w:ascii="Arial" w:eastAsiaTheme="majorEastAsia" w:hAnsi="Arial" w:cs="Arial"/>
            <w:color w:val="auto"/>
            <w:u w:val="none"/>
          </w:rPr>
          <w:t>10.31026/j.eng.2012.07.09</w:t>
        </w:r>
      </w:hyperlink>
      <w:r w:rsidRPr="00801F94">
        <w:rPr>
          <w:rFonts w:ascii="Arial" w:hAnsi="Arial" w:cs="Arial"/>
        </w:rPr>
        <w:t>.</w:t>
      </w:r>
    </w:p>
    <w:p w:rsidR="00223DA3" w:rsidRPr="00801F94" w:rsidRDefault="00223DA3" w:rsidP="00DD55CB">
      <w:pPr>
        <w:pStyle w:val="ListParagraph"/>
        <w:numPr>
          <w:ilvl w:val="0"/>
          <w:numId w:val="31"/>
        </w:numPr>
        <w:spacing w:after="200"/>
        <w:rPr>
          <w:rFonts w:ascii="Arial" w:hAnsi="Arial" w:cs="Arial"/>
        </w:rPr>
      </w:pPr>
      <w:r w:rsidRPr="00801F94">
        <w:rPr>
          <w:rFonts w:ascii="Arial" w:hAnsi="Arial" w:cs="Arial"/>
        </w:rPr>
        <w:t xml:space="preserve">Gupta, S., </w:t>
      </w:r>
      <w:proofErr w:type="spellStart"/>
      <w:r w:rsidRPr="00801F94">
        <w:rPr>
          <w:rFonts w:ascii="Arial" w:hAnsi="Arial" w:cs="Arial"/>
        </w:rPr>
        <w:t>Prajapati</w:t>
      </w:r>
      <w:proofErr w:type="spellEnd"/>
      <w:r w:rsidRPr="00801F94">
        <w:rPr>
          <w:rFonts w:ascii="Arial" w:hAnsi="Arial" w:cs="Arial"/>
        </w:rPr>
        <w:t xml:space="preserve">, A., &amp; Kumar, A. (2025). Removal of anionic dyes by magnetic modified </w:t>
      </w:r>
      <w:r w:rsidRPr="00801F94">
        <w:rPr>
          <w:rStyle w:val="Emphasis"/>
          <w:rFonts w:ascii="Arial" w:hAnsi="Arial" w:cs="Arial"/>
        </w:rPr>
        <w:t xml:space="preserve">Aloe </w:t>
      </w:r>
      <w:proofErr w:type="spellStart"/>
      <w:r w:rsidRPr="00801F94">
        <w:rPr>
          <w:rStyle w:val="Emphasis"/>
          <w:rFonts w:ascii="Arial" w:hAnsi="Arial" w:cs="Arial"/>
        </w:rPr>
        <w:t>barbadensis</w:t>
      </w:r>
      <w:proofErr w:type="spellEnd"/>
      <w:r w:rsidRPr="00801F94">
        <w:rPr>
          <w:rFonts w:ascii="Arial" w:hAnsi="Arial" w:cs="Arial"/>
        </w:rPr>
        <w:t xml:space="preserve"> Miller residue leaves as a bio-adsorbent using </w:t>
      </w:r>
      <w:proofErr w:type="spellStart"/>
      <w:r w:rsidRPr="00801F94">
        <w:rPr>
          <w:rFonts w:ascii="Arial" w:hAnsi="Arial" w:cs="Arial"/>
        </w:rPr>
        <w:t>biosorption</w:t>
      </w:r>
      <w:proofErr w:type="spellEnd"/>
      <w:r w:rsidRPr="00801F94">
        <w:rPr>
          <w:rFonts w:ascii="Arial" w:hAnsi="Arial" w:cs="Arial"/>
        </w:rPr>
        <w:t xml:space="preserve"> process. </w:t>
      </w:r>
      <w:r w:rsidRPr="00801F94">
        <w:rPr>
          <w:rFonts w:ascii="Arial" w:hAnsi="Arial" w:cs="Arial"/>
          <w:i/>
          <w:iCs/>
        </w:rPr>
        <w:t>Green Technologies and Sustainability, 3</w:t>
      </w:r>
      <w:r w:rsidRPr="00801F94">
        <w:rPr>
          <w:rFonts w:ascii="Arial" w:hAnsi="Arial" w:cs="Arial"/>
        </w:rPr>
        <w:t>, 100196. https://doi.org/10.1016/j.grets.2025.100196</w:t>
      </w:r>
    </w:p>
    <w:p w:rsidR="00223DA3" w:rsidRPr="00801F94" w:rsidRDefault="00223DA3" w:rsidP="00DD55CB">
      <w:pPr>
        <w:pStyle w:val="ListParagraph"/>
        <w:numPr>
          <w:ilvl w:val="0"/>
          <w:numId w:val="31"/>
        </w:numPr>
        <w:spacing w:after="200"/>
        <w:rPr>
          <w:rFonts w:ascii="Arial" w:hAnsi="Arial" w:cs="Arial"/>
        </w:rPr>
      </w:pPr>
      <w:bookmarkStart w:id="19" w:name="_Hlk220314219"/>
      <w:proofErr w:type="spellStart"/>
      <w:r w:rsidRPr="00801F94">
        <w:rPr>
          <w:rFonts w:ascii="Arial" w:hAnsi="Arial" w:cs="Arial"/>
        </w:rPr>
        <w:t>Hacıosmanoğlu</w:t>
      </w:r>
      <w:bookmarkEnd w:id="19"/>
      <w:r w:rsidRPr="00801F94">
        <w:rPr>
          <w:rFonts w:ascii="Arial" w:hAnsi="Arial" w:cs="Arial"/>
        </w:rPr>
        <w:t>,G</w:t>
      </w:r>
      <w:proofErr w:type="spellEnd"/>
      <w:r w:rsidRPr="00801F94">
        <w:rPr>
          <w:rFonts w:ascii="Arial" w:hAnsi="Arial" w:cs="Arial"/>
        </w:rPr>
        <w:t xml:space="preserve">. G., </w:t>
      </w:r>
      <w:proofErr w:type="spellStart"/>
      <w:r w:rsidRPr="00801F94">
        <w:rPr>
          <w:rFonts w:ascii="Arial" w:hAnsi="Arial" w:cs="Arial"/>
        </w:rPr>
        <w:t>Martín,C</w:t>
      </w:r>
      <w:proofErr w:type="spellEnd"/>
      <w:r w:rsidRPr="00801F94">
        <w:rPr>
          <w:rFonts w:ascii="Arial" w:hAnsi="Arial" w:cs="Arial"/>
        </w:rPr>
        <w:t xml:space="preserve">. M. J., </w:t>
      </w:r>
      <w:proofErr w:type="spellStart"/>
      <w:r w:rsidRPr="00801F94">
        <w:rPr>
          <w:rFonts w:ascii="Arial" w:hAnsi="Arial" w:cs="Arial"/>
        </w:rPr>
        <w:t>Santos,J</w:t>
      </w:r>
      <w:proofErr w:type="spellEnd"/>
      <w:r w:rsidRPr="00801F94">
        <w:rPr>
          <w:rFonts w:ascii="Arial" w:hAnsi="Arial" w:cs="Arial"/>
        </w:rPr>
        <w:t xml:space="preserve">. L., </w:t>
      </w:r>
      <w:proofErr w:type="spellStart"/>
      <w:r w:rsidRPr="00801F94">
        <w:rPr>
          <w:rFonts w:ascii="Arial" w:hAnsi="Arial" w:cs="Arial"/>
        </w:rPr>
        <w:t>Aparicio</w:t>
      </w:r>
      <w:proofErr w:type="spellEnd"/>
      <w:r w:rsidRPr="00801F94">
        <w:rPr>
          <w:rFonts w:ascii="Arial" w:hAnsi="Arial" w:cs="Arial"/>
        </w:rPr>
        <w:t>, I. &amp; Alonso, E. (2022), Antibiotic adsorption by natural and modified clay minerals as designer adsorbents for wastewater treatment: A comprehensive review, Journal of Environmental Management,317,</w:t>
      </w:r>
    </w:p>
    <w:p w:rsidR="00223DA3" w:rsidRPr="00801F94" w:rsidRDefault="00223DA3" w:rsidP="00140547">
      <w:pPr>
        <w:pStyle w:val="ListParagraph"/>
        <w:numPr>
          <w:ilvl w:val="0"/>
          <w:numId w:val="31"/>
        </w:numPr>
        <w:ind w:left="714" w:hanging="357"/>
        <w:rPr>
          <w:rFonts w:ascii="Arial" w:hAnsi="Arial" w:cs="Arial"/>
        </w:rPr>
      </w:pPr>
      <w:bookmarkStart w:id="20" w:name="_Hlk219370183"/>
      <w:r w:rsidRPr="00801F94">
        <w:rPr>
          <w:rFonts w:ascii="Arial" w:hAnsi="Arial" w:cs="Arial"/>
        </w:rPr>
        <w:t xml:space="preserve">Ho, Y. S. (2006). </w:t>
      </w:r>
      <w:bookmarkEnd w:id="20"/>
      <w:r w:rsidRPr="00801F94">
        <w:rPr>
          <w:rFonts w:ascii="Arial" w:hAnsi="Arial" w:cs="Arial"/>
        </w:rPr>
        <w:t>Review of second-order models for adsorption systems. Journal of Hazardous Materials, 136(3), 681-689.</w:t>
      </w:r>
    </w:p>
    <w:p w:rsidR="00223DA3" w:rsidRPr="00801F94" w:rsidRDefault="00223DA3" w:rsidP="001A2925">
      <w:pPr>
        <w:pStyle w:val="ListParagraph"/>
        <w:numPr>
          <w:ilvl w:val="0"/>
          <w:numId w:val="31"/>
        </w:numPr>
        <w:spacing w:after="200"/>
        <w:rPr>
          <w:rFonts w:ascii="Arial" w:hAnsi="Arial" w:cs="Arial"/>
        </w:rPr>
      </w:pPr>
      <w:proofErr w:type="spellStart"/>
      <w:r w:rsidRPr="00801F94">
        <w:rPr>
          <w:rFonts w:ascii="Arial" w:hAnsi="Arial" w:cs="Arial"/>
        </w:rPr>
        <w:t>Hubbe</w:t>
      </w:r>
      <w:proofErr w:type="spellEnd"/>
      <w:r w:rsidRPr="00801F94">
        <w:rPr>
          <w:rFonts w:ascii="Arial" w:hAnsi="Arial" w:cs="Arial"/>
        </w:rPr>
        <w:t xml:space="preserve">, M. A., </w:t>
      </w:r>
      <w:proofErr w:type="spellStart"/>
      <w:r w:rsidRPr="00801F94">
        <w:rPr>
          <w:rFonts w:ascii="Arial" w:hAnsi="Arial" w:cs="Arial"/>
        </w:rPr>
        <w:t>Azizian</w:t>
      </w:r>
      <w:proofErr w:type="spellEnd"/>
      <w:r w:rsidRPr="00801F94">
        <w:rPr>
          <w:rFonts w:ascii="Arial" w:hAnsi="Arial" w:cs="Arial"/>
        </w:rPr>
        <w:t xml:space="preserve">, S., and </w:t>
      </w:r>
      <w:proofErr w:type="spellStart"/>
      <w:r w:rsidRPr="00801F94">
        <w:rPr>
          <w:rFonts w:ascii="Arial" w:hAnsi="Arial" w:cs="Arial"/>
        </w:rPr>
        <w:t>Douven</w:t>
      </w:r>
      <w:proofErr w:type="spellEnd"/>
      <w:r w:rsidRPr="00801F94">
        <w:rPr>
          <w:rFonts w:ascii="Arial" w:hAnsi="Arial" w:cs="Arial"/>
        </w:rPr>
        <w:t>, S. (2019). "Implications of apparent pseudo-second-order adsorption kinetics onto cellulosic materials: A review," </w:t>
      </w:r>
      <w:proofErr w:type="spellStart"/>
      <w:r w:rsidRPr="00801F94">
        <w:rPr>
          <w:rFonts w:ascii="Arial" w:hAnsi="Arial" w:cs="Arial"/>
          <w:i/>
          <w:iCs/>
        </w:rPr>
        <w:t>BioRes</w:t>
      </w:r>
      <w:proofErr w:type="spellEnd"/>
      <w:r w:rsidRPr="00801F94">
        <w:rPr>
          <w:rFonts w:ascii="Arial" w:hAnsi="Arial" w:cs="Arial"/>
        </w:rPr>
        <w:t>. 14(3), 7582-7626.</w:t>
      </w:r>
    </w:p>
    <w:p w:rsidR="00223DA3" w:rsidRPr="00801F94" w:rsidRDefault="00223DA3" w:rsidP="00140547">
      <w:pPr>
        <w:numPr>
          <w:ilvl w:val="0"/>
          <w:numId w:val="31"/>
        </w:numPr>
        <w:ind w:left="714" w:hanging="357"/>
        <w:contextualSpacing/>
        <w:rPr>
          <w:rFonts w:ascii="Arial" w:hAnsi="Arial" w:cs="Arial"/>
        </w:rPr>
      </w:pPr>
      <w:r w:rsidRPr="00801F94">
        <w:rPr>
          <w:rFonts w:ascii="Arial" w:hAnsi="Arial" w:cs="Arial"/>
        </w:rPr>
        <w:t xml:space="preserve">Ibrahim, M. M., Abubakar, M. A., &amp; Yusuf, A. (2022). Adsorption kinetics and isotherm models: A review. Caliphate Journal of Science and Technology, 4(1), 1–10. </w:t>
      </w:r>
      <w:hyperlink r:id="rId55" w:history="1">
        <w:r w:rsidRPr="00801F94">
          <w:rPr>
            <w:rStyle w:val="Hyperlink"/>
            <w:rFonts w:ascii="Arial" w:hAnsi="Arial" w:cs="Arial"/>
            <w:color w:val="auto"/>
            <w:u w:val="none"/>
          </w:rPr>
          <w:t>https://www.ajol.info/index.php/cajost/article/view/221289</w:t>
        </w:r>
      </w:hyperlink>
    </w:p>
    <w:p w:rsidR="00223DA3" w:rsidRPr="00801F94" w:rsidRDefault="00223DA3" w:rsidP="001A2925">
      <w:pPr>
        <w:pStyle w:val="ListParagraph"/>
        <w:numPr>
          <w:ilvl w:val="0"/>
          <w:numId w:val="31"/>
        </w:numPr>
        <w:spacing w:after="200"/>
        <w:ind w:left="714" w:hanging="357"/>
        <w:rPr>
          <w:rFonts w:ascii="Arial" w:hAnsi="Arial" w:cs="Arial"/>
        </w:rPr>
      </w:pPr>
      <w:proofErr w:type="spellStart"/>
      <w:r w:rsidRPr="00801F94">
        <w:rPr>
          <w:rFonts w:ascii="Arial" w:hAnsi="Arial" w:cs="Arial"/>
        </w:rPr>
        <w:lastRenderedPageBreak/>
        <w:t>Iwuozor</w:t>
      </w:r>
      <w:proofErr w:type="spellEnd"/>
      <w:r w:rsidRPr="00801F94">
        <w:rPr>
          <w:rFonts w:ascii="Arial" w:hAnsi="Arial" w:cs="Arial"/>
        </w:rPr>
        <w:t xml:space="preserve">, K. O., </w:t>
      </w:r>
      <w:proofErr w:type="spellStart"/>
      <w:r w:rsidRPr="00801F94">
        <w:rPr>
          <w:rFonts w:ascii="Arial" w:hAnsi="Arial" w:cs="Arial"/>
        </w:rPr>
        <w:t>Ighalo</w:t>
      </w:r>
      <w:proofErr w:type="spellEnd"/>
      <w:r w:rsidRPr="00801F94">
        <w:rPr>
          <w:rFonts w:ascii="Arial" w:hAnsi="Arial" w:cs="Arial"/>
        </w:rPr>
        <w:t xml:space="preserve">, J. O., </w:t>
      </w:r>
      <w:proofErr w:type="spellStart"/>
      <w:r w:rsidRPr="00801F94">
        <w:rPr>
          <w:rFonts w:ascii="Arial" w:hAnsi="Arial" w:cs="Arial"/>
        </w:rPr>
        <w:t>Emenike</w:t>
      </w:r>
      <w:proofErr w:type="spellEnd"/>
      <w:r w:rsidRPr="00801F94">
        <w:rPr>
          <w:rFonts w:ascii="Arial" w:hAnsi="Arial" w:cs="Arial"/>
        </w:rPr>
        <w:t xml:space="preserve">, E. C., </w:t>
      </w:r>
      <w:proofErr w:type="spellStart"/>
      <w:r w:rsidRPr="00801F94">
        <w:rPr>
          <w:rFonts w:ascii="Arial" w:hAnsi="Arial" w:cs="Arial"/>
        </w:rPr>
        <w:t>Ogunfowora</w:t>
      </w:r>
      <w:proofErr w:type="spellEnd"/>
      <w:r w:rsidRPr="00801F94">
        <w:rPr>
          <w:rFonts w:ascii="Arial" w:hAnsi="Arial" w:cs="Arial"/>
        </w:rPr>
        <w:t xml:space="preserve">, L. A., &amp; </w:t>
      </w:r>
      <w:proofErr w:type="spellStart"/>
      <w:r w:rsidRPr="00801F94">
        <w:rPr>
          <w:rFonts w:ascii="Arial" w:hAnsi="Arial" w:cs="Arial"/>
        </w:rPr>
        <w:t>Igwegbe</w:t>
      </w:r>
      <w:proofErr w:type="spellEnd"/>
      <w:r w:rsidRPr="00801F94">
        <w:rPr>
          <w:rFonts w:ascii="Arial" w:hAnsi="Arial" w:cs="Arial"/>
        </w:rPr>
        <w:t xml:space="preserve">, C. A. (2021). Adsorption of methyl orange: A review on adsorbent performance. </w:t>
      </w:r>
      <w:r w:rsidRPr="00801F94">
        <w:rPr>
          <w:rStyle w:val="Emphasis"/>
          <w:rFonts w:ascii="Arial" w:hAnsi="Arial" w:cs="Arial"/>
          <w:i w:val="0"/>
          <w:iCs w:val="0"/>
        </w:rPr>
        <w:t>Current Research in Green and Sustainable Chemistry</w:t>
      </w:r>
      <w:r w:rsidRPr="00801F94">
        <w:rPr>
          <w:rFonts w:ascii="Arial" w:hAnsi="Arial" w:cs="Arial"/>
        </w:rPr>
        <w:t xml:space="preserve">, Article 100179. </w:t>
      </w:r>
      <w:hyperlink r:id="rId56" w:tgtFrame="_new" w:history="1">
        <w:r w:rsidRPr="00801F94">
          <w:rPr>
            <w:rStyle w:val="Hyperlink"/>
            <w:rFonts w:ascii="Arial" w:hAnsi="Arial" w:cs="Arial"/>
            <w:color w:val="auto"/>
            <w:u w:val="none"/>
          </w:rPr>
          <w:t>https://doi.org/10.1016/j.crgsc.2021.100179</w:t>
        </w:r>
      </w:hyperlink>
    </w:p>
    <w:p w:rsidR="00223DA3" w:rsidRPr="00801F94" w:rsidRDefault="00223DA3" w:rsidP="001A2925">
      <w:pPr>
        <w:pStyle w:val="ListParagraph"/>
        <w:numPr>
          <w:ilvl w:val="0"/>
          <w:numId w:val="31"/>
        </w:numPr>
        <w:spacing w:after="200"/>
        <w:ind w:left="714" w:hanging="357"/>
        <w:rPr>
          <w:rFonts w:ascii="Arial" w:hAnsi="Arial" w:cs="Arial"/>
        </w:rPr>
      </w:pPr>
      <w:r w:rsidRPr="00801F94">
        <w:rPr>
          <w:rFonts w:ascii="Arial" w:hAnsi="Arial" w:cs="Arial"/>
        </w:rPr>
        <w:t xml:space="preserve">Kaur, G., Singh, N., &amp; </w:t>
      </w:r>
      <w:proofErr w:type="spellStart"/>
      <w:r w:rsidRPr="00801F94">
        <w:rPr>
          <w:rFonts w:ascii="Arial" w:hAnsi="Arial" w:cs="Arial"/>
        </w:rPr>
        <w:t>Rajor</w:t>
      </w:r>
      <w:proofErr w:type="spellEnd"/>
      <w:r w:rsidRPr="00801F94">
        <w:rPr>
          <w:rFonts w:ascii="Arial" w:hAnsi="Arial" w:cs="Arial"/>
        </w:rPr>
        <w:t xml:space="preserve">, A. (2021). </w:t>
      </w:r>
      <w:proofErr w:type="spellStart"/>
      <w:r w:rsidRPr="00801F94">
        <w:rPr>
          <w:rFonts w:ascii="Arial" w:hAnsi="Arial" w:cs="Arial"/>
        </w:rPr>
        <w:t>Ofloxacin</w:t>
      </w:r>
      <w:proofErr w:type="spellEnd"/>
      <w:r w:rsidRPr="00801F94">
        <w:rPr>
          <w:rFonts w:ascii="Arial" w:hAnsi="Arial" w:cs="Arial"/>
        </w:rPr>
        <w:t xml:space="preserve"> adsorptive interaction with rice husk ash: Parametric and exhausted adsorbent disposability study. Journal of Contaminant Hydrology, 236, 103737.</w:t>
      </w:r>
    </w:p>
    <w:p w:rsidR="00223DA3" w:rsidRPr="00801F94" w:rsidRDefault="00223DA3" w:rsidP="00140547">
      <w:pPr>
        <w:pStyle w:val="ListParagraph"/>
        <w:numPr>
          <w:ilvl w:val="0"/>
          <w:numId w:val="31"/>
        </w:numPr>
        <w:ind w:left="720"/>
        <w:rPr>
          <w:rFonts w:ascii="Arial" w:hAnsi="Arial" w:cs="Arial"/>
        </w:rPr>
      </w:pPr>
      <w:r w:rsidRPr="00801F94">
        <w:rPr>
          <w:rFonts w:ascii="Arial" w:hAnsi="Arial" w:cs="Arial"/>
        </w:rPr>
        <w:t xml:space="preserve">Khalil,   U., </w:t>
      </w:r>
      <w:proofErr w:type="spellStart"/>
      <w:r w:rsidRPr="00801F94">
        <w:rPr>
          <w:rFonts w:ascii="Arial" w:hAnsi="Arial" w:cs="Arial"/>
        </w:rPr>
        <w:t>M.</w:t>
      </w:r>
      <w:proofErr w:type="gramStart"/>
      <w:r w:rsidRPr="00801F94">
        <w:rPr>
          <w:rFonts w:ascii="Arial" w:hAnsi="Arial" w:cs="Arial"/>
        </w:rPr>
        <w:t>,Bilal</w:t>
      </w:r>
      <w:proofErr w:type="spellEnd"/>
      <w:proofErr w:type="gramEnd"/>
      <w:r w:rsidRPr="00801F94">
        <w:rPr>
          <w:rFonts w:ascii="Arial" w:hAnsi="Arial" w:cs="Arial"/>
        </w:rPr>
        <w:t xml:space="preserve">   </w:t>
      </w:r>
      <w:proofErr w:type="spellStart"/>
      <w:r w:rsidRPr="00801F94">
        <w:rPr>
          <w:rFonts w:ascii="Arial" w:hAnsi="Arial" w:cs="Arial"/>
        </w:rPr>
        <w:t>Shakoor</w:t>
      </w:r>
      <w:proofErr w:type="spellEnd"/>
      <w:r w:rsidRPr="00801F94">
        <w:rPr>
          <w:rFonts w:ascii="Arial" w:hAnsi="Arial" w:cs="Arial"/>
        </w:rPr>
        <w:t xml:space="preserve">, S., Ali, M., </w:t>
      </w:r>
      <w:proofErr w:type="spellStart"/>
      <w:r w:rsidRPr="00801F94">
        <w:rPr>
          <w:rFonts w:ascii="Arial" w:hAnsi="Arial" w:cs="Arial"/>
        </w:rPr>
        <w:t>Rizwan</w:t>
      </w:r>
      <w:proofErr w:type="spellEnd"/>
      <w:r w:rsidRPr="00801F94">
        <w:rPr>
          <w:rFonts w:ascii="Arial" w:hAnsi="Arial" w:cs="Arial"/>
        </w:rPr>
        <w:t xml:space="preserve">, M., Nasser </w:t>
      </w:r>
      <w:proofErr w:type="spellStart"/>
      <w:r w:rsidRPr="00801F94">
        <w:rPr>
          <w:rFonts w:ascii="Arial" w:hAnsi="Arial" w:cs="Arial"/>
        </w:rPr>
        <w:t>Alyemeni</w:t>
      </w:r>
      <w:proofErr w:type="spellEnd"/>
      <w:r w:rsidRPr="00801F94">
        <w:rPr>
          <w:rFonts w:ascii="Arial" w:hAnsi="Arial" w:cs="Arial"/>
        </w:rPr>
        <w:t xml:space="preserve">, &amp; </w:t>
      </w:r>
      <w:proofErr w:type="spellStart"/>
      <w:r w:rsidRPr="00801F94">
        <w:rPr>
          <w:rFonts w:ascii="Arial" w:hAnsi="Arial" w:cs="Arial"/>
        </w:rPr>
        <w:t>Wijaya</w:t>
      </w:r>
      <w:proofErr w:type="spellEnd"/>
      <w:r w:rsidRPr="00801F94">
        <w:rPr>
          <w:rFonts w:ascii="Arial" w:hAnsi="Arial" w:cs="Arial"/>
        </w:rPr>
        <w:t xml:space="preserve">, L..(2020). Adsorption-reduction performance   of   tea   waste   and   rice   husk </w:t>
      </w:r>
      <w:proofErr w:type="spellStart"/>
      <w:r w:rsidRPr="00801F94">
        <w:rPr>
          <w:rFonts w:ascii="Arial" w:hAnsi="Arial" w:cs="Arial"/>
        </w:rPr>
        <w:t>biochars</w:t>
      </w:r>
      <w:proofErr w:type="spellEnd"/>
      <w:r w:rsidRPr="00801F94">
        <w:rPr>
          <w:rFonts w:ascii="Arial" w:hAnsi="Arial" w:cs="Arial"/>
        </w:rPr>
        <w:t xml:space="preserve"> for </w:t>
      </w:r>
      <w:proofErr w:type="gramStart"/>
      <w:r w:rsidRPr="00801F94">
        <w:rPr>
          <w:rFonts w:ascii="Arial" w:hAnsi="Arial" w:cs="Arial"/>
        </w:rPr>
        <w:t>Cr(</w:t>
      </w:r>
      <w:proofErr w:type="gramEnd"/>
      <w:r w:rsidRPr="00801F94">
        <w:rPr>
          <w:rFonts w:ascii="Arial" w:hAnsi="Arial" w:cs="Arial"/>
        </w:rPr>
        <w:t>VI) elimination from wastewater.    Journal    of    Saudi    Chemical Society,   24(11),   799–810</w:t>
      </w:r>
    </w:p>
    <w:p w:rsidR="00223DA3" w:rsidRPr="00801F94" w:rsidRDefault="00223DA3" w:rsidP="00DD55CB">
      <w:pPr>
        <w:pStyle w:val="ListParagraph"/>
        <w:numPr>
          <w:ilvl w:val="0"/>
          <w:numId w:val="31"/>
        </w:numPr>
        <w:ind w:left="720"/>
        <w:rPr>
          <w:rFonts w:ascii="Arial" w:hAnsi="Arial" w:cs="Arial"/>
        </w:rPr>
      </w:pPr>
      <w:r w:rsidRPr="00801F94">
        <w:rPr>
          <w:rFonts w:ascii="Arial" w:hAnsi="Arial" w:cs="Arial"/>
        </w:rPr>
        <w:t xml:space="preserve">Kumar, A., Nidheesh, P., Wang, C., Bhattacharya, T., &amp; Zhang, X. (2023). Straw-derived </w:t>
      </w:r>
      <w:proofErr w:type="spellStart"/>
      <w:r w:rsidRPr="00801F94">
        <w:rPr>
          <w:rFonts w:ascii="Arial" w:hAnsi="Arial" w:cs="Arial"/>
        </w:rPr>
        <w:t>biochar</w:t>
      </w:r>
      <w:proofErr w:type="spellEnd"/>
      <w:r w:rsidRPr="00801F94">
        <w:rPr>
          <w:rFonts w:ascii="Arial" w:hAnsi="Arial" w:cs="Arial"/>
        </w:rPr>
        <w:t xml:space="preserve"> for the removal of antibiotics from water: Adsorption and degradation mechanisms, recent advancements and challenges. Environmental Research, 237(P2), 116998. https://doi.org/10.1016/j.envres.2023.116998</w:t>
      </w:r>
    </w:p>
    <w:p w:rsidR="00223DA3" w:rsidRPr="00801F94" w:rsidRDefault="00223DA3" w:rsidP="00DD55CB">
      <w:pPr>
        <w:pStyle w:val="ListParagraph"/>
        <w:numPr>
          <w:ilvl w:val="0"/>
          <w:numId w:val="31"/>
        </w:numPr>
        <w:ind w:left="720"/>
        <w:rPr>
          <w:rFonts w:ascii="Arial" w:hAnsi="Arial" w:cs="Arial"/>
        </w:rPr>
      </w:pPr>
      <w:r w:rsidRPr="00801F94">
        <w:rPr>
          <w:rFonts w:ascii="Arial" w:hAnsi="Arial" w:cs="Arial"/>
        </w:rPr>
        <w:t xml:space="preserve">Kumar, S., Kaur, P., Hsu, C.-Y., Mustafa, M. A., Rani, J., Kaur, J., &amp; </w:t>
      </w:r>
      <w:proofErr w:type="spellStart"/>
      <w:r w:rsidRPr="00801F94">
        <w:rPr>
          <w:rFonts w:ascii="Arial" w:hAnsi="Arial" w:cs="Arial"/>
        </w:rPr>
        <w:t>Kaushal</w:t>
      </w:r>
      <w:proofErr w:type="spellEnd"/>
      <w:r w:rsidRPr="00801F94">
        <w:rPr>
          <w:rFonts w:ascii="Arial" w:hAnsi="Arial" w:cs="Arial"/>
        </w:rPr>
        <w:t xml:space="preserve">, S. (2025). Advances in surface modification of biomass and its </w:t>
      </w:r>
      <w:proofErr w:type="spellStart"/>
      <w:r w:rsidRPr="00801F94">
        <w:rPr>
          <w:rFonts w:ascii="Arial" w:hAnsi="Arial" w:cs="Arial"/>
        </w:rPr>
        <w:t>nanostructuring</w:t>
      </w:r>
      <w:proofErr w:type="spellEnd"/>
      <w:r w:rsidRPr="00801F94">
        <w:rPr>
          <w:rFonts w:ascii="Arial" w:hAnsi="Arial" w:cs="Arial"/>
        </w:rPr>
        <w:t xml:space="preserve"> for enhanced environmental remediation applications. </w:t>
      </w:r>
      <w:r w:rsidRPr="00801F94">
        <w:rPr>
          <w:rFonts w:ascii="Arial" w:hAnsi="Arial" w:cs="Arial"/>
          <w:i/>
          <w:iCs/>
        </w:rPr>
        <w:t>Materials Advances, 6</w:t>
      </w:r>
      <w:r w:rsidRPr="00801F94">
        <w:rPr>
          <w:rFonts w:ascii="Arial" w:hAnsi="Arial" w:cs="Arial"/>
        </w:rPr>
        <w:t>, 8774–8815. https://doi.org/10.1039/D5MA00494B</w:t>
      </w:r>
    </w:p>
    <w:p w:rsidR="00223DA3" w:rsidRPr="00801F94" w:rsidRDefault="00223DA3" w:rsidP="00DD55CB">
      <w:pPr>
        <w:pStyle w:val="ListParagraph"/>
        <w:numPr>
          <w:ilvl w:val="0"/>
          <w:numId w:val="31"/>
        </w:numPr>
        <w:ind w:left="720"/>
        <w:rPr>
          <w:rFonts w:ascii="Arial" w:hAnsi="Arial" w:cs="Arial"/>
        </w:rPr>
      </w:pPr>
      <w:proofErr w:type="spellStart"/>
      <w:r w:rsidRPr="00801F94">
        <w:rPr>
          <w:rFonts w:ascii="Arial" w:hAnsi="Arial" w:cs="Arial"/>
        </w:rPr>
        <w:t>Kümmerer</w:t>
      </w:r>
      <w:proofErr w:type="spellEnd"/>
      <w:r w:rsidRPr="00801F94">
        <w:rPr>
          <w:rFonts w:ascii="Arial" w:hAnsi="Arial" w:cs="Arial"/>
        </w:rPr>
        <w:t>, K. (2009) – Antibiotics in the aquatic environment – A review – Part I. Chemosphere, 75(4), 417–434.</w:t>
      </w:r>
    </w:p>
    <w:p w:rsidR="00DD55CB" w:rsidRPr="00801F94" w:rsidRDefault="00223DA3" w:rsidP="00DD55CB">
      <w:pPr>
        <w:pStyle w:val="ListParagraph"/>
        <w:numPr>
          <w:ilvl w:val="0"/>
          <w:numId w:val="31"/>
        </w:numPr>
        <w:ind w:left="720"/>
        <w:rPr>
          <w:rFonts w:ascii="Arial" w:hAnsi="Arial" w:cs="Arial"/>
        </w:rPr>
      </w:pPr>
      <w:proofErr w:type="spellStart"/>
      <w:r w:rsidRPr="00801F94">
        <w:rPr>
          <w:rFonts w:ascii="Arial" w:hAnsi="Arial" w:cs="Arial"/>
        </w:rPr>
        <w:t>Kuppusamy</w:t>
      </w:r>
      <w:proofErr w:type="spellEnd"/>
      <w:r w:rsidRPr="00801F94">
        <w:rPr>
          <w:rFonts w:ascii="Arial" w:hAnsi="Arial" w:cs="Arial"/>
        </w:rPr>
        <w:t xml:space="preserve">, B., Mohamed Ismail, F. R., </w:t>
      </w:r>
      <w:proofErr w:type="spellStart"/>
      <w:r w:rsidRPr="00801F94">
        <w:rPr>
          <w:rFonts w:ascii="Arial" w:hAnsi="Arial" w:cs="Arial"/>
        </w:rPr>
        <w:t>Balakrishnan</w:t>
      </w:r>
      <w:proofErr w:type="spellEnd"/>
      <w:r w:rsidRPr="00801F94">
        <w:rPr>
          <w:rFonts w:ascii="Arial" w:hAnsi="Arial" w:cs="Arial"/>
        </w:rPr>
        <w:t xml:space="preserve">, P., Kim, S. C., </w:t>
      </w:r>
      <w:proofErr w:type="spellStart"/>
      <w:r w:rsidRPr="00801F94">
        <w:rPr>
          <w:rFonts w:ascii="Arial" w:hAnsi="Arial" w:cs="Arial"/>
        </w:rPr>
        <w:t>Asrafali</w:t>
      </w:r>
      <w:proofErr w:type="spellEnd"/>
      <w:r w:rsidRPr="00801F94">
        <w:rPr>
          <w:rFonts w:ascii="Arial" w:hAnsi="Arial" w:cs="Arial"/>
        </w:rPr>
        <w:t xml:space="preserve">, S. P., &amp; </w:t>
      </w:r>
      <w:proofErr w:type="spellStart"/>
      <w:r w:rsidRPr="00801F94">
        <w:rPr>
          <w:rFonts w:ascii="Arial" w:hAnsi="Arial" w:cs="Arial"/>
        </w:rPr>
        <w:t>Periyasamy</w:t>
      </w:r>
      <w:proofErr w:type="spellEnd"/>
      <w:r w:rsidRPr="00801F94">
        <w:rPr>
          <w:rFonts w:ascii="Arial" w:hAnsi="Arial" w:cs="Arial"/>
        </w:rPr>
        <w:t>, T. (2026). From Biomass to Adsorbent: A Comprehensive Review on Bio-Derived Carbons for Dye Removal. </w:t>
      </w:r>
      <w:r w:rsidRPr="00801F94">
        <w:rPr>
          <w:rFonts w:ascii="Arial" w:hAnsi="Arial" w:cs="Arial"/>
          <w:i/>
          <w:iCs/>
        </w:rPr>
        <w:t>Polymers</w:t>
      </w:r>
      <w:r w:rsidRPr="00801F94">
        <w:rPr>
          <w:rFonts w:ascii="Arial" w:hAnsi="Arial" w:cs="Arial"/>
        </w:rPr>
        <w:t>, </w:t>
      </w:r>
      <w:r w:rsidRPr="00801F94">
        <w:rPr>
          <w:rFonts w:ascii="Arial" w:hAnsi="Arial" w:cs="Arial"/>
          <w:i/>
          <w:iCs/>
        </w:rPr>
        <w:t>18</w:t>
      </w:r>
      <w:r w:rsidRPr="00801F94">
        <w:rPr>
          <w:rFonts w:ascii="Arial" w:hAnsi="Arial" w:cs="Arial"/>
        </w:rPr>
        <w:t xml:space="preserve">(2), 180. </w:t>
      </w:r>
      <w:hyperlink r:id="rId57" w:history="1">
        <w:r w:rsidRPr="00801F94">
          <w:rPr>
            <w:rStyle w:val="Hyperlink"/>
            <w:rFonts w:ascii="Arial" w:hAnsi="Arial" w:cs="Arial"/>
            <w:color w:val="auto"/>
            <w:u w:val="none"/>
          </w:rPr>
          <w:t>https://doi.org/10.3390/polym18020180</w:t>
        </w:r>
      </w:hyperlink>
      <w:r w:rsidRPr="00801F94">
        <w:rPr>
          <w:rFonts w:ascii="Arial" w:hAnsi="Arial" w:cs="Arial"/>
        </w:rPr>
        <w:t xml:space="preserve"> </w:t>
      </w:r>
    </w:p>
    <w:p w:rsidR="00223DA3" w:rsidRPr="00801F94" w:rsidRDefault="00223DA3" w:rsidP="00DD55CB">
      <w:pPr>
        <w:pStyle w:val="ListParagraph"/>
        <w:numPr>
          <w:ilvl w:val="0"/>
          <w:numId w:val="31"/>
        </w:numPr>
        <w:ind w:left="720"/>
        <w:rPr>
          <w:rFonts w:ascii="Arial" w:hAnsi="Arial" w:cs="Arial"/>
        </w:rPr>
      </w:pPr>
      <w:r w:rsidRPr="00801F94">
        <w:rPr>
          <w:rFonts w:ascii="Arial" w:hAnsi="Arial" w:cs="Arial"/>
        </w:rPr>
        <w:t xml:space="preserve">Lin, Y., &amp; Cen, S. (2022). Content determination of ampicillin by </w:t>
      </w:r>
      <w:proofErr w:type="gramStart"/>
      <w:r w:rsidRPr="00801F94">
        <w:rPr>
          <w:rFonts w:ascii="Arial" w:hAnsi="Arial" w:cs="Arial"/>
        </w:rPr>
        <w:t>Ni(</w:t>
      </w:r>
      <w:proofErr w:type="gramEnd"/>
      <w:r w:rsidRPr="00801F94">
        <w:rPr>
          <w:rFonts w:ascii="Arial" w:hAnsi="Arial" w:cs="Arial"/>
        </w:rPr>
        <w:t xml:space="preserve">II)-mediated UV–Vis spectrophotometry. </w:t>
      </w:r>
      <w:r w:rsidRPr="00801F94">
        <w:rPr>
          <w:rStyle w:val="Emphasis"/>
          <w:rFonts w:ascii="Arial" w:hAnsi="Arial" w:cs="Arial"/>
        </w:rPr>
        <w:t>RSC Advances, 12</w:t>
      </w:r>
      <w:r w:rsidRPr="00801F94">
        <w:rPr>
          <w:rFonts w:ascii="Arial" w:hAnsi="Arial" w:cs="Arial"/>
        </w:rPr>
        <w:t xml:space="preserve">(16), 9786–9792. </w:t>
      </w:r>
      <w:hyperlink r:id="rId58" w:history="1">
        <w:r w:rsidRPr="00801F94">
          <w:rPr>
            <w:rStyle w:val="Hyperlink"/>
            <w:rFonts w:ascii="Arial" w:hAnsi="Arial" w:cs="Arial"/>
            <w:color w:val="auto"/>
            <w:u w:val="none"/>
          </w:rPr>
          <w:t>https://doi.org/10.1039/d2ra00116k</w:t>
        </w:r>
      </w:hyperlink>
    </w:p>
    <w:p w:rsidR="00223DA3" w:rsidRPr="00801F94" w:rsidRDefault="00223DA3" w:rsidP="00140547">
      <w:pPr>
        <w:pStyle w:val="ListParagraph"/>
        <w:numPr>
          <w:ilvl w:val="0"/>
          <w:numId w:val="31"/>
        </w:numPr>
        <w:spacing w:after="200"/>
        <w:ind w:left="714" w:hanging="357"/>
        <w:rPr>
          <w:rFonts w:ascii="Arial" w:hAnsi="Arial" w:cs="Arial"/>
        </w:rPr>
      </w:pPr>
      <w:r w:rsidRPr="00801F94">
        <w:rPr>
          <w:rStyle w:val="Strong"/>
          <w:rFonts w:ascii="Arial" w:eastAsiaTheme="majorEastAsia" w:hAnsi="Arial" w:cs="Arial"/>
          <w:b w:val="0"/>
          <w:bCs w:val="0"/>
        </w:rPr>
        <w:t>Martinez, J.L. (2009)</w:t>
      </w:r>
      <w:r w:rsidRPr="00801F94">
        <w:rPr>
          <w:rFonts w:ascii="Arial" w:hAnsi="Arial" w:cs="Arial"/>
        </w:rPr>
        <w:t xml:space="preserve"> – </w:t>
      </w:r>
      <w:r w:rsidRPr="00801F94">
        <w:rPr>
          <w:rStyle w:val="Emphasis"/>
          <w:rFonts w:ascii="Arial" w:eastAsiaTheme="majorEastAsia" w:hAnsi="Arial" w:cs="Arial"/>
          <w:i w:val="0"/>
          <w:iCs w:val="0"/>
        </w:rPr>
        <w:t>Environmental pollution by antibiotics and by antibiotic resistance determinants</w:t>
      </w:r>
      <w:r w:rsidRPr="00801F94">
        <w:rPr>
          <w:rFonts w:ascii="Arial" w:hAnsi="Arial" w:cs="Arial"/>
        </w:rPr>
        <w:t xml:space="preserve">. </w:t>
      </w:r>
      <w:r w:rsidRPr="00801F94">
        <w:rPr>
          <w:rStyle w:val="Emphasis"/>
          <w:rFonts w:ascii="Arial" w:eastAsiaTheme="majorEastAsia" w:hAnsi="Arial" w:cs="Arial"/>
          <w:i w:val="0"/>
          <w:iCs w:val="0"/>
        </w:rPr>
        <w:t>Environmental Pollution</w:t>
      </w:r>
      <w:r w:rsidRPr="00801F94">
        <w:rPr>
          <w:rFonts w:ascii="Arial" w:hAnsi="Arial" w:cs="Arial"/>
        </w:rPr>
        <w:t>, 157(11), 2893–2902.</w:t>
      </w:r>
    </w:p>
    <w:p w:rsidR="00223DA3" w:rsidRPr="00801F94" w:rsidRDefault="00223DA3" w:rsidP="001A2925">
      <w:pPr>
        <w:pStyle w:val="ListParagraph"/>
        <w:numPr>
          <w:ilvl w:val="0"/>
          <w:numId w:val="31"/>
        </w:numPr>
        <w:spacing w:after="200"/>
        <w:ind w:left="714" w:hanging="357"/>
        <w:rPr>
          <w:rFonts w:ascii="Arial" w:hAnsi="Arial" w:cs="Arial"/>
        </w:rPr>
      </w:pPr>
      <w:r w:rsidRPr="00801F94">
        <w:rPr>
          <w:rFonts w:ascii="Arial" w:hAnsi="Arial" w:cs="Arial"/>
        </w:rPr>
        <w:t xml:space="preserve">Mei, Y., Zhuang, S., &amp; Wang, J. (2024). </w:t>
      </w:r>
      <w:proofErr w:type="spellStart"/>
      <w:r w:rsidRPr="00801F94">
        <w:rPr>
          <w:rFonts w:ascii="Arial" w:hAnsi="Arial" w:cs="Arial"/>
        </w:rPr>
        <w:t>Biochar</w:t>
      </w:r>
      <w:proofErr w:type="spellEnd"/>
      <w:r w:rsidRPr="00801F94">
        <w:rPr>
          <w:rFonts w:ascii="Arial" w:hAnsi="Arial" w:cs="Arial"/>
        </w:rPr>
        <w:t>: A potential and green adsorbent for antibiotics removal from aqueous solution. Reviews in Environmental Science and Bio/Technology, 23, 1065–1103.</w:t>
      </w:r>
    </w:p>
    <w:p w:rsidR="00223DA3" w:rsidRPr="00801F94" w:rsidRDefault="00223DA3" w:rsidP="001A2925">
      <w:pPr>
        <w:pStyle w:val="ListParagraph"/>
        <w:numPr>
          <w:ilvl w:val="0"/>
          <w:numId w:val="31"/>
        </w:numPr>
        <w:spacing w:after="200"/>
        <w:ind w:left="714" w:hanging="357"/>
        <w:rPr>
          <w:rFonts w:ascii="Arial" w:hAnsi="Arial" w:cs="Arial"/>
        </w:rPr>
      </w:pPr>
      <w:r w:rsidRPr="00801F94">
        <w:rPr>
          <w:rStyle w:val="Strong"/>
          <w:rFonts w:ascii="Arial" w:eastAsiaTheme="majorEastAsia" w:hAnsi="Arial" w:cs="Arial"/>
          <w:b w:val="0"/>
          <w:bCs w:val="0"/>
        </w:rPr>
        <w:t xml:space="preserve">Michael, I., Rizzo, L., </w:t>
      </w:r>
      <w:proofErr w:type="spellStart"/>
      <w:r w:rsidRPr="00801F94">
        <w:rPr>
          <w:rStyle w:val="Strong"/>
          <w:rFonts w:ascii="Arial" w:eastAsiaTheme="majorEastAsia" w:hAnsi="Arial" w:cs="Arial"/>
          <w:b w:val="0"/>
          <w:bCs w:val="0"/>
        </w:rPr>
        <w:t>McArdell</w:t>
      </w:r>
      <w:proofErr w:type="spellEnd"/>
      <w:r w:rsidRPr="00801F94">
        <w:rPr>
          <w:rStyle w:val="Strong"/>
          <w:rFonts w:ascii="Arial" w:eastAsiaTheme="majorEastAsia" w:hAnsi="Arial" w:cs="Arial"/>
          <w:b w:val="0"/>
          <w:bCs w:val="0"/>
        </w:rPr>
        <w:t xml:space="preserve">, C. S., </w:t>
      </w:r>
      <w:proofErr w:type="spellStart"/>
      <w:r w:rsidRPr="00801F94">
        <w:rPr>
          <w:rStyle w:val="Strong"/>
          <w:rFonts w:ascii="Arial" w:eastAsiaTheme="majorEastAsia" w:hAnsi="Arial" w:cs="Arial"/>
          <w:b w:val="0"/>
          <w:bCs w:val="0"/>
        </w:rPr>
        <w:t>Manaia</w:t>
      </w:r>
      <w:proofErr w:type="spellEnd"/>
      <w:r w:rsidRPr="00801F94">
        <w:rPr>
          <w:rStyle w:val="Strong"/>
          <w:rFonts w:ascii="Arial" w:eastAsiaTheme="majorEastAsia" w:hAnsi="Arial" w:cs="Arial"/>
          <w:b w:val="0"/>
          <w:bCs w:val="0"/>
        </w:rPr>
        <w:t xml:space="preserve">, C. M., Merlin, C., Schwartz, T., </w:t>
      </w:r>
      <w:proofErr w:type="spellStart"/>
      <w:r w:rsidRPr="00801F94">
        <w:rPr>
          <w:rStyle w:val="Strong"/>
          <w:rFonts w:ascii="Arial" w:eastAsiaTheme="majorEastAsia" w:hAnsi="Arial" w:cs="Arial"/>
          <w:b w:val="0"/>
          <w:bCs w:val="0"/>
        </w:rPr>
        <w:t>Dagot</w:t>
      </w:r>
      <w:proofErr w:type="spellEnd"/>
      <w:r w:rsidRPr="00801F94">
        <w:rPr>
          <w:rStyle w:val="Strong"/>
          <w:rFonts w:ascii="Arial" w:eastAsiaTheme="majorEastAsia" w:hAnsi="Arial" w:cs="Arial"/>
          <w:b w:val="0"/>
          <w:bCs w:val="0"/>
        </w:rPr>
        <w:t xml:space="preserve">, C., &amp; </w:t>
      </w:r>
      <w:proofErr w:type="spellStart"/>
      <w:r w:rsidRPr="00801F94">
        <w:rPr>
          <w:rStyle w:val="Strong"/>
          <w:rFonts w:ascii="Arial" w:eastAsiaTheme="majorEastAsia" w:hAnsi="Arial" w:cs="Arial"/>
          <w:b w:val="0"/>
          <w:bCs w:val="0"/>
        </w:rPr>
        <w:t>Fatta</w:t>
      </w:r>
      <w:r w:rsidRPr="00801F94">
        <w:rPr>
          <w:rStyle w:val="Strong"/>
          <w:rFonts w:ascii="Arial" w:eastAsiaTheme="majorEastAsia" w:hAnsi="Arial" w:cs="Arial"/>
          <w:b w:val="0"/>
          <w:bCs w:val="0"/>
        </w:rPr>
        <w:noBreakHyphen/>
        <w:t>Kassinos</w:t>
      </w:r>
      <w:proofErr w:type="spellEnd"/>
      <w:r w:rsidRPr="00801F94">
        <w:rPr>
          <w:rStyle w:val="Strong"/>
          <w:rFonts w:ascii="Arial" w:eastAsiaTheme="majorEastAsia" w:hAnsi="Arial" w:cs="Arial"/>
          <w:b w:val="0"/>
          <w:bCs w:val="0"/>
        </w:rPr>
        <w:t>, D. (2013)</w:t>
      </w:r>
      <w:r w:rsidRPr="00801F94">
        <w:rPr>
          <w:rFonts w:ascii="Arial" w:hAnsi="Arial" w:cs="Arial"/>
        </w:rPr>
        <w:t xml:space="preserve"> – </w:t>
      </w:r>
      <w:r w:rsidRPr="00801F94">
        <w:rPr>
          <w:rStyle w:val="Emphasis"/>
          <w:rFonts w:ascii="Arial" w:eastAsiaTheme="majorEastAsia" w:hAnsi="Arial" w:cs="Arial"/>
          <w:i w:val="0"/>
          <w:iCs w:val="0"/>
        </w:rPr>
        <w:t>Urban wastewater treatment plants as hotspots for antibiotic resistant bacteria and genes spread into the environment: A review</w:t>
      </w:r>
      <w:r w:rsidRPr="00801F94">
        <w:rPr>
          <w:rFonts w:ascii="Arial" w:hAnsi="Arial" w:cs="Arial"/>
        </w:rPr>
        <w:t xml:space="preserve">. </w:t>
      </w:r>
      <w:r w:rsidRPr="00801F94">
        <w:rPr>
          <w:rStyle w:val="Emphasis"/>
          <w:rFonts w:ascii="Arial" w:eastAsiaTheme="majorEastAsia" w:hAnsi="Arial" w:cs="Arial"/>
          <w:i w:val="0"/>
          <w:iCs w:val="0"/>
        </w:rPr>
        <w:t>Science of the Total Environment</w:t>
      </w:r>
      <w:r w:rsidRPr="00801F94">
        <w:rPr>
          <w:rFonts w:ascii="Arial" w:hAnsi="Arial" w:cs="Arial"/>
        </w:rPr>
        <w:t>, 447, 345–360.</w:t>
      </w:r>
    </w:p>
    <w:p w:rsidR="00223DA3" w:rsidRPr="00801F94" w:rsidRDefault="00223DA3" w:rsidP="00140547">
      <w:pPr>
        <w:pStyle w:val="ListParagraph"/>
        <w:numPr>
          <w:ilvl w:val="0"/>
          <w:numId w:val="31"/>
        </w:numPr>
        <w:spacing w:after="200"/>
        <w:ind w:left="714" w:hanging="357"/>
        <w:rPr>
          <w:rFonts w:ascii="Arial" w:hAnsi="Arial" w:cs="Arial"/>
        </w:rPr>
      </w:pPr>
      <w:r w:rsidRPr="00801F94">
        <w:rPr>
          <w:rFonts w:ascii="Arial" w:hAnsi="Arial" w:cs="Arial"/>
        </w:rPr>
        <w:t xml:space="preserve">Míguez-González, A., Cela-Dablanca, R., Barreiro, A., Rodríguez-López, L., Rodríguez-Seijo, A., Arias-Estévez, M., Núñez-Delgado, A., Fernández-Sanjurjo, M. J., Castillo-Ramos, V., &amp; Álvarez-Rodríguez, E. (2023). Adsorption of antibiotics on bio-adsorbents derived from the forestry and agro-food industries. </w:t>
      </w:r>
      <w:r w:rsidRPr="00801F94">
        <w:rPr>
          <w:rFonts w:ascii="Arial" w:eastAsiaTheme="majorEastAsia" w:hAnsi="Arial" w:cs="Arial"/>
        </w:rPr>
        <w:t>Environmental Research, 233</w:t>
      </w:r>
      <w:r w:rsidRPr="00801F94">
        <w:rPr>
          <w:rFonts w:ascii="Arial" w:hAnsi="Arial" w:cs="Arial"/>
        </w:rPr>
        <w:t xml:space="preserve">, 116360. </w:t>
      </w:r>
      <w:hyperlink r:id="rId59" w:history="1">
        <w:r w:rsidRPr="00801F94">
          <w:rPr>
            <w:rStyle w:val="Hyperlink"/>
            <w:rFonts w:ascii="Arial" w:eastAsiaTheme="majorEastAsia" w:hAnsi="Arial" w:cs="Arial"/>
            <w:color w:val="auto"/>
            <w:u w:val="none"/>
          </w:rPr>
          <w:t>https://doi.org/10.1016/j.envres.2023.116360</w:t>
        </w:r>
      </w:hyperlink>
    </w:p>
    <w:p w:rsidR="00223DA3" w:rsidRPr="00801F94" w:rsidRDefault="00223DA3" w:rsidP="00140547">
      <w:pPr>
        <w:pStyle w:val="ListParagraph"/>
        <w:numPr>
          <w:ilvl w:val="0"/>
          <w:numId w:val="31"/>
        </w:numPr>
        <w:spacing w:after="200"/>
        <w:ind w:left="714" w:hanging="357"/>
        <w:rPr>
          <w:rFonts w:ascii="Arial" w:hAnsi="Arial" w:cs="Arial"/>
        </w:rPr>
      </w:pPr>
      <w:r w:rsidRPr="00801F94">
        <w:rPr>
          <w:rFonts w:ascii="Arial" w:hAnsi="Arial" w:cs="Arial"/>
        </w:rPr>
        <w:t xml:space="preserve">Myers, R. H., Montgomery, D. C., &amp; Anderson-Cook, C. M. (2016). </w:t>
      </w:r>
      <w:r w:rsidRPr="00801F94">
        <w:rPr>
          <w:rFonts w:ascii="Arial" w:hAnsi="Arial" w:cs="Arial"/>
          <w:bdr w:val="none" w:sz="0" w:space="0" w:color="auto" w:frame="1"/>
        </w:rPr>
        <w:t>Response Surface Methodology: Process and Product Optimization Using Designed Experiments</w:t>
      </w:r>
      <w:r w:rsidRPr="00801F94">
        <w:rPr>
          <w:rFonts w:ascii="Arial" w:hAnsi="Arial" w:cs="Arial"/>
        </w:rPr>
        <w:t xml:space="preserve"> (4th </w:t>
      </w:r>
      <w:proofErr w:type="gramStart"/>
      <w:r w:rsidRPr="00801F94">
        <w:rPr>
          <w:rFonts w:ascii="Arial" w:hAnsi="Arial" w:cs="Arial"/>
        </w:rPr>
        <w:t>ed</w:t>
      </w:r>
      <w:proofErr w:type="gramEnd"/>
      <w:r w:rsidRPr="00801F94">
        <w:rPr>
          <w:rFonts w:ascii="Arial" w:hAnsi="Arial" w:cs="Arial"/>
        </w:rPr>
        <w:t xml:space="preserve">.). John Wiley &amp; Sons. </w:t>
      </w:r>
    </w:p>
    <w:p w:rsidR="00223DA3" w:rsidRPr="00801F94" w:rsidRDefault="00223DA3" w:rsidP="00526DD7">
      <w:pPr>
        <w:pStyle w:val="ListParagraph"/>
        <w:numPr>
          <w:ilvl w:val="0"/>
          <w:numId w:val="31"/>
        </w:numPr>
        <w:spacing w:after="200"/>
        <w:rPr>
          <w:rFonts w:ascii="Arial" w:hAnsi="Arial" w:cs="Arial"/>
        </w:rPr>
      </w:pPr>
      <w:proofErr w:type="spellStart"/>
      <w:r w:rsidRPr="00801F94">
        <w:rPr>
          <w:rFonts w:ascii="Arial" w:hAnsi="Arial" w:cs="Arial"/>
        </w:rPr>
        <w:t>Nandiyanto</w:t>
      </w:r>
      <w:proofErr w:type="spellEnd"/>
      <w:r w:rsidRPr="00801F94">
        <w:rPr>
          <w:rFonts w:ascii="Arial" w:hAnsi="Arial" w:cs="Arial"/>
        </w:rPr>
        <w:t xml:space="preserve"> , A. B. D., </w:t>
      </w:r>
      <w:proofErr w:type="spellStart"/>
      <w:r w:rsidRPr="00801F94">
        <w:rPr>
          <w:rFonts w:ascii="Arial" w:hAnsi="Arial" w:cs="Arial"/>
        </w:rPr>
        <w:t>Nugraha</w:t>
      </w:r>
      <w:proofErr w:type="spellEnd"/>
      <w:r w:rsidRPr="00801F94">
        <w:rPr>
          <w:rFonts w:ascii="Arial" w:hAnsi="Arial" w:cs="Arial"/>
        </w:rPr>
        <w:t xml:space="preserve"> , W. C., </w:t>
      </w:r>
      <w:proofErr w:type="spellStart"/>
      <w:r w:rsidRPr="00801F94">
        <w:rPr>
          <w:rFonts w:ascii="Arial" w:hAnsi="Arial" w:cs="Arial"/>
        </w:rPr>
        <w:t>Yustia</w:t>
      </w:r>
      <w:proofErr w:type="spellEnd"/>
      <w:r w:rsidRPr="00801F94">
        <w:rPr>
          <w:rFonts w:ascii="Arial" w:hAnsi="Arial" w:cs="Arial"/>
        </w:rPr>
        <w:t xml:space="preserve"> , I., </w:t>
      </w:r>
      <w:proofErr w:type="spellStart"/>
      <w:r w:rsidRPr="00801F94">
        <w:rPr>
          <w:rFonts w:ascii="Arial" w:hAnsi="Arial" w:cs="Arial"/>
        </w:rPr>
        <w:t>Ragadhita</w:t>
      </w:r>
      <w:proofErr w:type="spellEnd"/>
      <w:r w:rsidRPr="00801F94">
        <w:rPr>
          <w:rFonts w:ascii="Arial" w:hAnsi="Arial" w:cs="Arial"/>
        </w:rPr>
        <w:t xml:space="preserve"> , R., </w:t>
      </w:r>
      <w:proofErr w:type="spellStart"/>
      <w:r w:rsidRPr="00801F94">
        <w:rPr>
          <w:rFonts w:ascii="Arial" w:hAnsi="Arial" w:cs="Arial"/>
        </w:rPr>
        <w:t>Fiandini</w:t>
      </w:r>
      <w:proofErr w:type="spellEnd"/>
      <w:r w:rsidRPr="00801F94">
        <w:rPr>
          <w:rFonts w:ascii="Arial" w:hAnsi="Arial" w:cs="Arial"/>
        </w:rPr>
        <w:t xml:space="preserve"> , M., </w:t>
      </w:r>
      <w:proofErr w:type="spellStart"/>
      <w:r w:rsidRPr="00801F94">
        <w:rPr>
          <w:rFonts w:ascii="Arial" w:hAnsi="Arial" w:cs="Arial"/>
        </w:rPr>
        <w:t>Meirinawati</w:t>
      </w:r>
      <w:proofErr w:type="spellEnd"/>
      <w:r w:rsidRPr="00801F94">
        <w:rPr>
          <w:rFonts w:ascii="Arial" w:hAnsi="Arial" w:cs="Arial"/>
        </w:rPr>
        <w:t xml:space="preserve"> , H., &amp; </w:t>
      </w:r>
      <w:proofErr w:type="spellStart"/>
      <w:r w:rsidRPr="00801F94">
        <w:rPr>
          <w:rFonts w:ascii="Arial" w:hAnsi="Arial" w:cs="Arial"/>
        </w:rPr>
        <w:t>Wulan</w:t>
      </w:r>
      <w:proofErr w:type="spellEnd"/>
      <w:r w:rsidRPr="00801F94">
        <w:rPr>
          <w:rFonts w:ascii="Arial" w:hAnsi="Arial" w:cs="Arial"/>
        </w:rPr>
        <w:t xml:space="preserve"> , D. R. (2024). Isotherm and kinetic adsorption of rice husk particles as a model adsorbent for solving issues in the sustainable gold mining environment from mercury leaching. </w:t>
      </w:r>
      <w:r w:rsidRPr="00801F94">
        <w:rPr>
          <w:rFonts w:ascii="Arial" w:hAnsi="Arial" w:cs="Arial"/>
          <w:i/>
          <w:iCs/>
        </w:rPr>
        <w:t>Journal of Mining Institute</w:t>
      </w:r>
      <w:r w:rsidRPr="00801F94">
        <w:rPr>
          <w:rFonts w:ascii="Arial" w:hAnsi="Arial" w:cs="Arial"/>
        </w:rPr>
        <w:t>, </w:t>
      </w:r>
      <w:r w:rsidRPr="00801F94">
        <w:rPr>
          <w:rFonts w:ascii="Arial" w:hAnsi="Arial" w:cs="Arial"/>
          <w:i/>
          <w:iCs/>
        </w:rPr>
        <w:t>265</w:t>
      </w:r>
      <w:r w:rsidRPr="00801F94">
        <w:rPr>
          <w:rFonts w:ascii="Arial" w:hAnsi="Arial" w:cs="Arial"/>
        </w:rPr>
        <w:t xml:space="preserve">, 104-120. Retrieved from </w:t>
      </w:r>
      <w:hyperlink r:id="rId60" w:history="1">
        <w:r w:rsidRPr="00801F94">
          <w:rPr>
            <w:rStyle w:val="Hyperlink"/>
            <w:rFonts w:ascii="Arial" w:hAnsi="Arial" w:cs="Arial"/>
            <w:color w:val="auto"/>
            <w:u w:val="none"/>
          </w:rPr>
          <w:t>https://pmi.spmi.ru/pmi/article/view/16281</w:t>
        </w:r>
      </w:hyperlink>
    </w:p>
    <w:p w:rsidR="00223DA3" w:rsidRPr="00801F94" w:rsidRDefault="00223DA3" w:rsidP="00D05933">
      <w:pPr>
        <w:pStyle w:val="ListParagraph"/>
        <w:numPr>
          <w:ilvl w:val="0"/>
          <w:numId w:val="31"/>
        </w:numPr>
        <w:spacing w:after="200"/>
        <w:rPr>
          <w:rFonts w:ascii="Arial" w:hAnsi="Arial" w:cs="Arial"/>
        </w:rPr>
      </w:pPr>
      <w:proofErr w:type="spellStart"/>
      <w:r w:rsidRPr="00801F94">
        <w:rPr>
          <w:rFonts w:ascii="Arial" w:hAnsi="Arial" w:cs="Arial"/>
        </w:rPr>
        <w:t>Nausheen</w:t>
      </w:r>
      <w:proofErr w:type="spellEnd"/>
      <w:r w:rsidRPr="00801F94">
        <w:rPr>
          <w:rFonts w:ascii="Arial" w:hAnsi="Arial" w:cs="Arial"/>
        </w:rPr>
        <w:t xml:space="preserve"> S., Bhatti H.N., </w:t>
      </w:r>
      <w:proofErr w:type="spellStart"/>
      <w:r w:rsidRPr="00801F94">
        <w:rPr>
          <w:rFonts w:ascii="Arial" w:hAnsi="Arial" w:cs="Arial"/>
        </w:rPr>
        <w:t>Arif</w:t>
      </w:r>
      <w:proofErr w:type="spellEnd"/>
      <w:r w:rsidRPr="00801F94">
        <w:rPr>
          <w:rFonts w:ascii="Arial" w:hAnsi="Arial" w:cs="Arial"/>
        </w:rPr>
        <w:t xml:space="preserve"> K., </w:t>
      </w:r>
      <w:proofErr w:type="spellStart"/>
      <w:r w:rsidRPr="00801F94">
        <w:rPr>
          <w:rFonts w:ascii="Arial" w:hAnsi="Arial" w:cs="Arial"/>
        </w:rPr>
        <w:t>Nisar</w:t>
      </w:r>
      <w:proofErr w:type="spellEnd"/>
      <w:r w:rsidRPr="00801F94">
        <w:rPr>
          <w:rFonts w:ascii="Arial" w:hAnsi="Arial" w:cs="Arial"/>
        </w:rPr>
        <w:t xml:space="preserve"> J., Iqbal M. Native clay, MnFe</w:t>
      </w:r>
      <w:r w:rsidRPr="00801F94">
        <w:rPr>
          <w:rFonts w:ascii="Arial" w:hAnsi="Arial" w:cs="Arial"/>
          <w:vertAlign w:val="subscript"/>
        </w:rPr>
        <w:t>2</w:t>
      </w:r>
      <w:r w:rsidRPr="00801F94">
        <w:rPr>
          <w:rFonts w:ascii="Arial" w:hAnsi="Arial" w:cs="Arial"/>
        </w:rPr>
        <w:t>O</w:t>
      </w:r>
      <w:r w:rsidRPr="00801F94">
        <w:rPr>
          <w:rFonts w:ascii="Arial" w:hAnsi="Arial" w:cs="Arial"/>
          <w:vertAlign w:val="subscript"/>
        </w:rPr>
        <w:t>4</w:t>
      </w:r>
      <w:r w:rsidRPr="00801F94">
        <w:rPr>
          <w:rFonts w:ascii="Arial" w:hAnsi="Arial" w:cs="Arial"/>
        </w:rPr>
        <w:t xml:space="preserve">/clay composite and bio-composite efficiency for the removal of synthetic dye from </w:t>
      </w:r>
      <w:r w:rsidRPr="00801F94">
        <w:rPr>
          <w:rFonts w:ascii="Arial" w:hAnsi="Arial" w:cs="Arial"/>
        </w:rPr>
        <w:lastRenderedPageBreak/>
        <w:t>synthetic solution: Column versus batch adsorption studies. Desalination Water Treat. 2020</w:t>
      </w:r>
      <w:proofErr w:type="gramStart"/>
      <w:r w:rsidRPr="00801F94">
        <w:rPr>
          <w:rFonts w:ascii="Arial" w:hAnsi="Arial" w:cs="Arial"/>
        </w:rPr>
        <w:t>;187:219</w:t>
      </w:r>
      <w:proofErr w:type="gramEnd"/>
      <w:r w:rsidRPr="00801F94">
        <w:rPr>
          <w:rFonts w:ascii="Arial" w:hAnsi="Arial" w:cs="Arial"/>
        </w:rPr>
        <w:t xml:space="preserve">–231. </w:t>
      </w:r>
      <w:proofErr w:type="spellStart"/>
      <w:proofErr w:type="gramStart"/>
      <w:r w:rsidRPr="00801F94">
        <w:rPr>
          <w:rFonts w:ascii="Arial" w:hAnsi="Arial" w:cs="Arial"/>
        </w:rPr>
        <w:t>doi</w:t>
      </w:r>
      <w:proofErr w:type="spellEnd"/>
      <w:proofErr w:type="gramEnd"/>
      <w:r w:rsidRPr="00801F94">
        <w:rPr>
          <w:rFonts w:ascii="Arial" w:hAnsi="Arial" w:cs="Arial"/>
        </w:rPr>
        <w:t>: 10.5004/dwt.2020.25349. [</w:t>
      </w:r>
      <w:hyperlink r:id="rId61" w:tgtFrame="_blank" w:history="1">
        <w:r w:rsidRPr="00801F94">
          <w:rPr>
            <w:rStyle w:val="Hyperlink"/>
            <w:rFonts w:ascii="Arial" w:hAnsi="Arial" w:cs="Arial"/>
            <w:color w:val="auto"/>
            <w:u w:val="none"/>
          </w:rPr>
          <w:t>DOI</w:t>
        </w:r>
      </w:hyperlink>
      <w:r w:rsidRPr="00801F94">
        <w:rPr>
          <w:rFonts w:ascii="Arial" w:hAnsi="Arial" w:cs="Arial"/>
        </w:rPr>
        <w:t>]</w:t>
      </w:r>
    </w:p>
    <w:p w:rsidR="00223DA3" w:rsidRPr="00801F94" w:rsidRDefault="00223DA3" w:rsidP="00140547">
      <w:pPr>
        <w:pStyle w:val="ListParagraph"/>
        <w:numPr>
          <w:ilvl w:val="0"/>
          <w:numId w:val="31"/>
        </w:numPr>
        <w:spacing w:after="200"/>
        <w:ind w:left="714" w:hanging="357"/>
        <w:rPr>
          <w:rFonts w:ascii="Arial" w:hAnsi="Arial" w:cs="Arial"/>
        </w:rPr>
      </w:pPr>
      <w:bookmarkStart w:id="21" w:name="_Hlk226720407"/>
      <w:proofErr w:type="spellStart"/>
      <w:r w:rsidRPr="00801F94">
        <w:rPr>
          <w:rFonts w:ascii="Arial" w:hAnsi="Arial" w:cs="Arial"/>
        </w:rPr>
        <w:t>Nwadibia</w:t>
      </w:r>
      <w:bookmarkEnd w:id="21"/>
      <w:proofErr w:type="spellEnd"/>
      <w:r w:rsidRPr="00801F94">
        <w:rPr>
          <w:rFonts w:ascii="Arial" w:hAnsi="Arial" w:cs="Arial"/>
        </w:rPr>
        <w:t xml:space="preserve">, P. C., </w:t>
      </w:r>
      <w:proofErr w:type="spellStart"/>
      <w:r w:rsidRPr="00801F94">
        <w:rPr>
          <w:rFonts w:ascii="Arial" w:hAnsi="Arial" w:cs="Arial"/>
        </w:rPr>
        <w:t>Eze</w:t>
      </w:r>
      <w:proofErr w:type="spellEnd"/>
      <w:r w:rsidRPr="00801F94">
        <w:rPr>
          <w:rFonts w:ascii="Arial" w:hAnsi="Arial" w:cs="Arial"/>
        </w:rPr>
        <w:t xml:space="preserve">, J. C., </w:t>
      </w:r>
      <w:proofErr w:type="spellStart"/>
      <w:r w:rsidRPr="00801F94">
        <w:rPr>
          <w:rFonts w:ascii="Arial" w:hAnsi="Arial" w:cs="Arial"/>
        </w:rPr>
        <w:t>Anyaogu</w:t>
      </w:r>
      <w:proofErr w:type="spellEnd"/>
      <w:r w:rsidRPr="00801F94">
        <w:rPr>
          <w:rFonts w:ascii="Arial" w:hAnsi="Arial" w:cs="Arial"/>
        </w:rPr>
        <w:t xml:space="preserve">, D. I., </w:t>
      </w:r>
      <w:proofErr w:type="spellStart"/>
      <w:r w:rsidRPr="00801F94">
        <w:rPr>
          <w:rFonts w:ascii="Arial" w:hAnsi="Arial" w:cs="Arial"/>
        </w:rPr>
        <w:t>Abugu</w:t>
      </w:r>
      <w:proofErr w:type="spellEnd"/>
      <w:r w:rsidRPr="00801F94">
        <w:rPr>
          <w:rFonts w:ascii="Arial" w:hAnsi="Arial" w:cs="Arial"/>
        </w:rPr>
        <w:t xml:space="preserve">, H. O., &amp; </w:t>
      </w:r>
      <w:proofErr w:type="spellStart"/>
      <w:r w:rsidRPr="00801F94">
        <w:rPr>
          <w:rFonts w:ascii="Arial" w:hAnsi="Arial" w:cs="Arial"/>
        </w:rPr>
        <w:t>Ejikeme</w:t>
      </w:r>
      <w:proofErr w:type="spellEnd"/>
      <w:r w:rsidRPr="00801F94">
        <w:rPr>
          <w:rFonts w:ascii="Arial" w:hAnsi="Arial" w:cs="Arial"/>
        </w:rPr>
        <w:t xml:space="preserve">, P. M. (2025). Adsorptive capacity of activated carbon derived from rice husks for azo dye removal from solution. Discover Chemistry, 2, 152. </w:t>
      </w:r>
      <w:hyperlink r:id="rId62" w:tgtFrame="_new" w:history="1">
        <w:r w:rsidRPr="00801F94">
          <w:rPr>
            <w:rStyle w:val="Hyperlink"/>
            <w:rFonts w:ascii="Arial" w:hAnsi="Arial" w:cs="Arial"/>
            <w:color w:val="auto"/>
            <w:u w:val="none"/>
          </w:rPr>
          <w:t>https://doi.org/10.1007/s44371-025-00233-9</w:t>
        </w:r>
      </w:hyperlink>
    </w:p>
    <w:p w:rsidR="005455FE" w:rsidRPr="00801F94" w:rsidRDefault="00223DA3" w:rsidP="009A4053">
      <w:pPr>
        <w:pStyle w:val="ListParagraph"/>
        <w:numPr>
          <w:ilvl w:val="0"/>
          <w:numId w:val="31"/>
        </w:numPr>
        <w:spacing w:after="200"/>
        <w:ind w:left="714" w:hanging="357"/>
        <w:rPr>
          <w:rFonts w:ascii="Arial" w:hAnsi="Arial" w:cs="Arial"/>
        </w:rPr>
      </w:pPr>
      <w:r w:rsidRPr="00801F94">
        <w:rPr>
          <w:rFonts w:ascii="Arial" w:hAnsi="Arial" w:cs="Arial"/>
        </w:rPr>
        <w:t>Obradovic, B. M. (2020). Guidelines for general adsorption kinetics mode</w:t>
      </w:r>
      <w:r w:rsidR="0017374F" w:rsidRPr="00801F94">
        <w:rPr>
          <w:rFonts w:ascii="Arial" w:hAnsi="Arial" w:cs="Arial"/>
        </w:rPr>
        <w:t>l</w:t>
      </w:r>
      <w:r w:rsidRPr="00801F94">
        <w:rPr>
          <w:rFonts w:ascii="Arial" w:hAnsi="Arial" w:cs="Arial"/>
        </w:rPr>
        <w:t xml:space="preserve">ling. Hemijska Industrija, 74(1), 65–70. </w:t>
      </w:r>
      <w:r w:rsidR="005455FE" w:rsidRPr="00801F94">
        <w:rPr>
          <w:rFonts w:ascii="Arial" w:hAnsi="Arial" w:cs="Arial"/>
        </w:rPr>
        <w:t>DOI:</w:t>
      </w:r>
      <w:hyperlink r:id="rId63" w:tgtFrame="_blank" w:history="1">
        <w:r w:rsidR="005455FE" w:rsidRPr="00801F94">
          <w:rPr>
            <w:rStyle w:val="Hyperlink"/>
            <w:rFonts w:ascii="Arial" w:hAnsi="Arial" w:cs="Arial"/>
            <w:color w:val="auto"/>
          </w:rPr>
          <w:t>10.2298/HEMIND200201006O</w:t>
        </w:r>
      </w:hyperlink>
    </w:p>
    <w:p w:rsidR="005455FE" w:rsidRPr="00801F94" w:rsidRDefault="005455FE" w:rsidP="00575BF7">
      <w:pPr>
        <w:pStyle w:val="ListParagraph"/>
        <w:numPr>
          <w:ilvl w:val="0"/>
          <w:numId w:val="31"/>
        </w:numPr>
        <w:spacing w:after="200"/>
        <w:ind w:left="714" w:hanging="357"/>
        <w:rPr>
          <w:rFonts w:ascii="Arial" w:hAnsi="Arial" w:cs="Arial"/>
        </w:rPr>
      </w:pPr>
      <w:proofErr w:type="spellStart"/>
      <w:r w:rsidRPr="00801F94">
        <w:rPr>
          <w:rFonts w:ascii="Arial" w:hAnsi="Arial" w:cs="Arial"/>
        </w:rPr>
        <w:t>Plazinski</w:t>
      </w:r>
      <w:proofErr w:type="spellEnd"/>
      <w:r w:rsidRPr="00801F94">
        <w:rPr>
          <w:rFonts w:ascii="Arial" w:hAnsi="Arial" w:cs="Arial"/>
        </w:rPr>
        <w:t xml:space="preserve">, W., </w:t>
      </w:r>
      <w:proofErr w:type="spellStart"/>
      <w:r w:rsidRPr="00801F94">
        <w:rPr>
          <w:rFonts w:ascii="Arial" w:hAnsi="Arial" w:cs="Arial"/>
        </w:rPr>
        <w:t>Rudzinski</w:t>
      </w:r>
      <w:proofErr w:type="spellEnd"/>
      <w:r w:rsidRPr="00801F94">
        <w:rPr>
          <w:rFonts w:ascii="Arial" w:hAnsi="Arial" w:cs="Arial"/>
        </w:rPr>
        <w:t xml:space="preserve">, W., &amp; </w:t>
      </w:r>
      <w:proofErr w:type="spellStart"/>
      <w:r w:rsidRPr="00801F94">
        <w:rPr>
          <w:rFonts w:ascii="Arial" w:hAnsi="Arial" w:cs="Arial"/>
        </w:rPr>
        <w:t>Plazinska</w:t>
      </w:r>
      <w:proofErr w:type="spellEnd"/>
      <w:r w:rsidRPr="00801F94">
        <w:rPr>
          <w:rFonts w:ascii="Arial" w:hAnsi="Arial" w:cs="Arial"/>
        </w:rPr>
        <w:t>, A. (2009). Theoretical models of sorption kinetics including a surface reaction mechanism: A review. Advances in Colloid and Interface Science, 152(1–2), 2–13. https://doi.org/10.1016/j.cis.2009.07.009</w:t>
      </w:r>
    </w:p>
    <w:p w:rsidR="00223DA3" w:rsidRPr="00801F94" w:rsidRDefault="00223DA3" w:rsidP="00575BF7">
      <w:pPr>
        <w:pStyle w:val="ListParagraph"/>
        <w:numPr>
          <w:ilvl w:val="0"/>
          <w:numId w:val="31"/>
        </w:numPr>
        <w:spacing w:after="200"/>
        <w:ind w:left="714" w:hanging="357"/>
        <w:rPr>
          <w:rFonts w:ascii="Arial" w:hAnsi="Arial" w:cs="Arial"/>
        </w:rPr>
      </w:pPr>
      <w:bookmarkStart w:id="22" w:name="_Hlk219602688"/>
      <w:r w:rsidRPr="00801F94">
        <w:rPr>
          <w:rFonts w:ascii="Arial" w:hAnsi="Arial" w:cs="Arial"/>
        </w:rPr>
        <w:t xml:space="preserve">Rahman, N., &amp; </w:t>
      </w:r>
      <w:proofErr w:type="spellStart"/>
      <w:r w:rsidRPr="00801F94">
        <w:rPr>
          <w:rFonts w:ascii="Arial" w:hAnsi="Arial" w:cs="Arial"/>
        </w:rPr>
        <w:t>Varshneya</w:t>
      </w:r>
      <w:proofErr w:type="spellEnd"/>
      <w:r w:rsidRPr="00801F94">
        <w:rPr>
          <w:rFonts w:ascii="Arial" w:hAnsi="Arial" w:cs="Arial"/>
        </w:rPr>
        <w:t xml:space="preserve">, P. (2020). </w:t>
      </w:r>
      <w:bookmarkEnd w:id="22"/>
      <w:r w:rsidRPr="00801F94">
        <w:rPr>
          <w:rFonts w:ascii="Arial" w:hAnsi="Arial" w:cs="Arial"/>
        </w:rPr>
        <w:t xml:space="preserve">Assessment of ampicillin removal efficiency from aqueous solution by </w:t>
      </w:r>
      <w:proofErr w:type="spellStart"/>
      <w:r w:rsidRPr="00801F94">
        <w:rPr>
          <w:rFonts w:ascii="Arial" w:hAnsi="Arial" w:cs="Arial"/>
        </w:rPr>
        <w:t>polydopamine</w:t>
      </w:r>
      <w:proofErr w:type="spellEnd"/>
      <w:r w:rsidRPr="00801F94">
        <w:rPr>
          <w:rFonts w:ascii="Arial" w:hAnsi="Arial" w:cs="Arial"/>
        </w:rPr>
        <w:t>/</w:t>
      </w:r>
      <w:proofErr w:type="gramStart"/>
      <w:r w:rsidRPr="00801F94">
        <w:rPr>
          <w:rFonts w:ascii="Arial" w:hAnsi="Arial" w:cs="Arial"/>
        </w:rPr>
        <w:t>zirconium(</w:t>
      </w:r>
      <w:proofErr w:type="gramEnd"/>
      <w:r w:rsidRPr="00801F94">
        <w:rPr>
          <w:rFonts w:ascii="Arial" w:hAnsi="Arial" w:cs="Arial"/>
        </w:rPr>
        <w:t xml:space="preserve">IV) iodate: Optimization by response surface methodology. RSC Advances, 10(34), 20261–20273. </w:t>
      </w:r>
      <w:hyperlink r:id="rId64" w:history="1">
        <w:r w:rsidRPr="00801F94">
          <w:rPr>
            <w:rFonts w:ascii="Arial" w:hAnsi="Arial" w:cs="Arial"/>
          </w:rPr>
          <w:t>https://doi.org/10.1039/D0RA02061C</w:t>
        </w:r>
      </w:hyperlink>
    </w:p>
    <w:p w:rsidR="00223DA3" w:rsidRPr="00801F94" w:rsidRDefault="00223DA3" w:rsidP="00575BF7">
      <w:pPr>
        <w:pStyle w:val="ListParagraph"/>
        <w:numPr>
          <w:ilvl w:val="0"/>
          <w:numId w:val="31"/>
        </w:numPr>
        <w:spacing w:after="200"/>
        <w:ind w:left="714" w:hanging="357"/>
        <w:rPr>
          <w:rFonts w:ascii="Arial" w:hAnsi="Arial" w:cs="Arial"/>
        </w:rPr>
      </w:pPr>
      <w:r w:rsidRPr="00801F94">
        <w:rPr>
          <w:rFonts w:ascii="Arial" w:hAnsi="Arial" w:cs="Arial"/>
        </w:rPr>
        <w:t>Romero-Hernandez, J. J., Paredes-</w:t>
      </w:r>
      <w:proofErr w:type="spellStart"/>
      <w:r w:rsidRPr="00801F94">
        <w:rPr>
          <w:rFonts w:ascii="Arial" w:hAnsi="Arial" w:cs="Arial"/>
        </w:rPr>
        <w:t>Laverde</w:t>
      </w:r>
      <w:proofErr w:type="spellEnd"/>
      <w:r w:rsidRPr="00801F94">
        <w:rPr>
          <w:rFonts w:ascii="Arial" w:hAnsi="Arial" w:cs="Arial"/>
        </w:rPr>
        <w:t>, M., Silva-</w:t>
      </w:r>
      <w:proofErr w:type="spellStart"/>
      <w:r w:rsidRPr="00801F94">
        <w:rPr>
          <w:rFonts w:ascii="Arial" w:hAnsi="Arial" w:cs="Arial"/>
        </w:rPr>
        <w:t>Agredo</w:t>
      </w:r>
      <w:proofErr w:type="spellEnd"/>
      <w:r w:rsidRPr="00801F94">
        <w:rPr>
          <w:rFonts w:ascii="Arial" w:hAnsi="Arial" w:cs="Arial"/>
        </w:rPr>
        <w:t xml:space="preserve">, J., Mercado, D. F., Ávila-Torres, Y., &amp; Torres-Palma, R. A. (2024). Pharmaceutical adsorption on </w:t>
      </w:r>
      <w:proofErr w:type="spellStart"/>
      <w:r w:rsidRPr="00801F94">
        <w:rPr>
          <w:rFonts w:ascii="Arial" w:hAnsi="Arial" w:cs="Arial"/>
        </w:rPr>
        <w:t>NaOH</w:t>
      </w:r>
      <w:proofErr w:type="spellEnd"/>
      <w:r w:rsidRPr="00801F94">
        <w:rPr>
          <w:rFonts w:ascii="Arial" w:hAnsi="Arial" w:cs="Arial"/>
        </w:rPr>
        <w:t>-treated rice husk-based activated carbons: Kinetics, thermodynamics, and mechanisms. Journal of Cleaner Production, 434, 139935.</w:t>
      </w:r>
    </w:p>
    <w:p w:rsidR="00223DA3" w:rsidRPr="00801F94" w:rsidRDefault="00223DA3" w:rsidP="00575BF7">
      <w:pPr>
        <w:pStyle w:val="ListParagraph"/>
        <w:numPr>
          <w:ilvl w:val="0"/>
          <w:numId w:val="31"/>
        </w:numPr>
        <w:spacing w:after="200"/>
        <w:ind w:left="714" w:hanging="357"/>
        <w:rPr>
          <w:rFonts w:ascii="Arial" w:hAnsi="Arial" w:cs="Arial"/>
        </w:rPr>
      </w:pPr>
      <w:proofErr w:type="spellStart"/>
      <w:r w:rsidRPr="00801F94">
        <w:rPr>
          <w:rFonts w:ascii="Arial" w:hAnsi="Arial" w:cs="Arial"/>
        </w:rPr>
        <w:t>Sangoremi</w:t>
      </w:r>
      <w:proofErr w:type="spellEnd"/>
      <w:r w:rsidRPr="00801F94">
        <w:rPr>
          <w:rFonts w:ascii="Arial" w:hAnsi="Arial" w:cs="Arial"/>
        </w:rPr>
        <w:t xml:space="preserve">, A. A. (2025). Adsorption kinetic models and their applications: A critical review. International Journal of Research and Scientific Innovation (IJRSI). </w:t>
      </w:r>
      <w:hyperlink r:id="rId65" w:tgtFrame="_new" w:history="1">
        <w:r w:rsidRPr="00801F94">
          <w:rPr>
            <w:rFonts w:ascii="Arial" w:hAnsi="Arial" w:cs="Arial"/>
          </w:rPr>
          <w:t>https://doi.org/10.51244/IJRSI.2025.120500019</w:t>
        </w:r>
      </w:hyperlink>
    </w:p>
    <w:p w:rsidR="00223DA3" w:rsidRPr="00801F94" w:rsidRDefault="00223DA3" w:rsidP="00575BF7">
      <w:pPr>
        <w:pStyle w:val="ListParagraph"/>
        <w:numPr>
          <w:ilvl w:val="0"/>
          <w:numId w:val="31"/>
        </w:numPr>
        <w:spacing w:after="200"/>
        <w:ind w:left="714" w:hanging="357"/>
        <w:rPr>
          <w:rFonts w:ascii="Arial" w:hAnsi="Arial" w:cs="Arial"/>
        </w:rPr>
      </w:pPr>
      <w:proofErr w:type="spellStart"/>
      <w:r w:rsidRPr="00801F94">
        <w:rPr>
          <w:rFonts w:ascii="Arial" w:hAnsi="Arial" w:cs="Arial"/>
        </w:rPr>
        <w:t>Shulin</w:t>
      </w:r>
      <w:proofErr w:type="spellEnd"/>
      <w:r w:rsidRPr="00801F94">
        <w:rPr>
          <w:rFonts w:ascii="Arial" w:hAnsi="Arial" w:cs="Arial"/>
        </w:rPr>
        <w:t xml:space="preserve"> P, </w:t>
      </w:r>
      <w:proofErr w:type="spellStart"/>
      <w:r w:rsidRPr="00801F94">
        <w:rPr>
          <w:rFonts w:ascii="Arial" w:hAnsi="Arial" w:cs="Arial"/>
        </w:rPr>
        <w:t>Tahri</w:t>
      </w:r>
      <w:proofErr w:type="spellEnd"/>
      <w:r w:rsidRPr="00801F94">
        <w:rPr>
          <w:rFonts w:ascii="Arial" w:hAnsi="Arial" w:cs="Arial"/>
        </w:rPr>
        <w:t xml:space="preserve"> W, </w:t>
      </w:r>
      <w:proofErr w:type="spellStart"/>
      <w:r w:rsidRPr="00801F94">
        <w:rPr>
          <w:rFonts w:ascii="Arial" w:hAnsi="Arial" w:cs="Arial"/>
        </w:rPr>
        <w:t>Khaskhoussi</w:t>
      </w:r>
      <w:proofErr w:type="spellEnd"/>
      <w:r w:rsidRPr="00801F94">
        <w:rPr>
          <w:rFonts w:ascii="Arial" w:hAnsi="Arial" w:cs="Arial"/>
        </w:rPr>
        <w:t xml:space="preserve"> </w:t>
      </w:r>
      <w:proofErr w:type="gramStart"/>
      <w:r w:rsidRPr="00801F94">
        <w:rPr>
          <w:rFonts w:ascii="Arial" w:hAnsi="Arial" w:cs="Arial"/>
        </w:rPr>
        <w:t>A</w:t>
      </w:r>
      <w:proofErr w:type="gramEnd"/>
      <w:r w:rsidRPr="00801F94">
        <w:rPr>
          <w:rFonts w:ascii="Arial" w:hAnsi="Arial" w:cs="Arial"/>
        </w:rPr>
        <w:t xml:space="preserve"> &amp; El-</w:t>
      </w:r>
      <w:proofErr w:type="spellStart"/>
      <w:r w:rsidRPr="00801F94">
        <w:rPr>
          <w:rFonts w:ascii="Arial" w:hAnsi="Arial" w:cs="Arial"/>
        </w:rPr>
        <w:t>Sappah</w:t>
      </w:r>
      <w:proofErr w:type="spellEnd"/>
      <w:r w:rsidRPr="00801F94">
        <w:rPr>
          <w:rFonts w:ascii="Arial" w:hAnsi="Arial" w:cs="Arial"/>
        </w:rPr>
        <w:t xml:space="preserve"> A. H (2026) Enhanced water treatment via combined oxidation and adsorption: a synergistic approach. Front. Chem. 13:1747407. </w:t>
      </w:r>
      <w:proofErr w:type="spellStart"/>
      <w:r w:rsidRPr="00801F94">
        <w:rPr>
          <w:rFonts w:ascii="Arial" w:hAnsi="Arial" w:cs="Arial"/>
        </w:rPr>
        <w:t>doi</w:t>
      </w:r>
      <w:proofErr w:type="spellEnd"/>
      <w:r w:rsidRPr="00801F94">
        <w:rPr>
          <w:rFonts w:ascii="Arial" w:hAnsi="Arial" w:cs="Arial"/>
        </w:rPr>
        <w:t>: 10.3389/fchem.2025.1747407</w:t>
      </w:r>
    </w:p>
    <w:p w:rsidR="00223DA3" w:rsidRPr="00801F94" w:rsidRDefault="00223DA3" w:rsidP="00575BF7">
      <w:pPr>
        <w:pStyle w:val="ListParagraph"/>
        <w:numPr>
          <w:ilvl w:val="0"/>
          <w:numId w:val="31"/>
        </w:numPr>
        <w:spacing w:after="200"/>
        <w:ind w:left="714" w:hanging="357"/>
        <w:rPr>
          <w:rFonts w:ascii="Arial" w:hAnsi="Arial" w:cs="Arial"/>
        </w:rPr>
      </w:pPr>
      <w:proofErr w:type="spellStart"/>
      <w:r w:rsidRPr="00801F94">
        <w:rPr>
          <w:rFonts w:ascii="Arial" w:hAnsi="Arial" w:cs="Arial"/>
        </w:rPr>
        <w:t>Simonin</w:t>
      </w:r>
      <w:proofErr w:type="spellEnd"/>
      <w:r w:rsidRPr="00801F94">
        <w:rPr>
          <w:rFonts w:ascii="Arial" w:hAnsi="Arial" w:cs="Arial"/>
        </w:rPr>
        <w:t xml:space="preserve">, J.-P. (2016). </w:t>
      </w:r>
      <w:proofErr w:type="gramStart"/>
      <w:r w:rsidRPr="00801F94">
        <w:rPr>
          <w:rFonts w:ascii="Arial" w:hAnsi="Arial" w:cs="Arial"/>
        </w:rPr>
        <w:t>On</w:t>
      </w:r>
      <w:proofErr w:type="gramEnd"/>
      <w:r w:rsidRPr="00801F94">
        <w:rPr>
          <w:rFonts w:ascii="Arial" w:hAnsi="Arial" w:cs="Arial"/>
        </w:rPr>
        <w:t xml:space="preserve"> the comparison of pseudo-first order and pseudo-second order rate laws in the model</w:t>
      </w:r>
      <w:r w:rsidR="00575BF7" w:rsidRPr="00801F94">
        <w:rPr>
          <w:rFonts w:ascii="Arial" w:hAnsi="Arial" w:cs="Arial"/>
        </w:rPr>
        <w:t>l</w:t>
      </w:r>
      <w:r w:rsidRPr="00801F94">
        <w:rPr>
          <w:rFonts w:ascii="Arial" w:hAnsi="Arial" w:cs="Arial"/>
        </w:rPr>
        <w:t>ing of adsorption kinetics. Chemical Engineering Journal, 300, 254–263. https://doi.org/10.1016/j.cej.2016.04.079</w:t>
      </w:r>
    </w:p>
    <w:p w:rsidR="00223DA3" w:rsidRPr="00801F94" w:rsidRDefault="00223DA3" w:rsidP="00575BF7">
      <w:pPr>
        <w:pStyle w:val="ListParagraph"/>
        <w:numPr>
          <w:ilvl w:val="0"/>
          <w:numId w:val="31"/>
        </w:numPr>
        <w:spacing w:after="200"/>
        <w:ind w:left="714" w:hanging="357"/>
        <w:rPr>
          <w:rFonts w:ascii="Arial" w:hAnsi="Arial" w:cs="Arial"/>
        </w:rPr>
      </w:pPr>
      <w:proofErr w:type="spellStart"/>
      <w:r w:rsidRPr="00801F94">
        <w:rPr>
          <w:rFonts w:ascii="Arial" w:hAnsi="Arial" w:cs="Arial"/>
        </w:rPr>
        <w:t>Sivakumar</w:t>
      </w:r>
      <w:proofErr w:type="spellEnd"/>
      <w:r w:rsidRPr="00801F94">
        <w:rPr>
          <w:rFonts w:ascii="Arial" w:hAnsi="Arial" w:cs="Arial"/>
        </w:rPr>
        <w:t xml:space="preserve">, P., </w:t>
      </w:r>
      <w:proofErr w:type="spellStart"/>
      <w:r w:rsidRPr="00801F94">
        <w:rPr>
          <w:rFonts w:ascii="Arial" w:hAnsi="Arial" w:cs="Arial"/>
        </w:rPr>
        <w:t>Srikanth</w:t>
      </w:r>
      <w:proofErr w:type="spellEnd"/>
      <w:r w:rsidRPr="00801F94">
        <w:rPr>
          <w:rFonts w:ascii="Arial" w:hAnsi="Arial" w:cs="Arial"/>
        </w:rPr>
        <w:t xml:space="preserve">, S., </w:t>
      </w:r>
      <w:proofErr w:type="spellStart"/>
      <w:r w:rsidRPr="00801F94">
        <w:rPr>
          <w:rFonts w:ascii="Arial" w:hAnsi="Arial" w:cs="Arial"/>
        </w:rPr>
        <w:t>Sangaiya</w:t>
      </w:r>
      <w:proofErr w:type="spellEnd"/>
      <w:r w:rsidRPr="00801F94">
        <w:rPr>
          <w:rFonts w:ascii="Arial" w:hAnsi="Arial" w:cs="Arial"/>
        </w:rPr>
        <w:t xml:space="preserve">, P., &amp; </w:t>
      </w:r>
      <w:proofErr w:type="spellStart"/>
      <w:r w:rsidRPr="00801F94">
        <w:rPr>
          <w:rFonts w:ascii="Arial" w:hAnsi="Arial" w:cs="Arial"/>
        </w:rPr>
        <w:t>Solai</w:t>
      </w:r>
      <w:proofErr w:type="spellEnd"/>
      <w:r w:rsidRPr="00801F94">
        <w:rPr>
          <w:rFonts w:ascii="Arial" w:hAnsi="Arial" w:cs="Arial"/>
        </w:rPr>
        <w:t xml:space="preserve"> </w:t>
      </w:r>
      <w:proofErr w:type="spellStart"/>
      <w:r w:rsidRPr="00801F94">
        <w:rPr>
          <w:rFonts w:ascii="Arial" w:hAnsi="Arial" w:cs="Arial"/>
        </w:rPr>
        <w:t>Selvi</w:t>
      </w:r>
      <w:proofErr w:type="spellEnd"/>
      <w:r w:rsidRPr="00801F94">
        <w:rPr>
          <w:rFonts w:ascii="Arial" w:hAnsi="Arial" w:cs="Arial"/>
        </w:rPr>
        <w:t>, R. (2025). Optimizing high-impact UV and visible light-induced biodegradable mulch films from particle size and morphology-controlled synthesis of coat button plant (</w:t>
      </w:r>
      <w:proofErr w:type="spellStart"/>
      <w:r w:rsidRPr="00801F94">
        <w:rPr>
          <w:rFonts w:ascii="Arial" w:hAnsi="Arial" w:cs="Arial"/>
          <w:i/>
          <w:iCs/>
        </w:rPr>
        <w:t>Tridax</w:t>
      </w:r>
      <w:proofErr w:type="spellEnd"/>
      <w:r w:rsidRPr="00801F94">
        <w:rPr>
          <w:rFonts w:ascii="Arial" w:hAnsi="Arial" w:cs="Arial"/>
          <w:i/>
          <w:iCs/>
        </w:rPr>
        <w:t xml:space="preserve"> </w:t>
      </w:r>
      <w:proofErr w:type="spellStart"/>
      <w:r w:rsidRPr="00801F94">
        <w:rPr>
          <w:rFonts w:ascii="Arial" w:hAnsi="Arial" w:cs="Arial"/>
          <w:i/>
          <w:iCs/>
        </w:rPr>
        <w:t>procumbens</w:t>
      </w:r>
      <w:proofErr w:type="spellEnd"/>
      <w:r w:rsidRPr="00801F94">
        <w:rPr>
          <w:rFonts w:ascii="Arial" w:hAnsi="Arial" w:cs="Arial"/>
        </w:rPr>
        <w:t xml:space="preserve">) leaves extract capped iron oxide </w:t>
      </w:r>
      <w:proofErr w:type="spellStart"/>
      <w:r w:rsidRPr="00801F94">
        <w:rPr>
          <w:rFonts w:ascii="Arial" w:hAnsi="Arial" w:cs="Arial"/>
        </w:rPr>
        <w:t>nano</w:t>
      </w:r>
      <w:proofErr w:type="spellEnd"/>
      <w:r w:rsidRPr="00801F94">
        <w:rPr>
          <w:rFonts w:ascii="Arial" w:hAnsi="Arial" w:cs="Arial"/>
        </w:rPr>
        <w:t xml:space="preserve"> films. </w:t>
      </w:r>
      <w:r w:rsidRPr="00801F94">
        <w:rPr>
          <w:rFonts w:ascii="Arial" w:hAnsi="Arial" w:cs="Arial"/>
          <w:i/>
          <w:iCs/>
        </w:rPr>
        <w:t>Journal of Hunan University Natural Sciences, 62</w:t>
      </w:r>
      <w:r w:rsidRPr="00801F94">
        <w:rPr>
          <w:rFonts w:ascii="Arial" w:hAnsi="Arial" w:cs="Arial"/>
        </w:rPr>
        <w:t>(5). https://doi.org/10.5281/zenodo.15378073</w:t>
      </w:r>
    </w:p>
    <w:p w:rsidR="00223DA3" w:rsidRPr="00801F94" w:rsidRDefault="00223DA3" w:rsidP="00575BF7">
      <w:pPr>
        <w:pStyle w:val="ListParagraph"/>
        <w:numPr>
          <w:ilvl w:val="0"/>
          <w:numId w:val="31"/>
        </w:numPr>
        <w:spacing w:after="200"/>
        <w:ind w:left="714" w:hanging="357"/>
        <w:rPr>
          <w:rFonts w:ascii="Arial" w:hAnsi="Arial" w:cs="Arial"/>
        </w:rPr>
      </w:pPr>
      <w:r w:rsidRPr="00801F94">
        <w:rPr>
          <w:rFonts w:ascii="Arial" w:hAnsi="Arial" w:cs="Arial"/>
        </w:rPr>
        <w:t>Weber, W. J., &amp; Morris, J. C. (1963). Kinetics of adsorption on carbon from solution. Journal of the Sanitary Engineering Division, 89(SA2), 31-59.</w:t>
      </w:r>
    </w:p>
    <w:p w:rsidR="00AA2365" w:rsidRPr="00801F94" w:rsidRDefault="00AA2365" w:rsidP="00575BF7">
      <w:pPr>
        <w:pStyle w:val="ListParagraph"/>
        <w:numPr>
          <w:ilvl w:val="0"/>
          <w:numId w:val="31"/>
        </w:numPr>
        <w:spacing w:after="200"/>
        <w:ind w:left="714" w:hanging="357"/>
        <w:rPr>
          <w:rFonts w:ascii="Arial" w:hAnsi="Arial" w:cs="Arial"/>
        </w:rPr>
      </w:pPr>
      <w:r w:rsidRPr="00801F94">
        <w:rPr>
          <w:rFonts w:ascii="Arial" w:hAnsi="Arial" w:cs="Arial"/>
        </w:rPr>
        <w:t xml:space="preserve">World Health Organization. (2016). </w:t>
      </w:r>
      <w:r w:rsidRPr="00801F94">
        <w:rPr>
          <w:rFonts w:ascii="Arial" w:hAnsi="Arial" w:cs="Arial"/>
          <w:i/>
          <w:iCs/>
        </w:rPr>
        <w:t>Global action plan on antimicrobial resistance</w:t>
      </w:r>
      <w:r w:rsidRPr="00801F94">
        <w:rPr>
          <w:rFonts w:ascii="Arial" w:hAnsi="Arial" w:cs="Arial"/>
        </w:rPr>
        <w:t xml:space="preserve">. </w:t>
      </w:r>
      <w:hyperlink r:id="rId66" w:tgtFrame="_new" w:history="1">
        <w:r w:rsidRPr="00801F94">
          <w:rPr>
            <w:rStyle w:val="Hyperlink"/>
            <w:rFonts w:ascii="Arial" w:hAnsi="Arial" w:cs="Arial"/>
            <w:color w:val="auto"/>
          </w:rPr>
          <w:t>https://www.who.int/publications/i/item/9789241509763</w:t>
        </w:r>
      </w:hyperlink>
    </w:p>
    <w:p w:rsidR="00A91F15" w:rsidRPr="00801F94" w:rsidRDefault="00223DA3" w:rsidP="00AA2365">
      <w:pPr>
        <w:pStyle w:val="ListParagraph"/>
        <w:numPr>
          <w:ilvl w:val="0"/>
          <w:numId w:val="31"/>
        </w:numPr>
        <w:spacing w:after="200"/>
        <w:ind w:left="714" w:hanging="357"/>
        <w:rPr>
          <w:rFonts w:ascii="Arial" w:hAnsi="Arial" w:cs="Arial"/>
        </w:rPr>
      </w:pPr>
      <w:r w:rsidRPr="00801F94">
        <w:rPr>
          <w:rFonts w:ascii="Arial" w:hAnsi="Arial" w:cs="Arial"/>
        </w:rPr>
        <w:t xml:space="preserve">Wu, L., Liu, X., </w:t>
      </w:r>
      <w:proofErr w:type="spellStart"/>
      <w:r w:rsidRPr="00801F94">
        <w:rPr>
          <w:rFonts w:ascii="Arial" w:hAnsi="Arial" w:cs="Arial"/>
        </w:rPr>
        <w:t>Lv</w:t>
      </w:r>
      <w:proofErr w:type="spellEnd"/>
      <w:r w:rsidRPr="00801F94">
        <w:rPr>
          <w:rFonts w:ascii="Arial" w:hAnsi="Arial" w:cs="Arial"/>
        </w:rPr>
        <w:t xml:space="preserve">, G. (2021). Study on the adsorption properties of methyl orange by natural one-dimensional </w:t>
      </w:r>
      <w:proofErr w:type="spellStart"/>
      <w:r w:rsidRPr="00801F94">
        <w:rPr>
          <w:rFonts w:ascii="Arial" w:hAnsi="Arial" w:cs="Arial"/>
        </w:rPr>
        <w:t>nano</w:t>
      </w:r>
      <w:proofErr w:type="spellEnd"/>
      <w:r w:rsidRPr="00801F94">
        <w:rPr>
          <w:rFonts w:ascii="Arial" w:hAnsi="Arial" w:cs="Arial"/>
        </w:rPr>
        <w:t xml:space="preserve">-mineral materials with different structures. Scientific Reports, 11, 10640. </w:t>
      </w:r>
      <w:hyperlink r:id="rId67" w:tgtFrame="_new" w:history="1">
        <w:r w:rsidRPr="00801F94">
          <w:rPr>
            <w:rFonts w:ascii="Arial" w:hAnsi="Arial" w:cs="Arial"/>
          </w:rPr>
          <w:t>https://doi.org/10.1038/s41598-021-90235-1</w:t>
        </w:r>
      </w:hyperlink>
    </w:p>
    <w:p w:rsidR="00AA2365" w:rsidRPr="00801F94" w:rsidRDefault="00AA2365" w:rsidP="00AA2365">
      <w:pPr>
        <w:pStyle w:val="ListParagraph"/>
        <w:numPr>
          <w:ilvl w:val="0"/>
          <w:numId w:val="31"/>
        </w:numPr>
        <w:spacing w:after="200"/>
        <w:ind w:left="714" w:hanging="357"/>
        <w:rPr>
          <w:rFonts w:ascii="Arial" w:hAnsi="Arial" w:cs="Arial"/>
        </w:rPr>
      </w:pPr>
      <w:r w:rsidRPr="00801F94">
        <w:rPr>
          <w:rFonts w:ascii="Arial" w:hAnsi="Arial" w:cs="Arial"/>
        </w:rPr>
        <w:t xml:space="preserve">Yeo, J. Y. J., </w:t>
      </w:r>
      <w:proofErr w:type="spellStart"/>
      <w:r w:rsidRPr="00801F94">
        <w:rPr>
          <w:rFonts w:ascii="Arial" w:hAnsi="Arial" w:cs="Arial"/>
        </w:rPr>
        <w:t>Khaerudini</w:t>
      </w:r>
      <w:proofErr w:type="spellEnd"/>
      <w:r w:rsidRPr="00801F94">
        <w:rPr>
          <w:rFonts w:ascii="Arial" w:hAnsi="Arial" w:cs="Arial"/>
        </w:rPr>
        <w:t xml:space="preserve">, D. S., </w:t>
      </w:r>
      <w:proofErr w:type="spellStart"/>
      <w:r w:rsidRPr="00801F94">
        <w:rPr>
          <w:rFonts w:ascii="Arial" w:hAnsi="Arial" w:cs="Arial"/>
        </w:rPr>
        <w:t>Soetaredjo</w:t>
      </w:r>
      <w:proofErr w:type="spellEnd"/>
      <w:r w:rsidRPr="00801F94">
        <w:rPr>
          <w:rFonts w:ascii="Arial" w:hAnsi="Arial" w:cs="Arial"/>
        </w:rPr>
        <w:t xml:space="preserve">, F. E., </w:t>
      </w:r>
      <w:proofErr w:type="spellStart"/>
      <w:r w:rsidRPr="00801F94">
        <w:rPr>
          <w:rFonts w:ascii="Arial" w:hAnsi="Arial" w:cs="Arial"/>
        </w:rPr>
        <w:t>Waworuntu</w:t>
      </w:r>
      <w:proofErr w:type="spellEnd"/>
      <w:r w:rsidRPr="00801F94">
        <w:rPr>
          <w:rFonts w:ascii="Arial" w:hAnsi="Arial" w:cs="Arial"/>
        </w:rPr>
        <w:t xml:space="preserve">, G. L., </w:t>
      </w:r>
      <w:proofErr w:type="spellStart"/>
      <w:r w:rsidRPr="00801F94">
        <w:rPr>
          <w:rFonts w:ascii="Arial" w:hAnsi="Arial" w:cs="Arial"/>
        </w:rPr>
        <w:t>Ismadji</w:t>
      </w:r>
      <w:proofErr w:type="spellEnd"/>
      <w:r w:rsidRPr="00801F94">
        <w:rPr>
          <w:rFonts w:ascii="Arial" w:hAnsi="Arial" w:cs="Arial"/>
        </w:rPr>
        <w:t xml:space="preserve">, S., </w:t>
      </w:r>
      <w:proofErr w:type="spellStart"/>
      <w:r w:rsidRPr="00801F94">
        <w:rPr>
          <w:rFonts w:ascii="Arial" w:hAnsi="Arial" w:cs="Arial"/>
        </w:rPr>
        <w:t>Sunarso</w:t>
      </w:r>
      <w:proofErr w:type="spellEnd"/>
      <w:r w:rsidRPr="00801F94">
        <w:rPr>
          <w:rFonts w:ascii="Arial" w:hAnsi="Arial" w:cs="Arial"/>
        </w:rPr>
        <w:t xml:space="preserve">, J., &amp; Liu, S. (2023). Isotherm data for adsorption of amoxicillin, ampicillin, and </w:t>
      </w:r>
      <w:proofErr w:type="spellStart"/>
      <w:r w:rsidRPr="00801F94">
        <w:rPr>
          <w:rFonts w:ascii="Arial" w:hAnsi="Arial" w:cs="Arial"/>
        </w:rPr>
        <w:t>doripenem</w:t>
      </w:r>
      <w:proofErr w:type="spellEnd"/>
      <w:r w:rsidRPr="00801F94">
        <w:rPr>
          <w:rFonts w:ascii="Arial" w:hAnsi="Arial" w:cs="Arial"/>
        </w:rPr>
        <w:t xml:space="preserve"> onto bentonite. Data in Brief, 48, 109159. </w:t>
      </w:r>
      <w:hyperlink r:id="rId68" w:tgtFrame="_new" w:history="1">
        <w:r w:rsidRPr="00801F94">
          <w:rPr>
            <w:rFonts w:ascii="Arial" w:hAnsi="Arial" w:cs="Arial"/>
          </w:rPr>
          <w:t>https://doi.org/10.1016/j.dib.2023.109159</w:t>
        </w:r>
      </w:hyperlink>
    </w:p>
    <w:p w:rsidR="00A91F15" w:rsidRPr="00801F94" w:rsidRDefault="00A91F15" w:rsidP="00A91F15">
      <w:pPr>
        <w:pStyle w:val="ListParagraph"/>
        <w:numPr>
          <w:ilvl w:val="0"/>
          <w:numId w:val="31"/>
        </w:numPr>
        <w:spacing w:after="200"/>
        <w:ind w:left="714" w:hanging="357"/>
        <w:rPr>
          <w:rFonts w:ascii="Arial" w:hAnsi="Arial" w:cs="Arial"/>
        </w:rPr>
      </w:pPr>
      <w:r w:rsidRPr="00801F94">
        <w:rPr>
          <w:rFonts w:ascii="Arial" w:hAnsi="Arial" w:cs="Arial"/>
        </w:rPr>
        <w:t xml:space="preserve">Yeo, J. Y. J., </w:t>
      </w:r>
      <w:proofErr w:type="spellStart"/>
      <w:r w:rsidRPr="00801F94">
        <w:rPr>
          <w:rFonts w:ascii="Arial" w:hAnsi="Arial" w:cs="Arial"/>
        </w:rPr>
        <w:t>Aqsha</w:t>
      </w:r>
      <w:proofErr w:type="spellEnd"/>
      <w:r w:rsidRPr="00801F94">
        <w:rPr>
          <w:rFonts w:ascii="Arial" w:hAnsi="Arial" w:cs="Arial"/>
        </w:rPr>
        <w:t xml:space="preserve">, A., </w:t>
      </w:r>
      <w:proofErr w:type="spellStart"/>
      <w:r w:rsidRPr="00801F94">
        <w:rPr>
          <w:rFonts w:ascii="Arial" w:hAnsi="Arial" w:cs="Arial"/>
        </w:rPr>
        <w:t>Ismadji</w:t>
      </w:r>
      <w:proofErr w:type="spellEnd"/>
      <w:r w:rsidRPr="00801F94">
        <w:rPr>
          <w:rFonts w:ascii="Arial" w:hAnsi="Arial" w:cs="Arial"/>
        </w:rPr>
        <w:t xml:space="preserve">, S., &amp; </w:t>
      </w:r>
      <w:proofErr w:type="spellStart"/>
      <w:r w:rsidRPr="00801F94">
        <w:rPr>
          <w:rFonts w:ascii="Arial" w:hAnsi="Arial" w:cs="Arial"/>
        </w:rPr>
        <w:t>Sunarso</w:t>
      </w:r>
      <w:proofErr w:type="spellEnd"/>
      <w:r w:rsidRPr="00801F94">
        <w:rPr>
          <w:rFonts w:ascii="Arial" w:hAnsi="Arial" w:cs="Arial"/>
        </w:rPr>
        <w:t xml:space="preserve">, J. (2024). Adsorption kinetics of amoxicillin, ampicillin, and </w:t>
      </w:r>
      <w:proofErr w:type="spellStart"/>
      <w:r w:rsidRPr="00801F94">
        <w:rPr>
          <w:rFonts w:ascii="Arial" w:hAnsi="Arial" w:cs="Arial"/>
        </w:rPr>
        <w:t>doripenem</w:t>
      </w:r>
      <w:proofErr w:type="spellEnd"/>
      <w:r w:rsidRPr="00801F94">
        <w:rPr>
          <w:rFonts w:ascii="Arial" w:hAnsi="Arial" w:cs="Arial"/>
        </w:rPr>
        <w:t xml:space="preserve"> on </w:t>
      </w:r>
      <w:proofErr w:type="spellStart"/>
      <w:r w:rsidRPr="00801F94">
        <w:rPr>
          <w:rFonts w:ascii="Arial" w:hAnsi="Arial" w:cs="Arial"/>
        </w:rPr>
        <w:t>organobentonite</w:t>
      </w:r>
      <w:proofErr w:type="spellEnd"/>
      <w:r w:rsidRPr="00801F94">
        <w:rPr>
          <w:rFonts w:ascii="Arial" w:hAnsi="Arial" w:cs="Arial"/>
        </w:rPr>
        <w:t xml:space="preserve">. </w:t>
      </w:r>
      <w:r w:rsidRPr="00801F94">
        <w:rPr>
          <w:rFonts w:ascii="Arial" w:hAnsi="Arial" w:cs="Arial"/>
          <w:i/>
          <w:iCs/>
        </w:rPr>
        <w:t>AIP Conference Proceedings, 3073</w:t>
      </w:r>
      <w:r w:rsidRPr="00801F94">
        <w:rPr>
          <w:rFonts w:ascii="Arial" w:hAnsi="Arial" w:cs="Arial"/>
        </w:rPr>
        <w:t xml:space="preserve">(1), 070013. </w:t>
      </w:r>
      <w:hyperlink r:id="rId69" w:tgtFrame="_new" w:history="1">
        <w:r w:rsidRPr="00801F94">
          <w:rPr>
            <w:rFonts w:ascii="Arial" w:hAnsi="Arial" w:cs="Arial"/>
          </w:rPr>
          <w:t>https://doi.org/10.1063/5.0194120</w:t>
        </w:r>
      </w:hyperlink>
    </w:p>
    <w:p w:rsidR="00223DA3" w:rsidRPr="00801F94" w:rsidRDefault="00223DA3" w:rsidP="00140547">
      <w:pPr>
        <w:pStyle w:val="ListParagraph"/>
        <w:numPr>
          <w:ilvl w:val="0"/>
          <w:numId w:val="31"/>
        </w:numPr>
        <w:spacing w:after="200"/>
        <w:ind w:left="714" w:hanging="357"/>
        <w:rPr>
          <w:rFonts w:ascii="Arial" w:hAnsi="Arial" w:cs="Arial"/>
        </w:rPr>
      </w:pPr>
      <w:r w:rsidRPr="00801F94">
        <w:rPr>
          <w:rFonts w:ascii="Arial" w:hAnsi="Arial" w:cs="Arial"/>
        </w:rPr>
        <w:t xml:space="preserve">Yu, F., Li, Y., Han, S., &amp; Ma, J. (2016). Adsorptive removal of antibiotics from aqueous solution using carbon materials. </w:t>
      </w:r>
      <w:r w:rsidRPr="00801F94">
        <w:rPr>
          <w:rFonts w:ascii="Arial" w:eastAsiaTheme="majorEastAsia" w:hAnsi="Arial" w:cs="Arial"/>
        </w:rPr>
        <w:t>Chemosphere, 153</w:t>
      </w:r>
      <w:r w:rsidRPr="00801F94">
        <w:rPr>
          <w:rFonts w:ascii="Arial" w:hAnsi="Arial" w:cs="Arial"/>
        </w:rPr>
        <w:t xml:space="preserve">, 365–385. </w:t>
      </w:r>
    </w:p>
    <w:p w:rsidR="00223DA3" w:rsidRPr="00801F94" w:rsidRDefault="00223DA3" w:rsidP="001A2925">
      <w:pPr>
        <w:pStyle w:val="ListParagraph"/>
        <w:numPr>
          <w:ilvl w:val="0"/>
          <w:numId w:val="31"/>
        </w:numPr>
        <w:spacing w:after="200"/>
        <w:rPr>
          <w:rFonts w:ascii="Arial" w:hAnsi="Arial" w:cs="Arial"/>
        </w:rPr>
      </w:pPr>
      <w:r w:rsidRPr="00801F94">
        <w:rPr>
          <w:rFonts w:ascii="Arial" w:hAnsi="Arial" w:cs="Arial"/>
        </w:rPr>
        <w:t>Zhao, Y., Wang, L., &amp; Zhang, X. (2024). Modified intraparticle diffusion model for biochar adsorption of chlorobenzene pollutants. Journal of Soils and Sediments, 24, 3626–3640.</w:t>
      </w:r>
    </w:p>
    <w:p w:rsidR="00223DA3" w:rsidRPr="00801F94" w:rsidRDefault="00223DA3" w:rsidP="00AA2365">
      <w:pPr>
        <w:spacing w:after="200"/>
        <w:ind w:left="425"/>
        <w:rPr>
          <w:rFonts w:ascii="Arial" w:hAnsi="Arial" w:cs="Arial"/>
        </w:rPr>
      </w:pPr>
    </w:p>
    <w:sectPr w:rsidR="00223DA3" w:rsidRPr="00801F94" w:rsidSect="00BB3AFB">
      <w:headerReference w:type="even" r:id="rId70"/>
      <w:headerReference w:type="default" r:id="rId71"/>
      <w:footerReference w:type="default" r:id="rId72"/>
      <w:headerReference w:type="first" r:id="rId7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EF8" w:rsidRDefault="00D76EF8" w:rsidP="00C37E61">
      <w:r>
        <w:separator/>
      </w:r>
    </w:p>
  </w:endnote>
  <w:endnote w:type="continuationSeparator" w:id="0">
    <w:p w:rsidR="00D76EF8" w:rsidRDefault="00D76E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43E" w:rsidRPr="008C5E0C" w:rsidRDefault="00F4243E" w:rsidP="008C5E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43E" w:rsidRDefault="00F4243E">
    <w:pPr>
      <w:pStyle w:val="Footer"/>
      <w:rPr>
        <w:rFonts w:ascii="Arial" w:hAnsi="Arial" w:cs="Arial"/>
        <w:sz w:val="16"/>
      </w:rPr>
    </w:pPr>
  </w:p>
  <w:p w:rsidR="00F4243E" w:rsidRDefault="00F4243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F4243E" w:rsidRDefault="00F4243E">
    <w:pPr>
      <w:pStyle w:val="Footer"/>
      <w:rPr>
        <w:rFonts w:ascii="Arial" w:hAnsi="Arial" w:cs="Arial"/>
        <w:sz w:val="16"/>
      </w:rPr>
    </w:pPr>
  </w:p>
  <w:p w:rsidR="00F4243E" w:rsidRPr="009E048A" w:rsidRDefault="00F4243E">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EF8" w:rsidRDefault="00D76EF8" w:rsidP="00C37E61">
      <w:r>
        <w:separator/>
      </w:r>
    </w:p>
  </w:footnote>
  <w:footnote w:type="continuationSeparator" w:id="0">
    <w:p w:rsidR="00D76EF8" w:rsidRDefault="00D76EF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529" w:rsidRPr="00296529" w:rsidRDefault="00D76EF8"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43E" w:rsidRPr="00296529" w:rsidRDefault="00D76EF8"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09"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F4243E" w:rsidRPr="00296529" w:rsidRDefault="00F4243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F4243E" w:rsidRPr="00296529" w:rsidRDefault="00F4243E" w:rsidP="00296529">
    <w:pPr>
      <w:jc w:val="center"/>
      <w:rPr>
        <w:rFonts w:ascii="Times New Roman" w:eastAsia="Calibri" w:hAnsi="Times New Roman"/>
        <w:i/>
        <w:sz w:val="18"/>
        <w:szCs w:val="22"/>
      </w:rPr>
    </w:pPr>
    <w:r>
      <w:rPr>
        <w:rFonts w:ascii="Times New Roman" w:eastAsia="Calibri" w:hAnsi="Times New Roman"/>
        <w:i/>
        <w:sz w:val="18"/>
        <w:szCs w:val="22"/>
      </w:rPr>
      <w:t>.</w:t>
    </w:r>
  </w:p>
  <w:p w:rsidR="00F4243E" w:rsidRPr="00296529" w:rsidRDefault="00F4243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F4243E" w:rsidRDefault="00F4243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F4243E" w:rsidRDefault="00F4243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F4243E" w:rsidRDefault="00F4243E">
    <w:pPr>
      <w:pStyle w:val="Header"/>
    </w:pPr>
    <w: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3"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4"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014" w:rsidRDefault="00D76E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059912"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78405D"/>
    <w:multiLevelType w:val="multilevel"/>
    <w:tmpl w:val="D8D2A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E2189C"/>
    <w:multiLevelType w:val="hybridMultilevel"/>
    <w:tmpl w:val="C240B5D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005D4D"/>
    <w:multiLevelType w:val="hybridMultilevel"/>
    <w:tmpl w:val="30B29B22"/>
    <w:lvl w:ilvl="0" w:tplc="2000000F">
      <w:start w:val="1"/>
      <w:numFmt w:val="decimal"/>
      <w:lvlText w:val="%1."/>
      <w:lvlJc w:val="left"/>
      <w:pPr>
        <w:ind w:left="785"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F4F5E02"/>
    <w:multiLevelType w:val="multilevel"/>
    <w:tmpl w:val="5F3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5D4EE5"/>
    <w:multiLevelType w:val="multilevel"/>
    <w:tmpl w:val="FF18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F293AD2"/>
    <w:multiLevelType w:val="multilevel"/>
    <w:tmpl w:val="9A50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4EF424B"/>
    <w:multiLevelType w:val="hybridMultilevel"/>
    <w:tmpl w:val="FB569D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B33975"/>
    <w:multiLevelType w:val="multilevel"/>
    <w:tmpl w:val="E36C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2"/>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6"/>
  </w:num>
  <w:num w:numId="19">
    <w:abstractNumId w:val="36"/>
  </w:num>
  <w:num w:numId="20">
    <w:abstractNumId w:val="13"/>
  </w:num>
  <w:num w:numId="21">
    <w:abstractNumId w:val="10"/>
  </w:num>
  <w:num w:numId="22">
    <w:abstractNumId w:val="15"/>
  </w:num>
  <w:num w:numId="23">
    <w:abstractNumId w:val="25"/>
  </w:num>
  <w:num w:numId="24">
    <w:abstractNumId w:val="33"/>
  </w:num>
  <w:num w:numId="25">
    <w:abstractNumId w:val="4"/>
  </w:num>
  <w:num w:numId="26">
    <w:abstractNumId w:val="20"/>
  </w:num>
  <w:num w:numId="27">
    <w:abstractNumId w:val="26"/>
  </w:num>
  <w:num w:numId="28">
    <w:abstractNumId w:val="34"/>
  </w:num>
  <w:num w:numId="29">
    <w:abstractNumId w:val="31"/>
  </w:num>
  <w:num w:numId="30">
    <w:abstractNumId w:val="12"/>
  </w:num>
  <w:num w:numId="31">
    <w:abstractNumId w:val="17"/>
  </w:num>
  <w:num w:numId="32">
    <w:abstractNumId w:val="24"/>
  </w:num>
  <w:num w:numId="33">
    <w:abstractNumId w:val="11"/>
  </w:num>
  <w:num w:numId="34">
    <w:abstractNumId w:val="30"/>
  </w:num>
  <w:num w:numId="35">
    <w:abstractNumId w:val="19"/>
  </w:num>
  <w:num w:numId="36">
    <w:abstractNumId w:val="35"/>
  </w:num>
  <w:num w:numId="37">
    <w:abstractNumId w:val="7"/>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3CFF"/>
    <w:rsid w:val="00030174"/>
    <w:rsid w:val="000431D2"/>
    <w:rsid w:val="00044E52"/>
    <w:rsid w:val="0004579C"/>
    <w:rsid w:val="00061E92"/>
    <w:rsid w:val="00066D12"/>
    <w:rsid w:val="00071F68"/>
    <w:rsid w:val="000822BA"/>
    <w:rsid w:val="000A47FA"/>
    <w:rsid w:val="000A65D3"/>
    <w:rsid w:val="000B1E33"/>
    <w:rsid w:val="000C5E5D"/>
    <w:rsid w:val="000D689F"/>
    <w:rsid w:val="000E3F94"/>
    <w:rsid w:val="000E7B7B"/>
    <w:rsid w:val="000E7D62"/>
    <w:rsid w:val="00103357"/>
    <w:rsid w:val="001038EF"/>
    <w:rsid w:val="00104349"/>
    <w:rsid w:val="00123C9F"/>
    <w:rsid w:val="00126190"/>
    <w:rsid w:val="00130F17"/>
    <w:rsid w:val="001320BF"/>
    <w:rsid w:val="00137F99"/>
    <w:rsid w:val="0014024A"/>
    <w:rsid w:val="00140547"/>
    <w:rsid w:val="00154EF0"/>
    <w:rsid w:val="00160D44"/>
    <w:rsid w:val="00163BC4"/>
    <w:rsid w:val="0017374F"/>
    <w:rsid w:val="0017459C"/>
    <w:rsid w:val="00180057"/>
    <w:rsid w:val="001832D9"/>
    <w:rsid w:val="00191062"/>
    <w:rsid w:val="00192B72"/>
    <w:rsid w:val="00196755"/>
    <w:rsid w:val="001A2925"/>
    <w:rsid w:val="001A29D8"/>
    <w:rsid w:val="001A5CAA"/>
    <w:rsid w:val="001B0427"/>
    <w:rsid w:val="001C7F8D"/>
    <w:rsid w:val="001D3A51"/>
    <w:rsid w:val="001E10D2"/>
    <w:rsid w:val="001E22B6"/>
    <w:rsid w:val="001E25B4"/>
    <w:rsid w:val="001E44FE"/>
    <w:rsid w:val="00200595"/>
    <w:rsid w:val="00204835"/>
    <w:rsid w:val="00223DA3"/>
    <w:rsid w:val="00231920"/>
    <w:rsid w:val="0023195C"/>
    <w:rsid w:val="00233746"/>
    <w:rsid w:val="0024282C"/>
    <w:rsid w:val="002460DC"/>
    <w:rsid w:val="00250985"/>
    <w:rsid w:val="002556F6"/>
    <w:rsid w:val="00283105"/>
    <w:rsid w:val="00284995"/>
    <w:rsid w:val="00284C4C"/>
    <w:rsid w:val="00287E68"/>
    <w:rsid w:val="00296529"/>
    <w:rsid w:val="002B2313"/>
    <w:rsid w:val="002B27FB"/>
    <w:rsid w:val="002B685A"/>
    <w:rsid w:val="002C57D2"/>
    <w:rsid w:val="002E0D56"/>
    <w:rsid w:val="00315186"/>
    <w:rsid w:val="0033343E"/>
    <w:rsid w:val="00340ACB"/>
    <w:rsid w:val="003512C2"/>
    <w:rsid w:val="00371FB6"/>
    <w:rsid w:val="00372824"/>
    <w:rsid w:val="003763C1"/>
    <w:rsid w:val="00376BBE"/>
    <w:rsid w:val="0039224F"/>
    <w:rsid w:val="003A43A4"/>
    <w:rsid w:val="003A7E18"/>
    <w:rsid w:val="003C4C86"/>
    <w:rsid w:val="003C6258"/>
    <w:rsid w:val="003D2DF7"/>
    <w:rsid w:val="003E2904"/>
    <w:rsid w:val="003E2B80"/>
    <w:rsid w:val="003E2B81"/>
    <w:rsid w:val="003F3014"/>
    <w:rsid w:val="00401927"/>
    <w:rsid w:val="0041027F"/>
    <w:rsid w:val="00412475"/>
    <w:rsid w:val="00423202"/>
    <w:rsid w:val="00423789"/>
    <w:rsid w:val="00440F43"/>
    <w:rsid w:val="00441B6F"/>
    <w:rsid w:val="00445AED"/>
    <w:rsid w:val="00446221"/>
    <w:rsid w:val="00450E62"/>
    <w:rsid w:val="004539DB"/>
    <w:rsid w:val="004672D0"/>
    <w:rsid w:val="00471A80"/>
    <w:rsid w:val="004A60BA"/>
    <w:rsid w:val="004D305E"/>
    <w:rsid w:val="004D4277"/>
    <w:rsid w:val="004E349E"/>
    <w:rsid w:val="004F6DC7"/>
    <w:rsid w:val="00501D36"/>
    <w:rsid w:val="00502516"/>
    <w:rsid w:val="00505F06"/>
    <w:rsid w:val="00506828"/>
    <w:rsid w:val="00514EBF"/>
    <w:rsid w:val="0053056E"/>
    <w:rsid w:val="0053350D"/>
    <w:rsid w:val="0054266F"/>
    <w:rsid w:val="005455FE"/>
    <w:rsid w:val="00554FDA"/>
    <w:rsid w:val="00575BF7"/>
    <w:rsid w:val="00581EE4"/>
    <w:rsid w:val="005B11F5"/>
    <w:rsid w:val="005C784C"/>
    <w:rsid w:val="005D17F6"/>
    <w:rsid w:val="005E5539"/>
    <w:rsid w:val="00602BF5"/>
    <w:rsid w:val="00617FDD"/>
    <w:rsid w:val="00633614"/>
    <w:rsid w:val="00633F68"/>
    <w:rsid w:val="00636EB2"/>
    <w:rsid w:val="006375B8"/>
    <w:rsid w:val="0065067E"/>
    <w:rsid w:val="0066510A"/>
    <w:rsid w:val="006705C2"/>
    <w:rsid w:val="00673F9F"/>
    <w:rsid w:val="00686953"/>
    <w:rsid w:val="00687DEA"/>
    <w:rsid w:val="00687E67"/>
    <w:rsid w:val="00691D3E"/>
    <w:rsid w:val="00693E90"/>
    <w:rsid w:val="006967F7"/>
    <w:rsid w:val="006A250C"/>
    <w:rsid w:val="006A6EF2"/>
    <w:rsid w:val="006B21D3"/>
    <w:rsid w:val="006B57D0"/>
    <w:rsid w:val="006C2C4F"/>
    <w:rsid w:val="006C523A"/>
    <w:rsid w:val="006D30FF"/>
    <w:rsid w:val="006D4C4E"/>
    <w:rsid w:val="006D6940"/>
    <w:rsid w:val="006F11EC"/>
    <w:rsid w:val="006F46DE"/>
    <w:rsid w:val="0070082C"/>
    <w:rsid w:val="00702437"/>
    <w:rsid w:val="007369E6"/>
    <w:rsid w:val="007430F5"/>
    <w:rsid w:val="00746E59"/>
    <w:rsid w:val="00754C9A"/>
    <w:rsid w:val="0075599A"/>
    <w:rsid w:val="00761D52"/>
    <w:rsid w:val="0077749E"/>
    <w:rsid w:val="0078661E"/>
    <w:rsid w:val="00790ADA"/>
    <w:rsid w:val="007940B7"/>
    <w:rsid w:val="007A3BF6"/>
    <w:rsid w:val="007B3955"/>
    <w:rsid w:val="007D2288"/>
    <w:rsid w:val="007D4EF8"/>
    <w:rsid w:val="007E088F"/>
    <w:rsid w:val="007F2134"/>
    <w:rsid w:val="007F7B32"/>
    <w:rsid w:val="00801F94"/>
    <w:rsid w:val="00804BC2"/>
    <w:rsid w:val="00806434"/>
    <w:rsid w:val="00806F64"/>
    <w:rsid w:val="0081431A"/>
    <w:rsid w:val="00817467"/>
    <w:rsid w:val="0083216F"/>
    <w:rsid w:val="00834660"/>
    <w:rsid w:val="00860000"/>
    <w:rsid w:val="00863BD3"/>
    <w:rsid w:val="008641ED"/>
    <w:rsid w:val="00866D66"/>
    <w:rsid w:val="008671C6"/>
    <w:rsid w:val="00875803"/>
    <w:rsid w:val="0088171D"/>
    <w:rsid w:val="008B3FB9"/>
    <w:rsid w:val="008B459E"/>
    <w:rsid w:val="008C565F"/>
    <w:rsid w:val="008C5E0C"/>
    <w:rsid w:val="008E13AE"/>
    <w:rsid w:val="008E1506"/>
    <w:rsid w:val="008E710C"/>
    <w:rsid w:val="008F69D6"/>
    <w:rsid w:val="00902823"/>
    <w:rsid w:val="0090540D"/>
    <w:rsid w:val="00915CA6"/>
    <w:rsid w:val="00927834"/>
    <w:rsid w:val="009500A6"/>
    <w:rsid w:val="00957C18"/>
    <w:rsid w:val="009659BA"/>
    <w:rsid w:val="0096744D"/>
    <w:rsid w:val="00983040"/>
    <w:rsid w:val="009A3D3D"/>
    <w:rsid w:val="009B3FB9"/>
    <w:rsid w:val="009C2465"/>
    <w:rsid w:val="009C5EA9"/>
    <w:rsid w:val="009C693E"/>
    <w:rsid w:val="009C7F57"/>
    <w:rsid w:val="009D35A0"/>
    <w:rsid w:val="009D6FCA"/>
    <w:rsid w:val="009D7EB7"/>
    <w:rsid w:val="009E048A"/>
    <w:rsid w:val="009E08E9"/>
    <w:rsid w:val="009E13A4"/>
    <w:rsid w:val="009E3DB9"/>
    <w:rsid w:val="009E6E35"/>
    <w:rsid w:val="009F0EDA"/>
    <w:rsid w:val="00A03B96"/>
    <w:rsid w:val="00A05B19"/>
    <w:rsid w:val="00A1134E"/>
    <w:rsid w:val="00A16F5F"/>
    <w:rsid w:val="00A24E7E"/>
    <w:rsid w:val="00A258C3"/>
    <w:rsid w:val="00A273FB"/>
    <w:rsid w:val="00A347C0"/>
    <w:rsid w:val="00A45BE8"/>
    <w:rsid w:val="00A51431"/>
    <w:rsid w:val="00A539AD"/>
    <w:rsid w:val="00A55809"/>
    <w:rsid w:val="00A61F9F"/>
    <w:rsid w:val="00A75902"/>
    <w:rsid w:val="00A760AA"/>
    <w:rsid w:val="00A80F34"/>
    <w:rsid w:val="00A82C64"/>
    <w:rsid w:val="00A91F15"/>
    <w:rsid w:val="00A94063"/>
    <w:rsid w:val="00AA2365"/>
    <w:rsid w:val="00AA6219"/>
    <w:rsid w:val="00AA66AA"/>
    <w:rsid w:val="00AA74E0"/>
    <w:rsid w:val="00AB703F"/>
    <w:rsid w:val="00AC0A46"/>
    <w:rsid w:val="00AC1D2E"/>
    <w:rsid w:val="00AC6BB8"/>
    <w:rsid w:val="00AD5451"/>
    <w:rsid w:val="00AE008F"/>
    <w:rsid w:val="00B01FCD"/>
    <w:rsid w:val="00B1776C"/>
    <w:rsid w:val="00B52583"/>
    <w:rsid w:val="00B5285F"/>
    <w:rsid w:val="00B52896"/>
    <w:rsid w:val="00B71257"/>
    <w:rsid w:val="00B71EA8"/>
    <w:rsid w:val="00B81986"/>
    <w:rsid w:val="00B95236"/>
    <w:rsid w:val="00B96BD9"/>
    <w:rsid w:val="00BA1AD1"/>
    <w:rsid w:val="00BA1B01"/>
    <w:rsid w:val="00BA2641"/>
    <w:rsid w:val="00BA6992"/>
    <w:rsid w:val="00BB37AA"/>
    <w:rsid w:val="00BB3AFB"/>
    <w:rsid w:val="00BC168A"/>
    <w:rsid w:val="00BC53A0"/>
    <w:rsid w:val="00BE2E5D"/>
    <w:rsid w:val="00BE62AD"/>
    <w:rsid w:val="00BF121F"/>
    <w:rsid w:val="00BF1F80"/>
    <w:rsid w:val="00C01305"/>
    <w:rsid w:val="00C036A3"/>
    <w:rsid w:val="00C05345"/>
    <w:rsid w:val="00C166EF"/>
    <w:rsid w:val="00C17EB0"/>
    <w:rsid w:val="00C24F1D"/>
    <w:rsid w:val="00C25F80"/>
    <w:rsid w:val="00C27F5F"/>
    <w:rsid w:val="00C30A0F"/>
    <w:rsid w:val="00C37E61"/>
    <w:rsid w:val="00C44631"/>
    <w:rsid w:val="00C5156C"/>
    <w:rsid w:val="00C57A78"/>
    <w:rsid w:val="00C6371B"/>
    <w:rsid w:val="00C70F1B"/>
    <w:rsid w:val="00C71A47"/>
    <w:rsid w:val="00C73C3C"/>
    <w:rsid w:val="00C7464C"/>
    <w:rsid w:val="00C85588"/>
    <w:rsid w:val="00CD6214"/>
    <w:rsid w:val="00CD6755"/>
    <w:rsid w:val="00CD6856"/>
    <w:rsid w:val="00CE0089"/>
    <w:rsid w:val="00CE793C"/>
    <w:rsid w:val="00CF193C"/>
    <w:rsid w:val="00D173F1"/>
    <w:rsid w:val="00D2683D"/>
    <w:rsid w:val="00D30A4D"/>
    <w:rsid w:val="00D34768"/>
    <w:rsid w:val="00D51A6A"/>
    <w:rsid w:val="00D62205"/>
    <w:rsid w:val="00D650D0"/>
    <w:rsid w:val="00D67B96"/>
    <w:rsid w:val="00D7201B"/>
    <w:rsid w:val="00D72C16"/>
    <w:rsid w:val="00D74CB0"/>
    <w:rsid w:val="00D76EF8"/>
    <w:rsid w:val="00D8295D"/>
    <w:rsid w:val="00D8451B"/>
    <w:rsid w:val="00D92C7F"/>
    <w:rsid w:val="00D940D3"/>
    <w:rsid w:val="00DC2A65"/>
    <w:rsid w:val="00DC6501"/>
    <w:rsid w:val="00DD55CB"/>
    <w:rsid w:val="00DD5DE7"/>
    <w:rsid w:val="00DE1086"/>
    <w:rsid w:val="00DE15F0"/>
    <w:rsid w:val="00DE5663"/>
    <w:rsid w:val="00DE78AA"/>
    <w:rsid w:val="00E053D0"/>
    <w:rsid w:val="00E15994"/>
    <w:rsid w:val="00E27618"/>
    <w:rsid w:val="00E3114E"/>
    <w:rsid w:val="00E31A70"/>
    <w:rsid w:val="00E35B02"/>
    <w:rsid w:val="00E46E6E"/>
    <w:rsid w:val="00E47861"/>
    <w:rsid w:val="00E5132C"/>
    <w:rsid w:val="00E538AE"/>
    <w:rsid w:val="00E66496"/>
    <w:rsid w:val="00E66B35"/>
    <w:rsid w:val="00E66E10"/>
    <w:rsid w:val="00E769F6"/>
    <w:rsid w:val="00E8407C"/>
    <w:rsid w:val="00E84F3C"/>
    <w:rsid w:val="00EA012C"/>
    <w:rsid w:val="00EC310A"/>
    <w:rsid w:val="00EC6A55"/>
    <w:rsid w:val="00ED0288"/>
    <w:rsid w:val="00ED1A9E"/>
    <w:rsid w:val="00EE0661"/>
    <w:rsid w:val="00EE0FBA"/>
    <w:rsid w:val="00EE39F1"/>
    <w:rsid w:val="00EE52CB"/>
    <w:rsid w:val="00EE705D"/>
    <w:rsid w:val="00EF581D"/>
    <w:rsid w:val="00EF75FF"/>
    <w:rsid w:val="00EF7FD8"/>
    <w:rsid w:val="00F06F59"/>
    <w:rsid w:val="00F17988"/>
    <w:rsid w:val="00F2172F"/>
    <w:rsid w:val="00F305F5"/>
    <w:rsid w:val="00F4243E"/>
    <w:rsid w:val="00F469F0"/>
    <w:rsid w:val="00F53273"/>
    <w:rsid w:val="00F56DCB"/>
    <w:rsid w:val="00F755E4"/>
    <w:rsid w:val="00F77D02"/>
    <w:rsid w:val="00F8019E"/>
    <w:rsid w:val="00F911F2"/>
    <w:rsid w:val="00FB3A86"/>
    <w:rsid w:val="00FD2E4B"/>
    <w:rsid w:val="00FD36C8"/>
    <w:rsid w:val="00FE2B64"/>
    <w:rsid w:val="00FE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064CF824"/>
  <w15:docId w15:val="{C96C245B-6125-4451-B04B-226A1A59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08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C69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rsid w:val="00F4243E"/>
    <w:rPr>
      <w:rFonts w:ascii="Helvetica" w:hAnsi="Helvetica"/>
    </w:rPr>
  </w:style>
  <w:style w:type="character" w:styleId="Strong">
    <w:name w:val="Strong"/>
    <w:basedOn w:val="DefaultParagraphFont"/>
    <w:uiPriority w:val="22"/>
    <w:qFormat/>
    <w:rsid w:val="00F4243E"/>
    <w:rPr>
      <w:b/>
      <w:bCs/>
    </w:rPr>
  </w:style>
  <w:style w:type="character" w:customStyle="1" w:styleId="HeaderChar">
    <w:name w:val="Header Char"/>
    <w:basedOn w:val="DefaultParagraphFont"/>
    <w:link w:val="Header"/>
    <w:rsid w:val="00F4243E"/>
    <w:rPr>
      <w:rFonts w:ascii="Helvetica" w:hAnsi="Helvetica"/>
    </w:rPr>
  </w:style>
  <w:style w:type="paragraph" w:styleId="ListParagraph">
    <w:name w:val="List Paragraph"/>
    <w:basedOn w:val="Normal"/>
    <w:uiPriority w:val="34"/>
    <w:qFormat/>
    <w:rsid w:val="00F4243E"/>
    <w:pPr>
      <w:ind w:left="720"/>
      <w:contextualSpacing/>
    </w:pPr>
  </w:style>
  <w:style w:type="paragraph" w:styleId="NormalWeb">
    <w:name w:val="Normal (Web)"/>
    <w:basedOn w:val="Normal"/>
    <w:uiPriority w:val="99"/>
    <w:unhideWhenUsed/>
    <w:rsid w:val="00F4243E"/>
    <w:pPr>
      <w:spacing w:before="100" w:beforeAutospacing="1" w:after="100" w:afterAutospacing="1"/>
    </w:pPr>
    <w:rPr>
      <w:rFonts w:ascii="Times New Roman" w:hAnsi="Times New Roman"/>
      <w:sz w:val="24"/>
      <w:szCs w:val="24"/>
    </w:rPr>
  </w:style>
  <w:style w:type="table" w:styleId="ListTable6Colorful">
    <w:name w:val="List Table 6 Colorful"/>
    <w:basedOn w:val="TableNormal"/>
    <w:uiPriority w:val="51"/>
    <w:rsid w:val="0053350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832D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semiHidden/>
    <w:rsid w:val="009C693E"/>
    <w:rPr>
      <w:rFonts w:asciiTheme="majorHAnsi" w:eastAsiaTheme="majorEastAsia" w:hAnsiTheme="majorHAnsi" w:cstheme="majorBidi"/>
      <w:color w:val="243F60" w:themeColor="accent1" w:themeShade="7F"/>
      <w:sz w:val="24"/>
      <w:szCs w:val="24"/>
    </w:rPr>
  </w:style>
  <w:style w:type="character" w:customStyle="1" w:styleId="italic0">
    <w:name w:val="italic"/>
    <w:basedOn w:val="DefaultParagraphFont"/>
    <w:rsid w:val="00E46E6E"/>
  </w:style>
  <w:style w:type="character" w:customStyle="1" w:styleId="titleheading">
    <w:name w:val="title_heading"/>
    <w:basedOn w:val="DefaultParagraphFont"/>
    <w:rsid w:val="00E46E6E"/>
  </w:style>
  <w:style w:type="paragraph" w:customStyle="1" w:styleId="headertext">
    <w:name w:val="header_text"/>
    <w:basedOn w:val="Normal"/>
    <w:rsid w:val="00E46E6E"/>
    <w:pPr>
      <w:spacing w:before="100" w:beforeAutospacing="1" w:after="100" w:afterAutospacing="1"/>
    </w:pPr>
    <w:rPr>
      <w:rFonts w:ascii="Times New Roman" w:hAnsi="Times New Roman"/>
      <w:sz w:val="24"/>
      <w:szCs w:val="24"/>
    </w:rPr>
  </w:style>
  <w:style w:type="character" w:customStyle="1" w:styleId="bold0">
    <w:name w:val="bold"/>
    <w:basedOn w:val="DefaultParagraphFont"/>
    <w:rsid w:val="00E46E6E"/>
  </w:style>
  <w:style w:type="character" w:customStyle="1" w:styleId="orcid">
    <w:name w:val="orcid"/>
    <w:basedOn w:val="DefaultParagraphFont"/>
    <w:rsid w:val="00E46E6E"/>
  </w:style>
  <w:style w:type="character" w:customStyle="1" w:styleId="supref">
    <w:name w:val="sup_ref"/>
    <w:basedOn w:val="DefaultParagraphFont"/>
    <w:rsid w:val="00E46E6E"/>
  </w:style>
  <w:style w:type="character" w:styleId="HTMLCite">
    <w:name w:val="HTML Cite"/>
    <w:basedOn w:val="DefaultParagraphFont"/>
    <w:uiPriority w:val="99"/>
    <w:semiHidden/>
    <w:unhideWhenUsed/>
    <w:rsid w:val="00E46E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5.xml"/><Relationship Id="rId42" Type="http://schemas.openxmlformats.org/officeDocument/2006/relationships/chart" Target="charts/chart12.xml"/><Relationship Id="rId47" Type="http://schemas.openxmlformats.org/officeDocument/2006/relationships/hyperlink" Target="https://doi.org/10.3390/polym15153246" TargetMode="External"/><Relationship Id="rId63" Type="http://schemas.openxmlformats.org/officeDocument/2006/relationships/hyperlink" Target="https://doi.org/10.2298/HEMIND200201006O" TargetMode="External"/><Relationship Id="rId68" Type="http://schemas.openxmlformats.org/officeDocument/2006/relationships/hyperlink" Target="https://doi.org/10.1016/j.dib.2023.109159" TargetMode="External"/><Relationship Id="rId2" Type="http://schemas.openxmlformats.org/officeDocument/2006/relationships/numbering" Target="numbering.xml"/><Relationship Id="rId16" Type="http://schemas.openxmlformats.org/officeDocument/2006/relationships/hyperlink" Target="https://pubmed.ncbi.nlm.nih.gov/?term=Yeo+JYJ&amp;cauthor_id=37168600" TargetMode="External"/><Relationship Id="rId29" Type="http://schemas.openxmlformats.org/officeDocument/2006/relationships/chart" Target="charts/chart3.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8.emf"/><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doi.org/10.2166/wpt.2023.170" TargetMode="External"/><Relationship Id="rId53" Type="http://schemas.openxmlformats.org/officeDocument/2006/relationships/hyperlink" Target="https://doi.org/10.1002/ceat.201600105" TargetMode="External"/><Relationship Id="rId58" Type="http://schemas.openxmlformats.org/officeDocument/2006/relationships/hyperlink" Target="https://doi.org/10.1039/d2ra00116k" TargetMode="External"/><Relationship Id="rId66" Type="http://schemas.openxmlformats.org/officeDocument/2006/relationships/hyperlink" Target="https://www.who.int/publications/i/item/9789241509763"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5004/dwt.2020.25349" TargetMode="External"/><Relationship Id="rId19" Type="http://schemas.openxmlformats.org/officeDocument/2006/relationships/image" Target="media/image5.png"/><Relationship Id="rId14" Type="http://schemas.openxmlformats.org/officeDocument/2006/relationships/hyperlink" Target="https://www.tandfonline.com/doi/full/10.1080/14786451.2025.2543819?utm_source=chatgpt.com" TargetMode="External"/><Relationship Id="rId22" Type="http://schemas.openxmlformats.org/officeDocument/2006/relationships/footer" Target="footer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1.emf"/><Relationship Id="rId43" Type="http://schemas.openxmlformats.org/officeDocument/2006/relationships/image" Target="media/image12.png"/><Relationship Id="rId48" Type="http://schemas.openxmlformats.org/officeDocument/2006/relationships/hyperlink" Target="https://doi.org/10.1016/j.chemosphere.2024.144252" TargetMode="External"/><Relationship Id="rId56" Type="http://schemas.openxmlformats.org/officeDocument/2006/relationships/hyperlink" Target="https://doi.org/10.1016/j.crgsc.2021.100179" TargetMode="External"/><Relationship Id="rId64" Type="http://schemas.openxmlformats.org/officeDocument/2006/relationships/hyperlink" Target="https://doi.org/10.1039/D0RA02061C" TargetMode="External"/><Relationship Id="rId69" Type="http://schemas.openxmlformats.org/officeDocument/2006/relationships/hyperlink" Target="https://doi.org/10.1063/5.0194120" TargetMode="External"/><Relationship Id="rId8" Type="http://schemas.openxmlformats.org/officeDocument/2006/relationships/header" Target="header1.xml"/><Relationship Id="rId51" Type="http://schemas.openxmlformats.org/officeDocument/2006/relationships/hyperlink" Target="https://www.deswater.com/DWT_articles/vol_248_papers/248_2022_203.pdf"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image" Target="media/image9.emf"/><Relationship Id="rId38" Type="http://schemas.openxmlformats.org/officeDocument/2006/relationships/chart" Target="charts/chart8.xml"/><Relationship Id="rId46" Type="http://schemas.openxmlformats.org/officeDocument/2006/relationships/hyperlink" Target="https://doi.org/10.2166/wpt.2023.192" TargetMode="External"/><Relationship Id="rId59" Type="http://schemas.openxmlformats.org/officeDocument/2006/relationships/hyperlink" Target="https://doi.org/10.1016/j.envres.2023.116360" TargetMode="External"/><Relationship Id="rId67" Type="http://schemas.openxmlformats.org/officeDocument/2006/relationships/hyperlink" Target="https://doi.org/10.1038/s41598-021-90235-1" TargetMode="External"/><Relationship Id="rId20" Type="http://schemas.openxmlformats.org/officeDocument/2006/relationships/header" Target="header4.xml"/><Relationship Id="rId41" Type="http://schemas.openxmlformats.org/officeDocument/2006/relationships/chart" Target="charts/chart11.xml"/><Relationship Id="rId54" Type="http://schemas.openxmlformats.org/officeDocument/2006/relationships/hyperlink" Target="https://doi.org/10.31026/j.eng.2012.07.09" TargetMode="External"/><Relationship Id="rId62" Type="http://schemas.openxmlformats.org/officeDocument/2006/relationships/hyperlink" Target="https://doi.org/10.1007/s44371-025-00233-9" TargetMode="External"/><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chart" Target="charts/chart6.xml"/><Relationship Id="rId49" Type="http://schemas.openxmlformats.org/officeDocument/2006/relationships/hyperlink" Target="https://doi.org/10.1007/s11356-016-8182-z" TargetMode="External"/><Relationship Id="rId57" Type="http://schemas.openxmlformats.org/officeDocument/2006/relationships/hyperlink" Target="https://doi.org/10.3390/polym18020180" TargetMode="External"/><Relationship Id="rId10" Type="http://schemas.openxmlformats.org/officeDocument/2006/relationships/header" Target="header3.xml"/><Relationship Id="rId31" Type="http://schemas.openxmlformats.org/officeDocument/2006/relationships/chart" Target="charts/chart5.xml"/><Relationship Id="rId44" Type="http://schemas.openxmlformats.org/officeDocument/2006/relationships/chart" Target="charts/chart13.xml"/><Relationship Id="rId52" Type="http://schemas.openxmlformats.org/officeDocument/2006/relationships/hyperlink" Target="https://doi.org/10.1016/j.talanta.2008.05.019" TargetMode="External"/><Relationship Id="rId60" Type="http://schemas.openxmlformats.org/officeDocument/2006/relationships/hyperlink" Target="https://pmi.spmi.ru/pmi/article/view/16281" TargetMode="External"/><Relationship Id="rId65" Type="http://schemas.openxmlformats.org/officeDocument/2006/relationships/hyperlink" Target="https://doi.org/10.51244/IJRSI.2025.120500019" TargetMode="External"/><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tandfonline.com/doi/full/10.1080/14786451.2025.2543819?utm_source=chatgpt.com" TargetMode="External"/><Relationship Id="rId18" Type="http://schemas.openxmlformats.org/officeDocument/2006/relationships/image" Target="media/image4.png"/><Relationship Id="rId39" Type="http://schemas.openxmlformats.org/officeDocument/2006/relationships/chart" Target="charts/chart9.xml"/><Relationship Id="rId34" Type="http://schemas.openxmlformats.org/officeDocument/2006/relationships/image" Target="media/image10.emf"/><Relationship Id="rId50" Type="http://schemas.openxmlformats.org/officeDocument/2006/relationships/hyperlink" Target="https://doi.org/10.1016/j.jclepro.2014.12.015" TargetMode="External"/><Relationship Id="rId55" Type="http://schemas.openxmlformats.org/officeDocument/2006/relationships/hyperlink" Target="https://www.ajol.info/index.php/cajost/article/view/221289" TargetMode="External"/><Relationship Id="rId7" Type="http://schemas.openxmlformats.org/officeDocument/2006/relationships/endnotes" Target="endnotes.xml"/><Relationship Id="rId71"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ma\AppData\Roaming\Microsoft\Excel\Book1%20(version%206).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mma\AppData\Roaming\Microsoft\Excel\Book1%20(version%206).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mma\Desktop\GODDY%20ALL\GODDY%204%20AN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mma\Desktop\GODDY%20ALL\GODDY%204%20AN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Mean Adsorption Response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Sheet1!$A$2:$A$11</c:f>
              <c:numCache>
                <c:formatCode>General</c:formatCode>
                <c:ptCount val="10"/>
                <c:pt idx="0">
                  <c:v>0</c:v>
                </c:pt>
                <c:pt idx="1">
                  <c:v>5</c:v>
                </c:pt>
                <c:pt idx="2">
                  <c:v>10</c:v>
                </c:pt>
                <c:pt idx="3">
                  <c:v>15</c:v>
                </c:pt>
                <c:pt idx="4">
                  <c:v>30</c:v>
                </c:pt>
                <c:pt idx="5">
                  <c:v>60</c:v>
                </c:pt>
                <c:pt idx="6">
                  <c:v>90</c:v>
                </c:pt>
                <c:pt idx="7">
                  <c:v>120</c:v>
                </c:pt>
                <c:pt idx="8">
                  <c:v>150</c:v>
                </c:pt>
                <c:pt idx="9">
                  <c:v>180</c:v>
                </c:pt>
              </c:numCache>
            </c:numRef>
          </c:xVal>
          <c:yVal>
            <c:numRef>
              <c:f>Sheet1!$B$2:$B$11</c:f>
              <c:numCache>
                <c:formatCode>General</c:formatCode>
                <c:ptCount val="10"/>
                <c:pt idx="0">
                  <c:v>0</c:v>
                </c:pt>
                <c:pt idx="1">
                  <c:v>60</c:v>
                </c:pt>
                <c:pt idx="2">
                  <c:v>72</c:v>
                </c:pt>
                <c:pt idx="3">
                  <c:v>80</c:v>
                </c:pt>
                <c:pt idx="4">
                  <c:v>82.5</c:v>
                </c:pt>
                <c:pt idx="5">
                  <c:v>80.2</c:v>
                </c:pt>
                <c:pt idx="6">
                  <c:v>78.5</c:v>
                </c:pt>
                <c:pt idx="7">
                  <c:v>77</c:v>
                </c:pt>
                <c:pt idx="8">
                  <c:v>76.2</c:v>
                </c:pt>
                <c:pt idx="9">
                  <c:v>75.5</c:v>
                </c:pt>
              </c:numCache>
            </c:numRef>
          </c:yVal>
          <c:smooth val="0"/>
          <c:extLst>
            <c:ext xmlns:c16="http://schemas.microsoft.com/office/drawing/2014/chart" uri="{C3380CC4-5D6E-409C-BE32-E72D297353CC}">
              <c16:uniqueId val="{00000000-6442-4EEA-91FA-509F61534F90}"/>
            </c:ext>
          </c:extLst>
        </c:ser>
        <c:dLbls>
          <c:showLegendKey val="0"/>
          <c:showVal val="0"/>
          <c:showCatName val="0"/>
          <c:showSerName val="0"/>
          <c:showPercent val="0"/>
          <c:showBubbleSize val="0"/>
        </c:dLbls>
        <c:axId val="689253768"/>
        <c:axId val="689257368"/>
      </c:scatterChart>
      <c:valAx>
        <c:axId val="689253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57368"/>
        <c:crosses val="autoZero"/>
        <c:crossBetween val="midCat"/>
        <c:majorUnit val="20"/>
      </c:valAx>
      <c:valAx>
        <c:axId val="6892573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spc="0" baseline="0">
                    <a:solidFill>
                      <a:sysClr val="windowText" lastClr="000000">
                        <a:lumMod val="65000"/>
                        <a:lumOff val="35000"/>
                      </a:sysClr>
                    </a:solidFill>
                  </a:rPr>
                  <a:t>%  Adsorption</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5376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scatterChart>
        <c:scatterStyle val="lineMarker"/>
        <c:varyColors val="0"/>
        <c:ser>
          <c:idx val="1"/>
          <c:order val="0"/>
          <c:tx>
            <c:strRef>
              <c:f>KINETICS!$AF$2</c:f>
              <c:strCache>
                <c:ptCount val="1"/>
                <c:pt idx="0">
                  <c:v>ACID M</c:v>
                </c:pt>
              </c:strCache>
            </c:strRef>
          </c:tx>
          <c:spPr>
            <a:ln w="28575">
              <a:noFill/>
            </a:ln>
          </c:spPr>
          <c:trendline>
            <c:trendlineType val="linear"/>
            <c:dispRSqr val="0"/>
            <c:dispEq val="0"/>
          </c:trendline>
          <c:xVal>
            <c:numRef>
              <c:f>KINETICS!$F$3:$F$7</c:f>
              <c:numCache>
                <c:formatCode>General</c:formatCode>
                <c:ptCount val="5"/>
                <c:pt idx="0">
                  <c:v>30</c:v>
                </c:pt>
                <c:pt idx="1">
                  <c:v>60</c:v>
                </c:pt>
                <c:pt idx="2">
                  <c:v>105</c:v>
                </c:pt>
                <c:pt idx="3">
                  <c:v>150</c:v>
                </c:pt>
                <c:pt idx="4">
                  <c:v>180</c:v>
                </c:pt>
              </c:numCache>
            </c:numRef>
          </c:xVal>
          <c:yVal>
            <c:numRef>
              <c:f>KINETICS!$AF$3:$AF$7</c:f>
              <c:numCache>
                <c:formatCode>General</c:formatCode>
                <c:ptCount val="5"/>
                <c:pt idx="0">
                  <c:v>208.48357700124558</c:v>
                </c:pt>
                <c:pt idx="1">
                  <c:v>320.03220449856565</c:v>
                </c:pt>
                <c:pt idx="2">
                  <c:v>558.09055809055792</c:v>
                </c:pt>
                <c:pt idx="3">
                  <c:v>790.14063509417076</c:v>
                </c:pt>
                <c:pt idx="4">
                  <c:v>937.91476183453767</c:v>
                </c:pt>
              </c:numCache>
            </c:numRef>
          </c:yVal>
          <c:smooth val="0"/>
          <c:extLst>
            <c:ext xmlns:c16="http://schemas.microsoft.com/office/drawing/2014/chart" uri="{C3380CC4-5D6E-409C-BE32-E72D297353CC}">
              <c16:uniqueId val="{00000001-3A0D-49B2-B782-41B668C419B2}"/>
            </c:ext>
          </c:extLst>
        </c:ser>
        <c:dLbls>
          <c:showLegendKey val="0"/>
          <c:showVal val="0"/>
          <c:showCatName val="0"/>
          <c:showSerName val="0"/>
          <c:showPercent val="0"/>
          <c:showBubbleSize val="0"/>
        </c:dLbls>
        <c:axId val="621149096"/>
        <c:axId val="621149488"/>
      </c:scatterChart>
      <c:valAx>
        <c:axId val="621149096"/>
        <c:scaling>
          <c:orientation val="minMax"/>
        </c:scaling>
        <c:delete val="0"/>
        <c:axPos val="b"/>
        <c:title>
          <c:tx>
            <c:rich>
              <a:bodyPr/>
              <a:lstStyle/>
              <a:p>
                <a:pPr>
                  <a:defRPr/>
                </a:pPr>
                <a:r>
                  <a:rPr lang="en-US"/>
                  <a:t>t (min)</a:t>
                </a:r>
              </a:p>
            </c:rich>
          </c:tx>
          <c:overlay val="0"/>
        </c:title>
        <c:numFmt formatCode="General" sourceLinked="1"/>
        <c:majorTickMark val="out"/>
        <c:minorTickMark val="none"/>
        <c:tickLblPos val="nextTo"/>
        <c:crossAx val="621149488"/>
        <c:crosses val="autoZero"/>
        <c:crossBetween val="midCat"/>
      </c:valAx>
      <c:valAx>
        <c:axId val="621149488"/>
        <c:scaling>
          <c:orientation val="minMax"/>
        </c:scaling>
        <c:delete val="0"/>
        <c:axPos val="l"/>
        <c:title>
          <c:tx>
            <c:rich>
              <a:bodyPr/>
              <a:lstStyle/>
              <a:p>
                <a:pPr>
                  <a:defRPr/>
                </a:pPr>
                <a:r>
                  <a:rPr lang="en-US"/>
                  <a:t>t/q</a:t>
                </a:r>
                <a:r>
                  <a:rPr lang="en-US" baseline="-25000"/>
                  <a:t>t</a:t>
                </a:r>
                <a:r>
                  <a:rPr lang="en-US"/>
                  <a:t> (min g/mg)</a:t>
                </a:r>
              </a:p>
            </c:rich>
          </c:tx>
          <c:layout>
            <c:manualLayout>
              <c:xMode val="edge"/>
              <c:yMode val="edge"/>
              <c:x val="2.0745879433881051E-2"/>
              <c:y val="0.30515264539301001"/>
            </c:manualLayout>
          </c:layout>
          <c:overlay val="0"/>
        </c:title>
        <c:numFmt formatCode="General" sourceLinked="1"/>
        <c:majorTickMark val="out"/>
        <c:minorTickMark val="none"/>
        <c:tickLblPos val="nextTo"/>
        <c:crossAx val="62114909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49742897791241"/>
          <c:y val="0.11547941701300445"/>
          <c:w val="0.6329924762370176"/>
          <c:h val="0.58824827100492738"/>
        </c:manualLayout>
      </c:layout>
      <c:scatterChart>
        <c:scatterStyle val="lineMarker"/>
        <c:varyColors val="0"/>
        <c:ser>
          <c:idx val="1"/>
          <c:order val="0"/>
          <c:tx>
            <c:strRef>
              <c:f>KINETICS!$Q$2</c:f>
              <c:strCache>
                <c:ptCount val="1"/>
                <c:pt idx="0">
                  <c:v>ACID M</c:v>
                </c:pt>
              </c:strCache>
            </c:strRef>
          </c:tx>
          <c:xVal>
            <c:numRef>
              <c:f>KINETICS!$G$3:$G$7</c:f>
              <c:numCache>
                <c:formatCode>General</c:formatCode>
                <c:ptCount val="5"/>
                <c:pt idx="0">
                  <c:v>5.4772255750516834</c:v>
                </c:pt>
                <c:pt idx="1">
                  <c:v>7.7459666924149024</c:v>
                </c:pt>
                <c:pt idx="2">
                  <c:v>10.246950765959348</c:v>
                </c:pt>
                <c:pt idx="3">
                  <c:v>12.247448713915848</c:v>
                </c:pt>
                <c:pt idx="4">
                  <c:v>13.416407864998774</c:v>
                </c:pt>
              </c:numCache>
            </c:numRef>
          </c:xVal>
          <c:yVal>
            <c:numRef>
              <c:f>KINETICS!$Q$3:$Q$7</c:f>
              <c:numCache>
                <c:formatCode>General</c:formatCode>
                <c:ptCount val="5"/>
                <c:pt idx="0">
                  <c:v>0.14389622641509744</c:v>
                </c:pt>
                <c:pt idx="1">
                  <c:v>0.18748113207548156</c:v>
                </c:pt>
                <c:pt idx="2">
                  <c:v>0.18814150943396241</c:v>
                </c:pt>
                <c:pt idx="3">
                  <c:v>0.18983962264150939</c:v>
                </c:pt>
                <c:pt idx="4">
                  <c:v>0.19191509433962742</c:v>
                </c:pt>
              </c:numCache>
            </c:numRef>
          </c:yVal>
          <c:smooth val="0"/>
          <c:extLst>
            <c:ext xmlns:c16="http://schemas.microsoft.com/office/drawing/2014/chart" uri="{C3380CC4-5D6E-409C-BE32-E72D297353CC}">
              <c16:uniqueId val="{00000000-AFFD-4F44-9D27-F093A165F2C6}"/>
            </c:ext>
          </c:extLst>
        </c:ser>
        <c:dLbls>
          <c:showLegendKey val="0"/>
          <c:showVal val="0"/>
          <c:showCatName val="0"/>
          <c:showSerName val="0"/>
          <c:showPercent val="0"/>
          <c:showBubbleSize val="0"/>
        </c:dLbls>
        <c:axId val="275992064"/>
        <c:axId val="275990104"/>
      </c:scatterChart>
      <c:valAx>
        <c:axId val="275992064"/>
        <c:scaling>
          <c:orientation val="minMax"/>
        </c:scaling>
        <c:delete val="0"/>
        <c:axPos val="b"/>
        <c:title>
          <c:tx>
            <c:rich>
              <a:bodyPr/>
              <a:lstStyle/>
              <a:p>
                <a:pPr>
                  <a:defRPr/>
                </a:pPr>
                <a:r>
                  <a:rPr lang="en-US"/>
                  <a:t>t</a:t>
                </a:r>
                <a:r>
                  <a:rPr lang="en-US" baseline="30000"/>
                  <a:t>0.5</a:t>
                </a:r>
                <a:r>
                  <a:rPr lang="en-US" baseline="0"/>
                  <a:t> (min</a:t>
                </a:r>
                <a:r>
                  <a:rPr lang="en-US" sz="1000" b="1" i="0" u="none" strike="noStrike" baseline="30000">
                    <a:effectLst/>
                  </a:rPr>
                  <a:t>0.5</a:t>
                </a:r>
                <a:r>
                  <a:rPr lang="en-US" sz="1000" b="1" i="0" u="none" strike="noStrike" baseline="0">
                    <a:effectLst/>
                  </a:rPr>
                  <a:t>)</a:t>
                </a:r>
                <a:endParaRPr lang="en-US" baseline="30000"/>
              </a:p>
            </c:rich>
          </c:tx>
          <c:overlay val="0"/>
        </c:title>
        <c:numFmt formatCode="General" sourceLinked="1"/>
        <c:majorTickMark val="none"/>
        <c:minorTickMark val="none"/>
        <c:tickLblPos val="nextTo"/>
        <c:crossAx val="275990104"/>
        <c:crosses val="autoZero"/>
        <c:crossBetween val="midCat"/>
      </c:valAx>
      <c:valAx>
        <c:axId val="275990104"/>
        <c:scaling>
          <c:orientation val="minMax"/>
        </c:scaling>
        <c:delete val="0"/>
        <c:axPos val="l"/>
        <c:title>
          <c:tx>
            <c:rich>
              <a:bodyPr/>
              <a:lstStyle/>
              <a:p>
                <a:pPr>
                  <a:defRPr/>
                </a:pPr>
                <a:r>
                  <a:rPr lang="en-US"/>
                  <a:t>q (mg/g)</a:t>
                </a:r>
              </a:p>
            </c:rich>
          </c:tx>
          <c:overlay val="0"/>
        </c:title>
        <c:numFmt formatCode="General" sourceLinked="1"/>
        <c:majorTickMark val="none"/>
        <c:minorTickMark val="none"/>
        <c:tickLblPos val="nextTo"/>
        <c:crossAx val="275992064"/>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scatterChart>
        <c:scatterStyle val="lineMarker"/>
        <c:varyColors val="0"/>
        <c:ser>
          <c:idx val="0"/>
          <c:order val="0"/>
          <c:tx>
            <c:strRef>
              <c:f>KINETICS!$V$2</c:f>
              <c:strCache>
                <c:ptCount val="1"/>
                <c:pt idx="0">
                  <c:v>RAW</c:v>
                </c:pt>
              </c:strCache>
            </c:strRef>
          </c:tx>
          <c:xVal>
            <c:numRef>
              <c:f>KINETICS!$F$3:$F$6</c:f>
              <c:numCache>
                <c:formatCode>General</c:formatCode>
                <c:ptCount val="4"/>
                <c:pt idx="0">
                  <c:v>30</c:v>
                </c:pt>
                <c:pt idx="1">
                  <c:v>60</c:v>
                </c:pt>
                <c:pt idx="2">
                  <c:v>105</c:v>
                </c:pt>
                <c:pt idx="3">
                  <c:v>150</c:v>
                </c:pt>
              </c:numCache>
            </c:numRef>
          </c:xVal>
          <c:yVal>
            <c:numRef>
              <c:f>KINETICS!$V$3:$V$6</c:f>
              <c:numCache>
                <c:formatCode>General</c:formatCode>
                <c:ptCount val="4"/>
                <c:pt idx="0">
                  <c:v>2.1970785201127265</c:v>
                </c:pt>
                <c:pt idx="1">
                  <c:v>2.4653370785275426</c:v>
                </c:pt>
                <c:pt idx="2">
                  <c:v>2.5022206162682967</c:v>
                </c:pt>
                <c:pt idx="3">
                  <c:v>2.5420578718774212</c:v>
                </c:pt>
              </c:numCache>
            </c:numRef>
          </c:yVal>
          <c:smooth val="0"/>
          <c:extLst>
            <c:ext xmlns:c16="http://schemas.microsoft.com/office/drawing/2014/chart" uri="{C3380CC4-5D6E-409C-BE32-E72D297353CC}">
              <c16:uniqueId val="{00000000-96C1-43A1-A5D1-0F0F70B05A8A}"/>
            </c:ext>
          </c:extLst>
        </c:ser>
        <c:dLbls>
          <c:showLegendKey val="0"/>
          <c:showVal val="0"/>
          <c:showCatName val="0"/>
          <c:showSerName val="0"/>
          <c:showPercent val="0"/>
          <c:showBubbleSize val="0"/>
        </c:dLbls>
        <c:axId val="275994416"/>
        <c:axId val="275992848"/>
      </c:scatterChart>
      <c:valAx>
        <c:axId val="275994416"/>
        <c:scaling>
          <c:orientation val="minMax"/>
        </c:scaling>
        <c:delete val="0"/>
        <c:axPos val="b"/>
        <c:title>
          <c:tx>
            <c:rich>
              <a:bodyPr/>
              <a:lstStyle/>
              <a:p>
                <a:pPr>
                  <a:defRPr/>
                </a:pPr>
                <a:r>
                  <a:rPr lang="en-US"/>
                  <a:t>time, t</a:t>
                </a:r>
              </a:p>
            </c:rich>
          </c:tx>
          <c:overlay val="0"/>
        </c:title>
        <c:numFmt formatCode="General" sourceLinked="1"/>
        <c:majorTickMark val="none"/>
        <c:minorTickMark val="none"/>
        <c:tickLblPos val="nextTo"/>
        <c:crossAx val="275992848"/>
        <c:crosses val="autoZero"/>
        <c:crossBetween val="midCat"/>
      </c:valAx>
      <c:valAx>
        <c:axId val="275992848"/>
        <c:scaling>
          <c:orientation val="minMax"/>
        </c:scaling>
        <c:delete val="0"/>
        <c:axPos val="l"/>
        <c:title>
          <c:tx>
            <c:rich>
              <a:bodyPr/>
              <a:lstStyle/>
              <a:p>
                <a:pPr>
                  <a:defRPr/>
                </a:pPr>
                <a:r>
                  <a:rPr lang="en-US"/>
                  <a:t>B</a:t>
                </a:r>
                <a:r>
                  <a:rPr lang="en-US" baseline="0"/>
                  <a:t>t</a:t>
                </a:r>
              </a:p>
            </c:rich>
          </c:tx>
          <c:overlay val="0"/>
        </c:title>
        <c:numFmt formatCode="General" sourceLinked="1"/>
        <c:majorTickMark val="none"/>
        <c:minorTickMark val="none"/>
        <c:tickLblPos val="nextTo"/>
        <c:crossAx val="275994416"/>
        <c:crosses val="autoZero"/>
        <c:crossBetween val="midCat"/>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THERMO!$X$2</c:f>
              <c:strCache>
                <c:ptCount val="1"/>
                <c:pt idx="0">
                  <c:v>ACID M</c:v>
                </c:pt>
              </c:strCache>
            </c:strRef>
          </c:tx>
          <c:spPr>
            <a:ln w="28575">
              <a:noFill/>
            </a:ln>
          </c:spPr>
          <c:trendline>
            <c:trendlineType val="linear"/>
            <c:dispRSqr val="0"/>
            <c:dispEq val="0"/>
          </c:trendline>
          <c:xVal>
            <c:numRef>
              <c:f>THERMO!$I$3:$I$7</c:f>
              <c:numCache>
                <c:formatCode>General</c:formatCode>
                <c:ptCount val="5"/>
                <c:pt idx="0">
                  <c:v>3.3557046979865771E-3</c:v>
                </c:pt>
                <c:pt idx="1">
                  <c:v>3.1948881789137379E-3</c:v>
                </c:pt>
                <c:pt idx="2">
                  <c:v>2.9585798816568047E-3</c:v>
                </c:pt>
                <c:pt idx="3">
                  <c:v>2.7548209366391185E-3</c:v>
                </c:pt>
                <c:pt idx="4">
                  <c:v>2.6455026455026454E-3</c:v>
                </c:pt>
              </c:numCache>
            </c:numRef>
          </c:xVal>
          <c:yVal>
            <c:numRef>
              <c:f>THERMO!$X$3:$X$7</c:f>
              <c:numCache>
                <c:formatCode>General</c:formatCode>
                <c:ptCount val="5"/>
                <c:pt idx="0">
                  <c:v>2.606419470929024</c:v>
                </c:pt>
                <c:pt idx="1">
                  <c:v>1.8393968514324222</c:v>
                </c:pt>
                <c:pt idx="2">
                  <c:v>1.4595397074857157</c:v>
                </c:pt>
                <c:pt idx="3">
                  <c:v>0.57229451097179074</c:v>
                </c:pt>
                <c:pt idx="4">
                  <c:v>0.92095105000451305</c:v>
                </c:pt>
              </c:numCache>
            </c:numRef>
          </c:yVal>
          <c:smooth val="0"/>
          <c:extLst>
            <c:ext xmlns:c16="http://schemas.microsoft.com/office/drawing/2014/chart" uri="{C3380CC4-5D6E-409C-BE32-E72D297353CC}">
              <c16:uniqueId val="{00000001-A6CC-450F-A0DB-A0CCD4857FE1}"/>
            </c:ext>
          </c:extLst>
        </c:ser>
        <c:dLbls>
          <c:showLegendKey val="0"/>
          <c:showVal val="0"/>
          <c:showCatName val="0"/>
          <c:showSerName val="0"/>
          <c:showPercent val="0"/>
          <c:showBubbleSize val="0"/>
        </c:dLbls>
        <c:axId val="275990496"/>
        <c:axId val="275987360"/>
      </c:scatterChart>
      <c:valAx>
        <c:axId val="275990496"/>
        <c:scaling>
          <c:orientation val="minMax"/>
        </c:scaling>
        <c:delete val="0"/>
        <c:axPos val="b"/>
        <c:title>
          <c:tx>
            <c:rich>
              <a:bodyPr/>
              <a:lstStyle/>
              <a:p>
                <a:pPr>
                  <a:defRPr/>
                </a:pPr>
                <a:r>
                  <a:rPr lang="en-US" sz="1000" b="1" i="0" u="none" strike="noStrike" baseline="0">
                    <a:effectLst/>
                  </a:rPr>
                  <a:t>1/𝑇 (K)</a:t>
                </a:r>
                <a:endParaRPr lang="en-US" i="0"/>
              </a:p>
            </c:rich>
          </c:tx>
          <c:overlay val="0"/>
        </c:title>
        <c:numFmt formatCode="General" sourceLinked="1"/>
        <c:majorTickMark val="out"/>
        <c:minorTickMark val="none"/>
        <c:tickLblPos val="nextTo"/>
        <c:crossAx val="275987360"/>
        <c:crosses val="autoZero"/>
        <c:crossBetween val="midCat"/>
      </c:valAx>
      <c:valAx>
        <c:axId val="275987360"/>
        <c:scaling>
          <c:orientation val="minMax"/>
        </c:scaling>
        <c:delete val="0"/>
        <c:axPos val="l"/>
        <c:majorGridlines/>
        <c:minorGridlines/>
        <c:title>
          <c:tx>
            <c:rich>
              <a:bodyPr/>
              <a:lstStyle/>
              <a:p>
                <a:pPr>
                  <a:defRPr/>
                </a:pPr>
                <a:r>
                  <a:rPr lang="en-US" sz="1000" b="1" i="0" u="none" strike="noStrike" baseline="0">
                    <a:effectLst/>
                  </a:rPr>
                  <a:t>𝑙𝑛𝐾𝑐</a:t>
                </a:r>
                <a:endParaRPr lang="en-US" i="0"/>
              </a:p>
            </c:rich>
          </c:tx>
          <c:overlay val="0"/>
        </c:title>
        <c:numFmt formatCode="General" sourceLinked="1"/>
        <c:majorTickMark val="out"/>
        <c:minorTickMark val="none"/>
        <c:tickLblPos val="nextTo"/>
        <c:crossAx val="2759904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Sheet2!$B$1</c:f>
              <c:strCache>
                <c:ptCount val="1"/>
                <c:pt idx="0">
                  <c:v>Adsorption response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Sheet2!$A$2:$A$10</c:f>
              <c:numCache>
                <c:formatCode>General</c:formatCode>
                <c:ptCount val="9"/>
                <c:pt idx="0">
                  <c:v>1</c:v>
                </c:pt>
                <c:pt idx="1">
                  <c:v>1.5</c:v>
                </c:pt>
                <c:pt idx="2">
                  <c:v>2</c:v>
                </c:pt>
                <c:pt idx="3">
                  <c:v>2.5</c:v>
                </c:pt>
                <c:pt idx="4">
                  <c:v>3</c:v>
                </c:pt>
                <c:pt idx="5">
                  <c:v>3.5</c:v>
                </c:pt>
                <c:pt idx="6">
                  <c:v>4</c:v>
                </c:pt>
                <c:pt idx="7">
                  <c:v>4.5</c:v>
                </c:pt>
                <c:pt idx="8">
                  <c:v>5</c:v>
                </c:pt>
              </c:numCache>
            </c:numRef>
          </c:xVal>
          <c:yVal>
            <c:numRef>
              <c:f>Sheet2!$B$2:$B$10</c:f>
              <c:numCache>
                <c:formatCode>General</c:formatCode>
                <c:ptCount val="9"/>
                <c:pt idx="0">
                  <c:v>86.5</c:v>
                </c:pt>
                <c:pt idx="1">
                  <c:v>84.8</c:v>
                </c:pt>
                <c:pt idx="2">
                  <c:v>82.7</c:v>
                </c:pt>
                <c:pt idx="3">
                  <c:v>80.5</c:v>
                </c:pt>
                <c:pt idx="4">
                  <c:v>78.5</c:v>
                </c:pt>
                <c:pt idx="5">
                  <c:v>76.5</c:v>
                </c:pt>
                <c:pt idx="6">
                  <c:v>74.5</c:v>
                </c:pt>
                <c:pt idx="7">
                  <c:v>72.8</c:v>
                </c:pt>
                <c:pt idx="8">
                  <c:v>71.5</c:v>
                </c:pt>
              </c:numCache>
            </c:numRef>
          </c:yVal>
          <c:smooth val="1"/>
          <c:extLst>
            <c:ext xmlns:c16="http://schemas.microsoft.com/office/drawing/2014/chart" uri="{C3380CC4-5D6E-409C-BE32-E72D297353CC}">
              <c16:uniqueId val="{00000000-7A0F-4F52-B71A-4A697BC0CA3A}"/>
            </c:ext>
          </c:extLst>
        </c:ser>
        <c:dLbls>
          <c:showLegendKey val="0"/>
          <c:showVal val="0"/>
          <c:showCatName val="0"/>
          <c:showSerName val="0"/>
          <c:showPercent val="0"/>
          <c:showBubbleSize val="0"/>
        </c:dLbls>
        <c:axId val="583647776"/>
        <c:axId val="583641296"/>
      </c:scatterChart>
      <c:valAx>
        <c:axId val="583647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Adsorbent dosage (g)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41296"/>
        <c:crosses val="autoZero"/>
        <c:crossBetween val="midCat"/>
      </c:valAx>
      <c:valAx>
        <c:axId val="58364129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spc="0" baseline="0">
                    <a:solidFill>
                      <a:sysClr val="windowText" lastClr="000000">
                        <a:lumMod val="65000"/>
                        <a:lumOff val="35000"/>
                      </a:sysClr>
                    </a:solidFill>
                  </a:rPr>
                  <a:t>(%) Adsorption</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4777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Sheet1!$E$2:$E$8</c:f>
              <c:numCache>
                <c:formatCode>General</c:formatCode>
                <c:ptCount val="7"/>
                <c:pt idx="0">
                  <c:v>0</c:v>
                </c:pt>
                <c:pt idx="1">
                  <c:v>1</c:v>
                </c:pt>
                <c:pt idx="2">
                  <c:v>2</c:v>
                </c:pt>
                <c:pt idx="3">
                  <c:v>3</c:v>
                </c:pt>
                <c:pt idx="4">
                  <c:v>4</c:v>
                </c:pt>
                <c:pt idx="5">
                  <c:v>4.3</c:v>
                </c:pt>
                <c:pt idx="6">
                  <c:v>5</c:v>
                </c:pt>
              </c:numCache>
            </c:numRef>
          </c:xVal>
          <c:yVal>
            <c:numRef>
              <c:f>Sheet1!$F$2:$F$8</c:f>
              <c:numCache>
                <c:formatCode>General</c:formatCode>
                <c:ptCount val="7"/>
                <c:pt idx="0">
                  <c:v>0</c:v>
                </c:pt>
                <c:pt idx="1">
                  <c:v>53</c:v>
                </c:pt>
                <c:pt idx="2">
                  <c:v>68.5</c:v>
                </c:pt>
                <c:pt idx="3">
                  <c:v>78</c:v>
                </c:pt>
                <c:pt idx="4">
                  <c:v>82.5</c:v>
                </c:pt>
                <c:pt idx="5">
                  <c:v>83</c:v>
                </c:pt>
                <c:pt idx="6">
                  <c:v>81.5</c:v>
                </c:pt>
              </c:numCache>
            </c:numRef>
          </c:yVal>
          <c:smooth val="1"/>
          <c:extLst>
            <c:ext xmlns:c16="http://schemas.microsoft.com/office/drawing/2014/chart" uri="{C3380CC4-5D6E-409C-BE32-E72D297353CC}">
              <c16:uniqueId val="{00000000-0205-40B5-AE98-57DDAF05103E}"/>
            </c:ext>
          </c:extLst>
        </c:ser>
        <c:dLbls>
          <c:showLegendKey val="0"/>
          <c:showVal val="0"/>
          <c:showCatName val="0"/>
          <c:showSerName val="0"/>
          <c:showPercent val="0"/>
          <c:showBubbleSize val="0"/>
        </c:dLbls>
        <c:axId val="551852016"/>
        <c:axId val="551848416"/>
      </c:scatterChart>
      <c:valAx>
        <c:axId val="551852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Concentration C</a:t>
                </a:r>
                <a:r>
                  <a:rPr lang="en-US" sz="1000" b="0" i="0" u="none" strike="noStrike" kern="1200" baseline="-25000">
                    <a:solidFill>
                      <a:sysClr val="windowText" lastClr="000000">
                        <a:lumMod val="65000"/>
                        <a:lumOff val="35000"/>
                      </a:sysClr>
                    </a:solidFill>
                  </a:rPr>
                  <a:t>0 </a:t>
                </a:r>
                <a:r>
                  <a:rPr lang="en-US" sz="1000" b="0" i="0" u="none" strike="noStrike" kern="1200" baseline="0">
                    <a:solidFill>
                      <a:sysClr val="windowText" lastClr="000000">
                        <a:lumMod val="65000"/>
                        <a:lumOff val="35000"/>
                      </a:sysClr>
                    </a:solidFill>
                  </a:rPr>
                  <a:t>(mg/l)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48416"/>
        <c:crosses val="autoZero"/>
        <c:crossBetween val="midCat"/>
      </c:valAx>
      <c:valAx>
        <c:axId val="551848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kern="1200" baseline="0">
                    <a:solidFill>
                      <a:sysClr val="windowText" lastClr="000000">
                        <a:lumMod val="65000"/>
                        <a:lumOff val="35000"/>
                      </a:sysClr>
                    </a:solidFill>
                  </a:rPr>
                  <a:t>% Adsorption</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8520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Sheet1!$L$1</c:f>
              <c:strCache>
                <c:ptCount val="1"/>
                <c:pt idx="0">
                  <c:v>RSM</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180074365704287"/>
                  <c:y val="-9.763888888888888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t>R² = 0.9669</a:t>
                    </a:r>
                    <a:endParaRPr lang="en-US"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Sheet1!$K$2:$K$22</c:f>
              <c:numCache>
                <c:formatCode>General</c:formatCode>
                <c:ptCount val="21"/>
                <c:pt idx="0">
                  <c:v>89.93</c:v>
                </c:pt>
                <c:pt idx="1">
                  <c:v>84.31</c:v>
                </c:pt>
                <c:pt idx="2">
                  <c:v>54.39</c:v>
                </c:pt>
                <c:pt idx="3">
                  <c:v>75.739999999999995</c:v>
                </c:pt>
                <c:pt idx="4">
                  <c:v>74.59</c:v>
                </c:pt>
                <c:pt idx="5">
                  <c:v>52.91</c:v>
                </c:pt>
                <c:pt idx="6">
                  <c:v>78.180000000000007</c:v>
                </c:pt>
                <c:pt idx="7">
                  <c:v>77.63</c:v>
                </c:pt>
                <c:pt idx="8">
                  <c:v>76.28</c:v>
                </c:pt>
                <c:pt idx="9">
                  <c:v>77.63</c:v>
                </c:pt>
                <c:pt idx="10">
                  <c:v>80.59</c:v>
                </c:pt>
                <c:pt idx="11">
                  <c:v>77.63</c:v>
                </c:pt>
                <c:pt idx="12">
                  <c:v>81.67</c:v>
                </c:pt>
                <c:pt idx="13">
                  <c:v>79.28</c:v>
                </c:pt>
                <c:pt idx="14">
                  <c:v>75.39</c:v>
                </c:pt>
                <c:pt idx="15">
                  <c:v>77.63</c:v>
                </c:pt>
                <c:pt idx="16">
                  <c:v>78.14</c:v>
                </c:pt>
                <c:pt idx="17">
                  <c:v>81.99</c:v>
                </c:pt>
                <c:pt idx="18">
                  <c:v>76.430000000000007</c:v>
                </c:pt>
                <c:pt idx="19">
                  <c:v>85.25</c:v>
                </c:pt>
              </c:numCache>
            </c:numRef>
          </c:xVal>
          <c:yVal>
            <c:numRef>
              <c:f>Sheet1!$L$2:$L$22</c:f>
              <c:numCache>
                <c:formatCode>General</c:formatCode>
                <c:ptCount val="21"/>
                <c:pt idx="0">
                  <c:v>90.1</c:v>
                </c:pt>
                <c:pt idx="1">
                  <c:v>84.88</c:v>
                </c:pt>
                <c:pt idx="2">
                  <c:v>62.26</c:v>
                </c:pt>
                <c:pt idx="3">
                  <c:v>75.5</c:v>
                </c:pt>
                <c:pt idx="4">
                  <c:v>72.19</c:v>
                </c:pt>
                <c:pt idx="5">
                  <c:v>56.78</c:v>
                </c:pt>
                <c:pt idx="6">
                  <c:v>78.56</c:v>
                </c:pt>
                <c:pt idx="7">
                  <c:v>77.83</c:v>
                </c:pt>
                <c:pt idx="8">
                  <c:v>76.83</c:v>
                </c:pt>
                <c:pt idx="9">
                  <c:v>77.83</c:v>
                </c:pt>
                <c:pt idx="10">
                  <c:v>81.459999999999994</c:v>
                </c:pt>
                <c:pt idx="11">
                  <c:v>77.83</c:v>
                </c:pt>
                <c:pt idx="12">
                  <c:v>80.78</c:v>
                </c:pt>
                <c:pt idx="13">
                  <c:v>78.83</c:v>
                </c:pt>
                <c:pt idx="14">
                  <c:v>75.290000000000006</c:v>
                </c:pt>
                <c:pt idx="15">
                  <c:v>77.83</c:v>
                </c:pt>
                <c:pt idx="16">
                  <c:v>77.55</c:v>
                </c:pt>
                <c:pt idx="17">
                  <c:v>81.650000000000006</c:v>
                </c:pt>
                <c:pt idx="18">
                  <c:v>76.790000000000006</c:v>
                </c:pt>
                <c:pt idx="19">
                  <c:v>84.85</c:v>
                </c:pt>
              </c:numCache>
            </c:numRef>
          </c:yVal>
          <c:smooth val="0"/>
          <c:extLst>
            <c:ext xmlns:c16="http://schemas.microsoft.com/office/drawing/2014/chart" uri="{C3380CC4-5D6E-409C-BE32-E72D297353CC}">
              <c16:uniqueId val="{00000001-9C50-4948-B4D5-4995A8301892}"/>
            </c:ext>
          </c:extLst>
        </c:ser>
        <c:dLbls>
          <c:showLegendKey val="0"/>
          <c:showVal val="0"/>
          <c:showCatName val="0"/>
          <c:showSerName val="0"/>
          <c:showPercent val="0"/>
          <c:showBubbleSize val="0"/>
        </c:dLbls>
        <c:axId val="414881672"/>
        <c:axId val="414882752"/>
      </c:scatterChart>
      <c:valAx>
        <c:axId val="414881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Experimental </a:t>
                </a:r>
                <a:r>
                  <a:rPr lang="en-US" sz="1000" b="0" i="0" u="none" strike="noStrike" kern="1200" baseline="0">
                    <a:solidFill>
                      <a:sysClr val="windowText" lastClr="000000">
                        <a:lumMod val="65000"/>
                        <a:lumOff val="35000"/>
                      </a:sysClr>
                    </a:solidFill>
                    <a:effectLst/>
                  </a:rPr>
                  <a:t>percentage removal </a:t>
                </a:r>
                <a:endParaRPr lang="en-US" sz="1000" b="0" i="0" u="none" strike="noStrike" kern="120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82752"/>
        <c:crosses val="autoZero"/>
        <c:crossBetween val="midCat"/>
      </c:valAx>
      <c:valAx>
        <c:axId val="414882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Predicted </a:t>
                </a:r>
                <a:r>
                  <a:rPr lang="en-US" sz="1000" b="0" i="0" u="none" strike="noStrike" kern="1200" baseline="0">
                    <a:solidFill>
                      <a:sysClr val="windowText" lastClr="000000">
                        <a:lumMod val="65000"/>
                        <a:lumOff val="35000"/>
                      </a:sysClr>
                    </a:solidFill>
                    <a:effectLst/>
                  </a:rPr>
                  <a:t>percentage removal </a:t>
                </a:r>
                <a:endParaRPr lang="en-US"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8167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Sheet3!$C$1</c:f>
              <c:strCache>
                <c:ptCount val="1"/>
                <c:pt idx="0">
                  <c:v>Residual</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Sheet3!$B$2:$B$17</c:f>
              <c:numCache>
                <c:formatCode>General</c:formatCode>
                <c:ptCount val="16"/>
                <c:pt idx="0">
                  <c:v>55</c:v>
                </c:pt>
                <c:pt idx="1">
                  <c:v>62</c:v>
                </c:pt>
                <c:pt idx="2">
                  <c:v>70</c:v>
                </c:pt>
                <c:pt idx="3">
                  <c:v>71</c:v>
                </c:pt>
                <c:pt idx="4">
                  <c:v>74</c:v>
                </c:pt>
                <c:pt idx="5">
                  <c:v>75</c:v>
                </c:pt>
                <c:pt idx="6">
                  <c:v>76</c:v>
                </c:pt>
                <c:pt idx="7">
                  <c:v>77</c:v>
                </c:pt>
                <c:pt idx="8">
                  <c:v>78</c:v>
                </c:pt>
                <c:pt idx="9">
                  <c:v>79</c:v>
                </c:pt>
                <c:pt idx="10">
                  <c:v>80</c:v>
                </c:pt>
                <c:pt idx="11">
                  <c:v>81</c:v>
                </c:pt>
                <c:pt idx="12">
                  <c:v>82</c:v>
                </c:pt>
                <c:pt idx="13">
                  <c:v>84</c:v>
                </c:pt>
                <c:pt idx="14">
                  <c:v>88</c:v>
                </c:pt>
                <c:pt idx="15">
                  <c:v>92</c:v>
                </c:pt>
              </c:numCache>
            </c:numRef>
          </c:xVal>
          <c:yVal>
            <c:numRef>
              <c:f>Sheet3!$C$2:$C$17</c:f>
              <c:numCache>
                <c:formatCode>General</c:formatCode>
                <c:ptCount val="16"/>
                <c:pt idx="0">
                  <c:v>-2.5</c:v>
                </c:pt>
                <c:pt idx="1">
                  <c:v>0.5</c:v>
                </c:pt>
                <c:pt idx="2">
                  <c:v>3.5</c:v>
                </c:pt>
                <c:pt idx="3">
                  <c:v>2.2000000000000002</c:v>
                </c:pt>
                <c:pt idx="4">
                  <c:v>-0.3</c:v>
                </c:pt>
                <c:pt idx="5">
                  <c:v>1</c:v>
                </c:pt>
                <c:pt idx="6">
                  <c:v>1.5</c:v>
                </c:pt>
                <c:pt idx="7">
                  <c:v>-1.5</c:v>
                </c:pt>
                <c:pt idx="8">
                  <c:v>-1.2</c:v>
                </c:pt>
                <c:pt idx="9">
                  <c:v>-2.2000000000000002</c:v>
                </c:pt>
                <c:pt idx="10">
                  <c:v>1</c:v>
                </c:pt>
                <c:pt idx="11">
                  <c:v>0.8</c:v>
                </c:pt>
                <c:pt idx="12">
                  <c:v>-0.5</c:v>
                </c:pt>
                <c:pt idx="13">
                  <c:v>1.2</c:v>
                </c:pt>
                <c:pt idx="14">
                  <c:v>-1.8</c:v>
                </c:pt>
                <c:pt idx="15">
                  <c:v>-0.5</c:v>
                </c:pt>
              </c:numCache>
            </c:numRef>
          </c:yVal>
          <c:smooth val="0"/>
          <c:extLst>
            <c:ext xmlns:c16="http://schemas.microsoft.com/office/drawing/2014/chart" uri="{C3380CC4-5D6E-409C-BE32-E72D297353CC}">
              <c16:uniqueId val="{00000000-BA07-4042-B736-956A81F7FE84}"/>
            </c:ext>
          </c:extLst>
        </c:ser>
        <c:dLbls>
          <c:showLegendKey val="0"/>
          <c:showVal val="0"/>
          <c:showCatName val="0"/>
          <c:showSerName val="0"/>
          <c:showPercent val="0"/>
          <c:showBubbleSize val="0"/>
        </c:dLbls>
        <c:axId val="519109280"/>
        <c:axId val="519115760"/>
      </c:scatterChart>
      <c:valAx>
        <c:axId val="51910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Fitted</a:t>
                </a:r>
                <a:r>
                  <a:rPr lang="en-US" baseline="0"/>
                  <a:t> </a:t>
                </a:r>
                <a:r>
                  <a:rPr lang="en-US" b="1" baseline="0"/>
                  <a:t>Value</a:t>
                </a: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519115760"/>
        <c:crosses val="autoZero"/>
        <c:crossBetween val="midCat"/>
      </c:valAx>
      <c:valAx>
        <c:axId val="51911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Residual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51910928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ISOTHERM!$U$2</c:f>
              <c:strCache>
                <c:ptCount val="1"/>
                <c:pt idx="0">
                  <c:v>ACID M</c:v>
                </c:pt>
              </c:strCache>
            </c:strRef>
          </c:tx>
          <c:spPr>
            <a:ln w="28575">
              <a:noFill/>
            </a:ln>
          </c:spPr>
          <c:trendline>
            <c:trendlineType val="linear"/>
            <c:dispRSqr val="0"/>
            <c:dispEq val="0"/>
          </c:trendline>
          <c:xVal>
            <c:numRef>
              <c:f>ISOTHERM!$L$3:$L$7</c:f>
              <c:numCache>
                <c:formatCode>General</c:formatCode>
                <c:ptCount val="5"/>
                <c:pt idx="0">
                  <c:v>0.19377358490566038</c:v>
                </c:pt>
                <c:pt idx="1">
                  <c:v>0.27490566037735847</c:v>
                </c:pt>
                <c:pt idx="2">
                  <c:v>0.2862264150943396</c:v>
                </c:pt>
                <c:pt idx="3">
                  <c:v>0.30132075471698111</c:v>
                </c:pt>
                <c:pt idx="4">
                  <c:v>0.35226415094339619</c:v>
                </c:pt>
              </c:numCache>
            </c:numRef>
          </c:xVal>
          <c:yVal>
            <c:numRef>
              <c:f>ISOTHERM!$U$3:$U$7</c:f>
              <c:numCache>
                <c:formatCode>General</c:formatCode>
                <c:ptCount val="5"/>
                <c:pt idx="0">
                  <c:v>4.806927217411654</c:v>
                </c:pt>
                <c:pt idx="1">
                  <c:v>3.1871377009734223</c:v>
                </c:pt>
                <c:pt idx="2">
                  <c:v>2.1094347493568795</c:v>
                </c:pt>
                <c:pt idx="3">
                  <c:v>1.629342447584553</c:v>
                </c:pt>
                <c:pt idx="4">
                  <c:v>1.5158527178987535</c:v>
                </c:pt>
              </c:numCache>
            </c:numRef>
          </c:yVal>
          <c:smooth val="0"/>
          <c:extLst>
            <c:ext xmlns:c16="http://schemas.microsoft.com/office/drawing/2014/chart" uri="{C3380CC4-5D6E-409C-BE32-E72D297353CC}">
              <c16:uniqueId val="{00000001-D776-4A42-A9A3-015DF17D4D03}"/>
            </c:ext>
          </c:extLst>
        </c:ser>
        <c:dLbls>
          <c:showLegendKey val="0"/>
          <c:showVal val="0"/>
          <c:showCatName val="0"/>
          <c:showSerName val="0"/>
          <c:showPercent val="0"/>
          <c:showBubbleSize val="0"/>
        </c:dLbls>
        <c:axId val="402733512"/>
        <c:axId val="402734688"/>
      </c:scatterChart>
      <c:valAx>
        <c:axId val="402733512"/>
        <c:scaling>
          <c:orientation val="minMax"/>
        </c:scaling>
        <c:delete val="0"/>
        <c:axPos val="b"/>
        <c:title>
          <c:tx>
            <c:rich>
              <a:bodyPr/>
              <a:lstStyle/>
              <a:p>
                <a:pPr>
                  <a:defRPr/>
                </a:pPr>
                <a:r>
                  <a:rPr lang="en-US" sz="1000" b="1" i="0" u="none" strike="noStrike" baseline="0">
                    <a:effectLst/>
                  </a:rPr>
                  <a:t>C</a:t>
                </a:r>
                <a:r>
                  <a:rPr lang="en-US" sz="1000" b="1" i="0" u="none" strike="noStrike" baseline="-25000">
                    <a:effectLst/>
                  </a:rPr>
                  <a:t>e </a:t>
                </a:r>
                <a:r>
                  <a:rPr lang="en-US" sz="1000" b="1" i="0" u="none" strike="noStrike" baseline="0">
                    <a:effectLst/>
                  </a:rPr>
                  <a:t>(mg/L)</a:t>
                </a:r>
                <a:endParaRPr lang="en-US"/>
              </a:p>
            </c:rich>
          </c:tx>
          <c:overlay val="0"/>
        </c:title>
        <c:numFmt formatCode="General" sourceLinked="1"/>
        <c:majorTickMark val="out"/>
        <c:minorTickMark val="none"/>
        <c:tickLblPos val="nextTo"/>
        <c:crossAx val="402734688"/>
        <c:crosses val="autoZero"/>
        <c:crossBetween val="midCat"/>
      </c:valAx>
      <c:valAx>
        <c:axId val="402734688"/>
        <c:scaling>
          <c:orientation val="minMax"/>
        </c:scaling>
        <c:delete val="0"/>
        <c:axPos val="l"/>
        <c:title>
          <c:tx>
            <c:rich>
              <a:bodyPr/>
              <a:lstStyle/>
              <a:p>
                <a:pPr>
                  <a:defRPr/>
                </a:pPr>
                <a:r>
                  <a:rPr lang="en-US" sz="1000" b="1" i="0" u="none" strike="noStrike" baseline="0">
                    <a:effectLst/>
                  </a:rPr>
                  <a:t>𝐶𝑒∕𝑞𝑒  (g/L) </a:t>
                </a:r>
                <a:endParaRPr lang="en-US"/>
              </a:p>
            </c:rich>
          </c:tx>
          <c:overlay val="0"/>
        </c:title>
        <c:numFmt formatCode="General" sourceLinked="1"/>
        <c:majorTickMark val="out"/>
        <c:minorTickMark val="none"/>
        <c:tickLblPos val="nextTo"/>
        <c:crossAx val="40273351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Sheet2!$C$1</c:f>
              <c:strCache>
                <c:ptCount val="1"/>
                <c:pt idx="0">
                  <c:v>ln(qe)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Sheet2!$B$2:$B$6</c:f>
              <c:numCache>
                <c:formatCode>General</c:formatCode>
                <c:ptCount val="5"/>
                <c:pt idx="0">
                  <c:v>1</c:v>
                </c:pt>
                <c:pt idx="1">
                  <c:v>1.5</c:v>
                </c:pt>
                <c:pt idx="2">
                  <c:v>2</c:v>
                </c:pt>
                <c:pt idx="3">
                  <c:v>3</c:v>
                </c:pt>
                <c:pt idx="4">
                  <c:v>5</c:v>
                </c:pt>
              </c:numCache>
            </c:numRef>
          </c:xVal>
          <c:yVal>
            <c:numRef>
              <c:f>Sheet2!$C$2:$C$6</c:f>
              <c:numCache>
                <c:formatCode>General</c:formatCode>
                <c:ptCount val="5"/>
                <c:pt idx="0">
                  <c:v>-1.5</c:v>
                </c:pt>
                <c:pt idx="1">
                  <c:v>-1.7</c:v>
                </c:pt>
                <c:pt idx="2">
                  <c:v>-2</c:v>
                </c:pt>
                <c:pt idx="3">
                  <c:v>-2.5</c:v>
                </c:pt>
                <c:pt idx="4">
                  <c:v>-3.2</c:v>
                </c:pt>
              </c:numCache>
            </c:numRef>
          </c:yVal>
          <c:smooth val="0"/>
          <c:extLst>
            <c:ext xmlns:c16="http://schemas.microsoft.com/office/drawing/2014/chart" uri="{C3380CC4-5D6E-409C-BE32-E72D297353CC}">
              <c16:uniqueId val="{00000001-C39D-4312-B5F0-9A7C1F5E5D4F}"/>
            </c:ext>
          </c:extLst>
        </c:ser>
        <c:dLbls>
          <c:showLegendKey val="0"/>
          <c:showVal val="0"/>
          <c:showCatName val="0"/>
          <c:showSerName val="0"/>
          <c:showPercent val="0"/>
          <c:showBubbleSize val="0"/>
        </c:dLbls>
        <c:axId val="525743224"/>
        <c:axId val="525742144"/>
      </c:scatterChart>
      <c:valAx>
        <c:axId val="525743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effectLst/>
                  </a:rPr>
                  <a:t>𝑙𝑛 𝐶</a:t>
                </a:r>
                <a:r>
                  <a:rPr lang="en-US" sz="1000" b="1" i="0" u="none" strike="noStrike" kern="1200" baseline="-25000">
                    <a:solidFill>
                      <a:sysClr val="windowText" lastClr="000000"/>
                    </a:solidFill>
                    <a:effectLst/>
                  </a:rPr>
                  <a:t>𝑒</a:t>
                </a:r>
                <a:endParaRPr lang="en-US" sz="1000" b="1" i="0" u="none" strike="noStrike" kern="1200" baseline="-25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742144"/>
        <c:crosses val="autoZero"/>
        <c:crossBetween val="midCat"/>
      </c:valAx>
      <c:valAx>
        <c:axId val="5257421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effectLst/>
                  </a:rPr>
                  <a:t>𝑙𝑛 q</a:t>
                </a:r>
                <a:r>
                  <a:rPr lang="en-US" sz="1000" b="1" i="0" u="none" strike="noStrike" kern="1200" baseline="-25000">
                    <a:solidFill>
                      <a:sysClr val="windowText" lastClr="000000"/>
                    </a:solidFill>
                    <a:effectLst/>
                  </a:rPr>
                  <a:t>𝑒</a:t>
                </a:r>
                <a:endParaRPr lang="en-US" sz="1000" b="1" i="0" u="none" strike="noStrike" kern="1200" baseline="-250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7432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ISOTHERM!$AJ$2</c:f>
              <c:strCache>
                <c:ptCount val="1"/>
                <c:pt idx="0">
                  <c:v>ACID M</c:v>
                </c:pt>
              </c:strCache>
            </c:strRef>
          </c:tx>
          <c:spPr>
            <a:ln w="28575">
              <a:noFill/>
            </a:ln>
          </c:spPr>
          <c:xVal>
            <c:numRef>
              <c:f>ISOTHERM!$AG$3:$AG$7</c:f>
              <c:numCache>
                <c:formatCode>General</c:formatCode>
                <c:ptCount val="5"/>
                <c:pt idx="0">
                  <c:v>2894460.39482611</c:v>
                </c:pt>
                <c:pt idx="1">
                  <c:v>2060893.195031404</c:v>
                </c:pt>
                <c:pt idx="2">
                  <c:v>1977095.3131003634</c:v>
                </c:pt>
                <c:pt idx="3">
                  <c:v>1873943.6582107635</c:v>
                </c:pt>
                <c:pt idx="4">
                  <c:v>1584294.9137597664</c:v>
                </c:pt>
              </c:numCache>
            </c:numRef>
          </c:xVal>
          <c:yVal>
            <c:numRef>
              <c:f>ISOTHERM!$AJ$3:$AJ$7</c:f>
              <c:numCache>
                <c:formatCode>General</c:formatCode>
                <c:ptCount val="5"/>
                <c:pt idx="0">
                  <c:v>-3.2111229374501793</c:v>
                </c:pt>
                <c:pt idx="1">
                  <c:v>-2.4504505349297778</c:v>
                </c:pt>
                <c:pt idx="2">
                  <c:v>-1.997392140490315</c:v>
                </c:pt>
                <c:pt idx="3">
                  <c:v>-1.6877564783637797</c:v>
                </c:pt>
                <c:pt idx="4">
                  <c:v>-1.4593520867173058</c:v>
                </c:pt>
              </c:numCache>
            </c:numRef>
          </c:yVal>
          <c:smooth val="0"/>
          <c:extLst>
            <c:ext xmlns:c16="http://schemas.microsoft.com/office/drawing/2014/chart" uri="{C3380CC4-5D6E-409C-BE32-E72D297353CC}">
              <c16:uniqueId val="{00000000-6911-437D-9EDA-9EB850D137C1}"/>
            </c:ext>
          </c:extLst>
        </c:ser>
        <c:dLbls>
          <c:showLegendKey val="0"/>
          <c:showVal val="0"/>
          <c:showCatName val="0"/>
          <c:showSerName val="0"/>
          <c:showPercent val="0"/>
          <c:showBubbleSize val="0"/>
        </c:dLbls>
        <c:axId val="621146352"/>
        <c:axId val="621150664"/>
      </c:scatterChart>
      <c:valAx>
        <c:axId val="621146352"/>
        <c:scaling>
          <c:orientation val="minMax"/>
        </c:scaling>
        <c:delete val="0"/>
        <c:axPos val="b"/>
        <c:title>
          <c:tx>
            <c:rich>
              <a:bodyPr/>
              <a:lstStyle/>
              <a:p>
                <a:pPr>
                  <a:defRPr/>
                </a:pPr>
                <a:r>
                  <a:rPr lang="en-US" sz="1000" b="1" i="0" u="none" strike="noStrike" baseline="0">
                    <a:effectLst/>
                  </a:rPr>
                  <a:t>Ɛ</a:t>
                </a:r>
                <a:r>
                  <a:rPr lang="en-US" sz="1000" b="1" i="0" u="none" strike="noStrike" baseline="30000">
                    <a:effectLst/>
                  </a:rPr>
                  <a:t>2</a:t>
                </a:r>
                <a:endParaRPr lang="en-US"/>
              </a:p>
            </c:rich>
          </c:tx>
          <c:layout>
            <c:manualLayout>
              <c:xMode val="edge"/>
              <c:yMode val="edge"/>
              <c:x val="0.45866797900262474"/>
              <c:y val="0.87868037328667248"/>
            </c:manualLayout>
          </c:layout>
          <c:overlay val="0"/>
        </c:title>
        <c:numFmt formatCode="General" sourceLinked="1"/>
        <c:majorTickMark val="none"/>
        <c:minorTickMark val="none"/>
        <c:tickLblPos val="nextTo"/>
        <c:crossAx val="621150664"/>
        <c:crosses val="autoZero"/>
        <c:crossBetween val="midCat"/>
      </c:valAx>
      <c:valAx>
        <c:axId val="621150664"/>
        <c:scaling>
          <c:orientation val="minMax"/>
        </c:scaling>
        <c:delete val="0"/>
        <c:axPos val="l"/>
        <c:title>
          <c:tx>
            <c:rich>
              <a:bodyPr/>
              <a:lstStyle/>
              <a:p>
                <a:pPr>
                  <a:defRPr/>
                </a:pPr>
                <a:r>
                  <a:rPr lang="en-US" sz="1000" b="1" i="0" u="none" strike="noStrike" baseline="0">
                    <a:effectLst/>
                  </a:rPr>
                  <a:t>𝑙𝑛 𝑞</a:t>
                </a:r>
                <a:r>
                  <a:rPr lang="en-US" sz="1000" b="1" i="0" u="none" strike="noStrike" baseline="-25000">
                    <a:effectLst/>
                  </a:rPr>
                  <a:t>𝑒</a:t>
                </a:r>
                <a:r>
                  <a:rPr lang="en-US" sz="1000" b="1" i="0" u="none" strike="noStrike" baseline="0">
                    <a:effectLst/>
                  </a:rPr>
                  <a:t> </a:t>
                </a:r>
                <a:endParaRPr lang="en-US"/>
              </a:p>
            </c:rich>
          </c:tx>
          <c:overlay val="0"/>
        </c:title>
        <c:numFmt formatCode="General" sourceLinked="1"/>
        <c:majorTickMark val="none"/>
        <c:minorTickMark val="none"/>
        <c:tickLblPos val="nextTo"/>
        <c:crossAx val="621146352"/>
        <c:crosses val="autoZero"/>
        <c:crossBetween val="midCat"/>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64471486518733"/>
          <c:y val="0.1113603654165671"/>
          <c:w val="0.53040726159230056"/>
          <c:h val="0.82727981918926863"/>
        </c:manualLayout>
      </c:layout>
      <c:scatterChart>
        <c:scatterStyle val="lineMarker"/>
        <c:varyColors val="0"/>
        <c:ser>
          <c:idx val="1"/>
          <c:order val="0"/>
          <c:tx>
            <c:strRef>
              <c:f>KINETICS!$AC$2</c:f>
              <c:strCache>
                <c:ptCount val="1"/>
                <c:pt idx="0">
                  <c:v>ACID M</c:v>
                </c:pt>
              </c:strCache>
            </c:strRef>
          </c:tx>
          <c:spPr>
            <a:ln w="28575">
              <a:noFill/>
            </a:ln>
          </c:spPr>
          <c:trendline>
            <c:trendlineType val="linear"/>
            <c:dispRSqr val="0"/>
            <c:dispEq val="0"/>
          </c:trendline>
          <c:xVal>
            <c:numRef>
              <c:f>KINETICS!$F$3:$F$6</c:f>
              <c:numCache>
                <c:formatCode>General</c:formatCode>
                <c:ptCount val="4"/>
                <c:pt idx="0">
                  <c:v>30</c:v>
                </c:pt>
                <c:pt idx="1">
                  <c:v>60</c:v>
                </c:pt>
                <c:pt idx="2">
                  <c:v>105</c:v>
                </c:pt>
                <c:pt idx="3">
                  <c:v>150</c:v>
                </c:pt>
              </c:numCache>
            </c:numRef>
          </c:xVal>
          <c:yVal>
            <c:numRef>
              <c:f>KINETICS!$AC$3:$AC$6</c:f>
              <c:numCache>
                <c:formatCode>General</c:formatCode>
                <c:ptCount val="4"/>
                <c:pt idx="0">
                  <c:v>-3.0361612635496358</c:v>
                </c:pt>
                <c:pt idx="1">
                  <c:v>-5.4184616783901012</c:v>
                </c:pt>
                <c:pt idx="2">
                  <c:v>-5.5797298259862433</c:v>
                </c:pt>
                <c:pt idx="3">
                  <c:v>-6.1775668267418355</c:v>
                </c:pt>
              </c:numCache>
            </c:numRef>
          </c:yVal>
          <c:smooth val="0"/>
          <c:extLst>
            <c:ext xmlns:c16="http://schemas.microsoft.com/office/drawing/2014/chart" uri="{C3380CC4-5D6E-409C-BE32-E72D297353CC}">
              <c16:uniqueId val="{00000001-1B61-4714-B624-5C52E63DEA7B}"/>
            </c:ext>
          </c:extLst>
        </c:ser>
        <c:dLbls>
          <c:showLegendKey val="0"/>
          <c:showVal val="0"/>
          <c:showCatName val="0"/>
          <c:showSerName val="0"/>
          <c:showPercent val="0"/>
          <c:showBubbleSize val="0"/>
        </c:dLbls>
        <c:axId val="621148312"/>
        <c:axId val="621151840"/>
      </c:scatterChart>
      <c:valAx>
        <c:axId val="621148312"/>
        <c:scaling>
          <c:orientation val="minMax"/>
        </c:scaling>
        <c:delete val="0"/>
        <c:axPos val="b"/>
        <c:title>
          <c:tx>
            <c:rich>
              <a:bodyPr/>
              <a:lstStyle/>
              <a:p>
                <a:pPr>
                  <a:defRPr/>
                </a:pPr>
                <a:r>
                  <a:rPr lang="en-US"/>
                  <a:t>t (min)</a:t>
                </a:r>
              </a:p>
            </c:rich>
          </c:tx>
          <c:overlay val="0"/>
        </c:title>
        <c:numFmt formatCode="General" sourceLinked="1"/>
        <c:majorTickMark val="out"/>
        <c:minorTickMark val="none"/>
        <c:tickLblPos val="nextTo"/>
        <c:crossAx val="621151840"/>
        <c:crosses val="autoZero"/>
        <c:crossBetween val="midCat"/>
      </c:valAx>
      <c:valAx>
        <c:axId val="621151840"/>
        <c:scaling>
          <c:orientation val="minMax"/>
        </c:scaling>
        <c:delete val="0"/>
        <c:axPos val="l"/>
        <c:title>
          <c:tx>
            <c:rich>
              <a:bodyPr/>
              <a:lstStyle/>
              <a:p>
                <a:pPr>
                  <a:defRPr/>
                </a:pPr>
                <a:r>
                  <a:rPr lang="en-US"/>
                  <a:t>ln(q</a:t>
                </a:r>
                <a:r>
                  <a:rPr lang="en-US" baseline="-25000"/>
                  <a:t>e</a:t>
                </a:r>
                <a:r>
                  <a:rPr lang="en-US"/>
                  <a:t>-q</a:t>
                </a:r>
                <a:r>
                  <a:rPr lang="en-US" baseline="-25000"/>
                  <a:t>t</a:t>
                </a:r>
                <a:r>
                  <a:rPr lang="en-US"/>
                  <a:t>) (mg/g)</a:t>
                </a:r>
              </a:p>
            </c:rich>
          </c:tx>
          <c:layout>
            <c:manualLayout>
              <c:xMode val="edge"/>
              <c:yMode val="edge"/>
              <c:x val="0.11286778079578089"/>
              <c:y val="0.25164912280701757"/>
            </c:manualLayout>
          </c:layout>
          <c:overlay val="0"/>
        </c:title>
        <c:numFmt formatCode="General" sourceLinked="1"/>
        <c:majorTickMark val="out"/>
        <c:minorTickMark val="none"/>
        <c:tickLblPos val="nextTo"/>
        <c:crossAx val="621148312"/>
        <c:crosses val="autoZero"/>
        <c:crossBetween val="midCat"/>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0.4961</cdr:x>
      <cdr:y>0.39394</cdr:y>
    </cdr:from>
    <cdr:to>
      <cdr:x>0.7974</cdr:x>
      <cdr:y>0.83117</cdr:y>
    </cdr:to>
    <cdr:cxnSp macro="">
      <cdr:nvCxnSpPr>
        <cdr:cNvPr id="4" name="Straight Connector 3"/>
        <cdr:cNvCxnSpPr/>
      </cdr:nvCxnSpPr>
      <cdr:spPr>
        <a:xfrm xmlns:a="http://schemas.openxmlformats.org/drawingml/2006/main">
          <a:off x="2268187" y="1080655"/>
          <a:ext cx="1377538" cy="119940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D4428-1D21-4126-B749-AB965C83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2447</TotalTime>
  <Pages>32</Pages>
  <Words>12416</Words>
  <Characters>70775</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83025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CPU 1117</cp:lastModifiedBy>
  <cp:revision>12</cp:revision>
  <cp:lastPrinted>1999-07-06T11:00:00Z</cp:lastPrinted>
  <dcterms:created xsi:type="dcterms:W3CDTF">2026-04-12T04:39:00Z</dcterms:created>
  <dcterms:modified xsi:type="dcterms:W3CDTF">2026-04-30T05:37:00Z</dcterms:modified>
</cp:coreProperties>
</file>