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9B6D" w14:textId="7AA62F14" w:rsidR="008A4ABA" w:rsidRDefault="000666FC">
      <w:pPr>
        <w:spacing w:before="60" w:after="60"/>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403A4CFD" w14:textId="496A515A" w:rsidR="008A4ABA" w:rsidRPr="00DB224A" w:rsidRDefault="00011CB4">
      <w:pPr>
        <w:spacing w:before="60" w:after="60"/>
        <w:rPr>
          <w:b/>
          <w:bCs/>
          <w:sz w:val="28"/>
          <w:szCs w:val="28"/>
        </w:rPr>
      </w:pPr>
      <w:r>
        <w:rPr>
          <w:b/>
          <w:bCs/>
          <w:sz w:val="28"/>
          <w:szCs w:val="28"/>
        </w:rPr>
        <w:t>The Effect</w:t>
      </w:r>
      <w:r w:rsidR="00590BB9" w:rsidRPr="00DB224A">
        <w:rPr>
          <w:b/>
          <w:bCs/>
          <w:sz w:val="28"/>
          <w:szCs w:val="28"/>
        </w:rPr>
        <w:t xml:space="preserve"> of Physicochemical Properties of Soil on </w:t>
      </w:r>
      <w:r>
        <w:rPr>
          <w:b/>
          <w:bCs/>
          <w:sz w:val="28"/>
          <w:szCs w:val="28"/>
        </w:rPr>
        <w:t xml:space="preserve">the Rate of Natural </w:t>
      </w:r>
      <w:r w:rsidR="00EC46E6">
        <w:rPr>
          <w:b/>
          <w:bCs/>
          <w:sz w:val="28"/>
          <w:szCs w:val="28"/>
        </w:rPr>
        <w:t>Radionuclide</w:t>
      </w:r>
      <w:r>
        <w:rPr>
          <w:b/>
          <w:bCs/>
          <w:sz w:val="28"/>
          <w:szCs w:val="28"/>
        </w:rPr>
        <w:t>s</w:t>
      </w:r>
      <w:r w:rsidR="00EC46E6">
        <w:rPr>
          <w:b/>
          <w:bCs/>
          <w:sz w:val="28"/>
          <w:szCs w:val="28"/>
        </w:rPr>
        <w:t xml:space="preserve"> </w:t>
      </w:r>
      <w:r>
        <w:rPr>
          <w:b/>
          <w:bCs/>
          <w:sz w:val="28"/>
          <w:szCs w:val="28"/>
        </w:rPr>
        <w:t>Uptake</w:t>
      </w:r>
      <w:r w:rsidR="00EC46E6">
        <w:rPr>
          <w:b/>
          <w:bCs/>
          <w:sz w:val="28"/>
          <w:szCs w:val="28"/>
        </w:rPr>
        <w:t xml:space="preserve"> </w:t>
      </w:r>
      <w:r>
        <w:rPr>
          <w:b/>
          <w:bCs/>
          <w:sz w:val="28"/>
          <w:szCs w:val="28"/>
        </w:rPr>
        <w:t>by</w:t>
      </w:r>
      <w:r w:rsidR="00EC46E6">
        <w:rPr>
          <w:b/>
          <w:bCs/>
          <w:sz w:val="28"/>
          <w:szCs w:val="28"/>
        </w:rPr>
        <w:t xml:space="preserve"> </w:t>
      </w:r>
      <w:r w:rsidR="00590BB9" w:rsidRPr="00DB224A">
        <w:rPr>
          <w:b/>
          <w:bCs/>
          <w:sz w:val="28"/>
          <w:szCs w:val="28"/>
        </w:rPr>
        <w:t xml:space="preserve">Cassava in </w:t>
      </w:r>
      <w:r>
        <w:rPr>
          <w:b/>
          <w:bCs/>
          <w:sz w:val="28"/>
          <w:szCs w:val="28"/>
        </w:rPr>
        <w:t xml:space="preserve">Parts of </w:t>
      </w:r>
      <w:r w:rsidR="00590BB9" w:rsidRPr="00DB224A">
        <w:rPr>
          <w:b/>
          <w:bCs/>
          <w:sz w:val="28"/>
          <w:szCs w:val="28"/>
        </w:rPr>
        <w:t>Akwa Ibom State, Nigeria</w:t>
      </w:r>
    </w:p>
    <w:p w14:paraId="3FEDA774" w14:textId="77777777" w:rsidR="00B410B0" w:rsidRDefault="00B410B0">
      <w:pPr>
        <w:spacing w:before="100" w:after="100" w:line="360" w:lineRule="auto"/>
        <w:jc w:val="both"/>
        <w:rPr>
          <w:b/>
          <w:bCs/>
        </w:rPr>
      </w:pPr>
    </w:p>
    <w:p w14:paraId="5C8BCD08" w14:textId="7081D5A2" w:rsidR="00590BB9" w:rsidRPr="00590BB9" w:rsidRDefault="00590BB9">
      <w:pPr>
        <w:spacing w:before="100" w:after="100" w:line="360" w:lineRule="auto"/>
        <w:jc w:val="both"/>
        <w:rPr>
          <w:b/>
          <w:bCs/>
        </w:rPr>
      </w:pPr>
      <w:r w:rsidRPr="00590BB9">
        <w:rPr>
          <w:b/>
          <w:bCs/>
        </w:rPr>
        <w:t>Abstract</w:t>
      </w:r>
    </w:p>
    <w:p w14:paraId="30B342D4" w14:textId="3D7D2E19" w:rsidR="008A4ABA" w:rsidRDefault="00555ED3" w:rsidP="00010C09">
      <w:pPr>
        <w:spacing w:before="100" w:after="100"/>
        <w:jc w:val="both"/>
      </w:pPr>
      <w:r>
        <w:t>Cassava (</w:t>
      </w:r>
      <w:r w:rsidRPr="007D3990">
        <w:rPr>
          <w:i/>
          <w:iCs/>
        </w:rPr>
        <w:t>Manihot esculenta Crantz</w:t>
      </w:r>
      <w:r>
        <w:t xml:space="preserve">) is the predominant root crop cultivated across Akwa Ibom State, Nigeria, constituting a critical component of local food security. </w:t>
      </w:r>
      <w:r w:rsidR="004D1169">
        <w:t xml:space="preserve">One of its advantages is that it can be processed into different edible forms. </w:t>
      </w:r>
      <w:r>
        <w:t xml:space="preserve">This study investigated the </w:t>
      </w:r>
      <w:proofErr w:type="spellStart"/>
      <w:r w:rsidR="00837DAB">
        <w:t>efect</w:t>
      </w:r>
      <w:proofErr w:type="spellEnd"/>
      <w:r>
        <w:t xml:space="preserve"> of soil physicochemical properties on the transfer of naturally occurring radionuclides</w:t>
      </w:r>
      <w:r w:rsidR="007D3990">
        <w:t xml:space="preserve"> (</w:t>
      </w:r>
      <w:r>
        <w:t>²³⁸U, ²³²Th, and ⁴⁰K</w:t>
      </w:r>
      <w:r w:rsidR="007D3990">
        <w:t xml:space="preserve">) </w:t>
      </w:r>
      <w:r>
        <w:t xml:space="preserve">from agricultural soils into cassava tubers cultivated in four Local Government Areas (LGAs): </w:t>
      </w:r>
      <w:proofErr w:type="spellStart"/>
      <w:r>
        <w:t>Abak</w:t>
      </w:r>
      <w:proofErr w:type="spellEnd"/>
      <w:r>
        <w:t xml:space="preserve">, Ikot </w:t>
      </w:r>
      <w:proofErr w:type="spellStart"/>
      <w:r>
        <w:t>Ekpene</w:t>
      </w:r>
      <w:proofErr w:type="spellEnd"/>
      <w:r>
        <w:t xml:space="preserve">, </w:t>
      </w:r>
      <w:proofErr w:type="spellStart"/>
      <w:r>
        <w:t>Ukanafun</w:t>
      </w:r>
      <w:proofErr w:type="spellEnd"/>
      <w:r>
        <w:t>, and Etim Ekpo. Soil and cassava samples</w:t>
      </w:r>
      <w:r w:rsidR="007E296D">
        <w:t xml:space="preserve"> </w:t>
      </w:r>
      <w:r>
        <w:t>collected</w:t>
      </w:r>
      <w:r w:rsidR="007E296D">
        <w:t xml:space="preserve"> were</w:t>
      </w:r>
      <w:r w:rsidR="001911B1">
        <w:t xml:space="preserve"> thirty-two. Four soil and cassava samples each obtained from each LGA were sun-dried and then oven-dried at 105˚C to constant weight. These samples were</w:t>
      </w:r>
      <w:r w:rsidR="00837DAB">
        <w:t xml:space="preserve"> </w:t>
      </w:r>
      <w:r>
        <w:t>analy</w:t>
      </w:r>
      <w:r w:rsidR="007D3990">
        <w:t>z</w:t>
      </w:r>
      <w:r>
        <w:t>ed using gamma-ray spectroscopy at the Centre for Energy Research and Development,</w:t>
      </w:r>
      <w:r w:rsidR="004B766B">
        <w:t xml:space="preserve"> </w:t>
      </w:r>
      <w:r>
        <w:t>Obafemi Awolowo University, Ile-Ife, Nigeria. Soil physicochemical parameters includ</w:t>
      </w:r>
      <w:r w:rsidR="00AC2962">
        <w:t>ed</w:t>
      </w:r>
      <w:r>
        <w:t xml:space="preserve"> particle size distribution, soil </w:t>
      </w:r>
      <w:r w:rsidR="00010C09">
        <w:t>p</w:t>
      </w:r>
      <w:r>
        <w:t xml:space="preserve">H, soil organic carbon, soil organic matter, and exchangeable bases </w:t>
      </w:r>
      <w:r w:rsidR="00A5253F">
        <w:t>and they</w:t>
      </w:r>
      <w:r>
        <w:t xml:space="preserve"> were determined using standard analytical methods. Radionuclide transfer factors (TFs) were computed as the ratio of activity concentration in cassava to that in soil. Mean activity concentrations of ²³⁸U, ²³²Th, and ⁴⁰K in cassava across the four LGAs ranged from 15.19 to 18.19 </w:t>
      </w:r>
      <w:proofErr w:type="spellStart"/>
      <w:r>
        <w:t>Bq</w:t>
      </w:r>
      <w:proofErr w:type="spellEnd"/>
      <w:r>
        <w:t xml:space="preserve">/kg, 17.77 to 22.27 </w:t>
      </w:r>
      <w:proofErr w:type="spellStart"/>
      <w:r>
        <w:t>Bq</w:t>
      </w:r>
      <w:proofErr w:type="spellEnd"/>
      <w:r>
        <w:t xml:space="preserve">/kg, and 581.21 to 637.72 </w:t>
      </w:r>
      <w:proofErr w:type="spellStart"/>
      <w:r>
        <w:t>Bq</w:t>
      </w:r>
      <w:proofErr w:type="spellEnd"/>
      <w:r>
        <w:t>/kg respectively. Transfer factors for ²³⁸U, ²³²Th, and ⁴⁰K ranged from 0.91–1.08, 0.30–0.49, and 1.20–1.35 respectively. Pearson correlation analysis revealed statistically significant relationships between specific soil physicochemical properties and radionuclide transfer factors, notably between soil clay content and TFᵤ (r = 0.951, p &lt; 0.05), and between ²³²Th in soil and TFₜₕ (r = 0.999, p &lt; 0.01). The soils were predominantly sandy in texture with acidic pH (4.33–5.00), indicating moderate leaching conditions. These findings provide baseline radiological and pedological data for cassava-producing communities in Akwa Ibom State and contribute to the limited tropical ecosystem dataset on soil-to-plant radionuclide transfer.</w:t>
      </w:r>
    </w:p>
    <w:p w14:paraId="587A0B76" w14:textId="77777777" w:rsidR="008A4ABA" w:rsidRDefault="008A4ABA">
      <w:pPr>
        <w:spacing w:before="60" w:after="60"/>
      </w:pPr>
    </w:p>
    <w:p w14:paraId="5D169CFC" w14:textId="77777777" w:rsidR="008A4ABA" w:rsidRDefault="008A4ABA">
      <w:pPr>
        <w:spacing w:before="60" w:after="60"/>
      </w:pPr>
    </w:p>
    <w:p w14:paraId="02058AE7" w14:textId="77777777" w:rsidR="00010C09" w:rsidRPr="00010C09" w:rsidRDefault="00010C09">
      <w:pPr>
        <w:spacing w:before="100" w:after="100" w:line="360" w:lineRule="auto"/>
        <w:jc w:val="both"/>
        <w:rPr>
          <w:b/>
          <w:bCs/>
        </w:rPr>
      </w:pPr>
      <w:r w:rsidRPr="00010C09">
        <w:rPr>
          <w:b/>
          <w:bCs/>
        </w:rPr>
        <w:t>1. Introduction</w:t>
      </w:r>
    </w:p>
    <w:p w14:paraId="2DDE33F0" w14:textId="394A83DC" w:rsidR="008A4ABA" w:rsidRDefault="00555ED3">
      <w:pPr>
        <w:spacing w:before="100" w:after="100" w:line="360" w:lineRule="auto"/>
        <w:jc w:val="both"/>
      </w:pPr>
      <w:r>
        <w:t>Natural radioactivity in the soil-plant system constitutes one of the most significant routes through which the general population is exposed to ioni</w:t>
      </w:r>
      <w:r w:rsidR="008F7A6E">
        <w:t>z</w:t>
      </w:r>
      <w:r>
        <w:t>ing radiation via the food chain (United Nations Scientific Committee on the Effects of Atomic Radiation [UNSCEAR], 2000). The primordial radionuclides ²³⁸U, ²³²Th, and ⁴⁰K are ubiquitous in geological formations, soils, water, and vegetation, and their concentrations in edible crops are directly governed by soil properties as well as by specific plant uptake characteristics (IAEA, 2010; Rout et al., 2021).</w:t>
      </w:r>
      <w:r w:rsidR="00DB224A">
        <w:t xml:space="preserve"> </w:t>
      </w:r>
      <w:r w:rsidR="00DB224A" w:rsidRPr="00A53E1A">
        <w:t>Plants take up these</w:t>
      </w:r>
      <w:r w:rsidR="00061092" w:rsidRPr="00A53E1A">
        <w:t xml:space="preserve"> radionuclides through roots and accumulate in</w:t>
      </w:r>
      <w:r w:rsidR="001C5F5F" w:rsidRPr="00A53E1A">
        <w:t xml:space="preserve"> </w:t>
      </w:r>
      <w:r w:rsidR="00061092" w:rsidRPr="00A53E1A">
        <w:t>edible parts of the plant</w:t>
      </w:r>
      <w:r w:rsidR="001C5F5F" w:rsidRPr="00A53E1A">
        <w:t>s</w:t>
      </w:r>
      <w:r w:rsidR="00061092" w:rsidRPr="00A53E1A">
        <w:t xml:space="preserve"> (Akpan et al., 2023).</w:t>
      </w:r>
      <w:r w:rsidRPr="00A53E1A">
        <w:t xml:space="preserve"> When crops are cultivated on soils with elevated naturally occurring </w:t>
      </w:r>
      <w:r>
        <w:t xml:space="preserve">radioactive material (NORM) concentrations, the resulting ingestion of radionuclide-laden </w:t>
      </w:r>
      <w:r>
        <w:lastRenderedPageBreak/>
        <w:t>food may pose chronic radiological health risks to the consuming population (</w:t>
      </w:r>
      <w:proofErr w:type="spellStart"/>
      <w:r>
        <w:t>Amakom</w:t>
      </w:r>
      <w:proofErr w:type="spellEnd"/>
      <w:r>
        <w:t xml:space="preserve"> et al., 2023; </w:t>
      </w:r>
      <w:proofErr w:type="spellStart"/>
      <w:r>
        <w:t>Orosun</w:t>
      </w:r>
      <w:proofErr w:type="spellEnd"/>
      <w:r>
        <w:t xml:space="preserve"> et al., 2022).</w:t>
      </w:r>
    </w:p>
    <w:p w14:paraId="407B43B9" w14:textId="39A2562E" w:rsidR="008A4ABA" w:rsidRDefault="00555ED3">
      <w:pPr>
        <w:spacing w:before="100" w:after="100" w:line="360" w:lineRule="auto"/>
        <w:jc w:val="both"/>
      </w:pPr>
      <w:r>
        <w:t>Cassava (</w:t>
      </w:r>
      <w:r w:rsidRPr="00362B18">
        <w:rPr>
          <w:i/>
          <w:iCs/>
        </w:rPr>
        <w:t>Manihot esculenta Crantz</w:t>
      </w:r>
      <w:r>
        <w:t>) is Africa’s most important root crop, contributing between 30% and 50% of daily caloric intake across sub-Saharan Africa (</w:t>
      </w:r>
      <w:proofErr w:type="spellStart"/>
      <w:r>
        <w:t>Olabimtan</w:t>
      </w:r>
      <w:proofErr w:type="spellEnd"/>
      <w:r>
        <w:t xml:space="preserve"> et al., 2023). In Nigeria, cassava provides approximately 50% of the calories consumed and occupies more than 9.6 million hectares of agricultural land annually (FAOSTAT, 2021). Akwa Ibom State is one of the foremost cassava-producing </w:t>
      </w:r>
      <w:r w:rsidR="001C5F5F">
        <w:t>S</w:t>
      </w:r>
      <w:r>
        <w:t xml:space="preserve">tates in Nigeria, producing over 3 million metric </w:t>
      </w:r>
      <w:proofErr w:type="spellStart"/>
      <w:r>
        <w:t>tonnes</w:t>
      </w:r>
      <w:proofErr w:type="spellEnd"/>
      <w:r>
        <w:t xml:space="preserve"> annually (Ekanem and Umoh, 2024). In </w:t>
      </w:r>
      <w:r w:rsidR="001C5F5F">
        <w:t>Akwa Ibom</w:t>
      </w:r>
      <w:r>
        <w:t xml:space="preserve"> </w:t>
      </w:r>
      <w:r w:rsidR="001C5F5F">
        <w:t>S</w:t>
      </w:r>
      <w:r>
        <w:t xml:space="preserve">tate, cassava is a primary staple and a key driver of the rural economy, processed into a range of food products including </w:t>
      </w:r>
      <w:proofErr w:type="spellStart"/>
      <w:r>
        <w:t>garri</w:t>
      </w:r>
      <w:proofErr w:type="spellEnd"/>
      <w:r>
        <w:t>, fufu, tapioca, and cassava flour. Given its dominance in the diet, any radiological contamination of cassava poses a significant public health concern.</w:t>
      </w:r>
    </w:p>
    <w:p w14:paraId="53E1D943" w14:textId="7ED4A595" w:rsidR="008A4ABA" w:rsidRDefault="00555ED3">
      <w:pPr>
        <w:spacing w:before="100" w:after="100" w:line="360" w:lineRule="auto"/>
        <w:jc w:val="both"/>
      </w:pPr>
      <w:r>
        <w:t xml:space="preserve">Soil physicochemical properties exert profound control over radionuclide speciation, mobility, and bioavailability in the soil-plant system. Key parameters shown to influence soil-to-plant transfer of radionuclides include soil pH, organic matter content, cation exchange capacity (CEC), particle size distribution, and the concentrations of competing ions such as calcium, potassium, and magnesium (Sparks et al., 2022; </w:t>
      </w:r>
      <w:proofErr w:type="spellStart"/>
      <w:r>
        <w:t>Amakom</w:t>
      </w:r>
      <w:proofErr w:type="spellEnd"/>
      <w:r>
        <w:t xml:space="preserve"> et al., 2017). Under acidic soil conditions</w:t>
      </w:r>
      <w:r w:rsidR="008E7F27">
        <w:t xml:space="preserve">, </w:t>
      </w:r>
      <w:r>
        <w:t>common in the highly weathered coastal plain sands of the Niger Delta and Cross River Basin regions of southeastern Nigeria</w:t>
      </w:r>
      <w:r w:rsidR="008E7F27">
        <w:t xml:space="preserve">; </w:t>
      </w:r>
      <w:r>
        <w:t xml:space="preserve">radionuclide solubility and plant uptake can be substantially enhanced (Akpan et al., 2020; Essien et al., 2021). Despite the agronomic and radiological significance of Akwa Ibom State, published data on the relationship between soil physicochemical properties and radionuclide transfer factors in cassava from this region remain </w:t>
      </w:r>
      <w:r w:rsidR="00386F6D">
        <w:t>scarce</w:t>
      </w:r>
      <w:r>
        <w:t>.</w:t>
      </w:r>
    </w:p>
    <w:p w14:paraId="735987D8" w14:textId="1F63350F" w:rsidR="007C2DC0" w:rsidRDefault="00555ED3">
      <w:pPr>
        <w:spacing w:before="100" w:after="100" w:line="360" w:lineRule="auto"/>
        <w:jc w:val="both"/>
      </w:pPr>
      <w:r>
        <w:t>Previous studies in Akwa Ibom State have characteri</w:t>
      </w:r>
      <w:r w:rsidR="00EF2BEE">
        <w:t>z</w:t>
      </w:r>
      <w:r>
        <w:t xml:space="preserve">ed radionuclide activity concentrations in soil and cassava in specific </w:t>
      </w:r>
      <w:r w:rsidR="00EF2BEE">
        <w:t>Local Government Areas (</w:t>
      </w:r>
      <w:r>
        <w:t>LGAs</w:t>
      </w:r>
      <w:r w:rsidR="00EF2BEE">
        <w:t>)</w:t>
      </w:r>
      <w:r>
        <w:t xml:space="preserve"> such as Ini (Essien et al., 2021) and Ikot </w:t>
      </w:r>
      <w:proofErr w:type="spellStart"/>
      <w:r>
        <w:t>Ekpene</w:t>
      </w:r>
      <w:proofErr w:type="spellEnd"/>
      <w:r>
        <w:t xml:space="preserve"> (</w:t>
      </w:r>
      <w:proofErr w:type="spellStart"/>
      <w:r>
        <w:t>Akankpo</w:t>
      </w:r>
      <w:proofErr w:type="spellEnd"/>
      <w:r>
        <w:t xml:space="preserve"> et al., 2021), but no study has systematically examined the physicochemical drivers of radionuclide transfer across multiple LGAs with contrasting soil properties. The present study bridges this gap by investigating soils and cassava tubers from four LGAs</w:t>
      </w:r>
      <w:r w:rsidR="00621BC8">
        <w:t xml:space="preserve"> (</w:t>
      </w:r>
      <w:proofErr w:type="spellStart"/>
      <w:r>
        <w:t>Abak</w:t>
      </w:r>
      <w:proofErr w:type="spellEnd"/>
      <w:r>
        <w:t xml:space="preserve">, Ikot </w:t>
      </w:r>
      <w:proofErr w:type="spellStart"/>
      <w:r>
        <w:t>Ekpene</w:t>
      </w:r>
      <w:proofErr w:type="spellEnd"/>
      <w:r>
        <w:t xml:space="preserve">, </w:t>
      </w:r>
      <w:proofErr w:type="spellStart"/>
      <w:r>
        <w:t>Ukanafun</w:t>
      </w:r>
      <w:proofErr w:type="spellEnd"/>
      <w:r>
        <w:t>, and Etim Ekpo</w:t>
      </w:r>
      <w:r w:rsidR="00621BC8">
        <w:t>)</w:t>
      </w:r>
      <w:r>
        <w:t xml:space="preserve"> and establishing statistical correlations between soil parameters and radionuclide transfer factors (TFs) using Pearson correlation analysis. The outcomes of this study are intended to support radiological safety assessments, inform agronomic practice, and contribute to the scarce tropical ecosystem database on soil-to-plant radionuclide transfer referenced by the International Atomic Energy Agency (IAEA).</w:t>
      </w:r>
    </w:p>
    <w:p w14:paraId="6170F288" w14:textId="01C4BB7E" w:rsidR="007C2DC0" w:rsidRPr="008D2F25" w:rsidRDefault="007C2DC0">
      <w:pPr>
        <w:spacing w:before="100" w:after="100" w:line="360" w:lineRule="auto"/>
        <w:jc w:val="both"/>
        <w:rPr>
          <w:b/>
          <w:bCs/>
        </w:rPr>
      </w:pPr>
      <w:r w:rsidRPr="008D2F25">
        <w:rPr>
          <w:b/>
          <w:bCs/>
        </w:rPr>
        <w:lastRenderedPageBreak/>
        <w:t>2. Materials and Methods</w:t>
      </w:r>
    </w:p>
    <w:p w14:paraId="4166046E" w14:textId="77777777" w:rsidR="007C2DC0" w:rsidRPr="008D2F25" w:rsidRDefault="007C2DC0">
      <w:pPr>
        <w:spacing w:before="100" w:after="100" w:line="360" w:lineRule="auto"/>
        <w:jc w:val="both"/>
        <w:rPr>
          <w:b/>
          <w:bCs/>
        </w:rPr>
      </w:pPr>
      <w:r w:rsidRPr="008D2F25">
        <w:rPr>
          <w:b/>
          <w:bCs/>
        </w:rPr>
        <w:t>2.1 Study Area</w:t>
      </w:r>
    </w:p>
    <w:p w14:paraId="340FE713" w14:textId="5B165AA3" w:rsidR="008A4ABA" w:rsidRDefault="00555ED3">
      <w:pPr>
        <w:spacing w:before="100" w:after="100" w:line="360" w:lineRule="auto"/>
        <w:jc w:val="both"/>
      </w:pPr>
      <w:r>
        <w:t xml:space="preserve">Akwa Ibom State is located in the Niger Delta region of southern Nigeria, bounded by Cross River State to the </w:t>
      </w:r>
      <w:r w:rsidR="007C2DC0">
        <w:t>E</w:t>
      </w:r>
      <w:r>
        <w:t xml:space="preserve">ast, Rivers State to the </w:t>
      </w:r>
      <w:r w:rsidR="00D76DAB">
        <w:t>W</w:t>
      </w:r>
      <w:r>
        <w:t xml:space="preserve">est, </w:t>
      </w:r>
      <w:proofErr w:type="spellStart"/>
      <w:r>
        <w:t>Abia</w:t>
      </w:r>
      <w:proofErr w:type="spellEnd"/>
      <w:r>
        <w:t xml:space="preserve"> and Imo States to the </w:t>
      </w:r>
      <w:r w:rsidR="00D76DAB">
        <w:t>N</w:t>
      </w:r>
      <w:r>
        <w:t xml:space="preserve">orth, and the Atlantic Ocean to the </w:t>
      </w:r>
      <w:r w:rsidR="00D76DAB">
        <w:t>S</w:t>
      </w:r>
      <w:r>
        <w:t xml:space="preserve">outh. The </w:t>
      </w:r>
      <w:r w:rsidR="008D2F25">
        <w:t>S</w:t>
      </w:r>
      <w:r>
        <w:t>tate lies between latitudes 4°30’ and 5°33’N and longitudes 7°25’ and 8°25’E, covering a land area of approximately 7,081 km². It is characteri</w:t>
      </w:r>
      <w:r w:rsidR="008D2F25">
        <w:t>z</w:t>
      </w:r>
      <w:r>
        <w:t xml:space="preserve">ed by a humid tropical climate with mean annual rainfall exceeding 2,400 mm, a mean annual temperature of 27°C, and high relative humidity (75–90%). The </w:t>
      </w:r>
      <w:r w:rsidR="008D2F25">
        <w:t>S</w:t>
      </w:r>
      <w:r>
        <w:t>tate is underlain primarily by coastal plain sands (Benin Formation), which give rise to highly weathered, leached, sandy, and acidic soils (Essien and Oban, 2018; Akpan et al., 2020).</w:t>
      </w:r>
    </w:p>
    <w:p w14:paraId="0D3D5C35" w14:textId="4804D61F" w:rsidR="00CA1129" w:rsidRDefault="00555ED3">
      <w:pPr>
        <w:spacing w:before="100" w:after="100" w:line="360" w:lineRule="auto"/>
        <w:jc w:val="both"/>
      </w:pPr>
      <w:r w:rsidRPr="00F83ADC">
        <w:t xml:space="preserve">Four LGAs with extensive cassava cultivation were selected for this study: </w:t>
      </w:r>
      <w:proofErr w:type="spellStart"/>
      <w:r w:rsidRPr="00F83ADC">
        <w:t>Abak</w:t>
      </w:r>
      <w:proofErr w:type="spellEnd"/>
      <w:r w:rsidRPr="00F83ADC">
        <w:t xml:space="preserve"> (lat. </w:t>
      </w:r>
      <w:r w:rsidR="00AE050F" w:rsidRPr="00F83ADC">
        <w:t>4</w:t>
      </w:r>
      <w:r w:rsidRPr="00F83ADC">
        <w:t>°</w:t>
      </w:r>
      <w:r w:rsidR="00AE050F" w:rsidRPr="00F83ADC">
        <w:t>58</w:t>
      </w:r>
      <w:r w:rsidR="005157DC" w:rsidRPr="00F83ADC">
        <w:t>'</w:t>
      </w:r>
      <w:r w:rsidR="00AE050F" w:rsidRPr="00F83ADC">
        <w:t>55.40</w:t>
      </w:r>
      <w:r w:rsidR="005157DC" w:rsidRPr="00F83ADC">
        <w:t>''</w:t>
      </w:r>
      <w:r w:rsidR="00AE050F" w:rsidRPr="00F83ADC">
        <w:t xml:space="preserve"> </w:t>
      </w:r>
      <w:r w:rsidRPr="00F83ADC">
        <w:t>N, long. 7°47</w:t>
      </w:r>
      <w:r w:rsidR="00AE050F" w:rsidRPr="00F83ADC">
        <w:t>'</w:t>
      </w:r>
      <w:r w:rsidR="005157DC" w:rsidRPr="00F83ADC">
        <w:t xml:space="preserve">15.48'' </w:t>
      </w:r>
      <w:r w:rsidRPr="00F83ADC">
        <w:t>E), Ikot</w:t>
      </w:r>
      <w:r w:rsidR="00480780" w:rsidRPr="00F83ADC">
        <w:t xml:space="preserve"> </w:t>
      </w:r>
      <w:proofErr w:type="spellStart"/>
      <w:r w:rsidRPr="00F83ADC">
        <w:t>Ekpene</w:t>
      </w:r>
      <w:proofErr w:type="spellEnd"/>
      <w:r w:rsidRPr="00F83ADC">
        <w:t xml:space="preserve"> (lat. 5°</w:t>
      </w:r>
      <w:r w:rsidR="005157DC" w:rsidRPr="00F83ADC">
        <w:t xml:space="preserve">12'40.91'' </w:t>
      </w:r>
      <w:r w:rsidRPr="00F83ADC">
        <w:t>N, long. 7°</w:t>
      </w:r>
      <w:r w:rsidR="005157DC" w:rsidRPr="00F83ADC">
        <w:t xml:space="preserve">39'49.09'' </w:t>
      </w:r>
      <w:r w:rsidRPr="00F83ADC">
        <w:t xml:space="preserve">E), </w:t>
      </w:r>
      <w:proofErr w:type="spellStart"/>
      <w:r w:rsidRPr="00F83ADC">
        <w:t>Ukanafun</w:t>
      </w:r>
      <w:proofErr w:type="spellEnd"/>
      <w:r w:rsidRPr="00F83ADC">
        <w:t xml:space="preserve"> (lat. 4°</w:t>
      </w:r>
      <w:r w:rsidR="00D5389E" w:rsidRPr="00F83ADC">
        <w:t xml:space="preserve">56'30.13'' </w:t>
      </w:r>
      <w:r w:rsidRPr="00F83ADC">
        <w:t>N, long. 7°</w:t>
      </w:r>
      <w:r w:rsidR="00D5389E" w:rsidRPr="00F83ADC">
        <w:t xml:space="preserve">37'04.86'' </w:t>
      </w:r>
      <w:r w:rsidRPr="00F83ADC">
        <w:t>E), and Etim Ekpo (lat. 5°00</w:t>
      </w:r>
      <w:r w:rsidR="00D5389E" w:rsidRPr="00F83ADC">
        <w:t xml:space="preserve">'30.17'' </w:t>
      </w:r>
      <w:r w:rsidRPr="00F83ADC">
        <w:t>N, long. 7°3</w:t>
      </w:r>
      <w:r w:rsidR="00D5389E" w:rsidRPr="00F83ADC">
        <w:t xml:space="preserve">7'48.84'' </w:t>
      </w:r>
      <w:r w:rsidRPr="00F83ADC">
        <w:t xml:space="preserve">E). These LGAs span the central agricultural belt of Akwa Ibom State and </w:t>
      </w:r>
    </w:p>
    <w:p w14:paraId="39383459" w14:textId="2CDECF22" w:rsidR="00521FE0" w:rsidRPr="00521FE0" w:rsidRDefault="00521FE0" w:rsidP="00521FE0">
      <w:pPr>
        <w:spacing w:before="100" w:after="100" w:line="360" w:lineRule="auto"/>
        <w:jc w:val="both"/>
      </w:pPr>
      <w:r w:rsidRPr="00521FE0">
        <w:rPr>
          <w:noProof/>
        </w:rPr>
        <w:drawing>
          <wp:inline distT="0" distB="0" distL="0" distR="0" wp14:anchorId="7C2BD931" wp14:editId="36CB35E1">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4B217161" w14:textId="1A36785A" w:rsidR="00521FE0" w:rsidRDefault="00521FE0">
      <w:pPr>
        <w:spacing w:before="100" w:after="100" w:line="360" w:lineRule="auto"/>
        <w:jc w:val="both"/>
      </w:pPr>
      <w:r>
        <w:t>Fig. 1: Map showing the locations of the sampling sites</w:t>
      </w:r>
    </w:p>
    <w:p w14:paraId="2C77561C" w14:textId="77777777" w:rsidR="009651AD" w:rsidRDefault="009651AD" w:rsidP="009651AD">
      <w:pPr>
        <w:spacing w:before="100" w:after="100" w:line="360" w:lineRule="auto"/>
        <w:jc w:val="both"/>
      </w:pPr>
      <w:r w:rsidRPr="00F83ADC">
        <w:lastRenderedPageBreak/>
        <w:t>represent distinct micro-pedological environments, making them suitable for comparative radiological and physicochemical analysis. Fig.1 shows the map of the sampling sites.</w:t>
      </w:r>
    </w:p>
    <w:p w14:paraId="4D7C0342" w14:textId="5BE3BEF4" w:rsidR="008A4ABA" w:rsidRDefault="00656E65">
      <w:pPr>
        <w:spacing w:before="100" w:after="100" w:line="360" w:lineRule="auto"/>
        <w:jc w:val="both"/>
      </w:pPr>
      <w:r>
        <w:t>Sixteen (16) soil samples were collected at four LGAs and four (4) samples from each LGAs.</w:t>
      </w:r>
      <w:r w:rsidR="006F6A0D">
        <w:t xml:space="preserve"> The four samples that were collected from each LGA were not</w:t>
      </w:r>
      <w:r w:rsidR="00063A9E">
        <w:t xml:space="preserve"> far from one another by 1.5 m</w:t>
      </w:r>
      <w:r w:rsidR="00132E69">
        <w:t xml:space="preserve">. </w:t>
      </w:r>
      <w:proofErr w:type="gramStart"/>
      <w:r w:rsidR="00132E69">
        <w:t>i.e.</w:t>
      </w:r>
      <w:proofErr w:type="gramEnd"/>
      <w:r w:rsidR="00132E69">
        <w:t xml:space="preserve"> they were taken at close range to one another.</w:t>
      </w:r>
      <w:r w:rsidR="00555ED3">
        <w:t xml:space="preserve"> At each sampling site, surface vegetation, stones, and debris were cleared to avoid contamination. Soil samples of 2.0 kg (wet weight) were collected at a depth of 0–20 cm at points from which cassava tubers had been uprooted, using a stainless-steel auger</w:t>
      </w:r>
      <w:r>
        <w:t xml:space="preserve"> (Essien et al., 2021)</w:t>
      </w:r>
      <w:r w:rsidR="00555ED3">
        <w:t>. Cassava tuber samples were simultaneously collected from the root zone of the same cassava plants at each site. Four replicate samples each of soil and cassava tubers were randomly collected from each LGA. All samples were packed in sealed, airtight polythene bags and labelled with appropriate codes prior to transport to the laboratory.</w:t>
      </w:r>
    </w:p>
    <w:p w14:paraId="31360120" w14:textId="77777777" w:rsidR="00A21724" w:rsidRPr="00A21724" w:rsidRDefault="00A21724">
      <w:pPr>
        <w:spacing w:before="100" w:after="100" w:line="360" w:lineRule="auto"/>
        <w:jc w:val="both"/>
        <w:rPr>
          <w:b/>
          <w:bCs/>
        </w:rPr>
      </w:pPr>
      <w:r w:rsidRPr="00A21724">
        <w:rPr>
          <w:b/>
          <w:bCs/>
        </w:rPr>
        <w:t>2.3 Sample Preparation for Gamma Spectrometry</w:t>
      </w:r>
    </w:p>
    <w:p w14:paraId="73A7CC61" w14:textId="0BF62004" w:rsidR="008A4ABA" w:rsidRDefault="00A21724">
      <w:pPr>
        <w:spacing w:before="100" w:after="100" w:line="360" w:lineRule="auto"/>
        <w:jc w:val="both"/>
      </w:pPr>
      <w:r>
        <w:t>The soil and cassava samples collected were thirty</w:t>
      </w:r>
      <w:r w:rsidR="006513C1">
        <w:t xml:space="preserve"> </w:t>
      </w:r>
      <w:r>
        <w:t xml:space="preserve">- two. Four soil samples were collected from each LGA and four cassava samples were also collected from each LGA. </w:t>
      </w:r>
      <w:r w:rsidR="00555ED3">
        <w:t>Cassava tuber samples were thoroughly washed with tap water to remove adhering soil particles, peeled, and rinsed in deioni</w:t>
      </w:r>
      <w:r w:rsidR="00A0277E">
        <w:t>z</w:t>
      </w:r>
      <w:r w:rsidR="00555ED3">
        <w:t>ed water. The tubers were subsequently grated into fine pieces, sun-dried for five days to constant weight, ground to a powder, and sieved to ensure homogeneity. The weight of prepared cassava samples ranged between 220 g and 300 g</w:t>
      </w:r>
      <w:r w:rsidR="0049741B">
        <w:t>.</w:t>
      </w:r>
    </w:p>
    <w:p w14:paraId="0758A405" w14:textId="77777777" w:rsidR="008A4ABA" w:rsidRDefault="00555ED3">
      <w:pPr>
        <w:spacing w:before="100" w:after="100" w:line="360" w:lineRule="auto"/>
        <w:jc w:val="both"/>
      </w:pPr>
      <w:r>
        <w:t>Soil samples were air-dried in a dust-free environment and then oven-dried at 105°C to constant weight (</w:t>
      </w:r>
      <w:proofErr w:type="spellStart"/>
      <w:r>
        <w:t>Amakom</w:t>
      </w:r>
      <w:proofErr w:type="spellEnd"/>
      <w:r>
        <w:t xml:space="preserve"> et al., 2017). Each dried soil sample was ground with a mortar and pestle and sieved through a 2 mm stainless-steel mesh sieve. Processed soil samples weighed between 500 g and 600 g and were stored in airtight labelled polythene bags. All samples were transported to the Centre for Energy Research and Development (CERD), Obafemi Awolowo University, Ile-Ife, Nigeria, for gamma spectroscopic analysis.</w:t>
      </w:r>
    </w:p>
    <w:p w14:paraId="4A82F2E8" w14:textId="77777777" w:rsidR="00C37674" w:rsidRDefault="00C37674">
      <w:pPr>
        <w:spacing w:before="100" w:after="100" w:line="360" w:lineRule="auto"/>
        <w:jc w:val="both"/>
        <w:rPr>
          <w:b/>
          <w:bCs/>
        </w:rPr>
      </w:pPr>
    </w:p>
    <w:p w14:paraId="38F7F6E4" w14:textId="1BC75E8C" w:rsidR="00C37674" w:rsidRPr="00C37674" w:rsidRDefault="00C37674">
      <w:pPr>
        <w:spacing w:before="100" w:after="100" w:line="360" w:lineRule="auto"/>
        <w:jc w:val="both"/>
        <w:rPr>
          <w:b/>
          <w:bCs/>
        </w:rPr>
      </w:pPr>
      <w:r w:rsidRPr="00C37674">
        <w:rPr>
          <w:b/>
          <w:bCs/>
        </w:rPr>
        <w:t>2.4 Gamma Spectrometric Analysis</w:t>
      </w:r>
    </w:p>
    <w:p w14:paraId="01A803AE" w14:textId="77D85272" w:rsidR="008A4ABA" w:rsidRDefault="00555ED3">
      <w:pPr>
        <w:spacing w:before="100" w:after="100" w:line="360" w:lineRule="auto"/>
        <w:jc w:val="both"/>
      </w:pPr>
      <w:r>
        <w:t>Activity concentrations of ²³⁸U, ²³²Th, and ⁴⁰K in soil and cassava samples were determined using a sodium iodide [NaI</w:t>
      </w:r>
      <w:r w:rsidR="001F6EA8">
        <w:t xml:space="preserve"> </w:t>
      </w:r>
      <w:r>
        <w:t>(Tl)] gamma-ray spectrometer at CERD, OAU. Samples were sealed in airtight cylindrical containers and held for a minimum of 28 days prior to analysis to attain secular equilibrium between ²²⁶Ra/²²⁶Rn and their progeny (</w:t>
      </w:r>
      <w:proofErr w:type="spellStart"/>
      <w:r>
        <w:t>Akankpo</w:t>
      </w:r>
      <w:proofErr w:type="spellEnd"/>
      <w:r>
        <w:t xml:space="preserve"> et al., 2021). </w:t>
      </w:r>
      <w:r>
        <w:lastRenderedPageBreak/>
        <w:t>Activity concentrations were computed from photopeak areas following standard gamma spectrometric procedures (UNSCEAR, 2000).</w:t>
      </w:r>
    </w:p>
    <w:p w14:paraId="1D4F9ED4" w14:textId="77777777" w:rsidR="009E063E" w:rsidRDefault="009E063E">
      <w:pPr>
        <w:spacing w:before="100" w:after="100" w:line="360" w:lineRule="auto"/>
        <w:jc w:val="both"/>
        <w:rPr>
          <w:b/>
          <w:bCs/>
        </w:rPr>
      </w:pPr>
    </w:p>
    <w:p w14:paraId="5B720693" w14:textId="40732B44" w:rsidR="009E063E" w:rsidRPr="009E063E" w:rsidRDefault="001F6EA8">
      <w:pPr>
        <w:spacing w:before="100" w:after="100" w:line="360" w:lineRule="auto"/>
        <w:jc w:val="both"/>
        <w:rPr>
          <w:b/>
          <w:bCs/>
        </w:rPr>
      </w:pPr>
      <w:r w:rsidRPr="009E063E">
        <w:rPr>
          <w:b/>
          <w:bCs/>
        </w:rPr>
        <w:t>2.5 Soil Physico</w:t>
      </w:r>
      <w:r w:rsidR="009E063E" w:rsidRPr="009E063E">
        <w:rPr>
          <w:b/>
          <w:bCs/>
        </w:rPr>
        <w:t>chemical Analysis</w:t>
      </w:r>
    </w:p>
    <w:p w14:paraId="4AF99AAF" w14:textId="15CFAECF" w:rsidR="008A4ABA" w:rsidRDefault="00555ED3">
      <w:pPr>
        <w:spacing w:before="100" w:after="100" w:line="360" w:lineRule="auto"/>
        <w:jc w:val="both"/>
      </w:pPr>
      <w:r>
        <w:t>The physicochemical properties determined included particle size distribution (textural class), soil pH, soil organic carbon (SOC), soil organic matter (SOM), and soil exchangeable bases (Ca, Mg, Na, K).</w:t>
      </w:r>
    </w:p>
    <w:p w14:paraId="64B002AD" w14:textId="5AFB30BB" w:rsidR="008A4ABA" w:rsidRDefault="00555ED3">
      <w:pPr>
        <w:spacing w:before="100" w:after="100" w:line="360" w:lineRule="auto"/>
        <w:jc w:val="both"/>
      </w:pPr>
      <w:r>
        <w:t>Particle size distribution was determined using the hydrometer method (</w:t>
      </w:r>
      <w:proofErr w:type="spellStart"/>
      <w:r>
        <w:t>Bouyoucos</w:t>
      </w:r>
      <w:proofErr w:type="spellEnd"/>
      <w:r>
        <w:t xml:space="preserve">, 1951; </w:t>
      </w:r>
      <w:proofErr w:type="spellStart"/>
      <w:r>
        <w:t>Amakom</w:t>
      </w:r>
      <w:proofErr w:type="spellEnd"/>
      <w:r>
        <w:t xml:space="preserve"> et al., 2017). Fifty grams of air-dried soil was dispersed in sodium hexametaphosphate (</w:t>
      </w:r>
      <w:proofErr w:type="spellStart"/>
      <w:r>
        <w:t>NaPO</w:t>
      </w:r>
      <w:proofErr w:type="spellEnd"/>
      <w:r>
        <w:t>₃) solution, stirred for 10 minutes in a mechanical stirrer, transferred to a 1,000 mL measuring cylinder filled with deioni</w:t>
      </w:r>
      <w:r w:rsidR="0020669B">
        <w:t>z</w:t>
      </w:r>
      <w:r>
        <w:t>ed water, shaken vigorously, and hydrometer readings were recorded at 2-hour intervals. Soil texture class was determined from the percentages of sand, silt, and clay using the USDA textural triangle.</w:t>
      </w:r>
    </w:p>
    <w:p w14:paraId="4F6399F0" w14:textId="241A998C" w:rsidR="008A4ABA" w:rsidRDefault="00555ED3">
      <w:pPr>
        <w:spacing w:before="100" w:after="100" w:line="360" w:lineRule="auto"/>
        <w:jc w:val="both"/>
      </w:pPr>
      <w:r>
        <w:t>Soil pH was measured in a 1:1 soil-water suspension (20 g soil in 20 mL deioni</w:t>
      </w:r>
      <w:r w:rsidR="00202217">
        <w:t>z</w:t>
      </w:r>
      <w:r>
        <w:t>ed water), allowed to equilibrate for 30 minutes, and determined with a glass electrode pH meter (</w:t>
      </w:r>
      <w:proofErr w:type="spellStart"/>
      <w:r>
        <w:t>Amakom</w:t>
      </w:r>
      <w:proofErr w:type="spellEnd"/>
      <w:r>
        <w:t xml:space="preserve"> et al., 2017).</w:t>
      </w:r>
    </w:p>
    <w:p w14:paraId="3B156607" w14:textId="6DE7D5CD" w:rsidR="008A4ABA" w:rsidRDefault="00555ED3">
      <w:pPr>
        <w:spacing w:before="100" w:after="100" w:line="360" w:lineRule="auto"/>
        <w:jc w:val="both"/>
      </w:pPr>
      <w:r>
        <w:t>Soil organic carbon (SOC) was determined by the Walkley–Black wet oxidation method (Black et al., 1965). Two grams of soil were placed in a 250 mL Erlenmeyer flask, treated with 10 mL of 1 N potassium dichromate (</w:t>
      </w:r>
      <w:proofErr w:type="spellStart"/>
      <w:r>
        <w:t>K₂Cr₂O</w:t>
      </w:r>
      <w:proofErr w:type="spellEnd"/>
      <w:r>
        <w:t xml:space="preserve">₇), and concentrated H₂SO₄ was added. The mixture was back-titrated with 0.5 N ferrous sulphate solution. SOC was calculated </w:t>
      </w:r>
      <w:r w:rsidR="00B6119E">
        <w:t>using equation (1)</w:t>
      </w:r>
      <w:r>
        <w:t>:</w:t>
      </w:r>
    </w:p>
    <w:p w14:paraId="03C4DB8F" w14:textId="2EBAD9EB" w:rsidR="00B6119E" w:rsidRDefault="00B6119E">
      <w:pPr>
        <w:spacing w:before="120" w:after="120"/>
        <w:jc w:val="center"/>
      </w:pPr>
      <m:oMath>
        <m:r>
          <w:rPr>
            <w:rFonts w:ascii="Cambria Math" w:hAnsi="Cambria Math"/>
          </w:rPr>
          <m:t xml:space="preserve">SOC </m:t>
        </m:r>
        <m:d>
          <m:dPr>
            <m:ctrlPr>
              <w:rPr>
                <w:rFonts w:ascii="Cambria Math" w:hAnsi="Cambria Math"/>
                <w:i/>
              </w:rPr>
            </m:ctrlPr>
          </m:dPr>
          <m:e>
            <m:r>
              <w:rPr>
                <w:rFonts w:ascii="Cambria Math" w:hAnsi="Cambria Math"/>
              </w:rPr>
              <m:t>%</m:t>
            </m:r>
          </m:e>
        </m:d>
        <m:r>
          <w:rPr>
            <w:rFonts w:ascii="Cambria Math" w:hAnsi="Cambria Math"/>
          </w:rPr>
          <m:t>=</m:t>
        </m:r>
        <m:d>
          <m:dPr>
            <m:ctrlPr>
              <w:rPr>
                <w:rFonts w:ascii="Cambria Math" w:hAnsi="Cambria Math"/>
                <w:i/>
              </w:rPr>
            </m:ctrlPr>
          </m:dPr>
          <m:e>
            <m:r>
              <w:rPr>
                <w:rFonts w:ascii="Cambria Math" w:hAnsi="Cambria Math"/>
              </w:rPr>
              <m:t>B-T</m:t>
            </m:r>
          </m:e>
        </m:d>
        <m:r>
          <w:rPr>
            <w:rFonts w:ascii="Cambria Math" w:hAnsi="Cambria Math"/>
          </w:rPr>
          <m:t>*0.003*0.5*100*1.33</m:t>
        </m:r>
      </m:oMath>
      <w:r>
        <w:tab/>
      </w:r>
      <w:r>
        <w:tab/>
      </w:r>
      <w:r>
        <w:tab/>
      </w:r>
      <w:r>
        <w:tab/>
      </w:r>
      <w:r>
        <w:tab/>
      </w:r>
      <w:r>
        <w:tab/>
        <w:t>(1)</w:t>
      </w:r>
    </w:p>
    <w:p w14:paraId="482DD35F" w14:textId="3A90518E" w:rsidR="008A4ABA" w:rsidRDefault="00555ED3">
      <w:pPr>
        <w:spacing w:before="100" w:after="100" w:line="360" w:lineRule="auto"/>
        <w:jc w:val="both"/>
      </w:pPr>
      <w:r>
        <w:t xml:space="preserve">where B is the blank </w:t>
      </w:r>
      <w:proofErr w:type="spellStart"/>
      <w:r>
        <w:t>titre</w:t>
      </w:r>
      <w:proofErr w:type="spellEnd"/>
      <w:r>
        <w:t xml:space="preserve"> value and T is the </w:t>
      </w:r>
      <w:r w:rsidR="00B6119E">
        <w:t xml:space="preserve">soil </w:t>
      </w:r>
      <w:r>
        <w:t xml:space="preserve">sample </w:t>
      </w:r>
      <w:proofErr w:type="spellStart"/>
      <w:r>
        <w:t>titre</w:t>
      </w:r>
      <w:proofErr w:type="spellEnd"/>
      <w:r>
        <w:t xml:space="preserve"> value. Soil organic matter (SOM) was calculated </w:t>
      </w:r>
      <w:r w:rsidR="0063703D">
        <w:t>using equation (2)</w:t>
      </w:r>
      <w:r>
        <w:t>:</w:t>
      </w:r>
    </w:p>
    <w:p w14:paraId="7B58165B" w14:textId="57ACE219" w:rsidR="0063703D" w:rsidRDefault="0063703D">
      <w:pPr>
        <w:spacing w:before="120" w:after="120"/>
        <w:jc w:val="center"/>
      </w:pPr>
      <m:oMath>
        <m:r>
          <w:rPr>
            <w:rFonts w:ascii="Cambria Math" w:hAnsi="Cambria Math"/>
          </w:rPr>
          <m:t>SOM</m:t>
        </m:r>
        <m:d>
          <m:dPr>
            <m:ctrlPr>
              <w:rPr>
                <w:rFonts w:ascii="Cambria Math" w:hAnsi="Cambria Math"/>
                <w:i/>
              </w:rPr>
            </m:ctrlPr>
          </m:dPr>
          <m:e>
            <m:r>
              <w:rPr>
                <w:rFonts w:ascii="Cambria Math" w:hAnsi="Cambria Math"/>
              </w:rPr>
              <m:t>%</m:t>
            </m:r>
          </m:e>
        </m:d>
        <m:r>
          <w:rPr>
            <w:rFonts w:ascii="Cambria Math" w:hAnsi="Cambria Math"/>
          </w:rPr>
          <m:t>=SOC*1.724</m:t>
        </m:r>
      </m:oMath>
      <w:r>
        <w:t xml:space="preserve"> </w:t>
      </w:r>
      <w:r>
        <w:tab/>
      </w:r>
      <w:r>
        <w:tab/>
      </w:r>
      <w:r>
        <w:tab/>
      </w:r>
      <w:r>
        <w:tab/>
      </w:r>
      <w:r>
        <w:tab/>
      </w:r>
      <w:r>
        <w:tab/>
      </w:r>
      <w:r>
        <w:tab/>
      </w:r>
      <w:r>
        <w:tab/>
      </w:r>
      <w:r>
        <w:tab/>
        <w:t>(2)</w:t>
      </w:r>
    </w:p>
    <w:p w14:paraId="65396B69" w14:textId="099955F8" w:rsidR="008A4ABA" w:rsidRDefault="00555ED3">
      <w:pPr>
        <w:spacing w:before="100" w:after="100" w:line="360" w:lineRule="auto"/>
        <w:jc w:val="both"/>
      </w:pPr>
      <w:r>
        <w:t>Exchangeable bases (Ca, Mg, Na, K) were extracted using 1 M ammonium acetate (</w:t>
      </w:r>
      <w:proofErr w:type="spellStart"/>
      <w:r>
        <w:t>NH₄OAc</w:t>
      </w:r>
      <w:proofErr w:type="spellEnd"/>
      <w:r>
        <w:t xml:space="preserve">) solution and determined by flame photometry (Black et al., 1965; </w:t>
      </w:r>
      <w:proofErr w:type="spellStart"/>
      <w:r>
        <w:t>Amakom</w:t>
      </w:r>
      <w:proofErr w:type="spellEnd"/>
      <w:r>
        <w:t xml:space="preserve"> et al., 2021). The effective cation exchange capacity (ECEC) was calculated </w:t>
      </w:r>
      <w:r w:rsidR="0063703D">
        <w:t>using equation (3)</w:t>
      </w:r>
      <w:r>
        <w:t>:</w:t>
      </w:r>
    </w:p>
    <w:p w14:paraId="7D2AFAA8" w14:textId="64216B72" w:rsidR="009225BF" w:rsidRDefault="009225BF">
      <w:pPr>
        <w:spacing w:before="120" w:after="120"/>
        <w:jc w:val="center"/>
      </w:pPr>
      <m:oMath>
        <m:r>
          <w:rPr>
            <w:rFonts w:ascii="Cambria Math" w:hAnsi="Cambria Math"/>
          </w:rPr>
          <m:t>ECEC=Ca+Mg+Na+K</m:t>
        </m:r>
      </m:oMath>
      <w:r>
        <w:t xml:space="preserve"> </w:t>
      </w:r>
      <w:r>
        <w:tab/>
      </w:r>
      <w:r>
        <w:tab/>
      </w:r>
      <w:r>
        <w:tab/>
      </w:r>
      <w:r>
        <w:tab/>
      </w:r>
      <w:r>
        <w:tab/>
      </w:r>
      <w:r>
        <w:tab/>
      </w:r>
      <w:r>
        <w:tab/>
      </w:r>
      <w:r>
        <w:tab/>
        <w:t>(3)</w:t>
      </w:r>
    </w:p>
    <w:p w14:paraId="7123E0C2" w14:textId="4D2E2C08" w:rsidR="009225BF" w:rsidRDefault="009225BF" w:rsidP="009225BF">
      <w:pPr>
        <w:spacing w:before="120" w:after="120"/>
      </w:pPr>
      <w:r>
        <w:t xml:space="preserve">ECEC was calculated in </w:t>
      </w:r>
      <w:proofErr w:type="spellStart"/>
      <w:r>
        <w:t>cmol</w:t>
      </w:r>
      <w:proofErr w:type="spellEnd"/>
      <w:r>
        <w:t>/Kg</w:t>
      </w:r>
    </w:p>
    <w:p w14:paraId="5F6FEA5D" w14:textId="77777777" w:rsidR="001E6CF6" w:rsidRDefault="001E6CF6">
      <w:pPr>
        <w:spacing w:before="100" w:after="100" w:line="360" w:lineRule="auto"/>
        <w:jc w:val="both"/>
        <w:rPr>
          <w:b/>
          <w:bCs/>
        </w:rPr>
      </w:pPr>
    </w:p>
    <w:p w14:paraId="2F32812A" w14:textId="3F920252" w:rsidR="001E6CF6" w:rsidRPr="001E6CF6" w:rsidRDefault="001E6CF6">
      <w:pPr>
        <w:spacing w:before="100" w:after="100" w:line="360" w:lineRule="auto"/>
        <w:jc w:val="both"/>
        <w:rPr>
          <w:b/>
          <w:bCs/>
        </w:rPr>
      </w:pPr>
      <w:r w:rsidRPr="001E6CF6">
        <w:rPr>
          <w:b/>
          <w:bCs/>
        </w:rPr>
        <w:t>2.6 Calculation of Transfer Factor</w:t>
      </w:r>
    </w:p>
    <w:p w14:paraId="6FADB4FA" w14:textId="2C802680" w:rsidR="008A4ABA" w:rsidRDefault="00555ED3">
      <w:pPr>
        <w:spacing w:before="100" w:after="100" w:line="360" w:lineRule="auto"/>
        <w:jc w:val="both"/>
      </w:pPr>
      <w:r>
        <w:lastRenderedPageBreak/>
        <w:t xml:space="preserve">The soil-to-plant transfer factor (TF) was calculated according to </w:t>
      </w:r>
      <w:proofErr w:type="spellStart"/>
      <w:r>
        <w:t>Akankpo</w:t>
      </w:r>
      <w:proofErr w:type="spellEnd"/>
      <w:r>
        <w:t xml:space="preserve"> et al. (2021) </w:t>
      </w:r>
      <w:r w:rsidR="001E6CF6">
        <w:t>using equation (4)</w:t>
      </w:r>
      <w:r>
        <w:t>:</w:t>
      </w:r>
    </w:p>
    <w:p w14:paraId="1C062B63" w14:textId="057D8021" w:rsidR="001E6CF6" w:rsidRDefault="001E6CF6">
      <w:pPr>
        <w:spacing w:before="120" w:after="120"/>
        <w:jc w:val="center"/>
      </w:pPr>
      <m:oMath>
        <m:r>
          <w:rPr>
            <w:rFonts w:ascii="Cambria Math" w:hAnsi="Cambria Math"/>
          </w:rPr>
          <m:t>TF=</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p</m:t>
                </m:r>
              </m:sub>
            </m:sSub>
          </m:num>
          <m:den>
            <m:sSub>
              <m:sSubPr>
                <m:ctrlPr>
                  <w:rPr>
                    <w:rFonts w:ascii="Cambria Math" w:hAnsi="Cambria Math"/>
                    <w:i/>
                  </w:rPr>
                </m:ctrlPr>
              </m:sSubPr>
              <m:e>
                <m:r>
                  <w:rPr>
                    <w:rFonts w:ascii="Cambria Math" w:hAnsi="Cambria Math"/>
                  </w:rPr>
                  <m:t>A</m:t>
                </m:r>
              </m:e>
              <m:sub>
                <m:r>
                  <w:rPr>
                    <w:rFonts w:ascii="Cambria Math" w:hAnsi="Cambria Math"/>
                  </w:rPr>
                  <m:t>s</m:t>
                </m:r>
              </m:sub>
            </m:sSub>
          </m:den>
        </m:f>
      </m:oMath>
      <w:r>
        <w:t xml:space="preserve">  </w:t>
      </w:r>
      <w:r>
        <w:tab/>
      </w:r>
      <w:r>
        <w:tab/>
      </w:r>
      <w:r>
        <w:tab/>
      </w:r>
      <w:r>
        <w:tab/>
      </w:r>
      <w:r>
        <w:tab/>
      </w:r>
      <w:r>
        <w:tab/>
      </w:r>
      <w:r>
        <w:tab/>
      </w:r>
      <w:r>
        <w:tab/>
      </w:r>
      <w:r>
        <w:tab/>
      </w:r>
      <w:r>
        <w:tab/>
      </w:r>
      <w:r>
        <w:tab/>
        <w:t>(4)</w:t>
      </w:r>
    </w:p>
    <w:p w14:paraId="32B24E2B" w14:textId="19F598D3" w:rsidR="008A4ABA" w:rsidRDefault="00555ED3">
      <w:pPr>
        <w:spacing w:before="100" w:after="100" w:line="360" w:lineRule="auto"/>
        <w:jc w:val="both"/>
      </w:pPr>
      <w:r>
        <w:t>where Aₚ (</w:t>
      </w:r>
      <w:proofErr w:type="spellStart"/>
      <w:r>
        <w:t>Bq</w:t>
      </w:r>
      <w:proofErr w:type="spellEnd"/>
      <w:r>
        <w:t>/kg dry weight) is the activity concentration of the radionuclide in the cassava tuber and Aₛ (</w:t>
      </w:r>
      <w:proofErr w:type="spellStart"/>
      <w:r>
        <w:t>Bq</w:t>
      </w:r>
      <w:proofErr w:type="spellEnd"/>
      <w:r>
        <w:t>/kg dry weight) is the activity concentration in the corresponding soil sample (IAEA, 2010).</w:t>
      </w:r>
      <w:r w:rsidR="005158BA">
        <w:t xml:space="preserve"> The mean values of the radiological and physicochemical parameters in each LGA were</w:t>
      </w:r>
      <w:r w:rsidR="004D2D03">
        <w:t xml:space="preserve"> calculated.</w:t>
      </w:r>
    </w:p>
    <w:p w14:paraId="3DA1DBE2" w14:textId="77777777" w:rsidR="005158BA" w:rsidRDefault="005158BA">
      <w:pPr>
        <w:spacing w:before="100" w:after="100" w:line="360" w:lineRule="auto"/>
        <w:jc w:val="both"/>
        <w:rPr>
          <w:b/>
          <w:bCs/>
        </w:rPr>
      </w:pPr>
      <w:r w:rsidRPr="005158BA">
        <w:rPr>
          <w:b/>
          <w:bCs/>
        </w:rPr>
        <w:t>2.7 Statistical Analysis</w:t>
      </w:r>
    </w:p>
    <w:p w14:paraId="72EBF11F" w14:textId="629D0A52" w:rsidR="008A4ABA" w:rsidRPr="005158BA" w:rsidRDefault="00555ED3">
      <w:pPr>
        <w:spacing w:before="100" w:after="100" w:line="360" w:lineRule="auto"/>
        <w:jc w:val="both"/>
        <w:rPr>
          <w:b/>
          <w:bCs/>
        </w:rPr>
      </w:pPr>
      <w:r>
        <w:t>Pearson correlation analysis was performed using IBM SPSS Statistics (v. 26.0) to assess the relationship between soil physicochemical properties and radionuclide transfer factors. Significance was evaluated at the 0.05 and 0.01 levels (2-tailed). All results are presented as means of four replicates per LGA.</w:t>
      </w:r>
    </w:p>
    <w:p w14:paraId="189BA405" w14:textId="77777777" w:rsidR="006224EF" w:rsidRDefault="006224EF">
      <w:pPr>
        <w:spacing w:before="100" w:after="100" w:line="360" w:lineRule="auto"/>
        <w:jc w:val="both"/>
      </w:pPr>
    </w:p>
    <w:p w14:paraId="1E4197C5" w14:textId="75D572A2" w:rsidR="0019171A" w:rsidRPr="006224EF" w:rsidRDefault="0019171A">
      <w:pPr>
        <w:spacing w:before="100" w:after="100" w:line="360" w:lineRule="auto"/>
        <w:jc w:val="both"/>
        <w:rPr>
          <w:b/>
          <w:bCs/>
        </w:rPr>
      </w:pPr>
      <w:r w:rsidRPr="006224EF">
        <w:rPr>
          <w:b/>
          <w:bCs/>
        </w:rPr>
        <w:t>3. Results</w:t>
      </w:r>
    </w:p>
    <w:p w14:paraId="289DECD9" w14:textId="56666B20" w:rsidR="006224EF" w:rsidRDefault="006224EF">
      <w:pPr>
        <w:spacing w:before="100" w:after="100" w:line="360" w:lineRule="auto"/>
        <w:jc w:val="both"/>
      </w:pPr>
      <w:r w:rsidRPr="006224EF">
        <w:rPr>
          <w:b/>
          <w:bCs/>
        </w:rPr>
        <w:t xml:space="preserve">3.1 </w:t>
      </w:r>
      <w:r w:rsidR="0019171A" w:rsidRPr="006224EF">
        <w:rPr>
          <w:b/>
          <w:bCs/>
        </w:rPr>
        <w:t xml:space="preserve">Soil </w:t>
      </w:r>
      <w:r w:rsidRPr="006224EF">
        <w:rPr>
          <w:b/>
          <w:bCs/>
        </w:rPr>
        <w:t xml:space="preserve">Physicochemical Properties </w:t>
      </w:r>
      <w:r>
        <w:rPr>
          <w:b/>
          <w:bCs/>
        </w:rPr>
        <w:t>a</w:t>
      </w:r>
      <w:r w:rsidRPr="006224EF">
        <w:rPr>
          <w:b/>
          <w:bCs/>
        </w:rPr>
        <w:t xml:space="preserve">nd Radionuclide Activity Concentrations </w:t>
      </w:r>
      <w:r>
        <w:rPr>
          <w:b/>
          <w:bCs/>
        </w:rPr>
        <w:t>i</w:t>
      </w:r>
      <w:r w:rsidRPr="006224EF">
        <w:rPr>
          <w:b/>
          <w:bCs/>
        </w:rPr>
        <w:t xml:space="preserve">n Cassava </w:t>
      </w:r>
    </w:p>
    <w:p w14:paraId="4DD93890" w14:textId="562D72E7" w:rsidR="008A4ABA" w:rsidRDefault="00555ED3">
      <w:pPr>
        <w:spacing w:before="100" w:after="100" w:line="360" w:lineRule="auto"/>
        <w:jc w:val="both"/>
      </w:pPr>
      <w:r>
        <w:t>The mean soil physicochemical parameters and radionuclide activity concentrations in cassava for each LGA are presented in Table 1. The soils of all four LGAs were sandy in texture, with sand content ranging from 54.42% (Etim Ekpo) to 80.45% (</w:t>
      </w:r>
      <w:proofErr w:type="spellStart"/>
      <w:r>
        <w:t>Abak</w:t>
      </w:r>
      <w:proofErr w:type="spellEnd"/>
      <w:r>
        <w:t>), consistent with the predominantly coastal plain sand parent material of Akwa Ibom State (Essien et al., 2021). Soil pH values were acidic across all locations, ranging from 4.33 (</w:t>
      </w:r>
      <w:proofErr w:type="spellStart"/>
      <w:r>
        <w:t>Abak</w:t>
      </w:r>
      <w:proofErr w:type="spellEnd"/>
      <w:r>
        <w:t xml:space="preserve">) to 5.00 (Ikot </w:t>
      </w:r>
      <w:proofErr w:type="spellStart"/>
      <w:r>
        <w:t>Ekpene</w:t>
      </w:r>
      <w:proofErr w:type="spellEnd"/>
      <w:r>
        <w:t xml:space="preserve">), which is characteristic of highly leached tropical soils in the Niger Delta region. Soil organic carbon content ranged from 4.63% (Etim Ekpo) to 5.42% (Ikot </w:t>
      </w:r>
      <w:proofErr w:type="spellStart"/>
      <w:r>
        <w:t>Ekpene</w:t>
      </w:r>
      <w:proofErr w:type="spellEnd"/>
      <w:r>
        <w:t>), and corresponding SOM values ranged from 7.88% to 9.35%.</w:t>
      </w:r>
    </w:p>
    <w:p w14:paraId="215BBA9D" w14:textId="0AEC027C" w:rsidR="008A4ABA" w:rsidRDefault="00555ED3">
      <w:pPr>
        <w:spacing w:before="100" w:after="100" w:line="360" w:lineRule="auto"/>
        <w:jc w:val="both"/>
      </w:pPr>
      <w:r>
        <w:t xml:space="preserve">Mean activity concentrations of ²³⁸U in cassava ranged from 15.19 </w:t>
      </w:r>
      <w:proofErr w:type="spellStart"/>
      <w:r>
        <w:t>Bq</w:t>
      </w:r>
      <w:proofErr w:type="spellEnd"/>
      <w:r>
        <w:t>/kg (</w:t>
      </w:r>
      <w:proofErr w:type="spellStart"/>
      <w:r>
        <w:t>Ukanafun</w:t>
      </w:r>
      <w:proofErr w:type="spellEnd"/>
      <w:r>
        <w:t xml:space="preserve">) to 18.19 </w:t>
      </w:r>
      <w:proofErr w:type="spellStart"/>
      <w:r>
        <w:t>Bq</w:t>
      </w:r>
      <w:proofErr w:type="spellEnd"/>
      <w:r>
        <w:t xml:space="preserve">/kg (Ikot </w:t>
      </w:r>
      <w:proofErr w:type="spellStart"/>
      <w:r>
        <w:t>Ekpene</w:t>
      </w:r>
      <w:proofErr w:type="spellEnd"/>
      <w:r>
        <w:t xml:space="preserve">), while ²³²Th ranged from 17.77 </w:t>
      </w:r>
      <w:proofErr w:type="spellStart"/>
      <w:r>
        <w:t>Bq</w:t>
      </w:r>
      <w:proofErr w:type="spellEnd"/>
      <w:r>
        <w:t xml:space="preserve">/kg (Ikot </w:t>
      </w:r>
      <w:proofErr w:type="spellStart"/>
      <w:r>
        <w:t>Ekpene</w:t>
      </w:r>
      <w:proofErr w:type="spellEnd"/>
      <w:r>
        <w:t xml:space="preserve">) to 22.27 </w:t>
      </w:r>
      <w:proofErr w:type="spellStart"/>
      <w:r>
        <w:t>Bq</w:t>
      </w:r>
      <w:proofErr w:type="spellEnd"/>
      <w:r>
        <w:t>/kg (</w:t>
      </w:r>
      <w:proofErr w:type="spellStart"/>
      <w:r>
        <w:t>Ukanafun</w:t>
      </w:r>
      <w:proofErr w:type="spellEnd"/>
      <w:r>
        <w:t xml:space="preserve">). Activity concentrations of ⁴⁰K in cassava were consistently the highest, ranging from 581.21 </w:t>
      </w:r>
      <w:proofErr w:type="spellStart"/>
      <w:r>
        <w:t>Bq</w:t>
      </w:r>
      <w:proofErr w:type="spellEnd"/>
      <w:r>
        <w:t xml:space="preserve">/kg (Etim Ekpo) to 637.72 </w:t>
      </w:r>
      <w:proofErr w:type="spellStart"/>
      <w:r>
        <w:t>Bq</w:t>
      </w:r>
      <w:proofErr w:type="spellEnd"/>
      <w:r>
        <w:t xml:space="preserve">/kg (Ikot </w:t>
      </w:r>
      <w:proofErr w:type="spellStart"/>
      <w:r>
        <w:t>Ekpene</w:t>
      </w:r>
      <w:proofErr w:type="spellEnd"/>
      <w:r>
        <w:t xml:space="preserve">). These values are within the range reported by Essien et al. (2021) for cassava from Ini LGA in the same state and compare reasonably with findings by </w:t>
      </w:r>
      <w:proofErr w:type="spellStart"/>
      <w:r>
        <w:t>Olabimtan</w:t>
      </w:r>
      <w:proofErr w:type="spellEnd"/>
      <w:r>
        <w:t xml:space="preserve"> et al. (2023) and </w:t>
      </w:r>
      <w:proofErr w:type="spellStart"/>
      <w:r>
        <w:t>Orosun</w:t>
      </w:r>
      <w:proofErr w:type="spellEnd"/>
      <w:r>
        <w:t xml:space="preserve"> et al. (2022) from other Nigerian ecosystems.</w:t>
      </w:r>
    </w:p>
    <w:p w14:paraId="5712EBC1" w14:textId="77777777" w:rsidR="008A4ABA" w:rsidRDefault="008A4ABA">
      <w:pPr>
        <w:spacing w:before="60" w:after="60"/>
      </w:pPr>
    </w:p>
    <w:p w14:paraId="6ACC5DE9" w14:textId="77777777" w:rsidR="00F67FCC" w:rsidRDefault="00F67FCC" w:rsidP="00873230">
      <w:pPr>
        <w:spacing w:before="80" w:after="180"/>
        <w:rPr>
          <w:b/>
          <w:bCs/>
        </w:rPr>
      </w:pPr>
    </w:p>
    <w:p w14:paraId="3635E02B" w14:textId="77777777" w:rsidR="00F67FCC" w:rsidRDefault="00F67FCC" w:rsidP="00873230">
      <w:pPr>
        <w:spacing w:before="80" w:after="180"/>
        <w:rPr>
          <w:b/>
          <w:bCs/>
        </w:rPr>
      </w:pPr>
    </w:p>
    <w:p w14:paraId="41046CAD" w14:textId="77777777" w:rsidR="00F67FCC" w:rsidRDefault="00F67FCC" w:rsidP="00873230">
      <w:pPr>
        <w:spacing w:before="80" w:after="180"/>
        <w:rPr>
          <w:b/>
          <w:bCs/>
        </w:rPr>
      </w:pPr>
    </w:p>
    <w:p w14:paraId="48AA1445" w14:textId="4BE5914F" w:rsidR="00835958" w:rsidRPr="00835958" w:rsidRDefault="00835958" w:rsidP="00873230">
      <w:pPr>
        <w:spacing w:before="80" w:after="180"/>
      </w:pPr>
      <w:r w:rsidRPr="00835958">
        <w:rPr>
          <w:b/>
          <w:bCs/>
        </w:rPr>
        <w:t>Table 1: Mean values of activity concentrations of radionuclides in cassava and soil physicochemical parameters across selected LGAs in Akwa Ibom State</w:t>
      </w:r>
    </w:p>
    <w:p w14:paraId="73AFA456" w14:textId="77777777" w:rsidR="00835958" w:rsidRDefault="00835958" w:rsidP="00835958">
      <w:pPr>
        <w:jc w:val="both"/>
      </w:pPr>
    </w:p>
    <w:tbl>
      <w:tblPr>
        <w:tblW w:w="9985" w:type="dxa"/>
        <w:tblInd w:w="-635" w:type="dxa"/>
        <w:tblLook w:val="04A0" w:firstRow="1" w:lastRow="0" w:firstColumn="1" w:lastColumn="0" w:noHBand="0" w:noVBand="1"/>
      </w:tblPr>
      <w:tblGrid>
        <w:gridCol w:w="1216"/>
        <w:gridCol w:w="785"/>
        <w:gridCol w:w="784"/>
        <w:gridCol w:w="821"/>
        <w:gridCol w:w="784"/>
        <w:gridCol w:w="784"/>
        <w:gridCol w:w="784"/>
        <w:gridCol w:w="1157"/>
        <w:gridCol w:w="1157"/>
        <w:gridCol w:w="1157"/>
        <w:gridCol w:w="1157"/>
      </w:tblGrid>
      <w:tr w:rsidR="00835958" w:rsidRPr="001E7756" w14:paraId="071136D4" w14:textId="77777777" w:rsidTr="00BB0028">
        <w:trPr>
          <w:trHeight w:val="266"/>
        </w:trPr>
        <w:tc>
          <w:tcPr>
            <w:tcW w:w="1216" w:type="dxa"/>
            <w:tcBorders>
              <w:top w:val="single" w:sz="4" w:space="0" w:color="auto"/>
              <w:bottom w:val="single" w:sz="4" w:space="0" w:color="auto"/>
            </w:tcBorders>
            <w:noWrap/>
            <w:vAlign w:val="bottom"/>
            <w:hideMark/>
          </w:tcPr>
          <w:p w14:paraId="3FD884B7" w14:textId="77777777" w:rsidR="00835958" w:rsidRPr="00903A2D" w:rsidRDefault="00835958" w:rsidP="00DA1318">
            <w:pPr>
              <w:rPr>
                <w:b/>
                <w:bCs/>
                <w:color w:val="000000"/>
                <w:sz w:val="22"/>
                <w:szCs w:val="22"/>
              </w:rPr>
            </w:pPr>
            <w:r w:rsidRPr="00903A2D">
              <w:rPr>
                <w:b/>
                <w:bCs/>
                <w:color w:val="000000"/>
                <w:sz w:val="22"/>
                <w:szCs w:val="22"/>
              </w:rPr>
              <w:t>L.G.A </w:t>
            </w:r>
          </w:p>
        </w:tc>
        <w:tc>
          <w:tcPr>
            <w:tcW w:w="785" w:type="dxa"/>
            <w:tcBorders>
              <w:top w:val="single" w:sz="4" w:space="0" w:color="auto"/>
              <w:bottom w:val="single" w:sz="4" w:space="0" w:color="auto"/>
            </w:tcBorders>
            <w:noWrap/>
            <w:vAlign w:val="bottom"/>
            <w:hideMark/>
          </w:tcPr>
          <w:p w14:paraId="70683EAA" w14:textId="77777777" w:rsidR="00835958" w:rsidRPr="00903A2D" w:rsidRDefault="00835958" w:rsidP="00DA1318">
            <w:pPr>
              <w:rPr>
                <w:b/>
                <w:bCs/>
                <w:color w:val="000000"/>
                <w:sz w:val="22"/>
                <w:szCs w:val="22"/>
              </w:rPr>
            </w:pPr>
            <w:r w:rsidRPr="00903A2D">
              <w:rPr>
                <w:b/>
                <w:bCs/>
                <w:color w:val="000000"/>
                <w:sz w:val="22"/>
                <w:szCs w:val="22"/>
                <w:vertAlign w:val="superscript"/>
              </w:rPr>
              <w:t>238</w:t>
            </w:r>
            <w:r w:rsidRPr="00903A2D">
              <w:rPr>
                <w:b/>
                <w:bCs/>
                <w:color w:val="000000"/>
                <w:sz w:val="22"/>
                <w:szCs w:val="22"/>
              </w:rPr>
              <w:t>U</w:t>
            </w:r>
          </w:p>
        </w:tc>
        <w:tc>
          <w:tcPr>
            <w:tcW w:w="784" w:type="dxa"/>
            <w:tcBorders>
              <w:top w:val="single" w:sz="4" w:space="0" w:color="auto"/>
              <w:bottom w:val="single" w:sz="4" w:space="0" w:color="auto"/>
            </w:tcBorders>
            <w:noWrap/>
            <w:vAlign w:val="bottom"/>
            <w:hideMark/>
          </w:tcPr>
          <w:p w14:paraId="6A38E5F5" w14:textId="77777777" w:rsidR="00835958" w:rsidRPr="00903A2D" w:rsidRDefault="00835958" w:rsidP="00DA1318">
            <w:pPr>
              <w:rPr>
                <w:b/>
                <w:bCs/>
                <w:color w:val="000000"/>
                <w:sz w:val="22"/>
                <w:szCs w:val="22"/>
              </w:rPr>
            </w:pPr>
            <w:r w:rsidRPr="00903A2D">
              <w:rPr>
                <w:b/>
                <w:bCs/>
                <w:color w:val="000000"/>
                <w:sz w:val="22"/>
                <w:szCs w:val="22"/>
                <w:vertAlign w:val="superscript"/>
              </w:rPr>
              <w:t>232</w:t>
            </w:r>
            <w:r w:rsidRPr="00903A2D">
              <w:rPr>
                <w:b/>
                <w:bCs/>
                <w:color w:val="000000"/>
                <w:sz w:val="22"/>
                <w:szCs w:val="22"/>
              </w:rPr>
              <w:t>Th</w:t>
            </w:r>
          </w:p>
        </w:tc>
        <w:tc>
          <w:tcPr>
            <w:tcW w:w="784" w:type="dxa"/>
            <w:tcBorders>
              <w:top w:val="single" w:sz="4" w:space="0" w:color="auto"/>
              <w:bottom w:val="single" w:sz="4" w:space="0" w:color="auto"/>
            </w:tcBorders>
            <w:noWrap/>
            <w:vAlign w:val="bottom"/>
            <w:hideMark/>
          </w:tcPr>
          <w:p w14:paraId="23DADEEB" w14:textId="77777777" w:rsidR="00835958" w:rsidRPr="00903A2D" w:rsidRDefault="00835958" w:rsidP="00DA1318">
            <w:pPr>
              <w:rPr>
                <w:b/>
                <w:bCs/>
                <w:color w:val="000000"/>
                <w:sz w:val="22"/>
                <w:szCs w:val="22"/>
              </w:rPr>
            </w:pPr>
            <w:r w:rsidRPr="00903A2D">
              <w:rPr>
                <w:b/>
                <w:bCs/>
                <w:color w:val="000000"/>
                <w:sz w:val="22"/>
                <w:szCs w:val="22"/>
                <w:vertAlign w:val="superscript"/>
              </w:rPr>
              <w:t>40</w:t>
            </w:r>
            <w:r w:rsidRPr="00903A2D">
              <w:rPr>
                <w:b/>
                <w:bCs/>
                <w:color w:val="000000"/>
                <w:sz w:val="22"/>
                <w:szCs w:val="22"/>
              </w:rPr>
              <w:t>K</w:t>
            </w:r>
          </w:p>
        </w:tc>
        <w:tc>
          <w:tcPr>
            <w:tcW w:w="784" w:type="dxa"/>
            <w:tcBorders>
              <w:top w:val="single" w:sz="4" w:space="0" w:color="auto"/>
              <w:bottom w:val="single" w:sz="4" w:space="0" w:color="auto"/>
            </w:tcBorders>
            <w:noWrap/>
            <w:vAlign w:val="bottom"/>
            <w:hideMark/>
          </w:tcPr>
          <w:p w14:paraId="1EA69AF7" w14:textId="0F418CC1" w:rsidR="00835958" w:rsidRPr="00903A2D" w:rsidRDefault="00F60C8E" w:rsidP="00DA1318">
            <w:pPr>
              <w:rPr>
                <w:b/>
                <w:bCs/>
                <w:color w:val="000000"/>
                <w:sz w:val="22"/>
                <w:szCs w:val="22"/>
              </w:rPr>
            </w:pPr>
            <w:r w:rsidRPr="00903A2D">
              <w:rPr>
                <w:b/>
                <w:bCs/>
                <w:color w:val="000000"/>
                <w:sz w:val="22"/>
                <w:szCs w:val="22"/>
              </w:rPr>
              <w:t>p</w:t>
            </w:r>
            <w:r w:rsidR="00835958" w:rsidRPr="00903A2D">
              <w:rPr>
                <w:b/>
                <w:bCs/>
                <w:color w:val="000000"/>
                <w:sz w:val="22"/>
                <w:szCs w:val="22"/>
              </w:rPr>
              <w:t>H</w:t>
            </w:r>
          </w:p>
        </w:tc>
        <w:tc>
          <w:tcPr>
            <w:tcW w:w="784" w:type="dxa"/>
            <w:tcBorders>
              <w:top w:val="single" w:sz="4" w:space="0" w:color="auto"/>
              <w:bottom w:val="single" w:sz="4" w:space="0" w:color="auto"/>
            </w:tcBorders>
            <w:noWrap/>
            <w:vAlign w:val="bottom"/>
            <w:hideMark/>
          </w:tcPr>
          <w:p w14:paraId="7893B50B" w14:textId="50F9639A" w:rsidR="00835958" w:rsidRPr="00903A2D" w:rsidRDefault="00835958" w:rsidP="00DA1318">
            <w:pPr>
              <w:rPr>
                <w:b/>
                <w:bCs/>
                <w:color w:val="000000"/>
                <w:sz w:val="22"/>
                <w:szCs w:val="22"/>
              </w:rPr>
            </w:pPr>
            <w:r w:rsidRPr="00903A2D">
              <w:rPr>
                <w:b/>
                <w:bCs/>
                <w:color w:val="000000"/>
                <w:sz w:val="22"/>
                <w:szCs w:val="22"/>
              </w:rPr>
              <w:t>%</w:t>
            </w:r>
            <w:r w:rsidR="004C0607">
              <w:rPr>
                <w:b/>
                <w:bCs/>
                <w:color w:val="000000"/>
                <w:sz w:val="22"/>
                <w:szCs w:val="22"/>
              </w:rPr>
              <w:t xml:space="preserve"> </w:t>
            </w:r>
            <w:r w:rsidR="00F60C8E" w:rsidRPr="00903A2D">
              <w:rPr>
                <w:b/>
                <w:bCs/>
                <w:color w:val="000000"/>
                <w:sz w:val="22"/>
                <w:szCs w:val="22"/>
              </w:rPr>
              <w:t>S</w:t>
            </w:r>
            <w:r w:rsidRPr="00903A2D">
              <w:rPr>
                <w:b/>
                <w:bCs/>
                <w:color w:val="000000"/>
                <w:sz w:val="22"/>
                <w:szCs w:val="22"/>
              </w:rPr>
              <w:t>OC</w:t>
            </w:r>
          </w:p>
        </w:tc>
        <w:tc>
          <w:tcPr>
            <w:tcW w:w="784" w:type="dxa"/>
            <w:tcBorders>
              <w:top w:val="single" w:sz="4" w:space="0" w:color="auto"/>
              <w:bottom w:val="single" w:sz="4" w:space="0" w:color="auto"/>
            </w:tcBorders>
            <w:noWrap/>
            <w:vAlign w:val="bottom"/>
            <w:hideMark/>
          </w:tcPr>
          <w:p w14:paraId="5595537E" w14:textId="40066910" w:rsidR="00835958" w:rsidRPr="00903A2D" w:rsidRDefault="00835958" w:rsidP="00DA1318">
            <w:pPr>
              <w:rPr>
                <w:b/>
                <w:bCs/>
                <w:color w:val="000000"/>
                <w:sz w:val="22"/>
                <w:szCs w:val="22"/>
              </w:rPr>
            </w:pPr>
            <w:r w:rsidRPr="00903A2D">
              <w:rPr>
                <w:b/>
                <w:bCs/>
                <w:color w:val="000000"/>
                <w:sz w:val="22"/>
                <w:szCs w:val="22"/>
              </w:rPr>
              <w:t>%</w:t>
            </w:r>
            <w:r w:rsidR="004C0607">
              <w:rPr>
                <w:b/>
                <w:bCs/>
                <w:color w:val="000000"/>
                <w:sz w:val="22"/>
                <w:szCs w:val="22"/>
              </w:rPr>
              <w:t xml:space="preserve"> </w:t>
            </w:r>
            <w:r w:rsidR="00F60C8E" w:rsidRPr="00903A2D">
              <w:rPr>
                <w:b/>
                <w:bCs/>
                <w:color w:val="000000"/>
                <w:sz w:val="22"/>
                <w:szCs w:val="22"/>
              </w:rPr>
              <w:t>S</w:t>
            </w:r>
            <w:r w:rsidRPr="00903A2D">
              <w:rPr>
                <w:b/>
                <w:bCs/>
                <w:color w:val="000000"/>
                <w:sz w:val="22"/>
                <w:szCs w:val="22"/>
              </w:rPr>
              <w:t>OM</w:t>
            </w:r>
          </w:p>
        </w:tc>
        <w:tc>
          <w:tcPr>
            <w:tcW w:w="1016" w:type="dxa"/>
            <w:tcBorders>
              <w:top w:val="single" w:sz="4" w:space="0" w:color="auto"/>
              <w:bottom w:val="single" w:sz="4" w:space="0" w:color="auto"/>
            </w:tcBorders>
            <w:noWrap/>
            <w:vAlign w:val="bottom"/>
            <w:hideMark/>
          </w:tcPr>
          <w:p w14:paraId="5CB0E336" w14:textId="77777777" w:rsidR="00835958" w:rsidRPr="00903A2D" w:rsidRDefault="00835958" w:rsidP="00DA1318">
            <w:pPr>
              <w:rPr>
                <w:b/>
                <w:bCs/>
                <w:color w:val="000000"/>
                <w:sz w:val="22"/>
                <w:szCs w:val="22"/>
              </w:rPr>
            </w:pPr>
            <w:r w:rsidRPr="00903A2D">
              <w:rPr>
                <w:b/>
                <w:bCs/>
                <w:color w:val="000000"/>
                <w:sz w:val="22"/>
                <w:szCs w:val="22"/>
              </w:rPr>
              <w:t>K (</w:t>
            </w:r>
            <w:proofErr w:type="spellStart"/>
            <w:r w:rsidRPr="00903A2D">
              <w:rPr>
                <w:b/>
                <w:bCs/>
                <w:color w:val="000000"/>
                <w:sz w:val="22"/>
                <w:szCs w:val="22"/>
              </w:rPr>
              <w:t>cmol</w:t>
            </w:r>
            <w:proofErr w:type="spellEnd"/>
            <w:r w:rsidRPr="00903A2D">
              <w:rPr>
                <w:b/>
                <w:bCs/>
                <w:color w:val="000000"/>
                <w:sz w:val="22"/>
                <w:szCs w:val="22"/>
              </w:rPr>
              <w:t>/Kg)</w:t>
            </w:r>
          </w:p>
        </w:tc>
        <w:tc>
          <w:tcPr>
            <w:tcW w:w="1016" w:type="dxa"/>
            <w:tcBorders>
              <w:top w:val="single" w:sz="4" w:space="0" w:color="auto"/>
              <w:bottom w:val="single" w:sz="4" w:space="0" w:color="auto"/>
            </w:tcBorders>
            <w:noWrap/>
            <w:vAlign w:val="bottom"/>
            <w:hideMark/>
          </w:tcPr>
          <w:p w14:paraId="090971AD" w14:textId="77777777" w:rsidR="00835958" w:rsidRPr="00903A2D" w:rsidRDefault="00835958" w:rsidP="00DA1318">
            <w:pPr>
              <w:rPr>
                <w:b/>
                <w:bCs/>
                <w:color w:val="000000"/>
                <w:sz w:val="22"/>
                <w:szCs w:val="22"/>
              </w:rPr>
            </w:pPr>
            <w:r w:rsidRPr="00903A2D">
              <w:rPr>
                <w:b/>
                <w:bCs/>
                <w:color w:val="000000"/>
                <w:sz w:val="22"/>
                <w:szCs w:val="22"/>
              </w:rPr>
              <w:t>Ca (</w:t>
            </w:r>
            <w:proofErr w:type="spellStart"/>
            <w:r w:rsidRPr="00903A2D">
              <w:rPr>
                <w:b/>
                <w:bCs/>
                <w:color w:val="000000"/>
                <w:sz w:val="22"/>
                <w:szCs w:val="22"/>
              </w:rPr>
              <w:t>cmol</w:t>
            </w:r>
            <w:proofErr w:type="spellEnd"/>
            <w:r w:rsidRPr="00903A2D">
              <w:rPr>
                <w:b/>
                <w:bCs/>
                <w:color w:val="000000"/>
                <w:sz w:val="22"/>
                <w:szCs w:val="22"/>
              </w:rPr>
              <w:t>/Kg)</w:t>
            </w:r>
          </w:p>
        </w:tc>
        <w:tc>
          <w:tcPr>
            <w:tcW w:w="1016" w:type="dxa"/>
            <w:tcBorders>
              <w:top w:val="single" w:sz="4" w:space="0" w:color="auto"/>
              <w:bottom w:val="single" w:sz="4" w:space="0" w:color="auto"/>
            </w:tcBorders>
            <w:noWrap/>
            <w:vAlign w:val="bottom"/>
            <w:hideMark/>
          </w:tcPr>
          <w:p w14:paraId="4A5AB245" w14:textId="77777777" w:rsidR="00835958" w:rsidRPr="00903A2D" w:rsidRDefault="00835958" w:rsidP="00DA1318">
            <w:pPr>
              <w:rPr>
                <w:b/>
                <w:bCs/>
                <w:color w:val="000000"/>
                <w:sz w:val="22"/>
                <w:szCs w:val="22"/>
              </w:rPr>
            </w:pPr>
            <w:r w:rsidRPr="00903A2D">
              <w:rPr>
                <w:b/>
                <w:bCs/>
                <w:color w:val="000000"/>
                <w:sz w:val="22"/>
                <w:szCs w:val="22"/>
              </w:rPr>
              <w:t>Mg (</w:t>
            </w:r>
            <w:proofErr w:type="spellStart"/>
            <w:r w:rsidRPr="00903A2D">
              <w:rPr>
                <w:b/>
                <w:bCs/>
                <w:color w:val="000000"/>
                <w:sz w:val="22"/>
                <w:szCs w:val="22"/>
              </w:rPr>
              <w:t>cmol</w:t>
            </w:r>
            <w:proofErr w:type="spellEnd"/>
            <w:r w:rsidRPr="00903A2D">
              <w:rPr>
                <w:b/>
                <w:bCs/>
                <w:color w:val="000000"/>
                <w:sz w:val="22"/>
                <w:szCs w:val="22"/>
              </w:rPr>
              <w:t>/Kg)</w:t>
            </w:r>
          </w:p>
        </w:tc>
        <w:tc>
          <w:tcPr>
            <w:tcW w:w="1016" w:type="dxa"/>
            <w:tcBorders>
              <w:top w:val="single" w:sz="4" w:space="0" w:color="auto"/>
              <w:bottom w:val="single" w:sz="4" w:space="0" w:color="auto"/>
            </w:tcBorders>
            <w:noWrap/>
            <w:vAlign w:val="bottom"/>
            <w:hideMark/>
          </w:tcPr>
          <w:p w14:paraId="1475D24B" w14:textId="77777777" w:rsidR="00835958" w:rsidRPr="00903A2D" w:rsidRDefault="00835958" w:rsidP="00DA1318">
            <w:pPr>
              <w:rPr>
                <w:b/>
                <w:bCs/>
                <w:color w:val="000000"/>
                <w:sz w:val="22"/>
                <w:szCs w:val="22"/>
              </w:rPr>
            </w:pPr>
            <w:r w:rsidRPr="00903A2D">
              <w:rPr>
                <w:b/>
                <w:bCs/>
                <w:color w:val="000000"/>
                <w:sz w:val="22"/>
                <w:szCs w:val="22"/>
              </w:rPr>
              <w:t>Na (</w:t>
            </w:r>
            <w:proofErr w:type="spellStart"/>
            <w:r w:rsidRPr="00903A2D">
              <w:rPr>
                <w:b/>
                <w:bCs/>
                <w:color w:val="000000"/>
                <w:sz w:val="22"/>
                <w:szCs w:val="22"/>
              </w:rPr>
              <w:t>cmol</w:t>
            </w:r>
            <w:proofErr w:type="spellEnd"/>
            <w:r w:rsidRPr="00903A2D">
              <w:rPr>
                <w:b/>
                <w:bCs/>
                <w:color w:val="000000"/>
                <w:sz w:val="22"/>
                <w:szCs w:val="22"/>
              </w:rPr>
              <w:t>/Kg)</w:t>
            </w:r>
          </w:p>
        </w:tc>
      </w:tr>
      <w:tr w:rsidR="00835958" w:rsidRPr="001E7756" w14:paraId="1B75344A" w14:textId="77777777" w:rsidTr="00BB0028">
        <w:trPr>
          <w:trHeight w:val="395"/>
        </w:trPr>
        <w:tc>
          <w:tcPr>
            <w:tcW w:w="1216" w:type="dxa"/>
            <w:tcBorders>
              <w:top w:val="single" w:sz="4" w:space="0" w:color="auto"/>
            </w:tcBorders>
            <w:noWrap/>
            <w:vAlign w:val="bottom"/>
            <w:hideMark/>
          </w:tcPr>
          <w:p w14:paraId="3A71239B" w14:textId="77777777" w:rsidR="00835958" w:rsidRPr="001E7756" w:rsidRDefault="00835958" w:rsidP="00DA1318">
            <w:pPr>
              <w:rPr>
                <w:color w:val="000000"/>
                <w:sz w:val="22"/>
                <w:szCs w:val="22"/>
              </w:rPr>
            </w:pPr>
            <w:proofErr w:type="spellStart"/>
            <w:r w:rsidRPr="001E7756">
              <w:rPr>
                <w:color w:val="000000"/>
                <w:sz w:val="22"/>
                <w:szCs w:val="22"/>
              </w:rPr>
              <w:t>Abak</w:t>
            </w:r>
            <w:proofErr w:type="spellEnd"/>
          </w:p>
        </w:tc>
        <w:tc>
          <w:tcPr>
            <w:tcW w:w="785" w:type="dxa"/>
            <w:tcBorders>
              <w:top w:val="single" w:sz="4" w:space="0" w:color="auto"/>
            </w:tcBorders>
            <w:noWrap/>
            <w:vAlign w:val="bottom"/>
            <w:hideMark/>
          </w:tcPr>
          <w:p w14:paraId="216FBAD1" w14:textId="3EBFA939" w:rsidR="00835958" w:rsidRPr="001E7756" w:rsidRDefault="00835958" w:rsidP="00DA1318">
            <w:pPr>
              <w:jc w:val="right"/>
              <w:rPr>
                <w:color w:val="000000"/>
                <w:sz w:val="22"/>
                <w:szCs w:val="22"/>
              </w:rPr>
            </w:pPr>
            <w:r w:rsidRPr="001E7756">
              <w:rPr>
                <w:color w:val="000000"/>
                <w:sz w:val="22"/>
                <w:szCs w:val="22"/>
              </w:rPr>
              <w:t>17.09</w:t>
            </w:r>
            <w:r w:rsidR="00311470">
              <w:rPr>
                <w:color w:val="000000"/>
                <w:sz w:val="22"/>
                <w:szCs w:val="22"/>
              </w:rPr>
              <w:t xml:space="preserve"> ± 0.30</w:t>
            </w:r>
          </w:p>
        </w:tc>
        <w:tc>
          <w:tcPr>
            <w:tcW w:w="784" w:type="dxa"/>
            <w:tcBorders>
              <w:top w:val="single" w:sz="4" w:space="0" w:color="auto"/>
            </w:tcBorders>
            <w:noWrap/>
            <w:vAlign w:val="bottom"/>
            <w:hideMark/>
          </w:tcPr>
          <w:p w14:paraId="565E9EAB" w14:textId="70BAE203" w:rsidR="00835958" w:rsidRPr="001E7756" w:rsidRDefault="00835958" w:rsidP="00DA1318">
            <w:pPr>
              <w:jc w:val="right"/>
              <w:rPr>
                <w:color w:val="000000"/>
                <w:sz w:val="22"/>
                <w:szCs w:val="22"/>
              </w:rPr>
            </w:pPr>
            <w:r w:rsidRPr="001E7756">
              <w:rPr>
                <w:color w:val="000000"/>
                <w:sz w:val="22"/>
                <w:szCs w:val="22"/>
              </w:rPr>
              <w:t>19.29</w:t>
            </w:r>
            <w:r w:rsidR="00311470">
              <w:rPr>
                <w:color w:val="000000"/>
                <w:sz w:val="22"/>
                <w:szCs w:val="22"/>
              </w:rPr>
              <w:t xml:space="preserve"> ± 0.56</w:t>
            </w:r>
          </w:p>
        </w:tc>
        <w:tc>
          <w:tcPr>
            <w:tcW w:w="784" w:type="dxa"/>
            <w:tcBorders>
              <w:top w:val="single" w:sz="4" w:space="0" w:color="auto"/>
            </w:tcBorders>
            <w:noWrap/>
            <w:vAlign w:val="bottom"/>
            <w:hideMark/>
          </w:tcPr>
          <w:p w14:paraId="06F9EF8D" w14:textId="052E504F" w:rsidR="00835958" w:rsidRPr="001E7756" w:rsidRDefault="00835958" w:rsidP="00DA1318">
            <w:pPr>
              <w:jc w:val="right"/>
              <w:rPr>
                <w:color w:val="000000"/>
                <w:sz w:val="22"/>
                <w:szCs w:val="22"/>
              </w:rPr>
            </w:pPr>
            <w:r w:rsidRPr="001E7756">
              <w:rPr>
                <w:color w:val="000000"/>
                <w:sz w:val="22"/>
                <w:szCs w:val="22"/>
              </w:rPr>
              <w:t>593.94</w:t>
            </w:r>
            <w:r w:rsidR="00311470">
              <w:rPr>
                <w:color w:val="000000"/>
                <w:sz w:val="22"/>
                <w:szCs w:val="22"/>
              </w:rPr>
              <w:t xml:space="preserve"> ± 8.33</w:t>
            </w:r>
          </w:p>
        </w:tc>
        <w:tc>
          <w:tcPr>
            <w:tcW w:w="784" w:type="dxa"/>
            <w:tcBorders>
              <w:top w:val="single" w:sz="4" w:space="0" w:color="auto"/>
            </w:tcBorders>
            <w:noWrap/>
            <w:vAlign w:val="bottom"/>
            <w:hideMark/>
          </w:tcPr>
          <w:p w14:paraId="3D679724" w14:textId="77777777" w:rsidR="00835958" w:rsidRPr="001E7756" w:rsidRDefault="00835958" w:rsidP="00DA1318">
            <w:pPr>
              <w:jc w:val="right"/>
              <w:rPr>
                <w:color w:val="000000"/>
                <w:sz w:val="22"/>
                <w:szCs w:val="22"/>
              </w:rPr>
            </w:pPr>
            <w:r w:rsidRPr="001E7756">
              <w:rPr>
                <w:color w:val="000000"/>
                <w:sz w:val="22"/>
                <w:szCs w:val="22"/>
              </w:rPr>
              <w:t>4.33</w:t>
            </w:r>
          </w:p>
        </w:tc>
        <w:tc>
          <w:tcPr>
            <w:tcW w:w="784" w:type="dxa"/>
            <w:tcBorders>
              <w:top w:val="single" w:sz="4" w:space="0" w:color="auto"/>
            </w:tcBorders>
            <w:noWrap/>
            <w:vAlign w:val="bottom"/>
            <w:hideMark/>
          </w:tcPr>
          <w:p w14:paraId="4A1E0C48" w14:textId="77777777" w:rsidR="00835958" w:rsidRPr="001E7756" w:rsidRDefault="00835958" w:rsidP="00DA1318">
            <w:pPr>
              <w:jc w:val="right"/>
              <w:rPr>
                <w:color w:val="000000"/>
                <w:sz w:val="22"/>
                <w:szCs w:val="22"/>
              </w:rPr>
            </w:pPr>
            <w:r w:rsidRPr="001E7756">
              <w:rPr>
                <w:color w:val="000000"/>
                <w:sz w:val="22"/>
                <w:szCs w:val="22"/>
              </w:rPr>
              <w:t>4.75</w:t>
            </w:r>
          </w:p>
        </w:tc>
        <w:tc>
          <w:tcPr>
            <w:tcW w:w="784" w:type="dxa"/>
            <w:tcBorders>
              <w:top w:val="single" w:sz="4" w:space="0" w:color="auto"/>
            </w:tcBorders>
            <w:noWrap/>
            <w:vAlign w:val="bottom"/>
            <w:hideMark/>
          </w:tcPr>
          <w:p w14:paraId="7DC9F594" w14:textId="77777777" w:rsidR="00835958" w:rsidRPr="001E7756" w:rsidRDefault="00835958" w:rsidP="00DA1318">
            <w:pPr>
              <w:jc w:val="right"/>
              <w:rPr>
                <w:color w:val="000000"/>
                <w:sz w:val="22"/>
                <w:szCs w:val="22"/>
              </w:rPr>
            </w:pPr>
            <w:r w:rsidRPr="001E7756">
              <w:rPr>
                <w:color w:val="000000"/>
                <w:sz w:val="22"/>
                <w:szCs w:val="22"/>
              </w:rPr>
              <w:t>8.27</w:t>
            </w:r>
          </w:p>
        </w:tc>
        <w:tc>
          <w:tcPr>
            <w:tcW w:w="1016" w:type="dxa"/>
            <w:tcBorders>
              <w:top w:val="single" w:sz="4" w:space="0" w:color="auto"/>
            </w:tcBorders>
            <w:noWrap/>
            <w:vAlign w:val="bottom"/>
            <w:hideMark/>
          </w:tcPr>
          <w:p w14:paraId="47DF1D49" w14:textId="77777777" w:rsidR="00835958" w:rsidRPr="001E7756" w:rsidRDefault="00835958" w:rsidP="00DA1318">
            <w:pPr>
              <w:jc w:val="right"/>
              <w:rPr>
                <w:color w:val="000000"/>
                <w:sz w:val="22"/>
                <w:szCs w:val="22"/>
              </w:rPr>
            </w:pPr>
            <w:r w:rsidRPr="001E7756">
              <w:rPr>
                <w:color w:val="000000"/>
                <w:sz w:val="22"/>
                <w:szCs w:val="22"/>
              </w:rPr>
              <w:t>0.03</w:t>
            </w:r>
          </w:p>
        </w:tc>
        <w:tc>
          <w:tcPr>
            <w:tcW w:w="1016" w:type="dxa"/>
            <w:tcBorders>
              <w:top w:val="single" w:sz="4" w:space="0" w:color="auto"/>
            </w:tcBorders>
            <w:noWrap/>
            <w:vAlign w:val="bottom"/>
            <w:hideMark/>
          </w:tcPr>
          <w:p w14:paraId="5573505C" w14:textId="77777777" w:rsidR="00835958" w:rsidRPr="001E7756" w:rsidRDefault="00835958" w:rsidP="00DA1318">
            <w:pPr>
              <w:jc w:val="right"/>
              <w:rPr>
                <w:color w:val="000000"/>
                <w:sz w:val="22"/>
                <w:szCs w:val="22"/>
              </w:rPr>
            </w:pPr>
            <w:r w:rsidRPr="001E7756">
              <w:rPr>
                <w:color w:val="000000"/>
                <w:sz w:val="22"/>
                <w:szCs w:val="22"/>
              </w:rPr>
              <w:t>3.95</w:t>
            </w:r>
          </w:p>
        </w:tc>
        <w:tc>
          <w:tcPr>
            <w:tcW w:w="1016" w:type="dxa"/>
            <w:tcBorders>
              <w:top w:val="single" w:sz="4" w:space="0" w:color="auto"/>
            </w:tcBorders>
            <w:noWrap/>
            <w:vAlign w:val="bottom"/>
            <w:hideMark/>
          </w:tcPr>
          <w:p w14:paraId="43DEC744" w14:textId="77777777" w:rsidR="00835958" w:rsidRPr="001E7756" w:rsidRDefault="00835958" w:rsidP="00DA1318">
            <w:pPr>
              <w:jc w:val="right"/>
              <w:rPr>
                <w:color w:val="000000"/>
                <w:sz w:val="22"/>
                <w:szCs w:val="22"/>
              </w:rPr>
            </w:pPr>
            <w:r w:rsidRPr="001E7756">
              <w:rPr>
                <w:color w:val="000000"/>
                <w:sz w:val="22"/>
                <w:szCs w:val="22"/>
              </w:rPr>
              <w:t>2.94</w:t>
            </w:r>
          </w:p>
        </w:tc>
        <w:tc>
          <w:tcPr>
            <w:tcW w:w="1016" w:type="dxa"/>
            <w:tcBorders>
              <w:top w:val="single" w:sz="4" w:space="0" w:color="auto"/>
            </w:tcBorders>
            <w:noWrap/>
            <w:vAlign w:val="bottom"/>
            <w:hideMark/>
          </w:tcPr>
          <w:p w14:paraId="548F607B" w14:textId="77777777" w:rsidR="00835958" w:rsidRPr="001E7756" w:rsidRDefault="00835958" w:rsidP="00DA1318">
            <w:pPr>
              <w:jc w:val="right"/>
              <w:rPr>
                <w:color w:val="000000"/>
                <w:sz w:val="22"/>
                <w:szCs w:val="22"/>
              </w:rPr>
            </w:pPr>
            <w:r w:rsidRPr="001E7756">
              <w:rPr>
                <w:color w:val="000000"/>
                <w:sz w:val="22"/>
                <w:szCs w:val="22"/>
              </w:rPr>
              <w:t>0.05</w:t>
            </w:r>
          </w:p>
        </w:tc>
      </w:tr>
      <w:tr w:rsidR="00835958" w:rsidRPr="001E7756" w14:paraId="1DA24118" w14:textId="77777777" w:rsidTr="00BB0028">
        <w:trPr>
          <w:trHeight w:val="260"/>
        </w:trPr>
        <w:tc>
          <w:tcPr>
            <w:tcW w:w="1216" w:type="dxa"/>
            <w:noWrap/>
            <w:vAlign w:val="bottom"/>
            <w:hideMark/>
          </w:tcPr>
          <w:p w14:paraId="7A63BA0B" w14:textId="77777777" w:rsidR="00835958" w:rsidRPr="001E7756" w:rsidRDefault="00835958" w:rsidP="00DA1318">
            <w:pPr>
              <w:rPr>
                <w:color w:val="000000"/>
                <w:sz w:val="22"/>
                <w:szCs w:val="22"/>
              </w:rPr>
            </w:pPr>
            <w:r w:rsidRPr="001E7756">
              <w:rPr>
                <w:color w:val="000000"/>
                <w:sz w:val="22"/>
                <w:szCs w:val="22"/>
              </w:rPr>
              <w:t xml:space="preserve">Ikot </w:t>
            </w:r>
            <w:proofErr w:type="spellStart"/>
            <w:r w:rsidRPr="001E7756">
              <w:rPr>
                <w:color w:val="000000"/>
                <w:sz w:val="22"/>
                <w:szCs w:val="22"/>
              </w:rPr>
              <w:t>Ekpene</w:t>
            </w:r>
            <w:proofErr w:type="spellEnd"/>
          </w:p>
        </w:tc>
        <w:tc>
          <w:tcPr>
            <w:tcW w:w="785" w:type="dxa"/>
            <w:noWrap/>
            <w:vAlign w:val="bottom"/>
            <w:hideMark/>
          </w:tcPr>
          <w:p w14:paraId="5EE53CEB" w14:textId="0FB46B1F" w:rsidR="00835958" w:rsidRPr="001E7756" w:rsidRDefault="00835958" w:rsidP="00DA1318">
            <w:pPr>
              <w:jc w:val="right"/>
              <w:rPr>
                <w:color w:val="000000"/>
                <w:sz w:val="22"/>
                <w:szCs w:val="22"/>
              </w:rPr>
            </w:pPr>
            <w:r w:rsidRPr="001E7756">
              <w:rPr>
                <w:color w:val="000000"/>
                <w:sz w:val="22"/>
                <w:szCs w:val="22"/>
              </w:rPr>
              <w:t>18.19</w:t>
            </w:r>
            <w:r w:rsidR="00311470">
              <w:rPr>
                <w:color w:val="000000"/>
                <w:sz w:val="22"/>
                <w:szCs w:val="22"/>
              </w:rPr>
              <w:t xml:space="preserve"> ± 0.31</w:t>
            </w:r>
          </w:p>
        </w:tc>
        <w:tc>
          <w:tcPr>
            <w:tcW w:w="784" w:type="dxa"/>
            <w:noWrap/>
            <w:vAlign w:val="bottom"/>
            <w:hideMark/>
          </w:tcPr>
          <w:p w14:paraId="1B5EE634" w14:textId="2A7CB543" w:rsidR="00835958" w:rsidRPr="001E7756" w:rsidRDefault="00835958" w:rsidP="00DA1318">
            <w:pPr>
              <w:jc w:val="right"/>
              <w:rPr>
                <w:color w:val="000000"/>
                <w:sz w:val="22"/>
                <w:szCs w:val="22"/>
              </w:rPr>
            </w:pPr>
            <w:r w:rsidRPr="001E7756">
              <w:rPr>
                <w:color w:val="000000"/>
                <w:sz w:val="22"/>
                <w:szCs w:val="22"/>
              </w:rPr>
              <w:t>17.77</w:t>
            </w:r>
            <w:r w:rsidR="00311470">
              <w:rPr>
                <w:color w:val="000000"/>
                <w:sz w:val="22"/>
                <w:szCs w:val="22"/>
              </w:rPr>
              <w:t xml:space="preserve"> ± 0.54</w:t>
            </w:r>
          </w:p>
        </w:tc>
        <w:tc>
          <w:tcPr>
            <w:tcW w:w="784" w:type="dxa"/>
            <w:noWrap/>
            <w:vAlign w:val="bottom"/>
            <w:hideMark/>
          </w:tcPr>
          <w:p w14:paraId="22B222C6" w14:textId="355E3942" w:rsidR="00835958" w:rsidRPr="001E7756" w:rsidRDefault="00835958" w:rsidP="00DA1318">
            <w:pPr>
              <w:jc w:val="right"/>
              <w:rPr>
                <w:color w:val="000000"/>
                <w:sz w:val="22"/>
                <w:szCs w:val="22"/>
              </w:rPr>
            </w:pPr>
            <w:r w:rsidRPr="001E7756">
              <w:rPr>
                <w:color w:val="000000"/>
                <w:sz w:val="22"/>
                <w:szCs w:val="22"/>
              </w:rPr>
              <w:t>637.72</w:t>
            </w:r>
            <w:r w:rsidR="00311470">
              <w:rPr>
                <w:color w:val="000000"/>
                <w:sz w:val="22"/>
                <w:szCs w:val="22"/>
              </w:rPr>
              <w:t xml:space="preserve"> ± 9.72</w:t>
            </w:r>
          </w:p>
        </w:tc>
        <w:tc>
          <w:tcPr>
            <w:tcW w:w="784" w:type="dxa"/>
            <w:noWrap/>
            <w:vAlign w:val="bottom"/>
            <w:hideMark/>
          </w:tcPr>
          <w:p w14:paraId="26ECBD27" w14:textId="3BA1AB02" w:rsidR="00835958" w:rsidRPr="001E7756" w:rsidRDefault="00835958" w:rsidP="00DA1318">
            <w:pPr>
              <w:jc w:val="right"/>
              <w:rPr>
                <w:color w:val="000000"/>
                <w:sz w:val="22"/>
                <w:szCs w:val="22"/>
              </w:rPr>
            </w:pPr>
            <w:r w:rsidRPr="001E7756">
              <w:rPr>
                <w:color w:val="000000"/>
                <w:sz w:val="22"/>
                <w:szCs w:val="22"/>
              </w:rPr>
              <w:t>5.00</w:t>
            </w:r>
          </w:p>
        </w:tc>
        <w:tc>
          <w:tcPr>
            <w:tcW w:w="784" w:type="dxa"/>
            <w:noWrap/>
            <w:vAlign w:val="bottom"/>
            <w:hideMark/>
          </w:tcPr>
          <w:p w14:paraId="632155FC" w14:textId="77777777" w:rsidR="00835958" w:rsidRPr="001E7756" w:rsidRDefault="00835958" w:rsidP="00DA1318">
            <w:pPr>
              <w:jc w:val="right"/>
              <w:rPr>
                <w:color w:val="000000"/>
                <w:sz w:val="22"/>
                <w:szCs w:val="22"/>
              </w:rPr>
            </w:pPr>
            <w:r w:rsidRPr="001E7756">
              <w:rPr>
                <w:color w:val="000000"/>
                <w:sz w:val="22"/>
                <w:szCs w:val="22"/>
              </w:rPr>
              <w:t>5.42</w:t>
            </w:r>
          </w:p>
        </w:tc>
        <w:tc>
          <w:tcPr>
            <w:tcW w:w="784" w:type="dxa"/>
            <w:noWrap/>
            <w:vAlign w:val="bottom"/>
            <w:hideMark/>
          </w:tcPr>
          <w:p w14:paraId="10EC9611" w14:textId="77777777" w:rsidR="00835958" w:rsidRPr="001E7756" w:rsidRDefault="00835958" w:rsidP="00DA1318">
            <w:pPr>
              <w:jc w:val="right"/>
              <w:rPr>
                <w:color w:val="000000"/>
                <w:sz w:val="22"/>
                <w:szCs w:val="22"/>
              </w:rPr>
            </w:pPr>
            <w:r w:rsidRPr="001E7756">
              <w:rPr>
                <w:color w:val="000000"/>
                <w:sz w:val="22"/>
                <w:szCs w:val="22"/>
              </w:rPr>
              <w:t>9.35</w:t>
            </w:r>
          </w:p>
        </w:tc>
        <w:tc>
          <w:tcPr>
            <w:tcW w:w="1016" w:type="dxa"/>
            <w:noWrap/>
            <w:vAlign w:val="bottom"/>
            <w:hideMark/>
          </w:tcPr>
          <w:p w14:paraId="5F45C4C5" w14:textId="77777777" w:rsidR="00835958" w:rsidRPr="001E7756" w:rsidRDefault="00835958" w:rsidP="00DA1318">
            <w:pPr>
              <w:jc w:val="right"/>
              <w:rPr>
                <w:color w:val="000000"/>
                <w:sz w:val="22"/>
                <w:szCs w:val="22"/>
              </w:rPr>
            </w:pPr>
            <w:r w:rsidRPr="001E7756">
              <w:rPr>
                <w:color w:val="000000"/>
                <w:sz w:val="22"/>
                <w:szCs w:val="22"/>
              </w:rPr>
              <w:t>0.02</w:t>
            </w:r>
          </w:p>
        </w:tc>
        <w:tc>
          <w:tcPr>
            <w:tcW w:w="1016" w:type="dxa"/>
            <w:noWrap/>
            <w:vAlign w:val="bottom"/>
            <w:hideMark/>
          </w:tcPr>
          <w:p w14:paraId="129A950F" w14:textId="77777777" w:rsidR="00835958" w:rsidRPr="001E7756" w:rsidRDefault="00835958" w:rsidP="00DA1318">
            <w:pPr>
              <w:jc w:val="right"/>
              <w:rPr>
                <w:color w:val="000000"/>
                <w:sz w:val="22"/>
                <w:szCs w:val="22"/>
              </w:rPr>
            </w:pPr>
            <w:r w:rsidRPr="001E7756">
              <w:rPr>
                <w:color w:val="000000"/>
                <w:sz w:val="22"/>
                <w:szCs w:val="22"/>
              </w:rPr>
              <w:t>4.73</w:t>
            </w:r>
          </w:p>
        </w:tc>
        <w:tc>
          <w:tcPr>
            <w:tcW w:w="1016" w:type="dxa"/>
            <w:noWrap/>
            <w:vAlign w:val="bottom"/>
            <w:hideMark/>
          </w:tcPr>
          <w:p w14:paraId="4F550B9B" w14:textId="77777777" w:rsidR="00835958" w:rsidRPr="001E7756" w:rsidRDefault="00835958" w:rsidP="00DA1318">
            <w:pPr>
              <w:jc w:val="right"/>
              <w:rPr>
                <w:color w:val="000000"/>
                <w:sz w:val="22"/>
                <w:szCs w:val="22"/>
              </w:rPr>
            </w:pPr>
            <w:r w:rsidRPr="001E7756">
              <w:rPr>
                <w:color w:val="000000"/>
                <w:sz w:val="22"/>
                <w:szCs w:val="22"/>
              </w:rPr>
              <w:t>2.63</w:t>
            </w:r>
          </w:p>
        </w:tc>
        <w:tc>
          <w:tcPr>
            <w:tcW w:w="1016" w:type="dxa"/>
            <w:noWrap/>
            <w:vAlign w:val="bottom"/>
            <w:hideMark/>
          </w:tcPr>
          <w:p w14:paraId="0CAB2B21" w14:textId="77777777" w:rsidR="00835958" w:rsidRPr="001E7756" w:rsidRDefault="00835958" w:rsidP="00DA1318">
            <w:pPr>
              <w:jc w:val="right"/>
              <w:rPr>
                <w:color w:val="000000"/>
                <w:sz w:val="22"/>
                <w:szCs w:val="22"/>
              </w:rPr>
            </w:pPr>
            <w:r w:rsidRPr="001E7756">
              <w:rPr>
                <w:color w:val="000000"/>
                <w:sz w:val="22"/>
                <w:szCs w:val="22"/>
              </w:rPr>
              <w:t>0.06</w:t>
            </w:r>
          </w:p>
        </w:tc>
      </w:tr>
      <w:tr w:rsidR="00835958" w:rsidRPr="001E7756" w14:paraId="1B0CEDCC" w14:textId="77777777" w:rsidTr="00BB0028">
        <w:trPr>
          <w:trHeight w:val="266"/>
        </w:trPr>
        <w:tc>
          <w:tcPr>
            <w:tcW w:w="1216" w:type="dxa"/>
            <w:noWrap/>
            <w:vAlign w:val="bottom"/>
            <w:hideMark/>
          </w:tcPr>
          <w:p w14:paraId="74A800B8" w14:textId="77777777" w:rsidR="00835958" w:rsidRPr="001E7756" w:rsidRDefault="00835958" w:rsidP="00DA1318">
            <w:pPr>
              <w:rPr>
                <w:color w:val="000000"/>
                <w:sz w:val="22"/>
                <w:szCs w:val="22"/>
              </w:rPr>
            </w:pPr>
            <w:proofErr w:type="spellStart"/>
            <w:r w:rsidRPr="001E7756">
              <w:rPr>
                <w:color w:val="000000"/>
                <w:sz w:val="22"/>
                <w:szCs w:val="22"/>
              </w:rPr>
              <w:t>Ukanafun</w:t>
            </w:r>
            <w:proofErr w:type="spellEnd"/>
          </w:p>
        </w:tc>
        <w:tc>
          <w:tcPr>
            <w:tcW w:w="785" w:type="dxa"/>
            <w:noWrap/>
            <w:vAlign w:val="bottom"/>
            <w:hideMark/>
          </w:tcPr>
          <w:p w14:paraId="6C308C3A" w14:textId="2C118259" w:rsidR="00835958" w:rsidRPr="001E7756" w:rsidRDefault="00835958" w:rsidP="00DA1318">
            <w:pPr>
              <w:jc w:val="right"/>
              <w:rPr>
                <w:color w:val="000000"/>
                <w:sz w:val="22"/>
                <w:szCs w:val="22"/>
              </w:rPr>
            </w:pPr>
            <w:r w:rsidRPr="001E7756">
              <w:rPr>
                <w:color w:val="000000"/>
                <w:sz w:val="22"/>
                <w:szCs w:val="22"/>
              </w:rPr>
              <w:t>15.19</w:t>
            </w:r>
            <w:r w:rsidR="00311470">
              <w:rPr>
                <w:color w:val="000000"/>
                <w:sz w:val="22"/>
                <w:szCs w:val="22"/>
              </w:rPr>
              <w:t xml:space="preserve"> ± 0.28</w:t>
            </w:r>
          </w:p>
        </w:tc>
        <w:tc>
          <w:tcPr>
            <w:tcW w:w="784" w:type="dxa"/>
            <w:noWrap/>
            <w:vAlign w:val="bottom"/>
            <w:hideMark/>
          </w:tcPr>
          <w:p w14:paraId="1D8070CD" w14:textId="782FCDAA" w:rsidR="00835958" w:rsidRPr="001E7756" w:rsidRDefault="00835958" w:rsidP="00DA1318">
            <w:pPr>
              <w:jc w:val="right"/>
              <w:rPr>
                <w:color w:val="000000"/>
                <w:sz w:val="22"/>
                <w:szCs w:val="22"/>
              </w:rPr>
            </w:pPr>
            <w:r w:rsidRPr="001E7756">
              <w:rPr>
                <w:color w:val="000000"/>
                <w:sz w:val="22"/>
                <w:szCs w:val="22"/>
              </w:rPr>
              <w:t>22.27</w:t>
            </w:r>
            <w:r w:rsidR="00311470">
              <w:rPr>
                <w:color w:val="000000"/>
                <w:sz w:val="22"/>
                <w:szCs w:val="22"/>
              </w:rPr>
              <w:t xml:space="preserve"> </w:t>
            </w:r>
            <w:r w:rsidR="008B6D03">
              <w:rPr>
                <w:color w:val="000000"/>
                <w:sz w:val="22"/>
                <w:szCs w:val="22"/>
              </w:rPr>
              <w:t>± 0.62</w:t>
            </w:r>
          </w:p>
        </w:tc>
        <w:tc>
          <w:tcPr>
            <w:tcW w:w="784" w:type="dxa"/>
            <w:noWrap/>
            <w:vAlign w:val="bottom"/>
            <w:hideMark/>
          </w:tcPr>
          <w:p w14:paraId="63743952" w14:textId="4DDCA9B7" w:rsidR="00835958" w:rsidRPr="001E7756" w:rsidRDefault="00835958" w:rsidP="00DA1318">
            <w:pPr>
              <w:jc w:val="right"/>
              <w:rPr>
                <w:color w:val="000000"/>
                <w:sz w:val="22"/>
                <w:szCs w:val="22"/>
              </w:rPr>
            </w:pPr>
            <w:r w:rsidRPr="001E7756">
              <w:rPr>
                <w:color w:val="000000"/>
                <w:sz w:val="22"/>
                <w:szCs w:val="22"/>
              </w:rPr>
              <w:t>614.55</w:t>
            </w:r>
            <w:r w:rsidR="008B6D03">
              <w:rPr>
                <w:color w:val="000000"/>
                <w:sz w:val="22"/>
                <w:szCs w:val="22"/>
              </w:rPr>
              <w:t xml:space="preserve"> ± 9.41</w:t>
            </w:r>
          </w:p>
        </w:tc>
        <w:tc>
          <w:tcPr>
            <w:tcW w:w="784" w:type="dxa"/>
            <w:noWrap/>
            <w:vAlign w:val="bottom"/>
            <w:hideMark/>
          </w:tcPr>
          <w:p w14:paraId="7CC7D840" w14:textId="77777777" w:rsidR="00835958" w:rsidRPr="001E7756" w:rsidRDefault="00835958" w:rsidP="00DA1318">
            <w:pPr>
              <w:jc w:val="right"/>
              <w:rPr>
                <w:color w:val="000000"/>
                <w:sz w:val="22"/>
                <w:szCs w:val="22"/>
              </w:rPr>
            </w:pPr>
            <w:r w:rsidRPr="001E7756">
              <w:rPr>
                <w:color w:val="000000"/>
                <w:sz w:val="22"/>
                <w:szCs w:val="22"/>
              </w:rPr>
              <w:t>4.47</w:t>
            </w:r>
          </w:p>
        </w:tc>
        <w:tc>
          <w:tcPr>
            <w:tcW w:w="784" w:type="dxa"/>
            <w:noWrap/>
            <w:vAlign w:val="bottom"/>
            <w:hideMark/>
          </w:tcPr>
          <w:p w14:paraId="19C00ACF" w14:textId="77777777" w:rsidR="00835958" w:rsidRPr="001E7756" w:rsidRDefault="00835958" w:rsidP="00DA1318">
            <w:pPr>
              <w:jc w:val="right"/>
              <w:rPr>
                <w:color w:val="000000"/>
                <w:sz w:val="22"/>
                <w:szCs w:val="22"/>
              </w:rPr>
            </w:pPr>
            <w:r w:rsidRPr="001E7756">
              <w:rPr>
                <w:color w:val="000000"/>
                <w:sz w:val="22"/>
                <w:szCs w:val="22"/>
              </w:rPr>
              <w:t>4.93</w:t>
            </w:r>
          </w:p>
        </w:tc>
        <w:tc>
          <w:tcPr>
            <w:tcW w:w="784" w:type="dxa"/>
            <w:noWrap/>
            <w:vAlign w:val="bottom"/>
            <w:hideMark/>
          </w:tcPr>
          <w:p w14:paraId="776B6EE7" w14:textId="77777777" w:rsidR="00835958" w:rsidRPr="001E7756" w:rsidRDefault="00835958" w:rsidP="00DA1318">
            <w:pPr>
              <w:jc w:val="right"/>
              <w:rPr>
                <w:color w:val="000000"/>
                <w:sz w:val="22"/>
                <w:szCs w:val="22"/>
              </w:rPr>
            </w:pPr>
            <w:r w:rsidRPr="001E7756">
              <w:rPr>
                <w:color w:val="000000"/>
                <w:sz w:val="22"/>
                <w:szCs w:val="22"/>
              </w:rPr>
              <w:t>8.55</w:t>
            </w:r>
          </w:p>
        </w:tc>
        <w:tc>
          <w:tcPr>
            <w:tcW w:w="1016" w:type="dxa"/>
            <w:noWrap/>
            <w:vAlign w:val="bottom"/>
            <w:hideMark/>
          </w:tcPr>
          <w:p w14:paraId="6F8A8D99" w14:textId="77777777" w:rsidR="00835958" w:rsidRPr="001E7756" w:rsidRDefault="00835958" w:rsidP="00DA1318">
            <w:pPr>
              <w:jc w:val="right"/>
              <w:rPr>
                <w:color w:val="000000"/>
                <w:sz w:val="22"/>
                <w:szCs w:val="22"/>
              </w:rPr>
            </w:pPr>
            <w:r w:rsidRPr="001E7756">
              <w:rPr>
                <w:color w:val="000000"/>
                <w:sz w:val="22"/>
                <w:szCs w:val="22"/>
              </w:rPr>
              <w:t>0.03</w:t>
            </w:r>
          </w:p>
        </w:tc>
        <w:tc>
          <w:tcPr>
            <w:tcW w:w="1016" w:type="dxa"/>
            <w:noWrap/>
            <w:vAlign w:val="bottom"/>
            <w:hideMark/>
          </w:tcPr>
          <w:p w14:paraId="31672630" w14:textId="77777777" w:rsidR="00835958" w:rsidRPr="001E7756" w:rsidRDefault="00835958" w:rsidP="00DA1318">
            <w:pPr>
              <w:jc w:val="right"/>
              <w:rPr>
                <w:color w:val="000000"/>
                <w:sz w:val="22"/>
                <w:szCs w:val="22"/>
              </w:rPr>
            </w:pPr>
            <w:r w:rsidRPr="001E7756">
              <w:rPr>
                <w:color w:val="000000"/>
                <w:sz w:val="22"/>
                <w:szCs w:val="22"/>
              </w:rPr>
              <w:t>5.04</w:t>
            </w:r>
          </w:p>
        </w:tc>
        <w:tc>
          <w:tcPr>
            <w:tcW w:w="1016" w:type="dxa"/>
            <w:noWrap/>
            <w:vAlign w:val="bottom"/>
            <w:hideMark/>
          </w:tcPr>
          <w:p w14:paraId="5D30BFCD" w14:textId="77777777" w:rsidR="00835958" w:rsidRPr="001E7756" w:rsidRDefault="00835958" w:rsidP="00DA1318">
            <w:pPr>
              <w:jc w:val="right"/>
              <w:rPr>
                <w:color w:val="000000"/>
                <w:sz w:val="22"/>
                <w:szCs w:val="22"/>
              </w:rPr>
            </w:pPr>
            <w:r w:rsidRPr="001E7756">
              <w:rPr>
                <w:color w:val="000000"/>
                <w:sz w:val="22"/>
                <w:szCs w:val="22"/>
              </w:rPr>
              <w:t>3.96</w:t>
            </w:r>
          </w:p>
        </w:tc>
        <w:tc>
          <w:tcPr>
            <w:tcW w:w="1016" w:type="dxa"/>
            <w:noWrap/>
            <w:vAlign w:val="bottom"/>
            <w:hideMark/>
          </w:tcPr>
          <w:p w14:paraId="323AF670" w14:textId="77777777" w:rsidR="00835958" w:rsidRPr="001E7756" w:rsidRDefault="00835958" w:rsidP="00DA1318">
            <w:pPr>
              <w:jc w:val="right"/>
              <w:rPr>
                <w:color w:val="000000"/>
                <w:sz w:val="22"/>
                <w:szCs w:val="22"/>
              </w:rPr>
            </w:pPr>
            <w:r w:rsidRPr="001E7756">
              <w:rPr>
                <w:color w:val="000000"/>
                <w:sz w:val="22"/>
                <w:szCs w:val="22"/>
              </w:rPr>
              <w:t>0.06</w:t>
            </w:r>
          </w:p>
        </w:tc>
      </w:tr>
      <w:tr w:rsidR="00835958" w:rsidRPr="001E7756" w14:paraId="3091CF44" w14:textId="77777777" w:rsidTr="00BB0028">
        <w:trPr>
          <w:trHeight w:val="266"/>
        </w:trPr>
        <w:tc>
          <w:tcPr>
            <w:tcW w:w="1216" w:type="dxa"/>
            <w:tcBorders>
              <w:bottom w:val="single" w:sz="4" w:space="0" w:color="auto"/>
            </w:tcBorders>
            <w:noWrap/>
            <w:vAlign w:val="bottom"/>
            <w:hideMark/>
          </w:tcPr>
          <w:p w14:paraId="5A0B6D0C" w14:textId="77777777" w:rsidR="00835958" w:rsidRPr="001E7756" w:rsidRDefault="00835958" w:rsidP="00DA1318">
            <w:pPr>
              <w:rPr>
                <w:color w:val="000000"/>
                <w:sz w:val="22"/>
                <w:szCs w:val="22"/>
              </w:rPr>
            </w:pPr>
            <w:r w:rsidRPr="001E7756">
              <w:rPr>
                <w:color w:val="000000"/>
                <w:sz w:val="22"/>
                <w:szCs w:val="22"/>
              </w:rPr>
              <w:t>Etim Ekpo</w:t>
            </w:r>
          </w:p>
        </w:tc>
        <w:tc>
          <w:tcPr>
            <w:tcW w:w="785" w:type="dxa"/>
            <w:tcBorders>
              <w:bottom w:val="single" w:sz="4" w:space="0" w:color="auto"/>
            </w:tcBorders>
            <w:noWrap/>
            <w:vAlign w:val="bottom"/>
            <w:hideMark/>
          </w:tcPr>
          <w:p w14:paraId="03633935" w14:textId="3211B504" w:rsidR="00835958" w:rsidRPr="001E7756" w:rsidRDefault="00835958" w:rsidP="00DA1318">
            <w:pPr>
              <w:jc w:val="right"/>
              <w:rPr>
                <w:color w:val="000000"/>
                <w:sz w:val="22"/>
                <w:szCs w:val="22"/>
              </w:rPr>
            </w:pPr>
            <w:r w:rsidRPr="001E7756">
              <w:rPr>
                <w:color w:val="000000"/>
                <w:sz w:val="22"/>
                <w:szCs w:val="22"/>
              </w:rPr>
              <w:t>16.36</w:t>
            </w:r>
            <w:r w:rsidR="008B6D03">
              <w:rPr>
                <w:color w:val="000000"/>
                <w:sz w:val="22"/>
                <w:szCs w:val="22"/>
              </w:rPr>
              <w:t xml:space="preserve"> ± 0.29</w:t>
            </w:r>
          </w:p>
        </w:tc>
        <w:tc>
          <w:tcPr>
            <w:tcW w:w="784" w:type="dxa"/>
            <w:tcBorders>
              <w:bottom w:val="single" w:sz="4" w:space="0" w:color="auto"/>
            </w:tcBorders>
            <w:noWrap/>
            <w:vAlign w:val="bottom"/>
            <w:hideMark/>
          </w:tcPr>
          <w:p w14:paraId="1096638C" w14:textId="4295C87C" w:rsidR="00835958" w:rsidRPr="001E7756" w:rsidRDefault="00835958" w:rsidP="00DA1318">
            <w:pPr>
              <w:jc w:val="right"/>
              <w:rPr>
                <w:color w:val="000000"/>
                <w:sz w:val="22"/>
                <w:szCs w:val="22"/>
              </w:rPr>
            </w:pPr>
            <w:r w:rsidRPr="001E7756">
              <w:rPr>
                <w:color w:val="000000"/>
                <w:sz w:val="22"/>
                <w:szCs w:val="22"/>
              </w:rPr>
              <w:t>21.08</w:t>
            </w:r>
            <w:r w:rsidR="008B6D03">
              <w:rPr>
                <w:color w:val="000000"/>
                <w:sz w:val="22"/>
                <w:szCs w:val="22"/>
              </w:rPr>
              <w:t xml:space="preserve"> ± 0.59</w:t>
            </w:r>
          </w:p>
        </w:tc>
        <w:tc>
          <w:tcPr>
            <w:tcW w:w="784" w:type="dxa"/>
            <w:tcBorders>
              <w:bottom w:val="single" w:sz="4" w:space="0" w:color="auto"/>
            </w:tcBorders>
            <w:noWrap/>
            <w:vAlign w:val="bottom"/>
            <w:hideMark/>
          </w:tcPr>
          <w:p w14:paraId="7475BBA9" w14:textId="47677432" w:rsidR="00835958" w:rsidRPr="001E7756" w:rsidRDefault="00835958" w:rsidP="00DA1318">
            <w:pPr>
              <w:jc w:val="right"/>
              <w:rPr>
                <w:color w:val="000000"/>
                <w:sz w:val="22"/>
                <w:szCs w:val="22"/>
              </w:rPr>
            </w:pPr>
            <w:r w:rsidRPr="001E7756">
              <w:rPr>
                <w:color w:val="000000"/>
                <w:sz w:val="22"/>
                <w:szCs w:val="22"/>
              </w:rPr>
              <w:t>581.21</w:t>
            </w:r>
            <w:r w:rsidR="008B6D03">
              <w:rPr>
                <w:color w:val="000000"/>
                <w:sz w:val="22"/>
                <w:szCs w:val="22"/>
              </w:rPr>
              <w:t xml:space="preserve"> ± 9.25 </w:t>
            </w:r>
          </w:p>
        </w:tc>
        <w:tc>
          <w:tcPr>
            <w:tcW w:w="784" w:type="dxa"/>
            <w:tcBorders>
              <w:bottom w:val="single" w:sz="4" w:space="0" w:color="auto"/>
            </w:tcBorders>
            <w:noWrap/>
            <w:vAlign w:val="bottom"/>
            <w:hideMark/>
          </w:tcPr>
          <w:p w14:paraId="63AD3F60" w14:textId="77777777" w:rsidR="00835958" w:rsidRPr="001E7756" w:rsidRDefault="00835958" w:rsidP="00DA1318">
            <w:pPr>
              <w:jc w:val="right"/>
              <w:rPr>
                <w:color w:val="000000"/>
                <w:sz w:val="22"/>
                <w:szCs w:val="22"/>
              </w:rPr>
            </w:pPr>
            <w:r w:rsidRPr="001E7756">
              <w:rPr>
                <w:color w:val="000000"/>
                <w:sz w:val="22"/>
                <w:szCs w:val="22"/>
              </w:rPr>
              <w:t>4.86</w:t>
            </w:r>
          </w:p>
        </w:tc>
        <w:tc>
          <w:tcPr>
            <w:tcW w:w="784" w:type="dxa"/>
            <w:tcBorders>
              <w:bottom w:val="single" w:sz="4" w:space="0" w:color="auto"/>
            </w:tcBorders>
            <w:noWrap/>
            <w:vAlign w:val="bottom"/>
            <w:hideMark/>
          </w:tcPr>
          <w:p w14:paraId="08651ED2" w14:textId="77777777" w:rsidR="00835958" w:rsidRPr="001E7756" w:rsidRDefault="00835958" w:rsidP="00DA1318">
            <w:pPr>
              <w:jc w:val="right"/>
              <w:rPr>
                <w:color w:val="000000"/>
                <w:sz w:val="22"/>
                <w:szCs w:val="22"/>
              </w:rPr>
            </w:pPr>
            <w:r w:rsidRPr="001E7756">
              <w:rPr>
                <w:color w:val="000000"/>
                <w:sz w:val="22"/>
                <w:szCs w:val="22"/>
              </w:rPr>
              <w:t>4.63</w:t>
            </w:r>
          </w:p>
        </w:tc>
        <w:tc>
          <w:tcPr>
            <w:tcW w:w="784" w:type="dxa"/>
            <w:tcBorders>
              <w:bottom w:val="single" w:sz="4" w:space="0" w:color="auto"/>
            </w:tcBorders>
            <w:noWrap/>
            <w:vAlign w:val="bottom"/>
            <w:hideMark/>
          </w:tcPr>
          <w:p w14:paraId="2A5C02B5" w14:textId="77777777" w:rsidR="00835958" w:rsidRPr="001E7756" w:rsidRDefault="00835958" w:rsidP="00DA1318">
            <w:pPr>
              <w:jc w:val="right"/>
              <w:rPr>
                <w:color w:val="000000"/>
                <w:sz w:val="22"/>
                <w:szCs w:val="22"/>
              </w:rPr>
            </w:pPr>
            <w:r w:rsidRPr="001E7756">
              <w:rPr>
                <w:color w:val="000000"/>
                <w:sz w:val="22"/>
                <w:szCs w:val="22"/>
              </w:rPr>
              <w:t>7.88</w:t>
            </w:r>
          </w:p>
        </w:tc>
        <w:tc>
          <w:tcPr>
            <w:tcW w:w="1016" w:type="dxa"/>
            <w:tcBorders>
              <w:bottom w:val="single" w:sz="4" w:space="0" w:color="auto"/>
            </w:tcBorders>
            <w:noWrap/>
            <w:vAlign w:val="bottom"/>
            <w:hideMark/>
          </w:tcPr>
          <w:p w14:paraId="26E097DF" w14:textId="77777777" w:rsidR="00835958" w:rsidRPr="001E7756" w:rsidRDefault="00835958" w:rsidP="00DA1318">
            <w:pPr>
              <w:jc w:val="right"/>
              <w:rPr>
                <w:color w:val="000000"/>
                <w:sz w:val="22"/>
                <w:szCs w:val="22"/>
              </w:rPr>
            </w:pPr>
            <w:r w:rsidRPr="001E7756">
              <w:rPr>
                <w:color w:val="000000"/>
                <w:sz w:val="22"/>
                <w:szCs w:val="22"/>
              </w:rPr>
              <w:t>0.03</w:t>
            </w:r>
          </w:p>
        </w:tc>
        <w:tc>
          <w:tcPr>
            <w:tcW w:w="1016" w:type="dxa"/>
            <w:tcBorders>
              <w:bottom w:val="single" w:sz="4" w:space="0" w:color="auto"/>
            </w:tcBorders>
            <w:noWrap/>
            <w:vAlign w:val="bottom"/>
            <w:hideMark/>
          </w:tcPr>
          <w:p w14:paraId="112F0FBF" w14:textId="77777777" w:rsidR="00835958" w:rsidRPr="001E7756" w:rsidRDefault="00835958" w:rsidP="00DA1318">
            <w:pPr>
              <w:jc w:val="right"/>
              <w:rPr>
                <w:color w:val="000000"/>
                <w:sz w:val="22"/>
                <w:szCs w:val="22"/>
              </w:rPr>
            </w:pPr>
            <w:r w:rsidRPr="001E7756">
              <w:rPr>
                <w:color w:val="000000"/>
                <w:sz w:val="22"/>
                <w:szCs w:val="22"/>
              </w:rPr>
              <w:t>5.04</w:t>
            </w:r>
          </w:p>
        </w:tc>
        <w:tc>
          <w:tcPr>
            <w:tcW w:w="1016" w:type="dxa"/>
            <w:tcBorders>
              <w:bottom w:val="single" w:sz="4" w:space="0" w:color="auto"/>
            </w:tcBorders>
            <w:noWrap/>
            <w:vAlign w:val="bottom"/>
            <w:hideMark/>
          </w:tcPr>
          <w:p w14:paraId="557BBBAC" w14:textId="77777777" w:rsidR="00835958" w:rsidRPr="001E7756" w:rsidRDefault="00835958" w:rsidP="00DA1318">
            <w:pPr>
              <w:jc w:val="right"/>
              <w:rPr>
                <w:color w:val="000000"/>
                <w:sz w:val="22"/>
                <w:szCs w:val="22"/>
              </w:rPr>
            </w:pPr>
            <w:r w:rsidRPr="001E7756">
              <w:rPr>
                <w:color w:val="000000"/>
                <w:sz w:val="22"/>
                <w:szCs w:val="22"/>
              </w:rPr>
              <w:t>3.05</w:t>
            </w:r>
          </w:p>
        </w:tc>
        <w:tc>
          <w:tcPr>
            <w:tcW w:w="1016" w:type="dxa"/>
            <w:tcBorders>
              <w:bottom w:val="single" w:sz="4" w:space="0" w:color="auto"/>
            </w:tcBorders>
            <w:noWrap/>
            <w:vAlign w:val="bottom"/>
            <w:hideMark/>
          </w:tcPr>
          <w:p w14:paraId="06DB928D" w14:textId="77777777" w:rsidR="00835958" w:rsidRPr="001E7756" w:rsidRDefault="00835958" w:rsidP="00DA1318">
            <w:pPr>
              <w:jc w:val="right"/>
              <w:rPr>
                <w:color w:val="000000"/>
                <w:sz w:val="22"/>
                <w:szCs w:val="22"/>
              </w:rPr>
            </w:pPr>
            <w:r w:rsidRPr="001E7756">
              <w:rPr>
                <w:color w:val="000000"/>
                <w:sz w:val="22"/>
                <w:szCs w:val="22"/>
              </w:rPr>
              <w:t>0.07</w:t>
            </w:r>
          </w:p>
        </w:tc>
      </w:tr>
    </w:tbl>
    <w:p w14:paraId="51D1376E" w14:textId="77777777" w:rsidR="00F60C8E" w:rsidRDefault="00F60C8E" w:rsidP="00835958">
      <w:pPr>
        <w:jc w:val="both"/>
        <w:rPr>
          <w:bCs/>
          <w:sz w:val="20"/>
          <w:szCs w:val="20"/>
        </w:rPr>
      </w:pPr>
    </w:p>
    <w:p w14:paraId="64C92557" w14:textId="3C23AF3C" w:rsidR="00835958" w:rsidRPr="001413CD" w:rsidRDefault="00835958" w:rsidP="00835958">
      <w:pPr>
        <w:jc w:val="both"/>
        <w:rPr>
          <w:bCs/>
          <w:i/>
          <w:iCs/>
          <w:sz w:val="20"/>
          <w:szCs w:val="20"/>
        </w:rPr>
      </w:pPr>
      <w:r w:rsidRPr="001413CD">
        <w:rPr>
          <w:bCs/>
          <w:i/>
          <w:iCs/>
          <w:sz w:val="20"/>
          <w:szCs w:val="20"/>
        </w:rPr>
        <w:t>Where %</w:t>
      </w:r>
      <w:r w:rsidR="004C0607">
        <w:rPr>
          <w:bCs/>
          <w:i/>
          <w:iCs/>
          <w:sz w:val="20"/>
          <w:szCs w:val="20"/>
        </w:rPr>
        <w:t xml:space="preserve"> </w:t>
      </w:r>
      <w:r w:rsidR="00F60C8E" w:rsidRPr="001413CD">
        <w:rPr>
          <w:bCs/>
          <w:i/>
          <w:iCs/>
          <w:sz w:val="20"/>
          <w:szCs w:val="20"/>
        </w:rPr>
        <w:t>S</w:t>
      </w:r>
      <w:r w:rsidRPr="001413CD">
        <w:rPr>
          <w:bCs/>
          <w:i/>
          <w:iCs/>
          <w:sz w:val="20"/>
          <w:szCs w:val="20"/>
        </w:rPr>
        <w:t xml:space="preserve">OC is the percentage </w:t>
      </w:r>
      <w:r w:rsidR="004C0607">
        <w:rPr>
          <w:bCs/>
          <w:i/>
          <w:iCs/>
          <w:sz w:val="20"/>
          <w:szCs w:val="20"/>
        </w:rPr>
        <w:t xml:space="preserve">soil </w:t>
      </w:r>
      <w:r w:rsidRPr="001413CD">
        <w:rPr>
          <w:bCs/>
          <w:i/>
          <w:iCs/>
          <w:sz w:val="20"/>
          <w:szCs w:val="20"/>
        </w:rPr>
        <w:t>organic carbon; %</w:t>
      </w:r>
      <w:r w:rsidR="004C0607">
        <w:rPr>
          <w:bCs/>
          <w:i/>
          <w:iCs/>
          <w:sz w:val="20"/>
          <w:szCs w:val="20"/>
        </w:rPr>
        <w:t xml:space="preserve"> </w:t>
      </w:r>
      <w:r w:rsidR="00F60C8E" w:rsidRPr="001413CD">
        <w:rPr>
          <w:bCs/>
          <w:i/>
          <w:iCs/>
          <w:sz w:val="20"/>
          <w:szCs w:val="20"/>
        </w:rPr>
        <w:t>S</w:t>
      </w:r>
      <w:r w:rsidRPr="001413CD">
        <w:rPr>
          <w:bCs/>
          <w:i/>
          <w:iCs/>
          <w:sz w:val="20"/>
          <w:szCs w:val="20"/>
        </w:rPr>
        <w:t xml:space="preserve">OM is the percentage </w:t>
      </w:r>
      <w:r w:rsidR="004C0607">
        <w:rPr>
          <w:bCs/>
          <w:i/>
          <w:iCs/>
          <w:sz w:val="20"/>
          <w:szCs w:val="20"/>
        </w:rPr>
        <w:t xml:space="preserve">soil </w:t>
      </w:r>
      <w:r w:rsidRPr="001413CD">
        <w:rPr>
          <w:bCs/>
          <w:i/>
          <w:iCs/>
          <w:sz w:val="20"/>
          <w:szCs w:val="20"/>
        </w:rPr>
        <w:t>organic matter, K is potassium; Ca is calcium; Mg is magnesium; Na is sodium</w:t>
      </w:r>
    </w:p>
    <w:p w14:paraId="63B7B368" w14:textId="77777777" w:rsidR="008A4ABA" w:rsidRDefault="008A4ABA">
      <w:pPr>
        <w:spacing w:before="60" w:after="60"/>
      </w:pPr>
    </w:p>
    <w:p w14:paraId="671F27EC" w14:textId="77777777" w:rsidR="00EF0A95" w:rsidRPr="00DD172F" w:rsidRDefault="00EF0A95">
      <w:pPr>
        <w:spacing w:before="100" w:after="100" w:line="360" w:lineRule="auto"/>
        <w:jc w:val="both"/>
        <w:rPr>
          <w:b/>
          <w:bCs/>
        </w:rPr>
      </w:pPr>
      <w:r w:rsidRPr="00DD172F">
        <w:rPr>
          <w:b/>
          <w:bCs/>
        </w:rPr>
        <w:t>3.2 Particle Size Distribution and Radionuclide Transfer Factors</w:t>
      </w:r>
    </w:p>
    <w:p w14:paraId="264C8CCE" w14:textId="409D219C" w:rsidR="008A4ABA" w:rsidRDefault="00555ED3">
      <w:pPr>
        <w:spacing w:before="100" w:after="100" w:line="360" w:lineRule="auto"/>
        <w:jc w:val="both"/>
      </w:pPr>
      <w:r>
        <w:t xml:space="preserve">Table 2 presents the soil particle size distribution and mean transfer factors for ²³⁸U (TFᵤ), ²³²Th (TFₜₕ), and ⁴⁰K (TFₖ) across the four LGAs. Sand content predominated in all locations, with values decreasing from </w:t>
      </w:r>
      <w:proofErr w:type="spellStart"/>
      <w:r>
        <w:t>Abak</w:t>
      </w:r>
      <w:proofErr w:type="spellEnd"/>
      <w:r>
        <w:t xml:space="preserve"> (80.45%) to Etim Ekpo (54.42%), while clay content increased from 13.11% in </w:t>
      </w:r>
      <w:proofErr w:type="spellStart"/>
      <w:r>
        <w:t>Abak</w:t>
      </w:r>
      <w:proofErr w:type="spellEnd"/>
      <w:r>
        <w:t xml:space="preserve"> to 19.00% in Etim Ekpo. Silt content varied considerably, reaching a maximum of 18.86% in </w:t>
      </w:r>
      <w:proofErr w:type="spellStart"/>
      <w:r>
        <w:t>Ukanafun</w:t>
      </w:r>
      <w:proofErr w:type="spellEnd"/>
      <w:r>
        <w:t>.</w:t>
      </w:r>
    </w:p>
    <w:p w14:paraId="61C27594" w14:textId="72DB2652" w:rsidR="008A4ABA" w:rsidRDefault="00555ED3">
      <w:pPr>
        <w:spacing w:before="100" w:after="100" w:line="360" w:lineRule="auto"/>
        <w:jc w:val="both"/>
      </w:pPr>
      <w:r>
        <w:t>Transfer factors for ²³⁸U ranged from 0.91 (</w:t>
      </w:r>
      <w:proofErr w:type="spellStart"/>
      <w:r>
        <w:t>Ukanafun</w:t>
      </w:r>
      <w:proofErr w:type="spellEnd"/>
      <w:r>
        <w:t xml:space="preserve">) to 1.08 (Etim Ekpo), with values exceeding unity in Ikot </w:t>
      </w:r>
      <w:proofErr w:type="spellStart"/>
      <w:r>
        <w:t>Ekpene</w:t>
      </w:r>
      <w:proofErr w:type="spellEnd"/>
      <w:r>
        <w:t xml:space="preserve"> (1.04) and Etim Ekpo (1.08), indicating that cassava tubers in those locations contained higher ²³⁸U concentrations than the corresponding soils. TFₜₕ was consistently below unity (0.30–0.49), indicating lower thorium bioavailability relative to uranium, a pattern consistent with thorium’s strong soil sorption characteristics (</w:t>
      </w:r>
      <w:proofErr w:type="spellStart"/>
      <w:r>
        <w:t>Orosun</w:t>
      </w:r>
      <w:proofErr w:type="spellEnd"/>
      <w:r>
        <w:t xml:space="preserve"> et al., 2022; </w:t>
      </w:r>
      <w:proofErr w:type="spellStart"/>
      <w:r>
        <w:t>Akankpo</w:t>
      </w:r>
      <w:proofErr w:type="spellEnd"/>
      <w:r>
        <w:t xml:space="preserve"> et al., 2021). TFₖ values exceeded unity at all locations (1.20–1.35), reflecting the essential nutrient role of potassium and its active uptake by cassava, consistent with findings from Southwestern Nigeria (</w:t>
      </w:r>
      <w:proofErr w:type="spellStart"/>
      <w:r>
        <w:t>Ejoh</w:t>
      </w:r>
      <w:proofErr w:type="spellEnd"/>
      <w:r>
        <w:t xml:space="preserve"> et al., 202</w:t>
      </w:r>
      <w:r w:rsidR="00875A6C">
        <w:t>3</w:t>
      </w:r>
      <w:r>
        <w:t>) and other Nigerian ecosystems (</w:t>
      </w:r>
      <w:proofErr w:type="spellStart"/>
      <w:r>
        <w:t>Ocheje</w:t>
      </w:r>
      <w:proofErr w:type="spellEnd"/>
      <w:r>
        <w:t xml:space="preserve"> and </w:t>
      </w:r>
      <w:proofErr w:type="spellStart"/>
      <w:r>
        <w:t>Tyovenda</w:t>
      </w:r>
      <w:proofErr w:type="spellEnd"/>
      <w:r>
        <w:t>, 2020).</w:t>
      </w:r>
    </w:p>
    <w:p w14:paraId="19DE0E34" w14:textId="2441F04B" w:rsidR="001413CD" w:rsidRPr="00DE0469" w:rsidRDefault="00DE0469" w:rsidP="00DE0469">
      <w:pPr>
        <w:spacing w:before="100" w:after="100"/>
        <w:jc w:val="both"/>
        <w:rPr>
          <w:b/>
          <w:bCs/>
        </w:rPr>
      </w:pPr>
      <w:r w:rsidRPr="00DE0469">
        <w:rPr>
          <w:b/>
          <w:bCs/>
        </w:rPr>
        <w:t>Table 2: Soil particle size distribution and mean radionuclide transfer factors for cassava across selected LGAs in Akwa Ibom State</w:t>
      </w:r>
    </w:p>
    <w:tbl>
      <w:tblPr>
        <w:tblW w:w="8545" w:type="dxa"/>
        <w:tblLook w:val="04A0" w:firstRow="1" w:lastRow="0" w:firstColumn="1" w:lastColumn="0" w:noHBand="0" w:noVBand="1"/>
      </w:tblPr>
      <w:tblGrid>
        <w:gridCol w:w="1615"/>
        <w:gridCol w:w="968"/>
        <w:gridCol w:w="1152"/>
        <w:gridCol w:w="1152"/>
        <w:gridCol w:w="1152"/>
        <w:gridCol w:w="1426"/>
        <w:gridCol w:w="1080"/>
      </w:tblGrid>
      <w:tr w:rsidR="001413CD" w:rsidRPr="0087666E" w14:paraId="26A8D801" w14:textId="77777777" w:rsidTr="009A3EB0">
        <w:trPr>
          <w:trHeight w:val="312"/>
        </w:trPr>
        <w:tc>
          <w:tcPr>
            <w:tcW w:w="1615" w:type="dxa"/>
            <w:tcBorders>
              <w:top w:val="single" w:sz="4" w:space="0" w:color="auto"/>
              <w:bottom w:val="single" w:sz="4" w:space="0" w:color="auto"/>
            </w:tcBorders>
            <w:noWrap/>
            <w:vAlign w:val="bottom"/>
            <w:hideMark/>
          </w:tcPr>
          <w:p w14:paraId="75EE9605" w14:textId="77777777" w:rsidR="001413CD" w:rsidRPr="00DE0469" w:rsidRDefault="001413CD" w:rsidP="0003015D">
            <w:pPr>
              <w:rPr>
                <w:rFonts w:ascii="Calibri" w:hAnsi="Calibri" w:cs="Calibri"/>
                <w:b/>
                <w:bCs/>
                <w:color w:val="000000"/>
              </w:rPr>
            </w:pPr>
            <w:r w:rsidRPr="00DE0469">
              <w:rPr>
                <w:rFonts w:ascii="Calibri" w:hAnsi="Calibri" w:cs="Calibri"/>
                <w:b/>
                <w:bCs/>
                <w:color w:val="000000"/>
              </w:rPr>
              <w:t>L.G.A </w:t>
            </w:r>
          </w:p>
        </w:tc>
        <w:tc>
          <w:tcPr>
            <w:tcW w:w="968" w:type="dxa"/>
            <w:tcBorders>
              <w:top w:val="single" w:sz="4" w:space="0" w:color="auto"/>
              <w:bottom w:val="single" w:sz="4" w:space="0" w:color="auto"/>
            </w:tcBorders>
            <w:noWrap/>
            <w:vAlign w:val="bottom"/>
            <w:hideMark/>
          </w:tcPr>
          <w:p w14:paraId="5CFE340D" w14:textId="77777777" w:rsidR="001413CD" w:rsidRPr="00DE0469" w:rsidRDefault="001413CD" w:rsidP="0003015D">
            <w:pPr>
              <w:rPr>
                <w:rFonts w:ascii="Calibri" w:hAnsi="Calibri" w:cs="Calibri"/>
                <w:b/>
                <w:bCs/>
                <w:color w:val="000000"/>
              </w:rPr>
            </w:pPr>
            <w:r w:rsidRPr="00DE0469">
              <w:rPr>
                <w:rFonts w:ascii="Calibri" w:hAnsi="Calibri" w:cs="Calibri"/>
                <w:b/>
                <w:bCs/>
                <w:color w:val="000000"/>
              </w:rPr>
              <w:t>% Sand</w:t>
            </w:r>
          </w:p>
        </w:tc>
        <w:tc>
          <w:tcPr>
            <w:tcW w:w="1152" w:type="dxa"/>
            <w:tcBorders>
              <w:top w:val="single" w:sz="4" w:space="0" w:color="auto"/>
              <w:bottom w:val="single" w:sz="4" w:space="0" w:color="auto"/>
            </w:tcBorders>
            <w:noWrap/>
            <w:vAlign w:val="bottom"/>
            <w:hideMark/>
          </w:tcPr>
          <w:p w14:paraId="1F1FC8D7" w14:textId="447F9F54" w:rsidR="001413CD" w:rsidRPr="00DE0469" w:rsidRDefault="00777E13" w:rsidP="0003015D">
            <w:pPr>
              <w:rPr>
                <w:rFonts w:ascii="Calibri" w:hAnsi="Calibri" w:cs="Calibri"/>
                <w:b/>
                <w:bCs/>
                <w:color w:val="000000"/>
              </w:rPr>
            </w:pPr>
            <w:r>
              <w:rPr>
                <w:rFonts w:ascii="Calibri" w:hAnsi="Calibri" w:cs="Calibri"/>
                <w:b/>
                <w:bCs/>
                <w:color w:val="000000"/>
              </w:rPr>
              <w:t xml:space="preserve">      </w:t>
            </w:r>
            <w:r w:rsidR="001413CD" w:rsidRPr="00DE0469">
              <w:rPr>
                <w:rFonts w:ascii="Calibri" w:hAnsi="Calibri" w:cs="Calibri"/>
                <w:b/>
                <w:bCs/>
                <w:color w:val="000000"/>
              </w:rPr>
              <w:t>% Silt</w:t>
            </w:r>
          </w:p>
        </w:tc>
        <w:tc>
          <w:tcPr>
            <w:tcW w:w="1152" w:type="dxa"/>
            <w:tcBorders>
              <w:top w:val="single" w:sz="4" w:space="0" w:color="auto"/>
              <w:bottom w:val="single" w:sz="4" w:space="0" w:color="auto"/>
            </w:tcBorders>
            <w:noWrap/>
            <w:vAlign w:val="bottom"/>
            <w:hideMark/>
          </w:tcPr>
          <w:p w14:paraId="2168AC16" w14:textId="610968FD" w:rsidR="001413CD" w:rsidRPr="00DE0469" w:rsidRDefault="00777E13" w:rsidP="0003015D">
            <w:pPr>
              <w:rPr>
                <w:rFonts w:ascii="Calibri" w:hAnsi="Calibri" w:cs="Calibri"/>
                <w:b/>
                <w:bCs/>
                <w:color w:val="000000"/>
              </w:rPr>
            </w:pPr>
            <w:r>
              <w:rPr>
                <w:rFonts w:ascii="Calibri" w:hAnsi="Calibri" w:cs="Calibri"/>
                <w:b/>
                <w:bCs/>
                <w:color w:val="000000"/>
              </w:rPr>
              <w:t xml:space="preserve">    </w:t>
            </w:r>
            <w:r w:rsidR="001413CD" w:rsidRPr="00DE0469">
              <w:rPr>
                <w:rFonts w:ascii="Calibri" w:hAnsi="Calibri" w:cs="Calibri"/>
                <w:b/>
                <w:bCs/>
                <w:color w:val="000000"/>
              </w:rPr>
              <w:t>% Clay</w:t>
            </w:r>
          </w:p>
        </w:tc>
        <w:tc>
          <w:tcPr>
            <w:tcW w:w="1152" w:type="dxa"/>
            <w:tcBorders>
              <w:top w:val="single" w:sz="4" w:space="0" w:color="auto"/>
              <w:bottom w:val="single" w:sz="4" w:space="0" w:color="auto"/>
            </w:tcBorders>
            <w:noWrap/>
            <w:vAlign w:val="bottom"/>
            <w:hideMark/>
          </w:tcPr>
          <w:p w14:paraId="479E8283" w14:textId="0F4409CB" w:rsidR="001413CD" w:rsidRPr="00DE0469" w:rsidRDefault="00777E13" w:rsidP="0003015D">
            <w:pPr>
              <w:rPr>
                <w:rFonts w:ascii="Calibri" w:hAnsi="Calibri" w:cs="Calibri"/>
                <w:b/>
                <w:bCs/>
                <w:color w:val="000000"/>
              </w:rPr>
            </w:pPr>
            <w:r>
              <w:rPr>
                <w:rFonts w:ascii="Calibri" w:hAnsi="Calibri" w:cs="Calibri"/>
                <w:b/>
                <w:bCs/>
                <w:color w:val="000000"/>
              </w:rPr>
              <w:t xml:space="preserve"> </w:t>
            </w:r>
            <w:proofErr w:type="spellStart"/>
            <w:r w:rsidR="001413CD" w:rsidRPr="00DE0469">
              <w:rPr>
                <w:rFonts w:ascii="Calibri" w:hAnsi="Calibri" w:cs="Calibri"/>
                <w:b/>
                <w:bCs/>
                <w:color w:val="000000"/>
              </w:rPr>
              <w:t>Tf</w:t>
            </w:r>
            <w:r w:rsidR="001413CD" w:rsidRPr="00D2746D">
              <w:rPr>
                <w:rFonts w:ascii="Calibri" w:hAnsi="Calibri" w:cs="Calibri"/>
                <w:b/>
                <w:bCs/>
                <w:color w:val="000000"/>
                <w:vertAlign w:val="subscript"/>
              </w:rPr>
              <w:t>u</w:t>
            </w:r>
            <w:proofErr w:type="spellEnd"/>
            <w:r w:rsidR="001413CD" w:rsidRPr="00D2746D">
              <w:rPr>
                <w:rFonts w:ascii="Calibri" w:hAnsi="Calibri" w:cs="Calibri"/>
                <w:b/>
                <w:bCs/>
                <w:color w:val="000000"/>
                <w:vertAlign w:val="subscript"/>
              </w:rPr>
              <w:t xml:space="preserve"> </w:t>
            </w:r>
            <w:r w:rsidR="001413CD" w:rsidRPr="00DE0469">
              <w:rPr>
                <w:rFonts w:ascii="Calibri" w:hAnsi="Calibri" w:cs="Calibri"/>
                <w:b/>
                <w:bCs/>
                <w:color w:val="000000"/>
              </w:rPr>
              <w:t>(</w:t>
            </w:r>
            <w:r w:rsidR="001413CD" w:rsidRPr="00DE0469">
              <w:rPr>
                <w:rFonts w:ascii="Calibri" w:hAnsi="Calibri" w:cs="Calibri"/>
                <w:b/>
                <w:bCs/>
                <w:color w:val="000000"/>
                <w:vertAlign w:val="superscript"/>
              </w:rPr>
              <w:t>238</w:t>
            </w:r>
            <w:r w:rsidR="001413CD" w:rsidRPr="00DE0469">
              <w:rPr>
                <w:rFonts w:ascii="Calibri" w:hAnsi="Calibri" w:cs="Calibri"/>
                <w:b/>
                <w:bCs/>
                <w:color w:val="000000"/>
              </w:rPr>
              <w:t>U)</w:t>
            </w:r>
          </w:p>
        </w:tc>
        <w:tc>
          <w:tcPr>
            <w:tcW w:w="1426" w:type="dxa"/>
            <w:tcBorders>
              <w:top w:val="single" w:sz="4" w:space="0" w:color="auto"/>
              <w:bottom w:val="single" w:sz="4" w:space="0" w:color="auto"/>
            </w:tcBorders>
            <w:noWrap/>
            <w:vAlign w:val="bottom"/>
            <w:hideMark/>
          </w:tcPr>
          <w:p w14:paraId="2701B01C" w14:textId="5CDC6CBA" w:rsidR="001413CD" w:rsidRPr="00DE0469" w:rsidRDefault="00777E13" w:rsidP="0003015D">
            <w:pPr>
              <w:rPr>
                <w:rFonts w:ascii="Calibri" w:hAnsi="Calibri" w:cs="Calibri"/>
                <w:b/>
                <w:bCs/>
                <w:color w:val="000000"/>
              </w:rPr>
            </w:pPr>
            <w:r>
              <w:rPr>
                <w:rFonts w:ascii="Calibri" w:hAnsi="Calibri" w:cs="Calibri"/>
                <w:b/>
                <w:bCs/>
                <w:color w:val="000000"/>
              </w:rPr>
              <w:t xml:space="preserve">  </w:t>
            </w:r>
            <w:proofErr w:type="spellStart"/>
            <w:r w:rsidR="001413CD" w:rsidRPr="00DE0469">
              <w:rPr>
                <w:rFonts w:ascii="Calibri" w:hAnsi="Calibri" w:cs="Calibri"/>
                <w:b/>
                <w:bCs/>
                <w:color w:val="000000"/>
              </w:rPr>
              <w:t>TF</w:t>
            </w:r>
            <w:r w:rsidR="001413CD" w:rsidRPr="00D2746D">
              <w:rPr>
                <w:rFonts w:ascii="Calibri" w:hAnsi="Calibri" w:cs="Calibri"/>
                <w:b/>
                <w:bCs/>
                <w:color w:val="000000"/>
                <w:vertAlign w:val="subscript"/>
              </w:rPr>
              <w:t>th</w:t>
            </w:r>
            <w:proofErr w:type="spellEnd"/>
            <w:r w:rsidR="001413CD" w:rsidRPr="00DE0469">
              <w:rPr>
                <w:rFonts w:ascii="Calibri" w:hAnsi="Calibri" w:cs="Calibri"/>
                <w:b/>
                <w:bCs/>
                <w:color w:val="000000"/>
              </w:rPr>
              <w:t xml:space="preserve"> (</w:t>
            </w:r>
            <w:r w:rsidR="001413CD" w:rsidRPr="00DE0469">
              <w:rPr>
                <w:rFonts w:ascii="Calibri" w:hAnsi="Calibri" w:cs="Calibri"/>
                <w:b/>
                <w:bCs/>
                <w:color w:val="000000"/>
                <w:vertAlign w:val="superscript"/>
              </w:rPr>
              <w:t>232</w:t>
            </w:r>
            <w:r w:rsidR="001413CD" w:rsidRPr="00DE0469">
              <w:rPr>
                <w:rFonts w:ascii="Calibri" w:hAnsi="Calibri" w:cs="Calibri"/>
                <w:b/>
                <w:bCs/>
                <w:color w:val="000000"/>
              </w:rPr>
              <w:t>Th)</w:t>
            </w:r>
          </w:p>
        </w:tc>
        <w:tc>
          <w:tcPr>
            <w:tcW w:w="1080" w:type="dxa"/>
            <w:tcBorders>
              <w:top w:val="single" w:sz="4" w:space="0" w:color="auto"/>
              <w:bottom w:val="single" w:sz="4" w:space="0" w:color="auto"/>
            </w:tcBorders>
            <w:noWrap/>
            <w:vAlign w:val="bottom"/>
            <w:hideMark/>
          </w:tcPr>
          <w:p w14:paraId="06CDF7D2" w14:textId="40386BA4" w:rsidR="001413CD" w:rsidRPr="00DE0469" w:rsidRDefault="00777E13" w:rsidP="0003015D">
            <w:pPr>
              <w:rPr>
                <w:rFonts w:ascii="Calibri" w:hAnsi="Calibri" w:cs="Calibri"/>
                <w:b/>
                <w:bCs/>
                <w:color w:val="000000"/>
              </w:rPr>
            </w:pPr>
            <w:r>
              <w:rPr>
                <w:rFonts w:ascii="Calibri" w:hAnsi="Calibri" w:cs="Calibri"/>
                <w:b/>
                <w:bCs/>
                <w:color w:val="000000"/>
              </w:rPr>
              <w:t xml:space="preserve"> </w:t>
            </w:r>
            <w:proofErr w:type="spellStart"/>
            <w:r w:rsidR="001413CD" w:rsidRPr="00DE0469">
              <w:rPr>
                <w:rFonts w:ascii="Calibri" w:hAnsi="Calibri" w:cs="Calibri"/>
                <w:b/>
                <w:bCs/>
                <w:color w:val="000000"/>
              </w:rPr>
              <w:t>TF</w:t>
            </w:r>
            <w:r w:rsidR="00D2746D" w:rsidRPr="00D2746D">
              <w:rPr>
                <w:rFonts w:ascii="Calibri" w:hAnsi="Calibri" w:cs="Calibri"/>
                <w:b/>
                <w:bCs/>
                <w:color w:val="000000"/>
                <w:vertAlign w:val="subscript"/>
              </w:rPr>
              <w:t>k</w:t>
            </w:r>
            <w:proofErr w:type="spellEnd"/>
            <w:r w:rsidR="001413CD" w:rsidRPr="00DE0469">
              <w:rPr>
                <w:rFonts w:ascii="Calibri" w:hAnsi="Calibri" w:cs="Calibri"/>
                <w:b/>
                <w:bCs/>
                <w:color w:val="000000"/>
              </w:rPr>
              <w:t xml:space="preserve"> (</w:t>
            </w:r>
            <w:r w:rsidR="001413CD" w:rsidRPr="00DE0469">
              <w:rPr>
                <w:rFonts w:ascii="Calibri" w:hAnsi="Calibri" w:cs="Calibri"/>
                <w:b/>
                <w:bCs/>
                <w:color w:val="000000"/>
                <w:vertAlign w:val="superscript"/>
              </w:rPr>
              <w:t>40</w:t>
            </w:r>
            <w:r w:rsidR="001413CD" w:rsidRPr="00DE0469">
              <w:rPr>
                <w:rFonts w:ascii="Calibri" w:hAnsi="Calibri" w:cs="Calibri"/>
                <w:b/>
                <w:bCs/>
                <w:color w:val="000000"/>
              </w:rPr>
              <w:t>K)</w:t>
            </w:r>
          </w:p>
        </w:tc>
      </w:tr>
      <w:tr w:rsidR="001413CD" w:rsidRPr="0087666E" w14:paraId="77A06F84" w14:textId="77777777" w:rsidTr="009A3EB0">
        <w:trPr>
          <w:trHeight w:val="312"/>
        </w:trPr>
        <w:tc>
          <w:tcPr>
            <w:tcW w:w="1615" w:type="dxa"/>
            <w:tcBorders>
              <w:top w:val="single" w:sz="4" w:space="0" w:color="auto"/>
            </w:tcBorders>
            <w:noWrap/>
            <w:vAlign w:val="bottom"/>
            <w:hideMark/>
          </w:tcPr>
          <w:p w14:paraId="3673785A" w14:textId="77777777" w:rsidR="001413CD" w:rsidRPr="0087666E" w:rsidRDefault="001413CD" w:rsidP="0003015D">
            <w:pPr>
              <w:rPr>
                <w:rFonts w:ascii="Calibri" w:hAnsi="Calibri" w:cs="Calibri"/>
                <w:color w:val="000000"/>
              </w:rPr>
            </w:pPr>
            <w:proofErr w:type="spellStart"/>
            <w:r w:rsidRPr="001658B1">
              <w:rPr>
                <w:rFonts w:ascii="Calibri" w:hAnsi="Calibri" w:cs="Calibri"/>
                <w:color w:val="000000"/>
              </w:rPr>
              <w:t>Abak</w:t>
            </w:r>
            <w:proofErr w:type="spellEnd"/>
          </w:p>
        </w:tc>
        <w:tc>
          <w:tcPr>
            <w:tcW w:w="968" w:type="dxa"/>
            <w:tcBorders>
              <w:top w:val="single" w:sz="4" w:space="0" w:color="auto"/>
            </w:tcBorders>
            <w:noWrap/>
            <w:vAlign w:val="bottom"/>
            <w:hideMark/>
          </w:tcPr>
          <w:p w14:paraId="06DCF44F"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80.45</w:t>
            </w:r>
          </w:p>
        </w:tc>
        <w:tc>
          <w:tcPr>
            <w:tcW w:w="1152" w:type="dxa"/>
            <w:tcBorders>
              <w:top w:val="single" w:sz="4" w:space="0" w:color="auto"/>
            </w:tcBorders>
            <w:noWrap/>
            <w:vAlign w:val="bottom"/>
            <w:hideMark/>
          </w:tcPr>
          <w:p w14:paraId="6595257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5.84</w:t>
            </w:r>
          </w:p>
        </w:tc>
        <w:tc>
          <w:tcPr>
            <w:tcW w:w="1152" w:type="dxa"/>
            <w:tcBorders>
              <w:top w:val="single" w:sz="4" w:space="0" w:color="auto"/>
            </w:tcBorders>
            <w:noWrap/>
            <w:vAlign w:val="bottom"/>
            <w:hideMark/>
          </w:tcPr>
          <w:p w14:paraId="25CBD506"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13.11</w:t>
            </w:r>
          </w:p>
        </w:tc>
        <w:tc>
          <w:tcPr>
            <w:tcW w:w="1152" w:type="dxa"/>
            <w:tcBorders>
              <w:top w:val="single" w:sz="4" w:space="0" w:color="auto"/>
            </w:tcBorders>
            <w:noWrap/>
            <w:vAlign w:val="bottom"/>
            <w:hideMark/>
          </w:tcPr>
          <w:p w14:paraId="17B80BE4"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0.93</w:t>
            </w:r>
          </w:p>
        </w:tc>
        <w:tc>
          <w:tcPr>
            <w:tcW w:w="1426" w:type="dxa"/>
            <w:tcBorders>
              <w:top w:val="single" w:sz="4" w:space="0" w:color="auto"/>
            </w:tcBorders>
            <w:noWrap/>
            <w:vAlign w:val="bottom"/>
            <w:hideMark/>
          </w:tcPr>
          <w:p w14:paraId="0AACF2F6"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0.36</w:t>
            </w:r>
          </w:p>
        </w:tc>
        <w:tc>
          <w:tcPr>
            <w:tcW w:w="1080" w:type="dxa"/>
            <w:tcBorders>
              <w:top w:val="single" w:sz="4" w:space="0" w:color="auto"/>
            </w:tcBorders>
            <w:noWrap/>
            <w:vAlign w:val="bottom"/>
            <w:hideMark/>
          </w:tcPr>
          <w:p w14:paraId="27F185A2"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1.23</w:t>
            </w:r>
          </w:p>
        </w:tc>
      </w:tr>
      <w:tr w:rsidR="001413CD" w:rsidRPr="0087666E" w14:paraId="723DBBC3" w14:textId="77777777" w:rsidTr="009A3EB0">
        <w:trPr>
          <w:trHeight w:val="312"/>
        </w:trPr>
        <w:tc>
          <w:tcPr>
            <w:tcW w:w="1615" w:type="dxa"/>
            <w:noWrap/>
            <w:vAlign w:val="bottom"/>
            <w:hideMark/>
          </w:tcPr>
          <w:p w14:paraId="60E308B9" w14:textId="77777777" w:rsidR="001413CD" w:rsidRPr="0087666E" w:rsidRDefault="001413CD" w:rsidP="0003015D">
            <w:pPr>
              <w:rPr>
                <w:rFonts w:ascii="Calibri" w:hAnsi="Calibri" w:cs="Calibri"/>
                <w:color w:val="000000"/>
              </w:rPr>
            </w:pPr>
            <w:r w:rsidRPr="001658B1">
              <w:rPr>
                <w:rFonts w:ascii="Calibri" w:hAnsi="Calibri" w:cs="Calibri"/>
                <w:color w:val="000000"/>
              </w:rPr>
              <w:lastRenderedPageBreak/>
              <w:t xml:space="preserve">Ikot </w:t>
            </w:r>
            <w:proofErr w:type="spellStart"/>
            <w:r w:rsidRPr="001658B1">
              <w:rPr>
                <w:rFonts w:ascii="Calibri" w:hAnsi="Calibri" w:cs="Calibri"/>
                <w:color w:val="000000"/>
              </w:rPr>
              <w:t>Ekpene</w:t>
            </w:r>
            <w:proofErr w:type="spellEnd"/>
          </w:p>
        </w:tc>
        <w:tc>
          <w:tcPr>
            <w:tcW w:w="968" w:type="dxa"/>
            <w:noWrap/>
            <w:vAlign w:val="bottom"/>
            <w:hideMark/>
          </w:tcPr>
          <w:p w14:paraId="00D27F19"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76.74</w:t>
            </w:r>
          </w:p>
        </w:tc>
        <w:tc>
          <w:tcPr>
            <w:tcW w:w="1152" w:type="dxa"/>
            <w:noWrap/>
            <w:vAlign w:val="bottom"/>
            <w:hideMark/>
          </w:tcPr>
          <w:p w14:paraId="2662860D"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5.97</w:t>
            </w:r>
          </w:p>
        </w:tc>
        <w:tc>
          <w:tcPr>
            <w:tcW w:w="1152" w:type="dxa"/>
            <w:noWrap/>
            <w:vAlign w:val="bottom"/>
            <w:hideMark/>
          </w:tcPr>
          <w:p w14:paraId="2CBD5B65" w14:textId="4C6851FD" w:rsidR="001413CD" w:rsidRPr="0087666E" w:rsidRDefault="001413CD" w:rsidP="0003015D">
            <w:pPr>
              <w:jc w:val="right"/>
              <w:rPr>
                <w:rFonts w:ascii="Calibri" w:hAnsi="Calibri" w:cs="Calibri"/>
                <w:color w:val="000000"/>
              </w:rPr>
            </w:pPr>
            <w:r w:rsidRPr="0087666E">
              <w:rPr>
                <w:rFonts w:ascii="Calibri" w:hAnsi="Calibri" w:cs="Calibri"/>
                <w:color w:val="000000"/>
              </w:rPr>
              <w:t>17.3</w:t>
            </w:r>
            <w:r w:rsidR="006C0F57">
              <w:rPr>
                <w:rFonts w:ascii="Calibri" w:hAnsi="Calibri" w:cs="Calibri"/>
                <w:color w:val="000000"/>
              </w:rPr>
              <w:t>0</w:t>
            </w:r>
          </w:p>
        </w:tc>
        <w:tc>
          <w:tcPr>
            <w:tcW w:w="1152" w:type="dxa"/>
            <w:noWrap/>
            <w:vAlign w:val="bottom"/>
            <w:hideMark/>
          </w:tcPr>
          <w:p w14:paraId="7767F948"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1.04</w:t>
            </w:r>
          </w:p>
        </w:tc>
        <w:tc>
          <w:tcPr>
            <w:tcW w:w="1426" w:type="dxa"/>
            <w:noWrap/>
            <w:vAlign w:val="bottom"/>
            <w:hideMark/>
          </w:tcPr>
          <w:p w14:paraId="6AD34191" w14:textId="14AB2E9D" w:rsidR="001413CD" w:rsidRPr="0087666E" w:rsidRDefault="001413CD" w:rsidP="0003015D">
            <w:pPr>
              <w:jc w:val="right"/>
              <w:rPr>
                <w:rFonts w:ascii="Calibri" w:hAnsi="Calibri" w:cs="Calibri"/>
                <w:color w:val="000000"/>
              </w:rPr>
            </w:pPr>
            <w:r w:rsidRPr="0087666E">
              <w:rPr>
                <w:rFonts w:ascii="Calibri" w:hAnsi="Calibri" w:cs="Calibri"/>
                <w:color w:val="000000"/>
              </w:rPr>
              <w:t>0.3</w:t>
            </w:r>
            <w:r w:rsidR="006C0F57">
              <w:rPr>
                <w:rFonts w:ascii="Calibri" w:hAnsi="Calibri" w:cs="Calibri"/>
                <w:color w:val="000000"/>
              </w:rPr>
              <w:t>0</w:t>
            </w:r>
          </w:p>
        </w:tc>
        <w:tc>
          <w:tcPr>
            <w:tcW w:w="1080" w:type="dxa"/>
            <w:noWrap/>
            <w:vAlign w:val="bottom"/>
            <w:hideMark/>
          </w:tcPr>
          <w:p w14:paraId="45874A64" w14:textId="06280100" w:rsidR="001413CD" w:rsidRPr="0087666E" w:rsidRDefault="001413CD" w:rsidP="0003015D">
            <w:pPr>
              <w:jc w:val="right"/>
              <w:rPr>
                <w:rFonts w:ascii="Calibri" w:hAnsi="Calibri" w:cs="Calibri"/>
                <w:color w:val="000000"/>
              </w:rPr>
            </w:pPr>
            <w:r w:rsidRPr="0087666E">
              <w:rPr>
                <w:rFonts w:ascii="Calibri" w:hAnsi="Calibri" w:cs="Calibri"/>
                <w:color w:val="000000"/>
              </w:rPr>
              <w:t>1.2</w:t>
            </w:r>
            <w:r w:rsidR="006C0F57">
              <w:rPr>
                <w:rFonts w:ascii="Calibri" w:hAnsi="Calibri" w:cs="Calibri"/>
                <w:color w:val="000000"/>
              </w:rPr>
              <w:t>0</w:t>
            </w:r>
          </w:p>
        </w:tc>
      </w:tr>
      <w:tr w:rsidR="001413CD" w:rsidRPr="0087666E" w14:paraId="1DC77613" w14:textId="77777777" w:rsidTr="009A3EB0">
        <w:trPr>
          <w:trHeight w:val="312"/>
        </w:trPr>
        <w:tc>
          <w:tcPr>
            <w:tcW w:w="1615" w:type="dxa"/>
            <w:noWrap/>
            <w:vAlign w:val="bottom"/>
            <w:hideMark/>
          </w:tcPr>
          <w:p w14:paraId="45591516" w14:textId="77777777" w:rsidR="001413CD" w:rsidRPr="0087666E" w:rsidRDefault="001413CD" w:rsidP="0003015D">
            <w:pPr>
              <w:rPr>
                <w:rFonts w:ascii="Calibri" w:hAnsi="Calibri" w:cs="Calibri"/>
                <w:color w:val="000000"/>
              </w:rPr>
            </w:pPr>
            <w:proofErr w:type="spellStart"/>
            <w:r w:rsidRPr="001658B1">
              <w:rPr>
                <w:rFonts w:ascii="Calibri" w:hAnsi="Calibri" w:cs="Calibri"/>
                <w:color w:val="000000"/>
              </w:rPr>
              <w:t>Ukanafun</w:t>
            </w:r>
            <w:proofErr w:type="spellEnd"/>
          </w:p>
        </w:tc>
        <w:tc>
          <w:tcPr>
            <w:tcW w:w="968" w:type="dxa"/>
            <w:noWrap/>
            <w:vAlign w:val="bottom"/>
            <w:hideMark/>
          </w:tcPr>
          <w:p w14:paraId="058AC08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66.72</w:t>
            </w:r>
          </w:p>
        </w:tc>
        <w:tc>
          <w:tcPr>
            <w:tcW w:w="1152" w:type="dxa"/>
            <w:noWrap/>
            <w:vAlign w:val="bottom"/>
            <w:hideMark/>
          </w:tcPr>
          <w:p w14:paraId="370935EA"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18.86</w:t>
            </w:r>
          </w:p>
        </w:tc>
        <w:tc>
          <w:tcPr>
            <w:tcW w:w="1152" w:type="dxa"/>
            <w:noWrap/>
            <w:vAlign w:val="bottom"/>
            <w:hideMark/>
          </w:tcPr>
          <w:p w14:paraId="77662C4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14.47</w:t>
            </w:r>
          </w:p>
        </w:tc>
        <w:tc>
          <w:tcPr>
            <w:tcW w:w="1152" w:type="dxa"/>
            <w:noWrap/>
            <w:vAlign w:val="bottom"/>
            <w:hideMark/>
          </w:tcPr>
          <w:p w14:paraId="25BE34B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0.91</w:t>
            </w:r>
          </w:p>
        </w:tc>
        <w:tc>
          <w:tcPr>
            <w:tcW w:w="1426" w:type="dxa"/>
            <w:noWrap/>
            <w:vAlign w:val="bottom"/>
            <w:hideMark/>
          </w:tcPr>
          <w:p w14:paraId="0CF9AA9A"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0.49</w:t>
            </w:r>
          </w:p>
        </w:tc>
        <w:tc>
          <w:tcPr>
            <w:tcW w:w="1080" w:type="dxa"/>
            <w:noWrap/>
            <w:vAlign w:val="bottom"/>
            <w:hideMark/>
          </w:tcPr>
          <w:p w14:paraId="6112800E" w14:textId="47BB06CF" w:rsidR="001413CD" w:rsidRPr="0087666E" w:rsidRDefault="001413CD" w:rsidP="0003015D">
            <w:pPr>
              <w:jc w:val="right"/>
              <w:rPr>
                <w:rFonts w:ascii="Calibri" w:hAnsi="Calibri" w:cs="Calibri"/>
                <w:color w:val="000000"/>
              </w:rPr>
            </w:pPr>
            <w:r w:rsidRPr="0087666E">
              <w:rPr>
                <w:rFonts w:ascii="Calibri" w:hAnsi="Calibri" w:cs="Calibri"/>
                <w:color w:val="000000"/>
              </w:rPr>
              <w:t>1.3</w:t>
            </w:r>
            <w:r w:rsidR="006C0F57">
              <w:rPr>
                <w:rFonts w:ascii="Calibri" w:hAnsi="Calibri" w:cs="Calibri"/>
                <w:color w:val="000000"/>
              </w:rPr>
              <w:t>0</w:t>
            </w:r>
          </w:p>
        </w:tc>
      </w:tr>
      <w:tr w:rsidR="001413CD" w:rsidRPr="0087666E" w14:paraId="255665B9" w14:textId="77777777" w:rsidTr="009A3EB0">
        <w:trPr>
          <w:trHeight w:val="312"/>
        </w:trPr>
        <w:tc>
          <w:tcPr>
            <w:tcW w:w="1615" w:type="dxa"/>
            <w:tcBorders>
              <w:bottom w:val="single" w:sz="4" w:space="0" w:color="auto"/>
            </w:tcBorders>
            <w:noWrap/>
            <w:vAlign w:val="bottom"/>
            <w:hideMark/>
          </w:tcPr>
          <w:p w14:paraId="08097A57" w14:textId="77777777" w:rsidR="001413CD" w:rsidRPr="0087666E" w:rsidRDefault="001413CD" w:rsidP="0003015D">
            <w:pPr>
              <w:rPr>
                <w:rFonts w:ascii="Calibri" w:hAnsi="Calibri" w:cs="Calibri"/>
                <w:color w:val="000000"/>
              </w:rPr>
            </w:pPr>
            <w:r w:rsidRPr="001658B1">
              <w:rPr>
                <w:rFonts w:ascii="Calibri" w:hAnsi="Calibri" w:cs="Calibri"/>
                <w:color w:val="000000"/>
              </w:rPr>
              <w:t>Etim Ekpo</w:t>
            </w:r>
          </w:p>
        </w:tc>
        <w:tc>
          <w:tcPr>
            <w:tcW w:w="968" w:type="dxa"/>
            <w:tcBorders>
              <w:bottom w:val="single" w:sz="4" w:space="0" w:color="auto"/>
            </w:tcBorders>
            <w:noWrap/>
            <w:vAlign w:val="bottom"/>
            <w:hideMark/>
          </w:tcPr>
          <w:p w14:paraId="6EA7215C"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54.42</w:t>
            </w:r>
          </w:p>
        </w:tc>
        <w:tc>
          <w:tcPr>
            <w:tcW w:w="1152" w:type="dxa"/>
            <w:tcBorders>
              <w:bottom w:val="single" w:sz="4" w:space="0" w:color="auto"/>
            </w:tcBorders>
            <w:noWrap/>
            <w:vAlign w:val="bottom"/>
            <w:hideMark/>
          </w:tcPr>
          <w:p w14:paraId="1CB7CABF"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6.35</w:t>
            </w:r>
          </w:p>
        </w:tc>
        <w:tc>
          <w:tcPr>
            <w:tcW w:w="1152" w:type="dxa"/>
            <w:tcBorders>
              <w:bottom w:val="single" w:sz="4" w:space="0" w:color="auto"/>
            </w:tcBorders>
            <w:noWrap/>
            <w:vAlign w:val="bottom"/>
            <w:hideMark/>
          </w:tcPr>
          <w:p w14:paraId="51E9D2D5" w14:textId="24C0D4A9" w:rsidR="001413CD" w:rsidRPr="0087666E" w:rsidRDefault="001413CD" w:rsidP="0003015D">
            <w:pPr>
              <w:jc w:val="right"/>
              <w:rPr>
                <w:rFonts w:ascii="Calibri" w:hAnsi="Calibri" w:cs="Calibri"/>
                <w:color w:val="000000"/>
              </w:rPr>
            </w:pPr>
            <w:r w:rsidRPr="0087666E">
              <w:rPr>
                <w:rFonts w:ascii="Calibri" w:hAnsi="Calibri" w:cs="Calibri"/>
                <w:color w:val="000000"/>
              </w:rPr>
              <w:t>19</w:t>
            </w:r>
            <w:r w:rsidR="006C0F57">
              <w:rPr>
                <w:rFonts w:ascii="Calibri" w:hAnsi="Calibri" w:cs="Calibri"/>
                <w:color w:val="000000"/>
              </w:rPr>
              <w:t>.00</w:t>
            </w:r>
          </w:p>
        </w:tc>
        <w:tc>
          <w:tcPr>
            <w:tcW w:w="1152" w:type="dxa"/>
            <w:tcBorders>
              <w:bottom w:val="single" w:sz="4" w:space="0" w:color="auto"/>
            </w:tcBorders>
            <w:noWrap/>
            <w:vAlign w:val="bottom"/>
            <w:hideMark/>
          </w:tcPr>
          <w:p w14:paraId="124A203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1.08</w:t>
            </w:r>
          </w:p>
        </w:tc>
        <w:tc>
          <w:tcPr>
            <w:tcW w:w="1426" w:type="dxa"/>
            <w:tcBorders>
              <w:bottom w:val="single" w:sz="4" w:space="0" w:color="auto"/>
            </w:tcBorders>
            <w:noWrap/>
            <w:vAlign w:val="bottom"/>
            <w:hideMark/>
          </w:tcPr>
          <w:p w14:paraId="40C32BA9"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0.43</w:t>
            </w:r>
          </w:p>
        </w:tc>
        <w:tc>
          <w:tcPr>
            <w:tcW w:w="1080" w:type="dxa"/>
            <w:tcBorders>
              <w:bottom w:val="single" w:sz="4" w:space="0" w:color="auto"/>
            </w:tcBorders>
            <w:noWrap/>
            <w:vAlign w:val="bottom"/>
            <w:hideMark/>
          </w:tcPr>
          <w:p w14:paraId="1A6EBD07"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1.35</w:t>
            </w:r>
          </w:p>
        </w:tc>
      </w:tr>
    </w:tbl>
    <w:p w14:paraId="1A5302DE" w14:textId="77777777" w:rsidR="00DE0469" w:rsidRDefault="00DE0469" w:rsidP="00DE0469">
      <w:pPr>
        <w:spacing w:before="80" w:after="180"/>
        <w:jc w:val="center"/>
      </w:pPr>
      <w:r>
        <w:rPr>
          <w:i/>
          <w:iCs/>
          <w:sz w:val="22"/>
          <w:szCs w:val="22"/>
        </w:rPr>
        <w:t>TFᵤ = transfer factor for ²³⁸U; TFₜₕ = transfer factor for ²³²Th; TFₖ = transfer factor for ⁴⁰K.</w:t>
      </w:r>
    </w:p>
    <w:p w14:paraId="4683D072" w14:textId="77777777" w:rsidR="00D2746D" w:rsidRDefault="00D2746D">
      <w:pPr>
        <w:spacing w:before="100" w:after="100" w:line="360" w:lineRule="auto"/>
        <w:jc w:val="both"/>
        <w:rPr>
          <w:b/>
          <w:bCs/>
        </w:rPr>
      </w:pPr>
    </w:p>
    <w:p w14:paraId="674AAFB7" w14:textId="3743FE69" w:rsidR="00D2746D" w:rsidRPr="00D2746D" w:rsidRDefault="00D2746D">
      <w:pPr>
        <w:spacing w:before="100" w:after="100" w:line="360" w:lineRule="auto"/>
        <w:jc w:val="both"/>
        <w:rPr>
          <w:b/>
          <w:bCs/>
        </w:rPr>
      </w:pPr>
      <w:r w:rsidRPr="00D2746D">
        <w:rPr>
          <w:b/>
          <w:bCs/>
        </w:rPr>
        <w:t>3.3 Pearson Correlation Analysis</w:t>
      </w:r>
    </w:p>
    <w:p w14:paraId="4A15FF4E" w14:textId="69A48336" w:rsidR="008A4ABA" w:rsidRDefault="00555ED3">
      <w:pPr>
        <w:spacing w:before="100" w:after="100" w:line="360" w:lineRule="auto"/>
        <w:jc w:val="both"/>
      </w:pPr>
      <w:r>
        <w:t>Table 3 presents the full Pearson correlation matrix among radionuclide activity concentrations in cassava, soil physicochemical parameters, and transfer factors. Several statistically significant correlations were identified.</w:t>
      </w:r>
    </w:p>
    <w:p w14:paraId="48F020F6" w14:textId="77777777" w:rsidR="008A4ABA" w:rsidRDefault="00555ED3">
      <w:pPr>
        <w:spacing w:before="100" w:after="100" w:line="360" w:lineRule="auto"/>
        <w:jc w:val="both"/>
      </w:pPr>
      <w:r>
        <w:t xml:space="preserve">A strong positive correlation was found between soil clay content (% Clay) and TFᵤ (r = 0.951, p &lt; 0.05), suggesting that higher clay content is associated with increased uranium transfer to cassava. This may be attributable to clay’s influence on uranium speciation in soil solution: as clay content increases, cation exchange and complexation with organic matter increase uranium retention in the soil solution, potentially enhancing root uptake (Sparks et al., 2022; </w:t>
      </w:r>
      <w:proofErr w:type="spellStart"/>
      <w:r>
        <w:t>Amakom</w:t>
      </w:r>
      <w:proofErr w:type="spellEnd"/>
      <w:r>
        <w:t xml:space="preserve"> et al., 2017).</w:t>
      </w:r>
    </w:p>
    <w:p w14:paraId="3F2D6990" w14:textId="77777777" w:rsidR="008A4ABA" w:rsidRDefault="00555ED3">
      <w:pPr>
        <w:spacing w:before="100" w:after="100" w:line="360" w:lineRule="auto"/>
        <w:jc w:val="both"/>
      </w:pPr>
      <w:r>
        <w:t xml:space="preserve">The correlation between ²³²Th in cassava and TFₜₕ was exceptionally strong (r = 0.999, p &lt; 0.01), which is expected given that TFₜₕ is directly derived from cassava ²³²Th activity. The strong negative correlation between ²³⁸U and ²³²Th in cassava (r = −0.988, p &lt; 0.05) reflects the inverse spatial pattern of these radionuclides across the study LGAs, where locations with higher uranium uptake tended to exhibit lower thorium uptake, consistent with the contrasting geochemical </w:t>
      </w:r>
      <w:proofErr w:type="spellStart"/>
      <w:r>
        <w:t>behaviour</w:t>
      </w:r>
      <w:proofErr w:type="spellEnd"/>
      <w:r>
        <w:t xml:space="preserve"> of these elements under acidic soil conditions (</w:t>
      </w:r>
      <w:proofErr w:type="spellStart"/>
      <w:r>
        <w:t>Demidchik</w:t>
      </w:r>
      <w:proofErr w:type="spellEnd"/>
      <w:r>
        <w:t xml:space="preserve"> and </w:t>
      </w:r>
      <w:proofErr w:type="spellStart"/>
      <w:r>
        <w:t>Maathuis</w:t>
      </w:r>
      <w:proofErr w:type="spellEnd"/>
      <w:r>
        <w:t xml:space="preserve">, 2007; </w:t>
      </w:r>
      <w:proofErr w:type="spellStart"/>
      <w:r>
        <w:t>Galhardi</w:t>
      </w:r>
      <w:proofErr w:type="spellEnd"/>
      <w:r>
        <w:t xml:space="preserve"> et al., 2017).</w:t>
      </w:r>
    </w:p>
    <w:p w14:paraId="2477AD0E" w14:textId="3F764AEA" w:rsidR="00C53C14" w:rsidRDefault="00555ED3" w:rsidP="00C53C14">
      <w:pPr>
        <w:spacing w:before="100" w:after="100" w:line="360" w:lineRule="auto"/>
        <w:jc w:val="both"/>
        <w:sectPr w:rsidR="00C53C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pPr>
      <w:r>
        <w:t xml:space="preserve">Significant positive correlations between % </w:t>
      </w:r>
      <w:r w:rsidR="00CA497E">
        <w:t xml:space="preserve">Soil </w:t>
      </w:r>
      <w:r>
        <w:t>Organic Matter (%</w:t>
      </w:r>
      <w:r w:rsidR="00CA497E">
        <w:t>S</w:t>
      </w:r>
      <w:r>
        <w:t>OM) and ⁴⁰K in cassava (r = 0.985, p &lt; 0.05) and between %OC and ⁴⁰K (r = 0.975, p &lt; 0.05) indicate that soils with higher organic matter content support greater potassium availability and uptake by cassava, likely through enhanced cation exchange capacity and nutrient cycling (Es</w:t>
      </w:r>
      <w:r w:rsidR="005B2B17">
        <w:t>si</w:t>
      </w:r>
      <w:r>
        <w:t>en et al., 202</w:t>
      </w:r>
      <w:r w:rsidR="005B2B17">
        <w:t>1</w:t>
      </w:r>
      <w:r>
        <w:t xml:space="preserve">; </w:t>
      </w:r>
      <w:proofErr w:type="spellStart"/>
      <w:r>
        <w:t>Amakom</w:t>
      </w:r>
      <w:proofErr w:type="spellEnd"/>
      <w:r>
        <w:t xml:space="preserve"> et al., 2021). </w:t>
      </w:r>
    </w:p>
    <w:p w14:paraId="47BB4755" w14:textId="4C527ECA" w:rsidR="00FA7E88" w:rsidRPr="00BA14B3" w:rsidRDefault="00FA7E88" w:rsidP="00FA7E88">
      <w:pPr>
        <w:autoSpaceDE w:val="0"/>
        <w:autoSpaceDN w:val="0"/>
        <w:adjustRightInd w:val="0"/>
        <w:rPr>
          <w:b/>
          <w:bCs/>
          <w:color w:val="000000"/>
        </w:rPr>
      </w:pPr>
      <w:r w:rsidRPr="00BA14B3">
        <w:rPr>
          <w:color w:val="000000"/>
        </w:rPr>
        <w:lastRenderedPageBreak/>
        <w:t xml:space="preserve">        </w:t>
      </w:r>
      <w:r w:rsidR="00BA14B3" w:rsidRPr="00BA14B3">
        <w:rPr>
          <w:b/>
          <w:bCs/>
          <w:color w:val="000000"/>
        </w:rPr>
        <w:t>Table 3: Pearson correlation matrix for radionuclide activity concentrations, soil physicochemical parameters and transfer factors</w:t>
      </w:r>
    </w:p>
    <w:p w14:paraId="61FB0F29" w14:textId="77777777" w:rsidR="00BA14B3" w:rsidRPr="00BA14B3" w:rsidRDefault="00BA14B3" w:rsidP="00FA7E88">
      <w:pPr>
        <w:autoSpaceDE w:val="0"/>
        <w:autoSpaceDN w:val="0"/>
        <w:adjustRightInd w:val="0"/>
        <w:rPr>
          <w:b/>
          <w:bCs/>
        </w:rPr>
      </w:pPr>
    </w:p>
    <w:tbl>
      <w:tblPr>
        <w:tblW w:w="13770" w:type="dxa"/>
        <w:tblInd w:w="-5" w:type="dxa"/>
        <w:tblLayout w:type="fixed"/>
        <w:tblCellMar>
          <w:left w:w="0" w:type="dxa"/>
          <w:right w:w="0" w:type="dxa"/>
        </w:tblCellMar>
        <w:tblLook w:val="0000" w:firstRow="0" w:lastRow="0" w:firstColumn="0" w:lastColumn="0" w:noHBand="0" w:noVBand="0"/>
      </w:tblPr>
      <w:tblGrid>
        <w:gridCol w:w="990"/>
        <w:gridCol w:w="720"/>
        <w:gridCol w:w="900"/>
        <w:gridCol w:w="810"/>
        <w:gridCol w:w="810"/>
        <w:gridCol w:w="810"/>
        <w:gridCol w:w="900"/>
        <w:gridCol w:w="720"/>
        <w:gridCol w:w="720"/>
        <w:gridCol w:w="720"/>
        <w:gridCol w:w="720"/>
        <w:gridCol w:w="810"/>
        <w:gridCol w:w="720"/>
        <w:gridCol w:w="810"/>
        <w:gridCol w:w="900"/>
        <w:gridCol w:w="810"/>
        <w:gridCol w:w="900"/>
      </w:tblGrid>
      <w:tr w:rsidR="00FA7E88" w:rsidRPr="003B4942" w14:paraId="0D51E221" w14:textId="77777777" w:rsidTr="00591770">
        <w:trPr>
          <w:cantSplit/>
        </w:trPr>
        <w:tc>
          <w:tcPr>
            <w:tcW w:w="990" w:type="dxa"/>
            <w:tcBorders>
              <w:top w:val="single" w:sz="4" w:space="0" w:color="auto"/>
              <w:bottom w:val="single" w:sz="4" w:space="0" w:color="auto"/>
            </w:tcBorders>
            <w:shd w:val="clear" w:color="auto" w:fill="FFFFFF"/>
          </w:tcPr>
          <w:p w14:paraId="76AC513B" w14:textId="77777777" w:rsidR="00FA7E88" w:rsidRPr="003B4942" w:rsidRDefault="00FA7E88" w:rsidP="0003015D">
            <w:pPr>
              <w:autoSpaceDE w:val="0"/>
              <w:autoSpaceDN w:val="0"/>
              <w:adjustRightInd w:val="0"/>
              <w:spacing w:line="320" w:lineRule="atLeast"/>
              <w:ind w:left="60" w:right="60"/>
              <w:jc w:val="center"/>
              <w:rPr>
                <w:rFonts w:ascii="Arial" w:hAnsi="Arial" w:cs="Arial"/>
                <w:color w:val="000000"/>
                <w:sz w:val="18"/>
                <w:szCs w:val="18"/>
              </w:rPr>
            </w:pPr>
          </w:p>
        </w:tc>
        <w:tc>
          <w:tcPr>
            <w:tcW w:w="720" w:type="dxa"/>
            <w:tcBorders>
              <w:top w:val="single" w:sz="4" w:space="0" w:color="auto"/>
              <w:bottom w:val="single" w:sz="4" w:space="0" w:color="auto"/>
            </w:tcBorders>
            <w:shd w:val="clear" w:color="auto" w:fill="FFFFFF"/>
          </w:tcPr>
          <w:p w14:paraId="4BB53DF8"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vertAlign w:val="superscript"/>
              </w:rPr>
              <w:t>238</w:t>
            </w:r>
            <w:r w:rsidRPr="00104E60">
              <w:rPr>
                <w:b/>
                <w:bCs/>
              </w:rPr>
              <w:t>U</w:t>
            </w:r>
          </w:p>
        </w:tc>
        <w:tc>
          <w:tcPr>
            <w:tcW w:w="900" w:type="dxa"/>
            <w:tcBorders>
              <w:top w:val="single" w:sz="4" w:space="0" w:color="auto"/>
              <w:bottom w:val="single" w:sz="4" w:space="0" w:color="auto"/>
            </w:tcBorders>
            <w:shd w:val="clear" w:color="auto" w:fill="FFFFFF"/>
          </w:tcPr>
          <w:p w14:paraId="03171E8D"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vertAlign w:val="superscript"/>
              </w:rPr>
              <w:t>232</w:t>
            </w:r>
            <w:r w:rsidRPr="00104E60">
              <w:rPr>
                <w:b/>
                <w:bCs/>
              </w:rPr>
              <w:t>Th</w:t>
            </w:r>
          </w:p>
        </w:tc>
        <w:tc>
          <w:tcPr>
            <w:tcW w:w="810" w:type="dxa"/>
            <w:tcBorders>
              <w:top w:val="single" w:sz="4" w:space="0" w:color="auto"/>
              <w:bottom w:val="single" w:sz="4" w:space="0" w:color="auto"/>
            </w:tcBorders>
            <w:shd w:val="clear" w:color="auto" w:fill="FFFFFF"/>
          </w:tcPr>
          <w:p w14:paraId="28FBB754"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vertAlign w:val="superscript"/>
              </w:rPr>
              <w:t>40</w:t>
            </w:r>
            <w:r w:rsidRPr="00104E60">
              <w:rPr>
                <w:b/>
                <w:bCs/>
              </w:rPr>
              <w:t>K</w:t>
            </w:r>
          </w:p>
        </w:tc>
        <w:tc>
          <w:tcPr>
            <w:tcW w:w="810" w:type="dxa"/>
            <w:tcBorders>
              <w:top w:val="single" w:sz="4" w:space="0" w:color="auto"/>
              <w:bottom w:val="single" w:sz="4" w:space="0" w:color="auto"/>
            </w:tcBorders>
            <w:shd w:val="clear" w:color="auto" w:fill="FFFFFF"/>
          </w:tcPr>
          <w:p w14:paraId="5BB4DC85" w14:textId="6ABADA9D" w:rsidR="00FA7E88" w:rsidRPr="00104E60" w:rsidRDefault="00104E60" w:rsidP="0003015D">
            <w:pPr>
              <w:autoSpaceDE w:val="0"/>
              <w:autoSpaceDN w:val="0"/>
              <w:adjustRightInd w:val="0"/>
              <w:spacing w:line="320" w:lineRule="atLeast"/>
              <w:ind w:left="60" w:right="60"/>
              <w:jc w:val="center"/>
              <w:rPr>
                <w:rFonts w:ascii="Arial" w:hAnsi="Arial" w:cs="Arial"/>
                <w:b/>
                <w:bCs/>
                <w:color w:val="000000"/>
              </w:rPr>
            </w:pPr>
            <w:r w:rsidRPr="00104E60">
              <w:rPr>
                <w:b/>
                <w:bCs/>
              </w:rPr>
              <w:t>p</w:t>
            </w:r>
            <w:r w:rsidR="00FA7E88" w:rsidRPr="00104E60">
              <w:rPr>
                <w:b/>
                <w:bCs/>
              </w:rPr>
              <w:t>H</w:t>
            </w:r>
          </w:p>
        </w:tc>
        <w:tc>
          <w:tcPr>
            <w:tcW w:w="810" w:type="dxa"/>
            <w:tcBorders>
              <w:top w:val="single" w:sz="4" w:space="0" w:color="auto"/>
              <w:bottom w:val="single" w:sz="4" w:space="0" w:color="auto"/>
            </w:tcBorders>
            <w:shd w:val="clear" w:color="auto" w:fill="FFFFFF"/>
          </w:tcPr>
          <w:p w14:paraId="447CC457" w14:textId="1D61BAAA"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w:t>
            </w:r>
            <w:r w:rsidR="00104E60" w:rsidRPr="00104E60">
              <w:rPr>
                <w:b/>
                <w:bCs/>
              </w:rPr>
              <w:t xml:space="preserve"> </w:t>
            </w:r>
            <w:r w:rsidR="002B0E2A" w:rsidRPr="00104E60">
              <w:rPr>
                <w:b/>
                <w:bCs/>
              </w:rPr>
              <w:t>S</w:t>
            </w:r>
            <w:r w:rsidRPr="00104E60">
              <w:rPr>
                <w:b/>
                <w:bCs/>
              </w:rPr>
              <w:t>OC</w:t>
            </w:r>
          </w:p>
        </w:tc>
        <w:tc>
          <w:tcPr>
            <w:tcW w:w="900" w:type="dxa"/>
            <w:tcBorders>
              <w:top w:val="single" w:sz="4" w:space="0" w:color="auto"/>
              <w:bottom w:val="single" w:sz="4" w:space="0" w:color="auto"/>
            </w:tcBorders>
            <w:shd w:val="clear" w:color="auto" w:fill="FFFFFF"/>
          </w:tcPr>
          <w:p w14:paraId="01851846" w14:textId="4942C860"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w:t>
            </w:r>
            <w:r w:rsidR="00104E60" w:rsidRPr="00104E60">
              <w:rPr>
                <w:b/>
                <w:bCs/>
              </w:rPr>
              <w:t xml:space="preserve"> </w:t>
            </w:r>
            <w:r w:rsidR="002B0E2A" w:rsidRPr="00104E60">
              <w:rPr>
                <w:b/>
                <w:bCs/>
              </w:rPr>
              <w:t>S</w:t>
            </w:r>
            <w:r w:rsidRPr="00104E60">
              <w:rPr>
                <w:b/>
                <w:bCs/>
              </w:rPr>
              <w:t>OM</w:t>
            </w:r>
          </w:p>
        </w:tc>
        <w:tc>
          <w:tcPr>
            <w:tcW w:w="720" w:type="dxa"/>
            <w:tcBorders>
              <w:top w:val="single" w:sz="4" w:space="0" w:color="auto"/>
              <w:bottom w:val="single" w:sz="4" w:space="0" w:color="auto"/>
            </w:tcBorders>
            <w:shd w:val="clear" w:color="auto" w:fill="FFFFFF"/>
          </w:tcPr>
          <w:p w14:paraId="6A00E0A9"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K</w:t>
            </w:r>
          </w:p>
        </w:tc>
        <w:tc>
          <w:tcPr>
            <w:tcW w:w="720" w:type="dxa"/>
            <w:tcBorders>
              <w:top w:val="single" w:sz="4" w:space="0" w:color="auto"/>
              <w:bottom w:val="single" w:sz="4" w:space="0" w:color="auto"/>
            </w:tcBorders>
            <w:shd w:val="clear" w:color="auto" w:fill="FFFFFF"/>
          </w:tcPr>
          <w:p w14:paraId="3EB7AC2E"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Ca</w:t>
            </w:r>
          </w:p>
        </w:tc>
        <w:tc>
          <w:tcPr>
            <w:tcW w:w="720" w:type="dxa"/>
            <w:tcBorders>
              <w:top w:val="single" w:sz="4" w:space="0" w:color="auto"/>
              <w:bottom w:val="single" w:sz="4" w:space="0" w:color="auto"/>
            </w:tcBorders>
            <w:shd w:val="clear" w:color="auto" w:fill="FFFFFF"/>
          </w:tcPr>
          <w:p w14:paraId="27553E86"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Mg</w:t>
            </w:r>
          </w:p>
        </w:tc>
        <w:tc>
          <w:tcPr>
            <w:tcW w:w="720" w:type="dxa"/>
            <w:tcBorders>
              <w:top w:val="single" w:sz="4" w:space="0" w:color="auto"/>
              <w:bottom w:val="single" w:sz="4" w:space="0" w:color="auto"/>
            </w:tcBorders>
            <w:shd w:val="clear" w:color="auto" w:fill="FFFFFF"/>
          </w:tcPr>
          <w:p w14:paraId="0C4C5E0B"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Na</w:t>
            </w:r>
          </w:p>
        </w:tc>
        <w:tc>
          <w:tcPr>
            <w:tcW w:w="810" w:type="dxa"/>
            <w:tcBorders>
              <w:top w:val="single" w:sz="4" w:space="0" w:color="auto"/>
              <w:bottom w:val="single" w:sz="4" w:space="0" w:color="auto"/>
            </w:tcBorders>
            <w:shd w:val="clear" w:color="auto" w:fill="FFFFFF"/>
          </w:tcPr>
          <w:p w14:paraId="68C08AC9"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 Sand</w:t>
            </w:r>
          </w:p>
        </w:tc>
        <w:tc>
          <w:tcPr>
            <w:tcW w:w="720" w:type="dxa"/>
            <w:tcBorders>
              <w:top w:val="single" w:sz="4" w:space="0" w:color="auto"/>
              <w:bottom w:val="single" w:sz="4" w:space="0" w:color="auto"/>
            </w:tcBorders>
            <w:shd w:val="clear" w:color="auto" w:fill="FFFFFF"/>
          </w:tcPr>
          <w:p w14:paraId="3D99231A"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 Silt</w:t>
            </w:r>
          </w:p>
        </w:tc>
        <w:tc>
          <w:tcPr>
            <w:tcW w:w="810" w:type="dxa"/>
            <w:tcBorders>
              <w:top w:val="single" w:sz="4" w:space="0" w:color="auto"/>
              <w:bottom w:val="single" w:sz="4" w:space="0" w:color="auto"/>
            </w:tcBorders>
            <w:shd w:val="clear" w:color="auto" w:fill="FFFFFF"/>
          </w:tcPr>
          <w:p w14:paraId="36E46D5E"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 Clay</w:t>
            </w:r>
          </w:p>
        </w:tc>
        <w:tc>
          <w:tcPr>
            <w:tcW w:w="900" w:type="dxa"/>
            <w:tcBorders>
              <w:top w:val="single" w:sz="4" w:space="0" w:color="auto"/>
              <w:bottom w:val="single" w:sz="4" w:space="0" w:color="auto"/>
            </w:tcBorders>
            <w:shd w:val="clear" w:color="auto" w:fill="FFFFFF"/>
          </w:tcPr>
          <w:p w14:paraId="74448F94" w14:textId="150EF5A1"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proofErr w:type="spellStart"/>
            <w:r w:rsidRPr="00104E60">
              <w:rPr>
                <w:b/>
                <w:bCs/>
              </w:rPr>
              <w:t>T</w:t>
            </w:r>
            <w:r w:rsidR="002B0E2A" w:rsidRPr="00104E60">
              <w:rPr>
                <w:b/>
                <w:bCs/>
              </w:rPr>
              <w:t>F</w:t>
            </w:r>
            <w:r w:rsidRPr="00104E60">
              <w:rPr>
                <w:b/>
                <w:bCs/>
                <w:vertAlign w:val="subscript"/>
              </w:rPr>
              <w:t>u</w:t>
            </w:r>
            <w:proofErr w:type="spellEnd"/>
          </w:p>
        </w:tc>
        <w:tc>
          <w:tcPr>
            <w:tcW w:w="810" w:type="dxa"/>
            <w:tcBorders>
              <w:top w:val="single" w:sz="4" w:space="0" w:color="auto"/>
              <w:bottom w:val="single" w:sz="4" w:space="0" w:color="auto"/>
            </w:tcBorders>
            <w:shd w:val="clear" w:color="auto" w:fill="FFFFFF"/>
          </w:tcPr>
          <w:p w14:paraId="05451835"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proofErr w:type="spellStart"/>
            <w:r w:rsidRPr="00104E60">
              <w:rPr>
                <w:b/>
                <w:bCs/>
              </w:rPr>
              <w:t>TF</w:t>
            </w:r>
            <w:r w:rsidRPr="00104E60">
              <w:rPr>
                <w:b/>
                <w:bCs/>
                <w:vertAlign w:val="subscript"/>
              </w:rPr>
              <w:t>th</w:t>
            </w:r>
            <w:proofErr w:type="spellEnd"/>
          </w:p>
        </w:tc>
        <w:tc>
          <w:tcPr>
            <w:tcW w:w="900" w:type="dxa"/>
            <w:tcBorders>
              <w:top w:val="single" w:sz="4" w:space="0" w:color="auto"/>
              <w:bottom w:val="single" w:sz="4" w:space="0" w:color="auto"/>
            </w:tcBorders>
          </w:tcPr>
          <w:p w14:paraId="46BE4B0C" w14:textId="77777777" w:rsidR="00FA7E88" w:rsidRPr="00104E60" w:rsidRDefault="00FA7E88" w:rsidP="0003015D">
            <w:pPr>
              <w:rPr>
                <w:rFonts w:ascii="Arial" w:hAnsi="Arial" w:cs="Arial"/>
                <w:b/>
                <w:bCs/>
                <w:color w:val="000000"/>
              </w:rPr>
            </w:pPr>
            <w:proofErr w:type="spellStart"/>
            <w:r w:rsidRPr="00104E60">
              <w:rPr>
                <w:b/>
                <w:bCs/>
              </w:rPr>
              <w:t>TF</w:t>
            </w:r>
            <w:r w:rsidRPr="00104E60">
              <w:rPr>
                <w:b/>
                <w:bCs/>
                <w:vertAlign w:val="subscript"/>
              </w:rPr>
              <w:t>k</w:t>
            </w:r>
            <w:proofErr w:type="spellEnd"/>
          </w:p>
        </w:tc>
      </w:tr>
      <w:tr w:rsidR="003C2FD4" w:rsidRPr="003B4942" w14:paraId="2F3723EE" w14:textId="77777777" w:rsidTr="00591770">
        <w:trPr>
          <w:cantSplit/>
        </w:trPr>
        <w:tc>
          <w:tcPr>
            <w:tcW w:w="990" w:type="dxa"/>
            <w:tcBorders>
              <w:top w:val="single" w:sz="4" w:space="0" w:color="auto"/>
            </w:tcBorders>
            <w:shd w:val="clear" w:color="auto" w:fill="FFFFFF"/>
          </w:tcPr>
          <w:p w14:paraId="195CCC81"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vertAlign w:val="superscript"/>
              </w:rPr>
              <w:t>238</w:t>
            </w:r>
            <w:r w:rsidRPr="00104E60">
              <w:rPr>
                <w:b/>
                <w:bCs/>
              </w:rPr>
              <w:t>U</w:t>
            </w:r>
          </w:p>
        </w:tc>
        <w:tc>
          <w:tcPr>
            <w:tcW w:w="720" w:type="dxa"/>
            <w:tcBorders>
              <w:top w:val="single" w:sz="4" w:space="0" w:color="auto"/>
            </w:tcBorders>
            <w:shd w:val="clear" w:color="auto" w:fill="FFFFFF"/>
            <w:vAlign w:val="center"/>
          </w:tcPr>
          <w:p w14:paraId="181E336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900" w:type="dxa"/>
            <w:tcBorders>
              <w:top w:val="single" w:sz="4" w:space="0" w:color="auto"/>
            </w:tcBorders>
            <w:shd w:val="clear" w:color="auto" w:fill="FFFFFF"/>
            <w:vAlign w:val="center"/>
          </w:tcPr>
          <w:p w14:paraId="59A6B54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6B85743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79C7E20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043813F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tcBorders>
              <w:top w:val="single" w:sz="4" w:space="0" w:color="auto"/>
            </w:tcBorders>
            <w:shd w:val="clear" w:color="auto" w:fill="FFFFFF"/>
            <w:vAlign w:val="center"/>
          </w:tcPr>
          <w:p w14:paraId="7662E5A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4B126D8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1D01812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5DC59C1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010160F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2CF2ACD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74DC9EC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4EC3F6E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tcBorders>
              <w:top w:val="single" w:sz="4" w:space="0" w:color="auto"/>
            </w:tcBorders>
            <w:shd w:val="clear" w:color="auto" w:fill="FFFFFF"/>
            <w:vAlign w:val="center"/>
          </w:tcPr>
          <w:p w14:paraId="4EE3931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0B8DF84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tcBorders>
              <w:top w:val="single" w:sz="4" w:space="0" w:color="auto"/>
            </w:tcBorders>
            <w:shd w:val="clear" w:color="auto" w:fill="FFFFFF"/>
            <w:vAlign w:val="center"/>
          </w:tcPr>
          <w:p w14:paraId="6079798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12902C11" w14:textId="77777777" w:rsidTr="00591770">
        <w:trPr>
          <w:cantSplit/>
        </w:trPr>
        <w:tc>
          <w:tcPr>
            <w:tcW w:w="990" w:type="dxa"/>
            <w:shd w:val="clear" w:color="auto" w:fill="FFFFFF"/>
          </w:tcPr>
          <w:p w14:paraId="716A21AC"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vertAlign w:val="superscript"/>
              </w:rPr>
              <w:t>232</w:t>
            </w:r>
            <w:r w:rsidRPr="00104E60">
              <w:rPr>
                <w:b/>
                <w:bCs/>
              </w:rPr>
              <w:t>Th</w:t>
            </w:r>
          </w:p>
        </w:tc>
        <w:tc>
          <w:tcPr>
            <w:tcW w:w="720" w:type="dxa"/>
            <w:shd w:val="clear" w:color="auto" w:fill="FFFFFF"/>
            <w:vAlign w:val="center"/>
          </w:tcPr>
          <w:p w14:paraId="0F9AB6E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-.988</w:t>
            </w:r>
            <w:r w:rsidRPr="003B4942">
              <w:rPr>
                <w:rFonts w:ascii="Arial" w:hAnsi="Arial" w:cs="Arial"/>
                <w:color w:val="000000"/>
                <w:sz w:val="18"/>
                <w:szCs w:val="18"/>
                <w:vertAlign w:val="superscript"/>
              </w:rPr>
              <w:t>*</w:t>
            </w:r>
          </w:p>
        </w:tc>
        <w:tc>
          <w:tcPr>
            <w:tcW w:w="900" w:type="dxa"/>
            <w:shd w:val="clear" w:color="auto" w:fill="FFFFFF"/>
            <w:vAlign w:val="center"/>
          </w:tcPr>
          <w:p w14:paraId="3D667EB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201866C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32AFB5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2FA054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CA9ADF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482CA0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488D1FF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69114EF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80FC8C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7095583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C6660D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E9D112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1AA8269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FDC460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0077E4C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F5F5919" w14:textId="77777777" w:rsidTr="00591770">
        <w:trPr>
          <w:cantSplit/>
        </w:trPr>
        <w:tc>
          <w:tcPr>
            <w:tcW w:w="990" w:type="dxa"/>
            <w:shd w:val="clear" w:color="auto" w:fill="FFFFFF"/>
          </w:tcPr>
          <w:p w14:paraId="3FF73B21"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vertAlign w:val="superscript"/>
              </w:rPr>
              <w:t>40</w:t>
            </w:r>
            <w:r w:rsidRPr="00104E60">
              <w:rPr>
                <w:b/>
                <w:bCs/>
              </w:rPr>
              <w:t>K</w:t>
            </w:r>
          </w:p>
        </w:tc>
        <w:tc>
          <w:tcPr>
            <w:tcW w:w="720" w:type="dxa"/>
            <w:shd w:val="clear" w:color="auto" w:fill="FFFFFF"/>
            <w:vAlign w:val="center"/>
          </w:tcPr>
          <w:p w14:paraId="0AA433C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.407</w:t>
            </w:r>
          </w:p>
        </w:tc>
        <w:tc>
          <w:tcPr>
            <w:tcW w:w="900" w:type="dxa"/>
            <w:shd w:val="clear" w:color="auto" w:fill="FFFFFF"/>
            <w:vAlign w:val="center"/>
          </w:tcPr>
          <w:p w14:paraId="586204F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-.476</w:t>
            </w:r>
          </w:p>
        </w:tc>
        <w:tc>
          <w:tcPr>
            <w:tcW w:w="810" w:type="dxa"/>
            <w:shd w:val="clear" w:color="auto" w:fill="FFFFFF"/>
            <w:vAlign w:val="center"/>
          </w:tcPr>
          <w:p w14:paraId="43649A9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058B9B8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7DA498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6C42D44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AD739C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0DD177B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7EA863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B2AD00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747C832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67C02F6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2E68FB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223C2B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0F17D2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2B5C4F6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5CA41519" w14:textId="77777777" w:rsidTr="00591770">
        <w:trPr>
          <w:cantSplit/>
        </w:trPr>
        <w:tc>
          <w:tcPr>
            <w:tcW w:w="990" w:type="dxa"/>
            <w:shd w:val="clear" w:color="auto" w:fill="FFFFFF"/>
          </w:tcPr>
          <w:p w14:paraId="57E9C16A" w14:textId="65F42923" w:rsidR="00FA7E88" w:rsidRPr="00104E60" w:rsidRDefault="00104E60"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p</w:t>
            </w:r>
            <w:r w:rsidR="00FA7E88" w:rsidRPr="00104E60">
              <w:rPr>
                <w:b/>
                <w:bCs/>
              </w:rPr>
              <w:t>H</w:t>
            </w:r>
          </w:p>
        </w:tc>
        <w:tc>
          <w:tcPr>
            <w:tcW w:w="720" w:type="dxa"/>
            <w:shd w:val="clear" w:color="auto" w:fill="FFFFFF"/>
            <w:vAlign w:val="center"/>
          </w:tcPr>
          <w:p w14:paraId="3DADD53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.498</w:t>
            </w:r>
          </w:p>
        </w:tc>
        <w:tc>
          <w:tcPr>
            <w:tcW w:w="900" w:type="dxa"/>
            <w:shd w:val="clear" w:color="auto" w:fill="FFFFFF"/>
            <w:vAlign w:val="center"/>
          </w:tcPr>
          <w:p w14:paraId="50D9E41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-.394</w:t>
            </w:r>
          </w:p>
        </w:tc>
        <w:tc>
          <w:tcPr>
            <w:tcW w:w="810" w:type="dxa"/>
            <w:shd w:val="clear" w:color="auto" w:fill="FFFFFF"/>
            <w:vAlign w:val="center"/>
          </w:tcPr>
          <w:p w14:paraId="521128C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.348</w:t>
            </w:r>
          </w:p>
        </w:tc>
        <w:tc>
          <w:tcPr>
            <w:tcW w:w="810" w:type="dxa"/>
            <w:shd w:val="clear" w:color="auto" w:fill="FFFFFF"/>
            <w:vAlign w:val="center"/>
          </w:tcPr>
          <w:p w14:paraId="7755C72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30C74A1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6871288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82D497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C6751E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02BF2E8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7B685EF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E10CC0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156F26D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431F64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6BC1B20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0D84F4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056707D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2D2C1CB2" w14:textId="77777777" w:rsidTr="00591770">
        <w:trPr>
          <w:cantSplit/>
        </w:trPr>
        <w:tc>
          <w:tcPr>
            <w:tcW w:w="990" w:type="dxa"/>
            <w:shd w:val="clear" w:color="auto" w:fill="FFFFFF"/>
          </w:tcPr>
          <w:p w14:paraId="1DCA578E" w14:textId="55131EEB"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w:t>
            </w:r>
            <w:r w:rsidR="00264702">
              <w:rPr>
                <w:b/>
                <w:bCs/>
              </w:rPr>
              <w:t xml:space="preserve"> </w:t>
            </w:r>
            <w:r w:rsidR="002B0E2A" w:rsidRPr="00104E60">
              <w:rPr>
                <w:b/>
                <w:bCs/>
              </w:rPr>
              <w:t>S</w:t>
            </w:r>
            <w:r w:rsidRPr="00104E60">
              <w:rPr>
                <w:b/>
                <w:bCs/>
              </w:rPr>
              <w:t>OC</w:t>
            </w:r>
          </w:p>
        </w:tc>
        <w:tc>
          <w:tcPr>
            <w:tcW w:w="720" w:type="dxa"/>
            <w:shd w:val="clear" w:color="auto" w:fill="FFFFFF"/>
            <w:vAlign w:val="center"/>
          </w:tcPr>
          <w:p w14:paraId="768D934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.580</w:t>
            </w:r>
          </w:p>
        </w:tc>
        <w:tc>
          <w:tcPr>
            <w:tcW w:w="900" w:type="dxa"/>
            <w:shd w:val="clear" w:color="auto" w:fill="FFFFFF"/>
            <w:vAlign w:val="center"/>
          </w:tcPr>
          <w:p w14:paraId="30585A4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-.625</w:t>
            </w:r>
          </w:p>
        </w:tc>
        <w:tc>
          <w:tcPr>
            <w:tcW w:w="810" w:type="dxa"/>
            <w:shd w:val="clear" w:color="auto" w:fill="FFFFFF"/>
            <w:vAlign w:val="center"/>
          </w:tcPr>
          <w:p w14:paraId="488BE18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.975</w:t>
            </w:r>
            <w:r w:rsidRPr="003B4942">
              <w:rPr>
                <w:rFonts w:ascii="Arial" w:hAnsi="Arial" w:cs="Arial"/>
                <w:color w:val="000000"/>
                <w:sz w:val="18"/>
                <w:szCs w:val="18"/>
                <w:vertAlign w:val="superscript"/>
              </w:rPr>
              <w:t>*</w:t>
            </w:r>
          </w:p>
        </w:tc>
        <w:tc>
          <w:tcPr>
            <w:tcW w:w="810" w:type="dxa"/>
            <w:shd w:val="clear" w:color="auto" w:fill="FFFFFF"/>
            <w:vAlign w:val="center"/>
          </w:tcPr>
          <w:p w14:paraId="3958F24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.503</w:t>
            </w:r>
          </w:p>
        </w:tc>
        <w:tc>
          <w:tcPr>
            <w:tcW w:w="810" w:type="dxa"/>
            <w:shd w:val="clear" w:color="auto" w:fill="FFFFFF"/>
            <w:vAlign w:val="center"/>
          </w:tcPr>
          <w:p w14:paraId="24538B0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900" w:type="dxa"/>
            <w:shd w:val="clear" w:color="auto" w:fill="FFFFFF"/>
            <w:vAlign w:val="center"/>
          </w:tcPr>
          <w:p w14:paraId="3408467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C84C17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4BFEB17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04EB2E2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4D5539D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9980FF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9A97F6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68951E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D171F2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B13AD2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0CE7A18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34CBA19" w14:textId="77777777" w:rsidTr="00591770">
        <w:trPr>
          <w:cantSplit/>
        </w:trPr>
        <w:tc>
          <w:tcPr>
            <w:tcW w:w="990" w:type="dxa"/>
            <w:shd w:val="clear" w:color="auto" w:fill="FFFFFF"/>
          </w:tcPr>
          <w:p w14:paraId="1055A70B" w14:textId="59960A64"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w:t>
            </w:r>
            <w:r w:rsidR="00264702">
              <w:rPr>
                <w:b/>
                <w:bCs/>
              </w:rPr>
              <w:t xml:space="preserve"> </w:t>
            </w:r>
            <w:r w:rsidR="002B0E2A" w:rsidRPr="00104E60">
              <w:rPr>
                <w:b/>
                <w:bCs/>
              </w:rPr>
              <w:t>S</w:t>
            </w:r>
            <w:r w:rsidRPr="00104E60">
              <w:rPr>
                <w:b/>
                <w:bCs/>
              </w:rPr>
              <w:t>OM</w:t>
            </w:r>
          </w:p>
        </w:tc>
        <w:tc>
          <w:tcPr>
            <w:tcW w:w="720" w:type="dxa"/>
            <w:shd w:val="clear" w:color="auto" w:fill="FFFFFF"/>
            <w:vAlign w:val="center"/>
          </w:tcPr>
          <w:p w14:paraId="40F6045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.557</w:t>
            </w:r>
          </w:p>
        </w:tc>
        <w:tc>
          <w:tcPr>
            <w:tcW w:w="900" w:type="dxa"/>
            <w:shd w:val="clear" w:color="auto" w:fill="FFFFFF"/>
            <w:vAlign w:val="center"/>
          </w:tcPr>
          <w:p w14:paraId="3910A7E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-.621</w:t>
            </w:r>
          </w:p>
        </w:tc>
        <w:tc>
          <w:tcPr>
            <w:tcW w:w="810" w:type="dxa"/>
            <w:shd w:val="clear" w:color="auto" w:fill="FFFFFF"/>
            <w:vAlign w:val="center"/>
          </w:tcPr>
          <w:p w14:paraId="4F05911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.985</w:t>
            </w:r>
            <w:r w:rsidRPr="003B4942">
              <w:rPr>
                <w:rFonts w:ascii="Arial" w:hAnsi="Arial" w:cs="Arial"/>
                <w:color w:val="000000"/>
                <w:sz w:val="18"/>
                <w:szCs w:val="18"/>
                <w:vertAlign w:val="superscript"/>
              </w:rPr>
              <w:t>*</w:t>
            </w:r>
          </w:p>
        </w:tc>
        <w:tc>
          <w:tcPr>
            <w:tcW w:w="810" w:type="dxa"/>
            <w:shd w:val="clear" w:color="auto" w:fill="FFFFFF"/>
            <w:vAlign w:val="center"/>
          </w:tcPr>
          <w:p w14:paraId="239C398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.391</w:t>
            </w:r>
          </w:p>
        </w:tc>
        <w:tc>
          <w:tcPr>
            <w:tcW w:w="810" w:type="dxa"/>
            <w:shd w:val="clear" w:color="auto" w:fill="FFFFFF"/>
            <w:vAlign w:val="center"/>
          </w:tcPr>
          <w:p w14:paraId="3B58F5B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.992</w:t>
            </w:r>
            <w:r w:rsidRPr="003B4942">
              <w:rPr>
                <w:rFonts w:ascii="Arial" w:hAnsi="Arial" w:cs="Arial"/>
                <w:color w:val="000000"/>
                <w:sz w:val="18"/>
                <w:szCs w:val="18"/>
                <w:vertAlign w:val="superscript"/>
              </w:rPr>
              <w:t>**</w:t>
            </w:r>
          </w:p>
        </w:tc>
        <w:tc>
          <w:tcPr>
            <w:tcW w:w="900" w:type="dxa"/>
            <w:shd w:val="clear" w:color="auto" w:fill="FFFFFF"/>
            <w:vAlign w:val="center"/>
          </w:tcPr>
          <w:p w14:paraId="5ED86F3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302F47C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0E0887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60E0E0E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E21C2C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03B497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D7DC13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C69CE7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2229E9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452C091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5665EB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3C620F53" w14:textId="77777777" w:rsidTr="00591770">
        <w:trPr>
          <w:cantSplit/>
        </w:trPr>
        <w:tc>
          <w:tcPr>
            <w:tcW w:w="990" w:type="dxa"/>
            <w:shd w:val="clear" w:color="auto" w:fill="FFFFFF"/>
          </w:tcPr>
          <w:p w14:paraId="318C1139"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K</w:t>
            </w:r>
          </w:p>
        </w:tc>
        <w:tc>
          <w:tcPr>
            <w:tcW w:w="720" w:type="dxa"/>
            <w:shd w:val="clear" w:color="auto" w:fill="FFFFFF"/>
            <w:vAlign w:val="center"/>
          </w:tcPr>
          <w:p w14:paraId="657D7DC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-.784</w:t>
            </w:r>
          </w:p>
        </w:tc>
        <w:tc>
          <w:tcPr>
            <w:tcW w:w="900" w:type="dxa"/>
            <w:shd w:val="clear" w:color="auto" w:fill="FFFFFF"/>
            <w:vAlign w:val="center"/>
          </w:tcPr>
          <w:p w14:paraId="1A4EB2A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.786</w:t>
            </w:r>
          </w:p>
        </w:tc>
        <w:tc>
          <w:tcPr>
            <w:tcW w:w="810" w:type="dxa"/>
            <w:shd w:val="clear" w:color="auto" w:fill="FFFFFF"/>
            <w:vAlign w:val="center"/>
          </w:tcPr>
          <w:p w14:paraId="582974F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-.832</w:t>
            </w:r>
          </w:p>
        </w:tc>
        <w:tc>
          <w:tcPr>
            <w:tcW w:w="810" w:type="dxa"/>
            <w:shd w:val="clear" w:color="auto" w:fill="FFFFFF"/>
            <w:vAlign w:val="center"/>
          </w:tcPr>
          <w:p w14:paraId="4978BA3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-.706</w:t>
            </w:r>
          </w:p>
        </w:tc>
        <w:tc>
          <w:tcPr>
            <w:tcW w:w="810" w:type="dxa"/>
            <w:shd w:val="clear" w:color="auto" w:fill="FFFFFF"/>
            <w:vAlign w:val="center"/>
          </w:tcPr>
          <w:p w14:paraId="378D8AD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-.935</w:t>
            </w:r>
          </w:p>
        </w:tc>
        <w:tc>
          <w:tcPr>
            <w:tcW w:w="900" w:type="dxa"/>
            <w:shd w:val="clear" w:color="auto" w:fill="FFFFFF"/>
            <w:vAlign w:val="center"/>
          </w:tcPr>
          <w:p w14:paraId="4C13CA9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-.897</w:t>
            </w:r>
          </w:p>
        </w:tc>
        <w:tc>
          <w:tcPr>
            <w:tcW w:w="720" w:type="dxa"/>
            <w:shd w:val="clear" w:color="auto" w:fill="FFFFFF"/>
            <w:vAlign w:val="center"/>
          </w:tcPr>
          <w:p w14:paraId="2E50126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50DF6D9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67CD23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1D9A3C7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410E4D9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CC361B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4E88646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617F87D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748C5D6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7E8787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2D80094B" w14:textId="77777777" w:rsidTr="00591770">
        <w:trPr>
          <w:cantSplit/>
        </w:trPr>
        <w:tc>
          <w:tcPr>
            <w:tcW w:w="990" w:type="dxa"/>
            <w:shd w:val="clear" w:color="auto" w:fill="FFFFFF"/>
          </w:tcPr>
          <w:p w14:paraId="18F2AF6F"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Ca</w:t>
            </w:r>
          </w:p>
        </w:tc>
        <w:tc>
          <w:tcPr>
            <w:tcW w:w="720" w:type="dxa"/>
            <w:shd w:val="clear" w:color="auto" w:fill="FFFFFF"/>
            <w:vAlign w:val="center"/>
          </w:tcPr>
          <w:p w14:paraId="3140E55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-.450</w:t>
            </w:r>
          </w:p>
        </w:tc>
        <w:tc>
          <w:tcPr>
            <w:tcW w:w="900" w:type="dxa"/>
            <w:shd w:val="clear" w:color="auto" w:fill="FFFFFF"/>
            <w:vAlign w:val="center"/>
          </w:tcPr>
          <w:p w14:paraId="21AB981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.527</w:t>
            </w:r>
          </w:p>
        </w:tc>
        <w:tc>
          <w:tcPr>
            <w:tcW w:w="810" w:type="dxa"/>
            <w:shd w:val="clear" w:color="auto" w:fill="FFFFFF"/>
            <w:vAlign w:val="center"/>
          </w:tcPr>
          <w:p w14:paraId="4EF6A7D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.118</w:t>
            </w:r>
          </w:p>
        </w:tc>
        <w:tc>
          <w:tcPr>
            <w:tcW w:w="810" w:type="dxa"/>
            <w:shd w:val="clear" w:color="auto" w:fill="FFFFFF"/>
            <w:vAlign w:val="center"/>
          </w:tcPr>
          <w:p w14:paraId="6792864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.535</w:t>
            </w:r>
          </w:p>
        </w:tc>
        <w:tc>
          <w:tcPr>
            <w:tcW w:w="810" w:type="dxa"/>
            <w:shd w:val="clear" w:color="auto" w:fill="FFFFFF"/>
            <w:vAlign w:val="center"/>
          </w:tcPr>
          <w:p w14:paraId="7B36261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.089</w:t>
            </w:r>
          </w:p>
        </w:tc>
        <w:tc>
          <w:tcPr>
            <w:tcW w:w="900" w:type="dxa"/>
            <w:shd w:val="clear" w:color="auto" w:fill="FFFFFF"/>
            <w:vAlign w:val="center"/>
          </w:tcPr>
          <w:p w14:paraId="6760011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.005</w:t>
            </w:r>
          </w:p>
        </w:tc>
        <w:tc>
          <w:tcPr>
            <w:tcW w:w="720" w:type="dxa"/>
            <w:shd w:val="clear" w:color="auto" w:fill="FFFFFF"/>
            <w:vAlign w:val="center"/>
          </w:tcPr>
          <w:p w14:paraId="6916CD2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-.052</w:t>
            </w:r>
          </w:p>
        </w:tc>
        <w:tc>
          <w:tcPr>
            <w:tcW w:w="720" w:type="dxa"/>
            <w:shd w:val="clear" w:color="auto" w:fill="FFFFFF"/>
            <w:vAlign w:val="center"/>
          </w:tcPr>
          <w:p w14:paraId="2AC976C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0DDDDAA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1319FAE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6BB5FA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D50C36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E64784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F66B79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29E3BD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B6A064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52280E9A" w14:textId="77777777" w:rsidTr="00591770">
        <w:trPr>
          <w:cantSplit/>
        </w:trPr>
        <w:tc>
          <w:tcPr>
            <w:tcW w:w="990" w:type="dxa"/>
            <w:shd w:val="clear" w:color="auto" w:fill="FFFFFF"/>
          </w:tcPr>
          <w:p w14:paraId="23F155F1"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Mg</w:t>
            </w:r>
          </w:p>
        </w:tc>
        <w:tc>
          <w:tcPr>
            <w:tcW w:w="720" w:type="dxa"/>
            <w:shd w:val="clear" w:color="auto" w:fill="FFFFFF"/>
            <w:vAlign w:val="center"/>
          </w:tcPr>
          <w:p w14:paraId="7C7AD44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-.946</w:t>
            </w:r>
          </w:p>
        </w:tc>
        <w:tc>
          <w:tcPr>
            <w:tcW w:w="900" w:type="dxa"/>
            <w:shd w:val="clear" w:color="auto" w:fill="FFFFFF"/>
            <w:vAlign w:val="center"/>
          </w:tcPr>
          <w:p w14:paraId="0F2E2D1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.896</w:t>
            </w:r>
          </w:p>
        </w:tc>
        <w:tc>
          <w:tcPr>
            <w:tcW w:w="810" w:type="dxa"/>
            <w:shd w:val="clear" w:color="auto" w:fill="FFFFFF"/>
            <w:vAlign w:val="center"/>
          </w:tcPr>
          <w:p w14:paraId="7985877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-.107</w:t>
            </w:r>
          </w:p>
        </w:tc>
        <w:tc>
          <w:tcPr>
            <w:tcW w:w="810" w:type="dxa"/>
            <w:shd w:val="clear" w:color="auto" w:fill="FFFFFF"/>
            <w:vAlign w:val="center"/>
          </w:tcPr>
          <w:p w14:paraId="12AB3A4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-.518</w:t>
            </w:r>
          </w:p>
        </w:tc>
        <w:tc>
          <w:tcPr>
            <w:tcW w:w="810" w:type="dxa"/>
            <w:shd w:val="clear" w:color="auto" w:fill="FFFFFF"/>
            <w:vAlign w:val="center"/>
          </w:tcPr>
          <w:p w14:paraId="4DE7591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-.314</w:t>
            </w:r>
          </w:p>
        </w:tc>
        <w:tc>
          <w:tcPr>
            <w:tcW w:w="900" w:type="dxa"/>
            <w:shd w:val="clear" w:color="auto" w:fill="FFFFFF"/>
            <w:vAlign w:val="center"/>
          </w:tcPr>
          <w:p w14:paraId="3F5169A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-.273</w:t>
            </w:r>
          </w:p>
        </w:tc>
        <w:tc>
          <w:tcPr>
            <w:tcW w:w="720" w:type="dxa"/>
            <w:shd w:val="clear" w:color="auto" w:fill="FFFFFF"/>
            <w:vAlign w:val="center"/>
          </w:tcPr>
          <w:p w14:paraId="314FCCA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.601</w:t>
            </w:r>
          </w:p>
        </w:tc>
        <w:tc>
          <w:tcPr>
            <w:tcW w:w="720" w:type="dxa"/>
            <w:shd w:val="clear" w:color="auto" w:fill="FFFFFF"/>
            <w:vAlign w:val="center"/>
          </w:tcPr>
          <w:p w14:paraId="5D6B862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.434</w:t>
            </w:r>
          </w:p>
        </w:tc>
        <w:tc>
          <w:tcPr>
            <w:tcW w:w="720" w:type="dxa"/>
            <w:shd w:val="clear" w:color="auto" w:fill="FFFFFF"/>
            <w:vAlign w:val="center"/>
          </w:tcPr>
          <w:p w14:paraId="01064B5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6984A21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204B3EA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01AE3F2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14B918B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1BF575F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2BAE3D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6C36C8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CF4E320" w14:textId="77777777" w:rsidTr="00591770">
        <w:trPr>
          <w:cantSplit/>
        </w:trPr>
        <w:tc>
          <w:tcPr>
            <w:tcW w:w="990" w:type="dxa"/>
            <w:shd w:val="clear" w:color="auto" w:fill="FFFFFF"/>
          </w:tcPr>
          <w:p w14:paraId="65C4F851"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Na</w:t>
            </w:r>
          </w:p>
        </w:tc>
        <w:tc>
          <w:tcPr>
            <w:tcW w:w="720" w:type="dxa"/>
            <w:shd w:val="clear" w:color="auto" w:fill="FFFFFF"/>
            <w:vAlign w:val="center"/>
          </w:tcPr>
          <w:p w14:paraId="50773B7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-.236</w:t>
            </w:r>
          </w:p>
        </w:tc>
        <w:tc>
          <w:tcPr>
            <w:tcW w:w="900" w:type="dxa"/>
            <w:shd w:val="clear" w:color="auto" w:fill="FFFFFF"/>
            <w:vAlign w:val="center"/>
          </w:tcPr>
          <w:p w14:paraId="0931A16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.369</w:t>
            </w:r>
          </w:p>
        </w:tc>
        <w:tc>
          <w:tcPr>
            <w:tcW w:w="810" w:type="dxa"/>
            <w:shd w:val="clear" w:color="auto" w:fill="FFFFFF"/>
            <w:vAlign w:val="center"/>
          </w:tcPr>
          <w:p w14:paraId="500A678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-.210</w:t>
            </w:r>
          </w:p>
        </w:tc>
        <w:tc>
          <w:tcPr>
            <w:tcW w:w="810" w:type="dxa"/>
            <w:shd w:val="clear" w:color="auto" w:fill="FFFFFF"/>
            <w:vAlign w:val="center"/>
          </w:tcPr>
          <w:p w14:paraId="3A318D5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.684</w:t>
            </w:r>
          </w:p>
        </w:tc>
        <w:tc>
          <w:tcPr>
            <w:tcW w:w="810" w:type="dxa"/>
            <w:shd w:val="clear" w:color="auto" w:fill="FFFFFF"/>
            <w:vAlign w:val="center"/>
          </w:tcPr>
          <w:p w14:paraId="1A08156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-.141</w:t>
            </w:r>
          </w:p>
        </w:tc>
        <w:tc>
          <w:tcPr>
            <w:tcW w:w="900" w:type="dxa"/>
            <w:shd w:val="clear" w:color="auto" w:fill="FFFFFF"/>
            <w:vAlign w:val="center"/>
          </w:tcPr>
          <w:p w14:paraId="4329DF3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-.256</w:t>
            </w:r>
          </w:p>
        </w:tc>
        <w:tc>
          <w:tcPr>
            <w:tcW w:w="720" w:type="dxa"/>
            <w:shd w:val="clear" w:color="auto" w:fill="FFFFFF"/>
            <w:vAlign w:val="center"/>
          </w:tcPr>
          <w:p w14:paraId="38662AA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.000</w:t>
            </w:r>
          </w:p>
        </w:tc>
        <w:tc>
          <w:tcPr>
            <w:tcW w:w="720" w:type="dxa"/>
            <w:shd w:val="clear" w:color="auto" w:fill="FFFFFF"/>
            <w:vAlign w:val="center"/>
          </w:tcPr>
          <w:p w14:paraId="427F66C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.865</w:t>
            </w:r>
          </w:p>
        </w:tc>
        <w:tc>
          <w:tcPr>
            <w:tcW w:w="720" w:type="dxa"/>
            <w:shd w:val="clear" w:color="auto" w:fill="FFFFFF"/>
            <w:vAlign w:val="center"/>
          </w:tcPr>
          <w:p w14:paraId="2C96511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.079</w:t>
            </w:r>
          </w:p>
        </w:tc>
        <w:tc>
          <w:tcPr>
            <w:tcW w:w="720" w:type="dxa"/>
            <w:shd w:val="clear" w:color="auto" w:fill="FFFFFF"/>
            <w:vAlign w:val="center"/>
          </w:tcPr>
          <w:p w14:paraId="1DB1715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3B55E0D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68A031F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4AA771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AA8D3A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9CC7D0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4E4EA1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6C685BC" w14:textId="77777777" w:rsidTr="00591770">
        <w:trPr>
          <w:cantSplit/>
        </w:trPr>
        <w:tc>
          <w:tcPr>
            <w:tcW w:w="990" w:type="dxa"/>
            <w:shd w:val="clear" w:color="auto" w:fill="FFFFFF"/>
          </w:tcPr>
          <w:p w14:paraId="29B9FECB"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 Sand</w:t>
            </w:r>
          </w:p>
        </w:tc>
        <w:tc>
          <w:tcPr>
            <w:tcW w:w="720" w:type="dxa"/>
            <w:shd w:val="clear" w:color="auto" w:fill="FFFFFF"/>
            <w:vAlign w:val="center"/>
          </w:tcPr>
          <w:p w14:paraId="5F70861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.553</w:t>
            </w:r>
          </w:p>
        </w:tc>
        <w:tc>
          <w:tcPr>
            <w:tcW w:w="900" w:type="dxa"/>
            <w:shd w:val="clear" w:color="auto" w:fill="FFFFFF"/>
            <w:vAlign w:val="center"/>
          </w:tcPr>
          <w:p w14:paraId="7AD5F49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-.673</w:t>
            </w:r>
          </w:p>
        </w:tc>
        <w:tc>
          <w:tcPr>
            <w:tcW w:w="810" w:type="dxa"/>
            <w:shd w:val="clear" w:color="auto" w:fill="FFFFFF"/>
            <w:vAlign w:val="center"/>
          </w:tcPr>
          <w:p w14:paraId="7D15B1A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.517</w:t>
            </w:r>
          </w:p>
        </w:tc>
        <w:tc>
          <w:tcPr>
            <w:tcW w:w="810" w:type="dxa"/>
            <w:shd w:val="clear" w:color="auto" w:fill="FFFFFF"/>
            <w:vAlign w:val="center"/>
          </w:tcPr>
          <w:p w14:paraId="444C46B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-.329</w:t>
            </w:r>
          </w:p>
        </w:tc>
        <w:tc>
          <w:tcPr>
            <w:tcW w:w="810" w:type="dxa"/>
            <w:shd w:val="clear" w:color="auto" w:fill="FFFFFF"/>
            <w:vAlign w:val="center"/>
          </w:tcPr>
          <w:p w14:paraId="3D42344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.502</w:t>
            </w:r>
          </w:p>
        </w:tc>
        <w:tc>
          <w:tcPr>
            <w:tcW w:w="900" w:type="dxa"/>
            <w:shd w:val="clear" w:color="auto" w:fill="FFFFFF"/>
            <w:vAlign w:val="center"/>
          </w:tcPr>
          <w:p w14:paraId="2FDD229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.590</w:t>
            </w:r>
          </w:p>
        </w:tc>
        <w:tc>
          <w:tcPr>
            <w:tcW w:w="720" w:type="dxa"/>
            <w:shd w:val="clear" w:color="auto" w:fill="FFFFFF"/>
            <w:vAlign w:val="center"/>
          </w:tcPr>
          <w:p w14:paraId="5184288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-.409</w:t>
            </w:r>
          </w:p>
        </w:tc>
        <w:tc>
          <w:tcPr>
            <w:tcW w:w="720" w:type="dxa"/>
            <w:shd w:val="clear" w:color="auto" w:fill="FFFFFF"/>
            <w:vAlign w:val="center"/>
          </w:tcPr>
          <w:p w14:paraId="5612EB8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-.782</w:t>
            </w:r>
          </w:p>
        </w:tc>
        <w:tc>
          <w:tcPr>
            <w:tcW w:w="720" w:type="dxa"/>
            <w:shd w:val="clear" w:color="auto" w:fill="FFFFFF"/>
            <w:vAlign w:val="center"/>
          </w:tcPr>
          <w:p w14:paraId="2EE26DE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-.341</w:t>
            </w:r>
          </w:p>
        </w:tc>
        <w:tc>
          <w:tcPr>
            <w:tcW w:w="720" w:type="dxa"/>
            <w:shd w:val="clear" w:color="auto" w:fill="FFFFFF"/>
            <w:vAlign w:val="center"/>
          </w:tcPr>
          <w:p w14:paraId="3F9E811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-.912</w:t>
            </w:r>
          </w:p>
        </w:tc>
        <w:tc>
          <w:tcPr>
            <w:tcW w:w="810" w:type="dxa"/>
            <w:shd w:val="clear" w:color="auto" w:fill="FFFFFF"/>
            <w:vAlign w:val="center"/>
          </w:tcPr>
          <w:p w14:paraId="3ECC4C1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3E8EFEC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ED18AB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17C24CB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1405ECF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260631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70C17030" w14:textId="77777777" w:rsidTr="00591770">
        <w:trPr>
          <w:cantSplit/>
        </w:trPr>
        <w:tc>
          <w:tcPr>
            <w:tcW w:w="990" w:type="dxa"/>
            <w:shd w:val="clear" w:color="auto" w:fill="FFFFFF"/>
          </w:tcPr>
          <w:p w14:paraId="09053400"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 Silt</w:t>
            </w:r>
          </w:p>
        </w:tc>
        <w:tc>
          <w:tcPr>
            <w:tcW w:w="720" w:type="dxa"/>
            <w:shd w:val="clear" w:color="auto" w:fill="FFFFFF"/>
            <w:vAlign w:val="center"/>
          </w:tcPr>
          <w:p w14:paraId="27A8880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-.815</w:t>
            </w:r>
          </w:p>
        </w:tc>
        <w:tc>
          <w:tcPr>
            <w:tcW w:w="900" w:type="dxa"/>
            <w:shd w:val="clear" w:color="auto" w:fill="FFFFFF"/>
            <w:vAlign w:val="center"/>
          </w:tcPr>
          <w:p w14:paraId="0777CFA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.747</w:t>
            </w:r>
          </w:p>
        </w:tc>
        <w:tc>
          <w:tcPr>
            <w:tcW w:w="810" w:type="dxa"/>
            <w:shd w:val="clear" w:color="auto" w:fill="FFFFFF"/>
            <w:vAlign w:val="center"/>
          </w:tcPr>
          <w:p w14:paraId="1A65583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.192</w:t>
            </w:r>
          </w:p>
        </w:tc>
        <w:tc>
          <w:tcPr>
            <w:tcW w:w="810" w:type="dxa"/>
            <w:shd w:val="clear" w:color="auto" w:fill="FFFFFF"/>
            <w:vAlign w:val="center"/>
          </w:tcPr>
          <w:p w14:paraId="3CF4F73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-.394</w:t>
            </w:r>
          </w:p>
        </w:tc>
        <w:tc>
          <w:tcPr>
            <w:tcW w:w="810" w:type="dxa"/>
            <w:shd w:val="clear" w:color="auto" w:fill="FFFFFF"/>
            <w:vAlign w:val="center"/>
          </w:tcPr>
          <w:p w14:paraId="1CBCC14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-.018</w:t>
            </w:r>
          </w:p>
        </w:tc>
        <w:tc>
          <w:tcPr>
            <w:tcW w:w="900" w:type="dxa"/>
            <w:shd w:val="clear" w:color="auto" w:fill="FFFFFF"/>
            <w:vAlign w:val="center"/>
          </w:tcPr>
          <w:p w14:paraId="104FF23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.023</w:t>
            </w:r>
          </w:p>
        </w:tc>
        <w:tc>
          <w:tcPr>
            <w:tcW w:w="720" w:type="dxa"/>
            <w:shd w:val="clear" w:color="auto" w:fill="FFFFFF"/>
            <w:vAlign w:val="center"/>
          </w:tcPr>
          <w:p w14:paraId="660C535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.342</w:t>
            </w:r>
          </w:p>
        </w:tc>
        <w:tc>
          <w:tcPr>
            <w:tcW w:w="720" w:type="dxa"/>
            <w:shd w:val="clear" w:color="auto" w:fill="FFFFFF"/>
            <w:vAlign w:val="center"/>
          </w:tcPr>
          <w:p w14:paraId="01E61A4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.479</w:t>
            </w:r>
          </w:p>
        </w:tc>
        <w:tc>
          <w:tcPr>
            <w:tcW w:w="720" w:type="dxa"/>
            <w:shd w:val="clear" w:color="auto" w:fill="FFFFFF"/>
            <w:vAlign w:val="center"/>
          </w:tcPr>
          <w:p w14:paraId="738A0DC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.955</w:t>
            </w:r>
            <w:r w:rsidRPr="003B4942">
              <w:rPr>
                <w:rFonts w:ascii="Arial" w:hAnsi="Arial" w:cs="Arial"/>
                <w:color w:val="000000"/>
                <w:sz w:val="18"/>
                <w:szCs w:val="18"/>
                <w:vertAlign w:val="superscript"/>
              </w:rPr>
              <w:t>*</w:t>
            </w:r>
          </w:p>
        </w:tc>
        <w:tc>
          <w:tcPr>
            <w:tcW w:w="720" w:type="dxa"/>
            <w:shd w:val="clear" w:color="auto" w:fill="FFFFFF"/>
            <w:vAlign w:val="center"/>
          </w:tcPr>
          <w:p w14:paraId="1240315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.032</w:t>
            </w:r>
          </w:p>
        </w:tc>
        <w:tc>
          <w:tcPr>
            <w:tcW w:w="810" w:type="dxa"/>
            <w:shd w:val="clear" w:color="auto" w:fill="FFFFFF"/>
            <w:vAlign w:val="center"/>
          </w:tcPr>
          <w:p w14:paraId="43B0B1B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-.197</w:t>
            </w:r>
          </w:p>
        </w:tc>
        <w:tc>
          <w:tcPr>
            <w:tcW w:w="720" w:type="dxa"/>
            <w:shd w:val="clear" w:color="auto" w:fill="FFFFFF"/>
            <w:vAlign w:val="center"/>
          </w:tcPr>
          <w:p w14:paraId="6C9D8EC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737BE42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2EB8C7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179BB2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60CB67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A79A017" w14:textId="77777777" w:rsidTr="00591770">
        <w:trPr>
          <w:cantSplit/>
        </w:trPr>
        <w:tc>
          <w:tcPr>
            <w:tcW w:w="990" w:type="dxa"/>
            <w:shd w:val="clear" w:color="auto" w:fill="FFFFFF"/>
          </w:tcPr>
          <w:p w14:paraId="47F9C3AB"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 Clay</w:t>
            </w:r>
          </w:p>
        </w:tc>
        <w:tc>
          <w:tcPr>
            <w:tcW w:w="720" w:type="dxa"/>
            <w:shd w:val="clear" w:color="auto" w:fill="FFFFFF"/>
            <w:vAlign w:val="center"/>
          </w:tcPr>
          <w:p w14:paraId="53D4560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.208</w:t>
            </w:r>
          </w:p>
        </w:tc>
        <w:tc>
          <w:tcPr>
            <w:tcW w:w="900" w:type="dxa"/>
            <w:shd w:val="clear" w:color="auto" w:fill="FFFFFF"/>
            <w:vAlign w:val="center"/>
          </w:tcPr>
          <w:p w14:paraId="13F6363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-.067</w:t>
            </w:r>
          </w:p>
        </w:tc>
        <w:tc>
          <w:tcPr>
            <w:tcW w:w="810" w:type="dxa"/>
            <w:shd w:val="clear" w:color="auto" w:fill="FFFFFF"/>
            <w:vAlign w:val="center"/>
          </w:tcPr>
          <w:p w14:paraId="678BDC9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-.057</w:t>
            </w:r>
          </w:p>
        </w:tc>
        <w:tc>
          <w:tcPr>
            <w:tcW w:w="810" w:type="dxa"/>
            <w:shd w:val="clear" w:color="auto" w:fill="FFFFFF"/>
            <w:vAlign w:val="center"/>
          </w:tcPr>
          <w:p w14:paraId="7B9A4E3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.902</w:t>
            </w:r>
          </w:p>
        </w:tc>
        <w:tc>
          <w:tcPr>
            <w:tcW w:w="810" w:type="dxa"/>
            <w:shd w:val="clear" w:color="auto" w:fill="FFFFFF"/>
            <w:vAlign w:val="center"/>
          </w:tcPr>
          <w:p w14:paraId="69B696A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.092</w:t>
            </w:r>
          </w:p>
        </w:tc>
        <w:tc>
          <w:tcPr>
            <w:tcW w:w="900" w:type="dxa"/>
            <w:shd w:val="clear" w:color="auto" w:fill="FFFFFF"/>
            <w:vAlign w:val="center"/>
          </w:tcPr>
          <w:p w14:paraId="1CBD567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-.033</w:t>
            </w:r>
          </w:p>
        </w:tc>
        <w:tc>
          <w:tcPr>
            <w:tcW w:w="720" w:type="dxa"/>
            <w:shd w:val="clear" w:color="auto" w:fill="FFFFFF"/>
            <w:vAlign w:val="center"/>
          </w:tcPr>
          <w:p w14:paraId="26AABAA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-.332</w:t>
            </w:r>
          </w:p>
        </w:tc>
        <w:tc>
          <w:tcPr>
            <w:tcW w:w="720" w:type="dxa"/>
            <w:shd w:val="clear" w:color="auto" w:fill="FFFFFF"/>
            <w:vAlign w:val="center"/>
          </w:tcPr>
          <w:p w14:paraId="7EC7143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.656</w:t>
            </w:r>
          </w:p>
        </w:tc>
        <w:tc>
          <w:tcPr>
            <w:tcW w:w="720" w:type="dxa"/>
            <w:shd w:val="clear" w:color="auto" w:fill="FFFFFF"/>
            <w:vAlign w:val="center"/>
          </w:tcPr>
          <w:p w14:paraId="3660999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-.351</w:t>
            </w:r>
          </w:p>
        </w:tc>
        <w:tc>
          <w:tcPr>
            <w:tcW w:w="720" w:type="dxa"/>
            <w:shd w:val="clear" w:color="auto" w:fill="FFFFFF"/>
            <w:vAlign w:val="center"/>
          </w:tcPr>
          <w:p w14:paraId="32F1147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.901</w:t>
            </w:r>
          </w:p>
        </w:tc>
        <w:tc>
          <w:tcPr>
            <w:tcW w:w="810" w:type="dxa"/>
            <w:shd w:val="clear" w:color="auto" w:fill="FFFFFF"/>
            <w:vAlign w:val="center"/>
          </w:tcPr>
          <w:p w14:paraId="65ABE90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-.677</w:t>
            </w:r>
          </w:p>
        </w:tc>
        <w:tc>
          <w:tcPr>
            <w:tcW w:w="720" w:type="dxa"/>
            <w:shd w:val="clear" w:color="auto" w:fill="FFFFFF"/>
            <w:vAlign w:val="center"/>
          </w:tcPr>
          <w:p w14:paraId="0F18C2A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-.347</w:t>
            </w:r>
          </w:p>
        </w:tc>
        <w:tc>
          <w:tcPr>
            <w:tcW w:w="810" w:type="dxa"/>
            <w:shd w:val="clear" w:color="auto" w:fill="FFFFFF"/>
            <w:vAlign w:val="center"/>
          </w:tcPr>
          <w:p w14:paraId="43EFA70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900" w:type="dxa"/>
            <w:shd w:val="clear" w:color="auto" w:fill="FFFFFF"/>
            <w:vAlign w:val="center"/>
          </w:tcPr>
          <w:p w14:paraId="5BE894A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49AEEC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6C83A8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41F96647" w14:textId="77777777" w:rsidTr="00591770">
        <w:trPr>
          <w:cantSplit/>
        </w:trPr>
        <w:tc>
          <w:tcPr>
            <w:tcW w:w="990" w:type="dxa"/>
            <w:shd w:val="clear" w:color="auto" w:fill="FFFFFF"/>
          </w:tcPr>
          <w:p w14:paraId="76FF466D" w14:textId="01C0A5C2" w:rsidR="00890C9A" w:rsidRPr="00104E60" w:rsidRDefault="00890C9A" w:rsidP="00890C9A">
            <w:pPr>
              <w:autoSpaceDE w:val="0"/>
              <w:autoSpaceDN w:val="0"/>
              <w:adjustRightInd w:val="0"/>
              <w:spacing w:line="320" w:lineRule="atLeast"/>
              <w:ind w:left="60" w:right="60"/>
              <w:rPr>
                <w:rFonts w:ascii="Arial" w:hAnsi="Arial" w:cs="Arial"/>
                <w:b/>
                <w:bCs/>
                <w:color w:val="000000"/>
                <w:sz w:val="18"/>
                <w:szCs w:val="18"/>
              </w:rPr>
            </w:pPr>
            <w:proofErr w:type="spellStart"/>
            <w:r w:rsidRPr="00104E60">
              <w:rPr>
                <w:b/>
                <w:bCs/>
              </w:rPr>
              <w:t>TF</w:t>
            </w:r>
            <w:r w:rsidRPr="00104E60">
              <w:rPr>
                <w:b/>
                <w:bCs/>
                <w:vertAlign w:val="subscript"/>
              </w:rPr>
              <w:t>u</w:t>
            </w:r>
            <w:proofErr w:type="spellEnd"/>
          </w:p>
        </w:tc>
        <w:tc>
          <w:tcPr>
            <w:tcW w:w="720" w:type="dxa"/>
            <w:shd w:val="clear" w:color="auto" w:fill="FFFFFF"/>
            <w:vAlign w:val="center"/>
          </w:tcPr>
          <w:p w14:paraId="3A3DCD0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.451</w:t>
            </w:r>
          </w:p>
        </w:tc>
        <w:tc>
          <w:tcPr>
            <w:tcW w:w="900" w:type="dxa"/>
            <w:shd w:val="clear" w:color="auto" w:fill="FFFFFF"/>
            <w:vAlign w:val="center"/>
          </w:tcPr>
          <w:p w14:paraId="6FEEF162"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-.312</w:t>
            </w:r>
          </w:p>
        </w:tc>
        <w:tc>
          <w:tcPr>
            <w:tcW w:w="810" w:type="dxa"/>
            <w:shd w:val="clear" w:color="auto" w:fill="FFFFFF"/>
            <w:vAlign w:val="center"/>
          </w:tcPr>
          <w:p w14:paraId="3CAF4220"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-.098</w:t>
            </w:r>
          </w:p>
        </w:tc>
        <w:tc>
          <w:tcPr>
            <w:tcW w:w="810" w:type="dxa"/>
            <w:shd w:val="clear" w:color="auto" w:fill="FFFFFF"/>
            <w:vAlign w:val="center"/>
          </w:tcPr>
          <w:p w14:paraId="2A88937A"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.890</w:t>
            </w:r>
          </w:p>
        </w:tc>
        <w:tc>
          <w:tcPr>
            <w:tcW w:w="810" w:type="dxa"/>
            <w:shd w:val="clear" w:color="auto" w:fill="FFFFFF"/>
            <w:vAlign w:val="center"/>
          </w:tcPr>
          <w:p w14:paraId="548E7E98"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.096</w:t>
            </w:r>
          </w:p>
        </w:tc>
        <w:tc>
          <w:tcPr>
            <w:tcW w:w="900" w:type="dxa"/>
            <w:shd w:val="clear" w:color="auto" w:fill="FFFFFF"/>
            <w:vAlign w:val="center"/>
          </w:tcPr>
          <w:p w14:paraId="799B6DCC"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-.023</w:t>
            </w:r>
          </w:p>
        </w:tc>
        <w:tc>
          <w:tcPr>
            <w:tcW w:w="720" w:type="dxa"/>
            <w:shd w:val="clear" w:color="auto" w:fill="FFFFFF"/>
            <w:vAlign w:val="center"/>
          </w:tcPr>
          <w:p w14:paraId="5AD0307B"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-.402</w:t>
            </w:r>
          </w:p>
        </w:tc>
        <w:tc>
          <w:tcPr>
            <w:tcW w:w="720" w:type="dxa"/>
            <w:shd w:val="clear" w:color="auto" w:fill="FFFFFF"/>
            <w:vAlign w:val="center"/>
          </w:tcPr>
          <w:p w14:paraId="7FE0C4CF"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.390</w:t>
            </w:r>
          </w:p>
        </w:tc>
        <w:tc>
          <w:tcPr>
            <w:tcW w:w="720" w:type="dxa"/>
            <w:shd w:val="clear" w:color="auto" w:fill="FFFFFF"/>
            <w:vAlign w:val="center"/>
          </w:tcPr>
          <w:p w14:paraId="6CEB292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-.614</w:t>
            </w:r>
          </w:p>
        </w:tc>
        <w:tc>
          <w:tcPr>
            <w:tcW w:w="720" w:type="dxa"/>
            <w:shd w:val="clear" w:color="auto" w:fill="FFFFFF"/>
            <w:vAlign w:val="center"/>
          </w:tcPr>
          <w:p w14:paraId="1496324E"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.739</w:t>
            </w:r>
          </w:p>
        </w:tc>
        <w:tc>
          <w:tcPr>
            <w:tcW w:w="810" w:type="dxa"/>
            <w:shd w:val="clear" w:color="auto" w:fill="FFFFFF"/>
            <w:vAlign w:val="center"/>
          </w:tcPr>
          <w:p w14:paraId="6114A749"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-.494</w:t>
            </w:r>
          </w:p>
        </w:tc>
        <w:tc>
          <w:tcPr>
            <w:tcW w:w="720" w:type="dxa"/>
            <w:shd w:val="clear" w:color="auto" w:fill="FFFFFF"/>
            <w:vAlign w:val="center"/>
          </w:tcPr>
          <w:p w14:paraId="70628A43"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-.621</w:t>
            </w:r>
          </w:p>
        </w:tc>
        <w:tc>
          <w:tcPr>
            <w:tcW w:w="810" w:type="dxa"/>
            <w:shd w:val="clear" w:color="auto" w:fill="FFFFFF"/>
            <w:vAlign w:val="center"/>
          </w:tcPr>
          <w:p w14:paraId="0F5F180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.951</w:t>
            </w:r>
            <w:r w:rsidRPr="003B4942">
              <w:rPr>
                <w:rFonts w:ascii="Arial" w:hAnsi="Arial" w:cs="Arial"/>
                <w:color w:val="000000"/>
                <w:sz w:val="18"/>
                <w:szCs w:val="18"/>
                <w:vertAlign w:val="superscript"/>
              </w:rPr>
              <w:t>*</w:t>
            </w:r>
          </w:p>
        </w:tc>
        <w:tc>
          <w:tcPr>
            <w:tcW w:w="900" w:type="dxa"/>
            <w:shd w:val="clear" w:color="auto" w:fill="FFFFFF"/>
            <w:vAlign w:val="center"/>
          </w:tcPr>
          <w:p w14:paraId="4E2905AD"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16CBAED8"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1EFF44A6"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122E157C" w14:textId="77777777" w:rsidTr="00591770">
        <w:trPr>
          <w:cantSplit/>
        </w:trPr>
        <w:tc>
          <w:tcPr>
            <w:tcW w:w="990" w:type="dxa"/>
            <w:shd w:val="clear" w:color="auto" w:fill="FFFFFF"/>
          </w:tcPr>
          <w:p w14:paraId="17D580B2" w14:textId="015C44D2" w:rsidR="00890C9A" w:rsidRPr="00104E60" w:rsidRDefault="00890C9A" w:rsidP="00890C9A">
            <w:pPr>
              <w:autoSpaceDE w:val="0"/>
              <w:autoSpaceDN w:val="0"/>
              <w:adjustRightInd w:val="0"/>
              <w:spacing w:line="320" w:lineRule="atLeast"/>
              <w:ind w:left="60" w:right="60"/>
              <w:rPr>
                <w:rFonts w:ascii="Arial" w:hAnsi="Arial" w:cs="Arial"/>
                <w:b/>
                <w:bCs/>
                <w:color w:val="000000"/>
                <w:sz w:val="18"/>
                <w:szCs w:val="18"/>
              </w:rPr>
            </w:pPr>
            <w:proofErr w:type="spellStart"/>
            <w:r w:rsidRPr="00104E60">
              <w:rPr>
                <w:b/>
                <w:bCs/>
              </w:rPr>
              <w:t>TF</w:t>
            </w:r>
            <w:r w:rsidRPr="00104E60">
              <w:rPr>
                <w:b/>
                <w:bCs/>
                <w:vertAlign w:val="subscript"/>
              </w:rPr>
              <w:t>th</w:t>
            </w:r>
            <w:proofErr w:type="spellEnd"/>
          </w:p>
        </w:tc>
        <w:tc>
          <w:tcPr>
            <w:tcW w:w="720" w:type="dxa"/>
            <w:shd w:val="clear" w:color="auto" w:fill="FFFFFF"/>
            <w:vAlign w:val="center"/>
          </w:tcPr>
          <w:p w14:paraId="74B6EA67"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-.993</w:t>
            </w:r>
            <w:r w:rsidRPr="003B4942">
              <w:rPr>
                <w:rFonts w:ascii="Arial" w:hAnsi="Arial" w:cs="Arial"/>
                <w:color w:val="000000"/>
                <w:sz w:val="18"/>
                <w:szCs w:val="18"/>
                <w:vertAlign w:val="superscript"/>
              </w:rPr>
              <w:t>**</w:t>
            </w:r>
          </w:p>
        </w:tc>
        <w:tc>
          <w:tcPr>
            <w:tcW w:w="900" w:type="dxa"/>
            <w:shd w:val="clear" w:color="auto" w:fill="FFFFFF"/>
            <w:vAlign w:val="center"/>
          </w:tcPr>
          <w:p w14:paraId="284B6509"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.999</w:t>
            </w:r>
            <w:r w:rsidRPr="003B4942">
              <w:rPr>
                <w:rFonts w:ascii="Arial" w:hAnsi="Arial" w:cs="Arial"/>
                <w:color w:val="000000"/>
                <w:sz w:val="18"/>
                <w:szCs w:val="18"/>
                <w:vertAlign w:val="superscript"/>
              </w:rPr>
              <w:t>**</w:t>
            </w:r>
          </w:p>
        </w:tc>
        <w:tc>
          <w:tcPr>
            <w:tcW w:w="810" w:type="dxa"/>
            <w:shd w:val="clear" w:color="auto" w:fill="FFFFFF"/>
            <w:vAlign w:val="center"/>
          </w:tcPr>
          <w:p w14:paraId="6F6FC83C"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-.431</w:t>
            </w:r>
          </w:p>
        </w:tc>
        <w:tc>
          <w:tcPr>
            <w:tcW w:w="810" w:type="dxa"/>
            <w:shd w:val="clear" w:color="auto" w:fill="FFFFFF"/>
            <w:vAlign w:val="center"/>
          </w:tcPr>
          <w:p w14:paraId="2E6187F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-.405</w:t>
            </w:r>
          </w:p>
        </w:tc>
        <w:tc>
          <w:tcPr>
            <w:tcW w:w="810" w:type="dxa"/>
            <w:shd w:val="clear" w:color="auto" w:fill="FFFFFF"/>
            <w:vAlign w:val="center"/>
          </w:tcPr>
          <w:p w14:paraId="6EA973AE"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-.589</w:t>
            </w:r>
          </w:p>
        </w:tc>
        <w:tc>
          <w:tcPr>
            <w:tcW w:w="900" w:type="dxa"/>
            <w:shd w:val="clear" w:color="auto" w:fill="FFFFFF"/>
            <w:vAlign w:val="center"/>
          </w:tcPr>
          <w:p w14:paraId="75C7C475"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-.581</w:t>
            </w:r>
          </w:p>
        </w:tc>
        <w:tc>
          <w:tcPr>
            <w:tcW w:w="720" w:type="dxa"/>
            <w:shd w:val="clear" w:color="auto" w:fill="FFFFFF"/>
            <w:vAlign w:val="center"/>
          </w:tcPr>
          <w:p w14:paraId="0BC8AC3A"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.766</w:t>
            </w:r>
          </w:p>
        </w:tc>
        <w:tc>
          <w:tcPr>
            <w:tcW w:w="720" w:type="dxa"/>
            <w:shd w:val="clear" w:color="auto" w:fill="FFFFFF"/>
            <w:vAlign w:val="center"/>
          </w:tcPr>
          <w:p w14:paraId="2C83D9F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.530</w:t>
            </w:r>
          </w:p>
        </w:tc>
        <w:tc>
          <w:tcPr>
            <w:tcW w:w="720" w:type="dxa"/>
            <w:shd w:val="clear" w:color="auto" w:fill="FFFFFF"/>
            <w:vAlign w:val="center"/>
          </w:tcPr>
          <w:p w14:paraId="594D37E9"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.918</w:t>
            </w:r>
          </w:p>
        </w:tc>
        <w:tc>
          <w:tcPr>
            <w:tcW w:w="720" w:type="dxa"/>
            <w:shd w:val="clear" w:color="auto" w:fill="FFFFFF"/>
            <w:vAlign w:val="center"/>
          </w:tcPr>
          <w:p w14:paraId="0266D06C"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.346</w:t>
            </w:r>
          </w:p>
        </w:tc>
        <w:tc>
          <w:tcPr>
            <w:tcW w:w="810" w:type="dxa"/>
            <w:shd w:val="clear" w:color="auto" w:fill="FFFFFF"/>
            <w:vAlign w:val="center"/>
          </w:tcPr>
          <w:p w14:paraId="3D566C7E"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-.645</w:t>
            </w:r>
          </w:p>
        </w:tc>
        <w:tc>
          <w:tcPr>
            <w:tcW w:w="720" w:type="dxa"/>
            <w:shd w:val="clear" w:color="auto" w:fill="FFFFFF"/>
            <w:vAlign w:val="center"/>
          </w:tcPr>
          <w:p w14:paraId="378CEC87"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.782</w:t>
            </w:r>
          </w:p>
        </w:tc>
        <w:tc>
          <w:tcPr>
            <w:tcW w:w="810" w:type="dxa"/>
            <w:shd w:val="clear" w:color="auto" w:fill="FFFFFF"/>
            <w:vAlign w:val="center"/>
          </w:tcPr>
          <w:p w14:paraId="345ABDDA"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-.095</w:t>
            </w:r>
          </w:p>
        </w:tc>
        <w:tc>
          <w:tcPr>
            <w:tcW w:w="900" w:type="dxa"/>
            <w:shd w:val="clear" w:color="auto" w:fill="FFFFFF"/>
            <w:vAlign w:val="center"/>
          </w:tcPr>
          <w:p w14:paraId="183220A0"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-.345</w:t>
            </w:r>
          </w:p>
        </w:tc>
        <w:tc>
          <w:tcPr>
            <w:tcW w:w="810" w:type="dxa"/>
            <w:shd w:val="clear" w:color="auto" w:fill="FFFFFF"/>
            <w:vAlign w:val="center"/>
          </w:tcPr>
          <w:p w14:paraId="561A5817"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900" w:type="dxa"/>
            <w:shd w:val="clear" w:color="auto" w:fill="FFFFFF"/>
            <w:vAlign w:val="center"/>
          </w:tcPr>
          <w:p w14:paraId="4BB24C83"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39361706" w14:textId="77777777" w:rsidTr="00591770">
        <w:trPr>
          <w:cantSplit/>
        </w:trPr>
        <w:tc>
          <w:tcPr>
            <w:tcW w:w="990" w:type="dxa"/>
            <w:tcBorders>
              <w:bottom w:val="single" w:sz="4" w:space="0" w:color="auto"/>
            </w:tcBorders>
            <w:shd w:val="clear" w:color="auto" w:fill="FFFFFF"/>
          </w:tcPr>
          <w:p w14:paraId="0CFAEC00" w14:textId="5B7C0D2B" w:rsidR="00104E60" w:rsidRPr="00104E60" w:rsidRDefault="00104E60" w:rsidP="00104E60">
            <w:pPr>
              <w:autoSpaceDE w:val="0"/>
              <w:autoSpaceDN w:val="0"/>
              <w:adjustRightInd w:val="0"/>
              <w:spacing w:line="320" w:lineRule="atLeast"/>
              <w:ind w:left="60" w:right="60"/>
              <w:rPr>
                <w:rFonts w:ascii="Arial" w:hAnsi="Arial" w:cs="Arial"/>
                <w:b/>
                <w:bCs/>
                <w:color w:val="000000"/>
                <w:sz w:val="18"/>
                <w:szCs w:val="18"/>
              </w:rPr>
            </w:pPr>
            <w:proofErr w:type="spellStart"/>
            <w:r w:rsidRPr="00104E60">
              <w:rPr>
                <w:b/>
                <w:bCs/>
              </w:rPr>
              <w:t>TF</w:t>
            </w:r>
            <w:r w:rsidRPr="00104E60">
              <w:rPr>
                <w:b/>
                <w:bCs/>
                <w:vertAlign w:val="subscript"/>
              </w:rPr>
              <w:t>k</w:t>
            </w:r>
            <w:proofErr w:type="spellEnd"/>
          </w:p>
        </w:tc>
        <w:tc>
          <w:tcPr>
            <w:tcW w:w="720" w:type="dxa"/>
            <w:tcBorders>
              <w:bottom w:val="single" w:sz="4" w:space="0" w:color="auto"/>
            </w:tcBorders>
            <w:shd w:val="clear" w:color="auto" w:fill="FFFFFF"/>
            <w:vAlign w:val="center"/>
          </w:tcPr>
          <w:p w14:paraId="113C6716"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-.750</w:t>
            </w:r>
          </w:p>
        </w:tc>
        <w:tc>
          <w:tcPr>
            <w:tcW w:w="900" w:type="dxa"/>
            <w:tcBorders>
              <w:bottom w:val="single" w:sz="4" w:space="0" w:color="auto"/>
            </w:tcBorders>
            <w:shd w:val="clear" w:color="auto" w:fill="FFFFFF"/>
            <w:vAlign w:val="center"/>
          </w:tcPr>
          <w:p w14:paraId="554B7B7A"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.842</w:t>
            </w:r>
          </w:p>
        </w:tc>
        <w:tc>
          <w:tcPr>
            <w:tcW w:w="810" w:type="dxa"/>
            <w:tcBorders>
              <w:bottom w:val="single" w:sz="4" w:space="0" w:color="auto"/>
            </w:tcBorders>
            <w:shd w:val="clear" w:color="auto" w:fill="FFFFFF"/>
            <w:vAlign w:val="center"/>
          </w:tcPr>
          <w:p w14:paraId="4BCCD1E9"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-.688</w:t>
            </w:r>
          </w:p>
        </w:tc>
        <w:tc>
          <w:tcPr>
            <w:tcW w:w="810" w:type="dxa"/>
            <w:tcBorders>
              <w:bottom w:val="single" w:sz="4" w:space="0" w:color="auto"/>
            </w:tcBorders>
            <w:shd w:val="clear" w:color="auto" w:fill="FFFFFF"/>
            <w:vAlign w:val="center"/>
          </w:tcPr>
          <w:p w14:paraId="0B9DA247"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-.005</w:t>
            </w:r>
          </w:p>
        </w:tc>
        <w:tc>
          <w:tcPr>
            <w:tcW w:w="810" w:type="dxa"/>
            <w:tcBorders>
              <w:bottom w:val="single" w:sz="4" w:space="0" w:color="auto"/>
            </w:tcBorders>
            <w:shd w:val="clear" w:color="auto" w:fill="FFFFFF"/>
            <w:vAlign w:val="center"/>
          </w:tcPr>
          <w:p w14:paraId="39672DF9"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-.723</w:t>
            </w:r>
          </w:p>
        </w:tc>
        <w:tc>
          <w:tcPr>
            <w:tcW w:w="900" w:type="dxa"/>
            <w:tcBorders>
              <w:bottom w:val="single" w:sz="4" w:space="0" w:color="auto"/>
            </w:tcBorders>
            <w:shd w:val="clear" w:color="auto" w:fill="FFFFFF"/>
            <w:vAlign w:val="center"/>
          </w:tcPr>
          <w:p w14:paraId="465B7B6E"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-.777</w:t>
            </w:r>
          </w:p>
        </w:tc>
        <w:tc>
          <w:tcPr>
            <w:tcW w:w="720" w:type="dxa"/>
            <w:tcBorders>
              <w:bottom w:val="single" w:sz="4" w:space="0" w:color="auto"/>
            </w:tcBorders>
            <w:shd w:val="clear" w:color="auto" w:fill="FFFFFF"/>
            <w:vAlign w:val="center"/>
          </w:tcPr>
          <w:p w14:paraId="3E9AF9DC"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.688</w:t>
            </w:r>
          </w:p>
        </w:tc>
        <w:tc>
          <w:tcPr>
            <w:tcW w:w="720" w:type="dxa"/>
            <w:tcBorders>
              <w:bottom w:val="single" w:sz="4" w:space="0" w:color="auto"/>
            </w:tcBorders>
            <w:shd w:val="clear" w:color="auto" w:fill="FFFFFF"/>
            <w:vAlign w:val="center"/>
          </w:tcPr>
          <w:p w14:paraId="5A705106"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.624</w:t>
            </w:r>
          </w:p>
        </w:tc>
        <w:tc>
          <w:tcPr>
            <w:tcW w:w="720" w:type="dxa"/>
            <w:tcBorders>
              <w:bottom w:val="single" w:sz="4" w:space="0" w:color="auto"/>
            </w:tcBorders>
            <w:shd w:val="clear" w:color="auto" w:fill="FFFFFF"/>
            <w:vAlign w:val="center"/>
          </w:tcPr>
          <w:p w14:paraId="21E146CC"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.525</w:t>
            </w:r>
          </w:p>
        </w:tc>
        <w:tc>
          <w:tcPr>
            <w:tcW w:w="720" w:type="dxa"/>
            <w:tcBorders>
              <w:bottom w:val="single" w:sz="4" w:space="0" w:color="auto"/>
            </w:tcBorders>
            <w:shd w:val="clear" w:color="auto" w:fill="FFFFFF"/>
            <w:vAlign w:val="center"/>
          </w:tcPr>
          <w:p w14:paraId="5A65BE00"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.722</w:t>
            </w:r>
          </w:p>
        </w:tc>
        <w:tc>
          <w:tcPr>
            <w:tcW w:w="810" w:type="dxa"/>
            <w:tcBorders>
              <w:bottom w:val="single" w:sz="4" w:space="0" w:color="auto"/>
            </w:tcBorders>
            <w:shd w:val="clear" w:color="auto" w:fill="FFFFFF"/>
            <w:vAlign w:val="center"/>
          </w:tcPr>
          <w:p w14:paraId="0C36E131"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-.942</w:t>
            </w:r>
          </w:p>
        </w:tc>
        <w:tc>
          <w:tcPr>
            <w:tcW w:w="720" w:type="dxa"/>
            <w:tcBorders>
              <w:bottom w:val="single" w:sz="4" w:space="0" w:color="auto"/>
            </w:tcBorders>
            <w:shd w:val="clear" w:color="auto" w:fill="FFFFFF"/>
            <w:vAlign w:val="center"/>
          </w:tcPr>
          <w:p w14:paraId="3069CA73"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.324</w:t>
            </w:r>
          </w:p>
        </w:tc>
        <w:tc>
          <w:tcPr>
            <w:tcW w:w="810" w:type="dxa"/>
            <w:tcBorders>
              <w:bottom w:val="single" w:sz="4" w:space="0" w:color="auto"/>
            </w:tcBorders>
            <w:shd w:val="clear" w:color="auto" w:fill="FFFFFF"/>
            <w:vAlign w:val="center"/>
          </w:tcPr>
          <w:p w14:paraId="658879B6"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.403</w:t>
            </w:r>
          </w:p>
        </w:tc>
        <w:tc>
          <w:tcPr>
            <w:tcW w:w="900" w:type="dxa"/>
            <w:tcBorders>
              <w:bottom w:val="single" w:sz="4" w:space="0" w:color="auto"/>
            </w:tcBorders>
            <w:shd w:val="clear" w:color="auto" w:fill="FFFFFF"/>
            <w:vAlign w:val="center"/>
          </w:tcPr>
          <w:p w14:paraId="3FB23673"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.219</w:t>
            </w:r>
          </w:p>
        </w:tc>
        <w:tc>
          <w:tcPr>
            <w:tcW w:w="810" w:type="dxa"/>
            <w:tcBorders>
              <w:bottom w:val="single" w:sz="4" w:space="0" w:color="auto"/>
            </w:tcBorders>
            <w:shd w:val="clear" w:color="auto" w:fill="FFFFFF"/>
            <w:vAlign w:val="center"/>
          </w:tcPr>
          <w:p w14:paraId="32DFB2DE"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.815</w:t>
            </w:r>
          </w:p>
        </w:tc>
        <w:tc>
          <w:tcPr>
            <w:tcW w:w="900" w:type="dxa"/>
            <w:tcBorders>
              <w:bottom w:val="single" w:sz="4" w:space="0" w:color="auto"/>
            </w:tcBorders>
            <w:shd w:val="clear" w:color="auto" w:fill="FFFFFF"/>
            <w:vAlign w:val="center"/>
          </w:tcPr>
          <w:p w14:paraId="4ADDC75D"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r>
    </w:tbl>
    <w:p w14:paraId="6B1E0BA8" w14:textId="77777777" w:rsidR="00FA7E88" w:rsidRPr="003B4942" w:rsidRDefault="00FA7E88" w:rsidP="00FA7E88">
      <w:pPr>
        <w:autoSpaceDE w:val="0"/>
        <w:autoSpaceDN w:val="0"/>
        <w:adjustRightInd w:val="0"/>
        <w:spacing w:line="400" w:lineRule="atLeast"/>
      </w:pPr>
    </w:p>
    <w:tbl>
      <w:tblPr>
        <w:tblW w:w="25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40"/>
      </w:tblGrid>
      <w:tr w:rsidR="00C02801" w:rsidRPr="0000192E" w14:paraId="1DC2A94A" w14:textId="77777777" w:rsidTr="00C02801">
        <w:trPr>
          <w:cantSplit/>
        </w:trPr>
        <w:tc>
          <w:tcPr>
            <w:tcW w:w="25540" w:type="dxa"/>
            <w:tcBorders>
              <w:top w:val="nil"/>
              <w:left w:val="nil"/>
              <w:bottom w:val="nil"/>
              <w:right w:val="nil"/>
            </w:tcBorders>
            <w:shd w:val="clear" w:color="auto" w:fill="FFFFFF"/>
          </w:tcPr>
          <w:p w14:paraId="5B672B08" w14:textId="52497FCF" w:rsidR="00C02801" w:rsidRDefault="00C02801" w:rsidP="00C02801">
            <w:pPr>
              <w:autoSpaceDE w:val="0"/>
              <w:autoSpaceDN w:val="0"/>
              <w:adjustRightInd w:val="0"/>
              <w:ind w:right="60"/>
              <w:rPr>
                <w:i/>
                <w:iCs/>
                <w:sz w:val="22"/>
                <w:szCs w:val="22"/>
              </w:rPr>
            </w:pPr>
            <w:r w:rsidRPr="006A2069">
              <w:rPr>
                <w:i/>
                <w:iCs/>
                <w:sz w:val="22"/>
                <w:szCs w:val="22"/>
              </w:rPr>
              <w:t>* Correlation significant at 0.05 level (2-tailed)</w:t>
            </w:r>
            <w:r w:rsidR="00BF2BC1">
              <w:rPr>
                <w:i/>
                <w:iCs/>
                <w:sz w:val="22"/>
                <w:szCs w:val="22"/>
              </w:rPr>
              <w:t>;</w:t>
            </w:r>
            <w:r w:rsidRPr="006A2069">
              <w:rPr>
                <w:i/>
                <w:iCs/>
                <w:sz w:val="22"/>
                <w:szCs w:val="22"/>
              </w:rPr>
              <w:t xml:space="preserve"> ** Correlation significant at 0.01 level (2-tailed)</w:t>
            </w:r>
            <w:r w:rsidR="00BF2BC1">
              <w:rPr>
                <w:i/>
                <w:iCs/>
                <w:sz w:val="22"/>
                <w:szCs w:val="22"/>
              </w:rPr>
              <w:t>;</w:t>
            </w:r>
            <w:r w:rsidRPr="006A2069">
              <w:rPr>
                <w:i/>
                <w:iCs/>
                <w:sz w:val="22"/>
                <w:szCs w:val="22"/>
              </w:rPr>
              <w:t xml:space="preserve"> TFᵤ = transfer factor for ²³⁸U; TFₜₕ = transfer factor for ²³²Th</w:t>
            </w:r>
            <w:r w:rsidR="004C0607">
              <w:rPr>
                <w:i/>
                <w:iCs/>
                <w:sz w:val="22"/>
                <w:szCs w:val="22"/>
              </w:rPr>
              <w:t>;</w:t>
            </w:r>
          </w:p>
          <w:p w14:paraId="3B4CF569" w14:textId="6F089C46" w:rsidR="008066CF" w:rsidRPr="001413CD" w:rsidRDefault="00C02801" w:rsidP="008066CF">
            <w:pPr>
              <w:jc w:val="both"/>
              <w:rPr>
                <w:bCs/>
                <w:i/>
                <w:iCs/>
                <w:sz w:val="20"/>
                <w:szCs w:val="20"/>
              </w:rPr>
            </w:pPr>
            <w:r>
              <w:rPr>
                <w:i/>
                <w:iCs/>
                <w:sz w:val="22"/>
                <w:szCs w:val="22"/>
              </w:rPr>
              <w:t xml:space="preserve"> TF</w:t>
            </w:r>
            <w:r w:rsidRPr="00C02801">
              <w:rPr>
                <w:i/>
                <w:iCs/>
                <w:sz w:val="22"/>
                <w:szCs w:val="22"/>
                <w:vertAlign w:val="subscript"/>
              </w:rPr>
              <w:t>K</w:t>
            </w:r>
            <w:r>
              <w:rPr>
                <w:i/>
                <w:iCs/>
                <w:sz w:val="22"/>
                <w:szCs w:val="22"/>
              </w:rPr>
              <w:t xml:space="preserve"> = transfer for</w:t>
            </w:r>
            <w:r w:rsidRPr="00C02801">
              <w:rPr>
                <w:i/>
                <w:iCs/>
                <w:sz w:val="22"/>
                <w:szCs w:val="22"/>
                <w:vertAlign w:val="superscript"/>
              </w:rPr>
              <w:t>40</w:t>
            </w:r>
            <w:r>
              <w:rPr>
                <w:i/>
                <w:iCs/>
                <w:sz w:val="22"/>
                <w:szCs w:val="22"/>
              </w:rPr>
              <w:t>K</w:t>
            </w:r>
            <w:r w:rsidR="004C0607">
              <w:rPr>
                <w:i/>
                <w:iCs/>
                <w:sz w:val="22"/>
                <w:szCs w:val="22"/>
              </w:rPr>
              <w:t>;</w:t>
            </w:r>
            <w:r w:rsidR="008066CF">
              <w:rPr>
                <w:i/>
                <w:iCs/>
                <w:sz w:val="22"/>
                <w:szCs w:val="22"/>
              </w:rPr>
              <w:t xml:space="preserve"> </w:t>
            </w:r>
            <w:r w:rsidR="008066CF" w:rsidRPr="001413CD">
              <w:rPr>
                <w:bCs/>
                <w:i/>
                <w:iCs/>
                <w:sz w:val="20"/>
                <w:szCs w:val="20"/>
              </w:rPr>
              <w:t>%</w:t>
            </w:r>
            <w:r w:rsidR="00F9536D">
              <w:rPr>
                <w:bCs/>
                <w:i/>
                <w:iCs/>
                <w:sz w:val="20"/>
                <w:szCs w:val="20"/>
              </w:rPr>
              <w:t xml:space="preserve"> </w:t>
            </w:r>
            <w:r w:rsidR="008066CF" w:rsidRPr="001413CD">
              <w:rPr>
                <w:bCs/>
                <w:i/>
                <w:iCs/>
                <w:sz w:val="20"/>
                <w:szCs w:val="20"/>
              </w:rPr>
              <w:t xml:space="preserve">SOC is the percentage </w:t>
            </w:r>
            <w:r w:rsidR="004C0607">
              <w:rPr>
                <w:bCs/>
                <w:i/>
                <w:iCs/>
                <w:sz w:val="20"/>
                <w:szCs w:val="20"/>
              </w:rPr>
              <w:t xml:space="preserve">soil </w:t>
            </w:r>
            <w:r w:rsidR="008066CF" w:rsidRPr="001413CD">
              <w:rPr>
                <w:bCs/>
                <w:i/>
                <w:iCs/>
                <w:sz w:val="20"/>
                <w:szCs w:val="20"/>
              </w:rPr>
              <w:t>organic carbon; %</w:t>
            </w:r>
            <w:r w:rsidR="00F9536D">
              <w:rPr>
                <w:bCs/>
                <w:i/>
                <w:iCs/>
                <w:sz w:val="20"/>
                <w:szCs w:val="20"/>
              </w:rPr>
              <w:t xml:space="preserve"> </w:t>
            </w:r>
            <w:r w:rsidR="008066CF" w:rsidRPr="001413CD">
              <w:rPr>
                <w:bCs/>
                <w:i/>
                <w:iCs/>
                <w:sz w:val="20"/>
                <w:szCs w:val="20"/>
              </w:rPr>
              <w:t xml:space="preserve">SOM is the percentage </w:t>
            </w:r>
            <w:r w:rsidR="004C0607">
              <w:rPr>
                <w:bCs/>
                <w:i/>
                <w:iCs/>
                <w:sz w:val="20"/>
                <w:szCs w:val="20"/>
              </w:rPr>
              <w:t xml:space="preserve">soil </w:t>
            </w:r>
            <w:r w:rsidR="008066CF" w:rsidRPr="001413CD">
              <w:rPr>
                <w:bCs/>
                <w:i/>
                <w:iCs/>
                <w:sz w:val="20"/>
                <w:szCs w:val="20"/>
              </w:rPr>
              <w:t>organic matter, K is potassium; Ca is calcium; Mg is magnesium; Na is sodium</w:t>
            </w:r>
            <w:r w:rsidR="008066CF">
              <w:rPr>
                <w:bCs/>
                <w:i/>
                <w:iCs/>
                <w:sz w:val="20"/>
                <w:szCs w:val="20"/>
              </w:rPr>
              <w:t>.</w:t>
            </w:r>
          </w:p>
          <w:p w14:paraId="7AB21AFF" w14:textId="126F909E" w:rsidR="00C02801" w:rsidRPr="002B0E2A" w:rsidRDefault="00C02801" w:rsidP="00C02801">
            <w:pPr>
              <w:autoSpaceDE w:val="0"/>
              <w:autoSpaceDN w:val="0"/>
              <w:adjustRightInd w:val="0"/>
              <w:ind w:right="60"/>
              <w:rPr>
                <w:i/>
                <w:iCs/>
                <w:color w:val="000000"/>
                <w:sz w:val="20"/>
                <w:szCs w:val="20"/>
              </w:rPr>
            </w:pPr>
          </w:p>
        </w:tc>
      </w:tr>
      <w:tr w:rsidR="00C02801" w:rsidRPr="0000192E" w14:paraId="2B6433E6" w14:textId="77777777" w:rsidTr="00C02801">
        <w:trPr>
          <w:cantSplit/>
        </w:trPr>
        <w:tc>
          <w:tcPr>
            <w:tcW w:w="25540" w:type="dxa"/>
            <w:tcBorders>
              <w:top w:val="nil"/>
              <w:left w:val="nil"/>
              <w:bottom w:val="nil"/>
              <w:right w:val="nil"/>
            </w:tcBorders>
            <w:shd w:val="clear" w:color="auto" w:fill="FFFFFF"/>
          </w:tcPr>
          <w:p w14:paraId="4FE55113" w14:textId="34A45954" w:rsidR="00C02801" w:rsidRPr="002B0E2A" w:rsidRDefault="00C02801" w:rsidP="00C02801">
            <w:pPr>
              <w:autoSpaceDE w:val="0"/>
              <w:autoSpaceDN w:val="0"/>
              <w:adjustRightInd w:val="0"/>
              <w:ind w:left="60" w:right="60"/>
              <w:rPr>
                <w:i/>
                <w:iCs/>
                <w:color w:val="000000"/>
                <w:sz w:val="20"/>
                <w:szCs w:val="20"/>
              </w:rPr>
            </w:pPr>
          </w:p>
        </w:tc>
      </w:tr>
    </w:tbl>
    <w:p w14:paraId="3E27CAE8" w14:textId="77777777" w:rsidR="00FA7E88" w:rsidRDefault="00FA7E88" w:rsidP="00FA7E88">
      <w:pPr>
        <w:sectPr w:rsidR="00FA7E88" w:rsidSect="00410445">
          <w:pgSz w:w="16838" w:h="11906" w:orient="landscape" w:code="9"/>
          <w:pgMar w:top="1440" w:right="1440" w:bottom="1440" w:left="1440" w:header="720" w:footer="720" w:gutter="0"/>
          <w:cols w:space="720"/>
          <w:docGrid w:linePitch="360"/>
        </w:sectPr>
      </w:pPr>
    </w:p>
    <w:p w14:paraId="220AA0B6" w14:textId="77777777" w:rsidR="00C53C14" w:rsidRDefault="00C53C14" w:rsidP="00C53C14">
      <w:pPr>
        <w:spacing w:before="100" w:after="100" w:line="360" w:lineRule="auto"/>
        <w:jc w:val="both"/>
      </w:pPr>
      <w:r>
        <w:lastRenderedPageBreak/>
        <w:t>A strong positive correlation was also found between % Silt and Mg (r = 0.955, p &lt; 0.05), reflecting the weathering of silt-sized silicate minerals as a source of exchangeable Mg in these soils.</w:t>
      </w:r>
    </w:p>
    <w:p w14:paraId="0CC41972" w14:textId="77777777" w:rsidR="00C53C14" w:rsidRDefault="00C53C14" w:rsidP="00C53C14">
      <w:pPr>
        <w:spacing w:before="100" w:after="100" w:line="360" w:lineRule="auto"/>
        <w:jc w:val="both"/>
      </w:pPr>
      <w:r>
        <w:t>Notably, the correlation between % Clay and soil pH (r = 0.902) approached significance, consistent with the well-established relationship between clay-dominated soils and higher buffering capacity in tropical ecosystems (Essien et al., 2021).</w:t>
      </w:r>
    </w:p>
    <w:p w14:paraId="192ED720" w14:textId="77777777" w:rsidR="008A4ABA" w:rsidRDefault="008A4ABA">
      <w:pPr>
        <w:spacing w:before="60" w:after="60"/>
      </w:pPr>
    </w:p>
    <w:p w14:paraId="60DC0F92" w14:textId="77777777" w:rsidR="00CB11A0" w:rsidRPr="00CB11A0" w:rsidRDefault="00CB11A0">
      <w:pPr>
        <w:spacing w:before="100" w:after="100" w:line="360" w:lineRule="auto"/>
        <w:jc w:val="both"/>
        <w:rPr>
          <w:b/>
          <w:bCs/>
        </w:rPr>
      </w:pPr>
      <w:r w:rsidRPr="00CB11A0">
        <w:rPr>
          <w:b/>
          <w:bCs/>
        </w:rPr>
        <w:t xml:space="preserve">4. Discussion </w:t>
      </w:r>
    </w:p>
    <w:p w14:paraId="4C20F09E" w14:textId="582DE9C4" w:rsidR="008A4ABA" w:rsidRDefault="00555ED3">
      <w:pPr>
        <w:spacing w:before="100" w:after="100" w:line="360" w:lineRule="auto"/>
        <w:jc w:val="both"/>
      </w:pPr>
      <w:r>
        <w:t>The physicochemical characteri</w:t>
      </w:r>
      <w:r w:rsidR="00CB11A0">
        <w:t>z</w:t>
      </w:r>
      <w:r>
        <w:t xml:space="preserve">ation of soils in this study revealed consistently sandy, acidic profiles with moderate organic matter content, features typical of the coastal plain sand soils that dominate Akwa Ibom State and much of the Niger Delta region. These soil properties have direct implications for radionuclide </w:t>
      </w:r>
      <w:proofErr w:type="spellStart"/>
      <w:r>
        <w:t>behaviour</w:t>
      </w:r>
      <w:proofErr w:type="spellEnd"/>
      <w:r>
        <w:t xml:space="preserve"> and bioavailability. Under the acidic pH conditions observed (4.33–5.00), uranium exists predominantly in more soluble ionic and carbonate-complexed forms, which are more readily available for plant root uptake, explaining the relatively high TFᵤ values approaching or exceeding unity in some LGAs (Sparks et al., 2022; </w:t>
      </w:r>
      <w:proofErr w:type="spellStart"/>
      <w:r>
        <w:t>Amakom</w:t>
      </w:r>
      <w:proofErr w:type="spellEnd"/>
      <w:r>
        <w:t xml:space="preserve"> et al., 2017). The significant correlation between clay content and TFᵤ (r = 0.951) found in this study provides additional evidence that fine-particle soil fractions mediate uranium mobility and uptake, likely through their role in regulating soil solution chemistry and cation exchange (</w:t>
      </w:r>
      <w:proofErr w:type="spellStart"/>
      <w:r>
        <w:t>Amakom</w:t>
      </w:r>
      <w:proofErr w:type="spellEnd"/>
      <w:r>
        <w:t xml:space="preserve"> et al., 2017; </w:t>
      </w:r>
      <w:proofErr w:type="spellStart"/>
      <w:r>
        <w:t>Demidchik</w:t>
      </w:r>
      <w:proofErr w:type="spellEnd"/>
      <w:r>
        <w:t xml:space="preserve"> and </w:t>
      </w:r>
      <w:proofErr w:type="spellStart"/>
      <w:r>
        <w:t>Maathuis</w:t>
      </w:r>
      <w:proofErr w:type="spellEnd"/>
      <w:r>
        <w:t>, 2007).</w:t>
      </w:r>
    </w:p>
    <w:p w14:paraId="26BBBFA2" w14:textId="3A616C67" w:rsidR="008A4ABA" w:rsidRDefault="00555ED3">
      <w:pPr>
        <w:spacing w:before="100" w:after="100" w:line="360" w:lineRule="auto"/>
        <w:jc w:val="both"/>
      </w:pPr>
      <w:r>
        <w:t>Thorium transfer factors (TFₜₕ) were consistently below unity across all LGAs, reflecting thorium’s well-known low mobility in soil systems. Thorium is strongly retained by iron and manganese oxides and by clay minerals through precipitation and adsorption, significantly limiting its bioavailability relative to uranium (</w:t>
      </w:r>
      <w:proofErr w:type="spellStart"/>
      <w:r>
        <w:t>Galhardi</w:t>
      </w:r>
      <w:proofErr w:type="spellEnd"/>
      <w:r>
        <w:t xml:space="preserve"> et al., 2017; </w:t>
      </w:r>
      <w:proofErr w:type="spellStart"/>
      <w:r>
        <w:t>Orosun</w:t>
      </w:r>
      <w:proofErr w:type="spellEnd"/>
      <w:r>
        <w:t xml:space="preserve"> et al., 2022). The range of TFₜₕ values (0.30–0.49) observed in this study is broadly consistent with the IAEA (2010) reference range for tropical cassava-soil systems and with values reported by </w:t>
      </w:r>
      <w:proofErr w:type="spellStart"/>
      <w:r>
        <w:t>Akankpo</w:t>
      </w:r>
      <w:proofErr w:type="spellEnd"/>
      <w:r>
        <w:t xml:space="preserve"> et al.</w:t>
      </w:r>
      <w:r w:rsidR="00CA7E40">
        <w:t xml:space="preserve">, </w:t>
      </w:r>
      <w:r>
        <w:t xml:space="preserve">(2021) for Ikot </w:t>
      </w:r>
      <w:proofErr w:type="spellStart"/>
      <w:r>
        <w:t>Ekpene</w:t>
      </w:r>
      <w:proofErr w:type="spellEnd"/>
      <w:r>
        <w:t xml:space="preserve"> LGA and by Essien et al.</w:t>
      </w:r>
      <w:r w:rsidR="00CA7E40">
        <w:t>,</w:t>
      </w:r>
      <w:r>
        <w:t xml:space="preserve"> (2021) for Ini LGA, both in Akwa Ibom State.</w:t>
      </w:r>
    </w:p>
    <w:p w14:paraId="0BB3625A" w14:textId="01570691" w:rsidR="008A4ABA" w:rsidRDefault="00555ED3">
      <w:pPr>
        <w:spacing w:before="100" w:after="100" w:line="360" w:lineRule="auto"/>
        <w:jc w:val="both"/>
      </w:pPr>
      <w:r>
        <w:t xml:space="preserve">Potassium transfer factors (TFₖ = 1.20–1.35) exceeding unity across all LGAs confirm the well-established role of ⁴⁰K as an essential macronutrient actively accumulated by cassava. </w:t>
      </w:r>
      <w:r w:rsidR="00A45222">
        <w:t>The variation in the transfer factors (TF</w:t>
      </w:r>
      <w:r w:rsidR="00A45222" w:rsidRPr="00A45222">
        <w:rPr>
          <w:vertAlign w:val="subscript"/>
        </w:rPr>
        <w:t>s</w:t>
      </w:r>
      <w:r w:rsidR="00A45222">
        <w:t>) can be attributed to the differences in the geological properties of the area and radionuclide distribution</w:t>
      </w:r>
      <w:r w:rsidR="00B819B2">
        <w:t xml:space="preserve"> (Nyong et al., 2023). </w:t>
      </w:r>
      <w:r>
        <w:t xml:space="preserve">The significant correlations between soil organic matter and ⁴⁰K in cassava (r = 0.985) and between SOC and </w:t>
      </w:r>
      <w:r>
        <w:lastRenderedPageBreak/>
        <w:t xml:space="preserve">⁴⁰K (r = 0.975) indicate that organic matter decomposition and nutrient cycling contribute meaningfully to potassium availability in these soils. Similar findings have been reported from </w:t>
      </w:r>
      <w:r w:rsidR="00875A6C">
        <w:t>Ughelli North Local Government Area, Delta State</w:t>
      </w:r>
      <w:r w:rsidR="008B7032">
        <w:t xml:space="preserve"> </w:t>
      </w:r>
      <w:r w:rsidRPr="009D2790">
        <w:t>(</w:t>
      </w:r>
      <w:proofErr w:type="spellStart"/>
      <w:r w:rsidRPr="009D2790">
        <w:t>Ejoh</w:t>
      </w:r>
      <w:proofErr w:type="spellEnd"/>
      <w:r w:rsidRPr="009D2790">
        <w:t xml:space="preserve"> et al., 202</w:t>
      </w:r>
      <w:r w:rsidR="00875A6C" w:rsidRPr="009D2790">
        <w:t>3</w:t>
      </w:r>
      <w:r w:rsidRPr="009D2790">
        <w:t xml:space="preserve">) and from </w:t>
      </w:r>
      <w:r w:rsidR="00E662F0" w:rsidRPr="009D2790">
        <w:t>Southwest, Nigeria</w:t>
      </w:r>
      <w:r w:rsidRPr="009D2790">
        <w:t xml:space="preserve"> (</w:t>
      </w:r>
      <w:proofErr w:type="spellStart"/>
      <w:r w:rsidRPr="009D2790">
        <w:t>Olabimtan</w:t>
      </w:r>
      <w:proofErr w:type="spellEnd"/>
      <w:r w:rsidRPr="009D2790">
        <w:t xml:space="preserve"> et al., 2024), where high ⁴⁰K transfer factors in cassava and other crops </w:t>
      </w:r>
      <w:r>
        <w:t>were attributed to the active physiological demand for potassium and the influence of soil organic matter on nutrient cycling.</w:t>
      </w:r>
      <w:r w:rsidR="00D03E87">
        <w:t xml:space="preserve"> </w:t>
      </w:r>
      <w:r w:rsidR="00ED01BB">
        <w:t>Moreover</w:t>
      </w:r>
      <w:r w:rsidR="00D03E87">
        <w:t>, the high values of transfer factors in potassium could be attributed to the application of inorganic fertilizers (NPK) and agrochemicals by the farmers. Many farmers apply these inorganic fertilizers in large quantities directly to the root region of crops (</w:t>
      </w:r>
      <w:proofErr w:type="spellStart"/>
      <w:r w:rsidR="00826B52">
        <w:t>Tyovenda</w:t>
      </w:r>
      <w:proofErr w:type="spellEnd"/>
      <w:r w:rsidR="00826B52">
        <w:t xml:space="preserve"> et al., 2022).</w:t>
      </w:r>
      <w:r w:rsidR="00D03E87">
        <w:t xml:space="preserve"> </w:t>
      </w:r>
    </w:p>
    <w:p w14:paraId="5C117A2A" w14:textId="07668E21" w:rsidR="00F007F2" w:rsidRPr="00AF5FE1" w:rsidRDefault="00F007F2" w:rsidP="00F007F2">
      <w:pPr>
        <w:spacing w:before="100" w:after="100" w:line="360" w:lineRule="auto"/>
        <w:jc w:val="both"/>
      </w:pPr>
      <w:proofErr w:type="spellStart"/>
      <w:r w:rsidRPr="00AF5FE1">
        <w:t>Ankapong</w:t>
      </w:r>
      <w:proofErr w:type="spellEnd"/>
      <w:r w:rsidRPr="00AF5FE1">
        <w:t xml:space="preserve"> et al. (2024) investigated soil-to-plant TFs for </w:t>
      </w:r>
      <w:r w:rsidRPr="00AF5FE1">
        <w:rPr>
          <w:vertAlign w:val="superscript"/>
        </w:rPr>
        <w:t>238</w:t>
      </w:r>
      <w:r w:rsidRPr="00AF5FE1">
        <w:t xml:space="preserve">U, </w:t>
      </w:r>
      <w:r w:rsidRPr="00AF5FE1">
        <w:rPr>
          <w:vertAlign w:val="superscript"/>
        </w:rPr>
        <w:t>232</w:t>
      </w:r>
      <w:r w:rsidRPr="00AF5FE1">
        <w:t xml:space="preserve">Th, and </w:t>
      </w:r>
      <w:r w:rsidRPr="00AF5FE1">
        <w:rPr>
          <w:vertAlign w:val="superscript"/>
        </w:rPr>
        <w:t>40</w:t>
      </w:r>
      <w:r w:rsidRPr="00AF5FE1">
        <w:t>K in cassava, cocoyam, and yam across two mining districts and a non-mining district in Ghana, using a high-resolution high-purity germanium (</w:t>
      </w:r>
      <w:proofErr w:type="spellStart"/>
      <w:r w:rsidRPr="00AF5FE1">
        <w:t>HPGe</w:t>
      </w:r>
      <w:proofErr w:type="spellEnd"/>
      <w:r w:rsidRPr="00AF5FE1">
        <w:t>) detector. Their TF</w:t>
      </w:r>
      <w:r w:rsidR="007E5C2E" w:rsidRPr="00AF5FE1">
        <w:t xml:space="preserve"> </w:t>
      </w:r>
      <w:r w:rsidRPr="00AF5FE1">
        <w:t xml:space="preserve">for </w:t>
      </w:r>
      <w:r w:rsidR="00647493" w:rsidRPr="00AF5FE1">
        <w:rPr>
          <w:vertAlign w:val="superscript"/>
        </w:rPr>
        <w:t>238</w:t>
      </w:r>
      <w:r w:rsidR="00647493" w:rsidRPr="00AF5FE1">
        <w:t>U</w:t>
      </w:r>
      <w:r w:rsidR="007E5C2E" w:rsidRPr="00AF5FE1">
        <w:t xml:space="preserve"> ranged</w:t>
      </w:r>
      <w:r w:rsidR="00647493" w:rsidRPr="00AF5FE1">
        <w:t xml:space="preserve"> </w:t>
      </w:r>
      <w:r w:rsidRPr="00AF5FE1">
        <w:t xml:space="preserve">(0.11–1.11) </w:t>
      </w:r>
      <w:r w:rsidR="0098318A" w:rsidRPr="00AF5FE1">
        <w:t>while</w:t>
      </w:r>
      <w:r w:rsidRPr="00AF5FE1">
        <w:t xml:space="preserve"> the </w:t>
      </w:r>
      <w:proofErr w:type="spellStart"/>
      <w:r w:rsidRPr="00AF5FE1">
        <w:t>TFu</w:t>
      </w:r>
      <w:proofErr w:type="spellEnd"/>
      <w:r w:rsidRPr="00AF5FE1">
        <w:t xml:space="preserve"> values observed in the current study</w:t>
      </w:r>
      <w:r w:rsidR="0098318A" w:rsidRPr="00AF5FE1">
        <w:t xml:space="preserve"> ranged</w:t>
      </w:r>
      <w:r w:rsidRPr="00AF5FE1">
        <w:t xml:space="preserve"> (0.91–1.08), indicating that uranium transfer in cassava grown on tropical coastal plain soils is geochemically comparable to that observed in mining-proximal Ghanaian soils. Their reported absorbed dose rates for soil (198–224 </w:t>
      </w:r>
      <w:proofErr w:type="spellStart"/>
      <w:r w:rsidRPr="00AF5FE1">
        <w:t>nGy</w:t>
      </w:r>
      <w:proofErr w:type="spellEnd"/>
      <w:r w:rsidRPr="00AF5FE1">
        <w:t xml:space="preserve">/h) were substantially above the UNSCEAR threshold of 60 </w:t>
      </w:r>
      <w:proofErr w:type="spellStart"/>
      <w:r w:rsidRPr="00AF5FE1">
        <w:t>nGy</w:t>
      </w:r>
      <w:proofErr w:type="spellEnd"/>
      <w:r w:rsidRPr="00AF5FE1">
        <w:t>/h, reflecting the elevated radioactivity associated with mining activity; in contrast, the present study sites represent non-industrial agricultural settings with considerably lower background activity, highlighting the significance of land-use context in determining the radiological significance of TF values (</w:t>
      </w:r>
      <w:proofErr w:type="spellStart"/>
      <w:r w:rsidRPr="00AF5FE1">
        <w:t>Ankapong</w:t>
      </w:r>
      <w:proofErr w:type="spellEnd"/>
      <w:r w:rsidRPr="00AF5FE1">
        <w:t xml:space="preserve"> et al., 2024).</w:t>
      </w:r>
    </w:p>
    <w:p w14:paraId="02A3AC31" w14:textId="1F724F53" w:rsidR="00F007F2" w:rsidRPr="00AF5FE1" w:rsidRDefault="00F007F2">
      <w:pPr>
        <w:spacing w:before="100" w:after="100" w:line="360" w:lineRule="auto"/>
        <w:jc w:val="both"/>
      </w:pPr>
      <w:r w:rsidRPr="00AF5FE1">
        <w:t xml:space="preserve">Makki et al. (2024) assessed soil-to-plant TFs for natural radionuclides in vegetable species cultivated in an arid environment in Saudi Arabia, reporting </w:t>
      </w:r>
      <w:r w:rsidR="00CC29C6" w:rsidRPr="00AF5FE1">
        <w:rPr>
          <w:vertAlign w:val="superscript"/>
        </w:rPr>
        <w:t>40</w:t>
      </w:r>
      <w:r w:rsidRPr="00AF5FE1">
        <w:t xml:space="preserve">K TFs of 1.57–5.56, considerably higher than the </w:t>
      </w:r>
      <w:proofErr w:type="spellStart"/>
      <w:r w:rsidRPr="00AF5FE1">
        <w:t>TF</w:t>
      </w:r>
      <w:r w:rsidRPr="00AF5FE1">
        <w:rPr>
          <w:vertAlign w:val="subscript"/>
        </w:rPr>
        <w:t>k</w:t>
      </w:r>
      <w:proofErr w:type="spellEnd"/>
      <w:r w:rsidRPr="00AF5FE1">
        <w:t xml:space="preserve"> values in this study, and attributed the elevated potassium mobility to the low organic matter and high ionic strength of arid-zone soils. Their </w:t>
      </w:r>
      <w:r w:rsidR="00CC29C6" w:rsidRPr="00AF5FE1">
        <w:rPr>
          <w:vertAlign w:val="superscript"/>
        </w:rPr>
        <w:t>226</w:t>
      </w:r>
      <w:r w:rsidRPr="00AF5FE1">
        <w:t xml:space="preserve">Ra and </w:t>
      </w:r>
      <w:r w:rsidR="00CC29C6" w:rsidRPr="00AF5FE1">
        <w:rPr>
          <w:vertAlign w:val="superscript"/>
        </w:rPr>
        <w:t>232</w:t>
      </w:r>
      <w:r w:rsidRPr="00AF5FE1">
        <w:t xml:space="preserve">Th TF values (0.02–0.23) were lower than most </w:t>
      </w:r>
      <w:proofErr w:type="spellStart"/>
      <w:r w:rsidRPr="00AF5FE1">
        <w:t>TF</w:t>
      </w:r>
      <w:r w:rsidR="007E5E14" w:rsidRPr="00AF5FE1">
        <w:rPr>
          <w:vertAlign w:val="subscript"/>
        </w:rPr>
        <w:t>t</w:t>
      </w:r>
      <w:r w:rsidR="00CC29C6" w:rsidRPr="00AF5FE1">
        <w:rPr>
          <w:vertAlign w:val="subscript"/>
        </w:rPr>
        <w:t>h</w:t>
      </w:r>
      <w:proofErr w:type="spellEnd"/>
      <w:r w:rsidRPr="00AF5FE1">
        <w:t xml:space="preserve"> values observed in the current study, likely reflecting the contrasting soil chemistry of arid calcareous soils versus the acidic, leached, organic-rich coastal plain sand soils of Akwa Ibom State. This comparison </w:t>
      </w:r>
      <w:r w:rsidR="007E5E14" w:rsidRPr="00AF5FE1">
        <w:t>highlights</w:t>
      </w:r>
      <w:r w:rsidRPr="00AF5FE1">
        <w:t xml:space="preserve"> the importance of soil type and pH regime as primary determinants of radionuclide bioavailability across different climatic zones (Makki et al., 2024).</w:t>
      </w:r>
    </w:p>
    <w:p w14:paraId="7BD0C885" w14:textId="77777777" w:rsidR="008A4ABA" w:rsidRDefault="00555ED3">
      <w:pPr>
        <w:spacing w:before="100" w:after="100" w:line="360" w:lineRule="auto"/>
        <w:jc w:val="both"/>
      </w:pPr>
      <w:r>
        <w:t xml:space="preserve">The strong negative correlation between ²³⁸U and ²³²Th activity concentrations in cassava (r = −0.988) deserves particular attention. This inverse relationship likely reflects competing geochemical controls: locations with higher clay content and pH (Etim Ekpo, Ikot </w:t>
      </w:r>
      <w:proofErr w:type="spellStart"/>
      <w:r>
        <w:t>Ekpene</w:t>
      </w:r>
      <w:proofErr w:type="spellEnd"/>
      <w:r>
        <w:t xml:space="preserve">) may promote uranium solubility while simultaneously enhancing thorium adsorption, and vice </w:t>
      </w:r>
      <w:r>
        <w:lastRenderedPageBreak/>
        <w:t>versa for sandier, more acidic soils (</w:t>
      </w:r>
      <w:proofErr w:type="spellStart"/>
      <w:r>
        <w:t>Abak</w:t>
      </w:r>
      <w:proofErr w:type="spellEnd"/>
      <w:r>
        <w:t xml:space="preserve">, </w:t>
      </w:r>
      <w:proofErr w:type="spellStart"/>
      <w:r>
        <w:t>Ukanafun</w:t>
      </w:r>
      <w:proofErr w:type="spellEnd"/>
      <w:r>
        <w:t xml:space="preserve">). This finding corroborates the conclusions of </w:t>
      </w:r>
      <w:proofErr w:type="spellStart"/>
      <w:r>
        <w:t>Faanu</w:t>
      </w:r>
      <w:proofErr w:type="spellEnd"/>
      <w:r>
        <w:t xml:space="preserve"> et al. (2024) from Ghanaian mining districts, where similar inverse spatial patterns were observed for uranium and thorium in cassava.</w:t>
      </w:r>
    </w:p>
    <w:p w14:paraId="13A98E81" w14:textId="77777777" w:rsidR="008A4ABA" w:rsidRDefault="00555ED3">
      <w:pPr>
        <w:spacing w:before="100" w:after="100" w:line="360" w:lineRule="auto"/>
        <w:jc w:val="both"/>
      </w:pPr>
      <w:r>
        <w:t xml:space="preserve">Comparing the activity concentrations observed in this study with international guidelines is instructive. The UNSCEAR (2000) world average activity concentrations in soil are approximately 35 </w:t>
      </w:r>
      <w:proofErr w:type="spellStart"/>
      <w:r>
        <w:t>Bq</w:t>
      </w:r>
      <w:proofErr w:type="spellEnd"/>
      <w:r>
        <w:t xml:space="preserve">/kg for ²³⁸U, 30 </w:t>
      </w:r>
      <w:proofErr w:type="spellStart"/>
      <w:r>
        <w:t>Bq</w:t>
      </w:r>
      <w:proofErr w:type="spellEnd"/>
      <w:r>
        <w:t xml:space="preserve">/kg for ²³²Th, and 400 </w:t>
      </w:r>
      <w:proofErr w:type="spellStart"/>
      <w:r>
        <w:t>Bq</w:t>
      </w:r>
      <w:proofErr w:type="spellEnd"/>
      <w:r>
        <w:t xml:space="preserve">/kg for ⁴⁰K. Activity concentrations of ⁴⁰K in cassava (581–638 </w:t>
      </w:r>
      <w:proofErr w:type="spellStart"/>
      <w:r>
        <w:t>Bq</w:t>
      </w:r>
      <w:proofErr w:type="spellEnd"/>
      <w:r>
        <w:t xml:space="preserve">/kg) exceeded 400 </w:t>
      </w:r>
      <w:proofErr w:type="spellStart"/>
      <w:r>
        <w:t>Bq</w:t>
      </w:r>
      <w:proofErr w:type="spellEnd"/>
      <w:r>
        <w:t>/kg in all LGAs, consistent with the reported tendency of cassava to actively accumulate potassium well above soil concentrations. TFₖ values exceeding unity across all sites confirm potassium hyperaccumulation as a characteristic metabolic feature of cassava. While ⁴⁰K constitutes the dominant contributor to internal radiation dose from cassava consumption, its contribution is considered within acceptable limits under the 1 mSv/</w:t>
      </w:r>
      <w:proofErr w:type="spellStart"/>
      <w:r>
        <w:t>yr</w:t>
      </w:r>
      <w:proofErr w:type="spellEnd"/>
      <w:r>
        <w:t xml:space="preserve"> public dose constraint (ICRP, 2007; </w:t>
      </w:r>
      <w:proofErr w:type="spellStart"/>
      <w:r>
        <w:t>Amakom</w:t>
      </w:r>
      <w:proofErr w:type="spellEnd"/>
      <w:r>
        <w:t xml:space="preserve"> et al., 2023).</w:t>
      </w:r>
    </w:p>
    <w:p w14:paraId="6ACCABD3" w14:textId="1551B754" w:rsidR="008A4ABA" w:rsidRDefault="00555ED3">
      <w:pPr>
        <w:spacing w:before="100" w:after="100" w:line="360" w:lineRule="auto"/>
        <w:jc w:val="both"/>
      </w:pPr>
      <w:r>
        <w:t xml:space="preserve">This study makes an important contribution to the sparse tropical ecosystem database of soil-to-plant radionuclide transfer factors maintained by the IAEA. As noted by </w:t>
      </w:r>
      <w:proofErr w:type="spellStart"/>
      <w:r>
        <w:t>Akankpo</w:t>
      </w:r>
      <w:proofErr w:type="spellEnd"/>
      <w:r>
        <w:t xml:space="preserve"> et al. (2021) and </w:t>
      </w:r>
      <w:proofErr w:type="spellStart"/>
      <w:r>
        <w:t>Orosun</w:t>
      </w:r>
      <w:proofErr w:type="spellEnd"/>
      <w:r>
        <w:t xml:space="preserve"> et al. (2022), data from the Niger Delta and Cross River Basin regions of Nigeria</w:t>
      </w:r>
      <w:r w:rsidR="00771A31">
        <w:t xml:space="preserve"> respectively</w:t>
      </w:r>
      <w:r>
        <w:t xml:space="preserve"> have been historically underrepresented in international compilations. The present multi-LGA dataset, with associated soil physicochemical characteri</w:t>
      </w:r>
      <w:r w:rsidR="00771A31">
        <w:t>z</w:t>
      </w:r>
      <w:r>
        <w:t>ation, provides robust information to support future site-specific risk assessments and regional NORM management frameworks.</w:t>
      </w:r>
    </w:p>
    <w:p w14:paraId="7AF2CF54" w14:textId="2183F166" w:rsidR="005B45DF" w:rsidRDefault="005B45DF" w:rsidP="005B45DF">
      <w:pPr>
        <w:keepNext/>
        <w:spacing w:line="360" w:lineRule="auto"/>
        <w:jc w:val="both"/>
      </w:pPr>
      <w:r>
        <w:t xml:space="preserve">The limitations of the study are: the use of a NaI(Tl) gamma-ray spectrometer for field-level environmental monitoring has an inferior energy resolution compared to </w:t>
      </w:r>
      <w:proofErr w:type="spellStart"/>
      <w:r>
        <w:t>HPGe</w:t>
      </w:r>
      <w:proofErr w:type="spellEnd"/>
      <w:r>
        <w:t xml:space="preserve"> systems, which may introduce uncertainty in distinguishing closely spaced gamma </w:t>
      </w:r>
      <w:proofErr w:type="spellStart"/>
      <w:r>
        <w:t>photopeaks</w:t>
      </w:r>
      <w:proofErr w:type="spellEnd"/>
      <w:r>
        <w:t xml:space="preserve"> and could affect the precision of activity concentration measured; the study determined transfer factors (TFs) for the cassava tuber only, which is the primary edible portion; however, radionuclide concentrations and TFs in other plant compartments (including the leaves, stems, and peels) may differ substantially, as reported by </w:t>
      </w:r>
      <w:proofErr w:type="spellStart"/>
      <w:r>
        <w:t>Ankapong</w:t>
      </w:r>
      <w:proofErr w:type="spellEnd"/>
      <w:r>
        <w:t xml:space="preserve"> et al. (2024) for cassava in Ghana and by </w:t>
      </w:r>
      <w:proofErr w:type="spellStart"/>
      <w:r>
        <w:t>Nurtjahya</w:t>
      </w:r>
      <w:proofErr w:type="spellEnd"/>
      <w:r>
        <w:t xml:space="preserve"> et al. (2023) in Indonesian horticultural crops. This limits the ability to perform a whole-plant radiological assessment or to draw conclusions about the distribution of radionuclides throughout the cassava plant body.</w:t>
      </w:r>
    </w:p>
    <w:p w14:paraId="48E8AA00" w14:textId="77777777" w:rsidR="008A4ABA" w:rsidRDefault="008A4ABA">
      <w:pPr>
        <w:spacing w:before="60" w:after="60"/>
      </w:pPr>
    </w:p>
    <w:p w14:paraId="26137F94" w14:textId="77777777" w:rsidR="00B07238" w:rsidRDefault="00B07238">
      <w:pPr>
        <w:spacing w:before="100" w:after="100" w:line="360" w:lineRule="auto"/>
        <w:jc w:val="both"/>
        <w:rPr>
          <w:b/>
          <w:bCs/>
        </w:rPr>
      </w:pPr>
    </w:p>
    <w:p w14:paraId="334181C5" w14:textId="77777777" w:rsidR="00B07238" w:rsidRDefault="00B07238">
      <w:pPr>
        <w:spacing w:before="100" w:after="100" w:line="360" w:lineRule="auto"/>
        <w:jc w:val="both"/>
        <w:rPr>
          <w:b/>
          <w:bCs/>
        </w:rPr>
      </w:pPr>
    </w:p>
    <w:p w14:paraId="698A16EB" w14:textId="55121F24" w:rsidR="00771A31" w:rsidRPr="00880D2A" w:rsidRDefault="00771A31">
      <w:pPr>
        <w:spacing w:before="100" w:after="100" w:line="360" w:lineRule="auto"/>
        <w:jc w:val="both"/>
        <w:rPr>
          <w:b/>
          <w:bCs/>
        </w:rPr>
      </w:pPr>
      <w:r w:rsidRPr="00880D2A">
        <w:rPr>
          <w:b/>
          <w:bCs/>
        </w:rPr>
        <w:lastRenderedPageBreak/>
        <w:t>5. Conclusion</w:t>
      </w:r>
    </w:p>
    <w:p w14:paraId="2F436F8A" w14:textId="3D4E8BAA" w:rsidR="008A4ABA" w:rsidRPr="002C1A8D" w:rsidRDefault="00555ED3">
      <w:pPr>
        <w:spacing w:before="100" w:after="100" w:line="360" w:lineRule="auto"/>
        <w:jc w:val="both"/>
      </w:pPr>
      <w:r>
        <w:t>This study has characteri</w:t>
      </w:r>
      <w:r w:rsidR="00696E8F">
        <w:t>z</w:t>
      </w:r>
      <w:r>
        <w:t>ed the physicochemical properties of agricultural soils in four LGAs</w:t>
      </w:r>
      <w:r w:rsidR="00696E8F">
        <w:t xml:space="preserve"> (</w:t>
      </w:r>
      <w:proofErr w:type="spellStart"/>
      <w:r w:rsidR="00696E8F">
        <w:t>Abak</w:t>
      </w:r>
      <w:proofErr w:type="spellEnd"/>
      <w:r w:rsidR="00696E8F">
        <w:t xml:space="preserve">, Ikot </w:t>
      </w:r>
      <w:proofErr w:type="spellStart"/>
      <w:r w:rsidR="00696E8F">
        <w:t>Ekpene</w:t>
      </w:r>
      <w:proofErr w:type="spellEnd"/>
      <w:r w:rsidR="00696E8F">
        <w:t xml:space="preserve">, </w:t>
      </w:r>
      <w:proofErr w:type="spellStart"/>
      <w:r w:rsidR="00696E8F">
        <w:t>Ukanafun</w:t>
      </w:r>
      <w:proofErr w:type="spellEnd"/>
      <w:r w:rsidR="00696E8F">
        <w:t>, and Etim Ekpo)</w:t>
      </w:r>
      <w:r>
        <w:t xml:space="preserve"> of Akwa Ibom State, Nigeria</w:t>
      </w:r>
      <w:r w:rsidR="00696E8F">
        <w:t xml:space="preserve"> </w:t>
      </w:r>
      <w:r>
        <w:t xml:space="preserve">and quantified the transfer of naturally occurring radionuclides (²³⁸U, ²³²Th, ⁴⁰K) from soil to cassava tubers. </w:t>
      </w:r>
      <w:r w:rsidRPr="002C1A8D">
        <w:t xml:space="preserve">The following </w:t>
      </w:r>
      <w:r w:rsidR="00A23A72" w:rsidRPr="002C1A8D">
        <w:t>primary</w:t>
      </w:r>
      <w:r w:rsidRPr="002C1A8D">
        <w:t xml:space="preserve"> conclusions are drawn:</w:t>
      </w:r>
    </w:p>
    <w:p w14:paraId="491AD6ED" w14:textId="2A57C06A" w:rsidR="008A4ABA" w:rsidRDefault="00555ED3">
      <w:pPr>
        <w:spacing w:before="100" w:after="100" w:line="360" w:lineRule="auto"/>
        <w:jc w:val="both"/>
      </w:pPr>
      <w:r>
        <w:t>(</w:t>
      </w:r>
      <w:proofErr w:type="spellStart"/>
      <w:r>
        <w:t>i</w:t>
      </w:r>
      <w:proofErr w:type="spellEnd"/>
      <w:r>
        <w:t>) Soils in all four LGAs are sandy, acidic (pH 4.33–5.00), and moderately rich in organic matter, consistent with coastal plain sand parent material</w:t>
      </w:r>
      <w:r w:rsidR="00EC3B51">
        <w:t>;</w:t>
      </w:r>
    </w:p>
    <w:p w14:paraId="25B41B1D" w14:textId="147F3A52" w:rsidR="008A4ABA" w:rsidRDefault="00555ED3">
      <w:pPr>
        <w:spacing w:before="100" w:after="100" w:line="360" w:lineRule="auto"/>
        <w:jc w:val="both"/>
      </w:pPr>
      <w:r>
        <w:t>(ii) Transfer factors for ⁴⁰K exceed unity across all sites, confirming active potassium uptake by cassava as an essential macronutrient</w:t>
      </w:r>
      <w:r w:rsidR="00EC3B51">
        <w:t>;</w:t>
      </w:r>
      <w:r>
        <w:t xml:space="preserve"> TFₜₕ values were consistently below unity, reflecting low thorium bioavailability in these soils</w:t>
      </w:r>
      <w:r w:rsidR="00EC3B51">
        <w:t>;</w:t>
      </w:r>
    </w:p>
    <w:p w14:paraId="0980F949" w14:textId="75AE8704" w:rsidR="008A4ABA" w:rsidRDefault="00555ED3">
      <w:pPr>
        <w:spacing w:before="100" w:after="100" w:line="360" w:lineRule="auto"/>
        <w:jc w:val="both"/>
      </w:pPr>
      <w:r>
        <w:t xml:space="preserve">(iii) TFᵤ values approached or exceeded unity in Ikot </w:t>
      </w:r>
      <w:proofErr w:type="spellStart"/>
      <w:r>
        <w:t>Ekpene</w:t>
      </w:r>
      <w:proofErr w:type="spellEnd"/>
      <w:r>
        <w:t xml:space="preserve"> and Etim Ekpo, indicating that uranium is more readily transferred to cassava under the prevailing acidic and clay-influenced soil conditions at those sites</w:t>
      </w:r>
      <w:r w:rsidR="00EC3B51">
        <w:t>;</w:t>
      </w:r>
    </w:p>
    <w:p w14:paraId="33E81F84" w14:textId="274D3EBB" w:rsidR="008A4ABA" w:rsidRDefault="00555ED3">
      <w:pPr>
        <w:spacing w:before="100" w:after="100" w:line="360" w:lineRule="auto"/>
        <w:jc w:val="both"/>
      </w:pPr>
      <w:r>
        <w:t xml:space="preserve">(iv) Pearson correlation analysis identified significant relationships between soil clay content and TFᵤ (r = 0.951, p &lt; 0.05), and between soil organic matter and ⁴⁰K uptake (r = 0.985, p &lt; 0.05), </w:t>
      </w:r>
      <w:r w:rsidR="00880D2A">
        <w:t>emphasizing</w:t>
      </w:r>
      <w:r>
        <w:t xml:space="preserve"> the role of soil texture and organic matter in controlling radionuclide bioavailability</w:t>
      </w:r>
      <w:r w:rsidR="00880D2A">
        <w:t>;</w:t>
      </w:r>
    </w:p>
    <w:p w14:paraId="6B0DD50E" w14:textId="77777777" w:rsidR="008A4ABA" w:rsidRDefault="00555ED3">
      <w:pPr>
        <w:spacing w:before="100" w:after="100" w:line="360" w:lineRule="auto"/>
        <w:jc w:val="both"/>
      </w:pPr>
      <w:r>
        <w:t>(v) The inverse spatial pattern of ²³⁸U and ²³²Th concentrations in cassava (r = −0.988, p &lt; 0.05) reflects contrasting geochemical controls on uranium and thorium mobility across the study LGAs.</w:t>
      </w:r>
    </w:p>
    <w:p w14:paraId="0CB36C94" w14:textId="1E25E721" w:rsidR="008A4ABA" w:rsidRDefault="00555ED3">
      <w:pPr>
        <w:spacing w:before="100" w:after="100" w:line="360" w:lineRule="auto"/>
        <w:jc w:val="both"/>
      </w:pPr>
      <w:r>
        <w:t xml:space="preserve">These findings highlight the need for continued radiological and pedological monitoring of cassava-growing areas in Akwa Ibom State and contribute valuable tropical ecosystem data to the IAEA’s soil-to-plant transfer factor database. </w:t>
      </w:r>
      <w:r w:rsidR="004C2626">
        <w:t>We recommend that f</w:t>
      </w:r>
      <w:r>
        <w:t>uture studies should incorporate a larger sample size, a broader geographic spread of LGAs, and additional soil parameters (redox potential, iron oxide content, CEC) to further elucidate the drivers of radionuclide transfer in this ecologically important region.</w:t>
      </w:r>
    </w:p>
    <w:p w14:paraId="5A593238" w14:textId="77777777" w:rsidR="008A4ABA" w:rsidRDefault="008A4ABA">
      <w:pPr>
        <w:spacing w:before="60" w:after="60"/>
      </w:pPr>
    </w:p>
    <w:p w14:paraId="39ED3922" w14:textId="77777777" w:rsidR="008A4ABA" w:rsidRDefault="008A4ABA">
      <w:pPr>
        <w:spacing w:before="60" w:after="60"/>
      </w:pPr>
    </w:p>
    <w:p w14:paraId="0DE2B62A" w14:textId="77777777" w:rsidR="007B74CA" w:rsidRDefault="007B74CA" w:rsidP="007B74CA">
      <w:pPr>
        <w:rPr>
          <w:b/>
          <w:highlight w:val="yellow"/>
        </w:rPr>
      </w:pPr>
      <w:r>
        <w:rPr>
          <w:b/>
          <w:highlight w:val="yellow"/>
        </w:rPr>
        <w:t>Disclaimer (Artificial intelligence)</w:t>
      </w:r>
    </w:p>
    <w:p w14:paraId="4D7329C5" w14:textId="1F79C424" w:rsidR="007B74CA" w:rsidRDefault="007B74CA" w:rsidP="007B74CA">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D664F67" w14:textId="3DB232C3" w:rsidR="00BF7BAB" w:rsidRDefault="00BF7BAB" w:rsidP="007B74CA">
      <w:pPr>
        <w:rPr>
          <w:highlight w:val="yellow"/>
        </w:rPr>
      </w:pPr>
      <w:r>
        <w:rPr>
          <w:highlight w:val="yellow"/>
        </w:rPr>
        <w:t>Competing Interests</w:t>
      </w:r>
    </w:p>
    <w:p w14:paraId="785232A3" w14:textId="77777777" w:rsidR="00857F2A" w:rsidRDefault="00857F2A" w:rsidP="007B74CA">
      <w:pPr>
        <w:rPr>
          <w:highlight w:val="yellow"/>
        </w:rPr>
      </w:pPr>
    </w:p>
    <w:p w14:paraId="43412245" w14:textId="1BC30CD8" w:rsidR="00BF7BAB" w:rsidRDefault="00BF7BAB" w:rsidP="007B74CA">
      <w:pPr>
        <w:rPr>
          <w:highlight w:val="yellow"/>
        </w:rPr>
      </w:pPr>
      <w:r>
        <w:rPr>
          <w:highlight w:val="yellow"/>
        </w:rPr>
        <w:lastRenderedPageBreak/>
        <w:t>Authors have declared that no competing interests exists.</w:t>
      </w:r>
    </w:p>
    <w:p w14:paraId="0B0F4202" w14:textId="77777777" w:rsidR="006A6C13" w:rsidRDefault="006A6C13">
      <w:pPr>
        <w:spacing w:before="100" w:after="100" w:line="360" w:lineRule="auto"/>
        <w:jc w:val="both"/>
        <w:rPr>
          <w:b/>
          <w:bCs/>
        </w:rPr>
      </w:pPr>
    </w:p>
    <w:p w14:paraId="23BDC478" w14:textId="3A6BC098" w:rsidR="00E54056" w:rsidRPr="00E54056" w:rsidRDefault="00E54056">
      <w:pPr>
        <w:spacing w:before="100" w:after="100" w:line="360" w:lineRule="auto"/>
        <w:jc w:val="both"/>
        <w:rPr>
          <w:b/>
          <w:bCs/>
        </w:rPr>
      </w:pPr>
      <w:r w:rsidRPr="00E54056">
        <w:rPr>
          <w:b/>
          <w:bCs/>
        </w:rPr>
        <w:t>References</w:t>
      </w:r>
    </w:p>
    <w:p w14:paraId="22BC4A09" w14:textId="77777777" w:rsidR="00857F2A" w:rsidRDefault="00857F2A" w:rsidP="00DE11D9">
      <w:pPr>
        <w:spacing w:before="100" w:after="100"/>
        <w:ind w:left="720" w:hanging="720"/>
        <w:jc w:val="both"/>
      </w:pPr>
    </w:p>
    <w:p w14:paraId="2C70EF32" w14:textId="77777777" w:rsidR="00857F2A" w:rsidRDefault="00857F2A" w:rsidP="002A5275">
      <w:pPr>
        <w:spacing w:before="100" w:after="100"/>
        <w:ind w:left="720" w:hanging="720"/>
        <w:jc w:val="both"/>
      </w:pPr>
      <w:proofErr w:type="spellStart"/>
      <w:r>
        <w:t>Akankpo</w:t>
      </w:r>
      <w:proofErr w:type="spellEnd"/>
      <w:r>
        <w:t xml:space="preserve">, A.O., Essien, I.E., Nyong, A.B., &amp; Inyang, E.N. (2021). Determination of activity     concentrations and soil to cassava transfer factors of natural radionuclides in Ikot </w:t>
      </w:r>
      <w:proofErr w:type="spellStart"/>
      <w:r>
        <w:t>Ekpene</w:t>
      </w:r>
      <w:proofErr w:type="spellEnd"/>
      <w:r>
        <w:t xml:space="preserve"> Local   Government Area, Akwa Ibom State, Nigeria. Journal of Geography, Environment and Earth Science International, 25(7), 1–12. https://doi.org/10.9734/jgeesi/2021/v25i730296</w:t>
      </w:r>
    </w:p>
    <w:p w14:paraId="03952649" w14:textId="77777777" w:rsidR="00857F2A" w:rsidRDefault="00857F2A" w:rsidP="002A5275">
      <w:pPr>
        <w:spacing w:before="100" w:after="100"/>
        <w:ind w:left="720" w:hanging="720"/>
        <w:jc w:val="both"/>
      </w:pPr>
      <w:r>
        <w:t>Akpan, A.E., Ebong, E.D., Ekwok, S.E., &amp; Eyo, J.O. (2020). Assessment of radionuclide distribution and associated radiological hazards for soils and beach sediments of Akwa Ibom coastline, southern Nigeria. Environmental Forensics, 23(4), 334–345. https://doi.org/10.1080/15275922.2022.1850557</w:t>
      </w:r>
    </w:p>
    <w:p w14:paraId="0BEA7F30" w14:textId="77777777" w:rsidR="00857F2A" w:rsidRDefault="00857F2A" w:rsidP="002A5275">
      <w:pPr>
        <w:spacing w:before="100" w:after="100"/>
        <w:ind w:left="720" w:hanging="720"/>
        <w:jc w:val="both"/>
      </w:pPr>
      <w:r>
        <w:t xml:space="preserve">Akpan, S.A., Nyong, A.B., Akpan, D., Essien, I.E., and Akpan, E.N. (2023). Assessment of activity concentration of radionuclides and their transfer factors from the soil to maize plants in Essien </w:t>
      </w:r>
      <w:proofErr w:type="spellStart"/>
      <w:r>
        <w:t>Udim</w:t>
      </w:r>
      <w:proofErr w:type="spellEnd"/>
      <w:r>
        <w:t xml:space="preserve"> Local Government Area of Akwa Ibom State, Nigeria. World Journal of Applied Science and Technology, 15(2), 169-174.</w:t>
      </w:r>
    </w:p>
    <w:p w14:paraId="3E1DFE8C" w14:textId="77777777" w:rsidR="00857F2A" w:rsidRDefault="00857F2A" w:rsidP="00C63BA1">
      <w:pPr>
        <w:spacing w:before="100" w:after="100"/>
        <w:ind w:left="720" w:hanging="720"/>
        <w:jc w:val="both"/>
      </w:pPr>
      <w:proofErr w:type="spellStart"/>
      <w:r>
        <w:t>Amakom</w:t>
      </w:r>
      <w:proofErr w:type="spellEnd"/>
      <w:r>
        <w:t xml:space="preserve">, C.M., Orji, C.E., Eke, B.O., </w:t>
      </w:r>
      <w:proofErr w:type="spellStart"/>
      <w:r>
        <w:t>Nwokem</w:t>
      </w:r>
      <w:proofErr w:type="spellEnd"/>
      <w:r>
        <w:t>, C.O., &amp; Ndudi, C. (2021). Exchangeable bases and radionuclide transfer in cassava-growing soils in Eastern Nigeria. Nigerian Journal of Physics, 30(2), 45–53.</w:t>
      </w:r>
    </w:p>
    <w:p w14:paraId="1FBB1DD9" w14:textId="77777777" w:rsidR="00857F2A" w:rsidRDefault="00857F2A" w:rsidP="00C63BA1">
      <w:pPr>
        <w:spacing w:before="100" w:after="100"/>
        <w:ind w:left="720" w:hanging="720"/>
        <w:jc w:val="both"/>
      </w:pPr>
      <w:proofErr w:type="spellStart"/>
      <w:r>
        <w:t>Amakom</w:t>
      </w:r>
      <w:proofErr w:type="spellEnd"/>
      <w:r>
        <w:t>, C.M., Orji, C.E., Eke, B.O., Okoli, U., &amp; Ndudi, C. (2017). The influence of selected soil physicochemical properties on radionuclide transfer in cassava crops. International Journal of Plant and Soil Science, 14(1), 1–7. https://doi.org/10.9734/IJPSS/2017/31007</w:t>
      </w:r>
    </w:p>
    <w:p w14:paraId="6874D144" w14:textId="77777777" w:rsidR="00857F2A" w:rsidRDefault="00857F2A" w:rsidP="00721DE3">
      <w:pPr>
        <w:spacing w:before="100" w:after="100"/>
        <w:ind w:left="720" w:hanging="720"/>
        <w:jc w:val="both"/>
      </w:pPr>
      <w:proofErr w:type="spellStart"/>
      <w:r>
        <w:t>Amakom</w:t>
      </w:r>
      <w:proofErr w:type="spellEnd"/>
      <w:r>
        <w:t xml:space="preserve">, C.M., Orji, C.E., </w:t>
      </w:r>
      <w:proofErr w:type="spellStart"/>
      <w:r>
        <w:t>Okeoma</w:t>
      </w:r>
      <w:proofErr w:type="spellEnd"/>
      <w:r>
        <w:t xml:space="preserve">, K.B., &amp; </w:t>
      </w:r>
      <w:proofErr w:type="spellStart"/>
      <w:r>
        <w:t>Echendu</w:t>
      </w:r>
      <w:proofErr w:type="spellEnd"/>
      <w:r>
        <w:t>, O.K. (2023). Radiological analysis of cassava samples from a coal mining area in Enugu State Nigeria. Environmental Health Insights, 17. https://doi.org/10.1177/11786302231199836</w:t>
      </w:r>
    </w:p>
    <w:p w14:paraId="648D09D3" w14:textId="77777777" w:rsidR="00857F2A" w:rsidRDefault="00857F2A" w:rsidP="00573458">
      <w:pPr>
        <w:spacing w:before="100" w:after="100"/>
        <w:ind w:left="720" w:hanging="720"/>
        <w:jc w:val="both"/>
      </w:pPr>
      <w:proofErr w:type="spellStart"/>
      <w:r>
        <w:t>Ankapong</w:t>
      </w:r>
      <w:proofErr w:type="spellEnd"/>
      <w:r>
        <w:t>, E., Gyamfi, O., Agyei, V., Dodd, M., Akoto, O., &amp; Darko, G. (2024). Soil-to-plant transfer factors of uranium and thorium in mining and non-mining districts of Ghana. Journal of Environmental Radioactivity, 280, 107566. https://doi.org/10.1016/j.jenvrad.2024.107566</w:t>
      </w:r>
    </w:p>
    <w:p w14:paraId="11BEC19E" w14:textId="77777777" w:rsidR="00857F2A" w:rsidRDefault="00857F2A" w:rsidP="00721DE3">
      <w:pPr>
        <w:spacing w:before="100" w:after="100"/>
        <w:ind w:left="720" w:hanging="720"/>
        <w:jc w:val="both"/>
      </w:pPr>
      <w:r>
        <w:t xml:space="preserve">Black, C.A., Evans, D.D., &amp; </w:t>
      </w:r>
      <w:proofErr w:type="spellStart"/>
      <w:r>
        <w:t>Dinauer</w:t>
      </w:r>
      <w:proofErr w:type="spellEnd"/>
      <w:r>
        <w:t>, R.C. (1965). Methods of Soil Analysis. American Society of Agronomy, Madison, WI.</w:t>
      </w:r>
    </w:p>
    <w:p w14:paraId="5E167555" w14:textId="77777777" w:rsidR="00857F2A" w:rsidRDefault="00857F2A" w:rsidP="00721DE3">
      <w:pPr>
        <w:spacing w:before="100" w:after="100"/>
        <w:ind w:left="720" w:hanging="720"/>
        <w:jc w:val="both"/>
      </w:pPr>
      <w:proofErr w:type="spellStart"/>
      <w:r>
        <w:t>Bouyoucos</w:t>
      </w:r>
      <w:proofErr w:type="spellEnd"/>
      <w:r>
        <w:t>, G.J. (1951). A recalibration of the hydrometer method for making mechanical analysis of soils. Agronomy Journal, 43(9), 434–438. https://doi.org/10.2134/agronj1951.00021962004300090005x</w:t>
      </w:r>
    </w:p>
    <w:p w14:paraId="1EA01ACB" w14:textId="77777777" w:rsidR="00857F2A" w:rsidRDefault="00857F2A" w:rsidP="00721DE3">
      <w:pPr>
        <w:spacing w:before="100" w:after="100"/>
        <w:ind w:left="720" w:hanging="720"/>
        <w:jc w:val="both"/>
      </w:pPr>
      <w:proofErr w:type="spellStart"/>
      <w:r>
        <w:t>Demidchik</w:t>
      </w:r>
      <w:proofErr w:type="spellEnd"/>
      <w:r>
        <w:t xml:space="preserve">, V., &amp; </w:t>
      </w:r>
      <w:proofErr w:type="spellStart"/>
      <w:r>
        <w:t>Maathuis</w:t>
      </w:r>
      <w:proofErr w:type="spellEnd"/>
      <w:r>
        <w:t xml:space="preserve">, F.J.M. (2007). Physiological roles of nonselective cation channels in plants: from salt stress to </w:t>
      </w:r>
      <w:proofErr w:type="spellStart"/>
      <w:r>
        <w:t>signalling</w:t>
      </w:r>
      <w:proofErr w:type="spellEnd"/>
      <w:r>
        <w:t xml:space="preserve"> and development. New Phytologist, 175(3), 387–404. https://doi.org/10.1111/j.1469-8137.2007.02128.x</w:t>
      </w:r>
    </w:p>
    <w:p w14:paraId="7F309A36" w14:textId="77777777" w:rsidR="00857F2A" w:rsidRPr="006626FE" w:rsidRDefault="00857F2A" w:rsidP="00721DE3">
      <w:pPr>
        <w:spacing w:before="100" w:after="100"/>
        <w:ind w:left="720" w:hanging="720"/>
        <w:jc w:val="both"/>
        <w:rPr>
          <w:u w:val="single"/>
        </w:rPr>
      </w:pPr>
      <w:proofErr w:type="spellStart"/>
      <w:r>
        <w:t>Ejoh</w:t>
      </w:r>
      <w:proofErr w:type="spellEnd"/>
      <w:r>
        <w:t xml:space="preserve">, E.F., </w:t>
      </w:r>
      <w:proofErr w:type="spellStart"/>
      <w:r>
        <w:t>Essiett</w:t>
      </w:r>
      <w:proofErr w:type="spellEnd"/>
      <w:r>
        <w:t>, A.A., Atat, J.G. Inam, E.J., Essien, I.E., Bede, M.C., Benjamin, E.U. (2023).</w:t>
      </w:r>
      <w:r w:rsidRPr="009F08B2">
        <w:t xml:space="preserve"> </w:t>
      </w:r>
      <w:r>
        <w:t xml:space="preserve">Assessment of soil to cassava transfer factor of radionuclides in Ughelli North Local Government Area, Delta State, Nigeria. Journal of University of Babylon, 31(3), 247-260. </w:t>
      </w:r>
      <w:hyperlink r:id="rId14" w:history="1">
        <w:r w:rsidRPr="006626FE">
          <w:rPr>
            <w:rStyle w:val="Hyperlink"/>
            <w:color w:val="auto"/>
            <w:u w:val="none"/>
          </w:rPr>
          <w:t>https://doi.org/10.1080/10420150.2024.2364195</w:t>
        </w:r>
      </w:hyperlink>
    </w:p>
    <w:p w14:paraId="0698F9DD" w14:textId="77777777" w:rsidR="00857F2A" w:rsidRDefault="00857F2A" w:rsidP="00721DE3">
      <w:pPr>
        <w:spacing w:before="100" w:after="100"/>
        <w:ind w:left="720" w:hanging="720"/>
        <w:jc w:val="both"/>
      </w:pPr>
      <w:r>
        <w:lastRenderedPageBreak/>
        <w:t>Ekanem, J.T., &amp; Umoh, I.M. (2024). Cassava farmers’ indigenous strategies for climate change adaptation and mitigation in Akwa Ibom State, Nigeria. In: Handbook of Climate Change Across the Curriculum. Springer International Publishing. https://doi.org/10.1007/978-3-030-98067-2_98-1</w:t>
      </w:r>
    </w:p>
    <w:p w14:paraId="35B64AA8" w14:textId="77777777" w:rsidR="00857F2A" w:rsidRDefault="00857F2A" w:rsidP="00721DE3">
      <w:pPr>
        <w:spacing w:before="100" w:after="100"/>
        <w:ind w:left="720" w:hanging="720"/>
        <w:jc w:val="both"/>
      </w:pPr>
      <w:r>
        <w:t xml:space="preserve">Essien, I.E., </w:t>
      </w:r>
      <w:proofErr w:type="spellStart"/>
      <w:r>
        <w:t>Akankpo</w:t>
      </w:r>
      <w:proofErr w:type="spellEnd"/>
      <w:r>
        <w:t>, A.O., Nyong, A.B., &amp; Inyang, E.N. (2021). Soil to cassava transfer factors of natural radionuclides in farms in Ini Local Government Area, Akwa Ibom State, Nigeria. Journal of Geography, Environment and Earth Science International, 25(4), 1–10. https://doi.org/10.9734/jgeesi/2021/v25i430281</w:t>
      </w:r>
    </w:p>
    <w:p w14:paraId="2D5AF1CA" w14:textId="77777777" w:rsidR="00857F2A" w:rsidRDefault="00857F2A" w:rsidP="00837A7B">
      <w:pPr>
        <w:spacing w:before="100" w:after="100"/>
        <w:ind w:left="720" w:hanging="720"/>
        <w:jc w:val="both"/>
      </w:pPr>
      <w:r>
        <w:t>Essien, O.A., &amp; Oban, P.I. (2018). Effect of slope characteristics on aggregate size distribution in soils formed on coastal plain sands in Akwa Ibom State, Nigeria. Continental Journal of Agricultural Research and Food Production, 3(1), 77–88.</w:t>
      </w:r>
    </w:p>
    <w:p w14:paraId="14FA954C" w14:textId="77777777" w:rsidR="00857F2A" w:rsidRDefault="00857F2A" w:rsidP="00DD23DC">
      <w:pPr>
        <w:spacing w:before="100" w:after="100"/>
        <w:ind w:left="720" w:hanging="720"/>
        <w:jc w:val="both"/>
      </w:pPr>
      <w:proofErr w:type="spellStart"/>
      <w:r>
        <w:t>Faanu</w:t>
      </w:r>
      <w:proofErr w:type="spellEnd"/>
      <w:r>
        <w:t xml:space="preserve">, A., Tettey-Larbi, L., </w:t>
      </w:r>
      <w:proofErr w:type="spellStart"/>
      <w:r>
        <w:t>Akuoko</w:t>
      </w:r>
      <w:proofErr w:type="spellEnd"/>
      <w:r>
        <w:t xml:space="preserve">, E.O., </w:t>
      </w:r>
      <w:proofErr w:type="spellStart"/>
      <w:r>
        <w:t>Gyekye</w:t>
      </w:r>
      <w:proofErr w:type="spellEnd"/>
      <w:r>
        <w:t xml:space="preserve">, P.K., </w:t>
      </w:r>
      <w:proofErr w:type="spellStart"/>
      <w:r>
        <w:t>Kpeglo</w:t>
      </w:r>
      <w:proofErr w:type="spellEnd"/>
      <w:r>
        <w:t xml:space="preserve">, D.O., </w:t>
      </w:r>
      <w:proofErr w:type="spellStart"/>
      <w:r>
        <w:t>Lawluvi</w:t>
      </w:r>
      <w:proofErr w:type="spellEnd"/>
      <w:r>
        <w:t xml:space="preserve">, H., </w:t>
      </w:r>
      <w:proofErr w:type="spellStart"/>
      <w:r>
        <w:t>Kansaana</w:t>
      </w:r>
      <w:proofErr w:type="spellEnd"/>
      <w:r>
        <w:t>, C., Adjei-</w:t>
      </w:r>
      <w:proofErr w:type="spellStart"/>
      <w:r>
        <w:t>Kyereme</w:t>
      </w:r>
      <w:proofErr w:type="spellEnd"/>
      <w:r>
        <w:t xml:space="preserve">, S., Efa, A.O., Tóth-Bodrogi, E., Kovács, T., &amp; Shahrokhi, A. (2024). Radiological landscape of natural resources and mining: unveiling the environmental impact of naturally occurring radioactive materials in Ghana’s mining areas. </w:t>
      </w:r>
      <w:proofErr w:type="spellStart"/>
      <w:r>
        <w:t>Heliyon</w:t>
      </w:r>
      <w:proofErr w:type="spellEnd"/>
      <w:r>
        <w:t>, 10, e24959. https://doi.org/10.1016/j.heliyon.2024.e24959</w:t>
      </w:r>
    </w:p>
    <w:p w14:paraId="6C3E3FF3" w14:textId="77777777" w:rsidR="00857F2A" w:rsidRPr="00001E96" w:rsidRDefault="00857F2A" w:rsidP="00DD23DC">
      <w:pPr>
        <w:spacing w:before="100" w:after="100"/>
        <w:ind w:left="720" w:hanging="720"/>
        <w:jc w:val="both"/>
      </w:pPr>
      <w:r w:rsidRPr="00001E96">
        <w:t>FAOSTAT. (2021). Food and Agriculture Organization of the United Nations Statistical Database. Retrieved from https://www.fao.org/faostat/en/#data/FBS</w:t>
      </w:r>
    </w:p>
    <w:p w14:paraId="2B284816" w14:textId="77777777" w:rsidR="00857F2A" w:rsidRPr="00001E96" w:rsidRDefault="00857F2A" w:rsidP="00DD23DC">
      <w:pPr>
        <w:spacing w:before="100" w:after="100"/>
        <w:ind w:left="720" w:hanging="720"/>
        <w:jc w:val="both"/>
      </w:pPr>
      <w:proofErr w:type="spellStart"/>
      <w:r w:rsidRPr="00001E96">
        <w:t>Galhardi</w:t>
      </w:r>
      <w:proofErr w:type="spellEnd"/>
      <w:r w:rsidRPr="00001E96">
        <w:t xml:space="preserve">, J.A., García-Tenorio, R., </w:t>
      </w:r>
      <w:proofErr w:type="spellStart"/>
      <w:r w:rsidRPr="00001E96">
        <w:t>Bonotto</w:t>
      </w:r>
      <w:proofErr w:type="spellEnd"/>
      <w:r w:rsidRPr="00001E96">
        <w:t>, D.M., Díaz Francés, I., &amp; Motta, J.G. (2017). Natural radionuclides in plants, soils and sediments affected by U-rich coal mining activities in Brazil. Journal of Environmental Radioactivity, 177, 37–47. https://doi.org/10.1016/j.jenvrad.2017.06.007</w:t>
      </w:r>
    </w:p>
    <w:p w14:paraId="436242BE" w14:textId="77777777" w:rsidR="00857F2A" w:rsidRDefault="00857F2A" w:rsidP="00DD23DC">
      <w:pPr>
        <w:spacing w:before="100" w:after="100"/>
        <w:ind w:left="720" w:hanging="720"/>
        <w:jc w:val="both"/>
      </w:pPr>
      <w:r>
        <w:t>International Atomic Energy Agency (IAEA). (2010). Handbook of Parameter Values for the Prediction of Radionuclide Transfer in Terrestrial and Freshwater Environments. Technical Reports Series No. 472. Vienna: IAEA.</w:t>
      </w:r>
    </w:p>
    <w:p w14:paraId="2BA74931" w14:textId="77777777" w:rsidR="00857F2A" w:rsidRDefault="00857F2A" w:rsidP="00DD23DC">
      <w:pPr>
        <w:spacing w:before="100" w:after="100"/>
        <w:ind w:left="720" w:hanging="720"/>
        <w:jc w:val="both"/>
      </w:pPr>
      <w:r>
        <w:t>International Commission on Radiological Protection (ICRP). (2007). The 2007 Recommendations of the International Commission on Radiological Protection. ICRP Publication 103. Ann. ICRP, 37(2–4). https://doi.org/10.1016/j.icrp.2007.10.003</w:t>
      </w:r>
    </w:p>
    <w:p w14:paraId="4BAFB24B" w14:textId="77777777" w:rsidR="00857F2A" w:rsidRDefault="00857F2A" w:rsidP="00573458">
      <w:pPr>
        <w:spacing w:before="100" w:after="100"/>
        <w:ind w:left="720" w:hanging="720"/>
        <w:jc w:val="both"/>
      </w:pPr>
      <w:r>
        <w:t xml:space="preserve">Makki, A.A., Hajjar, D., </w:t>
      </w:r>
      <w:proofErr w:type="spellStart"/>
      <w:r>
        <w:t>Bagais</w:t>
      </w:r>
      <w:proofErr w:type="spellEnd"/>
      <w:r>
        <w:t>, O., &amp; Soliman, M. (2024). Soil-to-plant transfer factor of natural radionuclides and associated health risk in some vegetable species in arid area. Journal of Radioanalytical and Nuclear Chemistry, 333, 3947–3954. https://doi.org/10.1007/s10967-024-09526-2</w:t>
      </w:r>
    </w:p>
    <w:p w14:paraId="2E57CAC1" w14:textId="77777777" w:rsidR="00857F2A" w:rsidRDefault="00857F2A" w:rsidP="00573458">
      <w:pPr>
        <w:spacing w:before="100" w:after="100"/>
        <w:ind w:left="720" w:hanging="720"/>
        <w:jc w:val="both"/>
      </w:pPr>
      <w:proofErr w:type="spellStart"/>
      <w:r>
        <w:t>Nurtjahya</w:t>
      </w:r>
      <w:proofErr w:type="spellEnd"/>
      <w:r>
        <w:t xml:space="preserve">, E., </w:t>
      </w:r>
      <w:proofErr w:type="spellStart"/>
      <w:r>
        <w:t>Mellawati</w:t>
      </w:r>
      <w:proofErr w:type="spellEnd"/>
      <w:r>
        <w:t xml:space="preserve">, J., </w:t>
      </w:r>
      <w:proofErr w:type="spellStart"/>
      <w:r>
        <w:t>Pratama</w:t>
      </w:r>
      <w:proofErr w:type="spellEnd"/>
      <w:r>
        <w:t xml:space="preserve">, D., &amp; </w:t>
      </w:r>
      <w:proofErr w:type="spellStart"/>
      <w:r>
        <w:t>Syahrir</w:t>
      </w:r>
      <w:proofErr w:type="spellEnd"/>
      <w:r>
        <w:t>, S. (2023). Study of soil–to–plant transfer factors (TFs) of ²²⁶Ra, ²³²Th, and ⁴⁰K on plants cultivated on ex–tin mining land in Bangka Belitung, Indonesia. Journal of Environmental Radioactivity, 261, 107144. https://doi.org/10.1016/j.jenvrad.2023.107144</w:t>
      </w:r>
    </w:p>
    <w:p w14:paraId="790A09FA" w14:textId="77777777" w:rsidR="00857F2A" w:rsidRDefault="00857F2A" w:rsidP="00DD23DC">
      <w:pPr>
        <w:spacing w:before="100" w:after="100"/>
        <w:ind w:left="720" w:hanging="720"/>
        <w:jc w:val="both"/>
      </w:pPr>
      <w:r>
        <w:t xml:space="preserve">Nyong, A.B., Umoren, E.B., Akpan, D.N., </w:t>
      </w:r>
      <w:proofErr w:type="spellStart"/>
      <w:r>
        <w:t>Ekott</w:t>
      </w:r>
      <w:proofErr w:type="spellEnd"/>
      <w:r>
        <w:t>, E.E., Ebong, G.A. and Essien I.E. (2023). Transfer factors of 40k, 232Th and 238U from soil to cassava system from farmlands in selected parts of Akwa Ibom State, Nigeria. World Journal of Applied Science and Technology, 15(2), 186-191.</w:t>
      </w:r>
    </w:p>
    <w:p w14:paraId="112DC10C" w14:textId="77777777" w:rsidR="00857F2A" w:rsidRDefault="00857F2A" w:rsidP="00DD23DC">
      <w:pPr>
        <w:spacing w:before="100" w:after="100"/>
        <w:ind w:left="720" w:hanging="720"/>
        <w:jc w:val="both"/>
      </w:pPr>
      <w:proofErr w:type="spellStart"/>
      <w:r>
        <w:t>Ocheje</w:t>
      </w:r>
      <w:proofErr w:type="spellEnd"/>
      <w:r>
        <w:t xml:space="preserve">, J.A., &amp; </w:t>
      </w:r>
      <w:proofErr w:type="spellStart"/>
      <w:r>
        <w:t>Tyovenda</w:t>
      </w:r>
      <w:proofErr w:type="spellEnd"/>
      <w:r>
        <w:t>, A.A. (2020). Determination of the transfer factor and dose rate of radionuclides in some selected crops in Kogi State, Nigeria. IOSR Journal of Applied Physics, 12(4), 7–12. https://doi.org/10.9790/4861-1204010712</w:t>
      </w:r>
    </w:p>
    <w:p w14:paraId="23539B57" w14:textId="77777777" w:rsidR="00857F2A" w:rsidRDefault="00857F2A" w:rsidP="00DD23DC">
      <w:pPr>
        <w:spacing w:before="100" w:after="100"/>
        <w:ind w:left="720" w:hanging="720"/>
        <w:jc w:val="both"/>
      </w:pPr>
      <w:proofErr w:type="spellStart"/>
      <w:r>
        <w:lastRenderedPageBreak/>
        <w:t>Olabimtan</w:t>
      </w:r>
      <w:proofErr w:type="spellEnd"/>
      <w:r>
        <w:t xml:space="preserve">, S.O., </w:t>
      </w:r>
      <w:proofErr w:type="spellStart"/>
      <w:r>
        <w:t>Chifu</w:t>
      </w:r>
      <w:proofErr w:type="spellEnd"/>
      <w:r>
        <w:t>, E.N., Nasir, M., &amp; Hafeez, Y.H. (2023). Measurement of transfer factors from soil-to-plant/food crop of naturally occurring radionuclide materials (NORMs) in Nigeria: a review. DUJOPAS, 9(3b), 173–192.</w:t>
      </w:r>
    </w:p>
    <w:p w14:paraId="597B1200" w14:textId="77777777" w:rsidR="00857F2A" w:rsidRDefault="00857F2A" w:rsidP="00DD23DC">
      <w:pPr>
        <w:spacing w:before="100" w:after="100"/>
        <w:ind w:left="720" w:hanging="720"/>
        <w:jc w:val="both"/>
      </w:pPr>
      <w:proofErr w:type="spellStart"/>
      <w:r>
        <w:t>Olabimtan</w:t>
      </w:r>
      <w:proofErr w:type="spellEnd"/>
      <w:r>
        <w:t xml:space="preserve">, S.O., </w:t>
      </w:r>
      <w:proofErr w:type="spellStart"/>
      <w:r>
        <w:t>Chifu</w:t>
      </w:r>
      <w:proofErr w:type="spellEnd"/>
      <w:r>
        <w:t>, E.N., Nasir, M., &amp; Hafeez, Y.H. (2024). Assessment of activity concentrations and soil-to-plant transfer factors of natural radioactivity in rice plant components grown in Kano State, Nigeria. Nigerian Journal of Physics, 32(4), 1–12. https://doi.org/10.62292/njp.v32i4.2023.166</w:t>
      </w:r>
    </w:p>
    <w:p w14:paraId="616E6915" w14:textId="77777777" w:rsidR="00857F2A" w:rsidRDefault="00857F2A" w:rsidP="00DD23DC">
      <w:pPr>
        <w:spacing w:before="100" w:after="100"/>
        <w:ind w:left="720" w:hanging="720"/>
        <w:jc w:val="both"/>
      </w:pPr>
      <w:proofErr w:type="spellStart"/>
      <w:r>
        <w:t>Orosun</w:t>
      </w:r>
      <w:proofErr w:type="spellEnd"/>
      <w:r>
        <w:t xml:space="preserve">, M.M., </w:t>
      </w:r>
      <w:proofErr w:type="spellStart"/>
      <w:r>
        <w:t>Usikalu</w:t>
      </w:r>
      <w:proofErr w:type="spellEnd"/>
      <w:r>
        <w:t xml:space="preserve">, M.R., </w:t>
      </w:r>
      <w:proofErr w:type="spellStart"/>
      <w:r>
        <w:t>Oyewumi</w:t>
      </w:r>
      <w:proofErr w:type="spellEnd"/>
      <w:r>
        <w:t xml:space="preserve">, K.J., </w:t>
      </w:r>
      <w:proofErr w:type="spellStart"/>
      <w:r>
        <w:t>Omeje</w:t>
      </w:r>
      <w:proofErr w:type="spellEnd"/>
      <w:r>
        <w:t xml:space="preserve">, M., </w:t>
      </w:r>
      <w:proofErr w:type="spellStart"/>
      <w:r>
        <w:t>Awolola</w:t>
      </w:r>
      <w:proofErr w:type="spellEnd"/>
      <w:r>
        <w:t xml:space="preserve">, G.V., Ajibola, O., &amp; Tibbett, M. (2022). Soil-to-plant transfer of ⁴⁰K, ²³⁸U and ²³²Th and radiological risk assessment of selected mining sites in Nigeria. </w:t>
      </w:r>
      <w:proofErr w:type="spellStart"/>
      <w:r>
        <w:t>Heliyon</w:t>
      </w:r>
      <w:proofErr w:type="spellEnd"/>
      <w:r>
        <w:t>, 8(11), e11534. https://doi.org/10.1016/j.heliyon.2022.e11534</w:t>
      </w:r>
    </w:p>
    <w:p w14:paraId="63C237B9" w14:textId="77777777" w:rsidR="00857F2A" w:rsidRDefault="00857F2A" w:rsidP="001B2CA2">
      <w:pPr>
        <w:spacing w:before="100" w:after="100"/>
        <w:ind w:left="720" w:hanging="720"/>
        <w:jc w:val="both"/>
      </w:pPr>
      <w:r>
        <w:t xml:space="preserve">Rout, S., Yadav, S., &amp; </w:t>
      </w:r>
      <w:proofErr w:type="spellStart"/>
      <w:r>
        <w:t>Pulhani</w:t>
      </w:r>
      <w:proofErr w:type="spellEnd"/>
      <w:r>
        <w:t>, V. (2021). Transfer of radionuclides from soil to selected tropical plants of Indian Subcontinent: a review. Journal of Environmental Radioactivity, 235–236, 106652. https://doi.org/10.1016/j.jenvrad.2021.106652</w:t>
      </w:r>
    </w:p>
    <w:p w14:paraId="2CE0A008" w14:textId="77777777" w:rsidR="00857F2A" w:rsidRDefault="00857F2A" w:rsidP="001B2CA2">
      <w:pPr>
        <w:spacing w:before="100" w:after="100"/>
        <w:ind w:left="720" w:hanging="720"/>
        <w:jc w:val="both"/>
      </w:pPr>
      <w:r>
        <w:t>Sparks, D.L., Singh, B., &amp; Siebecker, M.G. (2022). Environmental Soil Chemistry (3rd ed.). Elsevier.</w:t>
      </w:r>
    </w:p>
    <w:p w14:paraId="406814FE" w14:textId="77777777" w:rsidR="00857F2A" w:rsidRDefault="00857F2A" w:rsidP="00DE11D9">
      <w:pPr>
        <w:spacing w:before="100" w:after="100"/>
        <w:ind w:left="720" w:hanging="720"/>
        <w:jc w:val="both"/>
      </w:pPr>
      <w:proofErr w:type="spellStart"/>
      <w:r>
        <w:t>Tyovenda</w:t>
      </w:r>
      <w:proofErr w:type="spellEnd"/>
      <w:r>
        <w:t xml:space="preserve">, A.A., </w:t>
      </w:r>
      <w:proofErr w:type="spellStart"/>
      <w:r>
        <w:t>Ocheje</w:t>
      </w:r>
      <w:proofErr w:type="spellEnd"/>
      <w:r>
        <w:t xml:space="preserve">, J.A., </w:t>
      </w:r>
      <w:proofErr w:type="spellStart"/>
      <w:r>
        <w:t>Terver</w:t>
      </w:r>
      <w:proofErr w:type="spellEnd"/>
      <w:r>
        <w:t xml:space="preserve">, S., &amp; </w:t>
      </w:r>
      <w:proofErr w:type="spellStart"/>
      <w:r>
        <w:t>Uttah</w:t>
      </w:r>
      <w:proofErr w:type="spellEnd"/>
      <w:r>
        <w:t xml:space="preserve">, S.E. (2022). Investigation of the radiological risk of farmlands and the transfer factor from soil to crops in </w:t>
      </w:r>
      <w:proofErr w:type="spellStart"/>
      <w:r>
        <w:t>Jalingo</w:t>
      </w:r>
      <w:proofErr w:type="spellEnd"/>
      <w:r>
        <w:t xml:space="preserve"> and </w:t>
      </w:r>
      <w:proofErr w:type="spellStart"/>
      <w:r>
        <w:t>Wukari</w:t>
      </w:r>
      <w:proofErr w:type="spellEnd"/>
      <w:r>
        <w:t xml:space="preserve"> LGA of Taraba State, Nigeria. Journal of Environmental Protection, 13(1), 1–14. https://doi.org/10.4236/jep.2022.131001</w:t>
      </w:r>
    </w:p>
    <w:p w14:paraId="73FA360D" w14:textId="77777777" w:rsidR="00857F2A" w:rsidRDefault="00857F2A" w:rsidP="00DE11D9">
      <w:pPr>
        <w:spacing w:before="100" w:after="100"/>
        <w:ind w:left="720" w:hanging="720"/>
        <w:jc w:val="both"/>
      </w:pPr>
      <w:r>
        <w:t>United Nations Scientific Committee on the Effects of Atomic Radiation (UNSCEAR). (2000). Sources and Effects of Ionizing Radiation: UNSCEAR 2000 Report to the General Assembly, with Scientific Annexes. New York: United Nations.</w:t>
      </w:r>
    </w:p>
    <w:sectPr w:rsidR="00857F2A">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036F" w14:textId="77777777" w:rsidR="00C85184" w:rsidRDefault="00C85184" w:rsidP="008916FD">
      <w:r>
        <w:separator/>
      </w:r>
    </w:p>
  </w:endnote>
  <w:endnote w:type="continuationSeparator" w:id="0">
    <w:p w14:paraId="293947DE" w14:textId="77777777" w:rsidR="00C85184" w:rsidRDefault="00C85184" w:rsidP="0089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F2A9" w14:textId="77777777" w:rsidR="008916FD" w:rsidRDefault="00891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29A4" w14:textId="77777777" w:rsidR="008916FD" w:rsidRDefault="0089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DB6F" w14:textId="77777777" w:rsidR="008916FD" w:rsidRDefault="0089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CCDC" w14:textId="77777777" w:rsidR="00C85184" w:rsidRDefault="00C85184" w:rsidP="008916FD">
      <w:r>
        <w:separator/>
      </w:r>
    </w:p>
  </w:footnote>
  <w:footnote w:type="continuationSeparator" w:id="0">
    <w:p w14:paraId="37356D67" w14:textId="77777777" w:rsidR="00C85184" w:rsidRDefault="00C85184" w:rsidP="0089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7294" w14:textId="3091186A" w:rsidR="008916FD" w:rsidRDefault="00C85184">
    <w:pPr>
      <w:pStyle w:val="Header"/>
    </w:pPr>
    <w:r>
      <w:rPr>
        <w:noProof/>
      </w:rPr>
      <w:pict w14:anchorId="6CAC7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25264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066E" w14:textId="0EE8322B" w:rsidR="008916FD" w:rsidRDefault="00C85184">
    <w:pPr>
      <w:pStyle w:val="Header"/>
    </w:pPr>
    <w:r>
      <w:rPr>
        <w:noProof/>
      </w:rPr>
      <w:pict w14:anchorId="4FF89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25264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4743" w14:textId="4B7F0845" w:rsidR="008916FD" w:rsidRDefault="00C85184">
    <w:pPr>
      <w:pStyle w:val="Header"/>
    </w:pPr>
    <w:r>
      <w:rPr>
        <w:noProof/>
      </w:rPr>
      <w:pict w14:anchorId="2DFFD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25264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7A5A"/>
    <w:multiLevelType w:val="hybridMultilevel"/>
    <w:tmpl w:val="50F413E8"/>
    <w:lvl w:ilvl="0" w:tplc="F2E61658">
      <w:start w:val="1"/>
      <w:numFmt w:val="bullet"/>
      <w:lvlText w:val="●"/>
      <w:lvlJc w:val="left"/>
      <w:pPr>
        <w:ind w:left="720" w:hanging="360"/>
      </w:pPr>
    </w:lvl>
    <w:lvl w:ilvl="1" w:tplc="AD703594">
      <w:start w:val="1"/>
      <w:numFmt w:val="bullet"/>
      <w:lvlText w:val="○"/>
      <w:lvlJc w:val="left"/>
      <w:pPr>
        <w:ind w:left="1440" w:hanging="360"/>
      </w:pPr>
    </w:lvl>
    <w:lvl w:ilvl="2" w:tplc="FF76DE5A">
      <w:start w:val="1"/>
      <w:numFmt w:val="bullet"/>
      <w:lvlText w:val="■"/>
      <w:lvlJc w:val="left"/>
      <w:pPr>
        <w:ind w:left="2160" w:hanging="360"/>
      </w:pPr>
    </w:lvl>
    <w:lvl w:ilvl="3" w:tplc="BAD4D62C">
      <w:start w:val="1"/>
      <w:numFmt w:val="bullet"/>
      <w:lvlText w:val="●"/>
      <w:lvlJc w:val="left"/>
      <w:pPr>
        <w:ind w:left="2880" w:hanging="360"/>
      </w:pPr>
    </w:lvl>
    <w:lvl w:ilvl="4" w:tplc="E6A4BAE8">
      <w:start w:val="1"/>
      <w:numFmt w:val="bullet"/>
      <w:lvlText w:val="○"/>
      <w:lvlJc w:val="left"/>
      <w:pPr>
        <w:ind w:left="3600" w:hanging="360"/>
      </w:pPr>
    </w:lvl>
    <w:lvl w:ilvl="5" w:tplc="FF086592">
      <w:start w:val="1"/>
      <w:numFmt w:val="bullet"/>
      <w:lvlText w:val="■"/>
      <w:lvlJc w:val="left"/>
      <w:pPr>
        <w:ind w:left="4320" w:hanging="360"/>
      </w:pPr>
    </w:lvl>
    <w:lvl w:ilvl="6" w:tplc="1DD03772">
      <w:start w:val="1"/>
      <w:numFmt w:val="bullet"/>
      <w:lvlText w:val="●"/>
      <w:lvlJc w:val="left"/>
      <w:pPr>
        <w:ind w:left="5040" w:hanging="360"/>
      </w:pPr>
    </w:lvl>
    <w:lvl w:ilvl="7" w:tplc="76261918">
      <w:start w:val="1"/>
      <w:numFmt w:val="bullet"/>
      <w:lvlText w:val="●"/>
      <w:lvlJc w:val="left"/>
      <w:pPr>
        <w:ind w:left="5760" w:hanging="360"/>
      </w:pPr>
    </w:lvl>
    <w:lvl w:ilvl="8" w:tplc="EB56E55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BA"/>
    <w:rsid w:val="00000F3F"/>
    <w:rsid w:val="00001E96"/>
    <w:rsid w:val="00010C09"/>
    <w:rsid w:val="00011CB4"/>
    <w:rsid w:val="00061092"/>
    <w:rsid w:val="00063A9E"/>
    <w:rsid w:val="000666FC"/>
    <w:rsid w:val="0007014F"/>
    <w:rsid w:val="000E4636"/>
    <w:rsid w:val="00100F78"/>
    <w:rsid w:val="00104E60"/>
    <w:rsid w:val="00132E69"/>
    <w:rsid w:val="001413CD"/>
    <w:rsid w:val="00187E83"/>
    <w:rsid w:val="001911B1"/>
    <w:rsid w:val="0019171A"/>
    <w:rsid w:val="001A067D"/>
    <w:rsid w:val="001B2CA2"/>
    <w:rsid w:val="001B4B96"/>
    <w:rsid w:val="001C5F5F"/>
    <w:rsid w:val="001E6CF6"/>
    <w:rsid w:val="001E7756"/>
    <w:rsid w:val="001F6EA8"/>
    <w:rsid w:val="00202217"/>
    <w:rsid w:val="0020669B"/>
    <w:rsid w:val="00253C7F"/>
    <w:rsid w:val="00264702"/>
    <w:rsid w:val="00272388"/>
    <w:rsid w:val="002760AE"/>
    <w:rsid w:val="00287633"/>
    <w:rsid w:val="002A5275"/>
    <w:rsid w:val="002B0E2A"/>
    <w:rsid w:val="002C1A8D"/>
    <w:rsid w:val="002F495A"/>
    <w:rsid w:val="00311470"/>
    <w:rsid w:val="0031326C"/>
    <w:rsid w:val="00313C10"/>
    <w:rsid w:val="00355F50"/>
    <w:rsid w:val="00362B18"/>
    <w:rsid w:val="00367D96"/>
    <w:rsid w:val="00372036"/>
    <w:rsid w:val="00386F6D"/>
    <w:rsid w:val="003C2FD4"/>
    <w:rsid w:val="00480780"/>
    <w:rsid w:val="0049741B"/>
    <w:rsid w:val="004B17B0"/>
    <w:rsid w:val="004B766B"/>
    <w:rsid w:val="004C0607"/>
    <w:rsid w:val="004C1407"/>
    <w:rsid w:val="004C2626"/>
    <w:rsid w:val="004D1169"/>
    <w:rsid w:val="004D2D03"/>
    <w:rsid w:val="004E3F63"/>
    <w:rsid w:val="005000C3"/>
    <w:rsid w:val="0050292F"/>
    <w:rsid w:val="005157DC"/>
    <w:rsid w:val="005158BA"/>
    <w:rsid w:val="00520E2A"/>
    <w:rsid w:val="00521FE0"/>
    <w:rsid w:val="00555ED3"/>
    <w:rsid w:val="00573458"/>
    <w:rsid w:val="00590BB9"/>
    <w:rsid w:val="00591770"/>
    <w:rsid w:val="005B2B17"/>
    <w:rsid w:val="005B45DF"/>
    <w:rsid w:val="005D2FC2"/>
    <w:rsid w:val="005D5AF1"/>
    <w:rsid w:val="005E6BFB"/>
    <w:rsid w:val="00621BC8"/>
    <w:rsid w:val="00621C9A"/>
    <w:rsid w:val="006224EF"/>
    <w:rsid w:val="0063703D"/>
    <w:rsid w:val="00647493"/>
    <w:rsid w:val="006513C1"/>
    <w:rsid w:val="00656E65"/>
    <w:rsid w:val="006626FE"/>
    <w:rsid w:val="00677598"/>
    <w:rsid w:val="00681757"/>
    <w:rsid w:val="0068603A"/>
    <w:rsid w:val="00696E8F"/>
    <w:rsid w:val="006A6C13"/>
    <w:rsid w:val="006C0810"/>
    <w:rsid w:val="006C0F57"/>
    <w:rsid w:val="006F6A0D"/>
    <w:rsid w:val="00721DE3"/>
    <w:rsid w:val="00725898"/>
    <w:rsid w:val="00771A31"/>
    <w:rsid w:val="007764B9"/>
    <w:rsid w:val="00777E13"/>
    <w:rsid w:val="007B3C00"/>
    <w:rsid w:val="007B74CA"/>
    <w:rsid w:val="007C2DC0"/>
    <w:rsid w:val="007D3990"/>
    <w:rsid w:val="007E296D"/>
    <w:rsid w:val="007E5C2E"/>
    <w:rsid w:val="007E5E14"/>
    <w:rsid w:val="0080522A"/>
    <w:rsid w:val="008066CF"/>
    <w:rsid w:val="00826B52"/>
    <w:rsid w:val="00835958"/>
    <w:rsid w:val="00837A7B"/>
    <w:rsid w:val="00837DAB"/>
    <w:rsid w:val="00857F2A"/>
    <w:rsid w:val="00867DB3"/>
    <w:rsid w:val="00873230"/>
    <w:rsid w:val="00875A6C"/>
    <w:rsid w:val="00880D2A"/>
    <w:rsid w:val="00890C9A"/>
    <w:rsid w:val="008916FD"/>
    <w:rsid w:val="00893482"/>
    <w:rsid w:val="008A4ABA"/>
    <w:rsid w:val="008B6D03"/>
    <w:rsid w:val="008B7032"/>
    <w:rsid w:val="008D2F25"/>
    <w:rsid w:val="008E7F27"/>
    <w:rsid w:val="008F7A6E"/>
    <w:rsid w:val="0090329B"/>
    <w:rsid w:val="00903A2D"/>
    <w:rsid w:val="009225BF"/>
    <w:rsid w:val="009651AD"/>
    <w:rsid w:val="00977D32"/>
    <w:rsid w:val="009816B6"/>
    <w:rsid w:val="0098318A"/>
    <w:rsid w:val="00995EA9"/>
    <w:rsid w:val="009A1CAA"/>
    <w:rsid w:val="009A3EB0"/>
    <w:rsid w:val="009C46EF"/>
    <w:rsid w:val="009D2790"/>
    <w:rsid w:val="009E063E"/>
    <w:rsid w:val="009F08B2"/>
    <w:rsid w:val="00A0277E"/>
    <w:rsid w:val="00A21724"/>
    <w:rsid w:val="00A238E1"/>
    <w:rsid w:val="00A23A72"/>
    <w:rsid w:val="00A41F00"/>
    <w:rsid w:val="00A45222"/>
    <w:rsid w:val="00A47DFC"/>
    <w:rsid w:val="00A5253F"/>
    <w:rsid w:val="00A53E1A"/>
    <w:rsid w:val="00AC07EE"/>
    <w:rsid w:val="00AC2962"/>
    <w:rsid w:val="00AD4816"/>
    <w:rsid w:val="00AE050F"/>
    <w:rsid w:val="00AF5FE1"/>
    <w:rsid w:val="00B07238"/>
    <w:rsid w:val="00B27AAE"/>
    <w:rsid w:val="00B410B0"/>
    <w:rsid w:val="00B46FC0"/>
    <w:rsid w:val="00B6119E"/>
    <w:rsid w:val="00B819B2"/>
    <w:rsid w:val="00B86224"/>
    <w:rsid w:val="00BA14B3"/>
    <w:rsid w:val="00BB0028"/>
    <w:rsid w:val="00BC2D09"/>
    <w:rsid w:val="00BF2BC1"/>
    <w:rsid w:val="00BF7BAB"/>
    <w:rsid w:val="00C02801"/>
    <w:rsid w:val="00C13456"/>
    <w:rsid w:val="00C37674"/>
    <w:rsid w:val="00C53C14"/>
    <w:rsid w:val="00C63BA1"/>
    <w:rsid w:val="00C65C2B"/>
    <w:rsid w:val="00C85184"/>
    <w:rsid w:val="00CA1129"/>
    <w:rsid w:val="00CA497E"/>
    <w:rsid w:val="00CA7E40"/>
    <w:rsid w:val="00CB11A0"/>
    <w:rsid w:val="00CC29C6"/>
    <w:rsid w:val="00CD58E0"/>
    <w:rsid w:val="00CF3C00"/>
    <w:rsid w:val="00D03E87"/>
    <w:rsid w:val="00D2746D"/>
    <w:rsid w:val="00D5389E"/>
    <w:rsid w:val="00D57C6F"/>
    <w:rsid w:val="00D76DAB"/>
    <w:rsid w:val="00DB224A"/>
    <w:rsid w:val="00DD172F"/>
    <w:rsid w:val="00DD23DC"/>
    <w:rsid w:val="00DE0469"/>
    <w:rsid w:val="00DE11D9"/>
    <w:rsid w:val="00E54056"/>
    <w:rsid w:val="00E662F0"/>
    <w:rsid w:val="00EC01A9"/>
    <w:rsid w:val="00EC3B51"/>
    <w:rsid w:val="00EC46E6"/>
    <w:rsid w:val="00ED01BB"/>
    <w:rsid w:val="00EF0A95"/>
    <w:rsid w:val="00EF2BEE"/>
    <w:rsid w:val="00EF5811"/>
    <w:rsid w:val="00F007F2"/>
    <w:rsid w:val="00F26FE2"/>
    <w:rsid w:val="00F60C8E"/>
    <w:rsid w:val="00F67FCC"/>
    <w:rsid w:val="00F83ADC"/>
    <w:rsid w:val="00F9536D"/>
    <w:rsid w:val="00FA7E88"/>
    <w:rsid w:val="00FB557B"/>
    <w:rsid w:val="00FC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11A0"/>
  <w15:docId w15:val="{CAC61B66-2BEE-4517-962E-B13201D6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1F3864"/>
      <w:sz w:val="28"/>
      <w:szCs w:val="28"/>
    </w:rPr>
  </w:style>
  <w:style w:type="paragraph" w:styleId="Heading2">
    <w:name w:val="heading 2"/>
    <w:uiPriority w:val="9"/>
    <w:unhideWhenUsed/>
    <w:qFormat/>
    <w:pPr>
      <w:spacing w:before="240" w:after="12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PlaceholderText">
    <w:name w:val="Placeholder Text"/>
    <w:basedOn w:val="DefaultParagraphFont"/>
    <w:uiPriority w:val="99"/>
    <w:semiHidden/>
    <w:rsid w:val="00B6119E"/>
    <w:rPr>
      <w:color w:val="808080"/>
    </w:rPr>
  </w:style>
  <w:style w:type="character" w:styleId="UnresolvedMention">
    <w:name w:val="Unresolved Mention"/>
    <w:basedOn w:val="DefaultParagraphFont"/>
    <w:uiPriority w:val="99"/>
    <w:semiHidden/>
    <w:unhideWhenUsed/>
    <w:rsid w:val="009F08B2"/>
    <w:rPr>
      <w:color w:val="605E5C"/>
      <w:shd w:val="clear" w:color="auto" w:fill="E1DFDD"/>
    </w:rPr>
  </w:style>
  <w:style w:type="table" w:styleId="TableGrid">
    <w:name w:val="Table Grid"/>
    <w:basedOn w:val="TableNormal"/>
    <w:uiPriority w:val="39"/>
    <w:rsid w:val="00C13456"/>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6FD"/>
    <w:pPr>
      <w:tabs>
        <w:tab w:val="center" w:pos="4513"/>
        <w:tab w:val="right" w:pos="9026"/>
      </w:tabs>
    </w:pPr>
  </w:style>
  <w:style w:type="character" w:customStyle="1" w:styleId="HeaderChar">
    <w:name w:val="Header Char"/>
    <w:basedOn w:val="DefaultParagraphFont"/>
    <w:link w:val="Header"/>
    <w:uiPriority w:val="99"/>
    <w:rsid w:val="008916FD"/>
  </w:style>
  <w:style w:type="paragraph" w:styleId="Footer">
    <w:name w:val="footer"/>
    <w:basedOn w:val="Normal"/>
    <w:link w:val="FooterChar"/>
    <w:uiPriority w:val="99"/>
    <w:unhideWhenUsed/>
    <w:rsid w:val="008916FD"/>
    <w:pPr>
      <w:tabs>
        <w:tab w:val="center" w:pos="4513"/>
        <w:tab w:val="right" w:pos="9026"/>
      </w:tabs>
    </w:pPr>
  </w:style>
  <w:style w:type="character" w:customStyle="1" w:styleId="FooterChar">
    <w:name w:val="Footer Char"/>
    <w:basedOn w:val="DefaultParagraphFont"/>
    <w:link w:val="Footer"/>
    <w:uiPriority w:val="99"/>
    <w:rsid w:val="0089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46784">
      <w:bodyDiv w:val="1"/>
      <w:marLeft w:val="0"/>
      <w:marRight w:val="0"/>
      <w:marTop w:val="0"/>
      <w:marBottom w:val="0"/>
      <w:divBdr>
        <w:top w:val="none" w:sz="0" w:space="0" w:color="auto"/>
        <w:left w:val="none" w:sz="0" w:space="0" w:color="auto"/>
        <w:bottom w:val="none" w:sz="0" w:space="0" w:color="auto"/>
        <w:right w:val="none" w:sz="0" w:space="0" w:color="auto"/>
      </w:divBdr>
    </w:div>
    <w:div w:id="147005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80/10420150.2024.2364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16</Pages>
  <Words>5599</Words>
  <Characters>31915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WELCOME</cp:lastModifiedBy>
  <cp:revision>96</cp:revision>
  <dcterms:created xsi:type="dcterms:W3CDTF">2026-04-09T00:32:00Z</dcterms:created>
  <dcterms:modified xsi:type="dcterms:W3CDTF">2026-05-06T20:59:00Z</dcterms:modified>
</cp:coreProperties>
</file>