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57022" w14:textId="77777777" w:rsidR="00B72E43" w:rsidRPr="00B72E43" w:rsidRDefault="00B72E43" w:rsidP="00B72E43">
      <w:pPr>
        <w:rPr>
          <w:b/>
          <w:sz w:val="28"/>
          <w:szCs w:val="28"/>
        </w:rPr>
      </w:pPr>
      <w:r w:rsidRPr="00B72E43">
        <w:rPr>
          <w:b/>
          <w:sz w:val="28"/>
          <w:szCs w:val="28"/>
        </w:rPr>
        <w:t>Inappropriate Antibiotic Use in Children and the Rise of Antimicrobial Resistance</w:t>
      </w:r>
    </w:p>
    <w:p w14:paraId="288B826C" w14:textId="77777777" w:rsidR="00B72E43" w:rsidRDefault="00163D91" w:rsidP="0097644E">
      <w:pPr>
        <w:pStyle w:val="NormalWeb"/>
        <w:rPr>
          <w:b/>
        </w:rPr>
      </w:pPr>
      <w:r>
        <w:rPr>
          <w:b/>
        </w:rPr>
        <w:t xml:space="preserve">                                                </w:t>
      </w:r>
    </w:p>
    <w:p w14:paraId="2E185831" w14:textId="77777777" w:rsidR="00D83F73" w:rsidRDefault="00D83F73" w:rsidP="0097644E">
      <w:pPr>
        <w:pStyle w:val="NormalWeb"/>
        <w:rPr>
          <w:b/>
        </w:rPr>
      </w:pPr>
      <w:r>
        <w:rPr>
          <w:b/>
        </w:rPr>
        <w:t xml:space="preserve">                                             </w:t>
      </w:r>
    </w:p>
    <w:p w14:paraId="76FC1508" w14:textId="77777777" w:rsidR="00163D91" w:rsidRPr="00163D91" w:rsidRDefault="00D83F73" w:rsidP="0097644E">
      <w:pPr>
        <w:pStyle w:val="NormalWeb"/>
        <w:rPr>
          <w:b/>
        </w:rPr>
      </w:pPr>
      <w:r>
        <w:rPr>
          <w:b/>
        </w:rPr>
        <w:t xml:space="preserve">                                            </w:t>
      </w:r>
      <w:r w:rsidR="001768CB">
        <w:rPr>
          <w:b/>
        </w:rPr>
        <w:t xml:space="preserve"> </w:t>
      </w:r>
      <w:r w:rsidR="00163D91">
        <w:rPr>
          <w:b/>
        </w:rPr>
        <w:t xml:space="preserve"> </w:t>
      </w:r>
      <w:r w:rsidR="00163D91" w:rsidRPr="00163D91">
        <w:rPr>
          <w:b/>
        </w:rPr>
        <w:t>Abstract</w:t>
      </w:r>
    </w:p>
    <w:p w14:paraId="569FD833" w14:textId="77777777" w:rsidR="00710092" w:rsidRPr="00710092" w:rsidRDefault="00710092" w:rsidP="00103280">
      <w:pPr>
        <w:spacing w:before="100" w:beforeAutospacing="1" w:after="100" w:afterAutospacing="1" w:line="240" w:lineRule="auto"/>
        <w:jc w:val="both"/>
        <w:rPr>
          <w:rFonts w:ascii="Times New Roman" w:eastAsia="Times New Roman" w:hAnsi="Times New Roman" w:cs="Times New Roman"/>
          <w:sz w:val="24"/>
          <w:szCs w:val="24"/>
          <w:highlight w:val="yellow"/>
          <w:lang w:eastAsia="en-IN"/>
        </w:rPr>
      </w:pPr>
      <w:r w:rsidRPr="00710092">
        <w:rPr>
          <w:rFonts w:ascii="Times New Roman" w:eastAsia="Times New Roman" w:hAnsi="Times New Roman" w:cs="Times New Roman"/>
          <w:sz w:val="24"/>
          <w:szCs w:val="24"/>
          <w:highlight w:val="yellow"/>
          <w:lang w:eastAsia="en-IN"/>
        </w:rPr>
        <w:t xml:space="preserve">The increasing prevalence of antimicrobial resistance (AMR) has become a major public health concern, with inappropriate antibiotic use in children identified as a significant contributing factor. </w:t>
      </w:r>
      <w:r w:rsidRPr="00103280">
        <w:rPr>
          <w:rFonts w:ascii="Times New Roman" w:eastAsia="Times New Roman" w:hAnsi="Times New Roman" w:cs="Times New Roman"/>
          <w:b/>
          <w:bCs/>
          <w:sz w:val="24"/>
          <w:szCs w:val="24"/>
          <w:highlight w:val="yellow"/>
          <w:lang w:eastAsia="en-IN"/>
        </w:rPr>
        <w:t>The aim of this study</w:t>
      </w:r>
      <w:r w:rsidRPr="00710092">
        <w:rPr>
          <w:rFonts w:ascii="Times New Roman" w:eastAsia="Times New Roman" w:hAnsi="Times New Roman" w:cs="Times New Roman"/>
          <w:sz w:val="24"/>
          <w:szCs w:val="24"/>
          <w:highlight w:val="yellow"/>
          <w:lang w:eastAsia="en-IN"/>
        </w:rPr>
        <w:t xml:space="preserve"> is to </w:t>
      </w:r>
      <w:proofErr w:type="spellStart"/>
      <w:r w:rsidRPr="00710092">
        <w:rPr>
          <w:rFonts w:ascii="Times New Roman" w:eastAsia="Times New Roman" w:hAnsi="Times New Roman" w:cs="Times New Roman"/>
          <w:sz w:val="24"/>
          <w:szCs w:val="24"/>
          <w:highlight w:val="yellow"/>
          <w:lang w:eastAsia="en-IN"/>
        </w:rPr>
        <w:t>analyze</w:t>
      </w:r>
      <w:proofErr w:type="spellEnd"/>
      <w:r w:rsidRPr="00710092">
        <w:rPr>
          <w:rFonts w:ascii="Times New Roman" w:eastAsia="Times New Roman" w:hAnsi="Times New Roman" w:cs="Times New Roman"/>
          <w:sz w:val="24"/>
          <w:szCs w:val="24"/>
          <w:highlight w:val="yellow"/>
          <w:lang w:eastAsia="en-IN"/>
        </w:rPr>
        <w:t xml:space="preserve"> patterns of antibiotic misuse in </w:t>
      </w:r>
      <w:proofErr w:type="spellStart"/>
      <w:r w:rsidRPr="00710092">
        <w:rPr>
          <w:rFonts w:ascii="Times New Roman" w:eastAsia="Times New Roman" w:hAnsi="Times New Roman" w:cs="Times New Roman"/>
          <w:sz w:val="24"/>
          <w:szCs w:val="24"/>
          <w:highlight w:val="yellow"/>
          <w:lang w:eastAsia="en-IN"/>
        </w:rPr>
        <w:t>pediatric</w:t>
      </w:r>
      <w:proofErr w:type="spellEnd"/>
      <w:r w:rsidRPr="00710092">
        <w:rPr>
          <w:rFonts w:ascii="Times New Roman" w:eastAsia="Times New Roman" w:hAnsi="Times New Roman" w:cs="Times New Roman"/>
          <w:sz w:val="24"/>
          <w:szCs w:val="24"/>
          <w:highlight w:val="yellow"/>
          <w:lang w:eastAsia="en-IN"/>
        </w:rPr>
        <w:t xml:space="preserve"> populations and evaluate its role in accelerating antimicrobial resistance. Additionally, this study reviews whether existing research articles on this topic adequately incorporate essential scientific components, particularly the </w:t>
      </w:r>
      <w:r w:rsidRPr="00103280">
        <w:rPr>
          <w:rFonts w:ascii="Times New Roman" w:eastAsia="Times New Roman" w:hAnsi="Times New Roman" w:cs="Times New Roman"/>
          <w:b/>
          <w:bCs/>
          <w:sz w:val="24"/>
          <w:szCs w:val="24"/>
          <w:highlight w:val="yellow"/>
          <w:lang w:eastAsia="en-IN"/>
        </w:rPr>
        <w:t>results</w:t>
      </w:r>
      <w:r w:rsidRPr="00710092">
        <w:rPr>
          <w:rFonts w:ascii="Times New Roman" w:eastAsia="Times New Roman" w:hAnsi="Times New Roman" w:cs="Times New Roman"/>
          <w:sz w:val="24"/>
          <w:szCs w:val="24"/>
          <w:highlight w:val="yellow"/>
          <w:lang w:eastAsia="en-IN"/>
        </w:rPr>
        <w:t xml:space="preserve"> and </w:t>
      </w:r>
      <w:r w:rsidRPr="00103280">
        <w:rPr>
          <w:rFonts w:ascii="Times New Roman" w:eastAsia="Times New Roman" w:hAnsi="Times New Roman" w:cs="Times New Roman"/>
          <w:b/>
          <w:bCs/>
          <w:sz w:val="24"/>
          <w:szCs w:val="24"/>
          <w:highlight w:val="yellow"/>
          <w:lang w:eastAsia="en-IN"/>
        </w:rPr>
        <w:t>discussion</w:t>
      </w:r>
      <w:r w:rsidRPr="00710092">
        <w:rPr>
          <w:rFonts w:ascii="Times New Roman" w:eastAsia="Times New Roman" w:hAnsi="Times New Roman" w:cs="Times New Roman"/>
          <w:sz w:val="24"/>
          <w:szCs w:val="24"/>
          <w:highlight w:val="yellow"/>
          <w:lang w:eastAsia="en-IN"/>
        </w:rPr>
        <w:t xml:space="preserve"> sections.</w:t>
      </w:r>
    </w:p>
    <w:p w14:paraId="4D3604E7" w14:textId="77777777" w:rsidR="00710092" w:rsidRPr="00710092" w:rsidRDefault="00710092" w:rsidP="00103280">
      <w:pPr>
        <w:spacing w:before="100" w:beforeAutospacing="1" w:after="100" w:afterAutospacing="1" w:line="240" w:lineRule="auto"/>
        <w:jc w:val="both"/>
        <w:rPr>
          <w:rFonts w:ascii="Times New Roman" w:eastAsia="Times New Roman" w:hAnsi="Times New Roman" w:cs="Times New Roman"/>
          <w:sz w:val="24"/>
          <w:szCs w:val="24"/>
          <w:highlight w:val="yellow"/>
          <w:lang w:eastAsia="en-IN"/>
        </w:rPr>
      </w:pPr>
      <w:r w:rsidRPr="00103280">
        <w:rPr>
          <w:rFonts w:ascii="Times New Roman" w:eastAsia="Times New Roman" w:hAnsi="Times New Roman" w:cs="Times New Roman"/>
          <w:b/>
          <w:bCs/>
          <w:sz w:val="24"/>
          <w:szCs w:val="24"/>
          <w:highlight w:val="yellow"/>
          <w:lang w:eastAsia="en-IN"/>
        </w:rPr>
        <w:t>Results</w:t>
      </w:r>
      <w:r w:rsidRPr="00710092">
        <w:rPr>
          <w:rFonts w:ascii="Times New Roman" w:eastAsia="Times New Roman" w:hAnsi="Times New Roman" w:cs="Times New Roman"/>
          <w:sz w:val="24"/>
          <w:szCs w:val="24"/>
          <w:highlight w:val="yellow"/>
          <w:lang w:eastAsia="en-IN"/>
        </w:rPr>
        <w:t xml:space="preserve"> indicate that many studies report a high rate of unnecessary or inappropriate antibiotic prescriptions in children, especially for viral infections where antibiotics are ineffective. However, a critical evaluation of the literature reveals that several articles lack clearly defined or well-elaborated results, often presenting data without sufficient analysis or failing to link findings to study objectives. Furthermore, quantitative outcomes such as resistance rates, treatment failures, and prescribing patterns are sometimes underreported or inconsistently presented.</w:t>
      </w:r>
    </w:p>
    <w:p w14:paraId="2C66ECBC" w14:textId="073A7A87" w:rsidR="00710092" w:rsidRPr="00710092" w:rsidRDefault="00710092" w:rsidP="00103280">
      <w:pPr>
        <w:spacing w:before="100" w:beforeAutospacing="1" w:after="100" w:afterAutospacing="1" w:line="240" w:lineRule="auto"/>
        <w:jc w:val="both"/>
        <w:rPr>
          <w:rFonts w:ascii="Times New Roman" w:eastAsia="Times New Roman" w:hAnsi="Times New Roman" w:cs="Times New Roman"/>
          <w:sz w:val="24"/>
          <w:szCs w:val="24"/>
          <w:highlight w:val="yellow"/>
          <w:lang w:eastAsia="en-IN"/>
        </w:rPr>
      </w:pPr>
      <w:r w:rsidRPr="00103280">
        <w:rPr>
          <w:rFonts w:ascii="Times New Roman" w:eastAsia="Times New Roman" w:hAnsi="Times New Roman" w:cs="Times New Roman"/>
          <w:b/>
          <w:bCs/>
          <w:sz w:val="24"/>
          <w:szCs w:val="24"/>
          <w:highlight w:val="yellow"/>
          <w:lang w:eastAsia="en-IN"/>
        </w:rPr>
        <w:t>Discussion</w:t>
      </w:r>
      <w:r w:rsidRPr="00710092">
        <w:rPr>
          <w:rFonts w:ascii="Times New Roman" w:eastAsia="Times New Roman" w:hAnsi="Times New Roman" w:cs="Times New Roman"/>
          <w:sz w:val="24"/>
          <w:szCs w:val="24"/>
          <w:highlight w:val="yellow"/>
          <w:lang w:eastAsia="en-IN"/>
        </w:rPr>
        <w:t xml:space="preserve"> of the reviewed literature shows that the absence or weakness of structured discussion sections limits the interpretation of findings and reduces the overall impact of the research. In many cases, studies fail to contextualize their results within broader clinical and public health frameworks, such as antimicrobial stewardship or resistance trends. This gap hinders the translation of research into practice and policy. Moreover, inadequate discussion prevents identification of key drivers of antibiotic misuse, including parental expectations, physician prescribing </w:t>
      </w:r>
      <w:r w:rsidRPr="00103280">
        <w:rPr>
          <w:rFonts w:ascii="Times New Roman" w:eastAsia="Times New Roman" w:hAnsi="Times New Roman" w:cs="Times New Roman"/>
          <w:sz w:val="24"/>
          <w:szCs w:val="24"/>
          <w:highlight w:val="yellow"/>
          <w:lang w:eastAsia="en-IN"/>
        </w:rPr>
        <w:t>behaviour</w:t>
      </w:r>
      <w:r w:rsidRPr="00710092">
        <w:rPr>
          <w:rFonts w:ascii="Times New Roman" w:eastAsia="Times New Roman" w:hAnsi="Times New Roman" w:cs="Times New Roman"/>
          <w:sz w:val="24"/>
          <w:szCs w:val="24"/>
          <w:highlight w:val="yellow"/>
          <w:lang w:eastAsia="en-IN"/>
        </w:rPr>
        <w:t>, and systemic healthcare limitations.</w:t>
      </w:r>
    </w:p>
    <w:p w14:paraId="0394A179" w14:textId="1E946520" w:rsidR="00710092" w:rsidRDefault="00710092" w:rsidP="0010328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10092">
        <w:rPr>
          <w:rFonts w:ascii="Times New Roman" w:eastAsia="Times New Roman" w:hAnsi="Times New Roman" w:cs="Times New Roman"/>
          <w:sz w:val="24"/>
          <w:szCs w:val="24"/>
          <w:highlight w:val="yellow"/>
          <w:lang w:eastAsia="en-IN"/>
        </w:rPr>
        <w:t>This study emphasizes that a w</w:t>
      </w:r>
      <w:r w:rsidR="00EF12BD">
        <w:rPr>
          <w:rFonts w:ascii="Times New Roman" w:eastAsia="Times New Roman" w:hAnsi="Times New Roman" w:cs="Times New Roman"/>
          <w:sz w:val="24"/>
          <w:szCs w:val="24"/>
          <w:highlight w:val="yellow"/>
          <w:lang w:eastAsia="en-IN"/>
        </w:rPr>
        <w:t xml:space="preserve">ell-structured research article </w:t>
      </w:r>
      <w:r w:rsidRPr="00710092">
        <w:rPr>
          <w:rFonts w:ascii="Times New Roman" w:eastAsia="Times New Roman" w:hAnsi="Times New Roman" w:cs="Times New Roman"/>
          <w:sz w:val="24"/>
          <w:szCs w:val="24"/>
          <w:highlight w:val="yellow"/>
          <w:lang w:eastAsia="en-IN"/>
        </w:rPr>
        <w:t xml:space="preserve">comprising clear aims, robust methodology, detailed results, and critical discussion—is essential for effectively addressing the issue of inappropriate antibiotic use and its link to AMR. Strengthening these components will improve the quality, applicability, and impact of future research in </w:t>
      </w:r>
      <w:r w:rsidRPr="00103280">
        <w:rPr>
          <w:rFonts w:ascii="Times New Roman" w:eastAsia="Times New Roman" w:hAnsi="Times New Roman" w:cs="Times New Roman"/>
          <w:sz w:val="24"/>
          <w:szCs w:val="24"/>
          <w:highlight w:val="yellow"/>
          <w:lang w:eastAsia="en-IN"/>
        </w:rPr>
        <w:t>paediatric</w:t>
      </w:r>
      <w:r w:rsidRPr="00710092">
        <w:rPr>
          <w:rFonts w:ascii="Times New Roman" w:eastAsia="Times New Roman" w:hAnsi="Times New Roman" w:cs="Times New Roman"/>
          <w:sz w:val="24"/>
          <w:szCs w:val="24"/>
          <w:highlight w:val="yellow"/>
          <w:lang w:eastAsia="en-IN"/>
        </w:rPr>
        <w:t xml:space="preserve"> antimicrobial stewardship.</w:t>
      </w:r>
    </w:p>
    <w:p w14:paraId="3DF85005" w14:textId="1BBAE631" w:rsidR="005D22E3" w:rsidRPr="00710092" w:rsidRDefault="002F533D" w:rsidP="0010328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A4B31">
        <w:rPr>
          <w:rFonts w:ascii="Times New Roman" w:eastAsia="Times New Roman" w:hAnsi="Times New Roman" w:cs="Times New Roman"/>
          <w:b/>
          <w:sz w:val="24"/>
          <w:szCs w:val="24"/>
          <w:highlight w:val="yellow"/>
          <w:lang w:eastAsia="en-IN"/>
        </w:rPr>
        <w:t>Key Words</w:t>
      </w:r>
      <w:r w:rsidRPr="00AA4B31">
        <w:rPr>
          <w:rFonts w:ascii="Times New Roman" w:eastAsia="Times New Roman" w:hAnsi="Times New Roman" w:cs="Times New Roman"/>
          <w:sz w:val="24"/>
          <w:szCs w:val="24"/>
          <w:highlight w:val="yellow"/>
          <w:lang w:eastAsia="en-IN"/>
        </w:rPr>
        <w:t xml:space="preserve">: </w:t>
      </w:r>
      <w:r w:rsidRPr="00AA4B31">
        <w:rPr>
          <w:highlight w:val="yellow"/>
        </w:rPr>
        <w:t>Antimicrobial resistance (AMR)</w:t>
      </w:r>
      <w:r w:rsidRPr="00AA4B31">
        <w:rPr>
          <w:highlight w:val="yellow"/>
        </w:rPr>
        <w:t>, Paediatric</w:t>
      </w:r>
      <w:r w:rsidRPr="00AA4B31">
        <w:rPr>
          <w:highlight w:val="yellow"/>
        </w:rPr>
        <w:t xml:space="preserve"> infections</w:t>
      </w:r>
      <w:r w:rsidRPr="00AA4B31">
        <w:rPr>
          <w:highlight w:val="yellow"/>
        </w:rPr>
        <w:t xml:space="preserve">, </w:t>
      </w:r>
      <w:r w:rsidRPr="00AA4B31">
        <w:rPr>
          <w:highlight w:val="yellow"/>
        </w:rPr>
        <w:t xml:space="preserve">Antibiotic </w:t>
      </w:r>
      <w:r w:rsidRPr="00AA4B31">
        <w:rPr>
          <w:highlight w:val="yellow"/>
        </w:rPr>
        <w:t xml:space="preserve">over prescription, </w:t>
      </w:r>
      <w:r w:rsidRPr="00AA4B31">
        <w:rPr>
          <w:highlight w:val="yellow"/>
        </w:rPr>
        <w:t>Drug resistance</w:t>
      </w:r>
      <w:r w:rsidRPr="00AA4B31">
        <w:rPr>
          <w:highlight w:val="yellow"/>
        </w:rPr>
        <w:t xml:space="preserve">, </w:t>
      </w:r>
      <w:r w:rsidRPr="00AA4B31">
        <w:rPr>
          <w:highlight w:val="yellow"/>
        </w:rPr>
        <w:t xml:space="preserve">Streptococcus </w:t>
      </w:r>
      <w:r w:rsidRPr="00AA4B31">
        <w:rPr>
          <w:highlight w:val="yellow"/>
        </w:rPr>
        <w:t xml:space="preserve">pneumonia, </w:t>
      </w:r>
      <w:r w:rsidRPr="00AA4B31">
        <w:rPr>
          <w:highlight w:val="yellow"/>
        </w:rPr>
        <w:t>Escherichia coli</w:t>
      </w:r>
      <w:r w:rsidRPr="00AA4B31">
        <w:rPr>
          <w:highlight w:val="yellow"/>
        </w:rPr>
        <w:t>, Paediatric</w:t>
      </w:r>
      <w:r w:rsidRPr="00AA4B31">
        <w:rPr>
          <w:highlight w:val="yellow"/>
        </w:rPr>
        <w:t xml:space="preserve"> pharmacotherapy</w:t>
      </w:r>
      <w:r w:rsidRPr="00AA4B31">
        <w:rPr>
          <w:highlight w:val="yellow"/>
        </w:rPr>
        <w:t xml:space="preserve">, </w:t>
      </w:r>
      <w:r w:rsidRPr="00AA4B31">
        <w:rPr>
          <w:highlight w:val="yellow"/>
        </w:rPr>
        <w:t>Diagnostic uncertainty</w:t>
      </w:r>
      <w:r w:rsidRPr="00AA4B31">
        <w:rPr>
          <w:highlight w:val="yellow"/>
        </w:rPr>
        <w:t xml:space="preserve">, </w:t>
      </w:r>
      <w:r w:rsidRPr="00AA4B31">
        <w:rPr>
          <w:highlight w:val="yellow"/>
        </w:rPr>
        <w:t>Antimicrobial stewardship</w:t>
      </w:r>
      <w:r w:rsidRPr="00AA4B31">
        <w:rPr>
          <w:highlight w:val="yellow"/>
        </w:rPr>
        <w:t xml:space="preserve">, </w:t>
      </w:r>
      <w:r w:rsidRPr="00AA4B31">
        <w:rPr>
          <w:highlight w:val="yellow"/>
        </w:rPr>
        <w:t>Healthcare system challenges</w:t>
      </w:r>
      <w:r w:rsidRPr="00AA4B31">
        <w:rPr>
          <w:highlight w:val="yellow"/>
        </w:rPr>
        <w:t xml:space="preserve">, </w:t>
      </w:r>
      <w:r w:rsidR="0039193C" w:rsidRPr="00AA4B31">
        <w:rPr>
          <w:highlight w:val="yellow"/>
        </w:rPr>
        <w:t>Parental influence</w:t>
      </w:r>
      <w:r w:rsidR="0039193C" w:rsidRPr="00AA4B31">
        <w:rPr>
          <w:highlight w:val="yellow"/>
        </w:rPr>
        <w:t xml:space="preserve">, </w:t>
      </w:r>
      <w:r w:rsidR="0039193C" w:rsidRPr="00AA4B31">
        <w:rPr>
          <w:highlight w:val="yellow"/>
        </w:rPr>
        <w:t>Broad-spectrum antibiotics</w:t>
      </w:r>
      <w:r w:rsidR="0039193C" w:rsidRPr="00AA4B31">
        <w:rPr>
          <w:highlight w:val="yellow"/>
        </w:rPr>
        <w:t xml:space="preserve">, </w:t>
      </w:r>
      <w:r w:rsidR="0039193C" w:rsidRPr="00AA4B31">
        <w:rPr>
          <w:highlight w:val="yellow"/>
        </w:rPr>
        <w:t>Global public health</w:t>
      </w:r>
      <w:r w:rsidR="0039193C" w:rsidRPr="00AA4B31">
        <w:rPr>
          <w:highlight w:val="yellow"/>
        </w:rPr>
        <w:t xml:space="preserve">, </w:t>
      </w:r>
      <w:r w:rsidR="0039193C" w:rsidRPr="00AA4B31">
        <w:rPr>
          <w:highlight w:val="yellow"/>
        </w:rPr>
        <w:t>Infection management</w:t>
      </w:r>
    </w:p>
    <w:p w14:paraId="780342C5" w14:textId="28A0C5F4" w:rsidR="00710092" w:rsidRPr="00710092" w:rsidRDefault="00710092" w:rsidP="00710092">
      <w:pPr>
        <w:spacing w:after="0" w:line="240" w:lineRule="auto"/>
        <w:rPr>
          <w:rFonts w:ascii="Times New Roman" w:eastAsia="Times New Roman" w:hAnsi="Times New Roman" w:cs="Times New Roman"/>
          <w:sz w:val="24"/>
          <w:szCs w:val="24"/>
          <w:lang w:eastAsia="en-IN"/>
        </w:rPr>
      </w:pPr>
    </w:p>
    <w:p w14:paraId="3C4792C8" w14:textId="77777777" w:rsidR="00163D91" w:rsidRPr="00F419CC" w:rsidRDefault="0097644E" w:rsidP="00E6611B">
      <w:pPr>
        <w:pStyle w:val="NormalWeb"/>
        <w:rPr>
          <w:b/>
        </w:rPr>
      </w:pPr>
      <w:r w:rsidRPr="00F419CC">
        <w:rPr>
          <w:b/>
        </w:rPr>
        <w:t xml:space="preserve">I. </w:t>
      </w:r>
      <w:r w:rsidR="00163D91" w:rsidRPr="00F419CC">
        <w:rPr>
          <w:b/>
        </w:rPr>
        <w:t>Introduction</w:t>
      </w:r>
      <w:bookmarkStart w:id="0" w:name="_GoBack"/>
      <w:bookmarkEnd w:id="0"/>
    </w:p>
    <w:p w14:paraId="20D6E3EA" w14:textId="77777777" w:rsidR="00371BE2" w:rsidRPr="00B10371" w:rsidRDefault="00371BE2" w:rsidP="00371BE2">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Antibiotics are a class of antimicrobial agents designed to inhibit the proliferation of or eradicate microorganisms. This is the manner in which they address bacterial infections. </w:t>
      </w:r>
      <w:r w:rsidRPr="00F419CC">
        <w:rPr>
          <w:rFonts w:ascii="Times New Roman" w:eastAsia="Times New Roman" w:hAnsi="Times New Roman" w:cs="Times New Roman"/>
          <w:sz w:val="24"/>
          <w:szCs w:val="24"/>
          <w:lang w:eastAsia="en-IN"/>
        </w:rPr>
        <w:lastRenderedPageBreak/>
        <w:t>Antibiotics are crucial in paediatric care for addressing prevalent and potentially fatal infections, including pneumonia, otitis media, urinary tract infections, and sepsis. Their timely and suitable application has significantly reduced the incidence of illness and mortality among children, establishing them as an essential component of contemporary paediatric healthcare. However, their performance significantly relies on the quality of prescriptions and adherence to evidence-based standards, which include proper dosing, duration of treatment, and the selection of appropriate antibiotics based on local resistance patterns. Antimicrobial resistance (AMR) poses a significant threat to global health, undermining decades of medical advancement. Antimicrobial resistance (AMR) arises when microorganisms undergo mutations that provide resistance to antibiotics. This renders conventional medicines ineffective, prolongs infections, facilitates their spread, and increases treatment costs. The issue worsens because of the excessive and improper use of antibiotics in both healthcare and agriculture, along with inadequate infection control methods, which leads to an increase in resistant illnesses that are more difficult to treat and manage. International health organizations regard antimicrobial resistance (AMR) as a significant issue that may result in a "post-antibiotic era," wherein minor ailments could become fatal. Children face a significant risk of developing antibiotic resistance</w:t>
      </w:r>
      <w:r w:rsidR="00B10371">
        <w:rPr>
          <w:rFonts w:ascii="Times New Roman" w:eastAsia="Times New Roman" w:hAnsi="Times New Roman" w:cs="Times New Roman"/>
          <w:sz w:val="24"/>
          <w:szCs w:val="24"/>
          <w:lang w:eastAsia="en-IN"/>
        </w:rPr>
        <w:t>,</w:t>
      </w:r>
      <w:r w:rsidR="00B10371" w:rsidRPr="00B10371">
        <w:rPr>
          <w:rFonts w:ascii="Arial" w:hAnsi="Arial" w:cs="Arial"/>
          <w:color w:val="222222"/>
          <w:sz w:val="20"/>
          <w:szCs w:val="20"/>
          <w:shd w:val="clear" w:color="auto" w:fill="FFFFFF"/>
        </w:rPr>
        <w:t xml:space="preserve"> </w:t>
      </w:r>
      <w:proofErr w:type="spellStart"/>
      <w:r w:rsidR="00B10371" w:rsidRPr="00B10371">
        <w:rPr>
          <w:rFonts w:ascii="Arial" w:hAnsi="Arial" w:cs="Arial"/>
          <w:b/>
          <w:color w:val="222222"/>
          <w:sz w:val="20"/>
          <w:szCs w:val="20"/>
          <w:shd w:val="clear" w:color="auto" w:fill="FFFFFF"/>
        </w:rPr>
        <w:t>Bajcetic</w:t>
      </w:r>
      <w:proofErr w:type="spellEnd"/>
      <w:r w:rsidR="00B10371" w:rsidRPr="00B10371">
        <w:rPr>
          <w:rFonts w:ascii="Arial" w:hAnsi="Arial" w:cs="Arial"/>
          <w:b/>
          <w:color w:val="222222"/>
          <w:sz w:val="20"/>
          <w:szCs w:val="20"/>
          <w:shd w:val="clear" w:color="auto" w:fill="FFFFFF"/>
        </w:rPr>
        <w:t>, M.et. al. (2026)</w:t>
      </w:r>
      <w:r w:rsidRPr="00F419CC">
        <w:rPr>
          <w:rFonts w:ascii="Times New Roman" w:eastAsia="Times New Roman" w:hAnsi="Times New Roman" w:cs="Times New Roman"/>
          <w:sz w:val="24"/>
          <w:szCs w:val="24"/>
          <w:lang w:eastAsia="en-IN"/>
        </w:rPr>
        <w:t>. They experience illness more frequently due to the ongoing development of their immune systems, particularly throughout youth. This often indicates that individuals frequently visit the doctor and are more prone to receiving antibiotics, especially for viral diseases where such medications are ineffective. Moreover, prescribing patterns in paediatrics may be influenced by diagnostic ambiguity, parental expectations, and a deficiency of child-specific pharmaceutical data, all of which can result in improper usage, such as overprescribing antibiotics for conditions that do not require them. Frequent antibiotic exposure during critical developmental periods modifies the evolving microbiome and may promote the evolution of resistant microorganisms. In this context, it is imperative to recognize that inappropriate antibiotic use in children significantly accelerates the development and spread of antimicrobial resistance, resulting in considerable long-term clinical and public health challenges. To address this issue, we must collaborate on enhancing diagnostic methodologies, public awareness, antibiotic stewardship, and regulatory reforms that will ensure the efficacy of existing medications for future generations</w:t>
      </w:r>
      <w:r w:rsidR="00B10371">
        <w:rPr>
          <w:rFonts w:ascii="Times New Roman" w:eastAsia="Times New Roman" w:hAnsi="Times New Roman" w:cs="Times New Roman"/>
          <w:sz w:val="24"/>
          <w:szCs w:val="24"/>
          <w:lang w:eastAsia="en-IN"/>
        </w:rPr>
        <w:t>,</w:t>
      </w:r>
      <w:r w:rsidR="00B10371" w:rsidRPr="00B10371">
        <w:rPr>
          <w:rFonts w:ascii="Arial" w:hAnsi="Arial" w:cs="Arial"/>
          <w:color w:val="222222"/>
          <w:sz w:val="20"/>
          <w:szCs w:val="20"/>
          <w:shd w:val="clear" w:color="auto" w:fill="FFFFFF"/>
        </w:rPr>
        <w:t xml:space="preserve"> </w:t>
      </w:r>
      <w:proofErr w:type="spellStart"/>
      <w:r w:rsidR="00B10371" w:rsidRPr="00B10371">
        <w:rPr>
          <w:rFonts w:ascii="Arial" w:hAnsi="Arial" w:cs="Arial"/>
          <w:b/>
          <w:color w:val="222222"/>
          <w:sz w:val="20"/>
          <w:szCs w:val="20"/>
          <w:shd w:val="clear" w:color="auto" w:fill="FFFFFF"/>
        </w:rPr>
        <w:t>Mulchandani</w:t>
      </w:r>
      <w:proofErr w:type="spellEnd"/>
      <w:r w:rsidR="00B10371" w:rsidRPr="00B10371">
        <w:rPr>
          <w:rFonts w:ascii="Arial" w:hAnsi="Arial" w:cs="Arial"/>
          <w:b/>
          <w:color w:val="222222"/>
          <w:sz w:val="20"/>
          <w:szCs w:val="20"/>
          <w:shd w:val="clear" w:color="auto" w:fill="FFFFFF"/>
        </w:rPr>
        <w:t xml:space="preserve">, </w:t>
      </w:r>
      <w:proofErr w:type="spellStart"/>
      <w:proofErr w:type="gramStart"/>
      <w:r w:rsidR="00B10371" w:rsidRPr="00B10371">
        <w:rPr>
          <w:rFonts w:ascii="Arial" w:hAnsi="Arial" w:cs="Arial"/>
          <w:b/>
          <w:color w:val="222222"/>
          <w:sz w:val="20"/>
          <w:szCs w:val="20"/>
          <w:shd w:val="clear" w:color="auto" w:fill="FFFFFF"/>
        </w:rPr>
        <w:t>R.,et</w:t>
      </w:r>
      <w:proofErr w:type="spellEnd"/>
      <w:proofErr w:type="gramEnd"/>
      <w:r w:rsidR="00B10371" w:rsidRPr="00B10371">
        <w:rPr>
          <w:rFonts w:ascii="Arial" w:hAnsi="Arial" w:cs="Arial"/>
          <w:b/>
          <w:color w:val="222222"/>
          <w:sz w:val="20"/>
          <w:szCs w:val="20"/>
          <w:shd w:val="clear" w:color="auto" w:fill="FFFFFF"/>
        </w:rPr>
        <w:t>. al.  (2025).</w:t>
      </w:r>
    </w:p>
    <w:p w14:paraId="6EF25901" w14:textId="77777777" w:rsidR="00A002AE" w:rsidRPr="00A002AE" w:rsidRDefault="00984C8D" w:rsidP="00A002AE">
      <w:pPr>
        <w:rPr>
          <w:b/>
          <w:sz w:val="24"/>
          <w:szCs w:val="24"/>
          <w:lang w:eastAsia="en-IN"/>
        </w:rPr>
      </w:pPr>
      <w:r>
        <w:rPr>
          <w:b/>
          <w:sz w:val="24"/>
          <w:szCs w:val="24"/>
          <w:lang w:eastAsia="en-IN"/>
        </w:rPr>
        <w:t>Table:</w:t>
      </w:r>
      <w:r w:rsidR="00A002AE">
        <w:rPr>
          <w:b/>
          <w:sz w:val="24"/>
          <w:szCs w:val="24"/>
          <w:lang w:eastAsia="en-IN"/>
        </w:rPr>
        <w:t xml:space="preserve"> 01 </w:t>
      </w:r>
      <w:r w:rsidR="00A002AE" w:rsidRPr="00A002AE">
        <w:rPr>
          <w:b/>
          <w:sz w:val="24"/>
          <w:szCs w:val="24"/>
          <w:lang w:eastAsia="en-IN"/>
        </w:rPr>
        <w:t>Inappropriate Antibiotic Use in Children &amp; Rise of Antimicrobial Resistance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2"/>
        <w:gridCol w:w="1504"/>
        <w:gridCol w:w="1311"/>
        <w:gridCol w:w="1600"/>
        <w:gridCol w:w="1639"/>
      </w:tblGrid>
      <w:tr w:rsidR="00A002AE" w:rsidRPr="004F5A8B" w14:paraId="772B5435" w14:textId="77777777" w:rsidTr="00411341">
        <w:trPr>
          <w:tblHeader/>
          <w:tblCellSpacing w:w="15" w:type="dxa"/>
        </w:trPr>
        <w:tc>
          <w:tcPr>
            <w:tcW w:w="0" w:type="auto"/>
            <w:vAlign w:val="center"/>
            <w:hideMark/>
          </w:tcPr>
          <w:p w14:paraId="624D62C3" w14:textId="77777777" w:rsidR="00A002AE" w:rsidRPr="004F5A8B" w:rsidRDefault="00A002AE" w:rsidP="00411341">
            <w:pPr>
              <w:spacing w:after="0" w:line="240" w:lineRule="auto"/>
              <w:jc w:val="center"/>
              <w:rPr>
                <w:rFonts w:ascii="Times New Roman" w:eastAsia="Times New Roman" w:hAnsi="Times New Roman" w:cs="Times New Roman"/>
                <w:b/>
                <w:bCs/>
                <w:sz w:val="24"/>
                <w:szCs w:val="24"/>
                <w:lang w:eastAsia="en-IN"/>
              </w:rPr>
            </w:pPr>
            <w:r w:rsidRPr="004F5A8B">
              <w:rPr>
                <w:rFonts w:ascii="Times New Roman" w:eastAsia="Times New Roman" w:hAnsi="Times New Roman" w:cs="Times New Roman"/>
                <w:b/>
                <w:bCs/>
                <w:sz w:val="24"/>
                <w:szCs w:val="24"/>
                <w:lang w:eastAsia="en-IN"/>
              </w:rPr>
              <w:t>Category</w:t>
            </w:r>
          </w:p>
        </w:tc>
        <w:tc>
          <w:tcPr>
            <w:tcW w:w="0" w:type="auto"/>
            <w:vAlign w:val="center"/>
            <w:hideMark/>
          </w:tcPr>
          <w:p w14:paraId="4DD2C627" w14:textId="77777777" w:rsidR="00A002AE" w:rsidRPr="004F5A8B" w:rsidRDefault="00A002AE" w:rsidP="00411341">
            <w:pPr>
              <w:spacing w:after="0" w:line="240" w:lineRule="auto"/>
              <w:jc w:val="center"/>
              <w:rPr>
                <w:rFonts w:ascii="Times New Roman" w:eastAsia="Times New Roman" w:hAnsi="Times New Roman" w:cs="Times New Roman"/>
                <w:b/>
                <w:bCs/>
                <w:sz w:val="24"/>
                <w:szCs w:val="24"/>
                <w:lang w:eastAsia="en-IN"/>
              </w:rPr>
            </w:pPr>
            <w:r w:rsidRPr="004F5A8B">
              <w:rPr>
                <w:rFonts w:ascii="Times New Roman" w:eastAsia="Times New Roman" w:hAnsi="Times New Roman" w:cs="Times New Roman"/>
                <w:b/>
                <w:bCs/>
                <w:sz w:val="24"/>
                <w:szCs w:val="24"/>
                <w:lang w:eastAsia="en-IN"/>
              </w:rPr>
              <w:t>Details</w:t>
            </w:r>
          </w:p>
        </w:tc>
        <w:tc>
          <w:tcPr>
            <w:tcW w:w="0" w:type="auto"/>
            <w:vAlign w:val="center"/>
            <w:hideMark/>
          </w:tcPr>
          <w:p w14:paraId="2A08B4EA" w14:textId="77777777" w:rsidR="00A002AE" w:rsidRPr="004F5A8B" w:rsidRDefault="00A002AE" w:rsidP="00411341">
            <w:pPr>
              <w:spacing w:after="0" w:line="240" w:lineRule="auto"/>
              <w:jc w:val="center"/>
              <w:rPr>
                <w:rFonts w:ascii="Times New Roman" w:eastAsia="Times New Roman" w:hAnsi="Times New Roman" w:cs="Times New Roman"/>
                <w:b/>
                <w:bCs/>
                <w:sz w:val="24"/>
                <w:szCs w:val="24"/>
                <w:lang w:eastAsia="en-IN"/>
              </w:rPr>
            </w:pPr>
            <w:r w:rsidRPr="004F5A8B">
              <w:rPr>
                <w:rFonts w:ascii="Times New Roman" w:eastAsia="Times New Roman" w:hAnsi="Times New Roman" w:cs="Times New Roman"/>
                <w:b/>
                <w:bCs/>
                <w:sz w:val="24"/>
                <w:szCs w:val="24"/>
                <w:lang w:eastAsia="en-IN"/>
              </w:rPr>
              <w:t>Impact on AMR</w:t>
            </w:r>
          </w:p>
        </w:tc>
        <w:tc>
          <w:tcPr>
            <w:tcW w:w="0" w:type="auto"/>
            <w:vAlign w:val="center"/>
            <w:hideMark/>
          </w:tcPr>
          <w:p w14:paraId="2B113A51" w14:textId="77777777" w:rsidR="00A002AE" w:rsidRPr="004F5A8B" w:rsidRDefault="00A002AE" w:rsidP="00411341">
            <w:pPr>
              <w:spacing w:after="0" w:line="240" w:lineRule="auto"/>
              <w:jc w:val="center"/>
              <w:rPr>
                <w:rFonts w:ascii="Times New Roman" w:eastAsia="Times New Roman" w:hAnsi="Times New Roman" w:cs="Times New Roman"/>
                <w:b/>
                <w:bCs/>
                <w:sz w:val="24"/>
                <w:szCs w:val="24"/>
                <w:lang w:eastAsia="en-IN"/>
              </w:rPr>
            </w:pPr>
            <w:r w:rsidRPr="004F5A8B">
              <w:rPr>
                <w:rFonts w:ascii="Times New Roman" w:eastAsia="Times New Roman" w:hAnsi="Times New Roman" w:cs="Times New Roman"/>
                <w:b/>
                <w:bCs/>
                <w:sz w:val="24"/>
                <w:szCs w:val="24"/>
                <w:lang w:eastAsia="en-IN"/>
              </w:rPr>
              <w:t xml:space="preserve">Examples in </w:t>
            </w:r>
            <w:r w:rsidR="0068195C" w:rsidRPr="004F5A8B">
              <w:rPr>
                <w:rFonts w:ascii="Times New Roman" w:eastAsia="Times New Roman" w:hAnsi="Times New Roman" w:cs="Times New Roman"/>
                <w:b/>
                <w:bCs/>
                <w:sz w:val="24"/>
                <w:szCs w:val="24"/>
                <w:lang w:eastAsia="en-IN"/>
              </w:rPr>
              <w:t>Paediatric</w:t>
            </w:r>
            <w:r w:rsidRPr="004F5A8B">
              <w:rPr>
                <w:rFonts w:ascii="Times New Roman" w:eastAsia="Times New Roman" w:hAnsi="Times New Roman" w:cs="Times New Roman"/>
                <w:b/>
                <w:bCs/>
                <w:sz w:val="24"/>
                <w:szCs w:val="24"/>
                <w:lang w:eastAsia="en-IN"/>
              </w:rPr>
              <w:t xml:space="preserve"> Practice</w:t>
            </w:r>
          </w:p>
        </w:tc>
        <w:tc>
          <w:tcPr>
            <w:tcW w:w="0" w:type="auto"/>
            <w:vAlign w:val="center"/>
            <w:hideMark/>
          </w:tcPr>
          <w:p w14:paraId="4EF70FF0" w14:textId="77777777" w:rsidR="00A002AE" w:rsidRPr="004F5A8B" w:rsidRDefault="00A002AE" w:rsidP="00411341">
            <w:pPr>
              <w:spacing w:after="0" w:line="240" w:lineRule="auto"/>
              <w:jc w:val="center"/>
              <w:rPr>
                <w:rFonts w:ascii="Times New Roman" w:eastAsia="Times New Roman" w:hAnsi="Times New Roman" w:cs="Times New Roman"/>
                <w:b/>
                <w:bCs/>
                <w:sz w:val="24"/>
                <w:szCs w:val="24"/>
                <w:lang w:eastAsia="en-IN"/>
              </w:rPr>
            </w:pPr>
            <w:r w:rsidRPr="004F5A8B">
              <w:rPr>
                <w:rFonts w:ascii="Times New Roman" w:eastAsia="Times New Roman" w:hAnsi="Times New Roman" w:cs="Times New Roman"/>
                <w:b/>
                <w:bCs/>
                <w:sz w:val="24"/>
                <w:szCs w:val="24"/>
                <w:lang w:eastAsia="en-IN"/>
              </w:rPr>
              <w:t>Prevention Strategies</w:t>
            </w:r>
          </w:p>
        </w:tc>
      </w:tr>
      <w:tr w:rsidR="00A002AE" w:rsidRPr="004F5A8B" w14:paraId="48B92D08" w14:textId="77777777" w:rsidTr="00411341">
        <w:trPr>
          <w:tblCellSpacing w:w="15" w:type="dxa"/>
        </w:trPr>
        <w:tc>
          <w:tcPr>
            <w:tcW w:w="0" w:type="auto"/>
            <w:vAlign w:val="center"/>
            <w:hideMark/>
          </w:tcPr>
          <w:p w14:paraId="544A7648"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Over prescription</w:t>
            </w:r>
          </w:p>
        </w:tc>
        <w:tc>
          <w:tcPr>
            <w:tcW w:w="0" w:type="auto"/>
            <w:vAlign w:val="center"/>
            <w:hideMark/>
          </w:tcPr>
          <w:p w14:paraId="47A879E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Antibiotics given when not clinically indicated</w:t>
            </w:r>
          </w:p>
        </w:tc>
        <w:tc>
          <w:tcPr>
            <w:tcW w:w="0" w:type="auto"/>
            <w:vAlign w:val="center"/>
            <w:hideMark/>
          </w:tcPr>
          <w:p w14:paraId="2559734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Selects resistant bacterial strains</w:t>
            </w:r>
          </w:p>
        </w:tc>
        <w:tc>
          <w:tcPr>
            <w:tcW w:w="0" w:type="auto"/>
            <w:vAlign w:val="center"/>
            <w:hideMark/>
          </w:tcPr>
          <w:p w14:paraId="73A834E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Prescribing for viral infections like common cold, influenza</w:t>
            </w:r>
          </w:p>
        </w:tc>
        <w:tc>
          <w:tcPr>
            <w:tcW w:w="0" w:type="auto"/>
            <w:vAlign w:val="center"/>
            <w:hideMark/>
          </w:tcPr>
          <w:p w14:paraId="170227AF"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Strict adherence to clinical guidelines; diagnostic stewardship</w:t>
            </w:r>
          </w:p>
        </w:tc>
      </w:tr>
      <w:tr w:rsidR="00A002AE" w:rsidRPr="004F5A8B" w14:paraId="61551945" w14:textId="77777777" w:rsidTr="00411341">
        <w:trPr>
          <w:tblCellSpacing w:w="15" w:type="dxa"/>
        </w:trPr>
        <w:tc>
          <w:tcPr>
            <w:tcW w:w="0" w:type="auto"/>
            <w:vAlign w:val="center"/>
            <w:hideMark/>
          </w:tcPr>
          <w:p w14:paraId="03015830"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Incorrect Diagnosis</w:t>
            </w:r>
          </w:p>
        </w:tc>
        <w:tc>
          <w:tcPr>
            <w:tcW w:w="0" w:type="auto"/>
            <w:vAlign w:val="center"/>
            <w:hideMark/>
          </w:tcPr>
          <w:p w14:paraId="65A0D97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Misidentifying viral infections as bacterial</w:t>
            </w:r>
          </w:p>
        </w:tc>
        <w:tc>
          <w:tcPr>
            <w:tcW w:w="0" w:type="auto"/>
            <w:vAlign w:val="center"/>
            <w:hideMark/>
          </w:tcPr>
          <w:p w14:paraId="66C394A1"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Unnecessary antibiotic exposure</w:t>
            </w:r>
          </w:p>
        </w:tc>
        <w:tc>
          <w:tcPr>
            <w:tcW w:w="0" w:type="auto"/>
            <w:vAlign w:val="center"/>
            <w:hideMark/>
          </w:tcPr>
          <w:p w14:paraId="7829D2A1"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Treating viral sore throat without testing for Streptococcal pharyngitis</w:t>
            </w:r>
          </w:p>
        </w:tc>
        <w:tc>
          <w:tcPr>
            <w:tcW w:w="0" w:type="auto"/>
            <w:vAlign w:val="center"/>
            <w:hideMark/>
          </w:tcPr>
          <w:p w14:paraId="77826B23"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Use of rapid diagnostic tests; clinical scoring systems</w:t>
            </w:r>
          </w:p>
        </w:tc>
      </w:tr>
      <w:tr w:rsidR="00A002AE" w:rsidRPr="004F5A8B" w14:paraId="1DE89D9A" w14:textId="77777777" w:rsidTr="00411341">
        <w:trPr>
          <w:tblCellSpacing w:w="15" w:type="dxa"/>
        </w:trPr>
        <w:tc>
          <w:tcPr>
            <w:tcW w:w="0" w:type="auto"/>
            <w:vAlign w:val="center"/>
            <w:hideMark/>
          </w:tcPr>
          <w:p w14:paraId="18B75A24"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Broad-Spectrum Overuse</w:t>
            </w:r>
          </w:p>
        </w:tc>
        <w:tc>
          <w:tcPr>
            <w:tcW w:w="0" w:type="auto"/>
            <w:vAlign w:val="center"/>
            <w:hideMark/>
          </w:tcPr>
          <w:p w14:paraId="4D09C409"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 xml:space="preserve">Using broad-spectrum </w:t>
            </w:r>
            <w:r w:rsidRPr="004F5A8B">
              <w:rPr>
                <w:rFonts w:ascii="Times New Roman" w:eastAsia="Times New Roman" w:hAnsi="Times New Roman" w:cs="Times New Roman"/>
                <w:sz w:val="24"/>
                <w:szCs w:val="24"/>
                <w:lang w:eastAsia="en-IN"/>
              </w:rPr>
              <w:lastRenderedPageBreak/>
              <w:t>antibiotics instead of narrow-spectrum</w:t>
            </w:r>
          </w:p>
        </w:tc>
        <w:tc>
          <w:tcPr>
            <w:tcW w:w="0" w:type="auto"/>
            <w:vAlign w:val="center"/>
            <w:hideMark/>
          </w:tcPr>
          <w:p w14:paraId="0AB26683"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lastRenderedPageBreak/>
              <w:t xml:space="preserve">Promotes multi-drug </w:t>
            </w:r>
            <w:r w:rsidRPr="004F5A8B">
              <w:rPr>
                <w:rFonts w:ascii="Times New Roman" w:eastAsia="Times New Roman" w:hAnsi="Times New Roman" w:cs="Times New Roman"/>
                <w:sz w:val="24"/>
                <w:szCs w:val="24"/>
                <w:lang w:eastAsia="en-IN"/>
              </w:rPr>
              <w:lastRenderedPageBreak/>
              <w:t>resistant organisms</w:t>
            </w:r>
          </w:p>
        </w:tc>
        <w:tc>
          <w:tcPr>
            <w:tcW w:w="0" w:type="auto"/>
            <w:vAlign w:val="center"/>
            <w:hideMark/>
          </w:tcPr>
          <w:p w14:paraId="79136FE0"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lastRenderedPageBreak/>
              <w:t xml:space="preserve">Using third-generation </w:t>
            </w:r>
            <w:r w:rsidRPr="004F5A8B">
              <w:rPr>
                <w:rFonts w:ascii="Times New Roman" w:eastAsia="Times New Roman" w:hAnsi="Times New Roman" w:cs="Times New Roman"/>
                <w:sz w:val="24"/>
                <w:szCs w:val="24"/>
                <w:lang w:eastAsia="en-IN"/>
              </w:rPr>
              <w:lastRenderedPageBreak/>
              <w:t>cephalosporin’s for mild infections</w:t>
            </w:r>
          </w:p>
        </w:tc>
        <w:tc>
          <w:tcPr>
            <w:tcW w:w="0" w:type="auto"/>
            <w:vAlign w:val="center"/>
            <w:hideMark/>
          </w:tcPr>
          <w:p w14:paraId="79B7DEBB"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lastRenderedPageBreak/>
              <w:t xml:space="preserve">Prefer narrow-spectrum agents </w:t>
            </w:r>
            <w:r w:rsidRPr="004F5A8B">
              <w:rPr>
                <w:rFonts w:ascii="Times New Roman" w:eastAsia="Times New Roman" w:hAnsi="Times New Roman" w:cs="Times New Roman"/>
                <w:sz w:val="24"/>
                <w:szCs w:val="24"/>
                <w:lang w:eastAsia="en-IN"/>
              </w:rPr>
              <w:lastRenderedPageBreak/>
              <w:t>whenever possible</w:t>
            </w:r>
          </w:p>
        </w:tc>
      </w:tr>
      <w:tr w:rsidR="00A002AE" w:rsidRPr="004F5A8B" w14:paraId="7843EC9A" w14:textId="77777777" w:rsidTr="00411341">
        <w:trPr>
          <w:tblCellSpacing w:w="15" w:type="dxa"/>
        </w:trPr>
        <w:tc>
          <w:tcPr>
            <w:tcW w:w="0" w:type="auto"/>
            <w:vAlign w:val="center"/>
            <w:hideMark/>
          </w:tcPr>
          <w:p w14:paraId="7FF2E58C"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lastRenderedPageBreak/>
              <w:t>Incorrect Dosage</w:t>
            </w:r>
          </w:p>
        </w:tc>
        <w:tc>
          <w:tcPr>
            <w:tcW w:w="0" w:type="auto"/>
            <w:vAlign w:val="center"/>
            <w:hideMark/>
          </w:tcPr>
          <w:p w14:paraId="245D2C70"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Under-dosing or overdosing antibiotics</w:t>
            </w:r>
          </w:p>
        </w:tc>
        <w:tc>
          <w:tcPr>
            <w:tcW w:w="0" w:type="auto"/>
            <w:vAlign w:val="center"/>
            <w:hideMark/>
          </w:tcPr>
          <w:p w14:paraId="257E92D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Sub therapeutic levels promote resistance</w:t>
            </w:r>
          </w:p>
        </w:tc>
        <w:tc>
          <w:tcPr>
            <w:tcW w:w="0" w:type="auto"/>
            <w:vAlign w:val="center"/>
            <w:hideMark/>
          </w:tcPr>
          <w:p w14:paraId="03D406E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Incorrect weight-based dosing in children</w:t>
            </w:r>
          </w:p>
        </w:tc>
        <w:tc>
          <w:tcPr>
            <w:tcW w:w="0" w:type="auto"/>
            <w:vAlign w:val="center"/>
            <w:hideMark/>
          </w:tcPr>
          <w:p w14:paraId="781928EC"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Accurate weight measurement; dosing calculators</w:t>
            </w:r>
          </w:p>
        </w:tc>
      </w:tr>
      <w:tr w:rsidR="00A002AE" w:rsidRPr="004F5A8B" w14:paraId="785BF594" w14:textId="77777777" w:rsidTr="00411341">
        <w:trPr>
          <w:tblCellSpacing w:w="15" w:type="dxa"/>
        </w:trPr>
        <w:tc>
          <w:tcPr>
            <w:tcW w:w="0" w:type="auto"/>
            <w:vAlign w:val="center"/>
            <w:hideMark/>
          </w:tcPr>
          <w:p w14:paraId="60D8CE59"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Incomplete Course</w:t>
            </w:r>
          </w:p>
        </w:tc>
        <w:tc>
          <w:tcPr>
            <w:tcW w:w="0" w:type="auto"/>
            <w:vAlign w:val="center"/>
            <w:hideMark/>
          </w:tcPr>
          <w:p w14:paraId="787116A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Stopping antibiotics prematurely</w:t>
            </w:r>
          </w:p>
        </w:tc>
        <w:tc>
          <w:tcPr>
            <w:tcW w:w="0" w:type="auto"/>
            <w:vAlign w:val="center"/>
            <w:hideMark/>
          </w:tcPr>
          <w:p w14:paraId="257EFB3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Surviving bacteria develop resistance</w:t>
            </w:r>
          </w:p>
        </w:tc>
        <w:tc>
          <w:tcPr>
            <w:tcW w:w="0" w:type="auto"/>
            <w:vAlign w:val="center"/>
            <w:hideMark/>
          </w:tcPr>
          <w:p w14:paraId="1377E18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Parents discontinuing medication once symptoms improve</w:t>
            </w:r>
          </w:p>
        </w:tc>
        <w:tc>
          <w:tcPr>
            <w:tcW w:w="0" w:type="auto"/>
            <w:vAlign w:val="center"/>
            <w:hideMark/>
          </w:tcPr>
          <w:p w14:paraId="791366CE"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Educating caregivers on completing full course</w:t>
            </w:r>
          </w:p>
        </w:tc>
      </w:tr>
      <w:tr w:rsidR="00A002AE" w:rsidRPr="004F5A8B" w14:paraId="5D284A4F" w14:textId="77777777" w:rsidTr="00411341">
        <w:trPr>
          <w:tblCellSpacing w:w="15" w:type="dxa"/>
        </w:trPr>
        <w:tc>
          <w:tcPr>
            <w:tcW w:w="0" w:type="auto"/>
            <w:vAlign w:val="center"/>
            <w:hideMark/>
          </w:tcPr>
          <w:p w14:paraId="7AE91BA2"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Self-Medication</w:t>
            </w:r>
          </w:p>
        </w:tc>
        <w:tc>
          <w:tcPr>
            <w:tcW w:w="0" w:type="auto"/>
            <w:vAlign w:val="center"/>
            <w:hideMark/>
          </w:tcPr>
          <w:p w14:paraId="5BD6133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Use without prescription or medical supervision</w:t>
            </w:r>
          </w:p>
        </w:tc>
        <w:tc>
          <w:tcPr>
            <w:tcW w:w="0" w:type="auto"/>
            <w:vAlign w:val="center"/>
            <w:hideMark/>
          </w:tcPr>
          <w:p w14:paraId="3EABADBF"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Unregulated use increases resistance</w:t>
            </w:r>
          </w:p>
        </w:tc>
        <w:tc>
          <w:tcPr>
            <w:tcW w:w="0" w:type="auto"/>
            <w:vAlign w:val="center"/>
            <w:hideMark/>
          </w:tcPr>
          <w:p w14:paraId="5B355BE4"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Over-the-counter antibiotic purchase in some regions</w:t>
            </w:r>
          </w:p>
        </w:tc>
        <w:tc>
          <w:tcPr>
            <w:tcW w:w="0" w:type="auto"/>
            <w:vAlign w:val="center"/>
            <w:hideMark/>
          </w:tcPr>
          <w:p w14:paraId="29131C10"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Policy enforcement; public awareness campaigns</w:t>
            </w:r>
          </w:p>
        </w:tc>
      </w:tr>
      <w:tr w:rsidR="00A002AE" w:rsidRPr="004F5A8B" w14:paraId="2AEE36D3" w14:textId="77777777" w:rsidTr="00411341">
        <w:trPr>
          <w:tblCellSpacing w:w="15" w:type="dxa"/>
        </w:trPr>
        <w:tc>
          <w:tcPr>
            <w:tcW w:w="0" w:type="auto"/>
            <w:vAlign w:val="center"/>
            <w:hideMark/>
          </w:tcPr>
          <w:p w14:paraId="6DB790E3"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Use for Non-Bacterial Conditions</w:t>
            </w:r>
          </w:p>
        </w:tc>
        <w:tc>
          <w:tcPr>
            <w:tcW w:w="0" w:type="auto"/>
            <w:vAlign w:val="center"/>
            <w:hideMark/>
          </w:tcPr>
          <w:p w14:paraId="363E4CA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 xml:space="preserve">Antibiotics used for conditions like allergies or viral </w:t>
            </w:r>
            <w:proofErr w:type="spellStart"/>
            <w:r w:rsidRPr="004F5A8B">
              <w:rPr>
                <w:rFonts w:ascii="Times New Roman" w:eastAsia="Times New Roman" w:hAnsi="Times New Roman" w:cs="Times New Roman"/>
                <w:sz w:val="24"/>
                <w:szCs w:val="24"/>
                <w:lang w:eastAsia="en-IN"/>
              </w:rPr>
              <w:t>diarrhea</w:t>
            </w:r>
            <w:proofErr w:type="spellEnd"/>
          </w:p>
        </w:tc>
        <w:tc>
          <w:tcPr>
            <w:tcW w:w="0" w:type="auto"/>
            <w:vAlign w:val="center"/>
            <w:hideMark/>
          </w:tcPr>
          <w:p w14:paraId="0F0F63A2"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No benefit but increases resistance pressure</w:t>
            </w:r>
          </w:p>
        </w:tc>
        <w:tc>
          <w:tcPr>
            <w:tcW w:w="0" w:type="auto"/>
            <w:vAlign w:val="center"/>
            <w:hideMark/>
          </w:tcPr>
          <w:p w14:paraId="5C6E03D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Prescribing antibiotics for viral gastroenteritis</w:t>
            </w:r>
          </w:p>
        </w:tc>
        <w:tc>
          <w:tcPr>
            <w:tcW w:w="0" w:type="auto"/>
            <w:vAlign w:val="center"/>
            <w:hideMark/>
          </w:tcPr>
          <w:p w14:paraId="0395F53F"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Clear differentiation of bacterial vs viral illness</w:t>
            </w:r>
          </w:p>
        </w:tc>
      </w:tr>
      <w:tr w:rsidR="00A002AE" w:rsidRPr="004F5A8B" w14:paraId="54EA8C35" w14:textId="77777777" w:rsidTr="00411341">
        <w:trPr>
          <w:tblCellSpacing w:w="15" w:type="dxa"/>
        </w:trPr>
        <w:tc>
          <w:tcPr>
            <w:tcW w:w="0" w:type="auto"/>
            <w:vAlign w:val="center"/>
            <w:hideMark/>
          </w:tcPr>
          <w:p w14:paraId="0FB9F454"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Poor Infection Control</w:t>
            </w:r>
          </w:p>
        </w:tc>
        <w:tc>
          <w:tcPr>
            <w:tcW w:w="0" w:type="auto"/>
            <w:vAlign w:val="center"/>
            <w:hideMark/>
          </w:tcPr>
          <w:p w14:paraId="6BDEEC6A"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Inadequate hygiene and infection prevention</w:t>
            </w:r>
          </w:p>
        </w:tc>
        <w:tc>
          <w:tcPr>
            <w:tcW w:w="0" w:type="auto"/>
            <w:vAlign w:val="center"/>
            <w:hideMark/>
          </w:tcPr>
          <w:p w14:paraId="62209DA9"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Facilitates spread of resistant organisms</w:t>
            </w:r>
          </w:p>
        </w:tc>
        <w:tc>
          <w:tcPr>
            <w:tcW w:w="0" w:type="auto"/>
            <w:vAlign w:val="center"/>
            <w:hideMark/>
          </w:tcPr>
          <w:p w14:paraId="184D3FAD"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Hospital-acquired infections in paediatric wards</w:t>
            </w:r>
          </w:p>
        </w:tc>
        <w:tc>
          <w:tcPr>
            <w:tcW w:w="0" w:type="auto"/>
            <w:vAlign w:val="center"/>
            <w:hideMark/>
          </w:tcPr>
          <w:p w14:paraId="66909D2C"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Hand hygiene, vaccination, sanitation</w:t>
            </w:r>
          </w:p>
        </w:tc>
      </w:tr>
      <w:tr w:rsidR="00A002AE" w:rsidRPr="004F5A8B" w14:paraId="78F19AAF" w14:textId="77777777" w:rsidTr="00411341">
        <w:trPr>
          <w:tblCellSpacing w:w="15" w:type="dxa"/>
        </w:trPr>
        <w:tc>
          <w:tcPr>
            <w:tcW w:w="0" w:type="auto"/>
            <w:vAlign w:val="center"/>
            <w:hideMark/>
          </w:tcPr>
          <w:p w14:paraId="4511A452"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Agricultural/Environmental Exposure</w:t>
            </w:r>
          </w:p>
        </w:tc>
        <w:tc>
          <w:tcPr>
            <w:tcW w:w="0" w:type="auto"/>
            <w:vAlign w:val="center"/>
            <w:hideMark/>
          </w:tcPr>
          <w:p w14:paraId="50D9BA2D"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Antibiotic exposure via food or environment</w:t>
            </w:r>
          </w:p>
        </w:tc>
        <w:tc>
          <w:tcPr>
            <w:tcW w:w="0" w:type="auto"/>
            <w:vAlign w:val="center"/>
            <w:hideMark/>
          </w:tcPr>
          <w:p w14:paraId="4BC828C3"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Contributes to resistance reservoir</w:t>
            </w:r>
          </w:p>
        </w:tc>
        <w:tc>
          <w:tcPr>
            <w:tcW w:w="0" w:type="auto"/>
            <w:vAlign w:val="center"/>
            <w:hideMark/>
          </w:tcPr>
          <w:p w14:paraId="58D0A791"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Consumption of contaminated food products</w:t>
            </w:r>
          </w:p>
        </w:tc>
        <w:tc>
          <w:tcPr>
            <w:tcW w:w="0" w:type="auto"/>
            <w:vAlign w:val="center"/>
            <w:hideMark/>
          </w:tcPr>
          <w:p w14:paraId="57B940A3"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Regulation of antibiotic use in livestock</w:t>
            </w:r>
          </w:p>
        </w:tc>
      </w:tr>
      <w:tr w:rsidR="00A002AE" w:rsidRPr="004F5A8B" w14:paraId="0619B962" w14:textId="77777777" w:rsidTr="00411341">
        <w:trPr>
          <w:tblCellSpacing w:w="15" w:type="dxa"/>
        </w:trPr>
        <w:tc>
          <w:tcPr>
            <w:tcW w:w="0" w:type="auto"/>
            <w:vAlign w:val="center"/>
            <w:hideMark/>
          </w:tcPr>
          <w:p w14:paraId="67C813DF"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Lack of Vaccination</w:t>
            </w:r>
          </w:p>
        </w:tc>
        <w:tc>
          <w:tcPr>
            <w:tcW w:w="0" w:type="auto"/>
            <w:vAlign w:val="center"/>
            <w:hideMark/>
          </w:tcPr>
          <w:p w14:paraId="01AF4C39"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Increased infections lead to higher antibiotic use</w:t>
            </w:r>
          </w:p>
        </w:tc>
        <w:tc>
          <w:tcPr>
            <w:tcW w:w="0" w:type="auto"/>
            <w:vAlign w:val="center"/>
            <w:hideMark/>
          </w:tcPr>
          <w:p w14:paraId="3D0BE400"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More exposure → higher resistance</w:t>
            </w:r>
          </w:p>
        </w:tc>
        <w:tc>
          <w:tcPr>
            <w:tcW w:w="0" w:type="auto"/>
            <w:vAlign w:val="center"/>
            <w:hideMark/>
          </w:tcPr>
          <w:p w14:paraId="0C369DCF"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Low uptake of vaccines like Pneumococcal vaccine</w:t>
            </w:r>
          </w:p>
        </w:tc>
        <w:tc>
          <w:tcPr>
            <w:tcW w:w="0" w:type="auto"/>
            <w:vAlign w:val="center"/>
            <w:hideMark/>
          </w:tcPr>
          <w:p w14:paraId="2650D57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Strengthening immunization programs</w:t>
            </w:r>
          </w:p>
        </w:tc>
      </w:tr>
      <w:tr w:rsidR="00A002AE" w:rsidRPr="004F5A8B" w14:paraId="5DFED5AE" w14:textId="77777777" w:rsidTr="00411341">
        <w:trPr>
          <w:tblCellSpacing w:w="15" w:type="dxa"/>
        </w:trPr>
        <w:tc>
          <w:tcPr>
            <w:tcW w:w="0" w:type="auto"/>
            <w:vAlign w:val="center"/>
            <w:hideMark/>
          </w:tcPr>
          <w:p w14:paraId="23E989D8"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Empirical Therapy Without Review</w:t>
            </w:r>
          </w:p>
        </w:tc>
        <w:tc>
          <w:tcPr>
            <w:tcW w:w="0" w:type="auto"/>
            <w:vAlign w:val="center"/>
            <w:hideMark/>
          </w:tcPr>
          <w:p w14:paraId="5159E182"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Continuing antibiotics without reassessment</w:t>
            </w:r>
          </w:p>
        </w:tc>
        <w:tc>
          <w:tcPr>
            <w:tcW w:w="0" w:type="auto"/>
            <w:vAlign w:val="center"/>
            <w:hideMark/>
          </w:tcPr>
          <w:p w14:paraId="002D215B"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Unnecessary prolonged exposure</w:t>
            </w:r>
          </w:p>
        </w:tc>
        <w:tc>
          <w:tcPr>
            <w:tcW w:w="0" w:type="auto"/>
            <w:vAlign w:val="center"/>
            <w:hideMark/>
          </w:tcPr>
          <w:p w14:paraId="5E654D7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Not de-escalating after lab results</w:t>
            </w:r>
          </w:p>
        </w:tc>
        <w:tc>
          <w:tcPr>
            <w:tcW w:w="0" w:type="auto"/>
            <w:vAlign w:val="center"/>
            <w:hideMark/>
          </w:tcPr>
          <w:p w14:paraId="6F59AAEA"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Regular review and de-escalation protocols</w:t>
            </w:r>
          </w:p>
        </w:tc>
      </w:tr>
      <w:tr w:rsidR="00A002AE" w:rsidRPr="004F5A8B" w14:paraId="060C4D9F" w14:textId="77777777" w:rsidTr="00411341">
        <w:trPr>
          <w:tblCellSpacing w:w="15" w:type="dxa"/>
        </w:trPr>
        <w:tc>
          <w:tcPr>
            <w:tcW w:w="0" w:type="auto"/>
            <w:vAlign w:val="center"/>
            <w:hideMark/>
          </w:tcPr>
          <w:p w14:paraId="14586C06"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Parental Pressure</w:t>
            </w:r>
          </w:p>
        </w:tc>
        <w:tc>
          <w:tcPr>
            <w:tcW w:w="0" w:type="auto"/>
            <w:vAlign w:val="center"/>
            <w:hideMark/>
          </w:tcPr>
          <w:p w14:paraId="1F34E6AB"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Caregivers demanding antibiotics</w:t>
            </w:r>
          </w:p>
        </w:tc>
        <w:tc>
          <w:tcPr>
            <w:tcW w:w="0" w:type="auto"/>
            <w:vAlign w:val="center"/>
            <w:hideMark/>
          </w:tcPr>
          <w:p w14:paraId="4B81E259"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Leads to unnecessary prescriptions</w:t>
            </w:r>
          </w:p>
        </w:tc>
        <w:tc>
          <w:tcPr>
            <w:tcW w:w="0" w:type="auto"/>
            <w:vAlign w:val="center"/>
            <w:hideMark/>
          </w:tcPr>
          <w:p w14:paraId="50D53AF6"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Expectation for antibiotics in mild illness</w:t>
            </w:r>
          </w:p>
        </w:tc>
        <w:tc>
          <w:tcPr>
            <w:tcW w:w="0" w:type="auto"/>
            <w:vAlign w:val="center"/>
            <w:hideMark/>
          </w:tcPr>
          <w:p w14:paraId="1F43C5E9"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Communication and counselling</w:t>
            </w:r>
          </w:p>
        </w:tc>
      </w:tr>
    </w:tbl>
    <w:p w14:paraId="210A754D" w14:textId="77777777" w:rsidR="00A002AE" w:rsidRPr="004F5A8B" w:rsidRDefault="00A002AE" w:rsidP="00A002AE">
      <w:pPr>
        <w:spacing w:after="0" w:line="240" w:lineRule="auto"/>
        <w:rPr>
          <w:rFonts w:ascii="Times New Roman" w:eastAsia="Times New Roman" w:hAnsi="Times New Roman" w:cs="Times New Roman"/>
          <w:sz w:val="24"/>
          <w:szCs w:val="24"/>
          <w:lang w:eastAsia="en-IN"/>
        </w:rPr>
      </w:pPr>
    </w:p>
    <w:p w14:paraId="2942C8B7" w14:textId="77777777" w:rsidR="003C1485" w:rsidRPr="003C1485" w:rsidRDefault="0097644E" w:rsidP="003C1485">
      <w:pPr>
        <w:rPr>
          <w:b/>
          <w:sz w:val="28"/>
          <w:szCs w:val="28"/>
          <w:lang w:eastAsia="en-IN"/>
        </w:rPr>
      </w:pPr>
      <w:r w:rsidRPr="00F419CC">
        <w:lastRenderedPageBreak/>
        <w:br/>
      </w:r>
      <w:r w:rsidR="00322252">
        <w:rPr>
          <w:b/>
          <w:sz w:val="28"/>
          <w:szCs w:val="28"/>
          <w:lang w:eastAsia="en-IN"/>
        </w:rPr>
        <w:t xml:space="preserve">II </w:t>
      </w:r>
      <w:r w:rsidR="003C1485" w:rsidRPr="003C1485">
        <w:rPr>
          <w:b/>
          <w:sz w:val="28"/>
          <w:szCs w:val="28"/>
          <w:lang w:eastAsia="en-IN"/>
        </w:rPr>
        <w:t>Background Concepts</w:t>
      </w:r>
    </w:p>
    <w:p w14:paraId="021AE1BC" w14:textId="77777777" w:rsidR="003C1485" w:rsidRPr="003C1485" w:rsidRDefault="003C1485" w:rsidP="003C1485">
      <w:pPr>
        <w:rPr>
          <w:sz w:val="24"/>
          <w:szCs w:val="24"/>
        </w:rPr>
      </w:pPr>
      <w:r w:rsidRPr="003C1485">
        <w:rPr>
          <w:rStyle w:val="Strong"/>
          <w:sz w:val="24"/>
          <w:szCs w:val="24"/>
        </w:rPr>
        <w:t>A. Antibiotics in Paediatric Medicine</w:t>
      </w:r>
    </w:p>
    <w:p w14:paraId="5C52A730" w14:textId="77777777" w:rsidR="00FC4FA2" w:rsidRPr="00B10371" w:rsidRDefault="00FC4FA2" w:rsidP="00FC4FA2">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Antibiotics are among the most frequently prescribed medications for children due to their susceptibility to illnesses. Pneumonia, bronchitis, and streptococcal pharyngitis are prevalent respiratory tract illnesses. Acute otitis media is a prevalent ear infection, while urinary tract infections (UTIs) are frequent occurrences in the urinary system. Antibiotics are essential and can be lifesaving in numerous instances, such as bacterial pneumonia and urinary tract infections. A significant proportion of </w:t>
      </w:r>
      <w:r w:rsidR="004708DC"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infections, particularly upper respiratory tract infections like the common cold, are viral, making antibiotic treatment ineffective. Nonetheless, antibiotics continue to be routinely administered, leading to unwarranted exposure and an elevated risk of antimicrobial resistance (AMR), despite the fact that many of these infections do not require such treatment and could be managed with supportive care instead</w:t>
      </w:r>
      <w:r w:rsidR="00B10371">
        <w:rPr>
          <w:rFonts w:ascii="Times New Roman" w:eastAsia="Times New Roman" w:hAnsi="Times New Roman" w:cs="Times New Roman"/>
          <w:sz w:val="24"/>
          <w:szCs w:val="24"/>
          <w:lang w:eastAsia="en-IN"/>
        </w:rPr>
        <w:t>,</w:t>
      </w:r>
      <w:r w:rsidR="00B10371" w:rsidRPr="00B10371">
        <w:rPr>
          <w:rFonts w:ascii="Arial" w:hAnsi="Arial" w:cs="Arial"/>
          <w:color w:val="222222"/>
          <w:sz w:val="20"/>
          <w:szCs w:val="20"/>
          <w:shd w:val="clear" w:color="auto" w:fill="FFFFFF"/>
        </w:rPr>
        <w:t xml:space="preserve"> </w:t>
      </w:r>
      <w:r w:rsidR="00B10371" w:rsidRPr="00B10371">
        <w:rPr>
          <w:rFonts w:ascii="Arial" w:hAnsi="Arial" w:cs="Arial"/>
          <w:b/>
          <w:color w:val="222222"/>
          <w:sz w:val="20"/>
          <w:szCs w:val="20"/>
          <w:shd w:val="clear" w:color="auto" w:fill="FFFFFF"/>
        </w:rPr>
        <w:t>You, Z., et. al. (2026)</w:t>
      </w:r>
      <w:r w:rsidRPr="00F419CC">
        <w:rPr>
          <w:rFonts w:ascii="Times New Roman" w:eastAsia="Times New Roman" w:hAnsi="Times New Roman" w:cs="Times New Roman"/>
          <w:sz w:val="24"/>
          <w:szCs w:val="24"/>
          <w:lang w:eastAsia="en-IN"/>
        </w:rPr>
        <w:t xml:space="preserve">. A crucial aspect of antibiotic therapy in juveniles is the disparity in pharmacokinetics compared to adults. Pharmacokinetics is the examination of the body's absorption, distribution, metabolism, and excretion of a drug. These processes change significantly in children due to their ongoing physiological development. For example, neonates possess underdeveloped hepatic enzyme systems and renal function, which may impede the metabolism and elimination of pharmaceuticals. This indicates they require reduced dosages or less frequent administration. Conversely, older infants and young children may metabolize certain drugs more rapidly than adults, necessitating greater dosages relative to their weight to achieve therapeutic levels. Body composition in children differs, with infants possessing a higher percentage of total body water, affecting the dispersion of water-soluble antibiotics. The binding affinity of proteins and the permeability of the blood-brain barrier may alter, influencing both efficacy and potential toxicity, resulting in differential responses to drugs in children versus adults. Due to these characteristics, physicians typically determine the appropriate antibiotic dosage for a child based on their weight (mg/kg) or body surface area rather than a fixed amount. The quantity must be meticulously adjusted according to the child's age, developmental stage, and health status. Understanding these characteristics is key to achieving optimal treatment outcomes while minimizing adverse effects and the possibility of resistance. Prudent antibiotic use in </w:t>
      </w:r>
      <w:r w:rsidR="004708DC"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medicine requires accurate diagnosis and careful assessment of age-related pharmacological factors</w:t>
      </w:r>
      <w:r w:rsidR="00B10371">
        <w:rPr>
          <w:rFonts w:ascii="Times New Roman" w:eastAsia="Times New Roman" w:hAnsi="Times New Roman" w:cs="Times New Roman"/>
          <w:sz w:val="24"/>
          <w:szCs w:val="24"/>
          <w:lang w:eastAsia="en-IN"/>
        </w:rPr>
        <w:t>,</w:t>
      </w:r>
      <w:r w:rsidR="00B10371" w:rsidRPr="00B10371">
        <w:rPr>
          <w:rFonts w:ascii="Arial" w:hAnsi="Arial" w:cs="Arial"/>
          <w:color w:val="222222"/>
          <w:sz w:val="20"/>
          <w:szCs w:val="20"/>
          <w:shd w:val="clear" w:color="auto" w:fill="FFFFFF"/>
        </w:rPr>
        <w:t xml:space="preserve"> </w:t>
      </w:r>
      <w:r w:rsidR="00B10371" w:rsidRPr="00B10371">
        <w:rPr>
          <w:rFonts w:ascii="Arial" w:hAnsi="Arial" w:cs="Arial"/>
          <w:b/>
          <w:color w:val="222222"/>
          <w:sz w:val="20"/>
          <w:szCs w:val="20"/>
          <w:shd w:val="clear" w:color="auto" w:fill="FFFFFF"/>
        </w:rPr>
        <w:t>Mohammed, Z. A. et. al. (2026)</w:t>
      </w:r>
      <w:r w:rsidR="009F2BE2" w:rsidRPr="00B10371">
        <w:rPr>
          <w:rFonts w:ascii="Times New Roman" w:eastAsia="Times New Roman" w:hAnsi="Times New Roman" w:cs="Times New Roman"/>
          <w:b/>
          <w:sz w:val="24"/>
          <w:szCs w:val="24"/>
          <w:lang w:eastAsia="en-IN"/>
        </w:rPr>
        <w:t>.</w:t>
      </w:r>
    </w:p>
    <w:p w14:paraId="69E4B7A0" w14:textId="77777777" w:rsidR="00326F35" w:rsidRPr="00326F35" w:rsidRDefault="00326F35" w:rsidP="00326F35">
      <w:pPr>
        <w:spacing w:before="100" w:beforeAutospacing="1" w:after="100" w:afterAutospacing="1" w:line="240" w:lineRule="auto"/>
        <w:rPr>
          <w:rFonts w:ascii="Times New Roman" w:eastAsia="Times New Roman" w:hAnsi="Times New Roman" w:cs="Times New Roman"/>
          <w:sz w:val="24"/>
          <w:szCs w:val="24"/>
          <w:lang w:eastAsia="en-IN"/>
        </w:rPr>
      </w:pPr>
      <w:r w:rsidRPr="00326F35">
        <w:rPr>
          <w:rFonts w:ascii="Times New Roman" w:eastAsia="Times New Roman" w:hAnsi="Times New Roman" w:cs="Times New Roman"/>
          <w:noProof/>
          <w:sz w:val="24"/>
          <w:szCs w:val="24"/>
          <w:lang w:eastAsia="en-IN"/>
        </w:rPr>
        <w:lastRenderedPageBreak/>
        <w:drawing>
          <wp:inline distT="0" distB="0" distL="0" distR="0" wp14:anchorId="574E64AD" wp14:editId="75792878">
            <wp:extent cx="5576570" cy="4251960"/>
            <wp:effectExtent l="0" t="0" r="5080" b="0"/>
            <wp:docPr id="1" name="Picture 1" descr="C:\Users\acer\Downloads\Untitl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Untitled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1509" cy="4270975"/>
                    </a:xfrm>
                    <a:prstGeom prst="rect">
                      <a:avLst/>
                    </a:prstGeom>
                    <a:noFill/>
                    <a:ln>
                      <a:noFill/>
                    </a:ln>
                  </pic:spPr>
                </pic:pic>
              </a:graphicData>
            </a:graphic>
          </wp:inline>
        </w:drawing>
      </w:r>
    </w:p>
    <w:p w14:paraId="06656825" w14:textId="77777777" w:rsidR="00326F35" w:rsidRPr="00AE1148" w:rsidRDefault="00326F35" w:rsidP="00FC4FA2">
      <w:pPr>
        <w:spacing w:before="100" w:beforeAutospacing="1" w:after="100" w:afterAutospacing="1"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Fig:01 Intrinsic Mechanisms of Antibiotic Resistance in Bacteria</w:t>
      </w:r>
    </w:p>
    <w:p w14:paraId="7B58FFF2" w14:textId="77777777" w:rsidR="007E7341" w:rsidRPr="00F419CC" w:rsidRDefault="0097644E" w:rsidP="007E7341">
      <w:pPr>
        <w:pStyle w:val="NormalWeb"/>
      </w:pPr>
      <w:r w:rsidRPr="00F419CC">
        <w:rPr>
          <w:b/>
        </w:rPr>
        <w:t>B. Comprehending Antimicrobial Resistance</w:t>
      </w:r>
      <w:r w:rsidRPr="00F419CC">
        <w:rPr>
          <w:b/>
        </w:rPr>
        <w:br/>
      </w:r>
    </w:p>
    <w:p w14:paraId="205FE313" w14:textId="77777777" w:rsidR="007E7341" w:rsidRPr="00076B06" w:rsidRDefault="007E7341" w:rsidP="007E7341">
      <w:pPr>
        <w:pStyle w:val="NormalWeb"/>
        <w:jc w:val="both"/>
        <w:rPr>
          <w:b/>
        </w:rPr>
      </w:pPr>
      <w:r w:rsidRPr="00F419CC">
        <w:t xml:space="preserve">Antimicrobial resistance (AMR) occurs when microorganisms, particularly bacteria, may endure and proliferate despite exposure to drugs that would typically eradicate them or inhibit their growth. Genetic modifications, either spontaneous or derived from other bacteria, propel this occurrence. Bacteria mostly develop resistance to antibiotics via mutations, which occur when random alterations in their DNA influence the drug targets or the metabolic pathways utilized for nutrient degradation. Horizontal gene transfer represents a significant mechanism by which bacteria exchange genetic material. This can occur by conjugation (direct contact), transformation (uptake of free DNA), or transduction (utilization of bacteriophages). These pathways enable the rapid dissemination of resistance traits within and between bacterial species. Several resistant illnesses are particularly significant in </w:t>
      </w:r>
      <w:r w:rsidR="006E47FC" w:rsidRPr="00F419CC">
        <w:t>paediatric</w:t>
      </w:r>
      <w:r w:rsidRPr="00F419CC">
        <w:t xml:space="preserve"> populations. Streptococcus pneumoniae is a predominant etiological agent of pneumonia, meningitis, and otitis media in </w:t>
      </w:r>
      <w:r w:rsidR="009F2BE2" w:rsidRPr="00F419CC">
        <w:t>paediatric</w:t>
      </w:r>
      <w:r w:rsidRPr="00F419CC">
        <w:t xml:space="preserve"> populations and has developed resistance to commonly utilized antibiotics, such as penicillin and macrolides. Escherichia coli, a prevalent etiological agent of urinary tract infections, is increasingly developing resistance to therapeutic alternatives due to the production of extended-spectrum beta-lactamase (ESBL). Other significant species include resistant strains of Haemophilus influenzae and Staphylococcus aureus, which complicate the treatment of infections in youngsters</w:t>
      </w:r>
      <w:r w:rsidR="00B10371">
        <w:t>,</w:t>
      </w:r>
      <w:r w:rsidR="00B10371" w:rsidRPr="00B10371">
        <w:rPr>
          <w:rFonts w:ascii="Arial" w:hAnsi="Arial" w:cs="Arial"/>
          <w:color w:val="222222"/>
          <w:sz w:val="20"/>
          <w:szCs w:val="20"/>
          <w:shd w:val="clear" w:color="auto" w:fill="FFFFFF"/>
        </w:rPr>
        <w:t xml:space="preserve"> </w:t>
      </w:r>
      <w:r w:rsidR="00B10371" w:rsidRPr="00B10371">
        <w:rPr>
          <w:rFonts w:ascii="Arial" w:hAnsi="Arial" w:cs="Arial"/>
          <w:b/>
          <w:color w:val="222222"/>
          <w:sz w:val="20"/>
          <w:szCs w:val="20"/>
          <w:shd w:val="clear" w:color="auto" w:fill="FFFFFF"/>
        </w:rPr>
        <w:t>Martín-Ayala, G., Alfayate-Miguélez, et. al. (2026)</w:t>
      </w:r>
      <w:r w:rsidRPr="00B10371">
        <w:rPr>
          <w:b/>
        </w:rPr>
        <w:t>.</w:t>
      </w:r>
      <w:r w:rsidRPr="00F419CC">
        <w:t xml:space="preserve"> Comprehending the differentiation among resistance, tolerance, and tenacity is essential, as these concepts denote unique survival strategies. Resistance involves heritable genetic alterations that allow bacteria to thrive in the presence of antibiotics. Tolerance refers to the </w:t>
      </w:r>
      <w:r w:rsidRPr="00F419CC">
        <w:lastRenderedPageBreak/>
        <w:t xml:space="preserve">ability of bacteria to endure brief exposures to antibiotics without necessarily undergoing development. Tolerant bacteria are not resistant; yet, they can endure treatment for extended durations. Persistence occurs when a small population of bacteria enters a dormant state, rendering them temporarily resistant to antibiotics that target active biological processes. In contrast to resistant bacteria, </w:t>
      </w:r>
      <w:proofErr w:type="spellStart"/>
      <w:r w:rsidRPr="00F419CC">
        <w:t>persisters</w:t>
      </w:r>
      <w:proofErr w:type="spellEnd"/>
      <w:r w:rsidRPr="00F419CC">
        <w:t xml:space="preserve"> can revert to susceptibility if the antibiotic pressure is alleviated. Such microorganisms could precipitate the resurgence of disorders. A robust comprehension of these concepts is essential for devising effective treatment strategies and combating the escalating issue of antibiotic resistance in </w:t>
      </w:r>
      <w:r w:rsidR="00AE1148" w:rsidRPr="00F419CC">
        <w:t>paediatric</w:t>
      </w:r>
      <w:r w:rsidRPr="00F419CC">
        <w:t xml:space="preserve"> healthcare</w:t>
      </w:r>
      <w:r w:rsidR="00B10371">
        <w:t xml:space="preserve">, </w:t>
      </w:r>
      <w:r w:rsidR="00B10371" w:rsidRPr="00076B06">
        <w:rPr>
          <w:rFonts w:ascii="Arial" w:hAnsi="Arial" w:cs="Arial"/>
          <w:b/>
          <w:color w:val="222222"/>
          <w:sz w:val="20"/>
          <w:szCs w:val="20"/>
          <w:shd w:val="clear" w:color="auto" w:fill="FFFFFF"/>
        </w:rPr>
        <w:t>Kumar, A., et. al. (2025</w:t>
      </w:r>
      <w:r w:rsidR="00076B06">
        <w:rPr>
          <w:rFonts w:ascii="Arial" w:hAnsi="Arial" w:cs="Arial"/>
          <w:b/>
          <w:color w:val="222222"/>
          <w:sz w:val="20"/>
          <w:szCs w:val="20"/>
          <w:shd w:val="clear" w:color="auto" w:fill="FFFFFF"/>
        </w:rPr>
        <w:t>)</w:t>
      </w:r>
      <w:r w:rsidR="009F2BE2" w:rsidRPr="00076B06">
        <w:rPr>
          <w:b/>
        </w:rPr>
        <w:t>.</w:t>
      </w:r>
    </w:p>
    <w:p w14:paraId="199702A2" w14:textId="77777777" w:rsidR="006413A3" w:rsidRPr="00F419CC" w:rsidRDefault="0097644E" w:rsidP="006413A3">
      <w:pPr>
        <w:pStyle w:val="NormalWeb"/>
      </w:pPr>
      <w:r w:rsidRPr="00F419CC">
        <w:rPr>
          <w:b/>
        </w:rPr>
        <w:t>III. The extent of the issue</w:t>
      </w:r>
      <w:r w:rsidRPr="00F419CC">
        <w:br/>
      </w:r>
      <w:r w:rsidRPr="00F419CC">
        <w:rPr>
          <w:b/>
        </w:rPr>
        <w:t>A. The global and regional burden</w:t>
      </w:r>
      <w:r w:rsidRPr="00F419CC">
        <w:br/>
      </w:r>
    </w:p>
    <w:p w14:paraId="514CB334" w14:textId="77777777" w:rsidR="00D66351" w:rsidRPr="00E54385" w:rsidRDefault="00D66351" w:rsidP="006413A3">
      <w:pPr>
        <w:pStyle w:val="NormalWeb"/>
        <w:jc w:val="both"/>
        <w:rPr>
          <w:b/>
        </w:rPr>
      </w:pPr>
      <w:r w:rsidRPr="00F419CC">
        <w:t xml:space="preserve">Numerous locations administer antibiotics to youngsters excessively, with certain regions exhibiting more pronounced usage. Due to the prevalence of infectious diseases in young children, they represent one of the highest consumers of antibiotics globally. Research in low- and middle-income countries indicates that a considerable percentage of children receive medicines for common conditions, such as respiratory infections and </w:t>
      </w:r>
      <w:proofErr w:type="spellStart"/>
      <w:r w:rsidRPr="00F419CC">
        <w:t>diarrhea</w:t>
      </w:r>
      <w:proofErr w:type="spellEnd"/>
      <w:r w:rsidRPr="00F419CC">
        <w:t xml:space="preserve">, often without regard to whether the cause is bacterial or viral. In numerous regions, most </w:t>
      </w:r>
      <w:r w:rsidR="00AC43F5" w:rsidRPr="00F419CC">
        <w:t>paediatric</w:t>
      </w:r>
      <w:r w:rsidRPr="00F419CC">
        <w:t xml:space="preserve"> healthcare consultations for febrile or respiratory illnesses result in antibiotic prescriptions, highlighting patterns of overutilization and improper dosing. Over time, this significant degree of exposure accumulates. In specific regions, children may receive numerous rounds of antibiotics by the age of five, many of which are unnecessary. Frequent drug use not only increases the risk of acute adverse reactions but also creates significant pressure for resistant organisms to develop and spread at both the individual and community levels</w:t>
      </w:r>
      <w:r w:rsidR="00E54385">
        <w:t>,</w:t>
      </w:r>
      <w:r w:rsidR="00E54385" w:rsidRPr="00E54385">
        <w:rPr>
          <w:rFonts w:ascii="Arial" w:hAnsi="Arial" w:cs="Arial"/>
          <w:color w:val="222222"/>
          <w:sz w:val="20"/>
          <w:szCs w:val="20"/>
          <w:shd w:val="clear" w:color="auto" w:fill="FFFFFF"/>
        </w:rPr>
        <w:t xml:space="preserve"> </w:t>
      </w:r>
      <w:r w:rsidR="00E54385" w:rsidRPr="00E54385">
        <w:rPr>
          <w:rFonts w:ascii="Arial" w:hAnsi="Arial" w:cs="Arial"/>
          <w:b/>
          <w:color w:val="222222"/>
          <w:sz w:val="20"/>
          <w:szCs w:val="20"/>
          <w:shd w:val="clear" w:color="auto" w:fill="FFFFFF"/>
        </w:rPr>
        <w:t>Patra, M., Gupta, A. K., et. al. (2025)</w:t>
      </w:r>
      <w:r w:rsidRPr="00F419CC">
        <w:t>. The burden of antimicrobial resistance (AMR) is substantial and is escalating worldwide. Current estimates indicate that resistant bacterial infections result in around 4.95 million deaths annually, with over 1 million of these fatalities directly attributable to antimicrobial resistance (AMR). Moreover, estimates from the World Health Organization indicate that around 1 in 6 bacterial infections globally are now resistant to commonly utilized antibiotics. Resistance is increasing in several drug combinations that combat pathogens, complicating treatment options and heightening the likelihood of poor results, especially in vulnerable groups such as children. A significant portion of this cost is imposed on children. In 2022, almost 3 million children globally succumbed to diseases attributable to antibiotic resistance. Regions such as Southeast Asia and Africa exhibited the greatest mortality rates</w:t>
      </w:r>
      <w:r w:rsidR="00E54385">
        <w:t>,</w:t>
      </w:r>
      <w:r w:rsidR="00E54385" w:rsidRPr="00E54385">
        <w:rPr>
          <w:rFonts w:ascii="Arial" w:hAnsi="Arial" w:cs="Arial"/>
          <w:color w:val="222222"/>
          <w:sz w:val="20"/>
          <w:szCs w:val="20"/>
          <w:shd w:val="clear" w:color="auto" w:fill="FFFFFF"/>
        </w:rPr>
        <w:t xml:space="preserve"> </w:t>
      </w:r>
      <w:r w:rsidR="00E54385" w:rsidRPr="00E54385">
        <w:rPr>
          <w:rFonts w:ascii="Arial" w:hAnsi="Arial" w:cs="Arial"/>
          <w:b/>
          <w:color w:val="222222"/>
          <w:sz w:val="20"/>
          <w:szCs w:val="20"/>
          <w:shd w:val="clear" w:color="auto" w:fill="FFFFFF"/>
        </w:rPr>
        <w:t>Thakur, A., Sharma, et.al. (2026)</w:t>
      </w:r>
      <w:r w:rsidRPr="00F419CC">
        <w:t>. The data illustrates the heightened vulnerability of children, particularly in regions with limited resources and restricted access to appropriate testing, effective antibiotics, and supportive care. Antimicrobial resistance (AMR) impacts all regions, with the most severe effects observed in low- and middle-income countries. In certain regions of South and Southeast Asia and the Eastern Mediterranean, resistance rates may reach one-third of all illnesses. The issue is exacerbated in these regions by inadequate healthcare infrastructures, the availability of antibiotics without a prescription, and the scarcity of initiatives promoting ethical antibiotic use. The global and regional burden of antibiotic consumption and antimicrobial resistance (AMR) in children arises from a complex interaction of elevated disease prevalence, challenges in treatment accessibility, and prescribing practices. Failure to implement prompt and coordinated measures may undo decades of advancements in decreasing childhood morbidity and mortality rates due to the escalating prevalence of antimicrobial resistance (AMR)</w:t>
      </w:r>
      <w:r w:rsidR="00E54385">
        <w:t>,</w:t>
      </w:r>
      <w:r w:rsidR="00E54385" w:rsidRPr="00E54385">
        <w:rPr>
          <w:rFonts w:ascii="Arial" w:hAnsi="Arial" w:cs="Arial"/>
          <w:color w:val="222222"/>
          <w:sz w:val="20"/>
          <w:szCs w:val="20"/>
          <w:shd w:val="clear" w:color="auto" w:fill="FFFFFF"/>
        </w:rPr>
        <w:t xml:space="preserve"> </w:t>
      </w:r>
      <w:r w:rsidR="00E54385" w:rsidRPr="00E54385">
        <w:rPr>
          <w:rFonts w:ascii="Arial" w:hAnsi="Arial" w:cs="Arial"/>
          <w:b/>
          <w:color w:val="222222"/>
          <w:sz w:val="20"/>
          <w:szCs w:val="20"/>
          <w:shd w:val="clear" w:color="auto" w:fill="FFFFFF"/>
        </w:rPr>
        <w:t>Erdoğan, E., et. al. (2026)</w:t>
      </w:r>
      <w:r w:rsidR="009F2BE2" w:rsidRPr="00E54385">
        <w:rPr>
          <w:b/>
        </w:rPr>
        <w:t>.</w:t>
      </w:r>
    </w:p>
    <w:p w14:paraId="0683AE22" w14:textId="77777777" w:rsidR="00725621" w:rsidRPr="00725621" w:rsidRDefault="0097644E" w:rsidP="00725621">
      <w:pPr>
        <w:rPr>
          <w:b/>
          <w:sz w:val="24"/>
          <w:szCs w:val="24"/>
          <w:lang w:eastAsia="en-IN"/>
        </w:rPr>
      </w:pPr>
      <w:r w:rsidRPr="00725621">
        <w:rPr>
          <w:b/>
          <w:sz w:val="24"/>
          <w:szCs w:val="24"/>
        </w:rPr>
        <w:lastRenderedPageBreak/>
        <w:t xml:space="preserve">B. </w:t>
      </w:r>
      <w:r w:rsidR="00725621" w:rsidRPr="00725621">
        <w:rPr>
          <w:b/>
          <w:sz w:val="24"/>
          <w:szCs w:val="24"/>
          <w:lang w:eastAsia="en-IN"/>
        </w:rPr>
        <w:t>Patterns of Inappropriate Use</w:t>
      </w:r>
    </w:p>
    <w:p w14:paraId="04BBF279" w14:textId="77777777" w:rsidR="009D38D0" w:rsidRPr="004E0555" w:rsidRDefault="000B56F0" w:rsidP="009D38D0">
      <w:pPr>
        <w:pStyle w:val="NormalWeb"/>
        <w:jc w:val="both"/>
        <w:rPr>
          <w:b/>
        </w:rPr>
      </w:pPr>
      <w:r w:rsidRPr="00F419CC">
        <w:t xml:space="preserve">Misuse of antibiotics in </w:t>
      </w:r>
      <w:r w:rsidR="00DF0247" w:rsidRPr="00F419CC">
        <w:t>paediatric</w:t>
      </w:r>
      <w:r w:rsidRPr="00F419CC">
        <w:t xml:space="preserve"> populations significantly contributes to antimicrobial resistance (AMR), occurring through various established mechanisms within healthcare environments and communities. A significant issue is the excessive use of antibiotics for viral infections, such as influenza, the common cold, and the majority of acute bronchitis cases. Viruses are responsible for these infections, and medications are ineffective against them. Antibiotics are frequently prescribed due to physicians' uncertainty over the diagnosis, time constraints during consultations, or the perception that parents anticipate such treatment. This excessive exposure is detrimental to the youth and fosters the proliferation of resistant pathogens. A significant concern is the use of broad-spectrum antibiotics when narrow-spectrum alternatives might suffice. Broad-spectrum antibiotics are designed to target a diverse array of bacteria; nevertheless, excessive use can disrupt the normal microbial ecology and accelerate the emergence of resistance</w:t>
      </w:r>
      <w:r w:rsidR="00432FC2">
        <w:t>,</w:t>
      </w:r>
      <w:r w:rsidR="00432FC2" w:rsidRPr="00432FC2">
        <w:rPr>
          <w:rFonts w:ascii="Arial" w:hAnsi="Arial" w:cs="Arial"/>
          <w:color w:val="222222"/>
          <w:sz w:val="20"/>
          <w:szCs w:val="20"/>
          <w:shd w:val="clear" w:color="auto" w:fill="FFFFFF"/>
        </w:rPr>
        <w:t xml:space="preserve"> </w:t>
      </w:r>
      <w:r w:rsidR="00432FC2" w:rsidRPr="00432FC2">
        <w:rPr>
          <w:rFonts w:ascii="Arial" w:hAnsi="Arial" w:cs="Arial"/>
          <w:b/>
          <w:color w:val="222222"/>
          <w:sz w:val="20"/>
          <w:szCs w:val="20"/>
          <w:shd w:val="clear" w:color="auto" w:fill="FFFFFF"/>
        </w:rPr>
        <w:t>Singh, I., et. al. (2026)</w:t>
      </w:r>
      <w:r w:rsidRPr="00F419CC">
        <w:t>. Certain narrow-spectrum medicines can often effectively treat mild ear infections and streptococcal throat infections. Nevertheless, physicians may choose broader drugs as a precautionary step, perhaps resulting in unintended resistance in both people and populations. Administering an incorrect dosage or excessive amounts of antibiotics exacerbates the condition. Insufficient medication may fail to eradicate the sickness, permitting partially resistant pathogens to proliferate. Excessive medication or prolonged treatment increases the risk of toxicity and further destabilizes the microbiome. Prematurely discontinuing antibiotics, especially when symptoms improve instead of completing the prescribed regimen, can lead to the persistence of robust bacterial populations, which increases the likelihood of reinfection and the development of antibiotic resistance. Self-medication and the accessibility of antibiotics without a prescription are significant issues, particularly in low- and middle-income countries. In numerous locations, antibiotics are obtainable without a prescription, resulting in their use without appropriate medical guidance. Caregivers may provide surplus medications, administer antibiotics inappropriately, or select incorrect pills and dosages. The unregulated use not only postpones appropriate treatment but also exacerbates the global issue of antimicrobial resistance (AMR). These tendencies indicate deficiencies in the delivery, regulation, and public comprehension of healthcare. To address these issues, we require enhanced antibiotic stewardship, improved diagnostic instruments, stricter regulations for pharmaceutical sales, and increased education for healthcare professionals and caregivers</w:t>
      </w:r>
      <w:r w:rsidR="004E0555">
        <w:t>,</w:t>
      </w:r>
      <w:r w:rsidR="004E0555" w:rsidRPr="004E0555">
        <w:rPr>
          <w:rFonts w:ascii="Arial" w:hAnsi="Arial" w:cs="Arial"/>
          <w:color w:val="222222"/>
          <w:sz w:val="20"/>
          <w:szCs w:val="20"/>
          <w:shd w:val="clear" w:color="auto" w:fill="FFFFFF"/>
        </w:rPr>
        <w:t xml:space="preserve"> </w:t>
      </w:r>
      <w:r w:rsidR="004E0555" w:rsidRPr="004E0555">
        <w:rPr>
          <w:rFonts w:ascii="Arial" w:hAnsi="Arial" w:cs="Arial"/>
          <w:b/>
          <w:color w:val="222222"/>
          <w:sz w:val="20"/>
          <w:szCs w:val="20"/>
          <w:shd w:val="clear" w:color="auto" w:fill="FFFFFF"/>
        </w:rPr>
        <w:t>Montoro-Pérez, N., et. al.  (2024)</w:t>
      </w:r>
      <w:r w:rsidR="009D38D0" w:rsidRPr="004E0555">
        <w:rPr>
          <w:b/>
        </w:rPr>
        <w:t>.</w:t>
      </w:r>
    </w:p>
    <w:p w14:paraId="3951AE33" w14:textId="77777777" w:rsidR="001C3AA9" w:rsidRPr="00F419CC" w:rsidRDefault="0097644E" w:rsidP="00066976">
      <w:pPr>
        <w:pStyle w:val="NormalWeb"/>
      </w:pPr>
      <w:r w:rsidRPr="00F419CC">
        <w:rPr>
          <w:b/>
        </w:rPr>
        <w:t>IV. Reasons for Misuse of Antibiotics</w:t>
      </w:r>
      <w:r w:rsidRPr="00F419CC">
        <w:rPr>
          <w:b/>
        </w:rPr>
        <w:br/>
      </w:r>
    </w:p>
    <w:p w14:paraId="0D94B4BF" w14:textId="77777777" w:rsidR="00C4765A" w:rsidRPr="00F419CC" w:rsidRDefault="003C0278" w:rsidP="003C0278">
      <w:pPr>
        <w:pStyle w:val="NormalWeb"/>
      </w:pPr>
      <w:proofErr w:type="spellStart"/>
      <w:proofErr w:type="gramStart"/>
      <w:r w:rsidRPr="00F419CC">
        <w:rPr>
          <w:b/>
        </w:rPr>
        <w:t>A.</w:t>
      </w:r>
      <w:r w:rsidR="0097644E" w:rsidRPr="00F419CC">
        <w:rPr>
          <w:b/>
        </w:rPr>
        <w:t>Factors</w:t>
      </w:r>
      <w:proofErr w:type="spellEnd"/>
      <w:proofErr w:type="gramEnd"/>
      <w:r w:rsidR="0097644E" w:rsidRPr="00F419CC">
        <w:rPr>
          <w:b/>
        </w:rPr>
        <w:t xml:space="preserve"> Related to Healthcare Providers</w:t>
      </w:r>
    </w:p>
    <w:p w14:paraId="1CE6AB2D" w14:textId="77777777" w:rsidR="001C3AA9" w:rsidRPr="007C4CB0" w:rsidRDefault="0097644E" w:rsidP="003C0278">
      <w:pPr>
        <w:pStyle w:val="NormalWeb"/>
        <w:jc w:val="both"/>
        <w:rPr>
          <w:b/>
        </w:rPr>
      </w:pPr>
      <w:r w:rsidRPr="00F419CC">
        <w:t>Healthcare providers are the main people who prescribe antibiotics, and there are a number of systemic and cognitive elements that might lead to their wrong usage in children's care.</w:t>
      </w:r>
      <w:r w:rsidRPr="00F419CC">
        <w:br/>
        <w:t>One of the most serious problems is not being sure what the diagnosis is. Fever, cough, and irritability are frequent signs of both bacterial and viral infections in kids. It's hard to tell the difference between the two with confidence because effective and quick diagnostic techniques are rare, especially in primary care or places with few resources. Consequently, clinicians could administer antibiotics "just in case," stressing immediate clinical safety over long-term ramifications such as antimicrobial resi</w:t>
      </w:r>
      <w:r w:rsidR="00C4765A" w:rsidRPr="00F419CC">
        <w:t>stance (AMR</w:t>
      </w:r>
      <w:r w:rsidR="00C370B0" w:rsidRPr="00F419CC">
        <w:t>). Time</w:t>
      </w:r>
      <w:r w:rsidRPr="00F419CC">
        <w:t xml:space="preserve"> pressure and defensive prescribing also affect how decisions are made. In hectic clinical settings, like outpatient and emergency rooms, doctors may lack the time to fully check out each child or explain why antibiotics are unnecessary. Some people think that giving someone an antibiotic is a faster method to end a </w:t>
      </w:r>
      <w:r w:rsidRPr="00F419CC">
        <w:lastRenderedPageBreak/>
        <w:t>session</w:t>
      </w:r>
      <w:r w:rsidR="004E0555">
        <w:t>,</w:t>
      </w:r>
      <w:r w:rsidR="004E0555" w:rsidRPr="004E0555">
        <w:rPr>
          <w:rFonts w:ascii="Arial" w:hAnsi="Arial" w:cs="Arial"/>
          <w:color w:val="222222"/>
          <w:sz w:val="20"/>
          <w:szCs w:val="20"/>
          <w:shd w:val="clear" w:color="auto" w:fill="FFFFFF"/>
        </w:rPr>
        <w:t xml:space="preserve"> </w:t>
      </w:r>
      <w:r w:rsidR="004E0555" w:rsidRPr="004E0555">
        <w:rPr>
          <w:rFonts w:ascii="Arial" w:hAnsi="Arial" w:cs="Arial"/>
          <w:b/>
          <w:color w:val="222222"/>
          <w:sz w:val="20"/>
          <w:szCs w:val="20"/>
          <w:shd w:val="clear" w:color="auto" w:fill="FFFFFF"/>
        </w:rPr>
        <w:t>Raut, N., Chaudhary, et. al. (2026)</w:t>
      </w:r>
      <w:r w:rsidRPr="00F419CC">
        <w:t xml:space="preserve">. Furthermore, fear of missing a dangerous bacterial infection or worries about legal problems can lead to defensive prescribing, which is when antibiotics are given even when the chances of getting a </w:t>
      </w:r>
      <w:r w:rsidR="001C3AA9" w:rsidRPr="00F419CC">
        <w:t xml:space="preserve">bacterial sickness are minimal. </w:t>
      </w:r>
      <w:r w:rsidRPr="00F419CC">
        <w:t>Another key reason is failing to follow clinical recommendations. Evidence-based guidelines promote the smart use of antibiotics by stating when, which, and how much to use. However, adherence may vary because people may be unaware of it, lack sufficient training, disagree with the suggestions, or find it hard to follow the rules in complicated or unclear clinical settings. In certain instances, obsolete methods or individual clinical experience may supersede established advice. These provider-related characteristics together show that we need better diagnostic support, more continuing medical education, and better implementation of antimicrobial stewardship programs to ensure that prescribing decisions are both clinically appropriate and in line with best practices</w:t>
      </w:r>
      <w:r w:rsidR="006B5083">
        <w:t>,</w:t>
      </w:r>
      <w:r w:rsidR="007C4CB0" w:rsidRPr="007C4CB0">
        <w:rPr>
          <w:rFonts w:ascii="Arial" w:hAnsi="Arial" w:cs="Arial"/>
          <w:color w:val="222222"/>
          <w:sz w:val="20"/>
          <w:szCs w:val="20"/>
          <w:shd w:val="clear" w:color="auto" w:fill="FFFFFF"/>
        </w:rPr>
        <w:t xml:space="preserve"> </w:t>
      </w:r>
      <w:r w:rsidR="007C4CB0" w:rsidRPr="007C4CB0">
        <w:rPr>
          <w:rFonts w:ascii="Arial" w:hAnsi="Arial" w:cs="Arial"/>
          <w:b/>
          <w:color w:val="222222"/>
          <w:sz w:val="20"/>
          <w:szCs w:val="20"/>
          <w:shd w:val="clear" w:color="auto" w:fill="FFFFFF"/>
        </w:rPr>
        <w:t>Yeshurun, M. S., et. al. (2026).</w:t>
      </w:r>
      <w:r w:rsidR="006B5083" w:rsidRPr="007C4CB0">
        <w:rPr>
          <w:rFonts w:ascii="Arial" w:hAnsi="Arial" w:cs="Arial"/>
          <w:b/>
          <w:color w:val="222222"/>
          <w:sz w:val="20"/>
          <w:szCs w:val="20"/>
          <w:shd w:val="clear" w:color="auto" w:fill="FFFFFF"/>
        </w:rPr>
        <w:t xml:space="preserve"> </w:t>
      </w:r>
    </w:p>
    <w:p w14:paraId="5841A221" w14:textId="77777777" w:rsidR="00A3493E" w:rsidRPr="00F419CC" w:rsidRDefault="0097644E" w:rsidP="00E6611B">
      <w:pPr>
        <w:pStyle w:val="NormalWeb"/>
      </w:pPr>
      <w:r w:rsidRPr="00F419CC">
        <w:rPr>
          <w:b/>
        </w:rPr>
        <w:t>B. Influences from Parents and Society</w:t>
      </w:r>
      <w:r w:rsidRPr="00F419CC">
        <w:rPr>
          <w:b/>
        </w:rPr>
        <w:br/>
      </w:r>
    </w:p>
    <w:p w14:paraId="68F5C273" w14:textId="77777777" w:rsidR="00A3493E" w:rsidRPr="000015E3" w:rsidRDefault="00A3493E" w:rsidP="00A3493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Parental and societal influences profoundly impact antibiotic use in children, often resulting in inappropriate prescribing and, subsequently, antimicrobial resistance (AMR). Parental expectations and demands for antibiotics can significantly influence healthcare decisions. When a child presents with a fever, cough, or earache, several caretakers consult a physician anticipating the prescription of an antibiotic. In certain situations, obtaining medication is essential for satisfaction with the medical consultation. Clinicians may administer antibiotics unnecessarily owing to perceived or explicit pressure, particularly in fast-paced settings when detailed explanations are difficult. A significant reason is that individuals lack comprehension of antibiotics. Numerous individuals believe that antibiotics are effective against viral diseases such as influenza, colds, and the majority of sore throats. A significant number of individuals continue to maintain this idea, which fuels their demand for antibiotics despite their ineffectiveness</w:t>
      </w:r>
      <w:r w:rsidR="000015E3">
        <w:rPr>
          <w:rFonts w:ascii="Times New Roman" w:eastAsia="Times New Roman" w:hAnsi="Times New Roman" w:cs="Times New Roman"/>
          <w:sz w:val="24"/>
          <w:szCs w:val="24"/>
          <w:lang w:eastAsia="en-IN"/>
        </w:rPr>
        <w:t>,</w:t>
      </w:r>
      <w:r w:rsidR="000015E3" w:rsidRPr="000015E3">
        <w:rPr>
          <w:rFonts w:ascii="Arial" w:hAnsi="Arial" w:cs="Arial"/>
          <w:color w:val="222222"/>
          <w:sz w:val="20"/>
          <w:szCs w:val="20"/>
          <w:shd w:val="clear" w:color="auto" w:fill="FFFFFF"/>
        </w:rPr>
        <w:t xml:space="preserve"> </w:t>
      </w:r>
      <w:r w:rsidR="000015E3" w:rsidRPr="000015E3">
        <w:rPr>
          <w:rFonts w:ascii="Arial" w:hAnsi="Arial" w:cs="Arial"/>
          <w:b/>
          <w:color w:val="222222"/>
          <w:sz w:val="20"/>
          <w:szCs w:val="20"/>
          <w:shd w:val="clear" w:color="auto" w:fill="FFFFFF"/>
        </w:rPr>
        <w:t xml:space="preserve">Lambert, M., </w:t>
      </w:r>
      <w:proofErr w:type="spellStart"/>
      <w:r w:rsidR="000015E3" w:rsidRPr="000015E3">
        <w:rPr>
          <w:rFonts w:ascii="Arial" w:hAnsi="Arial" w:cs="Arial"/>
          <w:b/>
          <w:color w:val="222222"/>
          <w:sz w:val="20"/>
          <w:szCs w:val="20"/>
          <w:shd w:val="clear" w:color="auto" w:fill="FFFFFF"/>
        </w:rPr>
        <w:t>Aljadeeah</w:t>
      </w:r>
      <w:proofErr w:type="spellEnd"/>
      <w:r w:rsidR="000015E3" w:rsidRPr="000015E3">
        <w:rPr>
          <w:rFonts w:ascii="Arial" w:hAnsi="Arial" w:cs="Arial"/>
          <w:b/>
          <w:color w:val="222222"/>
          <w:sz w:val="20"/>
          <w:szCs w:val="20"/>
          <w:shd w:val="clear" w:color="auto" w:fill="FFFFFF"/>
        </w:rPr>
        <w:t>, S., et. al. (2026)</w:t>
      </w:r>
      <w:r w:rsidRPr="00F419CC">
        <w:rPr>
          <w:rFonts w:ascii="Times New Roman" w:eastAsia="Times New Roman" w:hAnsi="Times New Roman" w:cs="Times New Roman"/>
          <w:sz w:val="24"/>
          <w:szCs w:val="24"/>
          <w:lang w:eastAsia="en-IN"/>
        </w:rPr>
        <w:t>. Certain caregivers may believe that antibiotics can expedite recovery or prevent problems, resulting in their excessive usage. Cultural traditions and historical events are also essential. In certain regions, it is common for family members to share medications, repurpose leftover antibiotics, or obtain medical counsel from those lacking formal medical training. Caregivers may believe that antibiotics facilitate recovery based on previous experiences, such as a kid improving after administration, despite the infection being viral and resolving independently. Individuals may intensify these trends by acquiring antibiotics without a prescription and utilizing informal treatment methods in regions with inconsistent healthcare access. To mitigate these obstacles, it is essential to educate the public strategically, enhance communication between healthcare practitioners and caregivers, and employ culturally relevant ways that cultivate trust while clarifying misconceptions. Providing parents with accurate information is crucial for reducing improper antibiotic usage and preventing the emergence of antimicrobial resistance (AMR)</w:t>
      </w:r>
      <w:r w:rsidR="000015E3">
        <w:rPr>
          <w:rFonts w:ascii="Times New Roman" w:eastAsia="Times New Roman" w:hAnsi="Times New Roman" w:cs="Times New Roman"/>
          <w:sz w:val="24"/>
          <w:szCs w:val="24"/>
          <w:lang w:eastAsia="en-IN"/>
        </w:rPr>
        <w:t xml:space="preserve">, </w:t>
      </w:r>
      <w:proofErr w:type="spellStart"/>
      <w:r w:rsidR="000015E3" w:rsidRPr="000015E3">
        <w:rPr>
          <w:rFonts w:ascii="Arial" w:hAnsi="Arial" w:cs="Arial"/>
          <w:b/>
          <w:color w:val="222222"/>
          <w:sz w:val="20"/>
          <w:szCs w:val="20"/>
          <w:shd w:val="clear" w:color="auto" w:fill="FFFFFF"/>
        </w:rPr>
        <w:t>Bachhav</w:t>
      </w:r>
      <w:proofErr w:type="spellEnd"/>
      <w:r w:rsidR="000015E3" w:rsidRPr="000015E3">
        <w:rPr>
          <w:rFonts w:ascii="Arial" w:hAnsi="Arial" w:cs="Arial"/>
          <w:b/>
          <w:color w:val="222222"/>
          <w:sz w:val="20"/>
          <w:szCs w:val="20"/>
          <w:shd w:val="clear" w:color="auto" w:fill="FFFFFF"/>
        </w:rPr>
        <w:t>, R. L., &amp; Surana, K. R et.  al</w:t>
      </w:r>
      <w:r w:rsidR="00D77D17" w:rsidRPr="000015E3">
        <w:rPr>
          <w:rFonts w:ascii="Times New Roman" w:eastAsia="Times New Roman" w:hAnsi="Times New Roman" w:cs="Times New Roman"/>
          <w:b/>
          <w:sz w:val="24"/>
          <w:szCs w:val="24"/>
          <w:lang w:eastAsia="en-IN"/>
        </w:rPr>
        <w:t>.</w:t>
      </w:r>
    </w:p>
    <w:p w14:paraId="37319649" w14:textId="77777777" w:rsidR="00C53F54" w:rsidRPr="00F419CC" w:rsidRDefault="0097644E" w:rsidP="00E6611B">
      <w:pPr>
        <w:pStyle w:val="NormalWeb"/>
      </w:pPr>
      <w:r w:rsidRPr="00F419CC">
        <w:rPr>
          <w:b/>
        </w:rPr>
        <w:t>C. Factors in the Health System</w:t>
      </w:r>
      <w:r w:rsidRPr="00F419CC">
        <w:rPr>
          <w:b/>
        </w:rPr>
        <w:br/>
      </w:r>
    </w:p>
    <w:p w14:paraId="045F4690" w14:textId="77777777" w:rsidR="000557D0" w:rsidRPr="003D2EB5" w:rsidRDefault="000557D0" w:rsidP="000557D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The systemic limits of healthcare substantially affect antibiotic utilization in </w:t>
      </w:r>
      <w:r w:rsidR="00BE63C8"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populations. They also increase the likelihood of erroneous prescriptions by physicians. A significant concern is the inadequate regulation of antibiotics, particularly in low- and middle-income countries. In numerous locations, antibiotics can be obtained without a valid prescription from pharmacies, informal vendors, or online retailers. The absence of rule </w:t>
      </w:r>
      <w:r w:rsidRPr="00F419CC">
        <w:rPr>
          <w:rFonts w:ascii="Times New Roman" w:eastAsia="Times New Roman" w:hAnsi="Times New Roman" w:cs="Times New Roman"/>
          <w:sz w:val="24"/>
          <w:szCs w:val="24"/>
          <w:lang w:eastAsia="en-IN"/>
        </w:rPr>
        <w:lastRenderedPageBreak/>
        <w:t>enforcement permits individuals to self-medicate, select inappropriate substances, and consume incorrect dosages. It also complicates access to competent medical assistance, hence increasing the risk of abuse and accelerating the proliferation of antimicrobial resistance (AMR) within the community. Restricted access to diagnostic instruments exacerbates the challenge of utilizing antibiotics judiciously. Distinguishing between bacterial and viral infections typically necessitates laboratory procedures such as cultures or rapid antigen detection. Nonetheless, these tests may be inaccessible, prohibitively expensive, or excessively time-consuming in some healthcare environments. As a result, clinicians frequently rely solely on clinical judgment, which, while advantageous, may lead to uncertainty and cautious antibiotic treatment</w:t>
      </w:r>
      <w:r w:rsidR="000015E3">
        <w:rPr>
          <w:rFonts w:ascii="Times New Roman" w:eastAsia="Times New Roman" w:hAnsi="Times New Roman" w:cs="Times New Roman"/>
          <w:sz w:val="24"/>
          <w:szCs w:val="24"/>
          <w:lang w:eastAsia="en-IN"/>
        </w:rPr>
        <w:t>,</w:t>
      </w:r>
      <w:r w:rsidR="000015E3" w:rsidRPr="000015E3">
        <w:rPr>
          <w:rFonts w:ascii="Arial" w:hAnsi="Arial" w:cs="Arial"/>
          <w:color w:val="222222"/>
          <w:sz w:val="20"/>
          <w:szCs w:val="20"/>
          <w:shd w:val="clear" w:color="auto" w:fill="FFFFFF"/>
        </w:rPr>
        <w:t xml:space="preserve"> </w:t>
      </w:r>
      <w:r w:rsidR="000015E3" w:rsidRPr="000015E3">
        <w:rPr>
          <w:rFonts w:ascii="Arial" w:hAnsi="Arial" w:cs="Arial"/>
          <w:b/>
          <w:color w:val="222222"/>
          <w:sz w:val="20"/>
          <w:szCs w:val="20"/>
          <w:shd w:val="clear" w:color="auto" w:fill="FFFFFF"/>
        </w:rPr>
        <w:t>Bing, L., Xin, Z, et. al. (2026)</w:t>
      </w:r>
      <w:r w:rsidRPr="000015E3">
        <w:rPr>
          <w:rFonts w:ascii="Times New Roman" w:eastAsia="Times New Roman" w:hAnsi="Times New Roman" w:cs="Times New Roman"/>
          <w:b/>
          <w:sz w:val="24"/>
          <w:szCs w:val="24"/>
          <w:lang w:eastAsia="en-IN"/>
        </w:rPr>
        <w:t>.</w:t>
      </w:r>
      <w:r w:rsidRPr="00F419CC">
        <w:rPr>
          <w:rFonts w:ascii="Times New Roman" w:eastAsia="Times New Roman" w:hAnsi="Times New Roman" w:cs="Times New Roman"/>
          <w:sz w:val="24"/>
          <w:szCs w:val="24"/>
          <w:lang w:eastAsia="en-IN"/>
        </w:rPr>
        <w:t xml:space="preserve"> The absence of point-of-care diagnostics is particularly detrimental in </w:t>
      </w:r>
      <w:r w:rsidR="00AD6567"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care, where symptoms can sometimes be ambiguous. A further systemic issue is the insufficiency of initiatives aimed at promoting the responsible utilization of antimicrobials. Antimicrobial stewardship comprises a series of coordinated measures designed to promote the appropriate utilization of antibiotics, including the selection of the correct medication, dosage, and duration of treatment. Numerous healthcare systems, especially those with limited resources, either </w:t>
      </w:r>
      <w:r w:rsidR="00AD6567" w:rsidRPr="00F419CC">
        <w:rPr>
          <w:rFonts w:ascii="Times New Roman" w:eastAsia="Times New Roman" w:hAnsi="Times New Roman" w:cs="Times New Roman"/>
          <w:sz w:val="24"/>
          <w:szCs w:val="24"/>
          <w:lang w:eastAsia="en-IN"/>
        </w:rPr>
        <w:t>under develop</w:t>
      </w:r>
      <w:r w:rsidRPr="00F419CC">
        <w:rPr>
          <w:rFonts w:ascii="Times New Roman" w:eastAsia="Times New Roman" w:hAnsi="Times New Roman" w:cs="Times New Roman"/>
          <w:sz w:val="24"/>
          <w:szCs w:val="24"/>
          <w:lang w:eastAsia="en-IN"/>
        </w:rPr>
        <w:t xml:space="preserve"> or misapply these programs. Such failures may arise from insufficiently qualified personnel, inadequate institutional support, or a lack of data regarding local resistance tendencies. In the absence of institutional control and criticism, perilous prescribing practices may persist unnoticed. To resolve these issues inside the health system, we require stricter regulations, increased funding for accessible diagnostic tools, and enhanced programs promoting responsible antibiotic usage. To ensure the optimal utilization of antibiotics and mitigate the proliferation of antimicrobial resistance (AMR) in children, all of these measures must be implemented</w:t>
      </w:r>
      <w:r w:rsidR="003D2EB5">
        <w:rPr>
          <w:rFonts w:ascii="Times New Roman" w:eastAsia="Times New Roman" w:hAnsi="Times New Roman" w:cs="Times New Roman"/>
          <w:sz w:val="24"/>
          <w:szCs w:val="24"/>
          <w:lang w:eastAsia="en-IN"/>
        </w:rPr>
        <w:t xml:space="preserve">, </w:t>
      </w:r>
      <w:r w:rsidR="003D2EB5" w:rsidRPr="003D2EB5">
        <w:rPr>
          <w:rFonts w:ascii="Arial" w:hAnsi="Arial" w:cs="Arial"/>
          <w:b/>
          <w:color w:val="222222"/>
          <w:sz w:val="20"/>
          <w:szCs w:val="20"/>
          <w:shd w:val="clear" w:color="auto" w:fill="FFFFFF"/>
        </w:rPr>
        <w:t>Bianchi, M., et. al. (2026)</w:t>
      </w:r>
      <w:r w:rsidR="00E24EF5" w:rsidRPr="003D2EB5">
        <w:rPr>
          <w:rFonts w:ascii="Times New Roman" w:eastAsia="Times New Roman" w:hAnsi="Times New Roman" w:cs="Times New Roman"/>
          <w:b/>
          <w:sz w:val="24"/>
          <w:szCs w:val="24"/>
          <w:lang w:eastAsia="en-IN"/>
        </w:rPr>
        <w:t>.</w:t>
      </w:r>
    </w:p>
    <w:p w14:paraId="5622C632" w14:textId="77777777" w:rsidR="000A7FB1" w:rsidRPr="00F419CC" w:rsidRDefault="0097644E" w:rsidP="000A7FB1">
      <w:pPr>
        <w:rPr>
          <w:rFonts w:ascii="Times New Roman" w:eastAsia="Times New Roman" w:hAnsi="Times New Roman" w:cs="Times New Roman"/>
          <w:sz w:val="24"/>
          <w:szCs w:val="24"/>
          <w:lang w:eastAsia="en-IN"/>
        </w:rPr>
      </w:pPr>
      <w:r w:rsidRPr="00F419CC">
        <w:rPr>
          <w:sz w:val="24"/>
          <w:szCs w:val="24"/>
        </w:rPr>
        <w:br/>
      </w:r>
      <w:r w:rsidRPr="00F419CC">
        <w:rPr>
          <w:b/>
          <w:sz w:val="24"/>
          <w:szCs w:val="24"/>
        </w:rPr>
        <w:t>V. How Misuse Leads to Resistance</w:t>
      </w:r>
      <w:r w:rsidRPr="00F419CC">
        <w:rPr>
          <w:b/>
          <w:sz w:val="24"/>
          <w:szCs w:val="24"/>
        </w:rPr>
        <w:br/>
      </w:r>
    </w:p>
    <w:p w14:paraId="0F1A5BBC" w14:textId="77777777" w:rsidR="00E24EF5" w:rsidRPr="003D2EB5" w:rsidRDefault="000A7FB1" w:rsidP="00E24EF5">
      <w:pPr>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Improper antibiotic use in children directly contributes to antimicrobial resistance (AMR) via many interconnected biological and epidemiological </w:t>
      </w:r>
      <w:r w:rsidR="00E92D7E" w:rsidRPr="00F419CC">
        <w:rPr>
          <w:rFonts w:ascii="Times New Roman" w:eastAsia="Times New Roman" w:hAnsi="Times New Roman" w:cs="Times New Roman"/>
          <w:sz w:val="24"/>
          <w:szCs w:val="24"/>
          <w:lang w:eastAsia="en-IN"/>
        </w:rPr>
        <w:t>mechanisms. The</w:t>
      </w:r>
      <w:r w:rsidRPr="00F419CC">
        <w:rPr>
          <w:rFonts w:ascii="Times New Roman" w:eastAsia="Times New Roman" w:hAnsi="Times New Roman" w:cs="Times New Roman"/>
          <w:sz w:val="24"/>
          <w:szCs w:val="24"/>
          <w:lang w:eastAsia="en-IN"/>
        </w:rPr>
        <w:t xml:space="preserve"> paramount process is selection pressure and the survival of resistant strains. Antibiotics eradicate susceptible germs while permitting resistant strains to persist. The resistant organisms subsequently proliferate and emerge as the predominant strain. Prolonged antibiotic use exacerbates this effect, rendering infections more difficult to treat and diminishing the efficacy of traditional treatments. The disruption of natural microbiota in youngsters accelerates resistance. The human body </w:t>
      </w:r>
      <w:r w:rsidR="00E92D7E" w:rsidRPr="00F419CC">
        <w:rPr>
          <w:rFonts w:ascii="Times New Roman" w:eastAsia="Times New Roman" w:hAnsi="Times New Roman" w:cs="Times New Roman"/>
          <w:sz w:val="24"/>
          <w:szCs w:val="24"/>
          <w:lang w:eastAsia="en-IN"/>
        </w:rPr>
        <w:t>harbours</w:t>
      </w:r>
      <w:r w:rsidRPr="00F419CC">
        <w:rPr>
          <w:rFonts w:ascii="Times New Roman" w:eastAsia="Times New Roman" w:hAnsi="Times New Roman" w:cs="Times New Roman"/>
          <w:sz w:val="24"/>
          <w:szCs w:val="24"/>
          <w:lang w:eastAsia="en-IN"/>
        </w:rPr>
        <w:t xml:space="preserve"> several beneficial bacteria, particularly in the gastrointestinal tract. These microorganisms assist in digestion, bolster immunity, and safeguard the body against infections. Antibiotics, particularly broad-spectrum varieties, can disrupt this equilibrium by eliminating both beneficial and pathogenic bacteria. This alteration may exert a more significant and enduring impact on children due to the ongoing development of their microbiomes. It creates an ecological niche in which resistant species can coexist and exchange resistance genes. Antibiotic-resistant microorganisms can disseminate in both healthcare environments and the general population. Resistant bacteria can be transmitted through direct contact, contaminated surfaces, food, water, or respiratory droplets. In environments such as schools, </w:t>
      </w:r>
      <w:r w:rsidR="00E92D7E" w:rsidRPr="00F419CC">
        <w:rPr>
          <w:rFonts w:ascii="Times New Roman" w:eastAsia="Times New Roman" w:hAnsi="Times New Roman" w:cs="Times New Roman"/>
          <w:sz w:val="24"/>
          <w:szCs w:val="24"/>
          <w:lang w:eastAsia="en-IN"/>
        </w:rPr>
        <w:t>day care</w:t>
      </w:r>
      <w:r w:rsidRPr="00F419CC">
        <w:rPr>
          <w:rFonts w:ascii="Times New Roman" w:eastAsia="Times New Roman" w:hAnsi="Times New Roman" w:cs="Times New Roman"/>
          <w:sz w:val="24"/>
          <w:szCs w:val="24"/>
          <w:lang w:eastAsia="en-IN"/>
        </w:rPr>
        <w:t xml:space="preserve"> </w:t>
      </w:r>
      <w:proofErr w:type="spellStart"/>
      <w:r w:rsidRPr="00F419CC">
        <w:rPr>
          <w:rFonts w:ascii="Times New Roman" w:eastAsia="Times New Roman" w:hAnsi="Times New Roman" w:cs="Times New Roman"/>
          <w:sz w:val="24"/>
          <w:szCs w:val="24"/>
          <w:lang w:eastAsia="en-IN"/>
        </w:rPr>
        <w:t>centers</w:t>
      </w:r>
      <w:proofErr w:type="spellEnd"/>
      <w:r w:rsidRPr="00F419CC">
        <w:rPr>
          <w:rFonts w:ascii="Times New Roman" w:eastAsia="Times New Roman" w:hAnsi="Times New Roman" w:cs="Times New Roman"/>
          <w:sz w:val="24"/>
          <w:szCs w:val="24"/>
          <w:lang w:eastAsia="en-IN"/>
        </w:rPr>
        <w:t xml:space="preserve">, and hospitals, where children are in close proximity, the virus disseminates rapidly. Healthcare environments, characterized by frequent antibiotic usage, can serve as incubators for resistant pathogens, hence increasing the danger of transmission to vulnerable young patients. Consistent exposure during early development is crucial. Due to frequent illnesses, children generally require multiple courses of antibiotics during their initial </w:t>
      </w:r>
      <w:r w:rsidRPr="00F419CC">
        <w:rPr>
          <w:rFonts w:ascii="Times New Roman" w:eastAsia="Times New Roman" w:hAnsi="Times New Roman" w:cs="Times New Roman"/>
          <w:sz w:val="24"/>
          <w:szCs w:val="24"/>
          <w:lang w:eastAsia="en-IN"/>
        </w:rPr>
        <w:lastRenderedPageBreak/>
        <w:t>years of life. Each course imposes selection pressure, increasing the likelihood that resistant pathogens will persist in the body. Early life exposure can exert enduring effects by altering the child's microbiome and resistance profiles, potentially influencing their susceptibility to infections and their treatment responses in later life. These strategies illustrate how an individual's decision to prescribe can impact not only the child receiving treatment but also the entire community. To inhibit these mechanisms and avert the proliferation of antibiotic resistance, it is essential to reduce consumption</w:t>
      </w:r>
      <w:r w:rsidR="003D2EB5">
        <w:rPr>
          <w:rFonts w:ascii="Times New Roman" w:eastAsia="Times New Roman" w:hAnsi="Times New Roman" w:cs="Times New Roman"/>
          <w:sz w:val="24"/>
          <w:szCs w:val="24"/>
          <w:lang w:eastAsia="en-IN"/>
        </w:rPr>
        <w:t>,</w:t>
      </w:r>
      <w:r w:rsidR="003D2EB5" w:rsidRPr="003D2EB5">
        <w:rPr>
          <w:rFonts w:ascii="Arial" w:hAnsi="Arial" w:cs="Arial"/>
          <w:color w:val="222222"/>
          <w:sz w:val="20"/>
          <w:szCs w:val="20"/>
          <w:shd w:val="clear" w:color="auto" w:fill="FFFFFF"/>
        </w:rPr>
        <w:t xml:space="preserve"> </w:t>
      </w:r>
      <w:r w:rsidR="003D2EB5" w:rsidRPr="003D2EB5">
        <w:rPr>
          <w:rFonts w:ascii="Arial" w:hAnsi="Arial" w:cs="Arial"/>
          <w:b/>
          <w:color w:val="222222"/>
          <w:sz w:val="20"/>
          <w:szCs w:val="20"/>
          <w:shd w:val="clear" w:color="auto" w:fill="FFFFFF"/>
        </w:rPr>
        <w:t>Zhang, X., et.al. (2026)</w:t>
      </w:r>
      <w:r w:rsidR="00E24EF5" w:rsidRPr="003D2EB5">
        <w:rPr>
          <w:rFonts w:ascii="Times New Roman" w:eastAsia="Times New Roman" w:hAnsi="Times New Roman" w:cs="Times New Roman"/>
          <w:b/>
          <w:sz w:val="24"/>
          <w:szCs w:val="24"/>
          <w:lang w:eastAsia="en-IN"/>
        </w:rPr>
        <w:t>.</w:t>
      </w:r>
    </w:p>
    <w:p w14:paraId="013E0089" w14:textId="77777777" w:rsidR="00AC43F5" w:rsidRPr="00AC43F5" w:rsidRDefault="00AC43F5" w:rsidP="00AC43F5">
      <w:pPr>
        <w:spacing w:before="100" w:beforeAutospacing="1" w:after="100" w:afterAutospacing="1" w:line="240" w:lineRule="auto"/>
        <w:rPr>
          <w:rFonts w:ascii="Times New Roman" w:eastAsia="Times New Roman" w:hAnsi="Times New Roman" w:cs="Times New Roman"/>
          <w:sz w:val="24"/>
          <w:szCs w:val="24"/>
          <w:lang w:eastAsia="en-IN"/>
        </w:rPr>
      </w:pPr>
      <w:r w:rsidRPr="00AC43F5">
        <w:rPr>
          <w:rFonts w:ascii="Times New Roman" w:eastAsia="Times New Roman" w:hAnsi="Times New Roman" w:cs="Times New Roman"/>
          <w:noProof/>
          <w:sz w:val="24"/>
          <w:szCs w:val="24"/>
          <w:lang w:eastAsia="en-IN"/>
        </w:rPr>
        <w:drawing>
          <wp:inline distT="0" distB="0" distL="0" distR="0" wp14:anchorId="44128BD0" wp14:editId="168A8D19">
            <wp:extent cx="4593771" cy="3215640"/>
            <wp:effectExtent l="0" t="0" r="0" b="3810"/>
            <wp:docPr id="4" name="Picture 4" descr="C:\Users\acer\Download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ownloads\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6991" cy="3217894"/>
                    </a:xfrm>
                    <a:prstGeom prst="rect">
                      <a:avLst/>
                    </a:prstGeom>
                    <a:noFill/>
                    <a:ln>
                      <a:noFill/>
                    </a:ln>
                  </pic:spPr>
                </pic:pic>
              </a:graphicData>
            </a:graphic>
          </wp:inline>
        </w:drawing>
      </w:r>
    </w:p>
    <w:p w14:paraId="42A734F4" w14:textId="77777777" w:rsidR="00AC43F5" w:rsidRPr="00AC43F5" w:rsidRDefault="00AC43F5" w:rsidP="00E24EF5">
      <w:pPr>
        <w:jc w:val="both"/>
        <w:rPr>
          <w:b/>
          <w:sz w:val="24"/>
          <w:szCs w:val="24"/>
        </w:rPr>
      </w:pPr>
      <w:r w:rsidRPr="00AC43F5">
        <w:rPr>
          <w:b/>
          <w:sz w:val="24"/>
          <w:szCs w:val="24"/>
        </w:rPr>
        <w:t>Fig:02 Antibiotic Resistance</w:t>
      </w:r>
    </w:p>
    <w:p w14:paraId="23A73C6D" w14:textId="77777777" w:rsidR="008E67C3" w:rsidRPr="00F419CC" w:rsidRDefault="0097644E" w:rsidP="00E6611B">
      <w:pPr>
        <w:pStyle w:val="NormalWeb"/>
        <w:rPr>
          <w:b/>
        </w:rPr>
      </w:pPr>
      <w:r w:rsidRPr="00F419CC">
        <w:rPr>
          <w:b/>
        </w:rPr>
        <w:t>VI. Consequences for health care and public health</w:t>
      </w:r>
      <w:r w:rsidRPr="00F419CC">
        <w:rPr>
          <w:b/>
        </w:rPr>
        <w:br/>
      </w:r>
    </w:p>
    <w:p w14:paraId="61C5E0FC" w14:textId="77777777" w:rsidR="0078525C" w:rsidRPr="00F419CC" w:rsidRDefault="0078525C" w:rsidP="0078525C">
      <w:pPr>
        <w:pStyle w:val="NormalWeb"/>
      </w:pPr>
      <w:proofErr w:type="spellStart"/>
      <w:r w:rsidRPr="00F419CC">
        <w:rPr>
          <w:b/>
        </w:rPr>
        <w:t>A.</w:t>
      </w:r>
      <w:r w:rsidR="0097644E" w:rsidRPr="00F419CC">
        <w:rPr>
          <w:b/>
        </w:rPr>
        <w:t>Effect</w:t>
      </w:r>
      <w:proofErr w:type="spellEnd"/>
      <w:r w:rsidR="0097644E" w:rsidRPr="00F419CC">
        <w:rPr>
          <w:b/>
        </w:rPr>
        <w:t xml:space="preserve"> on the Individual Level</w:t>
      </w:r>
      <w:r w:rsidR="0097644E" w:rsidRPr="00F419CC">
        <w:br/>
      </w:r>
    </w:p>
    <w:p w14:paraId="7F551702" w14:textId="77777777" w:rsidR="0078525C" w:rsidRPr="003D2EB5" w:rsidRDefault="0078525C" w:rsidP="0078525C">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Antimicrobial resistance (AMR) significantly impacts children, influencing treatment efficacy, recovery duration, and overall safety in medical care. The most immediate consequences are therapeutic failures and chronic illness. When resistant bacteria induce infections, first-line antibiotics are ineffective. This condition necessitates the use of second- or third-line remedies, which may be more difficult to obtain, costlier, or more perilous. The extended delay in receiving appropriate treatment might prolong symptoms, extend the duration of illness, and necessitate many visits to healthcare providers or hospitals. In instances such as pneumonia or urinary tract infections, such delays could significantly exacerbate the child's health condition. Another significant concern is the increased likelihood of complications. Untreated or inadequately treated infections may exacerbate, resulting in abscesses, sepsis, or organ damage. An untreated ear infection may proliferate locally, whereas an unresponsive urinary tract infection may ascend to the kidneys. Vulnerable individuals, like infants, malnourished children, or those with chronic illnesses, are considerably more susceptible to severe consequences that may result in enduring health issues or mortality. The inappropriate or </w:t>
      </w:r>
      <w:r w:rsidRPr="00F419CC">
        <w:rPr>
          <w:rFonts w:ascii="Times New Roman" w:eastAsia="Times New Roman" w:hAnsi="Times New Roman" w:cs="Times New Roman"/>
          <w:sz w:val="24"/>
          <w:szCs w:val="24"/>
          <w:lang w:eastAsia="en-IN"/>
        </w:rPr>
        <w:lastRenderedPageBreak/>
        <w:t xml:space="preserve">excessive use of antibiotics increases the likelihood of adverse drug responses. Broad-spectrum and second-line antibiotics, frequently required in cases of resistance, are more likely to induce side effects, such as gastrointestinal issues, allergic reactions, and, in certain instances, organ damage affecting the liver or kidneys. Moreover, altering the typical microbiota may increase the susceptibility of children to secondary infections, such as antibiotic-induced </w:t>
      </w:r>
      <w:r w:rsidR="00904B49" w:rsidRPr="00F419CC">
        <w:rPr>
          <w:rFonts w:ascii="Times New Roman" w:eastAsia="Times New Roman" w:hAnsi="Times New Roman" w:cs="Times New Roman"/>
          <w:sz w:val="24"/>
          <w:szCs w:val="24"/>
          <w:lang w:eastAsia="en-IN"/>
        </w:rPr>
        <w:t>diarrhoea</w:t>
      </w:r>
      <w:r w:rsidRPr="00F419CC">
        <w:rPr>
          <w:rFonts w:ascii="Times New Roman" w:eastAsia="Times New Roman" w:hAnsi="Times New Roman" w:cs="Times New Roman"/>
          <w:sz w:val="24"/>
          <w:szCs w:val="24"/>
          <w:lang w:eastAsia="en-IN"/>
        </w:rPr>
        <w:t xml:space="preserve">. The individual-level consequences demonstrate that improper antibiotic usage diminishes their efficacy and compromises the safety of </w:t>
      </w:r>
      <w:r w:rsidR="000C03B7"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therapy</w:t>
      </w:r>
      <w:r w:rsidR="003D2EB5">
        <w:rPr>
          <w:rFonts w:ascii="Times New Roman" w:eastAsia="Times New Roman" w:hAnsi="Times New Roman" w:cs="Times New Roman"/>
          <w:sz w:val="24"/>
          <w:szCs w:val="24"/>
          <w:lang w:eastAsia="en-IN"/>
        </w:rPr>
        <w:t>,</w:t>
      </w:r>
      <w:r w:rsidR="003D2EB5" w:rsidRPr="003D2EB5">
        <w:rPr>
          <w:rFonts w:ascii="Arial" w:hAnsi="Arial" w:cs="Arial"/>
          <w:color w:val="222222"/>
          <w:sz w:val="20"/>
          <w:szCs w:val="20"/>
          <w:shd w:val="clear" w:color="auto" w:fill="FFFFFF"/>
        </w:rPr>
        <w:t xml:space="preserve"> </w:t>
      </w:r>
      <w:r w:rsidR="003D2EB5" w:rsidRPr="003D2EB5">
        <w:rPr>
          <w:rFonts w:ascii="Arial" w:hAnsi="Arial" w:cs="Arial"/>
          <w:b/>
          <w:color w:val="222222"/>
          <w:sz w:val="20"/>
          <w:szCs w:val="20"/>
          <w:shd w:val="clear" w:color="auto" w:fill="FFFFFF"/>
        </w:rPr>
        <w:t>Nsubuga, B., Chelimo</w:t>
      </w:r>
      <w:r w:rsidR="003D2EB5">
        <w:rPr>
          <w:rFonts w:ascii="Arial" w:hAnsi="Arial" w:cs="Arial"/>
          <w:b/>
          <w:color w:val="222222"/>
          <w:sz w:val="20"/>
          <w:szCs w:val="20"/>
          <w:shd w:val="clear" w:color="auto" w:fill="FFFFFF"/>
        </w:rPr>
        <w:t xml:space="preserve">, </w:t>
      </w:r>
      <w:r w:rsidR="003D2EB5" w:rsidRPr="003D2EB5">
        <w:rPr>
          <w:rFonts w:ascii="Arial" w:hAnsi="Arial" w:cs="Arial"/>
          <w:b/>
          <w:color w:val="222222"/>
          <w:sz w:val="20"/>
          <w:szCs w:val="20"/>
          <w:shd w:val="clear" w:color="auto" w:fill="FFFFFF"/>
        </w:rPr>
        <w:t>et. al.  (2026)</w:t>
      </w:r>
      <w:r w:rsidR="00B61857" w:rsidRPr="003D2EB5">
        <w:rPr>
          <w:rFonts w:ascii="Times New Roman" w:eastAsia="Times New Roman" w:hAnsi="Times New Roman" w:cs="Times New Roman"/>
          <w:b/>
          <w:sz w:val="24"/>
          <w:szCs w:val="24"/>
          <w:lang w:eastAsia="en-IN"/>
        </w:rPr>
        <w:t>.</w:t>
      </w:r>
    </w:p>
    <w:p w14:paraId="7E60A467" w14:textId="77777777" w:rsidR="00FA28EC" w:rsidRPr="00F419CC" w:rsidRDefault="0097644E" w:rsidP="00DD40DC">
      <w:pPr>
        <w:pStyle w:val="NormalWeb"/>
      </w:pPr>
      <w:r w:rsidRPr="00F419CC">
        <w:rPr>
          <w:b/>
        </w:rPr>
        <w:t>B. Effect on the Population</w:t>
      </w:r>
      <w:r w:rsidRPr="00F419CC">
        <w:rPr>
          <w:b/>
        </w:rPr>
        <w:br/>
      </w:r>
    </w:p>
    <w:p w14:paraId="5C900D36" w14:textId="77777777" w:rsidR="00FA28EC" w:rsidRPr="00444CF2" w:rsidRDefault="00FA28EC" w:rsidP="00FA28EC">
      <w:pPr>
        <w:spacing w:after="0"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Antimicrobial resistance (AMR) impacts extend beyond the individual patient. It impacts healthcare systems, economics, and public health outcomes that influence society as a whole. The proliferation of multi-drug resistance pathogens is a significant concern. Resistant bacteria can rapidly disseminate among communities and healthcare facilities via direct contact, polluted environments, and asymptomatic individuals. Eliminating multidrug-resistant pathogens is challenging, as they might persist in hospitals, schools, and residences. In children, day-care </w:t>
      </w:r>
      <w:proofErr w:type="spellStart"/>
      <w:r w:rsidRPr="00F419CC">
        <w:rPr>
          <w:rFonts w:ascii="Times New Roman" w:eastAsia="Times New Roman" w:hAnsi="Times New Roman" w:cs="Times New Roman"/>
          <w:sz w:val="24"/>
          <w:szCs w:val="24"/>
          <w:lang w:eastAsia="en-IN"/>
        </w:rPr>
        <w:t>centers</w:t>
      </w:r>
      <w:proofErr w:type="spellEnd"/>
      <w:r w:rsidRPr="00F419CC">
        <w:rPr>
          <w:rFonts w:ascii="Times New Roman" w:eastAsia="Times New Roman" w:hAnsi="Times New Roman" w:cs="Times New Roman"/>
          <w:sz w:val="24"/>
          <w:szCs w:val="24"/>
          <w:lang w:eastAsia="en-IN"/>
        </w:rPr>
        <w:t xml:space="preserve"> and </w:t>
      </w:r>
      <w:r w:rsidR="00DA2490"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wards are environments where pathogens proliferate swiftly due to close proximity among individuals and frequent exposure to illnesses. Another significant consequence is the escalation of healthcare expenses. To address illnesses resistant to treatment, physicians generally require the utilization of costlier second- or third-line medications, extended hospitalization, additional diagnostic testing, and increased monitoring of patients. These expenditures impose significant financial burdens on families and healthcare systems, particularly in low- and middle-income countries where resources are already limited. Indirect costs, like parental job loss and prolonged childhood disabilities, exacerbate the economic impact</w:t>
      </w:r>
      <w:r w:rsidR="00444CF2">
        <w:rPr>
          <w:rFonts w:ascii="Times New Roman" w:eastAsia="Times New Roman" w:hAnsi="Times New Roman" w:cs="Times New Roman"/>
          <w:sz w:val="24"/>
          <w:szCs w:val="24"/>
          <w:lang w:eastAsia="en-IN"/>
        </w:rPr>
        <w:t>,</w:t>
      </w:r>
      <w:r w:rsidR="00444CF2" w:rsidRPr="00444CF2">
        <w:rPr>
          <w:rFonts w:ascii="Arial" w:hAnsi="Arial" w:cs="Arial"/>
          <w:color w:val="222222"/>
          <w:sz w:val="20"/>
          <w:szCs w:val="20"/>
          <w:shd w:val="clear" w:color="auto" w:fill="FFFFFF"/>
        </w:rPr>
        <w:t xml:space="preserve"> </w:t>
      </w:r>
      <w:r w:rsidR="00444CF2" w:rsidRPr="00444CF2">
        <w:rPr>
          <w:rFonts w:ascii="Arial" w:hAnsi="Arial" w:cs="Arial"/>
          <w:b/>
          <w:color w:val="222222"/>
          <w:sz w:val="20"/>
          <w:szCs w:val="20"/>
          <w:shd w:val="clear" w:color="auto" w:fill="FFFFFF"/>
        </w:rPr>
        <w:t>Okumu, N. O.et. al. (2025)</w:t>
      </w:r>
      <w:r w:rsidRPr="00444CF2">
        <w:rPr>
          <w:rFonts w:ascii="Times New Roman" w:eastAsia="Times New Roman" w:hAnsi="Times New Roman" w:cs="Times New Roman"/>
          <w:b/>
          <w:sz w:val="24"/>
          <w:szCs w:val="24"/>
          <w:lang w:eastAsia="en-IN"/>
        </w:rPr>
        <w:t>.</w:t>
      </w:r>
      <w:r w:rsidRPr="00F419CC">
        <w:rPr>
          <w:rFonts w:ascii="Times New Roman" w:eastAsia="Times New Roman" w:hAnsi="Times New Roman" w:cs="Times New Roman"/>
          <w:sz w:val="24"/>
          <w:szCs w:val="24"/>
          <w:lang w:eastAsia="en-IN"/>
        </w:rPr>
        <w:t xml:space="preserve"> A significant long-term consequence of antimicrobial resistance (AMR) is the diminished efficacy of conventional treatments. As resistance proliferates, commonly utilized antibiotics become less effective for ailments that were previously easily manageable. Due to these alterations, there is a diminished availability of effective treatments, necessitating physicians to resort to older, more toxic, or less accessible drugs. In infrequent circumstances, infections may become difficult or unmanageable to cure, hence increasing the risk of outbreaks and diminishing the efficacy of standard medical procedures that depend on good antibiotic prophylaxis. The implications of AMR on the entire population indicate that it constitutes not merely a clinical issue but also a systemic peril to the enduring health of the healthcare system</w:t>
      </w:r>
      <w:r w:rsidR="00D27571" w:rsidRPr="00D27571">
        <w:rPr>
          <w:rFonts w:ascii="Arial" w:hAnsi="Arial" w:cs="Arial"/>
          <w:b/>
          <w:color w:val="222222"/>
          <w:sz w:val="20"/>
          <w:szCs w:val="20"/>
          <w:shd w:val="clear" w:color="auto" w:fill="FFFFFF"/>
        </w:rPr>
        <w:t>.</w:t>
      </w:r>
      <w:r w:rsidRPr="00F419CC">
        <w:rPr>
          <w:rFonts w:ascii="Times New Roman" w:eastAsia="Times New Roman" w:hAnsi="Times New Roman" w:cs="Times New Roman"/>
          <w:sz w:val="24"/>
          <w:szCs w:val="24"/>
          <w:lang w:eastAsia="en-IN"/>
        </w:rPr>
        <w:t xml:space="preserve"> This study demonstrates the significance of integrated preventive and control measures. Instances and case studies of </w:t>
      </w:r>
      <w:proofErr w:type="spellStart"/>
      <w:r w:rsidRPr="00F419CC">
        <w:rPr>
          <w:rFonts w:ascii="Times New Roman" w:eastAsia="Times New Roman" w:hAnsi="Times New Roman" w:cs="Times New Roman"/>
          <w:sz w:val="24"/>
          <w:szCs w:val="24"/>
          <w:lang w:eastAsia="en-IN"/>
        </w:rPr>
        <w:t>pediatric</w:t>
      </w:r>
      <w:proofErr w:type="spellEnd"/>
      <w:r w:rsidRPr="00F419CC">
        <w:rPr>
          <w:rFonts w:ascii="Times New Roman" w:eastAsia="Times New Roman" w:hAnsi="Times New Roman" w:cs="Times New Roman"/>
          <w:sz w:val="24"/>
          <w:szCs w:val="24"/>
          <w:lang w:eastAsia="en-IN"/>
        </w:rPr>
        <w:t xml:space="preserve"> antimicrobial resistance (AMR) reveal numerous alarming trends. A notable instance is the rising resistance of pneumonia-causing bacteria in children, specifically Streptococcus pneumoniae, a primary agent of community-acquired infections. In numerous areas, this pathogen has acquired resistance to frequently utilized antibiotics, including penicillin, macrolides, and cotrimoxazole, resulting in treatment failures and necessitating more potent or intravenous therapies. This trend is associated with recurrent antibiotic exposure in early life, and despite high vaccination rates, the problem persists due to the emergence of vaccine-resistant strains. Another instance is the inappropriate administration of antibiotics in acute otitis media (AOM), where antibiotics are often prescribed despite numerous cases being viral or self-limiting; this encompasses overprescribing rather than implementing "watchful waiting," </w:t>
      </w:r>
      <w:r w:rsidR="00DA2490" w:rsidRPr="00F419CC">
        <w:rPr>
          <w:rFonts w:ascii="Times New Roman" w:eastAsia="Times New Roman" w:hAnsi="Times New Roman" w:cs="Times New Roman"/>
          <w:sz w:val="24"/>
          <w:szCs w:val="24"/>
          <w:lang w:eastAsia="en-IN"/>
        </w:rPr>
        <w:t>favouring</w:t>
      </w:r>
      <w:r w:rsidRPr="00F419CC">
        <w:rPr>
          <w:rFonts w:ascii="Times New Roman" w:eastAsia="Times New Roman" w:hAnsi="Times New Roman" w:cs="Times New Roman"/>
          <w:sz w:val="24"/>
          <w:szCs w:val="24"/>
          <w:lang w:eastAsia="en-IN"/>
        </w:rPr>
        <w:t xml:space="preserve"> broad-spectrum over narrow-spectrum agents, and recurrent treatments in young children, all of which expedite resistance in organisms such as S. pneumoniae and Haemophilus influenzae, heighten side effects, and disturb the microbiome, despite the recommendation for delayed prescribing, which is inconsistently adhered to. Regional trends in South Asia and Sub-Saharan </w:t>
      </w:r>
      <w:r w:rsidRPr="00F419CC">
        <w:rPr>
          <w:rFonts w:ascii="Times New Roman" w:eastAsia="Times New Roman" w:hAnsi="Times New Roman" w:cs="Times New Roman"/>
          <w:sz w:val="24"/>
          <w:szCs w:val="24"/>
          <w:lang w:eastAsia="en-IN"/>
        </w:rPr>
        <w:lastRenderedPageBreak/>
        <w:t xml:space="preserve">Africa exemplify the problem, where elevated infectious disease burdens, inadequate diagnostic capabilities, and feeble regulatory enforcement foster pervasive non-prescription antibiotic usage, dependence on broad-spectrum medications, and scant laboratory validation, culminating in the swift emergence of multidrug-resistant pathogens such as extended-spectrum beta-lactamase (ESBL)-producing E. coli, which are increasingly documented in </w:t>
      </w:r>
      <w:r w:rsidR="00DA2490"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urinary and bloodstream infections; likewise, diminished susceptibility in respiratory pathogens has resulted in more frequent treatment escalations and hospital admissions</w:t>
      </w:r>
      <w:r w:rsidRPr="00D27571">
        <w:rPr>
          <w:rFonts w:ascii="Times New Roman" w:eastAsia="Times New Roman" w:hAnsi="Times New Roman" w:cs="Times New Roman"/>
          <w:b/>
          <w:sz w:val="24"/>
          <w:szCs w:val="24"/>
          <w:lang w:eastAsia="en-IN"/>
        </w:rPr>
        <w:t>.</w:t>
      </w:r>
      <w:r w:rsidRPr="00F419CC">
        <w:rPr>
          <w:rFonts w:ascii="Times New Roman" w:eastAsia="Times New Roman" w:hAnsi="Times New Roman" w:cs="Times New Roman"/>
          <w:sz w:val="24"/>
          <w:szCs w:val="24"/>
          <w:lang w:eastAsia="en-IN"/>
        </w:rPr>
        <w:t xml:space="preserve"> These examples collectively illustrate a distinct pattern: frequent and often in</w:t>
      </w:r>
      <w:r w:rsidR="00DA2490" w:rsidRPr="00F419CC">
        <w:rPr>
          <w:rFonts w:ascii="Times New Roman" w:eastAsia="Times New Roman" w:hAnsi="Times New Roman" w:cs="Times New Roman"/>
          <w:sz w:val="24"/>
          <w:szCs w:val="24"/>
          <w:lang w:eastAsia="en-IN"/>
        </w:rPr>
        <w:t xml:space="preserve">appropriate antibiotic exposure, </w:t>
      </w:r>
      <w:r w:rsidRPr="00F419CC">
        <w:rPr>
          <w:rFonts w:ascii="Times New Roman" w:eastAsia="Times New Roman" w:hAnsi="Times New Roman" w:cs="Times New Roman"/>
          <w:sz w:val="24"/>
          <w:szCs w:val="24"/>
          <w:lang w:eastAsia="en-IN"/>
        </w:rPr>
        <w:t>stemming from overprescribing, non-compliance with guidelines, or unregulated a</w:t>
      </w:r>
      <w:r w:rsidR="00DA2490" w:rsidRPr="00F419CC">
        <w:rPr>
          <w:rFonts w:ascii="Times New Roman" w:eastAsia="Times New Roman" w:hAnsi="Times New Roman" w:cs="Times New Roman"/>
          <w:sz w:val="24"/>
          <w:szCs w:val="24"/>
          <w:lang w:eastAsia="en-IN"/>
        </w:rPr>
        <w:t xml:space="preserve">ccess, </w:t>
      </w:r>
      <w:r w:rsidRPr="00F419CC">
        <w:rPr>
          <w:rFonts w:ascii="Times New Roman" w:eastAsia="Times New Roman" w:hAnsi="Times New Roman" w:cs="Times New Roman"/>
          <w:sz w:val="24"/>
          <w:szCs w:val="24"/>
          <w:lang w:eastAsia="en-IN"/>
        </w:rPr>
        <w:t>exerts significant selective pressure for resistance, with children being especially susceptible due to their recurrent infections and repeated treatments in early life</w:t>
      </w:r>
      <w:r w:rsidR="00444CF2">
        <w:rPr>
          <w:rFonts w:ascii="Times New Roman" w:eastAsia="Times New Roman" w:hAnsi="Times New Roman" w:cs="Times New Roman"/>
          <w:sz w:val="24"/>
          <w:szCs w:val="24"/>
          <w:lang w:eastAsia="en-IN"/>
        </w:rPr>
        <w:t>,</w:t>
      </w:r>
      <w:r w:rsidR="00444CF2" w:rsidRPr="00444CF2">
        <w:rPr>
          <w:rFonts w:ascii="Arial" w:hAnsi="Arial" w:cs="Arial"/>
          <w:color w:val="222222"/>
          <w:sz w:val="20"/>
          <w:szCs w:val="20"/>
          <w:shd w:val="clear" w:color="auto" w:fill="FFFFFF"/>
        </w:rPr>
        <w:t xml:space="preserve"> </w:t>
      </w:r>
      <w:r w:rsidR="00444CF2" w:rsidRPr="00444CF2">
        <w:rPr>
          <w:rFonts w:ascii="Arial" w:hAnsi="Arial" w:cs="Arial"/>
          <w:b/>
          <w:color w:val="222222"/>
          <w:sz w:val="20"/>
          <w:szCs w:val="20"/>
          <w:shd w:val="clear" w:color="auto" w:fill="FFFFFF"/>
        </w:rPr>
        <w:t>Mbuthia, J., et. al. (2025).</w:t>
      </w:r>
    </w:p>
    <w:p w14:paraId="1D57ABF5" w14:textId="77777777" w:rsidR="00522C24" w:rsidRPr="00F419CC" w:rsidRDefault="000F0DCC" w:rsidP="00A34755">
      <w:pPr>
        <w:pStyle w:val="NormalWeb"/>
      </w:pPr>
      <w:r>
        <w:rPr>
          <w:b/>
        </w:rPr>
        <w:t xml:space="preserve">VII </w:t>
      </w:r>
      <w:r w:rsidR="0097644E" w:rsidRPr="00F419CC">
        <w:rPr>
          <w:b/>
        </w:rPr>
        <w:t>Ways to Address the Problem</w:t>
      </w:r>
      <w:r w:rsidR="0097644E" w:rsidRPr="00F419CC">
        <w:br/>
      </w:r>
    </w:p>
    <w:p w14:paraId="476C9997" w14:textId="77777777" w:rsidR="00C21B39" w:rsidRPr="00F419CC" w:rsidRDefault="0097644E" w:rsidP="00E6611B">
      <w:pPr>
        <w:pStyle w:val="NormalWeb"/>
      </w:pPr>
      <w:r w:rsidRPr="00F419CC">
        <w:rPr>
          <w:b/>
        </w:rPr>
        <w:t>Taking care of antimicrobial drugs</w:t>
      </w:r>
      <w:r w:rsidRPr="00F419CC">
        <w:br/>
      </w:r>
    </w:p>
    <w:p w14:paraId="2C4D098D" w14:textId="77777777" w:rsidR="00C21B39" w:rsidRPr="00CC786A" w:rsidRDefault="00C21B39" w:rsidP="00C21B39">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Antimicrobial stewardship involves a series of coordinated measures to ensure the appropriate and effective use of antibiotics. In </w:t>
      </w:r>
      <w:r w:rsidR="00FF7530"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care, stewardship is essential to maintain antibiotic efficacy, reduce adverse effects, and avert the emergence of antimicrobial resistance (AMR). Stewardship programs are founded on guidelines for formulating judicious prescriptions. Evidence-based clinical guidelines aid physicians in identifying the suitable conditions for antibiotic use, the particular medication to be prescribed, and the accurate dosage and duration of treatment. </w:t>
      </w:r>
      <w:r w:rsidR="00FF7530" w:rsidRPr="00F419CC">
        <w:rPr>
          <w:rFonts w:ascii="Times New Roman" w:eastAsia="Times New Roman" w:hAnsi="Times New Roman" w:cs="Times New Roman"/>
          <w:sz w:val="24"/>
          <w:szCs w:val="24"/>
          <w:lang w:eastAsia="en-IN"/>
        </w:rPr>
        <w:t>Paediatricians</w:t>
      </w:r>
      <w:r w:rsidRPr="00F419CC">
        <w:rPr>
          <w:rFonts w:ascii="Times New Roman" w:eastAsia="Times New Roman" w:hAnsi="Times New Roman" w:cs="Times New Roman"/>
          <w:sz w:val="24"/>
          <w:szCs w:val="24"/>
          <w:lang w:eastAsia="en-IN"/>
        </w:rPr>
        <w:t xml:space="preserve"> consider these guidelines essential, as numerous infections either resolve spontaneously or originate from a viral </w:t>
      </w:r>
      <w:proofErr w:type="spellStart"/>
      <w:r w:rsidRPr="00F419CC">
        <w:rPr>
          <w:rFonts w:ascii="Times New Roman" w:eastAsia="Times New Roman" w:hAnsi="Times New Roman" w:cs="Times New Roman"/>
          <w:sz w:val="24"/>
          <w:szCs w:val="24"/>
          <w:lang w:eastAsia="en-IN"/>
        </w:rPr>
        <w:t>etiology</w:t>
      </w:r>
      <w:proofErr w:type="spellEnd"/>
      <w:r w:rsidRPr="00F419CC">
        <w:rPr>
          <w:rFonts w:ascii="Times New Roman" w:eastAsia="Times New Roman" w:hAnsi="Times New Roman" w:cs="Times New Roman"/>
          <w:sz w:val="24"/>
          <w:szCs w:val="24"/>
          <w:lang w:eastAsia="en-IN"/>
        </w:rPr>
        <w:t>. Standardized criteria reduce the likelihood of physicians prescribing varying treatments and assist healthcare practitioners in making more consistent selections</w:t>
      </w:r>
      <w:r w:rsidR="00CC786A">
        <w:rPr>
          <w:rFonts w:ascii="Times New Roman" w:eastAsia="Times New Roman" w:hAnsi="Times New Roman" w:cs="Times New Roman"/>
          <w:sz w:val="24"/>
          <w:szCs w:val="24"/>
          <w:lang w:eastAsia="en-IN"/>
        </w:rPr>
        <w:t>,</w:t>
      </w:r>
      <w:r w:rsidR="00CC786A" w:rsidRPr="00CC786A">
        <w:rPr>
          <w:rFonts w:ascii="Arial" w:hAnsi="Arial" w:cs="Arial"/>
          <w:color w:val="222222"/>
          <w:sz w:val="20"/>
          <w:szCs w:val="20"/>
          <w:shd w:val="clear" w:color="auto" w:fill="FFFFFF"/>
        </w:rPr>
        <w:t xml:space="preserve"> </w:t>
      </w:r>
      <w:r w:rsidR="00CC786A" w:rsidRPr="00CC786A">
        <w:rPr>
          <w:rFonts w:ascii="Arial" w:hAnsi="Arial" w:cs="Arial"/>
          <w:b/>
          <w:color w:val="222222"/>
          <w:sz w:val="20"/>
          <w:szCs w:val="20"/>
          <w:shd w:val="clear" w:color="auto" w:fill="FFFFFF"/>
        </w:rPr>
        <w:t>Crapis, M., Nicolini, G, et. al. (2026)</w:t>
      </w:r>
      <w:r w:rsidRPr="00CC786A">
        <w:rPr>
          <w:rFonts w:ascii="Times New Roman" w:eastAsia="Times New Roman" w:hAnsi="Times New Roman" w:cs="Times New Roman"/>
          <w:b/>
          <w:sz w:val="24"/>
          <w:szCs w:val="24"/>
          <w:lang w:eastAsia="en-IN"/>
        </w:rPr>
        <w:t>.</w:t>
      </w:r>
      <w:r w:rsidRPr="00F419CC">
        <w:rPr>
          <w:rFonts w:ascii="Times New Roman" w:eastAsia="Times New Roman" w:hAnsi="Times New Roman" w:cs="Times New Roman"/>
          <w:sz w:val="24"/>
          <w:szCs w:val="24"/>
          <w:lang w:eastAsia="en-IN"/>
        </w:rPr>
        <w:t xml:space="preserve"> A recommended method is to delay the prescription of antibiotics, particularly for conditions when they are not immediately required. This method provides a prescription; however, caregivers are instructed to wait a specified duration to assess if symptoms improve before administering the antibiotic. This approach reduces unnecessary antibiotic usage while ensuring the safety and comfort of caregivers. It is frequently utilized for mild respiratory infections and acute otitis media when the risk of complications is minimal. A core component of rational therapy involves the utilization of antibiotics that target a limited spectrum of bacterial strains. Narrow-spectrum antibiotics specifically target certain bacteria, safeguarding the natural microbiome and diminishing the selection pressure for resistant strains. These antibiotics should be preferred over broad-spectrum alternatives wherever feasible. This approach is particularly vital in </w:t>
      </w:r>
      <w:r w:rsidR="00FF7530" w:rsidRPr="00F419CC">
        <w:rPr>
          <w:rFonts w:ascii="Times New Roman" w:eastAsia="Times New Roman" w:hAnsi="Times New Roman" w:cs="Times New Roman"/>
          <w:sz w:val="24"/>
          <w:szCs w:val="24"/>
          <w:lang w:eastAsia="en-IN"/>
        </w:rPr>
        <w:t>paediatrics</w:t>
      </w:r>
      <w:r w:rsidRPr="00F419CC">
        <w:rPr>
          <w:rFonts w:ascii="Times New Roman" w:eastAsia="Times New Roman" w:hAnsi="Times New Roman" w:cs="Times New Roman"/>
          <w:sz w:val="24"/>
          <w:szCs w:val="24"/>
          <w:lang w:eastAsia="en-IN"/>
        </w:rPr>
        <w:t>, since the microbial balance in the body throughout early life is crucial for immune system development and long-term health. These stewardship practices collaboratively optimize antibiotic utilization, improve health outcomes, and reduce the long-term impact of antimicrobial resistance in children</w:t>
      </w:r>
      <w:r w:rsidR="00CC786A">
        <w:rPr>
          <w:rFonts w:ascii="Times New Roman" w:eastAsia="Times New Roman" w:hAnsi="Times New Roman" w:cs="Times New Roman"/>
          <w:sz w:val="24"/>
          <w:szCs w:val="24"/>
          <w:lang w:eastAsia="en-IN"/>
        </w:rPr>
        <w:t>,</w:t>
      </w:r>
      <w:r w:rsidR="00CC786A" w:rsidRPr="00CC786A">
        <w:rPr>
          <w:rFonts w:ascii="Arial" w:hAnsi="Arial" w:cs="Arial"/>
          <w:color w:val="222222"/>
          <w:sz w:val="20"/>
          <w:szCs w:val="20"/>
          <w:shd w:val="clear" w:color="auto" w:fill="FFFFFF"/>
        </w:rPr>
        <w:t xml:space="preserve"> </w:t>
      </w:r>
      <w:r w:rsidR="00CC786A" w:rsidRPr="00CC786A">
        <w:rPr>
          <w:rFonts w:ascii="Arial" w:hAnsi="Arial" w:cs="Arial"/>
          <w:b/>
          <w:color w:val="222222"/>
          <w:sz w:val="20"/>
          <w:szCs w:val="20"/>
          <w:shd w:val="clear" w:color="auto" w:fill="FFFFFF"/>
        </w:rPr>
        <w:t>Bindel, L. J., et. al. (2026)</w:t>
      </w:r>
      <w:r w:rsidR="005569EE" w:rsidRPr="00CC786A">
        <w:rPr>
          <w:rFonts w:ascii="Times New Roman" w:eastAsia="Times New Roman" w:hAnsi="Times New Roman" w:cs="Times New Roman"/>
          <w:b/>
          <w:sz w:val="24"/>
          <w:szCs w:val="24"/>
          <w:lang w:eastAsia="en-IN"/>
        </w:rPr>
        <w:t>.</w:t>
      </w:r>
    </w:p>
    <w:p w14:paraId="22743BF1" w14:textId="77777777" w:rsidR="007F70A5" w:rsidRPr="00F419CC" w:rsidRDefault="00D50151" w:rsidP="00E6611B">
      <w:pPr>
        <w:pStyle w:val="NormalWeb"/>
      </w:pPr>
      <w:r>
        <w:rPr>
          <w:b/>
        </w:rPr>
        <w:t xml:space="preserve">VIII. </w:t>
      </w:r>
      <w:r w:rsidR="0097644E" w:rsidRPr="00F419CC">
        <w:rPr>
          <w:b/>
        </w:rPr>
        <w:t>Learning and being aware</w:t>
      </w:r>
      <w:r w:rsidR="0097644E" w:rsidRPr="00F419CC">
        <w:rPr>
          <w:b/>
        </w:rPr>
        <w:br/>
      </w:r>
    </w:p>
    <w:p w14:paraId="602C5E98" w14:textId="77777777" w:rsidR="007F70A5" w:rsidRDefault="007F70A5" w:rsidP="007F70A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419CC">
        <w:rPr>
          <w:rFonts w:ascii="Times New Roman" w:eastAsia="Times New Roman" w:hAnsi="Times New Roman" w:cs="Times New Roman"/>
          <w:sz w:val="24"/>
          <w:szCs w:val="24"/>
          <w:lang w:eastAsia="en-IN"/>
        </w:rPr>
        <w:t xml:space="preserve">Educating children about antibiotics and their associated risks is crucial for the prevention and management of antimicrobial resistance (AMR) in the long run. Parents and caregivers need to be educated because they are often the first people to make decisions about sick children. </w:t>
      </w:r>
      <w:r w:rsidRPr="00F419CC">
        <w:rPr>
          <w:rFonts w:ascii="Times New Roman" w:eastAsia="Times New Roman" w:hAnsi="Times New Roman" w:cs="Times New Roman"/>
          <w:sz w:val="24"/>
          <w:szCs w:val="24"/>
          <w:lang w:eastAsia="en-IN"/>
        </w:rPr>
        <w:lastRenderedPageBreak/>
        <w:t>Numerous providers continue to believe that antibiotics are effective for all infections or that they facilitate a more rapid recovery from viral illnesses such as influenza and colds. Targeted education can elucidate these misconceptions by clarifying the appropriate circumstances for antibiotic use, the instances when they are unnecessary, and the dangers associated with abuse. Effective communication during healthcare consultations, particularly in elucidating the rationale for the non-necessity of antibiotics, has been shown to reduce unnecessary demand while maintaining caregiver satisfaction</w:t>
      </w:r>
      <w:r w:rsidRPr="00604DCC">
        <w:rPr>
          <w:rFonts w:ascii="Times New Roman" w:eastAsia="Times New Roman" w:hAnsi="Times New Roman" w:cs="Times New Roman"/>
          <w:b/>
          <w:sz w:val="24"/>
          <w:szCs w:val="24"/>
          <w:lang w:eastAsia="en-IN"/>
        </w:rPr>
        <w:t>.</w:t>
      </w:r>
      <w:r w:rsidRPr="00F419CC">
        <w:rPr>
          <w:rFonts w:ascii="Times New Roman" w:eastAsia="Times New Roman" w:hAnsi="Times New Roman" w:cs="Times New Roman"/>
          <w:sz w:val="24"/>
          <w:szCs w:val="24"/>
          <w:lang w:eastAsia="en-IN"/>
        </w:rPr>
        <w:t xml:space="preserve"> Training healthcare personnel is equally crucial, as their decisions about medicine prescriptions directly influence antibiotic utilization. Clinicians can remain informed about current guidelines, resistance trends, and stewardship principles by participating in continuous medical education programs. Training should emphasize individuals' diagnostic skills, effective patient communication to establish expectations, and confidence in employing non-antibiotic management strategies, including symptomatic care and delayed dosing. Enhancing clinical decision-making reduces the likelihood of individuals requiring broad-spectrum or unnecessary antibiotics. Public health campaigns provide the community with an enhanced forum to discuss strategies for preventing antibiotic misuse. These campaigns can utilize educational institutions, community health programs, and media outlets to enhance awareness of antimicrobial resistance (AMR) and the safe use of antibiotics. Effective advertisements often emphasize straightforward themes, such as "antibiotics are ineffective against viral infections," and caution individuals of the dangers of self-medication and incomplete treatment regimens. Prolonged implementation of such initiatives can alter public perception and promote responsible antibiotic usage, ultimately resulting in less antimicrobial resistance and enhanced health outcomes within the community. These strategies for education and awareness collaborate to guarantee that patients, physicians, and the general populace possess a unified understanding</w:t>
      </w:r>
      <w:r w:rsidR="004651A9">
        <w:rPr>
          <w:rFonts w:ascii="Times New Roman" w:eastAsia="Times New Roman" w:hAnsi="Times New Roman" w:cs="Times New Roman"/>
          <w:sz w:val="24"/>
          <w:szCs w:val="24"/>
          <w:lang w:eastAsia="en-IN"/>
        </w:rPr>
        <w:t>,</w:t>
      </w:r>
      <w:r w:rsidR="004651A9" w:rsidRPr="004651A9">
        <w:rPr>
          <w:rFonts w:ascii="Arial" w:hAnsi="Arial" w:cs="Arial"/>
          <w:color w:val="222222"/>
          <w:sz w:val="20"/>
          <w:szCs w:val="20"/>
          <w:shd w:val="clear" w:color="auto" w:fill="FFFFFF"/>
        </w:rPr>
        <w:t xml:space="preserve"> </w:t>
      </w:r>
      <w:proofErr w:type="spellStart"/>
      <w:r w:rsidR="004651A9" w:rsidRPr="004651A9">
        <w:rPr>
          <w:rFonts w:ascii="Arial" w:hAnsi="Arial" w:cs="Arial"/>
          <w:b/>
          <w:color w:val="222222"/>
          <w:sz w:val="20"/>
          <w:szCs w:val="20"/>
          <w:shd w:val="clear" w:color="auto" w:fill="FFFFFF"/>
        </w:rPr>
        <w:t>Hailesilase</w:t>
      </w:r>
      <w:proofErr w:type="spellEnd"/>
      <w:r w:rsidR="004651A9" w:rsidRPr="004651A9">
        <w:rPr>
          <w:rFonts w:ascii="Arial" w:hAnsi="Arial" w:cs="Arial"/>
          <w:b/>
          <w:color w:val="222222"/>
          <w:sz w:val="20"/>
          <w:szCs w:val="20"/>
          <w:shd w:val="clear" w:color="auto" w:fill="FFFFFF"/>
        </w:rPr>
        <w:t>, G. G., et. al. (2026).</w:t>
      </w:r>
      <w:r w:rsidRPr="00F419CC">
        <w:rPr>
          <w:rFonts w:ascii="Times New Roman" w:eastAsia="Times New Roman" w:hAnsi="Times New Roman" w:cs="Times New Roman"/>
          <w:sz w:val="24"/>
          <w:szCs w:val="24"/>
          <w:lang w:eastAsia="en-IN"/>
        </w:rPr>
        <w:t xml:space="preserve"> This is an essential component of the worldwide initiative to combat antimicrobial resistance in children</w:t>
      </w:r>
      <w:r w:rsidR="00CA00BA">
        <w:rPr>
          <w:rFonts w:ascii="Times New Roman" w:eastAsia="Times New Roman" w:hAnsi="Times New Roman" w:cs="Times New Roman"/>
          <w:sz w:val="24"/>
          <w:szCs w:val="24"/>
          <w:lang w:eastAsia="en-IN"/>
        </w:rPr>
        <w:t>.</w:t>
      </w:r>
    </w:p>
    <w:p w14:paraId="2135E974" w14:textId="77777777" w:rsidR="003A1C2E" w:rsidRPr="003A1C2E" w:rsidRDefault="003A1C2E" w:rsidP="003A1C2E">
      <w:pPr>
        <w:spacing w:before="100" w:beforeAutospacing="1" w:after="100" w:afterAutospacing="1" w:line="240" w:lineRule="auto"/>
        <w:rPr>
          <w:rFonts w:ascii="Times New Roman" w:eastAsia="Times New Roman" w:hAnsi="Times New Roman" w:cs="Times New Roman"/>
          <w:sz w:val="24"/>
          <w:szCs w:val="24"/>
          <w:lang w:eastAsia="en-IN"/>
        </w:rPr>
      </w:pPr>
      <w:r w:rsidRPr="003A1C2E">
        <w:rPr>
          <w:rFonts w:ascii="Times New Roman" w:eastAsia="Times New Roman" w:hAnsi="Times New Roman" w:cs="Times New Roman"/>
          <w:noProof/>
          <w:sz w:val="24"/>
          <w:szCs w:val="24"/>
          <w:lang w:eastAsia="en-IN"/>
        </w:rPr>
        <w:drawing>
          <wp:inline distT="0" distB="0" distL="0" distR="0" wp14:anchorId="5C53A616" wp14:editId="10178811">
            <wp:extent cx="4930140" cy="3451098"/>
            <wp:effectExtent l="0" t="0" r="3810" b="0"/>
            <wp:docPr id="2" name="Picture 2" descr="C:\Users\acer\Downloads\Untitl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Untitled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7857" cy="3456500"/>
                    </a:xfrm>
                    <a:prstGeom prst="rect">
                      <a:avLst/>
                    </a:prstGeom>
                    <a:noFill/>
                    <a:ln>
                      <a:noFill/>
                    </a:ln>
                  </pic:spPr>
                </pic:pic>
              </a:graphicData>
            </a:graphic>
          </wp:inline>
        </w:drawing>
      </w:r>
    </w:p>
    <w:p w14:paraId="2C49C0C3" w14:textId="77777777" w:rsidR="003A1C2E" w:rsidRPr="00604DCC" w:rsidRDefault="005A3F63" w:rsidP="007F70A5">
      <w:pPr>
        <w:spacing w:before="100" w:beforeAutospacing="1" w:after="100" w:afterAutospacing="1"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Figure:03</w:t>
      </w:r>
      <w:r w:rsidR="003A1C2E">
        <w:rPr>
          <w:rFonts w:ascii="Times New Roman" w:eastAsia="Times New Roman" w:hAnsi="Times New Roman" w:cs="Times New Roman"/>
          <w:b/>
          <w:sz w:val="24"/>
          <w:szCs w:val="24"/>
          <w:lang w:eastAsia="en-IN"/>
        </w:rPr>
        <w:t xml:space="preserve"> Antibiotic Resistance Mechanisms</w:t>
      </w:r>
    </w:p>
    <w:p w14:paraId="2474C678" w14:textId="77777777" w:rsidR="00522C24" w:rsidRPr="00F419CC" w:rsidRDefault="00522C24" w:rsidP="00E6611B">
      <w:pPr>
        <w:pStyle w:val="NormalWeb"/>
      </w:pPr>
    </w:p>
    <w:p w14:paraId="2EEEA3F7" w14:textId="77777777" w:rsidR="00465E50" w:rsidRPr="00F419CC" w:rsidRDefault="00D50151" w:rsidP="004A0114">
      <w:pPr>
        <w:pStyle w:val="NormalWeb"/>
      </w:pPr>
      <w:r>
        <w:rPr>
          <w:b/>
        </w:rPr>
        <w:lastRenderedPageBreak/>
        <w:t>IX</w:t>
      </w:r>
      <w:r w:rsidR="0097644E" w:rsidRPr="00F419CC">
        <w:rPr>
          <w:b/>
        </w:rPr>
        <w:t xml:space="preserve"> Rules and policies</w:t>
      </w:r>
      <w:r w:rsidR="0097644E" w:rsidRPr="00F419CC">
        <w:rPr>
          <w:b/>
        </w:rPr>
        <w:br/>
      </w:r>
    </w:p>
    <w:p w14:paraId="14150151" w14:textId="77777777" w:rsidR="004A0114" w:rsidRPr="00F419CC" w:rsidRDefault="004A0114" w:rsidP="00465E50">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04E037F4" w14:textId="77777777" w:rsidR="00465E50" w:rsidRPr="00F14A21" w:rsidRDefault="00465E50" w:rsidP="00465E5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To effectively mitigate antimicrobial resistance (AMR), robust policy frameworks and regulatory systems are required to limit antibiotic utilization at both national and global levels. These measures guarantee the proper administration, vigilant oversight, and conservation of antibiotics for future generations. Restricting the sale of antibiotics without a prescription is a crucial measure for regulation. In numerous locations, antibiotics remain accessible without a prescription. This results in extensive self-medication, incorrect dosing, and the selection of inappropriate medications. To guarantee that antibiotics are exclusively dispensed to those receiving medical care, it is essential to establish and enforce prescription-only laws. This reduces abuse among both children and adults. Nonetheless, enforcement must be supported by accessible healthcare facilities, such as </w:t>
      </w:r>
      <w:r w:rsidR="004A0114" w:rsidRPr="00F419CC">
        <w:rPr>
          <w:rFonts w:ascii="Times New Roman" w:eastAsia="Times New Roman" w:hAnsi="Times New Roman" w:cs="Times New Roman"/>
          <w:sz w:val="24"/>
          <w:szCs w:val="24"/>
          <w:lang w:eastAsia="en-IN"/>
        </w:rPr>
        <w:t>neighbourhood</w:t>
      </w:r>
      <w:r w:rsidRPr="00F419CC">
        <w:rPr>
          <w:rFonts w:ascii="Times New Roman" w:eastAsia="Times New Roman" w:hAnsi="Times New Roman" w:cs="Times New Roman"/>
          <w:sz w:val="24"/>
          <w:szCs w:val="24"/>
          <w:lang w:eastAsia="en-IN"/>
        </w:rPr>
        <w:t xml:space="preserve"> clinics and telehealth alternatives, to guarantee that patients may obtain essential medicines without impediments</w:t>
      </w:r>
      <w:r w:rsidR="00CA00BA">
        <w:rPr>
          <w:rFonts w:ascii="Times New Roman" w:eastAsia="Times New Roman" w:hAnsi="Times New Roman" w:cs="Times New Roman"/>
          <w:sz w:val="24"/>
          <w:szCs w:val="24"/>
          <w:lang w:eastAsia="en-IN"/>
        </w:rPr>
        <w:t xml:space="preserve">. </w:t>
      </w:r>
      <w:r w:rsidRPr="00F419CC">
        <w:rPr>
          <w:rFonts w:ascii="Times New Roman" w:eastAsia="Times New Roman" w:hAnsi="Times New Roman" w:cs="Times New Roman"/>
          <w:sz w:val="24"/>
          <w:szCs w:val="24"/>
          <w:lang w:eastAsia="en-IN"/>
        </w:rPr>
        <w:t>Otherwise, informal access may persist despite established legislation, resulting in possible health hazards and compromising the efficacy of the rules, particularly if patients resort to unregulated sources for medications that could lead to misuse or ineffective treatment</w:t>
      </w:r>
      <w:r w:rsidR="00355304">
        <w:rPr>
          <w:rFonts w:ascii="Times New Roman" w:eastAsia="Times New Roman" w:hAnsi="Times New Roman" w:cs="Times New Roman"/>
          <w:sz w:val="24"/>
          <w:szCs w:val="24"/>
          <w:lang w:eastAsia="en-IN"/>
        </w:rPr>
        <w:t>,</w:t>
      </w:r>
      <w:r w:rsidR="00355304" w:rsidRPr="00355304">
        <w:rPr>
          <w:rFonts w:ascii="Arial" w:hAnsi="Arial" w:cs="Arial"/>
          <w:color w:val="222222"/>
          <w:sz w:val="20"/>
          <w:szCs w:val="20"/>
          <w:shd w:val="clear" w:color="auto" w:fill="FFFFFF"/>
        </w:rPr>
        <w:t xml:space="preserve"> </w:t>
      </w:r>
      <w:proofErr w:type="spellStart"/>
      <w:r w:rsidR="00355304" w:rsidRPr="00355304">
        <w:rPr>
          <w:rFonts w:ascii="Arial" w:hAnsi="Arial" w:cs="Arial"/>
          <w:b/>
          <w:color w:val="222222"/>
          <w:sz w:val="20"/>
          <w:szCs w:val="20"/>
          <w:shd w:val="clear" w:color="auto" w:fill="FFFFFF"/>
        </w:rPr>
        <w:t>Arulappen</w:t>
      </w:r>
      <w:proofErr w:type="spellEnd"/>
      <w:r w:rsidR="00355304" w:rsidRPr="00355304">
        <w:rPr>
          <w:rFonts w:ascii="Arial" w:hAnsi="Arial" w:cs="Arial"/>
          <w:b/>
          <w:color w:val="222222"/>
          <w:sz w:val="20"/>
          <w:szCs w:val="20"/>
          <w:shd w:val="clear" w:color="auto" w:fill="FFFFFF"/>
        </w:rPr>
        <w:t>, A. L., Khan, et. al. (2025)</w:t>
      </w:r>
      <w:r w:rsidRPr="00F419CC">
        <w:rPr>
          <w:rFonts w:ascii="Times New Roman" w:eastAsia="Times New Roman" w:hAnsi="Times New Roman" w:cs="Times New Roman"/>
          <w:sz w:val="24"/>
          <w:szCs w:val="24"/>
          <w:lang w:eastAsia="en-IN"/>
        </w:rPr>
        <w:t xml:space="preserve">. Enhancing surveillance systems is essential for monitoring antibiotic consumption and resistance patterns. Health authorities can identify novel resistant species, track prescribing patterns, and evaluate the efficacy of medicines through surveillance. In </w:t>
      </w:r>
      <w:r w:rsidR="004F1E1E"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populations, surveillance data can inform local treatment protocols and ensure that empirical therapy aligns with current resistance </w:t>
      </w:r>
      <w:r w:rsidR="00BC1F58" w:rsidRPr="00F419CC">
        <w:rPr>
          <w:rFonts w:ascii="Times New Roman" w:eastAsia="Times New Roman" w:hAnsi="Times New Roman" w:cs="Times New Roman"/>
          <w:sz w:val="24"/>
          <w:szCs w:val="24"/>
          <w:lang w:eastAsia="en-IN"/>
        </w:rPr>
        <w:t>patterns</w:t>
      </w:r>
      <w:r w:rsidR="00BC1F58">
        <w:rPr>
          <w:rFonts w:ascii="Times New Roman" w:eastAsia="Times New Roman" w:hAnsi="Times New Roman" w:cs="Times New Roman"/>
          <w:sz w:val="24"/>
          <w:szCs w:val="24"/>
          <w:lang w:eastAsia="en-IN"/>
        </w:rPr>
        <w:t>,</w:t>
      </w:r>
      <w:r w:rsidR="00C93E19">
        <w:rPr>
          <w:rFonts w:ascii="Arial" w:hAnsi="Arial" w:cs="Arial"/>
          <w:color w:val="222222"/>
          <w:sz w:val="20"/>
          <w:szCs w:val="20"/>
          <w:shd w:val="clear" w:color="auto" w:fill="FFFFFF"/>
        </w:rPr>
        <w:t xml:space="preserve"> </w:t>
      </w:r>
      <w:r w:rsidRPr="00F419CC">
        <w:rPr>
          <w:rFonts w:ascii="Times New Roman" w:eastAsia="Times New Roman" w:hAnsi="Times New Roman" w:cs="Times New Roman"/>
          <w:sz w:val="24"/>
          <w:szCs w:val="24"/>
          <w:lang w:eastAsia="en-IN"/>
        </w:rPr>
        <w:t>Robust laboratory networks and consistent reporting methodologies are essential components of effective surveillance. Organized initiatives addressing antimicrobial resistance (AMR) exist at both national and global levels, such as those established by the World Health Organization (WHO). The WHO Global Action Plan on Antimicrobial Resistance endorses a "One Health" approach that integrates healthcare for humans, animals, and the environment. It emphasizes the importance of increasing awareness, enhancing knowledge via research and surveillance, reducing infection rates through immunization and sanitation, optimizing the use of antimicrobials, and ensuring sustainable funding for countermeasures. Numerous nations have developed national action plans that align with these objectives. These initiatives emphasize public education, regulatory enforcement, and stewardship activities. These legislative and regulatory measures collaboratively establish the institutional framework necessary to facilitate prudent antibiotic utilization and mitigate the escalating threat of antimicrobial resistance in both children and adults</w:t>
      </w:r>
      <w:r w:rsidR="00355304">
        <w:rPr>
          <w:rFonts w:ascii="Times New Roman" w:eastAsia="Times New Roman" w:hAnsi="Times New Roman" w:cs="Times New Roman"/>
          <w:sz w:val="24"/>
          <w:szCs w:val="24"/>
          <w:lang w:eastAsia="en-IN"/>
        </w:rPr>
        <w:t>,</w:t>
      </w:r>
      <w:r w:rsidR="00355304" w:rsidRPr="00355304">
        <w:rPr>
          <w:rFonts w:ascii="Arial" w:hAnsi="Arial" w:cs="Arial"/>
          <w:color w:val="222222"/>
          <w:sz w:val="20"/>
          <w:szCs w:val="20"/>
          <w:shd w:val="clear" w:color="auto" w:fill="FFFFFF"/>
        </w:rPr>
        <w:t xml:space="preserve"> </w:t>
      </w:r>
      <w:r w:rsidR="00355304" w:rsidRPr="00355304">
        <w:rPr>
          <w:rFonts w:ascii="Arial" w:hAnsi="Arial" w:cs="Arial"/>
          <w:b/>
          <w:color w:val="222222"/>
          <w:sz w:val="20"/>
          <w:szCs w:val="20"/>
          <w:shd w:val="clear" w:color="auto" w:fill="FFFFFF"/>
        </w:rPr>
        <w:t>Patel, A. K., Singh, N., Bala, et. al. (2026).</w:t>
      </w:r>
    </w:p>
    <w:p w14:paraId="28CF2F9C" w14:textId="77777777" w:rsidR="003B479B" w:rsidRPr="00F419CC" w:rsidRDefault="006A0092" w:rsidP="003B479B">
      <w:pPr>
        <w:pStyle w:val="NormalWeb"/>
      </w:pPr>
      <w:r>
        <w:rPr>
          <w:b/>
        </w:rPr>
        <w:t>X. Te</w:t>
      </w:r>
      <w:r w:rsidRPr="00F419CC">
        <w:rPr>
          <w:b/>
        </w:rPr>
        <w:t>chnological</w:t>
      </w:r>
      <w:r w:rsidR="0097644E" w:rsidRPr="00F419CC">
        <w:rPr>
          <w:b/>
        </w:rPr>
        <w:t xml:space="preserve"> and Diagnostic Progress</w:t>
      </w:r>
      <w:r w:rsidR="0097644E" w:rsidRPr="00F419CC">
        <w:rPr>
          <w:b/>
        </w:rPr>
        <w:br/>
      </w:r>
      <w:r w:rsidR="0097644E" w:rsidRPr="00F419CC">
        <w:rPr>
          <w:b/>
        </w:rPr>
        <w:br/>
      </w:r>
    </w:p>
    <w:p w14:paraId="2F622E58" w14:textId="77777777" w:rsidR="00DC6483" w:rsidRPr="0033603E" w:rsidRDefault="00DC6483" w:rsidP="0033603E">
      <w:pPr>
        <w:pStyle w:val="NormalWeb"/>
        <w:jc w:val="both"/>
        <w:rPr>
          <w:b/>
        </w:rPr>
      </w:pPr>
      <w:r w:rsidRPr="00F419CC">
        <w:t xml:space="preserve">Advancements in technology and diagnostics are increasingly essential for optimizing antibiotic utilization in </w:t>
      </w:r>
      <w:r w:rsidR="0021080E" w:rsidRPr="00F419CC">
        <w:t>paediatric</w:t>
      </w:r>
      <w:r w:rsidRPr="00F419CC">
        <w:t xml:space="preserve"> care and reducing inappropriate prescriptions that contribute to antimicrobial resistance (AMR). Rapid diagnostic methodologies have significantly facilitated the differentiation between bacterial and viral infections at the point of care. Culture-based testing and other conventional methods can be time-consuming, potentially resulting in the administration of antibiotics without definitive evidence of necessity. Conversely, rapid diagnostics such as C-reactive protein (CRP) testing, pro</w:t>
      </w:r>
      <w:r w:rsidR="0021080E" w:rsidRPr="00F419CC">
        <w:t>-</w:t>
      </w:r>
      <w:r w:rsidRPr="00F419CC">
        <w:t xml:space="preserve">calcitonin assays, and molecular pathogen detection methods provide physicians with information that facilitates expedited </w:t>
      </w:r>
      <w:r w:rsidRPr="00F419CC">
        <w:lastRenderedPageBreak/>
        <w:t>decision-making on patient care</w:t>
      </w:r>
      <w:r w:rsidRPr="00D96DD2">
        <w:rPr>
          <w:b/>
        </w:rPr>
        <w:t>.</w:t>
      </w:r>
      <w:r w:rsidRPr="00F419CC">
        <w:t xml:space="preserve"> These instruments are particularly beneficial for children, as symptoms are frequently ambiguous, facilitating more precise diagnoses and minimizing unnecessary antibiotic prescriptions</w:t>
      </w:r>
      <w:r w:rsidR="00F24DE4">
        <w:t>,</w:t>
      </w:r>
      <w:r w:rsidR="00F24DE4" w:rsidRPr="00F24DE4">
        <w:rPr>
          <w:rFonts w:ascii="Arial" w:hAnsi="Arial" w:cs="Arial"/>
          <w:color w:val="222222"/>
          <w:sz w:val="20"/>
          <w:szCs w:val="20"/>
          <w:shd w:val="clear" w:color="auto" w:fill="FFFFFF"/>
        </w:rPr>
        <w:t xml:space="preserve"> </w:t>
      </w:r>
      <w:r w:rsidR="00F24DE4" w:rsidRPr="00F24DE4">
        <w:rPr>
          <w:rFonts w:ascii="Arial" w:hAnsi="Arial" w:cs="Arial"/>
          <w:b/>
          <w:color w:val="222222"/>
          <w:sz w:val="20"/>
          <w:szCs w:val="20"/>
          <w:shd w:val="clear" w:color="auto" w:fill="FFFFFF"/>
        </w:rPr>
        <w:t>Him, R. L., et. al. (2026)</w:t>
      </w:r>
      <w:r w:rsidR="00F24DE4">
        <w:rPr>
          <w:rFonts w:ascii="Arial" w:hAnsi="Arial" w:cs="Arial"/>
          <w:color w:val="222222"/>
          <w:sz w:val="20"/>
          <w:szCs w:val="20"/>
          <w:shd w:val="clear" w:color="auto" w:fill="FFFFFF"/>
        </w:rPr>
        <w:t>.</w:t>
      </w:r>
      <w:r w:rsidRPr="00F419CC">
        <w:t xml:space="preserve"> As the accessibility of these technologies increases, they are expected to enhance the precision of therapeutic interventions. A significant innovation in antimicrobial stewardship is the implementation of decision-support tools. Algorithms are used in electronic clinical decision support systems (CDSS), which are built into hospital or primary care software, mobile apps, and prescribing manuals. These systems provide physicians with real-time recommendations based on factors such as the patient's symptoms, age, local resistance patterns, and evidence-based standards. For example, they may indicate when antibiotics are unnecessary or recommend first-line narrow-spectrum medications when treatment is required. These technologies enhance prescription accuracy and adherence to best practices by standardizing decision-making and reducing reliance on subjective judgment. Rapid diagnostics and decision-support technologies collaborate to enhance clinical confidence, reduce unnecessary antibiotic consumption, and advance stewardship programs. Their broader application, particularly in resource-limited settings, is a viable strategy to enhance </w:t>
      </w:r>
      <w:r w:rsidR="003A6D33" w:rsidRPr="00F419CC">
        <w:t>paediatric</w:t>
      </w:r>
      <w:r w:rsidRPr="00F419CC">
        <w:t xml:space="preserve"> care and combat the global rise of antibiotic resistance</w:t>
      </w:r>
      <w:r w:rsidR="00D3084E">
        <w:t>,</w:t>
      </w:r>
      <w:r w:rsidR="00D3084E" w:rsidRPr="00D3084E">
        <w:rPr>
          <w:rFonts w:ascii="Arial" w:hAnsi="Arial" w:cs="Arial"/>
          <w:color w:val="222222"/>
          <w:sz w:val="20"/>
          <w:szCs w:val="20"/>
          <w:shd w:val="clear" w:color="auto" w:fill="FFFFFF"/>
        </w:rPr>
        <w:t xml:space="preserve"> </w:t>
      </w:r>
      <w:r w:rsidR="0033603E" w:rsidRPr="0033603E">
        <w:rPr>
          <w:rFonts w:ascii="Arial" w:hAnsi="Arial" w:cs="Arial"/>
          <w:b/>
          <w:color w:val="222222"/>
          <w:sz w:val="20"/>
          <w:szCs w:val="20"/>
          <w:shd w:val="clear" w:color="auto" w:fill="FFFFFF"/>
        </w:rPr>
        <w:t>Nabi, N., Rehman, S., et. al. (2026).</w:t>
      </w:r>
    </w:p>
    <w:p w14:paraId="6498A20F" w14:textId="77777777" w:rsidR="00190BF8" w:rsidRPr="00F419CC" w:rsidRDefault="0097644E" w:rsidP="00190BF8">
      <w:pPr>
        <w:pStyle w:val="NormalWeb"/>
      </w:pPr>
      <w:r w:rsidRPr="00F419CC">
        <w:br/>
      </w:r>
      <w:r w:rsidR="008C59CE">
        <w:rPr>
          <w:b/>
        </w:rPr>
        <w:t xml:space="preserve">XI. </w:t>
      </w:r>
      <w:r w:rsidRPr="00F419CC">
        <w:rPr>
          <w:b/>
        </w:rPr>
        <w:t>Future Directions and Research Requirements</w:t>
      </w:r>
      <w:r w:rsidRPr="00F419CC">
        <w:rPr>
          <w:b/>
        </w:rPr>
        <w:br/>
      </w:r>
    </w:p>
    <w:p w14:paraId="4E8E0D36" w14:textId="77777777" w:rsidR="00190BF8" w:rsidRPr="006D2754" w:rsidRDefault="00190BF8" w:rsidP="00190BF8">
      <w:pPr>
        <w:pStyle w:val="NormalWeb"/>
        <w:jc w:val="both"/>
        <w:rPr>
          <w:b/>
          <w:bCs/>
          <w:kern w:val="36"/>
          <w:sz w:val="48"/>
          <w:szCs w:val="48"/>
        </w:rPr>
      </w:pPr>
      <w:r w:rsidRPr="00F419CC">
        <w:t xml:space="preserve">To address antimicrobial resistance (AMR) in children, it is essential to continually innovate in drug discovery, preventive strategies, </w:t>
      </w:r>
      <w:r w:rsidR="00F1374E" w:rsidRPr="00F419CC">
        <w:t>behavioural</w:t>
      </w:r>
      <w:r w:rsidRPr="00F419CC">
        <w:t xml:space="preserve"> science, and global health systems. Subsequent </w:t>
      </w:r>
      <w:r w:rsidR="00F1374E" w:rsidRPr="00F419CC">
        <w:t>endeavours</w:t>
      </w:r>
      <w:r w:rsidRPr="00F419CC">
        <w:t xml:space="preserve"> should concentrate on several crucial elements. The development of new antibiotics remains critically significant. The rising prevalence of resistant pathogens has surpassed the advancement of novel antimicrobial agents, complicating the identification of viable treatments. Researchers are </w:t>
      </w:r>
      <w:r w:rsidR="00F1374E" w:rsidRPr="00F419CC">
        <w:t>endeavouring</w:t>
      </w:r>
      <w:r w:rsidRPr="00F419CC">
        <w:t xml:space="preserve"> to discover novel pharmaceuticals, modify existing medications to circumvent resistance mechanisms, and investigate alternative therapies, like bacteriophage therapy and antimicrobial peptides. However, the production of antibiotics is scientifically challenging, costly, and often not financially viable, underscoring the necessity for enhanced public-private collaborations and incentives to foster innovation</w:t>
      </w:r>
      <w:r w:rsidRPr="00D3084E">
        <w:rPr>
          <w:b/>
        </w:rPr>
        <w:t>.</w:t>
      </w:r>
      <w:r w:rsidRPr="00F419CC">
        <w:t xml:space="preserve"> Vaccination strategies designed to reduce the illness burden serve as an effective preventive approach against antimicrobial resistance (AMR). Vaccines reduce the necessity for antibiotics by preventing the onset of bacterial infections. This strategy also reduces the pressure for resistance to accumulate</w:t>
      </w:r>
      <w:r w:rsidR="00BB5234">
        <w:t>,</w:t>
      </w:r>
      <w:r w:rsidR="00BB5234" w:rsidRPr="00BB5234">
        <w:rPr>
          <w:rFonts w:ascii="Arial" w:hAnsi="Arial" w:cs="Arial"/>
          <w:color w:val="222222"/>
          <w:sz w:val="20"/>
          <w:szCs w:val="20"/>
          <w:shd w:val="clear" w:color="auto" w:fill="FFFFFF"/>
        </w:rPr>
        <w:t xml:space="preserve"> </w:t>
      </w:r>
      <w:r w:rsidR="00BB5234" w:rsidRPr="00BB5234">
        <w:rPr>
          <w:rFonts w:ascii="Arial" w:hAnsi="Arial" w:cs="Arial"/>
          <w:b/>
          <w:color w:val="222222"/>
          <w:sz w:val="20"/>
          <w:szCs w:val="20"/>
          <w:shd w:val="clear" w:color="auto" w:fill="FFFFFF"/>
        </w:rPr>
        <w:t>Dasgupta, P et. al. (2026)</w:t>
      </w:r>
      <w:r w:rsidRPr="00F419CC">
        <w:t xml:space="preserve">. Pneumococcal conjugate immunizations safeguard against diseases caused by Streptococcus pneumoniae and have demonstrated significant reductions in invasive illnesses and antibiotic consumption in children. Enhancing vaccine coverage and developing innovative vaccines for significant bacterial illnesses may reduce antibiotic usage. </w:t>
      </w:r>
      <w:r w:rsidR="00F1374E" w:rsidRPr="00F419CC">
        <w:t>Behavioural</w:t>
      </w:r>
      <w:r w:rsidRPr="00F419CC">
        <w:t xml:space="preserve"> measures to mitigate overuse are increasingly significant. These interventions seek to modify physicians' prescribing practices and caregivers' expectations and actions. Effective techniques to reduce erroneous prescribing include communication training for healthcare professionals, "antibiotic justification" prompts, public education initiatives, and </w:t>
      </w:r>
      <w:r w:rsidR="00F1374E" w:rsidRPr="00F419CC">
        <w:t>behavioural</w:t>
      </w:r>
      <w:r w:rsidRPr="00F419CC">
        <w:t xml:space="preserve"> nudges inside clinical systems. In </w:t>
      </w:r>
      <w:r w:rsidR="00F1374E" w:rsidRPr="00F419CC">
        <w:t>paediatric</w:t>
      </w:r>
      <w:r w:rsidRPr="00F419CC">
        <w:t xml:space="preserve"> settings, it is essential to regulate parental expectations and bolster confidence in non-antibiot</w:t>
      </w:r>
      <w:r w:rsidR="00D924F9">
        <w:t xml:space="preserve">ic, </w:t>
      </w:r>
      <w:r w:rsidR="00CA00BA" w:rsidRPr="00F419CC">
        <w:t>therapies</w:t>
      </w:r>
      <w:r w:rsidR="00CA00BA">
        <w:t>,</w:t>
      </w:r>
      <w:r w:rsidRPr="00F419CC">
        <w:t xml:space="preserve"> Effective global collaboration and data exchange are crucial for coordinated AMR control. Resistance disregards boundaries; thus, monitoring data from a singular region may impact the entire world. Enhancing worldwide databases, standardizing reporting procedures, and promoting open access to resistance trends could aid in the formulation of treatment guidelines and policy decisions. Global frameworks, like those established by the WHO, promote data </w:t>
      </w:r>
      <w:r w:rsidRPr="00F419CC">
        <w:lastRenderedPageBreak/>
        <w:t xml:space="preserve">sharing and strategic alignment among countries; yet, substantial disparities persist, especially in low- and middle-income areas. The future strategies indicate that combating AMR will require several elements, including innovative scientific concepts, preventive healthcare, </w:t>
      </w:r>
      <w:r w:rsidR="00F1374E" w:rsidRPr="00F419CC">
        <w:t>behavioural</w:t>
      </w:r>
      <w:r w:rsidRPr="00F419CC">
        <w:t xml:space="preserve"> modifications, and global collaboration</w:t>
      </w:r>
      <w:r w:rsidR="006D2754">
        <w:t>,</w:t>
      </w:r>
      <w:r w:rsidR="006D2754" w:rsidRPr="006D2754">
        <w:rPr>
          <w:rFonts w:ascii="Arial" w:hAnsi="Arial" w:cs="Arial"/>
          <w:color w:val="222222"/>
          <w:sz w:val="20"/>
          <w:szCs w:val="20"/>
          <w:shd w:val="clear" w:color="auto" w:fill="FFFFFF"/>
        </w:rPr>
        <w:t xml:space="preserve"> </w:t>
      </w:r>
      <w:r w:rsidR="006D2754" w:rsidRPr="006D2754">
        <w:rPr>
          <w:rFonts w:ascii="Arial" w:hAnsi="Arial" w:cs="Arial"/>
          <w:b/>
          <w:color w:val="222222"/>
          <w:sz w:val="20"/>
          <w:szCs w:val="20"/>
          <w:shd w:val="clear" w:color="auto" w:fill="FFFFFF"/>
        </w:rPr>
        <w:t>Leal, M., et. al. (2026)</w:t>
      </w:r>
      <w:r w:rsidR="00CA00BA" w:rsidRPr="006D2754">
        <w:rPr>
          <w:b/>
        </w:rPr>
        <w:t>.</w:t>
      </w:r>
      <w:r w:rsidR="002C3802" w:rsidRPr="006D2754">
        <w:rPr>
          <w:b/>
          <w:bCs/>
          <w:kern w:val="36"/>
          <w:sz w:val="48"/>
          <w:szCs w:val="48"/>
        </w:rPr>
        <w:t xml:space="preserve"> </w:t>
      </w:r>
    </w:p>
    <w:p w14:paraId="3A9DC2CF" w14:textId="77777777" w:rsidR="002C3802" w:rsidRPr="002C3802" w:rsidRDefault="002C3802" w:rsidP="00190BF8">
      <w:pPr>
        <w:pStyle w:val="NormalWeb"/>
        <w:jc w:val="both"/>
        <w:rPr>
          <w:b/>
          <w:sz w:val="28"/>
          <w:szCs w:val="28"/>
        </w:rPr>
      </w:pPr>
      <w:r>
        <w:rPr>
          <w:b/>
          <w:sz w:val="28"/>
          <w:szCs w:val="28"/>
        </w:rPr>
        <w:t xml:space="preserve">Table:02 </w:t>
      </w:r>
      <w:r w:rsidRPr="002C3802">
        <w:rPr>
          <w:b/>
          <w:sz w:val="28"/>
          <w:szCs w:val="28"/>
        </w:rPr>
        <w:t>Future Directions &amp; Research Requirements in Paediatric AMR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0"/>
        <w:gridCol w:w="1661"/>
        <w:gridCol w:w="2149"/>
        <w:gridCol w:w="1856"/>
        <w:gridCol w:w="1590"/>
      </w:tblGrid>
      <w:tr w:rsidR="002C3802" w:rsidRPr="00B36C05" w14:paraId="0BD8AFE0" w14:textId="77777777" w:rsidTr="00411341">
        <w:trPr>
          <w:tblHeader/>
          <w:tblCellSpacing w:w="15" w:type="dxa"/>
        </w:trPr>
        <w:tc>
          <w:tcPr>
            <w:tcW w:w="0" w:type="auto"/>
            <w:vAlign w:val="center"/>
            <w:hideMark/>
          </w:tcPr>
          <w:p w14:paraId="51475225" w14:textId="77777777" w:rsidR="002C3802" w:rsidRPr="00B36C05" w:rsidRDefault="002C3802" w:rsidP="00411341">
            <w:pPr>
              <w:spacing w:after="0" w:line="240" w:lineRule="auto"/>
              <w:jc w:val="center"/>
              <w:rPr>
                <w:rFonts w:ascii="Times New Roman" w:eastAsia="Times New Roman" w:hAnsi="Times New Roman" w:cs="Times New Roman"/>
                <w:b/>
                <w:bCs/>
                <w:sz w:val="24"/>
                <w:szCs w:val="24"/>
                <w:lang w:eastAsia="en-IN"/>
              </w:rPr>
            </w:pPr>
            <w:r w:rsidRPr="00B36C05">
              <w:rPr>
                <w:rFonts w:ascii="Times New Roman" w:eastAsia="Times New Roman" w:hAnsi="Times New Roman" w:cs="Times New Roman"/>
                <w:b/>
                <w:bCs/>
                <w:sz w:val="24"/>
                <w:szCs w:val="24"/>
                <w:lang w:eastAsia="en-IN"/>
              </w:rPr>
              <w:t>Domain</w:t>
            </w:r>
          </w:p>
        </w:tc>
        <w:tc>
          <w:tcPr>
            <w:tcW w:w="0" w:type="auto"/>
            <w:vAlign w:val="center"/>
            <w:hideMark/>
          </w:tcPr>
          <w:p w14:paraId="38273234" w14:textId="77777777" w:rsidR="002C3802" w:rsidRPr="00B36C05" w:rsidRDefault="002C3802" w:rsidP="00411341">
            <w:pPr>
              <w:spacing w:after="0" w:line="240" w:lineRule="auto"/>
              <w:jc w:val="center"/>
              <w:rPr>
                <w:rFonts w:ascii="Times New Roman" w:eastAsia="Times New Roman" w:hAnsi="Times New Roman" w:cs="Times New Roman"/>
                <w:b/>
                <w:bCs/>
                <w:sz w:val="24"/>
                <w:szCs w:val="24"/>
                <w:lang w:eastAsia="en-IN"/>
              </w:rPr>
            </w:pPr>
            <w:r w:rsidRPr="00B36C05">
              <w:rPr>
                <w:rFonts w:ascii="Times New Roman" w:eastAsia="Times New Roman" w:hAnsi="Times New Roman" w:cs="Times New Roman"/>
                <w:b/>
                <w:bCs/>
                <w:sz w:val="24"/>
                <w:szCs w:val="24"/>
                <w:lang w:eastAsia="en-IN"/>
              </w:rPr>
              <w:t>Future Direction</w:t>
            </w:r>
          </w:p>
        </w:tc>
        <w:tc>
          <w:tcPr>
            <w:tcW w:w="0" w:type="auto"/>
            <w:vAlign w:val="center"/>
            <w:hideMark/>
          </w:tcPr>
          <w:p w14:paraId="52BDC9C9" w14:textId="77777777" w:rsidR="002C3802" w:rsidRPr="00B36C05" w:rsidRDefault="002C3802" w:rsidP="00411341">
            <w:pPr>
              <w:spacing w:after="0" w:line="240" w:lineRule="auto"/>
              <w:jc w:val="center"/>
              <w:rPr>
                <w:rFonts w:ascii="Times New Roman" w:eastAsia="Times New Roman" w:hAnsi="Times New Roman" w:cs="Times New Roman"/>
                <w:b/>
                <w:bCs/>
                <w:sz w:val="24"/>
                <w:szCs w:val="24"/>
                <w:lang w:eastAsia="en-IN"/>
              </w:rPr>
            </w:pPr>
            <w:r w:rsidRPr="00B36C05">
              <w:rPr>
                <w:rFonts w:ascii="Times New Roman" w:eastAsia="Times New Roman" w:hAnsi="Times New Roman" w:cs="Times New Roman"/>
                <w:b/>
                <w:bCs/>
                <w:sz w:val="24"/>
                <w:szCs w:val="24"/>
                <w:lang w:eastAsia="en-IN"/>
              </w:rPr>
              <w:t>Recent Research Evidence (2024–2026)</w:t>
            </w:r>
          </w:p>
        </w:tc>
        <w:tc>
          <w:tcPr>
            <w:tcW w:w="0" w:type="auto"/>
            <w:vAlign w:val="center"/>
            <w:hideMark/>
          </w:tcPr>
          <w:p w14:paraId="55F2F624" w14:textId="77777777" w:rsidR="002C3802" w:rsidRPr="00B36C05" w:rsidRDefault="002C3802" w:rsidP="00411341">
            <w:pPr>
              <w:spacing w:after="0" w:line="240" w:lineRule="auto"/>
              <w:jc w:val="center"/>
              <w:rPr>
                <w:rFonts w:ascii="Times New Roman" w:eastAsia="Times New Roman" w:hAnsi="Times New Roman" w:cs="Times New Roman"/>
                <w:b/>
                <w:bCs/>
                <w:sz w:val="24"/>
                <w:szCs w:val="24"/>
                <w:lang w:eastAsia="en-IN"/>
              </w:rPr>
            </w:pPr>
            <w:r w:rsidRPr="00B36C05">
              <w:rPr>
                <w:rFonts w:ascii="Times New Roman" w:eastAsia="Times New Roman" w:hAnsi="Times New Roman" w:cs="Times New Roman"/>
                <w:b/>
                <w:bCs/>
                <w:sz w:val="24"/>
                <w:szCs w:val="24"/>
                <w:lang w:eastAsia="en-IN"/>
              </w:rPr>
              <w:t>Research Gaps / Requirements</w:t>
            </w:r>
          </w:p>
        </w:tc>
        <w:tc>
          <w:tcPr>
            <w:tcW w:w="0" w:type="auto"/>
            <w:vAlign w:val="center"/>
            <w:hideMark/>
          </w:tcPr>
          <w:p w14:paraId="64D99FEA" w14:textId="77777777" w:rsidR="002C3802" w:rsidRPr="00B36C05" w:rsidRDefault="002C3802" w:rsidP="00411341">
            <w:pPr>
              <w:spacing w:after="0" w:line="240" w:lineRule="auto"/>
              <w:jc w:val="center"/>
              <w:rPr>
                <w:rFonts w:ascii="Times New Roman" w:eastAsia="Times New Roman" w:hAnsi="Times New Roman" w:cs="Times New Roman"/>
                <w:b/>
                <w:bCs/>
                <w:sz w:val="24"/>
                <w:szCs w:val="24"/>
                <w:lang w:eastAsia="en-IN"/>
              </w:rPr>
            </w:pPr>
            <w:r w:rsidRPr="00B36C05">
              <w:rPr>
                <w:rFonts w:ascii="Times New Roman" w:eastAsia="Times New Roman" w:hAnsi="Times New Roman" w:cs="Times New Roman"/>
                <w:b/>
                <w:bCs/>
                <w:sz w:val="24"/>
                <w:szCs w:val="24"/>
                <w:lang w:eastAsia="en-IN"/>
              </w:rPr>
              <w:t xml:space="preserve">Expected Impact on </w:t>
            </w:r>
            <w:proofErr w:type="spellStart"/>
            <w:r w:rsidRPr="00B36C05">
              <w:rPr>
                <w:rFonts w:ascii="Times New Roman" w:eastAsia="Times New Roman" w:hAnsi="Times New Roman" w:cs="Times New Roman"/>
                <w:b/>
                <w:bCs/>
                <w:sz w:val="24"/>
                <w:szCs w:val="24"/>
                <w:lang w:eastAsia="en-IN"/>
              </w:rPr>
              <w:t>Pediatric</w:t>
            </w:r>
            <w:proofErr w:type="spellEnd"/>
            <w:r w:rsidRPr="00B36C05">
              <w:rPr>
                <w:rFonts w:ascii="Times New Roman" w:eastAsia="Times New Roman" w:hAnsi="Times New Roman" w:cs="Times New Roman"/>
                <w:b/>
                <w:bCs/>
                <w:sz w:val="24"/>
                <w:szCs w:val="24"/>
                <w:lang w:eastAsia="en-IN"/>
              </w:rPr>
              <w:t xml:space="preserve"> AMR</w:t>
            </w:r>
          </w:p>
        </w:tc>
      </w:tr>
      <w:tr w:rsidR="002C3802" w:rsidRPr="00B36C05" w14:paraId="1A29969C" w14:textId="77777777" w:rsidTr="00411341">
        <w:trPr>
          <w:tblCellSpacing w:w="15" w:type="dxa"/>
        </w:trPr>
        <w:tc>
          <w:tcPr>
            <w:tcW w:w="0" w:type="auto"/>
            <w:vAlign w:val="center"/>
            <w:hideMark/>
          </w:tcPr>
          <w:p w14:paraId="12DFCC0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Advanced Diagnostics</w:t>
            </w:r>
          </w:p>
        </w:tc>
        <w:tc>
          <w:tcPr>
            <w:tcW w:w="0" w:type="auto"/>
            <w:vAlign w:val="center"/>
            <w:hideMark/>
          </w:tcPr>
          <w:p w14:paraId="2EA26C4D"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Rapid, point-of-care diagnostics</w:t>
            </w:r>
          </w:p>
        </w:tc>
        <w:tc>
          <w:tcPr>
            <w:tcW w:w="0" w:type="auto"/>
            <w:vAlign w:val="center"/>
            <w:hideMark/>
          </w:tcPr>
          <w:p w14:paraId="28219E51"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AI + genomic sequencing enabling faster pathogen identification and targeted therapy </w:t>
            </w:r>
          </w:p>
        </w:tc>
        <w:tc>
          <w:tcPr>
            <w:tcW w:w="0" w:type="auto"/>
            <w:vAlign w:val="center"/>
            <w:hideMark/>
          </w:tcPr>
          <w:p w14:paraId="2CC342D3"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Need affordable, scalable diagnostics for LMICs; </w:t>
            </w:r>
            <w:r w:rsidR="004A410F" w:rsidRPr="00B36C05">
              <w:rPr>
                <w:rFonts w:ascii="Times New Roman" w:eastAsia="Times New Roman" w:hAnsi="Times New Roman" w:cs="Times New Roman"/>
                <w:sz w:val="24"/>
                <w:szCs w:val="24"/>
                <w:lang w:eastAsia="en-IN"/>
              </w:rPr>
              <w:t>paediatric</w:t>
            </w:r>
            <w:r w:rsidRPr="00B36C05">
              <w:rPr>
                <w:rFonts w:ascii="Times New Roman" w:eastAsia="Times New Roman" w:hAnsi="Times New Roman" w:cs="Times New Roman"/>
                <w:sz w:val="24"/>
                <w:szCs w:val="24"/>
                <w:lang w:eastAsia="en-IN"/>
              </w:rPr>
              <w:t xml:space="preserve"> validation studies</w:t>
            </w:r>
          </w:p>
        </w:tc>
        <w:tc>
          <w:tcPr>
            <w:tcW w:w="0" w:type="auto"/>
            <w:vAlign w:val="center"/>
            <w:hideMark/>
          </w:tcPr>
          <w:p w14:paraId="59E7515F"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Reduced empirical antibiotic use; improved targeted therapy</w:t>
            </w:r>
          </w:p>
        </w:tc>
      </w:tr>
      <w:tr w:rsidR="002C3802" w:rsidRPr="00B36C05" w14:paraId="68774D9E" w14:textId="77777777" w:rsidTr="00411341">
        <w:trPr>
          <w:tblCellSpacing w:w="15" w:type="dxa"/>
        </w:trPr>
        <w:tc>
          <w:tcPr>
            <w:tcW w:w="0" w:type="auto"/>
            <w:vAlign w:val="center"/>
            <w:hideMark/>
          </w:tcPr>
          <w:p w14:paraId="4883A421"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Genomics &amp; Surveillance</w:t>
            </w:r>
          </w:p>
        </w:tc>
        <w:tc>
          <w:tcPr>
            <w:tcW w:w="0" w:type="auto"/>
            <w:vAlign w:val="center"/>
            <w:hideMark/>
          </w:tcPr>
          <w:p w14:paraId="7D3C6E6F"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Whole-genome sequencing (WGS) for AMR tracking</w:t>
            </w:r>
          </w:p>
        </w:tc>
        <w:tc>
          <w:tcPr>
            <w:tcW w:w="0" w:type="auto"/>
            <w:vAlign w:val="center"/>
            <w:hideMark/>
          </w:tcPr>
          <w:p w14:paraId="1265A079"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Genomics provides detailed insight into resistance mechanisms and transmission pathways </w:t>
            </w:r>
          </w:p>
        </w:tc>
        <w:tc>
          <w:tcPr>
            <w:tcW w:w="0" w:type="auto"/>
            <w:vAlign w:val="center"/>
            <w:hideMark/>
          </w:tcPr>
          <w:p w14:paraId="5FC9F71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Integration into routine clinical care; global genomic data sharing systems</w:t>
            </w:r>
          </w:p>
        </w:tc>
        <w:tc>
          <w:tcPr>
            <w:tcW w:w="0" w:type="auto"/>
            <w:vAlign w:val="center"/>
            <w:hideMark/>
          </w:tcPr>
          <w:p w14:paraId="6218B22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Early detection of outbreaks; precision public health</w:t>
            </w:r>
          </w:p>
        </w:tc>
      </w:tr>
      <w:tr w:rsidR="002C3802" w:rsidRPr="00B36C05" w14:paraId="6FB686C8" w14:textId="77777777" w:rsidTr="00411341">
        <w:trPr>
          <w:tblCellSpacing w:w="15" w:type="dxa"/>
        </w:trPr>
        <w:tc>
          <w:tcPr>
            <w:tcW w:w="0" w:type="auto"/>
            <w:vAlign w:val="center"/>
            <w:hideMark/>
          </w:tcPr>
          <w:p w14:paraId="43E9A33B"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Artificial Intelligence (AI)</w:t>
            </w:r>
          </w:p>
        </w:tc>
        <w:tc>
          <w:tcPr>
            <w:tcW w:w="0" w:type="auto"/>
            <w:vAlign w:val="center"/>
            <w:hideMark/>
          </w:tcPr>
          <w:p w14:paraId="7527D96F"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AI-driven prediction of resistance &amp; drug discovery</w:t>
            </w:r>
          </w:p>
        </w:tc>
        <w:tc>
          <w:tcPr>
            <w:tcW w:w="0" w:type="auto"/>
            <w:vAlign w:val="center"/>
            <w:hideMark/>
          </w:tcPr>
          <w:p w14:paraId="14CD70B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AI models can predict resistance patterns and design new antibiotics </w:t>
            </w:r>
          </w:p>
        </w:tc>
        <w:tc>
          <w:tcPr>
            <w:tcW w:w="0" w:type="auto"/>
            <w:vAlign w:val="center"/>
            <w:hideMark/>
          </w:tcPr>
          <w:p w14:paraId="2869B37C"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Need real-world validation; ethical and regulatory frameworks</w:t>
            </w:r>
          </w:p>
        </w:tc>
        <w:tc>
          <w:tcPr>
            <w:tcW w:w="0" w:type="auto"/>
            <w:vAlign w:val="center"/>
            <w:hideMark/>
          </w:tcPr>
          <w:p w14:paraId="7A176CD1"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Faster drug development; personalized antibiotic therapy</w:t>
            </w:r>
          </w:p>
        </w:tc>
      </w:tr>
      <w:tr w:rsidR="002C3802" w:rsidRPr="00B36C05" w14:paraId="3C5C523F" w14:textId="77777777" w:rsidTr="00411341">
        <w:trPr>
          <w:tblCellSpacing w:w="15" w:type="dxa"/>
        </w:trPr>
        <w:tc>
          <w:tcPr>
            <w:tcW w:w="0" w:type="auto"/>
            <w:vAlign w:val="center"/>
            <w:hideMark/>
          </w:tcPr>
          <w:p w14:paraId="485DA669"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Novel Therapeutics</w:t>
            </w:r>
          </w:p>
        </w:tc>
        <w:tc>
          <w:tcPr>
            <w:tcW w:w="0" w:type="auto"/>
            <w:vAlign w:val="center"/>
            <w:hideMark/>
          </w:tcPr>
          <w:p w14:paraId="4BC5D87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Non-traditional therapies (phage therapy, peptides, CRISPR)</w:t>
            </w:r>
          </w:p>
        </w:tc>
        <w:tc>
          <w:tcPr>
            <w:tcW w:w="0" w:type="auto"/>
            <w:vAlign w:val="center"/>
            <w:hideMark/>
          </w:tcPr>
          <w:p w14:paraId="000D602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Emerging alternatives include bacteriophages, antimicrobial peptides, and gene-editing tools </w:t>
            </w:r>
          </w:p>
        </w:tc>
        <w:tc>
          <w:tcPr>
            <w:tcW w:w="0" w:type="auto"/>
            <w:vAlign w:val="center"/>
            <w:hideMark/>
          </w:tcPr>
          <w:p w14:paraId="1C2DE693"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Limited </w:t>
            </w:r>
            <w:r w:rsidR="004A410F" w:rsidRPr="00B36C05">
              <w:rPr>
                <w:rFonts w:ascii="Times New Roman" w:eastAsia="Times New Roman" w:hAnsi="Times New Roman" w:cs="Times New Roman"/>
                <w:sz w:val="24"/>
                <w:szCs w:val="24"/>
                <w:lang w:eastAsia="en-IN"/>
              </w:rPr>
              <w:t>paediatric</w:t>
            </w:r>
            <w:r w:rsidRPr="00B36C05">
              <w:rPr>
                <w:rFonts w:ascii="Times New Roman" w:eastAsia="Times New Roman" w:hAnsi="Times New Roman" w:cs="Times New Roman"/>
                <w:sz w:val="24"/>
                <w:szCs w:val="24"/>
                <w:lang w:eastAsia="en-IN"/>
              </w:rPr>
              <w:t xml:space="preserve"> clinical trials; safety and dosing data lacking</w:t>
            </w:r>
          </w:p>
        </w:tc>
        <w:tc>
          <w:tcPr>
            <w:tcW w:w="0" w:type="auto"/>
            <w:vAlign w:val="center"/>
            <w:hideMark/>
          </w:tcPr>
          <w:p w14:paraId="27F3504D"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Alternatives for MDR/XDR infections</w:t>
            </w:r>
          </w:p>
        </w:tc>
      </w:tr>
      <w:tr w:rsidR="002C3802" w:rsidRPr="00B36C05" w14:paraId="35B3125D" w14:textId="77777777" w:rsidTr="00411341">
        <w:trPr>
          <w:tblCellSpacing w:w="15" w:type="dxa"/>
        </w:trPr>
        <w:tc>
          <w:tcPr>
            <w:tcW w:w="0" w:type="auto"/>
            <w:vAlign w:val="center"/>
            <w:hideMark/>
          </w:tcPr>
          <w:p w14:paraId="3CCBFE2C"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Microbiome-Based Therapies</w:t>
            </w:r>
          </w:p>
        </w:tc>
        <w:tc>
          <w:tcPr>
            <w:tcW w:w="0" w:type="auto"/>
            <w:vAlign w:val="center"/>
            <w:hideMark/>
          </w:tcPr>
          <w:p w14:paraId="78E2BC2B"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Microbiome restoration (e.g., FMT, probiotics)</w:t>
            </w:r>
          </w:p>
        </w:tc>
        <w:tc>
          <w:tcPr>
            <w:tcW w:w="0" w:type="auto"/>
            <w:vAlign w:val="center"/>
            <w:hideMark/>
          </w:tcPr>
          <w:p w14:paraId="2D59A3D3"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Microbiome manipulation emerging as adjunct therapy </w:t>
            </w:r>
          </w:p>
        </w:tc>
        <w:tc>
          <w:tcPr>
            <w:tcW w:w="0" w:type="auto"/>
            <w:vAlign w:val="center"/>
            <w:hideMark/>
          </w:tcPr>
          <w:p w14:paraId="62EEA633"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Long-term safety in children; standardized protocols</w:t>
            </w:r>
          </w:p>
        </w:tc>
        <w:tc>
          <w:tcPr>
            <w:tcW w:w="0" w:type="auto"/>
            <w:vAlign w:val="center"/>
            <w:hideMark/>
          </w:tcPr>
          <w:p w14:paraId="786AD67B"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Reduced </w:t>
            </w:r>
            <w:r w:rsidR="00DD3719">
              <w:t>dysbiosis</w:t>
            </w:r>
            <w:r w:rsidRPr="00B36C05">
              <w:rPr>
                <w:rFonts w:ascii="Times New Roman" w:eastAsia="Times New Roman" w:hAnsi="Times New Roman" w:cs="Times New Roman"/>
                <w:sz w:val="24"/>
                <w:szCs w:val="24"/>
                <w:lang w:eastAsia="en-IN"/>
              </w:rPr>
              <w:t>; lower resistance development</w:t>
            </w:r>
          </w:p>
        </w:tc>
      </w:tr>
      <w:tr w:rsidR="002C3802" w:rsidRPr="00B36C05" w14:paraId="4A6E66A4" w14:textId="77777777" w:rsidTr="00411341">
        <w:trPr>
          <w:tblCellSpacing w:w="15" w:type="dxa"/>
        </w:trPr>
        <w:tc>
          <w:tcPr>
            <w:tcW w:w="0" w:type="auto"/>
            <w:vAlign w:val="center"/>
            <w:hideMark/>
          </w:tcPr>
          <w:p w14:paraId="31D43FFF"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Vaccine Development</w:t>
            </w:r>
          </w:p>
        </w:tc>
        <w:tc>
          <w:tcPr>
            <w:tcW w:w="0" w:type="auto"/>
            <w:vAlign w:val="center"/>
            <w:hideMark/>
          </w:tcPr>
          <w:p w14:paraId="36A7D4A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Expansion of vaccines targeting resistant pathogens</w:t>
            </w:r>
          </w:p>
        </w:tc>
        <w:tc>
          <w:tcPr>
            <w:tcW w:w="0" w:type="auto"/>
            <w:vAlign w:val="center"/>
            <w:hideMark/>
          </w:tcPr>
          <w:p w14:paraId="5F96F625"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Vaccines reduce infection burden and antibiotic use</w:t>
            </w:r>
          </w:p>
        </w:tc>
        <w:tc>
          <w:tcPr>
            <w:tcW w:w="0" w:type="auto"/>
            <w:vAlign w:val="center"/>
            <w:hideMark/>
          </w:tcPr>
          <w:p w14:paraId="3D6DC89A"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Need vaccines for MDR pathogens (e.g., Gram-negative bacteria)</w:t>
            </w:r>
          </w:p>
        </w:tc>
        <w:tc>
          <w:tcPr>
            <w:tcW w:w="0" w:type="auto"/>
            <w:vAlign w:val="center"/>
            <w:hideMark/>
          </w:tcPr>
          <w:p w14:paraId="37B589A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Prevention-driven reduction in AMR</w:t>
            </w:r>
          </w:p>
        </w:tc>
      </w:tr>
      <w:tr w:rsidR="002C3802" w:rsidRPr="00B36C05" w14:paraId="0AA3105B" w14:textId="77777777" w:rsidTr="00411341">
        <w:trPr>
          <w:tblCellSpacing w:w="15" w:type="dxa"/>
        </w:trPr>
        <w:tc>
          <w:tcPr>
            <w:tcW w:w="0" w:type="auto"/>
            <w:vAlign w:val="center"/>
            <w:hideMark/>
          </w:tcPr>
          <w:p w14:paraId="08648A68"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Antimicrobial Stewardship</w:t>
            </w:r>
          </w:p>
        </w:tc>
        <w:tc>
          <w:tcPr>
            <w:tcW w:w="0" w:type="auto"/>
            <w:vAlign w:val="center"/>
            <w:hideMark/>
          </w:tcPr>
          <w:p w14:paraId="141E6FAE" w14:textId="77777777" w:rsidR="002C3802" w:rsidRPr="00B36C05" w:rsidRDefault="004A410F"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Paediatric</w:t>
            </w:r>
            <w:r w:rsidR="002C3802" w:rsidRPr="00B36C05">
              <w:rPr>
                <w:rFonts w:ascii="Times New Roman" w:eastAsia="Times New Roman" w:hAnsi="Times New Roman" w:cs="Times New Roman"/>
                <w:sz w:val="24"/>
                <w:szCs w:val="24"/>
                <w:lang w:eastAsia="en-IN"/>
              </w:rPr>
              <w:t>-specific stewardship models</w:t>
            </w:r>
          </w:p>
        </w:tc>
        <w:tc>
          <w:tcPr>
            <w:tcW w:w="0" w:type="auto"/>
            <w:vAlign w:val="center"/>
            <w:hideMark/>
          </w:tcPr>
          <w:p w14:paraId="6EAF2D0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Emphasis on implementation science and expansion beyond tertiary </w:t>
            </w:r>
            <w:proofErr w:type="spellStart"/>
            <w:r w:rsidRPr="00B36C05">
              <w:rPr>
                <w:rFonts w:ascii="Times New Roman" w:eastAsia="Times New Roman" w:hAnsi="Times New Roman" w:cs="Times New Roman"/>
                <w:sz w:val="24"/>
                <w:szCs w:val="24"/>
                <w:lang w:eastAsia="en-IN"/>
              </w:rPr>
              <w:t>centers</w:t>
            </w:r>
            <w:proofErr w:type="spellEnd"/>
            <w:r w:rsidRPr="00B36C05">
              <w:rPr>
                <w:rFonts w:ascii="Times New Roman" w:eastAsia="Times New Roman" w:hAnsi="Times New Roman" w:cs="Times New Roman"/>
                <w:sz w:val="24"/>
                <w:szCs w:val="24"/>
                <w:lang w:eastAsia="en-IN"/>
              </w:rPr>
              <w:t xml:space="preserve"> </w:t>
            </w:r>
          </w:p>
        </w:tc>
        <w:tc>
          <w:tcPr>
            <w:tcW w:w="0" w:type="auto"/>
            <w:vAlign w:val="center"/>
            <w:hideMark/>
          </w:tcPr>
          <w:p w14:paraId="515EE53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Scaling stewardship to primary care; digital decision-support tools</w:t>
            </w:r>
          </w:p>
        </w:tc>
        <w:tc>
          <w:tcPr>
            <w:tcW w:w="0" w:type="auto"/>
            <w:vAlign w:val="center"/>
            <w:hideMark/>
          </w:tcPr>
          <w:p w14:paraId="408D5FDA"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Reduced inappropriate prescribing</w:t>
            </w:r>
          </w:p>
        </w:tc>
      </w:tr>
      <w:tr w:rsidR="002C3802" w:rsidRPr="00B36C05" w14:paraId="62F27244" w14:textId="77777777" w:rsidTr="00411341">
        <w:trPr>
          <w:tblCellSpacing w:w="15" w:type="dxa"/>
        </w:trPr>
        <w:tc>
          <w:tcPr>
            <w:tcW w:w="0" w:type="auto"/>
            <w:vAlign w:val="center"/>
            <w:hideMark/>
          </w:tcPr>
          <w:p w14:paraId="2CB7249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lastRenderedPageBreak/>
              <w:t xml:space="preserve">Education &amp; </w:t>
            </w:r>
            <w:proofErr w:type="spellStart"/>
            <w:r w:rsidRPr="00B36C05">
              <w:rPr>
                <w:rFonts w:ascii="Times New Roman" w:eastAsia="Times New Roman" w:hAnsi="Times New Roman" w:cs="Times New Roman"/>
                <w:b/>
                <w:bCs/>
                <w:sz w:val="24"/>
                <w:szCs w:val="24"/>
                <w:lang w:eastAsia="en-IN"/>
              </w:rPr>
              <w:t>Behavior</w:t>
            </w:r>
            <w:proofErr w:type="spellEnd"/>
            <w:r w:rsidRPr="00B36C05">
              <w:rPr>
                <w:rFonts w:ascii="Times New Roman" w:eastAsia="Times New Roman" w:hAnsi="Times New Roman" w:cs="Times New Roman"/>
                <w:b/>
                <w:bCs/>
                <w:sz w:val="24"/>
                <w:szCs w:val="24"/>
                <w:lang w:eastAsia="en-IN"/>
              </w:rPr>
              <w:t xml:space="preserve"> Change</w:t>
            </w:r>
          </w:p>
        </w:tc>
        <w:tc>
          <w:tcPr>
            <w:tcW w:w="0" w:type="auto"/>
            <w:vAlign w:val="center"/>
            <w:hideMark/>
          </w:tcPr>
          <w:p w14:paraId="09036ACF"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AMR education in children and caregivers</w:t>
            </w:r>
          </w:p>
        </w:tc>
        <w:tc>
          <w:tcPr>
            <w:tcW w:w="0" w:type="auto"/>
            <w:vAlign w:val="center"/>
            <w:hideMark/>
          </w:tcPr>
          <w:p w14:paraId="63253248"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Global consensus supports integrating AMR education into school curricula </w:t>
            </w:r>
          </w:p>
        </w:tc>
        <w:tc>
          <w:tcPr>
            <w:tcW w:w="0" w:type="auto"/>
            <w:vAlign w:val="center"/>
            <w:hideMark/>
          </w:tcPr>
          <w:p w14:paraId="2506DF0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Measuring long-term </w:t>
            </w:r>
            <w:r w:rsidR="004A410F" w:rsidRPr="00B36C05">
              <w:rPr>
                <w:rFonts w:ascii="Times New Roman" w:eastAsia="Times New Roman" w:hAnsi="Times New Roman" w:cs="Times New Roman"/>
                <w:sz w:val="24"/>
                <w:szCs w:val="24"/>
                <w:lang w:eastAsia="en-IN"/>
              </w:rPr>
              <w:t>behavioural</w:t>
            </w:r>
            <w:r w:rsidRPr="00B36C05">
              <w:rPr>
                <w:rFonts w:ascii="Times New Roman" w:eastAsia="Times New Roman" w:hAnsi="Times New Roman" w:cs="Times New Roman"/>
                <w:sz w:val="24"/>
                <w:szCs w:val="24"/>
                <w:lang w:eastAsia="en-IN"/>
              </w:rPr>
              <w:t xml:space="preserve"> impact; culturally tailored programs</w:t>
            </w:r>
          </w:p>
        </w:tc>
        <w:tc>
          <w:tcPr>
            <w:tcW w:w="0" w:type="auto"/>
            <w:vAlign w:val="center"/>
            <w:hideMark/>
          </w:tcPr>
          <w:p w14:paraId="13A603F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Reduced misuse and self-medication</w:t>
            </w:r>
          </w:p>
        </w:tc>
      </w:tr>
      <w:tr w:rsidR="002C3802" w:rsidRPr="00B36C05" w14:paraId="0E283DE8" w14:textId="77777777" w:rsidTr="00411341">
        <w:trPr>
          <w:tblCellSpacing w:w="15" w:type="dxa"/>
        </w:trPr>
        <w:tc>
          <w:tcPr>
            <w:tcW w:w="0" w:type="auto"/>
            <w:vAlign w:val="center"/>
            <w:hideMark/>
          </w:tcPr>
          <w:p w14:paraId="0A16979D"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One Health Approach</w:t>
            </w:r>
          </w:p>
        </w:tc>
        <w:tc>
          <w:tcPr>
            <w:tcW w:w="0" w:type="auto"/>
            <w:vAlign w:val="center"/>
            <w:hideMark/>
          </w:tcPr>
          <w:p w14:paraId="1FC30DA5"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Integration of human, animal, and environmental health</w:t>
            </w:r>
          </w:p>
        </w:tc>
        <w:tc>
          <w:tcPr>
            <w:tcW w:w="0" w:type="auto"/>
            <w:vAlign w:val="center"/>
            <w:hideMark/>
          </w:tcPr>
          <w:p w14:paraId="18EF41D8"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Environmental and agricultural antibiotic use contributes to AMR spread </w:t>
            </w:r>
          </w:p>
        </w:tc>
        <w:tc>
          <w:tcPr>
            <w:tcW w:w="0" w:type="auto"/>
            <w:vAlign w:val="center"/>
            <w:hideMark/>
          </w:tcPr>
          <w:p w14:paraId="2DBDB93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Coordinated surveillance across sectors; policy enforcement</w:t>
            </w:r>
          </w:p>
        </w:tc>
        <w:tc>
          <w:tcPr>
            <w:tcW w:w="0" w:type="auto"/>
            <w:vAlign w:val="center"/>
            <w:hideMark/>
          </w:tcPr>
          <w:p w14:paraId="627719D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Reduced transmission of resistance genes</w:t>
            </w:r>
          </w:p>
        </w:tc>
      </w:tr>
      <w:tr w:rsidR="002C3802" w:rsidRPr="00B36C05" w14:paraId="67CAF4EC" w14:textId="77777777" w:rsidTr="00411341">
        <w:trPr>
          <w:tblCellSpacing w:w="15" w:type="dxa"/>
        </w:trPr>
        <w:tc>
          <w:tcPr>
            <w:tcW w:w="0" w:type="auto"/>
            <w:vAlign w:val="center"/>
            <w:hideMark/>
          </w:tcPr>
          <w:p w14:paraId="38DBA21B"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Drug Development Pipeline</w:t>
            </w:r>
          </w:p>
        </w:tc>
        <w:tc>
          <w:tcPr>
            <w:tcW w:w="0" w:type="auto"/>
            <w:vAlign w:val="center"/>
            <w:hideMark/>
          </w:tcPr>
          <w:p w14:paraId="5CE6C1D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Incentivizing new antibiotic development</w:t>
            </w:r>
          </w:p>
        </w:tc>
        <w:tc>
          <w:tcPr>
            <w:tcW w:w="0" w:type="auto"/>
            <w:vAlign w:val="center"/>
            <w:hideMark/>
          </w:tcPr>
          <w:p w14:paraId="1BA6713B"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Declining antibiotic pipeline highlighted as a major global concern</w:t>
            </w:r>
          </w:p>
        </w:tc>
        <w:tc>
          <w:tcPr>
            <w:tcW w:w="0" w:type="auto"/>
            <w:vAlign w:val="center"/>
            <w:hideMark/>
          </w:tcPr>
          <w:p w14:paraId="5B52930A"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Economic incentives; </w:t>
            </w:r>
            <w:r w:rsidR="004A410F" w:rsidRPr="00B36C05">
              <w:rPr>
                <w:rFonts w:ascii="Times New Roman" w:eastAsia="Times New Roman" w:hAnsi="Times New Roman" w:cs="Times New Roman"/>
                <w:sz w:val="24"/>
                <w:szCs w:val="24"/>
                <w:lang w:eastAsia="en-IN"/>
              </w:rPr>
              <w:t>paediatric</w:t>
            </w:r>
            <w:r w:rsidRPr="00B36C05">
              <w:rPr>
                <w:rFonts w:ascii="Times New Roman" w:eastAsia="Times New Roman" w:hAnsi="Times New Roman" w:cs="Times New Roman"/>
                <w:sz w:val="24"/>
                <w:szCs w:val="24"/>
                <w:lang w:eastAsia="en-IN"/>
              </w:rPr>
              <w:t>-specific drug trials</w:t>
            </w:r>
          </w:p>
        </w:tc>
        <w:tc>
          <w:tcPr>
            <w:tcW w:w="0" w:type="auto"/>
            <w:vAlign w:val="center"/>
            <w:hideMark/>
          </w:tcPr>
          <w:p w14:paraId="09DFBFBA"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Availability of effective future treatments</w:t>
            </w:r>
          </w:p>
        </w:tc>
      </w:tr>
      <w:tr w:rsidR="002C3802" w:rsidRPr="00B36C05" w14:paraId="6B2C2D81" w14:textId="77777777" w:rsidTr="00411341">
        <w:trPr>
          <w:tblCellSpacing w:w="15" w:type="dxa"/>
        </w:trPr>
        <w:tc>
          <w:tcPr>
            <w:tcW w:w="0" w:type="auto"/>
            <w:vAlign w:val="center"/>
            <w:hideMark/>
          </w:tcPr>
          <w:p w14:paraId="7022DDF8"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Combination Therapy Research</w:t>
            </w:r>
          </w:p>
        </w:tc>
        <w:tc>
          <w:tcPr>
            <w:tcW w:w="0" w:type="auto"/>
            <w:vAlign w:val="center"/>
            <w:hideMark/>
          </w:tcPr>
          <w:p w14:paraId="04AA63F1"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Multi-drug and synergistic therapies</w:t>
            </w:r>
          </w:p>
        </w:tc>
        <w:tc>
          <w:tcPr>
            <w:tcW w:w="0" w:type="auto"/>
            <w:vAlign w:val="center"/>
            <w:hideMark/>
          </w:tcPr>
          <w:p w14:paraId="17C8B6F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Combination strategies being explored to overcome resistance </w:t>
            </w:r>
          </w:p>
        </w:tc>
        <w:tc>
          <w:tcPr>
            <w:tcW w:w="0" w:type="auto"/>
            <w:vAlign w:val="center"/>
            <w:hideMark/>
          </w:tcPr>
          <w:p w14:paraId="0A1F23B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Optimal combinations and </w:t>
            </w:r>
            <w:r w:rsidR="004A410F" w:rsidRPr="00B36C05">
              <w:rPr>
                <w:rFonts w:ascii="Times New Roman" w:eastAsia="Times New Roman" w:hAnsi="Times New Roman" w:cs="Times New Roman"/>
                <w:sz w:val="24"/>
                <w:szCs w:val="24"/>
                <w:lang w:eastAsia="en-IN"/>
              </w:rPr>
              <w:t>paediatric</w:t>
            </w:r>
            <w:r w:rsidRPr="00B36C05">
              <w:rPr>
                <w:rFonts w:ascii="Times New Roman" w:eastAsia="Times New Roman" w:hAnsi="Times New Roman" w:cs="Times New Roman"/>
                <w:sz w:val="24"/>
                <w:szCs w:val="24"/>
                <w:lang w:eastAsia="en-IN"/>
              </w:rPr>
              <w:t xml:space="preserve"> dosing studies</w:t>
            </w:r>
          </w:p>
        </w:tc>
        <w:tc>
          <w:tcPr>
            <w:tcW w:w="0" w:type="auto"/>
            <w:vAlign w:val="center"/>
            <w:hideMark/>
          </w:tcPr>
          <w:p w14:paraId="67A9764C"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Improved efficacy against resistant organisms</w:t>
            </w:r>
          </w:p>
        </w:tc>
      </w:tr>
      <w:tr w:rsidR="002C3802" w:rsidRPr="00B36C05" w14:paraId="4557FA26" w14:textId="77777777" w:rsidTr="00411341">
        <w:trPr>
          <w:tblCellSpacing w:w="15" w:type="dxa"/>
        </w:trPr>
        <w:tc>
          <w:tcPr>
            <w:tcW w:w="0" w:type="auto"/>
            <w:vAlign w:val="center"/>
            <w:hideMark/>
          </w:tcPr>
          <w:p w14:paraId="18DA9D49"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 xml:space="preserve">Mathematical </w:t>
            </w:r>
            <w:r w:rsidR="004A410F" w:rsidRPr="00B36C05">
              <w:rPr>
                <w:rFonts w:ascii="Times New Roman" w:eastAsia="Times New Roman" w:hAnsi="Times New Roman" w:cs="Times New Roman"/>
                <w:b/>
                <w:bCs/>
                <w:sz w:val="24"/>
                <w:szCs w:val="24"/>
                <w:lang w:eastAsia="en-IN"/>
              </w:rPr>
              <w:t>Modelling</w:t>
            </w:r>
            <w:r w:rsidRPr="00B36C05">
              <w:rPr>
                <w:rFonts w:ascii="Times New Roman" w:eastAsia="Times New Roman" w:hAnsi="Times New Roman" w:cs="Times New Roman"/>
                <w:b/>
                <w:bCs/>
                <w:sz w:val="24"/>
                <w:szCs w:val="24"/>
                <w:lang w:eastAsia="en-IN"/>
              </w:rPr>
              <w:t xml:space="preserve"> &amp; Predictive Systems</w:t>
            </w:r>
          </w:p>
        </w:tc>
        <w:tc>
          <w:tcPr>
            <w:tcW w:w="0" w:type="auto"/>
            <w:vAlign w:val="center"/>
            <w:hideMark/>
          </w:tcPr>
          <w:p w14:paraId="15D0B0E5" w14:textId="77777777" w:rsidR="002C3802" w:rsidRPr="00B36C05" w:rsidRDefault="004A410F"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Modelling</w:t>
            </w:r>
            <w:r w:rsidR="002C3802" w:rsidRPr="00B36C05">
              <w:rPr>
                <w:rFonts w:ascii="Times New Roman" w:eastAsia="Times New Roman" w:hAnsi="Times New Roman" w:cs="Times New Roman"/>
                <w:sz w:val="24"/>
                <w:szCs w:val="24"/>
                <w:lang w:eastAsia="en-IN"/>
              </w:rPr>
              <w:t xml:space="preserve"> AMR spread and intervention outcomes</w:t>
            </w:r>
          </w:p>
        </w:tc>
        <w:tc>
          <w:tcPr>
            <w:tcW w:w="0" w:type="auto"/>
            <w:vAlign w:val="center"/>
            <w:hideMark/>
          </w:tcPr>
          <w:p w14:paraId="021EFD9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Models help simulate resistance evolution and guide policy </w:t>
            </w:r>
          </w:p>
        </w:tc>
        <w:tc>
          <w:tcPr>
            <w:tcW w:w="0" w:type="auto"/>
            <w:vAlign w:val="center"/>
            <w:hideMark/>
          </w:tcPr>
          <w:p w14:paraId="79F3266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Need real-world data integration; </w:t>
            </w:r>
            <w:r w:rsidR="004A410F" w:rsidRPr="00B36C05">
              <w:rPr>
                <w:rFonts w:ascii="Times New Roman" w:eastAsia="Times New Roman" w:hAnsi="Times New Roman" w:cs="Times New Roman"/>
                <w:sz w:val="24"/>
                <w:szCs w:val="24"/>
                <w:lang w:eastAsia="en-IN"/>
              </w:rPr>
              <w:t>paediatric</w:t>
            </w:r>
            <w:r w:rsidRPr="00B36C05">
              <w:rPr>
                <w:rFonts w:ascii="Times New Roman" w:eastAsia="Times New Roman" w:hAnsi="Times New Roman" w:cs="Times New Roman"/>
                <w:sz w:val="24"/>
                <w:szCs w:val="24"/>
                <w:lang w:eastAsia="en-IN"/>
              </w:rPr>
              <w:t>-specific models</w:t>
            </w:r>
          </w:p>
        </w:tc>
        <w:tc>
          <w:tcPr>
            <w:tcW w:w="0" w:type="auto"/>
            <w:vAlign w:val="center"/>
            <w:hideMark/>
          </w:tcPr>
          <w:p w14:paraId="00151F2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Better policy planning and outbreak control</w:t>
            </w:r>
          </w:p>
        </w:tc>
      </w:tr>
      <w:tr w:rsidR="002C3802" w:rsidRPr="00B36C05" w14:paraId="2596AD7A" w14:textId="77777777" w:rsidTr="00411341">
        <w:trPr>
          <w:tblCellSpacing w:w="15" w:type="dxa"/>
        </w:trPr>
        <w:tc>
          <w:tcPr>
            <w:tcW w:w="0" w:type="auto"/>
            <w:vAlign w:val="center"/>
            <w:hideMark/>
          </w:tcPr>
          <w:p w14:paraId="5B24506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Infection Prevention</w:t>
            </w:r>
          </w:p>
        </w:tc>
        <w:tc>
          <w:tcPr>
            <w:tcW w:w="0" w:type="auto"/>
            <w:vAlign w:val="center"/>
            <w:hideMark/>
          </w:tcPr>
          <w:p w14:paraId="1B2C9925"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Strengthening IPC (infection prevention &amp; control)</w:t>
            </w:r>
          </w:p>
        </w:tc>
        <w:tc>
          <w:tcPr>
            <w:tcW w:w="0" w:type="auto"/>
            <w:vAlign w:val="center"/>
            <w:hideMark/>
          </w:tcPr>
          <w:p w14:paraId="18FBD63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AMR linked to poor infection control in healthcare settings</w:t>
            </w:r>
          </w:p>
        </w:tc>
        <w:tc>
          <w:tcPr>
            <w:tcW w:w="0" w:type="auto"/>
            <w:vAlign w:val="center"/>
            <w:hideMark/>
          </w:tcPr>
          <w:p w14:paraId="1056CC09"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Implementation in resource-limited </w:t>
            </w:r>
            <w:r w:rsidR="0030272D" w:rsidRPr="00B36C05">
              <w:rPr>
                <w:rFonts w:ascii="Times New Roman" w:eastAsia="Times New Roman" w:hAnsi="Times New Roman" w:cs="Times New Roman"/>
                <w:sz w:val="24"/>
                <w:szCs w:val="24"/>
                <w:lang w:eastAsia="en-IN"/>
              </w:rPr>
              <w:t>paediatric</w:t>
            </w:r>
            <w:r w:rsidRPr="00B36C05">
              <w:rPr>
                <w:rFonts w:ascii="Times New Roman" w:eastAsia="Times New Roman" w:hAnsi="Times New Roman" w:cs="Times New Roman"/>
                <w:sz w:val="24"/>
                <w:szCs w:val="24"/>
                <w:lang w:eastAsia="en-IN"/>
              </w:rPr>
              <w:t xml:space="preserve"> settings</w:t>
            </w:r>
          </w:p>
        </w:tc>
        <w:tc>
          <w:tcPr>
            <w:tcW w:w="0" w:type="auto"/>
            <w:vAlign w:val="center"/>
            <w:hideMark/>
          </w:tcPr>
          <w:p w14:paraId="6CDE41F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Reduced hospital-acquired infections</w:t>
            </w:r>
          </w:p>
        </w:tc>
      </w:tr>
      <w:tr w:rsidR="002C3802" w:rsidRPr="00B36C05" w14:paraId="65455C10" w14:textId="77777777" w:rsidTr="00411341">
        <w:trPr>
          <w:tblCellSpacing w:w="15" w:type="dxa"/>
        </w:trPr>
        <w:tc>
          <w:tcPr>
            <w:tcW w:w="0" w:type="auto"/>
            <w:vAlign w:val="center"/>
            <w:hideMark/>
          </w:tcPr>
          <w:p w14:paraId="2089F31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Equity &amp; Global Health</w:t>
            </w:r>
          </w:p>
        </w:tc>
        <w:tc>
          <w:tcPr>
            <w:tcW w:w="0" w:type="auto"/>
            <w:vAlign w:val="center"/>
            <w:hideMark/>
          </w:tcPr>
          <w:p w14:paraId="673EB388"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Focus on LMIC burden</w:t>
            </w:r>
          </w:p>
        </w:tc>
        <w:tc>
          <w:tcPr>
            <w:tcW w:w="0" w:type="auto"/>
            <w:vAlign w:val="center"/>
            <w:hideMark/>
          </w:tcPr>
          <w:p w14:paraId="6B7A58DF"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AMR disproportionately affects children in low-resource settings</w:t>
            </w:r>
          </w:p>
        </w:tc>
        <w:tc>
          <w:tcPr>
            <w:tcW w:w="0" w:type="auto"/>
            <w:vAlign w:val="center"/>
            <w:hideMark/>
          </w:tcPr>
          <w:p w14:paraId="4FB05580"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Improve access to diagnostics, antibiotics, vaccines</w:t>
            </w:r>
          </w:p>
        </w:tc>
        <w:tc>
          <w:tcPr>
            <w:tcW w:w="0" w:type="auto"/>
            <w:vAlign w:val="center"/>
            <w:hideMark/>
          </w:tcPr>
          <w:p w14:paraId="3ACCFE5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Reduced mortality in vulnerable populations</w:t>
            </w:r>
          </w:p>
        </w:tc>
      </w:tr>
      <w:tr w:rsidR="002C3802" w:rsidRPr="00B36C05" w14:paraId="1C664D04" w14:textId="77777777" w:rsidTr="00411341">
        <w:trPr>
          <w:tblCellSpacing w:w="15" w:type="dxa"/>
        </w:trPr>
        <w:tc>
          <w:tcPr>
            <w:tcW w:w="0" w:type="auto"/>
            <w:vAlign w:val="center"/>
            <w:hideMark/>
          </w:tcPr>
          <w:p w14:paraId="30E9CE9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Environmental Research</w:t>
            </w:r>
          </w:p>
        </w:tc>
        <w:tc>
          <w:tcPr>
            <w:tcW w:w="0" w:type="auto"/>
            <w:vAlign w:val="center"/>
            <w:hideMark/>
          </w:tcPr>
          <w:p w14:paraId="14A67B1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Tracking resistance in water, soil, and food systems</w:t>
            </w:r>
          </w:p>
        </w:tc>
        <w:tc>
          <w:tcPr>
            <w:tcW w:w="0" w:type="auto"/>
            <w:vAlign w:val="center"/>
            <w:hideMark/>
          </w:tcPr>
          <w:p w14:paraId="51CC5F0B"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Environmental reservoirs contribute to AMR spread </w:t>
            </w:r>
          </w:p>
        </w:tc>
        <w:tc>
          <w:tcPr>
            <w:tcW w:w="0" w:type="auto"/>
            <w:vAlign w:val="center"/>
            <w:hideMark/>
          </w:tcPr>
          <w:p w14:paraId="28670C5A"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Standardized environmental surveillance frameworks</w:t>
            </w:r>
          </w:p>
        </w:tc>
        <w:tc>
          <w:tcPr>
            <w:tcW w:w="0" w:type="auto"/>
            <w:vAlign w:val="center"/>
            <w:hideMark/>
          </w:tcPr>
          <w:p w14:paraId="1451ACF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Control of resistance transmission pathways</w:t>
            </w:r>
          </w:p>
        </w:tc>
      </w:tr>
      <w:tr w:rsidR="002C3802" w:rsidRPr="00B36C05" w14:paraId="3DB41D56" w14:textId="77777777" w:rsidTr="00411341">
        <w:trPr>
          <w:tblCellSpacing w:w="15" w:type="dxa"/>
        </w:trPr>
        <w:tc>
          <w:tcPr>
            <w:tcW w:w="0" w:type="auto"/>
            <w:vAlign w:val="center"/>
            <w:hideMark/>
          </w:tcPr>
          <w:p w14:paraId="1BA54389"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Policy &amp; Economic Models</w:t>
            </w:r>
          </w:p>
        </w:tc>
        <w:tc>
          <w:tcPr>
            <w:tcW w:w="0" w:type="auto"/>
            <w:vAlign w:val="center"/>
            <w:hideMark/>
          </w:tcPr>
          <w:p w14:paraId="2E1C914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New funding models for antibiotics (e.g., subscription models)</w:t>
            </w:r>
          </w:p>
        </w:tc>
        <w:tc>
          <w:tcPr>
            <w:tcW w:w="0" w:type="auto"/>
            <w:vAlign w:val="center"/>
            <w:hideMark/>
          </w:tcPr>
          <w:p w14:paraId="18FDEE3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Policy innovations proposed to incentivize R&amp;D </w:t>
            </w:r>
          </w:p>
        </w:tc>
        <w:tc>
          <w:tcPr>
            <w:tcW w:w="0" w:type="auto"/>
            <w:vAlign w:val="center"/>
            <w:hideMark/>
          </w:tcPr>
          <w:p w14:paraId="60A982C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Global coordination; affordability in LMICs</w:t>
            </w:r>
          </w:p>
        </w:tc>
        <w:tc>
          <w:tcPr>
            <w:tcW w:w="0" w:type="auto"/>
            <w:vAlign w:val="center"/>
            <w:hideMark/>
          </w:tcPr>
          <w:p w14:paraId="620A3C31"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Sustainable antibiotic innovation ecosystem</w:t>
            </w:r>
          </w:p>
        </w:tc>
      </w:tr>
    </w:tbl>
    <w:p w14:paraId="41D6378C" w14:textId="77777777" w:rsidR="002C3802" w:rsidRPr="00B36C05" w:rsidRDefault="002C3802" w:rsidP="002C3802">
      <w:pPr>
        <w:spacing w:after="0" w:line="240" w:lineRule="auto"/>
        <w:rPr>
          <w:rFonts w:ascii="Times New Roman" w:eastAsia="Times New Roman" w:hAnsi="Times New Roman" w:cs="Times New Roman"/>
          <w:sz w:val="24"/>
          <w:szCs w:val="24"/>
          <w:lang w:eastAsia="en-IN"/>
        </w:rPr>
      </w:pPr>
    </w:p>
    <w:p w14:paraId="20F18D79" w14:textId="77777777" w:rsidR="00DF0770" w:rsidRDefault="0097644E" w:rsidP="00CA431A">
      <w:pPr>
        <w:pStyle w:val="NormalWeb"/>
        <w:jc w:val="both"/>
        <w:rPr>
          <w:b/>
        </w:rPr>
      </w:pPr>
      <w:r w:rsidRPr="00F419CC">
        <w:br/>
      </w:r>
    </w:p>
    <w:p w14:paraId="00071088" w14:textId="277E38FE" w:rsidR="00DF0770" w:rsidRPr="00F767A0" w:rsidRDefault="00DF0770" w:rsidP="00F767A0">
      <w:pPr>
        <w:rPr>
          <w:sz w:val="24"/>
          <w:szCs w:val="24"/>
        </w:rPr>
      </w:pPr>
      <w:r w:rsidRPr="00F767A0">
        <w:rPr>
          <w:rStyle w:val="Strong"/>
          <w:bCs w:val="0"/>
          <w:sz w:val="24"/>
          <w:szCs w:val="24"/>
        </w:rPr>
        <w:t>Limitations of the Paper</w:t>
      </w:r>
    </w:p>
    <w:p w14:paraId="5352703D" w14:textId="01344A62" w:rsidR="00114DBE" w:rsidRPr="00114DBE" w:rsidRDefault="00114DBE" w:rsidP="00744BF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14DBE">
        <w:rPr>
          <w:rFonts w:ascii="Times New Roman" w:eastAsia="Times New Roman" w:hAnsi="Times New Roman" w:cs="Times New Roman"/>
          <w:sz w:val="24"/>
          <w:szCs w:val="24"/>
          <w:highlight w:val="yellow"/>
          <w:lang w:eastAsia="en-IN"/>
        </w:rPr>
        <w:lastRenderedPageBreak/>
        <w:t xml:space="preserve">This research offers a thorough examination of the misuse of antibiotics in children and its role in antimicrobial resistance (AMR), although some limitations must be noted. A fundamental limitation is the dependence on secondary data and literature-derived evidence instead of primary clinical or experimental data. The study amalgamates information from diverse sources, which may differ in technique, demographics, and quality. This variation might influence the consistency and comparability of outcomes, especially when evaluating the extent of antibiotic overuse and resistance patterns across several locations. A further drawback is the absence of standardised quantitative analysis. The report addresses problems like </w:t>
      </w:r>
      <w:r w:rsidR="00DA7BEE" w:rsidRPr="00E66CF3">
        <w:rPr>
          <w:rFonts w:ascii="Times New Roman" w:eastAsia="Times New Roman" w:hAnsi="Times New Roman" w:cs="Times New Roman"/>
          <w:sz w:val="24"/>
          <w:szCs w:val="24"/>
          <w:highlight w:val="yellow"/>
          <w:lang w:eastAsia="en-IN"/>
        </w:rPr>
        <w:t>over prescription</w:t>
      </w:r>
      <w:r w:rsidRPr="00114DBE">
        <w:rPr>
          <w:rFonts w:ascii="Times New Roman" w:eastAsia="Times New Roman" w:hAnsi="Times New Roman" w:cs="Times New Roman"/>
          <w:sz w:val="24"/>
          <w:szCs w:val="24"/>
          <w:highlight w:val="yellow"/>
          <w:lang w:eastAsia="en-IN"/>
        </w:rPr>
        <w:t>, misuse, and the development of resistance, although it fails to consistently present statistical indicators such as effect sizes, risk ratios, or meta-analytic comparisons. The findings are predominantly descriptive rather than analytical, potentially constraining their accuracy and generalisability. The study is further limited by heterogeneity in healthcare systems and regional disparities. Antibiotic usage patterns, regulatory enforcement, and healthcare access vary markedly between high-income and low- to middle-income nations. Consequently, findings derived at a global scale may inadequately reflect local reality or may overly simplify context-specific difficulties. Another issue is the possible bias in publication and reporting within the examined literature. Research demonstrating substantial findings about antibiotic usage or resistance is more frequently published, but studies yielding negative or equivocal results may be under-represented. Furthermore, as emphasised in the paper, several previous research studies exhibit inadequately delineated results and discussion sections, which constrains critical evaluation and may undermine the evidentiary foundation used in this analysis. The paper has a restricted emphasis on longitudinal and causal links. Although the correlation between inappropriate antibiotic usage and antimicrobial resistance (AMR) is well-documented, the study lacks longitudinal cohort data or experimental methodologies that may more conclusively determine causality, especially in paediatric demographics. Ultimately, while the research addresses contributory factors like healthcare provider behaviour, parental pressure, and systemic difficulties, it fails to thoroughly examine the efficacy of interventions. Strategies such as antimicrobial stewardship, public education, and policy reforms are outlined; however, their relative impact, feasibility, and scalability are not thoroughly assessed. In conclusion, although the study provides significant insights into a vital public health concern, its limitations underscore the necessity for additional primary r</w:t>
      </w:r>
      <w:r w:rsidR="00DA7BEE" w:rsidRPr="00E66CF3">
        <w:rPr>
          <w:rFonts w:ascii="Times New Roman" w:eastAsia="Times New Roman" w:hAnsi="Times New Roman" w:cs="Times New Roman"/>
          <w:sz w:val="24"/>
          <w:szCs w:val="24"/>
          <w:highlight w:val="yellow"/>
          <w:lang w:eastAsia="en-IN"/>
        </w:rPr>
        <w:t xml:space="preserve">esearch, standardised reporting </w:t>
      </w:r>
      <w:r w:rsidRPr="00114DBE">
        <w:rPr>
          <w:rFonts w:ascii="Times New Roman" w:eastAsia="Times New Roman" w:hAnsi="Times New Roman" w:cs="Times New Roman"/>
          <w:sz w:val="24"/>
          <w:szCs w:val="24"/>
          <w:highlight w:val="yellow"/>
          <w:lang w:eastAsia="en-IN"/>
        </w:rPr>
        <w:t xml:space="preserve">particularly in the </w:t>
      </w:r>
      <w:r w:rsidR="00DA7BEE" w:rsidRPr="00E66CF3">
        <w:rPr>
          <w:rFonts w:ascii="Times New Roman" w:eastAsia="Times New Roman" w:hAnsi="Times New Roman" w:cs="Times New Roman"/>
          <w:sz w:val="24"/>
          <w:szCs w:val="24"/>
          <w:highlight w:val="yellow"/>
          <w:lang w:eastAsia="en-IN"/>
        </w:rPr>
        <w:t xml:space="preserve">results and discussion sections </w:t>
      </w:r>
      <w:r w:rsidRPr="00114DBE">
        <w:rPr>
          <w:rFonts w:ascii="Times New Roman" w:eastAsia="Times New Roman" w:hAnsi="Times New Roman" w:cs="Times New Roman"/>
          <w:sz w:val="24"/>
          <w:szCs w:val="24"/>
          <w:highlight w:val="yellow"/>
          <w:lang w:eastAsia="en-IN"/>
        </w:rPr>
        <w:t>and context-specific analyses to enhance future evidence and inform effective interventions.</w:t>
      </w:r>
    </w:p>
    <w:p w14:paraId="521DBE64" w14:textId="1541566F" w:rsidR="00CA431A" w:rsidRDefault="00DF0770" w:rsidP="00DF0770">
      <w:pPr>
        <w:pStyle w:val="NormalWeb"/>
        <w:jc w:val="both"/>
      </w:pPr>
      <w:r w:rsidRPr="00F419CC">
        <w:rPr>
          <w:b/>
        </w:rPr>
        <w:t xml:space="preserve"> </w:t>
      </w:r>
      <w:r w:rsidR="00522C24" w:rsidRPr="00F419CC">
        <w:rPr>
          <w:b/>
        </w:rPr>
        <w:t>Conclusion</w:t>
      </w:r>
      <w:r w:rsidR="0097644E" w:rsidRPr="00F419CC">
        <w:rPr>
          <w:b/>
        </w:rPr>
        <w:br/>
      </w:r>
      <w:r w:rsidR="00CA431A" w:rsidRPr="00F419CC">
        <w:t xml:space="preserve">Inappropriate antibiotic usage in children is a primary contributor to antimicrobial resistance (AMR). This implies that daily prescribing decisions may contribute to the emergence of resistant bacteria. Inappropriate use of antibiotics, whether through unnecessary administration, incorrect dosing, or misguided selection, exerts selective pressure on resistant organisms, facilitating their survival and proliferation. Children represent a critical demographic for the development and dissemination of resistance due to their frequent illnesses and recurrent antibiotic use. The escalating influence of AMR necessitates coordinated and sustained intervention. Antimicrobial resistance (AMR) presently poses a significant threat to the health of individual children and the global health systems overall. This situation is due to the increasing rates of treatment failure, rising healthcare expenditures, and the diminishing efficacy of conventional medications over time. Failure to respond promptly may result in the continued reduction of the efficacy of numerous widely utilized antibiotics, complicating treatment options for future generations. To address this issue, collaboration at all levels is essential. Robust antimicrobial stewardship measures, adherence to evidence-based prescribing guidelines, and enhanced diagnostic support are all critical components of healthcare systems. </w:t>
      </w:r>
      <w:r w:rsidR="00CA431A" w:rsidRPr="00F419CC">
        <w:lastRenderedPageBreak/>
        <w:t>At the policy level, it is crucial to establish effective regulations for antibiotic distribution, enhance methods for monitoring their usage, and align objectives with global action plans to achieve a sustainable impact. At the community level, it is essential to inform parents, caregivers, and the public to dispel misconceptions and reduce the unnecessary demand for antibiotics. Ultimately, a coordinated, multi-sectoral strategy that unites healthcare professionals, policymakers, researchers, and communities is the sole method to curtail improper antibiotic use in children and mitigate the proliferation of antimicrobial resistance (AMR). Preserving the efficacy of existing antibiotics is crucial for medicine and represents a long-term dedication to safeguarding the health of children globally.</w:t>
      </w:r>
    </w:p>
    <w:p w14:paraId="38BBA654" w14:textId="11E8B19F" w:rsidR="00AC61EB" w:rsidRDefault="00AC61EB" w:rsidP="00CA431A">
      <w:pPr>
        <w:pStyle w:val="NormalWeb"/>
        <w:jc w:val="both"/>
      </w:pPr>
    </w:p>
    <w:p w14:paraId="4C3DDFE9" w14:textId="77777777" w:rsidR="00AC61EB" w:rsidRPr="00005ED1" w:rsidRDefault="00AC61EB" w:rsidP="00AC61EB">
      <w:pPr>
        <w:pStyle w:val="NoSpacing"/>
        <w:rPr>
          <w:rFonts w:ascii="Arial" w:hAnsi="Arial" w:cs="Arial"/>
          <w:highlight w:val="yellow"/>
        </w:rPr>
      </w:pPr>
      <w:bookmarkStart w:id="1" w:name="_Hlk198031404"/>
      <w:bookmarkStart w:id="2" w:name="_Hlk221094604"/>
      <w:r w:rsidRPr="00005ED1">
        <w:rPr>
          <w:rFonts w:ascii="Arial" w:hAnsi="Arial" w:cs="Arial"/>
          <w:highlight w:val="yellow"/>
        </w:rPr>
        <w:t>Disclaimer (Artificial intelligence)</w:t>
      </w:r>
    </w:p>
    <w:p w14:paraId="7CC3C8E7" w14:textId="77777777" w:rsidR="00AC61EB" w:rsidRPr="00005ED1" w:rsidRDefault="00AC61EB" w:rsidP="00AC61EB">
      <w:pPr>
        <w:pStyle w:val="NoSpacing"/>
        <w:rPr>
          <w:rFonts w:ascii="Arial" w:hAnsi="Arial" w:cs="Arial"/>
          <w:highlight w:val="yellow"/>
        </w:rPr>
      </w:pPr>
    </w:p>
    <w:p w14:paraId="7DFF4F42" w14:textId="77777777" w:rsidR="00AC61EB" w:rsidRPr="00005ED1" w:rsidRDefault="00AC61EB" w:rsidP="00AC61E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4690953B" w14:textId="77777777" w:rsidR="00AC61EB" w:rsidRDefault="00AC61EB" w:rsidP="00AC61EB">
      <w:pPr>
        <w:pStyle w:val="NoSpacing"/>
        <w:rPr>
          <w:rFonts w:ascii="Arial" w:hAnsi="Arial" w:cs="Arial"/>
        </w:rPr>
      </w:pPr>
    </w:p>
    <w:bookmarkEnd w:id="2"/>
    <w:p w14:paraId="26F2D0B8" w14:textId="77777777" w:rsidR="00AC61EB" w:rsidRDefault="00AC61EB" w:rsidP="00CA431A">
      <w:pPr>
        <w:pStyle w:val="NormalWeb"/>
        <w:jc w:val="both"/>
      </w:pPr>
    </w:p>
    <w:p w14:paraId="5A1DD592" w14:textId="77777777" w:rsidR="001277EB" w:rsidRDefault="001277EB" w:rsidP="00CA431A">
      <w:pPr>
        <w:pStyle w:val="NormalWeb"/>
        <w:jc w:val="both"/>
        <w:rPr>
          <w:b/>
        </w:rPr>
      </w:pPr>
      <w:r w:rsidRPr="001277EB">
        <w:rPr>
          <w:b/>
        </w:rPr>
        <w:t>References:</w:t>
      </w:r>
    </w:p>
    <w:p w14:paraId="45973AAC" w14:textId="77777777" w:rsidR="008D4639" w:rsidRDefault="008D4639" w:rsidP="00C02EBB">
      <w:pPr>
        <w:pStyle w:val="NormalWeb"/>
        <w:ind w:left="36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Bajcetic</w:t>
      </w:r>
      <w:proofErr w:type="spellEnd"/>
      <w:r>
        <w:rPr>
          <w:rFonts w:ascii="Arial" w:hAnsi="Arial" w:cs="Arial"/>
          <w:color w:val="222222"/>
          <w:sz w:val="20"/>
          <w:szCs w:val="20"/>
          <w:shd w:val="clear" w:color="auto" w:fill="FFFFFF"/>
        </w:rPr>
        <w:t xml:space="preserve">, M., Spasic, D. M., </w:t>
      </w:r>
      <w:proofErr w:type="spellStart"/>
      <w:r>
        <w:rPr>
          <w:rFonts w:ascii="Arial" w:hAnsi="Arial" w:cs="Arial"/>
          <w:color w:val="222222"/>
          <w:sz w:val="20"/>
          <w:szCs w:val="20"/>
          <w:shd w:val="clear" w:color="auto" w:fill="FFFFFF"/>
        </w:rPr>
        <w:t>Kukuric</w:t>
      </w:r>
      <w:proofErr w:type="spellEnd"/>
      <w:r>
        <w:rPr>
          <w:rFonts w:ascii="Arial" w:hAnsi="Arial" w:cs="Arial"/>
          <w:color w:val="222222"/>
          <w:sz w:val="20"/>
          <w:szCs w:val="20"/>
          <w:shd w:val="clear" w:color="auto" w:fill="FFFFFF"/>
        </w:rPr>
        <w:t xml:space="preserve">, M., Lukic, I., </w:t>
      </w:r>
      <w:proofErr w:type="spellStart"/>
      <w:r>
        <w:rPr>
          <w:rFonts w:ascii="Arial" w:hAnsi="Arial" w:cs="Arial"/>
          <w:color w:val="222222"/>
          <w:sz w:val="20"/>
          <w:szCs w:val="20"/>
          <w:shd w:val="clear" w:color="auto" w:fill="FFFFFF"/>
        </w:rPr>
        <w:t>Milijic</w:t>
      </w:r>
      <w:proofErr w:type="spellEnd"/>
      <w:r>
        <w:rPr>
          <w:rFonts w:ascii="Arial" w:hAnsi="Arial" w:cs="Arial"/>
          <w:color w:val="222222"/>
          <w:sz w:val="20"/>
          <w:szCs w:val="20"/>
          <w:shd w:val="clear" w:color="auto" w:fill="FFFFFF"/>
        </w:rPr>
        <w:t xml:space="preserve">, A., &amp; Rajkovic, D. (2026). Long-term public antibiotic awareness campaign significantly reduced inappropriate antibiotic use in </w:t>
      </w:r>
      <w:proofErr w:type="spellStart"/>
      <w:r>
        <w:rPr>
          <w:rFonts w:ascii="Arial" w:hAnsi="Arial" w:cs="Arial"/>
          <w:color w:val="222222"/>
          <w:sz w:val="20"/>
          <w:szCs w:val="20"/>
          <w:shd w:val="clear" w:color="auto" w:fill="FFFFFF"/>
        </w:rPr>
        <w:t>pediatric</w:t>
      </w:r>
      <w:proofErr w:type="spellEnd"/>
      <w:r>
        <w:rPr>
          <w:rFonts w:ascii="Arial" w:hAnsi="Arial" w:cs="Arial"/>
          <w:color w:val="222222"/>
          <w:sz w:val="20"/>
          <w:szCs w:val="20"/>
          <w:shd w:val="clear" w:color="auto" w:fill="FFFFFF"/>
        </w:rPr>
        <w:t xml:space="preserve"> primary care settings. </w:t>
      </w:r>
      <w:r>
        <w:rPr>
          <w:rFonts w:ascii="Arial" w:hAnsi="Arial" w:cs="Arial"/>
          <w:i/>
          <w:iCs/>
          <w:color w:val="222222"/>
          <w:sz w:val="20"/>
          <w:szCs w:val="20"/>
          <w:shd w:val="clear" w:color="auto" w:fill="FFFFFF"/>
        </w:rPr>
        <w:t>Frontiers in Public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1730266.</w:t>
      </w:r>
    </w:p>
    <w:p w14:paraId="55B2C342" w14:textId="77777777" w:rsidR="00CA431A" w:rsidRDefault="008D4639"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Mulchandani, R., Tiseo, K., Nandi, A., Klein, E., Gandra, S., Laxminarayan, R., &amp; Van Boeckel, T. (2025). Global trends in inappropriate use of antibiotics, 2000–2021: scoping review and prevalence estimates. </w:t>
      </w:r>
      <w:r>
        <w:rPr>
          <w:rFonts w:ascii="Arial" w:hAnsi="Arial" w:cs="Arial"/>
          <w:i/>
          <w:iCs/>
          <w:color w:val="222222"/>
          <w:sz w:val="20"/>
          <w:szCs w:val="20"/>
          <w:shd w:val="clear" w:color="auto" w:fill="FFFFFF"/>
        </w:rPr>
        <w:t>BMJ Public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(1).</w:t>
      </w:r>
    </w:p>
    <w:p w14:paraId="45F98E99" w14:textId="77777777" w:rsidR="008D4639" w:rsidRDefault="008D4639"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You, Z., Huang, X., Liu, X., Yu, H., &amp; Long, S. (2026). Prevalence Trends and Antimicrobial Resistance of Carbapenem-Resistant Gram-Negative Bacteria in Paediatric Patients in Sichuan Province: A Retrospective Study (2021-2025). </w:t>
      </w:r>
      <w:r>
        <w:rPr>
          <w:rFonts w:ascii="Arial" w:hAnsi="Arial" w:cs="Arial"/>
          <w:i/>
          <w:iCs/>
          <w:color w:val="222222"/>
          <w:sz w:val="20"/>
          <w:szCs w:val="20"/>
          <w:shd w:val="clear" w:color="auto" w:fill="FFFFFF"/>
        </w:rPr>
        <w:t>Infection and Drug Resistance</w:t>
      </w:r>
      <w:r>
        <w:rPr>
          <w:rFonts w:ascii="Arial" w:hAnsi="Arial" w:cs="Arial"/>
          <w:color w:val="222222"/>
          <w:sz w:val="20"/>
          <w:szCs w:val="20"/>
          <w:shd w:val="clear" w:color="auto" w:fill="FFFFFF"/>
        </w:rPr>
        <w:t>, 597519.</w:t>
      </w:r>
    </w:p>
    <w:p w14:paraId="11E05256" w14:textId="77777777" w:rsidR="008D4639" w:rsidRDefault="008D4639"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Mohammed, Z. A. (2026). Assessing antimicrobial utilisation and stewardship practices in paediatrics: a mixed-methods study from Australia and India.</w:t>
      </w:r>
    </w:p>
    <w:p w14:paraId="65C35D0B" w14:textId="77777777" w:rsidR="008D4639"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Martín-Ayala, G., Alfayate-Miguélez, S., Jiménez-Guillén, C., </w:t>
      </w:r>
      <w:proofErr w:type="spellStart"/>
      <w:r>
        <w:rPr>
          <w:rFonts w:ascii="Arial" w:hAnsi="Arial" w:cs="Arial"/>
          <w:color w:val="222222"/>
          <w:sz w:val="20"/>
          <w:szCs w:val="20"/>
          <w:shd w:val="clear" w:color="auto" w:fill="FFFFFF"/>
        </w:rPr>
        <w:t>Alcaraz-Quiñonero</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Iofrío</w:t>
      </w:r>
      <w:proofErr w:type="spellEnd"/>
      <w:r>
        <w:rPr>
          <w:rFonts w:ascii="Arial" w:hAnsi="Arial" w:cs="Arial"/>
          <w:color w:val="222222"/>
          <w:sz w:val="20"/>
          <w:szCs w:val="20"/>
          <w:shd w:val="clear" w:color="auto" w:fill="FFFFFF"/>
        </w:rPr>
        <w:t>-De Arce, A., &amp; Arnau-Sánchez, J. (2026). Impact of the COVID-19 Pandemic on the Outcomes of a Multifaceted Program on Antibiotic Prescribing in Primary Care Among Children Under Three Years of Age. </w:t>
      </w:r>
      <w:r>
        <w:rPr>
          <w:rFonts w:ascii="Arial" w:hAnsi="Arial" w:cs="Arial"/>
          <w:i/>
          <w:iCs/>
          <w:color w:val="222222"/>
          <w:sz w:val="20"/>
          <w:szCs w:val="20"/>
          <w:shd w:val="clear" w:color="auto" w:fill="FFFFFF"/>
        </w:rPr>
        <w:t>Antibiotics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 101.</w:t>
      </w:r>
    </w:p>
    <w:p w14:paraId="12D56ADB"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Kumar, A., Singh, A., &amp; Sen, A. (2025). Antimicrobial resistance. In </w:t>
      </w:r>
      <w:r>
        <w:rPr>
          <w:rFonts w:ascii="Arial" w:hAnsi="Arial" w:cs="Arial"/>
          <w:i/>
          <w:iCs/>
          <w:color w:val="222222"/>
          <w:sz w:val="20"/>
          <w:szCs w:val="20"/>
          <w:shd w:val="clear" w:color="auto" w:fill="FFFFFF"/>
        </w:rPr>
        <w:t xml:space="preserve">The Palgrave </w:t>
      </w:r>
      <w:proofErr w:type="spellStart"/>
      <w:r>
        <w:rPr>
          <w:rFonts w:ascii="Arial" w:hAnsi="Arial" w:cs="Arial"/>
          <w:i/>
          <w:iCs/>
          <w:color w:val="222222"/>
          <w:sz w:val="20"/>
          <w:szCs w:val="20"/>
          <w:shd w:val="clear" w:color="auto" w:fill="FFFFFF"/>
        </w:rPr>
        <w:t>Encyclopedia</w:t>
      </w:r>
      <w:proofErr w:type="spellEnd"/>
      <w:r>
        <w:rPr>
          <w:rFonts w:ascii="Arial" w:hAnsi="Arial" w:cs="Arial"/>
          <w:i/>
          <w:iCs/>
          <w:color w:val="222222"/>
          <w:sz w:val="20"/>
          <w:szCs w:val="20"/>
          <w:shd w:val="clear" w:color="auto" w:fill="FFFFFF"/>
        </w:rPr>
        <w:t xml:space="preserve"> of Disability</w:t>
      </w:r>
      <w:r>
        <w:rPr>
          <w:rFonts w:ascii="Arial" w:hAnsi="Arial" w:cs="Arial"/>
          <w:color w:val="222222"/>
          <w:sz w:val="20"/>
          <w:szCs w:val="20"/>
          <w:shd w:val="clear" w:color="auto" w:fill="FFFFFF"/>
        </w:rPr>
        <w:t> (pp. 1-9). Cham: Springer Nature Switzerland.</w:t>
      </w:r>
    </w:p>
    <w:p w14:paraId="207110B4"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Patra, M., Gupta, A. K., Kumar, D., &amp; Kumar, B. (2025). Antimicrobial resistance: a rising global threat to public health. </w:t>
      </w:r>
      <w:r>
        <w:rPr>
          <w:rFonts w:ascii="Arial" w:hAnsi="Arial" w:cs="Arial"/>
          <w:i/>
          <w:iCs/>
          <w:color w:val="222222"/>
          <w:sz w:val="20"/>
          <w:szCs w:val="20"/>
          <w:shd w:val="clear" w:color="auto" w:fill="FFFFFF"/>
        </w:rPr>
        <w:t>Infection and Drug Resistance</w:t>
      </w:r>
      <w:r>
        <w:rPr>
          <w:rFonts w:ascii="Arial" w:hAnsi="Arial" w:cs="Arial"/>
          <w:color w:val="222222"/>
          <w:sz w:val="20"/>
          <w:szCs w:val="20"/>
          <w:shd w:val="clear" w:color="auto" w:fill="FFFFFF"/>
        </w:rPr>
        <w:t>, 5419-5437.</w:t>
      </w:r>
    </w:p>
    <w:p w14:paraId="2C9A8543"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Thakur, A., Sharma, R., Kumar, S., Jeet, K., Deepak, A., &amp; Kumar, M. (2026). Antimicrobial Resistance: Socioeconomic Aspects and Roadmap for Mitigation. </w:t>
      </w:r>
      <w:r>
        <w:rPr>
          <w:rFonts w:ascii="Arial" w:hAnsi="Arial" w:cs="Arial"/>
          <w:i/>
          <w:iCs/>
          <w:color w:val="222222"/>
          <w:sz w:val="20"/>
          <w:szCs w:val="20"/>
          <w:shd w:val="clear" w:color="auto" w:fill="FFFFFF"/>
        </w:rPr>
        <w:t>Anti-Infective Agents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(3), E22113525388628.</w:t>
      </w:r>
    </w:p>
    <w:p w14:paraId="3EF713D6"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Erdoğan, E., </w:t>
      </w:r>
      <w:proofErr w:type="spellStart"/>
      <w:r>
        <w:rPr>
          <w:rFonts w:ascii="Arial" w:hAnsi="Arial" w:cs="Arial"/>
          <w:color w:val="222222"/>
          <w:sz w:val="20"/>
          <w:szCs w:val="20"/>
          <w:shd w:val="clear" w:color="auto" w:fill="FFFFFF"/>
        </w:rPr>
        <w:t>Yetişgen</w:t>
      </w:r>
      <w:proofErr w:type="spellEnd"/>
      <w:r>
        <w:rPr>
          <w:rFonts w:ascii="Arial" w:hAnsi="Arial" w:cs="Arial"/>
          <w:color w:val="222222"/>
          <w:sz w:val="20"/>
          <w:szCs w:val="20"/>
          <w:shd w:val="clear" w:color="auto" w:fill="FFFFFF"/>
        </w:rPr>
        <w:t xml:space="preserve">, A., Doğan, S., Sinanoğlu, M. S., Kılıç, F. E., &amp; Kurt, O. (2026). Multidrug-resistant </w:t>
      </w:r>
      <w:proofErr w:type="spellStart"/>
      <w:r>
        <w:rPr>
          <w:rFonts w:ascii="Arial" w:hAnsi="Arial" w:cs="Arial"/>
          <w:color w:val="222222"/>
          <w:sz w:val="20"/>
          <w:szCs w:val="20"/>
          <w:shd w:val="clear" w:color="auto" w:fill="FFFFFF"/>
        </w:rPr>
        <w:t>uropathogens</w:t>
      </w:r>
      <w:proofErr w:type="spellEnd"/>
      <w:r>
        <w:rPr>
          <w:rFonts w:ascii="Arial" w:hAnsi="Arial" w:cs="Arial"/>
          <w:color w:val="222222"/>
          <w:sz w:val="20"/>
          <w:szCs w:val="20"/>
          <w:shd w:val="clear" w:color="auto" w:fill="FFFFFF"/>
        </w:rPr>
        <w:t xml:space="preserve"> in </w:t>
      </w:r>
      <w:proofErr w:type="spellStart"/>
      <w:r>
        <w:rPr>
          <w:rFonts w:ascii="Arial" w:hAnsi="Arial" w:cs="Arial"/>
          <w:color w:val="222222"/>
          <w:sz w:val="20"/>
          <w:szCs w:val="20"/>
          <w:shd w:val="clear" w:color="auto" w:fill="FFFFFF"/>
        </w:rPr>
        <w:t>pediatric</w:t>
      </w:r>
      <w:proofErr w:type="spellEnd"/>
      <w:r>
        <w:rPr>
          <w:rFonts w:ascii="Arial" w:hAnsi="Arial" w:cs="Arial"/>
          <w:color w:val="222222"/>
          <w:sz w:val="20"/>
          <w:szCs w:val="20"/>
          <w:shd w:val="clear" w:color="auto" w:fill="FFFFFF"/>
        </w:rPr>
        <w:t xml:space="preserve"> urinary tract infections: a </w:t>
      </w:r>
      <w:proofErr w:type="spellStart"/>
      <w:r>
        <w:rPr>
          <w:rFonts w:ascii="Arial" w:hAnsi="Arial" w:cs="Arial"/>
          <w:color w:val="222222"/>
          <w:sz w:val="20"/>
          <w:szCs w:val="20"/>
          <w:shd w:val="clear" w:color="auto" w:fill="FFFFFF"/>
        </w:rPr>
        <w:t>multicenter</w:t>
      </w:r>
      <w:proofErr w:type="spellEnd"/>
      <w:r>
        <w:rPr>
          <w:rFonts w:ascii="Arial" w:hAnsi="Arial" w:cs="Arial"/>
          <w:color w:val="222222"/>
          <w:sz w:val="20"/>
          <w:szCs w:val="20"/>
          <w:shd w:val="clear" w:color="auto" w:fill="FFFFFF"/>
        </w:rPr>
        <w:t xml:space="preserve"> retrospective trend analysis (2020–2024). </w:t>
      </w:r>
      <w:r>
        <w:rPr>
          <w:rFonts w:ascii="Arial" w:hAnsi="Arial" w:cs="Arial"/>
          <w:i/>
          <w:iCs/>
          <w:color w:val="222222"/>
          <w:sz w:val="20"/>
          <w:szCs w:val="20"/>
          <w:shd w:val="clear" w:color="auto" w:fill="FFFFFF"/>
        </w:rPr>
        <w:t>Naunyn-Schmiedeberg's Archives of Pharmacology</w:t>
      </w:r>
      <w:r>
        <w:rPr>
          <w:rFonts w:ascii="Arial" w:hAnsi="Arial" w:cs="Arial"/>
          <w:color w:val="222222"/>
          <w:sz w:val="20"/>
          <w:szCs w:val="20"/>
          <w:shd w:val="clear" w:color="auto" w:fill="FFFFFF"/>
        </w:rPr>
        <w:t>, 1-17.</w:t>
      </w:r>
    </w:p>
    <w:p w14:paraId="27C0D0EF"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Singh, I., Sharma, D., Dhiman, S., &amp; Singh, B. N. (2026). Epidemiological coverage and mechanisms of antimicrobial resistance: a globalized view. In </w:t>
      </w:r>
      <w:proofErr w:type="spellStart"/>
      <w:r>
        <w:rPr>
          <w:rFonts w:ascii="Arial" w:hAnsi="Arial" w:cs="Arial"/>
          <w:i/>
          <w:iCs/>
          <w:color w:val="222222"/>
          <w:sz w:val="20"/>
          <w:szCs w:val="20"/>
          <w:shd w:val="clear" w:color="auto" w:fill="FFFFFF"/>
        </w:rPr>
        <w:t>Nanodiagnostics</w:t>
      </w:r>
      <w:proofErr w:type="spellEnd"/>
      <w:r>
        <w:rPr>
          <w:rFonts w:ascii="Arial" w:hAnsi="Arial" w:cs="Arial"/>
          <w:i/>
          <w:iCs/>
          <w:color w:val="222222"/>
          <w:sz w:val="20"/>
          <w:szCs w:val="20"/>
          <w:shd w:val="clear" w:color="auto" w:fill="FFFFFF"/>
        </w:rPr>
        <w:t xml:space="preserve"> to Identify and Detect Microbial Infections and Antimicrobial Resistance</w:t>
      </w:r>
      <w:r>
        <w:rPr>
          <w:rFonts w:ascii="Arial" w:hAnsi="Arial" w:cs="Arial"/>
          <w:color w:val="222222"/>
          <w:sz w:val="20"/>
          <w:szCs w:val="20"/>
          <w:shd w:val="clear" w:color="auto" w:fill="FFFFFF"/>
        </w:rPr>
        <w:t> (pp. 1-26). Academic Press.</w:t>
      </w:r>
    </w:p>
    <w:p w14:paraId="2B1C32A6"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Montoro-Pérez, N., Castro-Sánchez, E., Escribano, S., Richart-Martínez, M., &amp; Montejano-Lozoya, R. (2024). Addressing antimicrobial resistance: The potential role of parental health literacy and intensive parenting attitudes in antibiotic use. </w:t>
      </w:r>
      <w:r>
        <w:rPr>
          <w:rFonts w:ascii="Arial" w:hAnsi="Arial" w:cs="Arial"/>
          <w:i/>
          <w:iCs/>
          <w:color w:val="222222"/>
          <w:sz w:val="20"/>
          <w:szCs w:val="20"/>
          <w:shd w:val="clear" w:color="auto" w:fill="FFFFFF"/>
        </w:rPr>
        <w:t xml:space="preserve">Journal of </w:t>
      </w:r>
      <w:proofErr w:type="spellStart"/>
      <w:r>
        <w:rPr>
          <w:rFonts w:ascii="Arial" w:hAnsi="Arial" w:cs="Arial"/>
          <w:i/>
          <w:iCs/>
          <w:color w:val="222222"/>
          <w:sz w:val="20"/>
          <w:szCs w:val="20"/>
          <w:shd w:val="clear" w:color="auto" w:fill="FFFFFF"/>
        </w:rPr>
        <w:t>Pediatric</w:t>
      </w:r>
      <w:proofErr w:type="spellEnd"/>
      <w:r>
        <w:rPr>
          <w:rFonts w:ascii="Arial" w:hAnsi="Arial" w:cs="Arial"/>
          <w:i/>
          <w:iCs/>
          <w:color w:val="222222"/>
          <w:sz w:val="20"/>
          <w:szCs w:val="20"/>
          <w:shd w:val="clear" w:color="auto" w:fill="FFFFFF"/>
        </w:rPr>
        <w:t xml:space="preserve"> Nursing: Nursing Care of Children and Families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79</w:t>
      </w:r>
      <w:r>
        <w:rPr>
          <w:rFonts w:ascii="Arial" w:hAnsi="Arial" w:cs="Arial"/>
          <w:color w:val="222222"/>
          <w:sz w:val="20"/>
          <w:szCs w:val="20"/>
          <w:shd w:val="clear" w:color="auto" w:fill="FFFFFF"/>
        </w:rPr>
        <w:t>, A1-A4.</w:t>
      </w:r>
    </w:p>
    <w:p w14:paraId="73CFCB44"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Raut, N., Chaudhary, A. A., Patil, H., </w:t>
      </w:r>
      <w:proofErr w:type="spellStart"/>
      <w:r>
        <w:rPr>
          <w:rFonts w:ascii="Arial" w:hAnsi="Arial" w:cs="Arial"/>
          <w:color w:val="222222"/>
          <w:sz w:val="20"/>
          <w:szCs w:val="20"/>
          <w:shd w:val="clear" w:color="auto" w:fill="FFFFFF"/>
        </w:rPr>
        <w:t>Shidhaye</w:t>
      </w:r>
      <w:proofErr w:type="spellEnd"/>
      <w:r>
        <w:rPr>
          <w:rFonts w:ascii="Arial" w:hAnsi="Arial" w:cs="Arial"/>
          <w:color w:val="222222"/>
          <w:sz w:val="20"/>
          <w:szCs w:val="20"/>
          <w:shd w:val="clear" w:color="auto" w:fill="FFFFFF"/>
        </w:rPr>
        <w:t xml:space="preserve">, S., Khobragade, R., </w:t>
      </w:r>
      <w:proofErr w:type="spellStart"/>
      <w:r>
        <w:rPr>
          <w:rFonts w:ascii="Arial" w:hAnsi="Arial" w:cs="Arial"/>
          <w:color w:val="222222"/>
          <w:sz w:val="20"/>
          <w:szCs w:val="20"/>
          <w:shd w:val="clear" w:color="auto" w:fill="FFFFFF"/>
        </w:rPr>
        <w:t>Umekar</w:t>
      </w:r>
      <w:proofErr w:type="spellEnd"/>
      <w:r>
        <w:rPr>
          <w:rFonts w:ascii="Arial" w:hAnsi="Arial" w:cs="Arial"/>
          <w:color w:val="222222"/>
          <w:sz w:val="20"/>
          <w:szCs w:val="20"/>
          <w:shd w:val="clear" w:color="auto" w:fill="FFFFFF"/>
        </w:rPr>
        <w:t>, M., ... &amp; Trivedi, R. (2026). Antimicrobial Consumption and Resistance Dynamics Across Healthcare Level: Global Evidence and Stewardship Implications. </w:t>
      </w:r>
      <w:r>
        <w:rPr>
          <w:rFonts w:ascii="Arial" w:hAnsi="Arial" w:cs="Arial"/>
          <w:i/>
          <w:iCs/>
          <w:color w:val="222222"/>
          <w:sz w:val="20"/>
          <w:szCs w:val="20"/>
          <w:shd w:val="clear" w:color="auto" w:fill="FFFFFF"/>
        </w:rPr>
        <w:t>Pathogens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(4), 414.</w:t>
      </w:r>
    </w:p>
    <w:p w14:paraId="05B5DC0E"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Yeshurun, M. S., Stein, M., Amit, S., &amp; David, S. S. B. (2026). Trends in Antibiotic Resistance in Community-acquired Urinary Tract Infections Among Children: Nationwide Survey. </w:t>
      </w:r>
      <w:r>
        <w:rPr>
          <w:rFonts w:ascii="Arial" w:hAnsi="Arial" w:cs="Arial"/>
          <w:i/>
          <w:iCs/>
          <w:color w:val="222222"/>
          <w:sz w:val="20"/>
          <w:szCs w:val="20"/>
          <w:shd w:val="clear" w:color="auto" w:fill="FFFFFF"/>
        </w:rPr>
        <w:t xml:space="preserve">The </w:t>
      </w:r>
      <w:proofErr w:type="spellStart"/>
      <w:r>
        <w:rPr>
          <w:rFonts w:ascii="Arial" w:hAnsi="Arial" w:cs="Arial"/>
          <w:i/>
          <w:iCs/>
          <w:color w:val="222222"/>
          <w:sz w:val="20"/>
          <w:szCs w:val="20"/>
          <w:shd w:val="clear" w:color="auto" w:fill="FFFFFF"/>
        </w:rPr>
        <w:t>Pediatric</w:t>
      </w:r>
      <w:proofErr w:type="spellEnd"/>
      <w:r>
        <w:rPr>
          <w:rFonts w:ascii="Arial" w:hAnsi="Arial" w:cs="Arial"/>
          <w:i/>
          <w:iCs/>
          <w:color w:val="222222"/>
          <w:sz w:val="20"/>
          <w:szCs w:val="20"/>
          <w:shd w:val="clear" w:color="auto" w:fill="FFFFFF"/>
        </w:rPr>
        <w:t xml:space="preserve"> Infectious Disease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45</w:t>
      </w:r>
      <w:r>
        <w:rPr>
          <w:rFonts w:ascii="Arial" w:hAnsi="Arial" w:cs="Arial"/>
          <w:color w:val="222222"/>
          <w:sz w:val="20"/>
          <w:szCs w:val="20"/>
          <w:shd w:val="clear" w:color="auto" w:fill="FFFFFF"/>
        </w:rPr>
        <w:t>(1), 42-46.</w:t>
      </w:r>
    </w:p>
    <w:p w14:paraId="2CC7AB60"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Lambert, M., </w:t>
      </w:r>
      <w:proofErr w:type="spellStart"/>
      <w:r>
        <w:rPr>
          <w:rFonts w:ascii="Arial" w:hAnsi="Arial" w:cs="Arial"/>
          <w:color w:val="222222"/>
          <w:sz w:val="20"/>
          <w:szCs w:val="20"/>
          <w:shd w:val="clear" w:color="auto" w:fill="FFFFFF"/>
        </w:rPr>
        <w:t>Aljadeeah</w:t>
      </w:r>
      <w:proofErr w:type="spellEnd"/>
      <w:r>
        <w:rPr>
          <w:rFonts w:ascii="Arial" w:hAnsi="Arial" w:cs="Arial"/>
          <w:color w:val="222222"/>
          <w:sz w:val="20"/>
          <w:szCs w:val="20"/>
          <w:shd w:val="clear" w:color="auto" w:fill="FFFFFF"/>
        </w:rPr>
        <w:t xml:space="preserve">, S., Nasir, N., Sila, F., Lopes, L., &amp; </w:t>
      </w:r>
      <w:proofErr w:type="spellStart"/>
      <w:r>
        <w:rPr>
          <w:rFonts w:ascii="Arial" w:hAnsi="Arial" w:cs="Arial"/>
          <w:color w:val="222222"/>
          <w:sz w:val="20"/>
          <w:szCs w:val="20"/>
          <w:shd w:val="clear" w:color="auto" w:fill="FFFFFF"/>
        </w:rPr>
        <w:t>Llor</w:t>
      </w:r>
      <w:proofErr w:type="spellEnd"/>
      <w:r>
        <w:rPr>
          <w:rFonts w:ascii="Arial" w:hAnsi="Arial" w:cs="Arial"/>
          <w:color w:val="222222"/>
          <w:sz w:val="20"/>
          <w:szCs w:val="20"/>
          <w:shd w:val="clear" w:color="auto" w:fill="FFFFFF"/>
        </w:rPr>
        <w:t>, C. (2026). Reducing antibiotic exposure to combat antimicrobial resistance: rethinking use, packaging, and dispensing practices. </w:t>
      </w:r>
      <w:r>
        <w:rPr>
          <w:rFonts w:ascii="Arial" w:hAnsi="Arial" w:cs="Arial"/>
          <w:i/>
          <w:iCs/>
          <w:color w:val="222222"/>
          <w:sz w:val="20"/>
          <w:szCs w:val="20"/>
          <w:shd w:val="clear" w:color="auto" w:fill="FFFFFF"/>
        </w:rPr>
        <w:t>The Lancet Primary Care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(1).</w:t>
      </w:r>
    </w:p>
    <w:p w14:paraId="030654C0"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Bachhav, R. L., &amp; Surana, K. R. Antimicrobial Resistance in Community-Acquired Infections: A Review of Global Epidemiological Trends and Public Health Implications.</w:t>
      </w:r>
    </w:p>
    <w:p w14:paraId="24EDF92E"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Bing, L., Xin, Z., Hui, X., Changying, L., Ying, H., Mei, Q., ... &amp; </w:t>
      </w:r>
      <w:proofErr w:type="spellStart"/>
      <w:r>
        <w:rPr>
          <w:rFonts w:ascii="Arial" w:hAnsi="Arial" w:cs="Arial"/>
          <w:color w:val="222222"/>
          <w:sz w:val="20"/>
          <w:szCs w:val="20"/>
          <w:shd w:val="clear" w:color="auto" w:fill="FFFFFF"/>
        </w:rPr>
        <w:t>Quanyi</w:t>
      </w:r>
      <w:proofErr w:type="spellEnd"/>
      <w:r>
        <w:rPr>
          <w:rFonts w:ascii="Arial" w:hAnsi="Arial" w:cs="Arial"/>
          <w:color w:val="222222"/>
          <w:sz w:val="20"/>
          <w:szCs w:val="20"/>
          <w:shd w:val="clear" w:color="auto" w:fill="FFFFFF"/>
        </w:rPr>
        <w:t>, W. (2026). Antimicrobial Susceptibility Analysis of Diarrheagenic Escherichia coli Isolated from Outpatients in Beijing, from 2021 to 2024. </w:t>
      </w:r>
      <w:r>
        <w:rPr>
          <w:rFonts w:ascii="Arial" w:hAnsi="Arial" w:cs="Arial"/>
          <w:i/>
          <w:iCs/>
          <w:color w:val="222222"/>
          <w:sz w:val="20"/>
          <w:szCs w:val="20"/>
          <w:shd w:val="clear" w:color="auto" w:fill="FFFFFF"/>
        </w:rPr>
        <w:t>Journal of Global Antimicrobial Resistance</w:t>
      </w:r>
      <w:r>
        <w:rPr>
          <w:rFonts w:ascii="Arial" w:hAnsi="Arial" w:cs="Arial"/>
          <w:color w:val="222222"/>
          <w:sz w:val="20"/>
          <w:szCs w:val="20"/>
          <w:shd w:val="clear" w:color="auto" w:fill="FFFFFF"/>
        </w:rPr>
        <w:t>.</w:t>
      </w:r>
    </w:p>
    <w:p w14:paraId="587D32BA"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Bianchi, M., Rubeo, A., Costa, M., Ferretti, A., Di Nardo, G., Parisi, P., &amp; Ventresca, S. (2026). </w:t>
      </w:r>
      <w:proofErr w:type="spellStart"/>
      <w:r>
        <w:rPr>
          <w:rFonts w:ascii="Arial" w:hAnsi="Arial" w:cs="Arial"/>
          <w:color w:val="222222"/>
          <w:sz w:val="20"/>
          <w:szCs w:val="20"/>
          <w:shd w:val="clear" w:color="auto" w:fill="FFFFFF"/>
        </w:rPr>
        <w:t>Pediatric</w:t>
      </w:r>
      <w:proofErr w:type="spellEnd"/>
      <w:r>
        <w:rPr>
          <w:rFonts w:ascii="Arial" w:hAnsi="Arial" w:cs="Arial"/>
          <w:color w:val="222222"/>
          <w:sz w:val="20"/>
          <w:szCs w:val="20"/>
          <w:shd w:val="clear" w:color="auto" w:fill="FFFFFF"/>
        </w:rPr>
        <w:t xml:space="preserve"> Antimicrobial Stewardship: Current Evidence and Emerging Challenges. </w:t>
      </w:r>
      <w:r>
        <w:rPr>
          <w:rFonts w:ascii="Arial" w:hAnsi="Arial" w:cs="Arial"/>
          <w:i/>
          <w:iCs/>
          <w:color w:val="222222"/>
          <w:sz w:val="20"/>
          <w:szCs w:val="20"/>
          <w:shd w:val="clear" w:color="auto" w:fill="FFFFFF"/>
        </w:rPr>
        <w:t>Pandemics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4.</w:t>
      </w:r>
    </w:p>
    <w:p w14:paraId="560FF252"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Zhang, X., Chen, H., &amp; Xiong, J. (2026). Dynamics of azithromycin resistance in </w:t>
      </w:r>
      <w:proofErr w:type="spellStart"/>
      <w:r>
        <w:rPr>
          <w:rFonts w:ascii="Arial" w:hAnsi="Arial" w:cs="Arial"/>
          <w:color w:val="222222"/>
          <w:sz w:val="20"/>
          <w:szCs w:val="20"/>
          <w:shd w:val="clear" w:color="auto" w:fill="FFFFFF"/>
        </w:rPr>
        <w:t>pediatric</w:t>
      </w:r>
      <w:proofErr w:type="spellEnd"/>
      <w:r>
        <w:rPr>
          <w:rFonts w:ascii="Arial" w:hAnsi="Arial" w:cs="Arial"/>
          <w:color w:val="222222"/>
          <w:sz w:val="20"/>
          <w:szCs w:val="20"/>
          <w:shd w:val="clear" w:color="auto" w:fill="FFFFFF"/>
        </w:rPr>
        <w:t xml:space="preserve"> Haemophilus </w:t>
      </w:r>
      <w:proofErr w:type="spellStart"/>
      <w:r>
        <w:rPr>
          <w:rFonts w:ascii="Arial" w:hAnsi="Arial" w:cs="Arial"/>
          <w:color w:val="222222"/>
          <w:sz w:val="20"/>
          <w:szCs w:val="20"/>
          <w:shd w:val="clear" w:color="auto" w:fill="FFFFFF"/>
        </w:rPr>
        <w:t>influenzae</w:t>
      </w:r>
      <w:proofErr w:type="spellEnd"/>
      <w:r>
        <w:rPr>
          <w:rFonts w:ascii="Arial" w:hAnsi="Arial" w:cs="Arial"/>
          <w:color w:val="222222"/>
          <w:sz w:val="20"/>
          <w:szCs w:val="20"/>
          <w:shd w:val="clear" w:color="auto" w:fill="FFFFFF"/>
        </w:rPr>
        <w:t xml:space="preserve"> isolates in Wuhan (2015–2024): Temporal associations with the COVID-19 period and the 2023–2024 Mycoplasma pneumoniae resurgence. </w:t>
      </w:r>
      <w:r>
        <w:rPr>
          <w:rFonts w:ascii="Arial" w:hAnsi="Arial" w:cs="Arial"/>
          <w:i/>
          <w:iCs/>
          <w:color w:val="222222"/>
          <w:sz w:val="20"/>
          <w:szCs w:val="20"/>
          <w:shd w:val="clear" w:color="auto" w:fill="FFFFFF"/>
        </w:rPr>
        <w:t>Infection, Genetics and Evolution</w:t>
      </w:r>
      <w:r>
        <w:rPr>
          <w:rFonts w:ascii="Arial" w:hAnsi="Arial" w:cs="Arial"/>
          <w:color w:val="222222"/>
          <w:sz w:val="20"/>
          <w:szCs w:val="20"/>
          <w:shd w:val="clear" w:color="auto" w:fill="FFFFFF"/>
        </w:rPr>
        <w:t>, 105887.</w:t>
      </w:r>
    </w:p>
    <w:p w14:paraId="3CD00B15"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Nsubuga, B., Chelimo, V. M., Kayemba, A., </w:t>
      </w:r>
      <w:proofErr w:type="spellStart"/>
      <w:r>
        <w:rPr>
          <w:rFonts w:ascii="Arial" w:hAnsi="Arial" w:cs="Arial"/>
          <w:color w:val="222222"/>
          <w:sz w:val="20"/>
          <w:szCs w:val="20"/>
          <w:shd w:val="clear" w:color="auto" w:fill="FFFFFF"/>
        </w:rPr>
        <w:t>Ampaire</w:t>
      </w:r>
      <w:proofErr w:type="spellEnd"/>
      <w:r>
        <w:rPr>
          <w:rFonts w:ascii="Arial" w:hAnsi="Arial" w:cs="Arial"/>
          <w:color w:val="222222"/>
          <w:sz w:val="20"/>
          <w:szCs w:val="20"/>
          <w:shd w:val="clear" w:color="auto" w:fill="FFFFFF"/>
        </w:rPr>
        <w:t xml:space="preserve">, P., Nambatya, W., Rajab, K., ... &amp; </w:t>
      </w:r>
      <w:proofErr w:type="spellStart"/>
      <w:r>
        <w:rPr>
          <w:rFonts w:ascii="Arial" w:hAnsi="Arial" w:cs="Arial"/>
          <w:color w:val="222222"/>
          <w:sz w:val="20"/>
          <w:szCs w:val="20"/>
          <w:shd w:val="clear" w:color="auto" w:fill="FFFFFF"/>
        </w:rPr>
        <w:t>Walwema</w:t>
      </w:r>
      <w:proofErr w:type="spellEnd"/>
      <w:r>
        <w:rPr>
          <w:rFonts w:ascii="Arial" w:hAnsi="Arial" w:cs="Arial"/>
          <w:color w:val="222222"/>
          <w:sz w:val="20"/>
          <w:szCs w:val="20"/>
          <w:shd w:val="clear" w:color="auto" w:fill="FFFFFF"/>
        </w:rPr>
        <w:t>, R. (2026). Antibacterial consumption in public health facilities in Uganda: a trend analysis of national warehouse distribution data 2022–2024. </w:t>
      </w:r>
      <w:r>
        <w:rPr>
          <w:rFonts w:ascii="Arial" w:hAnsi="Arial" w:cs="Arial"/>
          <w:i/>
          <w:iCs/>
          <w:color w:val="222222"/>
          <w:sz w:val="20"/>
          <w:szCs w:val="20"/>
          <w:shd w:val="clear" w:color="auto" w:fill="FFFFFF"/>
        </w:rPr>
        <w:t>JAC-Antimicrobial Resistance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dlag045.</w:t>
      </w:r>
    </w:p>
    <w:p w14:paraId="1445EF8F"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Okumu, N. O., </w:t>
      </w:r>
      <w:proofErr w:type="spellStart"/>
      <w:r>
        <w:rPr>
          <w:rFonts w:ascii="Arial" w:hAnsi="Arial" w:cs="Arial"/>
          <w:color w:val="222222"/>
          <w:sz w:val="20"/>
          <w:szCs w:val="20"/>
          <w:shd w:val="clear" w:color="auto" w:fill="FFFFFF"/>
        </w:rPr>
        <w:t>Muloi</w:t>
      </w:r>
      <w:proofErr w:type="spellEnd"/>
      <w:r>
        <w:rPr>
          <w:rFonts w:ascii="Arial" w:hAnsi="Arial" w:cs="Arial"/>
          <w:color w:val="222222"/>
          <w:sz w:val="20"/>
          <w:szCs w:val="20"/>
          <w:shd w:val="clear" w:color="auto" w:fill="FFFFFF"/>
        </w:rPr>
        <w:t>, D. M., Moodley, A., Watson, J., Kiarie, A., Ochieng, L., ... &amp; Cook, E. A. (2025). Antimicrobial resistance in community-acquired enteric pathogens among children aged≤ 10-years in low-and middle-income countries: a systematic review and meta-analysis. </w:t>
      </w:r>
      <w:r>
        <w:rPr>
          <w:rFonts w:ascii="Arial" w:hAnsi="Arial" w:cs="Arial"/>
          <w:i/>
          <w:iCs/>
          <w:color w:val="222222"/>
          <w:sz w:val="20"/>
          <w:szCs w:val="20"/>
          <w:shd w:val="clear" w:color="auto" w:fill="FFFFFF"/>
        </w:rPr>
        <w:t>Frontiers in microbiology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 1539160.</w:t>
      </w:r>
    </w:p>
    <w:p w14:paraId="5A040D00"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Mbuthia, J., Gitonga, N., Akoth, W., Mutua, S., </w:t>
      </w:r>
      <w:proofErr w:type="spellStart"/>
      <w:r>
        <w:rPr>
          <w:rFonts w:ascii="Arial" w:hAnsi="Arial" w:cs="Arial"/>
          <w:color w:val="222222"/>
          <w:sz w:val="20"/>
          <w:szCs w:val="20"/>
          <w:shd w:val="clear" w:color="auto" w:fill="FFFFFF"/>
        </w:rPr>
        <w:t>Kusu</w:t>
      </w:r>
      <w:proofErr w:type="spellEnd"/>
      <w:r>
        <w:rPr>
          <w:rFonts w:ascii="Arial" w:hAnsi="Arial" w:cs="Arial"/>
          <w:color w:val="222222"/>
          <w:sz w:val="20"/>
          <w:szCs w:val="20"/>
          <w:shd w:val="clear" w:color="auto" w:fill="FFFFFF"/>
        </w:rPr>
        <w:t xml:space="preserve">, N., Hafner, T., ... &amp; Embrey, M. (2025). Antimicrobial use in a </w:t>
      </w:r>
      <w:proofErr w:type="spellStart"/>
      <w:r>
        <w:rPr>
          <w:rFonts w:ascii="Arial" w:hAnsi="Arial" w:cs="Arial"/>
          <w:color w:val="222222"/>
          <w:sz w:val="20"/>
          <w:szCs w:val="20"/>
          <w:shd w:val="clear" w:color="auto" w:fill="FFFFFF"/>
        </w:rPr>
        <w:t>pediatric</w:t>
      </w:r>
      <w:proofErr w:type="spellEnd"/>
      <w:r>
        <w:rPr>
          <w:rFonts w:ascii="Arial" w:hAnsi="Arial" w:cs="Arial"/>
          <w:color w:val="222222"/>
          <w:sz w:val="20"/>
          <w:szCs w:val="20"/>
          <w:shd w:val="clear" w:color="auto" w:fill="FFFFFF"/>
        </w:rPr>
        <w:t xml:space="preserve"> hospital in Kenya: a point prevalence survey to inform antimicrobial stewardship. </w:t>
      </w:r>
      <w:r>
        <w:rPr>
          <w:rFonts w:ascii="Arial" w:hAnsi="Arial" w:cs="Arial"/>
          <w:i/>
          <w:iCs/>
          <w:color w:val="222222"/>
          <w:sz w:val="20"/>
          <w:szCs w:val="20"/>
          <w:shd w:val="clear" w:color="auto" w:fill="FFFFFF"/>
        </w:rPr>
        <w:t>Frontiers in Tropical Diseases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 1497199.</w:t>
      </w:r>
    </w:p>
    <w:p w14:paraId="6873A0D9"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Crapis, M., Nicolini, G., Vecchio, A. L., &amp; Parrella, R. (2026). Appropriateness and Abuse of Antipyretics, Anti-Inflammatory Drugs and Antibiotics in Children and Adults.</w:t>
      </w:r>
    </w:p>
    <w:p w14:paraId="36EE9B98" w14:textId="77777777" w:rsidR="00067BB6" w:rsidRDefault="00067BB6"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Bindel, L. J., &amp; Seifert, R. (2026). Determinants of prescribing behaviour of antibacterial drugs in Europe and use of appropriate nomenclature in the literature. </w:t>
      </w:r>
      <w:proofErr w:type="spellStart"/>
      <w:r>
        <w:rPr>
          <w:rFonts w:ascii="Arial" w:hAnsi="Arial" w:cs="Arial"/>
          <w:i/>
          <w:iCs/>
          <w:color w:val="222222"/>
          <w:sz w:val="20"/>
          <w:szCs w:val="20"/>
          <w:shd w:val="clear" w:color="auto" w:fill="FFFFFF"/>
        </w:rPr>
        <w:t>Naunyn-schmiedeberg's</w:t>
      </w:r>
      <w:proofErr w:type="spellEnd"/>
      <w:r>
        <w:rPr>
          <w:rFonts w:ascii="Arial" w:hAnsi="Arial" w:cs="Arial"/>
          <w:i/>
          <w:iCs/>
          <w:color w:val="222222"/>
          <w:sz w:val="20"/>
          <w:szCs w:val="20"/>
          <w:shd w:val="clear" w:color="auto" w:fill="FFFFFF"/>
        </w:rPr>
        <w:t xml:space="preserve"> Archives of Pharmacology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399</w:t>
      </w:r>
      <w:r>
        <w:rPr>
          <w:rFonts w:ascii="Arial" w:hAnsi="Arial" w:cs="Arial"/>
          <w:color w:val="222222"/>
          <w:sz w:val="20"/>
          <w:szCs w:val="20"/>
          <w:shd w:val="clear" w:color="auto" w:fill="FFFFFF"/>
        </w:rPr>
        <w:t>(1), 89-112.</w:t>
      </w:r>
    </w:p>
    <w:p w14:paraId="7AD3EC3C" w14:textId="77777777" w:rsidR="00067BB6" w:rsidRDefault="00067BB6" w:rsidP="00C02EBB">
      <w:pPr>
        <w:pStyle w:val="NormalWeb"/>
        <w:ind w:left="36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Hailesilase</w:t>
      </w:r>
      <w:proofErr w:type="spellEnd"/>
      <w:r>
        <w:rPr>
          <w:rFonts w:ascii="Arial" w:hAnsi="Arial" w:cs="Arial"/>
          <w:color w:val="222222"/>
          <w:sz w:val="20"/>
          <w:szCs w:val="20"/>
          <w:shd w:val="clear" w:color="auto" w:fill="FFFFFF"/>
        </w:rPr>
        <w:t xml:space="preserve">, G. G., </w:t>
      </w:r>
      <w:proofErr w:type="spellStart"/>
      <w:r>
        <w:rPr>
          <w:rFonts w:ascii="Arial" w:hAnsi="Arial" w:cs="Arial"/>
          <w:color w:val="222222"/>
          <w:sz w:val="20"/>
          <w:szCs w:val="20"/>
          <w:shd w:val="clear" w:color="auto" w:fill="FFFFFF"/>
        </w:rPr>
        <w:t>Gebrezgabiher</w:t>
      </w:r>
      <w:proofErr w:type="spellEnd"/>
      <w:r>
        <w:rPr>
          <w:rFonts w:ascii="Arial" w:hAnsi="Arial" w:cs="Arial"/>
          <w:color w:val="222222"/>
          <w:sz w:val="20"/>
          <w:szCs w:val="20"/>
          <w:shd w:val="clear" w:color="auto" w:fill="FFFFFF"/>
        </w:rPr>
        <w:t xml:space="preserve">, H. A., </w:t>
      </w:r>
      <w:proofErr w:type="spellStart"/>
      <w:r>
        <w:rPr>
          <w:rFonts w:ascii="Arial" w:hAnsi="Arial" w:cs="Arial"/>
          <w:color w:val="222222"/>
          <w:sz w:val="20"/>
          <w:szCs w:val="20"/>
          <w:shd w:val="clear" w:color="auto" w:fill="FFFFFF"/>
        </w:rPr>
        <w:t>Welegebrial</w:t>
      </w:r>
      <w:proofErr w:type="spellEnd"/>
      <w:r>
        <w:rPr>
          <w:rFonts w:ascii="Arial" w:hAnsi="Arial" w:cs="Arial"/>
          <w:color w:val="222222"/>
          <w:sz w:val="20"/>
          <w:szCs w:val="20"/>
          <w:shd w:val="clear" w:color="auto" w:fill="FFFFFF"/>
        </w:rPr>
        <w:t xml:space="preserve">, B. G., &amp; Kidane, A. M. (2026). Antibiotic prescribing patterns using World Health Organization/International Network for Rational Use of Drug prescribing indicators and its determinants in Eastern </w:t>
      </w:r>
      <w:proofErr w:type="spellStart"/>
      <w:r>
        <w:rPr>
          <w:rFonts w:ascii="Arial" w:hAnsi="Arial" w:cs="Arial"/>
          <w:color w:val="222222"/>
          <w:sz w:val="20"/>
          <w:szCs w:val="20"/>
          <w:shd w:val="clear" w:color="auto" w:fill="FFFFFF"/>
        </w:rPr>
        <w:t>Tigrai</w:t>
      </w:r>
      <w:proofErr w:type="spellEnd"/>
      <w:r>
        <w:rPr>
          <w:rFonts w:ascii="Arial" w:hAnsi="Arial" w:cs="Arial"/>
          <w:color w:val="222222"/>
          <w:sz w:val="20"/>
          <w:szCs w:val="20"/>
          <w:shd w:val="clear" w:color="auto" w:fill="FFFFFF"/>
        </w:rPr>
        <w:t>, Ethiopia: A need for antimicrobial stewardship programs. </w:t>
      </w:r>
      <w:r>
        <w:rPr>
          <w:rFonts w:ascii="Arial" w:hAnsi="Arial" w:cs="Arial"/>
          <w:i/>
          <w:iCs/>
          <w:color w:val="222222"/>
          <w:sz w:val="20"/>
          <w:szCs w:val="20"/>
          <w:shd w:val="clear" w:color="auto" w:fill="FFFFFF"/>
        </w:rPr>
        <w:t>Sage Open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20503121261426850.</w:t>
      </w:r>
    </w:p>
    <w:p w14:paraId="2F1AA7B8" w14:textId="77777777" w:rsidR="00067BB6" w:rsidRDefault="00067BB6" w:rsidP="00C02EBB">
      <w:pPr>
        <w:pStyle w:val="NormalWeb"/>
        <w:ind w:left="36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Arulappen</w:t>
      </w:r>
      <w:proofErr w:type="spellEnd"/>
      <w:r>
        <w:rPr>
          <w:rFonts w:ascii="Arial" w:hAnsi="Arial" w:cs="Arial"/>
          <w:color w:val="222222"/>
          <w:sz w:val="20"/>
          <w:szCs w:val="20"/>
          <w:shd w:val="clear" w:color="auto" w:fill="FFFFFF"/>
        </w:rPr>
        <w:t>, A. L., Khan, A. H., Hasan, S. S., Harun, S. N., Chow, T. S., Al-Rawi, M. B. A., &amp; Syed, W. (2025). The correlation between antibiotic usage and antibiotic resistance: a 3-year retrospective study. </w:t>
      </w:r>
      <w:r>
        <w:rPr>
          <w:rFonts w:ascii="Arial" w:hAnsi="Arial" w:cs="Arial"/>
          <w:i/>
          <w:iCs/>
          <w:color w:val="222222"/>
          <w:sz w:val="20"/>
          <w:szCs w:val="20"/>
          <w:shd w:val="clear" w:color="auto" w:fill="FFFFFF"/>
        </w:rPr>
        <w:t>Frontiers in cellular and infection microbiology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 1608921.</w:t>
      </w:r>
    </w:p>
    <w:p w14:paraId="2CA1034E" w14:textId="77777777" w:rsidR="00067BB6" w:rsidRDefault="00067BB6"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Patel, A. K., Singh, N., Bala, V. C., Dash, P. P., Goswami, P. K., &amp; Chatterjee, S. (2026). Antimicrobial Resistance: Global Challenges, Resistance Mechanisms and Mitigation Strategies. </w:t>
      </w:r>
      <w:r>
        <w:rPr>
          <w:rFonts w:ascii="Arial" w:hAnsi="Arial" w:cs="Arial"/>
          <w:i/>
          <w:iCs/>
          <w:color w:val="222222"/>
          <w:sz w:val="20"/>
          <w:szCs w:val="20"/>
          <w:shd w:val="clear" w:color="auto" w:fill="FFFFFF"/>
        </w:rPr>
        <w:t>Recent Advances in Anti-Infective Drug Discovery</w:t>
      </w:r>
      <w:r>
        <w:rPr>
          <w:rFonts w:ascii="Arial" w:hAnsi="Arial" w:cs="Arial"/>
          <w:color w:val="222222"/>
          <w:sz w:val="20"/>
          <w:szCs w:val="20"/>
          <w:shd w:val="clear" w:color="auto" w:fill="FFFFFF"/>
        </w:rPr>
        <w:t>.</w:t>
      </w:r>
    </w:p>
    <w:p w14:paraId="3808896C" w14:textId="77777777" w:rsidR="00067BB6" w:rsidRDefault="00067BB6"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Him, R. L., Sihota, D., Harrison, L., </w:t>
      </w:r>
      <w:proofErr w:type="spellStart"/>
      <w:r>
        <w:rPr>
          <w:rFonts w:ascii="Arial" w:hAnsi="Arial" w:cs="Arial"/>
          <w:color w:val="222222"/>
          <w:sz w:val="20"/>
          <w:szCs w:val="20"/>
          <w:shd w:val="clear" w:color="auto" w:fill="FFFFFF"/>
        </w:rPr>
        <w:t>Dramowski</w:t>
      </w:r>
      <w:proofErr w:type="spellEnd"/>
      <w:r>
        <w:rPr>
          <w:rFonts w:ascii="Arial" w:hAnsi="Arial" w:cs="Arial"/>
          <w:color w:val="222222"/>
          <w:sz w:val="20"/>
          <w:szCs w:val="20"/>
          <w:shd w:val="clear" w:color="auto" w:fill="FFFFFF"/>
        </w:rPr>
        <w:t>, A., Coffin, S. E., Hamer, D. H., &amp; Bhutta, Z. A. (2026). Strategies to reduce antimicrobial resistance in newborns in low-income and middle-income countries: a systematic review and meta-analysis. </w:t>
      </w:r>
      <w:r>
        <w:rPr>
          <w:rFonts w:ascii="Arial" w:hAnsi="Arial" w:cs="Arial"/>
          <w:i/>
          <w:iCs/>
          <w:color w:val="222222"/>
          <w:sz w:val="20"/>
          <w:szCs w:val="20"/>
          <w:shd w:val="clear" w:color="auto" w:fill="FFFFFF"/>
        </w:rPr>
        <w:t>The Lancet Global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(4), e524-e538.</w:t>
      </w:r>
    </w:p>
    <w:p w14:paraId="3A8CD604" w14:textId="77777777" w:rsidR="00067BB6" w:rsidRDefault="00067BB6"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Nabi, N., Rehman, S., Khan, M., Madaan, M., Imam, M. A., Datta, S., ... &amp; Khan, T. A. (2026). Antibiotic Prescribing Practices at a Tertiary Care Hospital in New Delhi: From Awareness to Action. </w:t>
      </w:r>
      <w:r>
        <w:rPr>
          <w:rFonts w:ascii="Arial" w:hAnsi="Arial" w:cs="Arial"/>
          <w:i/>
          <w:iCs/>
          <w:color w:val="222222"/>
          <w:sz w:val="20"/>
          <w:szCs w:val="20"/>
          <w:shd w:val="clear" w:color="auto" w:fill="FFFFFF"/>
        </w:rPr>
        <w:t>International Journal of Medical and Pharmaceutical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 542-548.</w:t>
      </w:r>
    </w:p>
    <w:p w14:paraId="47FB32DE" w14:textId="77777777" w:rsidR="00067BB6" w:rsidRDefault="00067BB6"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Dasgupta, P., Mandal, M. K., &amp; Mandal, S. K. (2026). Impact of antibiotic resistance on economics and public health. In </w:t>
      </w:r>
      <w:r>
        <w:rPr>
          <w:rFonts w:ascii="Arial" w:hAnsi="Arial" w:cs="Arial"/>
          <w:i/>
          <w:iCs/>
          <w:color w:val="222222"/>
          <w:sz w:val="20"/>
          <w:szCs w:val="20"/>
          <w:shd w:val="clear" w:color="auto" w:fill="FFFFFF"/>
        </w:rPr>
        <w:t>Antimicrobial Resistance in Humans, Animals, and the Environment</w:t>
      </w:r>
      <w:r>
        <w:rPr>
          <w:rFonts w:ascii="Arial" w:hAnsi="Arial" w:cs="Arial"/>
          <w:color w:val="222222"/>
          <w:sz w:val="20"/>
          <w:szCs w:val="20"/>
          <w:shd w:val="clear" w:color="auto" w:fill="FFFFFF"/>
        </w:rPr>
        <w:t> (pp. 133-152). Academic Press.</w:t>
      </w:r>
    </w:p>
    <w:p w14:paraId="0ADB3935" w14:textId="77777777" w:rsidR="00067BB6" w:rsidRDefault="00067BB6"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Leal, M., Beukes, J., Alcock, S., Thompson, U., &amp; Norris, S. A. (2026). Antibiotic overuse as a modifiable early-life risk factor for non-communicable diseases in sub-Saharan Africa. </w:t>
      </w:r>
      <w:r>
        <w:rPr>
          <w:rFonts w:ascii="Arial" w:hAnsi="Arial" w:cs="Arial"/>
          <w:i/>
          <w:iCs/>
          <w:color w:val="222222"/>
          <w:sz w:val="20"/>
          <w:szCs w:val="20"/>
          <w:shd w:val="clear" w:color="auto" w:fill="FFFFFF"/>
        </w:rPr>
        <w:t>Global Health Action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(1), 2646042.</w:t>
      </w:r>
    </w:p>
    <w:p w14:paraId="172E4F78" w14:textId="77777777" w:rsidR="00067BB6" w:rsidRDefault="00067BB6" w:rsidP="00C02EBB">
      <w:pPr>
        <w:pStyle w:val="NormalWeb"/>
        <w:ind w:left="720"/>
        <w:jc w:val="both"/>
        <w:rPr>
          <w:rFonts w:ascii="Arial" w:hAnsi="Arial" w:cs="Arial"/>
          <w:color w:val="222222"/>
          <w:sz w:val="20"/>
          <w:szCs w:val="20"/>
          <w:shd w:val="clear" w:color="auto" w:fill="FFFFFF"/>
        </w:rPr>
      </w:pPr>
    </w:p>
    <w:p w14:paraId="66AB5E52" w14:textId="77777777" w:rsidR="00067BB6" w:rsidRPr="00F419CC" w:rsidRDefault="00067BB6" w:rsidP="00C02EBB">
      <w:pPr>
        <w:pStyle w:val="NormalWeb"/>
        <w:jc w:val="both"/>
      </w:pPr>
    </w:p>
    <w:sectPr w:rsidR="00067BB6" w:rsidRPr="00F419C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2AC58" w14:textId="77777777" w:rsidR="00483A53" w:rsidRDefault="00483A53" w:rsidP="004A00C6">
      <w:pPr>
        <w:spacing w:after="0" w:line="240" w:lineRule="auto"/>
      </w:pPr>
      <w:r>
        <w:separator/>
      </w:r>
    </w:p>
  </w:endnote>
  <w:endnote w:type="continuationSeparator" w:id="0">
    <w:p w14:paraId="62767CEF" w14:textId="77777777" w:rsidR="00483A53" w:rsidRDefault="00483A53" w:rsidP="004A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133AB" w14:textId="77777777" w:rsidR="004A00C6" w:rsidRDefault="004A00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C3E0A" w14:textId="77777777" w:rsidR="004A00C6" w:rsidRDefault="004A00C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72F99" w14:textId="77777777" w:rsidR="004A00C6" w:rsidRDefault="004A00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4F7BF" w14:textId="77777777" w:rsidR="00483A53" w:rsidRDefault="00483A53" w:rsidP="004A00C6">
      <w:pPr>
        <w:spacing w:after="0" w:line="240" w:lineRule="auto"/>
      </w:pPr>
      <w:r>
        <w:separator/>
      </w:r>
    </w:p>
  </w:footnote>
  <w:footnote w:type="continuationSeparator" w:id="0">
    <w:p w14:paraId="534A80B8" w14:textId="77777777" w:rsidR="00483A53" w:rsidRDefault="00483A53" w:rsidP="004A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53DE9" w14:textId="746EA351" w:rsidR="004A00C6" w:rsidRDefault="00483A53">
    <w:pPr>
      <w:pStyle w:val="Header"/>
    </w:pPr>
    <w:r>
      <w:rPr>
        <w:noProof/>
      </w:rPr>
      <w:pict w14:anchorId="6A5C5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81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686F7" w14:textId="143CC011" w:rsidR="004A00C6" w:rsidRDefault="00483A53">
    <w:pPr>
      <w:pStyle w:val="Header"/>
    </w:pPr>
    <w:r>
      <w:rPr>
        <w:noProof/>
      </w:rPr>
      <w:pict w14:anchorId="10E74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81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318E2" w14:textId="461019D0" w:rsidR="004A00C6" w:rsidRDefault="00483A53">
    <w:pPr>
      <w:pStyle w:val="Header"/>
    </w:pPr>
    <w:r>
      <w:rPr>
        <w:noProof/>
      </w:rPr>
      <w:pict w14:anchorId="350CC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81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5CE9"/>
    <w:multiLevelType w:val="hybridMultilevel"/>
    <w:tmpl w:val="5A48F0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B80BDE"/>
    <w:multiLevelType w:val="hybridMultilevel"/>
    <w:tmpl w:val="03205E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9F42B33"/>
    <w:multiLevelType w:val="hybridMultilevel"/>
    <w:tmpl w:val="5E820470"/>
    <w:lvl w:ilvl="0" w:tplc="A448FCAE">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DF3551"/>
    <w:multiLevelType w:val="hybridMultilevel"/>
    <w:tmpl w:val="3A821B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41C1D46"/>
    <w:multiLevelType w:val="hybridMultilevel"/>
    <w:tmpl w:val="4FBC41FE"/>
    <w:lvl w:ilvl="0" w:tplc="0FAA386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6CD5C50"/>
    <w:multiLevelType w:val="hybridMultilevel"/>
    <w:tmpl w:val="4162C9D0"/>
    <w:lvl w:ilvl="0" w:tplc="AD10E6FE">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1D408DB"/>
    <w:multiLevelType w:val="hybridMultilevel"/>
    <w:tmpl w:val="2FC4FD7E"/>
    <w:lvl w:ilvl="0" w:tplc="824C19C6">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5CB7AAA"/>
    <w:multiLevelType w:val="hybridMultilevel"/>
    <w:tmpl w:val="41B0531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D646A94"/>
    <w:multiLevelType w:val="hybridMultilevel"/>
    <w:tmpl w:val="D1DA577C"/>
    <w:lvl w:ilvl="0" w:tplc="5CBAD6F4">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1"/>
  </w:num>
  <w:num w:numId="5">
    <w:abstractNumId w:val="4"/>
  </w:num>
  <w:num w:numId="6">
    <w:abstractNumId w:val="2"/>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4E"/>
    <w:rsid w:val="000015E3"/>
    <w:rsid w:val="000557D0"/>
    <w:rsid w:val="00066976"/>
    <w:rsid w:val="00067BB6"/>
    <w:rsid w:val="00076B06"/>
    <w:rsid w:val="000A7FB1"/>
    <w:rsid w:val="000B56F0"/>
    <w:rsid w:val="000C03B7"/>
    <w:rsid w:val="000F0DCC"/>
    <w:rsid w:val="00103280"/>
    <w:rsid w:val="00114DBE"/>
    <w:rsid w:val="00120B77"/>
    <w:rsid w:val="001277EB"/>
    <w:rsid w:val="001425D5"/>
    <w:rsid w:val="00163D91"/>
    <w:rsid w:val="00166C43"/>
    <w:rsid w:val="001768CB"/>
    <w:rsid w:val="00190BF8"/>
    <w:rsid w:val="001C3AA9"/>
    <w:rsid w:val="0021080E"/>
    <w:rsid w:val="002A1CD5"/>
    <w:rsid w:val="002C3802"/>
    <w:rsid w:val="002E5D1E"/>
    <w:rsid w:val="002F533D"/>
    <w:rsid w:val="00301ECD"/>
    <w:rsid w:val="0030272D"/>
    <w:rsid w:val="00322252"/>
    <w:rsid w:val="00326F35"/>
    <w:rsid w:val="00331BAB"/>
    <w:rsid w:val="0033603E"/>
    <w:rsid w:val="00355304"/>
    <w:rsid w:val="00371BE2"/>
    <w:rsid w:val="00385D88"/>
    <w:rsid w:val="00386295"/>
    <w:rsid w:val="003867B9"/>
    <w:rsid w:val="0039193C"/>
    <w:rsid w:val="003939D3"/>
    <w:rsid w:val="003A1C2E"/>
    <w:rsid w:val="003A6D33"/>
    <w:rsid w:val="003B479B"/>
    <w:rsid w:val="003B7870"/>
    <w:rsid w:val="003C0278"/>
    <w:rsid w:val="003C1485"/>
    <w:rsid w:val="003D2EB5"/>
    <w:rsid w:val="00432FC2"/>
    <w:rsid w:val="00436A7E"/>
    <w:rsid w:val="00437421"/>
    <w:rsid w:val="00444CF2"/>
    <w:rsid w:val="004651A9"/>
    <w:rsid w:val="00465E50"/>
    <w:rsid w:val="004708DC"/>
    <w:rsid w:val="00483A53"/>
    <w:rsid w:val="004A00C6"/>
    <w:rsid w:val="004A0114"/>
    <w:rsid w:val="004A410F"/>
    <w:rsid w:val="004A5702"/>
    <w:rsid w:val="004C276B"/>
    <w:rsid w:val="004E0078"/>
    <w:rsid w:val="004E0555"/>
    <w:rsid w:val="004F1E1E"/>
    <w:rsid w:val="004F224B"/>
    <w:rsid w:val="00522C24"/>
    <w:rsid w:val="005569EE"/>
    <w:rsid w:val="005A3F63"/>
    <w:rsid w:val="005D22E3"/>
    <w:rsid w:val="005F6CE8"/>
    <w:rsid w:val="00604DCC"/>
    <w:rsid w:val="00627892"/>
    <w:rsid w:val="00630C01"/>
    <w:rsid w:val="006413A3"/>
    <w:rsid w:val="0068195C"/>
    <w:rsid w:val="006A0092"/>
    <w:rsid w:val="006A2358"/>
    <w:rsid w:val="006B5083"/>
    <w:rsid w:val="006D2754"/>
    <w:rsid w:val="006D7345"/>
    <w:rsid w:val="006E47FC"/>
    <w:rsid w:val="00710092"/>
    <w:rsid w:val="00725621"/>
    <w:rsid w:val="00744BFA"/>
    <w:rsid w:val="007848F2"/>
    <w:rsid w:val="0078525C"/>
    <w:rsid w:val="00793FE3"/>
    <w:rsid w:val="007C4CB0"/>
    <w:rsid w:val="007E7341"/>
    <w:rsid w:val="007F70A5"/>
    <w:rsid w:val="0080439D"/>
    <w:rsid w:val="00866BBB"/>
    <w:rsid w:val="00877AD1"/>
    <w:rsid w:val="00890E81"/>
    <w:rsid w:val="00892F35"/>
    <w:rsid w:val="008C59CE"/>
    <w:rsid w:val="008D4639"/>
    <w:rsid w:val="008E67C3"/>
    <w:rsid w:val="00904B49"/>
    <w:rsid w:val="009104DF"/>
    <w:rsid w:val="00923D26"/>
    <w:rsid w:val="00955153"/>
    <w:rsid w:val="00955D57"/>
    <w:rsid w:val="0097644E"/>
    <w:rsid w:val="00984C8D"/>
    <w:rsid w:val="009A4FC4"/>
    <w:rsid w:val="009B13DF"/>
    <w:rsid w:val="009B683C"/>
    <w:rsid w:val="009C5B58"/>
    <w:rsid w:val="009D38D0"/>
    <w:rsid w:val="009D5C87"/>
    <w:rsid w:val="009F2BE2"/>
    <w:rsid w:val="00A002AE"/>
    <w:rsid w:val="00A1757F"/>
    <w:rsid w:val="00A34755"/>
    <w:rsid w:val="00A3493E"/>
    <w:rsid w:val="00A913B6"/>
    <w:rsid w:val="00AA4B31"/>
    <w:rsid w:val="00AC43F5"/>
    <w:rsid w:val="00AC61EB"/>
    <w:rsid w:val="00AD4C76"/>
    <w:rsid w:val="00AD6567"/>
    <w:rsid w:val="00AE1148"/>
    <w:rsid w:val="00B02221"/>
    <w:rsid w:val="00B10371"/>
    <w:rsid w:val="00B61857"/>
    <w:rsid w:val="00B63AB1"/>
    <w:rsid w:val="00B72E43"/>
    <w:rsid w:val="00BB5234"/>
    <w:rsid w:val="00BC1F58"/>
    <w:rsid w:val="00BE63C8"/>
    <w:rsid w:val="00C02EBB"/>
    <w:rsid w:val="00C1743D"/>
    <w:rsid w:val="00C21B39"/>
    <w:rsid w:val="00C35C00"/>
    <w:rsid w:val="00C370B0"/>
    <w:rsid w:val="00C4765A"/>
    <w:rsid w:val="00C53F54"/>
    <w:rsid w:val="00C93E19"/>
    <w:rsid w:val="00CA00BA"/>
    <w:rsid w:val="00CA431A"/>
    <w:rsid w:val="00CC373C"/>
    <w:rsid w:val="00CC786A"/>
    <w:rsid w:val="00D27571"/>
    <w:rsid w:val="00D3084E"/>
    <w:rsid w:val="00D3689C"/>
    <w:rsid w:val="00D50151"/>
    <w:rsid w:val="00D64D7F"/>
    <w:rsid w:val="00D66351"/>
    <w:rsid w:val="00D77D17"/>
    <w:rsid w:val="00D83F73"/>
    <w:rsid w:val="00D84721"/>
    <w:rsid w:val="00D924F9"/>
    <w:rsid w:val="00D96DD2"/>
    <w:rsid w:val="00DA2490"/>
    <w:rsid w:val="00DA7BEE"/>
    <w:rsid w:val="00DC40E6"/>
    <w:rsid w:val="00DC6483"/>
    <w:rsid w:val="00DD3719"/>
    <w:rsid w:val="00DD40DC"/>
    <w:rsid w:val="00DF0247"/>
    <w:rsid w:val="00DF0770"/>
    <w:rsid w:val="00DF47DE"/>
    <w:rsid w:val="00E24EF5"/>
    <w:rsid w:val="00E46185"/>
    <w:rsid w:val="00E54385"/>
    <w:rsid w:val="00E6611B"/>
    <w:rsid w:val="00E66CF3"/>
    <w:rsid w:val="00E92D7E"/>
    <w:rsid w:val="00EA14BB"/>
    <w:rsid w:val="00EF12BD"/>
    <w:rsid w:val="00F13435"/>
    <w:rsid w:val="00F1374E"/>
    <w:rsid w:val="00F14A21"/>
    <w:rsid w:val="00F24DE4"/>
    <w:rsid w:val="00F419CC"/>
    <w:rsid w:val="00F767A0"/>
    <w:rsid w:val="00FA28EC"/>
    <w:rsid w:val="00FC4FA2"/>
    <w:rsid w:val="00FF75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DA9818"/>
  <w15:chartTrackingRefBased/>
  <w15:docId w15:val="{3EDD84A5-A2B7-4DB7-936C-98786937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C148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644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D40DC"/>
    <w:rPr>
      <w:i/>
      <w:iCs/>
    </w:rPr>
  </w:style>
  <w:style w:type="character" w:customStyle="1" w:styleId="Heading3Char">
    <w:name w:val="Heading 3 Char"/>
    <w:basedOn w:val="DefaultParagraphFont"/>
    <w:link w:val="Heading3"/>
    <w:uiPriority w:val="9"/>
    <w:rsid w:val="003C1485"/>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3C1485"/>
    <w:rPr>
      <w:b/>
      <w:bCs/>
    </w:rPr>
  </w:style>
  <w:style w:type="character" w:styleId="Hyperlink">
    <w:name w:val="Hyperlink"/>
    <w:basedOn w:val="DefaultParagraphFont"/>
    <w:uiPriority w:val="99"/>
    <w:unhideWhenUsed/>
    <w:rsid w:val="001425D5"/>
    <w:rPr>
      <w:color w:val="0563C1" w:themeColor="hyperlink"/>
      <w:u w:val="single"/>
    </w:rPr>
  </w:style>
  <w:style w:type="character" w:customStyle="1" w:styleId="UnresolvedMention">
    <w:name w:val="Unresolved Mention"/>
    <w:basedOn w:val="DefaultParagraphFont"/>
    <w:uiPriority w:val="99"/>
    <w:semiHidden/>
    <w:unhideWhenUsed/>
    <w:rsid w:val="001425D5"/>
    <w:rPr>
      <w:color w:val="605E5C"/>
      <w:shd w:val="clear" w:color="auto" w:fill="E1DFDD"/>
    </w:rPr>
  </w:style>
  <w:style w:type="paragraph" w:styleId="Header">
    <w:name w:val="header"/>
    <w:basedOn w:val="Normal"/>
    <w:link w:val="HeaderChar"/>
    <w:uiPriority w:val="99"/>
    <w:unhideWhenUsed/>
    <w:rsid w:val="004A0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C6"/>
  </w:style>
  <w:style w:type="paragraph" w:styleId="Footer">
    <w:name w:val="footer"/>
    <w:basedOn w:val="Normal"/>
    <w:link w:val="FooterChar"/>
    <w:uiPriority w:val="99"/>
    <w:unhideWhenUsed/>
    <w:rsid w:val="004A0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C6"/>
  </w:style>
  <w:style w:type="paragraph" w:styleId="NoSpacing">
    <w:name w:val="No Spacing"/>
    <w:uiPriority w:val="1"/>
    <w:qFormat/>
    <w:rsid w:val="00AC61EB"/>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45130">
      <w:bodyDiv w:val="1"/>
      <w:marLeft w:val="0"/>
      <w:marRight w:val="0"/>
      <w:marTop w:val="0"/>
      <w:marBottom w:val="0"/>
      <w:divBdr>
        <w:top w:val="none" w:sz="0" w:space="0" w:color="auto"/>
        <w:left w:val="none" w:sz="0" w:space="0" w:color="auto"/>
        <w:bottom w:val="none" w:sz="0" w:space="0" w:color="auto"/>
        <w:right w:val="none" w:sz="0" w:space="0" w:color="auto"/>
      </w:divBdr>
    </w:div>
    <w:div w:id="100416932">
      <w:bodyDiv w:val="1"/>
      <w:marLeft w:val="0"/>
      <w:marRight w:val="0"/>
      <w:marTop w:val="0"/>
      <w:marBottom w:val="0"/>
      <w:divBdr>
        <w:top w:val="none" w:sz="0" w:space="0" w:color="auto"/>
        <w:left w:val="none" w:sz="0" w:space="0" w:color="auto"/>
        <w:bottom w:val="none" w:sz="0" w:space="0" w:color="auto"/>
        <w:right w:val="none" w:sz="0" w:space="0" w:color="auto"/>
      </w:divBdr>
    </w:div>
    <w:div w:id="112795781">
      <w:bodyDiv w:val="1"/>
      <w:marLeft w:val="0"/>
      <w:marRight w:val="0"/>
      <w:marTop w:val="0"/>
      <w:marBottom w:val="0"/>
      <w:divBdr>
        <w:top w:val="none" w:sz="0" w:space="0" w:color="auto"/>
        <w:left w:val="none" w:sz="0" w:space="0" w:color="auto"/>
        <w:bottom w:val="none" w:sz="0" w:space="0" w:color="auto"/>
        <w:right w:val="none" w:sz="0" w:space="0" w:color="auto"/>
      </w:divBdr>
    </w:div>
    <w:div w:id="280722794">
      <w:bodyDiv w:val="1"/>
      <w:marLeft w:val="0"/>
      <w:marRight w:val="0"/>
      <w:marTop w:val="0"/>
      <w:marBottom w:val="0"/>
      <w:divBdr>
        <w:top w:val="none" w:sz="0" w:space="0" w:color="auto"/>
        <w:left w:val="none" w:sz="0" w:space="0" w:color="auto"/>
        <w:bottom w:val="none" w:sz="0" w:space="0" w:color="auto"/>
        <w:right w:val="none" w:sz="0" w:space="0" w:color="auto"/>
      </w:divBdr>
    </w:div>
    <w:div w:id="323633771">
      <w:bodyDiv w:val="1"/>
      <w:marLeft w:val="0"/>
      <w:marRight w:val="0"/>
      <w:marTop w:val="0"/>
      <w:marBottom w:val="0"/>
      <w:divBdr>
        <w:top w:val="none" w:sz="0" w:space="0" w:color="auto"/>
        <w:left w:val="none" w:sz="0" w:space="0" w:color="auto"/>
        <w:bottom w:val="none" w:sz="0" w:space="0" w:color="auto"/>
        <w:right w:val="none" w:sz="0" w:space="0" w:color="auto"/>
      </w:divBdr>
    </w:div>
    <w:div w:id="323703207">
      <w:bodyDiv w:val="1"/>
      <w:marLeft w:val="0"/>
      <w:marRight w:val="0"/>
      <w:marTop w:val="0"/>
      <w:marBottom w:val="0"/>
      <w:divBdr>
        <w:top w:val="none" w:sz="0" w:space="0" w:color="auto"/>
        <w:left w:val="none" w:sz="0" w:space="0" w:color="auto"/>
        <w:bottom w:val="none" w:sz="0" w:space="0" w:color="auto"/>
        <w:right w:val="none" w:sz="0" w:space="0" w:color="auto"/>
      </w:divBdr>
    </w:div>
    <w:div w:id="521017839">
      <w:bodyDiv w:val="1"/>
      <w:marLeft w:val="0"/>
      <w:marRight w:val="0"/>
      <w:marTop w:val="0"/>
      <w:marBottom w:val="0"/>
      <w:divBdr>
        <w:top w:val="none" w:sz="0" w:space="0" w:color="auto"/>
        <w:left w:val="none" w:sz="0" w:space="0" w:color="auto"/>
        <w:bottom w:val="none" w:sz="0" w:space="0" w:color="auto"/>
        <w:right w:val="none" w:sz="0" w:space="0" w:color="auto"/>
      </w:divBdr>
    </w:div>
    <w:div w:id="531068426">
      <w:bodyDiv w:val="1"/>
      <w:marLeft w:val="0"/>
      <w:marRight w:val="0"/>
      <w:marTop w:val="0"/>
      <w:marBottom w:val="0"/>
      <w:divBdr>
        <w:top w:val="none" w:sz="0" w:space="0" w:color="auto"/>
        <w:left w:val="none" w:sz="0" w:space="0" w:color="auto"/>
        <w:bottom w:val="none" w:sz="0" w:space="0" w:color="auto"/>
        <w:right w:val="none" w:sz="0" w:space="0" w:color="auto"/>
      </w:divBdr>
    </w:div>
    <w:div w:id="615914005">
      <w:bodyDiv w:val="1"/>
      <w:marLeft w:val="0"/>
      <w:marRight w:val="0"/>
      <w:marTop w:val="0"/>
      <w:marBottom w:val="0"/>
      <w:divBdr>
        <w:top w:val="none" w:sz="0" w:space="0" w:color="auto"/>
        <w:left w:val="none" w:sz="0" w:space="0" w:color="auto"/>
        <w:bottom w:val="none" w:sz="0" w:space="0" w:color="auto"/>
        <w:right w:val="none" w:sz="0" w:space="0" w:color="auto"/>
      </w:divBdr>
    </w:div>
    <w:div w:id="716247434">
      <w:bodyDiv w:val="1"/>
      <w:marLeft w:val="0"/>
      <w:marRight w:val="0"/>
      <w:marTop w:val="0"/>
      <w:marBottom w:val="0"/>
      <w:divBdr>
        <w:top w:val="none" w:sz="0" w:space="0" w:color="auto"/>
        <w:left w:val="none" w:sz="0" w:space="0" w:color="auto"/>
        <w:bottom w:val="none" w:sz="0" w:space="0" w:color="auto"/>
        <w:right w:val="none" w:sz="0" w:space="0" w:color="auto"/>
      </w:divBdr>
    </w:div>
    <w:div w:id="831916438">
      <w:bodyDiv w:val="1"/>
      <w:marLeft w:val="0"/>
      <w:marRight w:val="0"/>
      <w:marTop w:val="0"/>
      <w:marBottom w:val="0"/>
      <w:divBdr>
        <w:top w:val="none" w:sz="0" w:space="0" w:color="auto"/>
        <w:left w:val="none" w:sz="0" w:space="0" w:color="auto"/>
        <w:bottom w:val="none" w:sz="0" w:space="0" w:color="auto"/>
        <w:right w:val="none" w:sz="0" w:space="0" w:color="auto"/>
      </w:divBdr>
    </w:div>
    <w:div w:id="969283662">
      <w:bodyDiv w:val="1"/>
      <w:marLeft w:val="0"/>
      <w:marRight w:val="0"/>
      <w:marTop w:val="0"/>
      <w:marBottom w:val="0"/>
      <w:divBdr>
        <w:top w:val="none" w:sz="0" w:space="0" w:color="auto"/>
        <w:left w:val="none" w:sz="0" w:space="0" w:color="auto"/>
        <w:bottom w:val="none" w:sz="0" w:space="0" w:color="auto"/>
        <w:right w:val="none" w:sz="0" w:space="0" w:color="auto"/>
      </w:divBdr>
    </w:div>
    <w:div w:id="1104225626">
      <w:bodyDiv w:val="1"/>
      <w:marLeft w:val="0"/>
      <w:marRight w:val="0"/>
      <w:marTop w:val="0"/>
      <w:marBottom w:val="0"/>
      <w:divBdr>
        <w:top w:val="none" w:sz="0" w:space="0" w:color="auto"/>
        <w:left w:val="none" w:sz="0" w:space="0" w:color="auto"/>
        <w:bottom w:val="none" w:sz="0" w:space="0" w:color="auto"/>
        <w:right w:val="none" w:sz="0" w:space="0" w:color="auto"/>
      </w:divBdr>
    </w:div>
    <w:div w:id="1117215420">
      <w:bodyDiv w:val="1"/>
      <w:marLeft w:val="0"/>
      <w:marRight w:val="0"/>
      <w:marTop w:val="0"/>
      <w:marBottom w:val="0"/>
      <w:divBdr>
        <w:top w:val="none" w:sz="0" w:space="0" w:color="auto"/>
        <w:left w:val="none" w:sz="0" w:space="0" w:color="auto"/>
        <w:bottom w:val="none" w:sz="0" w:space="0" w:color="auto"/>
        <w:right w:val="none" w:sz="0" w:space="0" w:color="auto"/>
      </w:divBdr>
    </w:div>
    <w:div w:id="1192457514">
      <w:bodyDiv w:val="1"/>
      <w:marLeft w:val="0"/>
      <w:marRight w:val="0"/>
      <w:marTop w:val="0"/>
      <w:marBottom w:val="0"/>
      <w:divBdr>
        <w:top w:val="none" w:sz="0" w:space="0" w:color="auto"/>
        <w:left w:val="none" w:sz="0" w:space="0" w:color="auto"/>
        <w:bottom w:val="none" w:sz="0" w:space="0" w:color="auto"/>
        <w:right w:val="none" w:sz="0" w:space="0" w:color="auto"/>
      </w:divBdr>
    </w:div>
    <w:div w:id="1223105214">
      <w:bodyDiv w:val="1"/>
      <w:marLeft w:val="0"/>
      <w:marRight w:val="0"/>
      <w:marTop w:val="0"/>
      <w:marBottom w:val="0"/>
      <w:divBdr>
        <w:top w:val="none" w:sz="0" w:space="0" w:color="auto"/>
        <w:left w:val="none" w:sz="0" w:space="0" w:color="auto"/>
        <w:bottom w:val="none" w:sz="0" w:space="0" w:color="auto"/>
        <w:right w:val="none" w:sz="0" w:space="0" w:color="auto"/>
      </w:divBdr>
    </w:div>
    <w:div w:id="1334381767">
      <w:bodyDiv w:val="1"/>
      <w:marLeft w:val="0"/>
      <w:marRight w:val="0"/>
      <w:marTop w:val="0"/>
      <w:marBottom w:val="0"/>
      <w:divBdr>
        <w:top w:val="none" w:sz="0" w:space="0" w:color="auto"/>
        <w:left w:val="none" w:sz="0" w:space="0" w:color="auto"/>
        <w:bottom w:val="none" w:sz="0" w:space="0" w:color="auto"/>
        <w:right w:val="none" w:sz="0" w:space="0" w:color="auto"/>
      </w:divBdr>
    </w:div>
    <w:div w:id="1382829315">
      <w:bodyDiv w:val="1"/>
      <w:marLeft w:val="0"/>
      <w:marRight w:val="0"/>
      <w:marTop w:val="0"/>
      <w:marBottom w:val="0"/>
      <w:divBdr>
        <w:top w:val="none" w:sz="0" w:space="0" w:color="auto"/>
        <w:left w:val="none" w:sz="0" w:space="0" w:color="auto"/>
        <w:bottom w:val="none" w:sz="0" w:space="0" w:color="auto"/>
        <w:right w:val="none" w:sz="0" w:space="0" w:color="auto"/>
      </w:divBdr>
    </w:div>
    <w:div w:id="1430810247">
      <w:bodyDiv w:val="1"/>
      <w:marLeft w:val="0"/>
      <w:marRight w:val="0"/>
      <w:marTop w:val="0"/>
      <w:marBottom w:val="0"/>
      <w:divBdr>
        <w:top w:val="none" w:sz="0" w:space="0" w:color="auto"/>
        <w:left w:val="none" w:sz="0" w:space="0" w:color="auto"/>
        <w:bottom w:val="none" w:sz="0" w:space="0" w:color="auto"/>
        <w:right w:val="none" w:sz="0" w:space="0" w:color="auto"/>
      </w:divBdr>
    </w:div>
    <w:div w:id="1448158110">
      <w:bodyDiv w:val="1"/>
      <w:marLeft w:val="0"/>
      <w:marRight w:val="0"/>
      <w:marTop w:val="0"/>
      <w:marBottom w:val="0"/>
      <w:divBdr>
        <w:top w:val="none" w:sz="0" w:space="0" w:color="auto"/>
        <w:left w:val="none" w:sz="0" w:space="0" w:color="auto"/>
        <w:bottom w:val="none" w:sz="0" w:space="0" w:color="auto"/>
        <w:right w:val="none" w:sz="0" w:space="0" w:color="auto"/>
      </w:divBdr>
    </w:div>
    <w:div w:id="1541629062">
      <w:bodyDiv w:val="1"/>
      <w:marLeft w:val="0"/>
      <w:marRight w:val="0"/>
      <w:marTop w:val="0"/>
      <w:marBottom w:val="0"/>
      <w:divBdr>
        <w:top w:val="none" w:sz="0" w:space="0" w:color="auto"/>
        <w:left w:val="none" w:sz="0" w:space="0" w:color="auto"/>
        <w:bottom w:val="none" w:sz="0" w:space="0" w:color="auto"/>
        <w:right w:val="none" w:sz="0" w:space="0" w:color="auto"/>
      </w:divBdr>
    </w:div>
    <w:div w:id="1542017150">
      <w:bodyDiv w:val="1"/>
      <w:marLeft w:val="0"/>
      <w:marRight w:val="0"/>
      <w:marTop w:val="0"/>
      <w:marBottom w:val="0"/>
      <w:divBdr>
        <w:top w:val="none" w:sz="0" w:space="0" w:color="auto"/>
        <w:left w:val="none" w:sz="0" w:space="0" w:color="auto"/>
        <w:bottom w:val="none" w:sz="0" w:space="0" w:color="auto"/>
        <w:right w:val="none" w:sz="0" w:space="0" w:color="auto"/>
      </w:divBdr>
    </w:div>
    <w:div w:id="1573733081">
      <w:bodyDiv w:val="1"/>
      <w:marLeft w:val="0"/>
      <w:marRight w:val="0"/>
      <w:marTop w:val="0"/>
      <w:marBottom w:val="0"/>
      <w:divBdr>
        <w:top w:val="none" w:sz="0" w:space="0" w:color="auto"/>
        <w:left w:val="none" w:sz="0" w:space="0" w:color="auto"/>
        <w:bottom w:val="none" w:sz="0" w:space="0" w:color="auto"/>
        <w:right w:val="none" w:sz="0" w:space="0" w:color="auto"/>
      </w:divBdr>
    </w:div>
    <w:div w:id="1640264541">
      <w:bodyDiv w:val="1"/>
      <w:marLeft w:val="0"/>
      <w:marRight w:val="0"/>
      <w:marTop w:val="0"/>
      <w:marBottom w:val="0"/>
      <w:divBdr>
        <w:top w:val="none" w:sz="0" w:space="0" w:color="auto"/>
        <w:left w:val="none" w:sz="0" w:space="0" w:color="auto"/>
        <w:bottom w:val="none" w:sz="0" w:space="0" w:color="auto"/>
        <w:right w:val="none" w:sz="0" w:space="0" w:color="auto"/>
      </w:divBdr>
    </w:div>
    <w:div w:id="1650859080">
      <w:bodyDiv w:val="1"/>
      <w:marLeft w:val="0"/>
      <w:marRight w:val="0"/>
      <w:marTop w:val="0"/>
      <w:marBottom w:val="0"/>
      <w:divBdr>
        <w:top w:val="none" w:sz="0" w:space="0" w:color="auto"/>
        <w:left w:val="none" w:sz="0" w:space="0" w:color="auto"/>
        <w:bottom w:val="none" w:sz="0" w:space="0" w:color="auto"/>
        <w:right w:val="none" w:sz="0" w:space="0" w:color="auto"/>
      </w:divBdr>
    </w:div>
    <w:div w:id="1671178121">
      <w:bodyDiv w:val="1"/>
      <w:marLeft w:val="0"/>
      <w:marRight w:val="0"/>
      <w:marTop w:val="0"/>
      <w:marBottom w:val="0"/>
      <w:divBdr>
        <w:top w:val="none" w:sz="0" w:space="0" w:color="auto"/>
        <w:left w:val="none" w:sz="0" w:space="0" w:color="auto"/>
        <w:bottom w:val="none" w:sz="0" w:space="0" w:color="auto"/>
        <w:right w:val="none" w:sz="0" w:space="0" w:color="auto"/>
      </w:divBdr>
    </w:div>
    <w:div w:id="1724479810">
      <w:bodyDiv w:val="1"/>
      <w:marLeft w:val="0"/>
      <w:marRight w:val="0"/>
      <w:marTop w:val="0"/>
      <w:marBottom w:val="0"/>
      <w:divBdr>
        <w:top w:val="none" w:sz="0" w:space="0" w:color="auto"/>
        <w:left w:val="none" w:sz="0" w:space="0" w:color="auto"/>
        <w:bottom w:val="none" w:sz="0" w:space="0" w:color="auto"/>
        <w:right w:val="none" w:sz="0" w:space="0" w:color="auto"/>
      </w:divBdr>
    </w:div>
    <w:div w:id="1807040476">
      <w:bodyDiv w:val="1"/>
      <w:marLeft w:val="0"/>
      <w:marRight w:val="0"/>
      <w:marTop w:val="0"/>
      <w:marBottom w:val="0"/>
      <w:divBdr>
        <w:top w:val="none" w:sz="0" w:space="0" w:color="auto"/>
        <w:left w:val="none" w:sz="0" w:space="0" w:color="auto"/>
        <w:bottom w:val="none" w:sz="0" w:space="0" w:color="auto"/>
        <w:right w:val="none" w:sz="0" w:space="0" w:color="auto"/>
      </w:divBdr>
    </w:div>
    <w:div w:id="209697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21</Pages>
  <Words>9954</Words>
  <Characters>56742</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176</cp:revision>
  <dcterms:created xsi:type="dcterms:W3CDTF">2026-04-23T07:46:00Z</dcterms:created>
  <dcterms:modified xsi:type="dcterms:W3CDTF">2026-05-02T09:58:00Z</dcterms:modified>
</cp:coreProperties>
</file>