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433" w:rsidRDefault="00615433" w:rsidP="001010EA">
      <w:pPr>
        <w:pStyle w:val="NormalWeb"/>
        <w:spacing w:line="360" w:lineRule="auto"/>
        <w:jc w:val="center"/>
        <w:rPr>
          <w:b/>
        </w:rPr>
      </w:pPr>
      <w:r w:rsidRPr="00615433">
        <w:rPr>
          <w:b/>
        </w:rPr>
        <w:t>CRISPR–Cas Systems as Precision Antimicrobials: Delivery Strategies and Challenges in Combating Antimicrobial Resistance</w:t>
      </w:r>
    </w:p>
    <w:p w:rsidR="009F0B4A" w:rsidRDefault="00403E7F" w:rsidP="009F0B4A">
      <w:pPr>
        <w:pStyle w:val="ListParagraph"/>
        <w:spacing w:before="100" w:beforeAutospacing="1" w:after="100" w:afterAutospacing="1" w:line="240" w:lineRule="auto"/>
        <w:jc w:val="both"/>
        <w:rPr>
          <w:rFonts w:ascii="Times New Roman" w:eastAsia="Times New Roman" w:hAnsi="Times New Roman" w:cs="Times New Roman"/>
          <w:sz w:val="24"/>
          <w:szCs w:val="24"/>
          <w:lang w:eastAsia="en-IN"/>
        </w:rPr>
      </w:pPr>
      <w:r w:rsidRPr="00403E7F">
        <w:rPr>
          <w:rFonts w:ascii="Times New Roman" w:hAnsi="Times New Roman" w:cs="Times New Roman"/>
          <w:b/>
          <w:sz w:val="24"/>
          <w:szCs w:val="24"/>
        </w:rPr>
        <w:t>ABSTRACT:</w:t>
      </w:r>
      <w:r>
        <w:rPr>
          <w:rFonts w:ascii="Times New Roman" w:hAnsi="Times New Roman" w:cs="Times New Roman"/>
          <w:sz w:val="24"/>
          <w:szCs w:val="24"/>
        </w:rPr>
        <w:t xml:space="preserve"> </w:t>
      </w:r>
      <w:r w:rsidRPr="005046D3">
        <w:rPr>
          <w:rFonts w:ascii="Times New Roman" w:eastAsia="Times New Roman" w:hAnsi="Times New Roman" w:cs="Times New Roman"/>
          <w:sz w:val="24"/>
          <w:szCs w:val="24"/>
          <w:lang w:eastAsia="en-IN"/>
        </w:rPr>
        <w:t>Antimicrobial resistance (AMR) is a major global health threat that demands precise and targeted alternatives to conventional antibiotics. CRISPR–Cas systems have emerged as programmable tools capable of selectively targeting resistance genes, virulence factors, and essential bacterial sequences, enabling sequence-specific killing or re-sensitization of multidrug-resistant pathogens.</w:t>
      </w:r>
      <w:r>
        <w:rPr>
          <w:rFonts w:ascii="Times New Roman" w:eastAsia="Times New Roman" w:hAnsi="Times New Roman" w:cs="Times New Roman"/>
          <w:sz w:val="24"/>
          <w:szCs w:val="24"/>
          <w:lang w:eastAsia="en-IN"/>
        </w:rPr>
        <w:t xml:space="preserve"> </w:t>
      </w:r>
      <w:r w:rsidRPr="005046D3">
        <w:rPr>
          <w:rFonts w:ascii="Times New Roman" w:eastAsia="Times New Roman" w:hAnsi="Times New Roman" w:cs="Times New Roman"/>
          <w:sz w:val="24"/>
          <w:szCs w:val="24"/>
          <w:lang w:eastAsia="en-IN"/>
        </w:rPr>
        <w:t>This article examines key CRISPR-based antimicrobial strategies, including plasmid curing, gene disruption, and base editing, with emphasis on their functional outcomes in clinically relevant bacteria. Particular attention is given to delivery platforms, which remain the primary bottleneck for effective application. Approaches such as engineered bacteriophages, conjugative and broad host-range plasmids, nanoparticle-based systems, and extracellular vesicles are evaluated based on delivery efficiency, host specificity, and performance in complex microbial environments. Recent innovations, including biomimetic vesicles and CRISPR-associated transposase systems, further demonstrate the expanding capabilities of targeted genome manipulation.</w:t>
      </w:r>
      <w:r>
        <w:rPr>
          <w:rFonts w:ascii="Times New Roman" w:eastAsia="Times New Roman" w:hAnsi="Times New Roman" w:cs="Times New Roman"/>
          <w:sz w:val="24"/>
          <w:szCs w:val="24"/>
          <w:lang w:eastAsia="en-IN"/>
        </w:rPr>
        <w:t xml:space="preserve"> </w:t>
      </w:r>
      <w:r w:rsidRPr="005046D3">
        <w:rPr>
          <w:rFonts w:ascii="Times New Roman" w:eastAsia="Times New Roman" w:hAnsi="Times New Roman" w:cs="Times New Roman"/>
          <w:sz w:val="24"/>
          <w:szCs w:val="24"/>
          <w:lang w:eastAsia="en-IN"/>
        </w:rPr>
        <w:t>The utility of CRISPR-based systems in diagnostics is also highlighted, particularly for rapid and sensitive detection of antimicrobial resistance genes, supporting improved surveillance strategies. However, several challenges limit clinical translation, including inefficient delivery in vivo, off-target effects, immune responses, and the potential emergence of CRISPR-resistant bacterial variants.</w:t>
      </w:r>
      <w:r>
        <w:rPr>
          <w:rFonts w:ascii="Times New Roman" w:eastAsia="Times New Roman" w:hAnsi="Times New Roman" w:cs="Times New Roman"/>
          <w:sz w:val="24"/>
          <w:szCs w:val="24"/>
          <w:lang w:eastAsia="en-IN"/>
        </w:rPr>
        <w:t xml:space="preserve"> </w:t>
      </w:r>
      <w:r w:rsidRPr="005046D3">
        <w:rPr>
          <w:rFonts w:ascii="Times New Roman" w:eastAsia="Times New Roman" w:hAnsi="Times New Roman" w:cs="Times New Roman"/>
          <w:sz w:val="24"/>
          <w:szCs w:val="24"/>
          <w:lang w:eastAsia="en-IN"/>
        </w:rPr>
        <w:t>Future progress will depend on optimizing delivery systems, improving targeting specificity through advanced guide RNA design, and integrating computational tools for resistance monitoring. With continued development, CRISPR–Cas technologies offer a highly adaptable platform for precise antimicrobial intervention and hold strong potential for addressing the growing burden of AMR.</w:t>
      </w:r>
    </w:p>
    <w:p w:rsidR="009F0B4A" w:rsidRPr="009F0B4A" w:rsidRDefault="009F0B4A" w:rsidP="009F0B4A">
      <w:pPr>
        <w:pStyle w:val="ListParagraph"/>
        <w:spacing w:before="100" w:beforeAutospacing="1" w:after="100" w:afterAutospacing="1" w:line="240" w:lineRule="auto"/>
        <w:jc w:val="both"/>
        <w:rPr>
          <w:rFonts w:ascii="Times New Roman" w:eastAsia="Times New Roman" w:hAnsi="Times New Roman" w:cs="Times New Roman"/>
          <w:sz w:val="28"/>
          <w:szCs w:val="24"/>
          <w:lang w:eastAsia="en-IN"/>
        </w:rPr>
      </w:pPr>
      <w:r w:rsidRPr="009F0B4A">
        <w:rPr>
          <w:rFonts w:ascii="Times New Roman" w:hAnsi="Times New Roman" w:cs="Times New Roman"/>
          <w:b/>
          <w:sz w:val="24"/>
        </w:rPr>
        <w:t>KEY</w:t>
      </w:r>
      <w:r>
        <w:rPr>
          <w:rFonts w:ascii="Times New Roman" w:hAnsi="Times New Roman" w:cs="Times New Roman"/>
          <w:b/>
          <w:sz w:val="24"/>
        </w:rPr>
        <w:t xml:space="preserve"> </w:t>
      </w:r>
      <w:r w:rsidRPr="009F0B4A">
        <w:rPr>
          <w:rFonts w:ascii="Times New Roman" w:hAnsi="Times New Roman" w:cs="Times New Roman"/>
          <w:b/>
          <w:sz w:val="24"/>
        </w:rPr>
        <w:t>WORDS</w:t>
      </w:r>
      <w:r w:rsidRPr="009F0B4A">
        <w:rPr>
          <w:rFonts w:ascii="Times New Roman" w:hAnsi="Times New Roman" w:cs="Times New Roman"/>
          <w:sz w:val="24"/>
        </w:rPr>
        <w:t>: CRISPR–Cas systems, antimicrobial resistance (AMR), gene editing, delivery systems, bacteriophage therapy, nanoparticle-based delivery</w:t>
      </w:r>
    </w:p>
    <w:p w:rsidR="00FA0DCD" w:rsidRPr="00FA0DCD" w:rsidRDefault="00FA0DCD" w:rsidP="00310A25">
      <w:pPr>
        <w:pStyle w:val="NormalWeb"/>
        <w:numPr>
          <w:ilvl w:val="0"/>
          <w:numId w:val="3"/>
        </w:numPr>
        <w:spacing w:line="360" w:lineRule="auto"/>
        <w:rPr>
          <w:b/>
        </w:rPr>
      </w:pPr>
      <w:r>
        <w:rPr>
          <w:b/>
        </w:rPr>
        <w:t>Introduction:</w:t>
      </w:r>
    </w:p>
    <w:p w:rsidR="00927477" w:rsidRPr="002002FF" w:rsidRDefault="00927477" w:rsidP="00731E8C">
      <w:pPr>
        <w:pStyle w:val="NormalWeb"/>
        <w:spacing w:line="360" w:lineRule="auto"/>
        <w:jc w:val="both"/>
      </w:pPr>
      <w:r w:rsidRPr="002002FF">
        <w:t>Antimicrobial resistance (AMR) is a major global health threat that compromises the effectiveness of antibacterial and antifungal drugs, undermining decades of therapeutic progress. Microorganisms adapt through mutation and horizontal gene transfer under selective antimicrobial pressure, leading to multidrug-resistant strains. The overuse and misuse of antimicrobials in human medicine, veterinary practice, and agriculture—combined with a limited pipeline of new drugs—have accelerated this crisis, resulting in substantial epidemiological and economic consequences worldwide</w:t>
      </w:r>
      <w:r w:rsidR="00320A29">
        <w:t xml:space="preserve"> (Tang </w:t>
      </w:r>
      <w:r w:rsidR="00B56F51" w:rsidRPr="00B56F51">
        <w:rPr>
          <w:i/>
        </w:rPr>
        <w:t>et al</w:t>
      </w:r>
      <w:r w:rsidR="00320A29">
        <w:t>., 2023)</w:t>
      </w:r>
      <w:r w:rsidRPr="002002FF">
        <w:t>.</w:t>
      </w:r>
    </w:p>
    <w:p w:rsidR="00927477" w:rsidRPr="002002FF" w:rsidRDefault="00927477" w:rsidP="00731E8C">
      <w:pPr>
        <w:pStyle w:val="NormalWeb"/>
        <w:spacing w:line="360" w:lineRule="auto"/>
        <w:jc w:val="both"/>
      </w:pPr>
      <w:r w:rsidRPr="002002FF">
        <w:t>Recent surveillance data illustrate the scale and variability of AMR across regions. In 2024, the European Centre for Disease Prevention and Control reported that met</w:t>
      </w:r>
      <w:r w:rsidR="00E602E2">
        <w:t>h</w:t>
      </w:r>
      <w:r w:rsidRPr="002002FF">
        <w:t xml:space="preserve">icillin-resistant </w:t>
      </w:r>
      <w:r w:rsidRPr="002002FF">
        <w:rPr>
          <w:rStyle w:val="Emphasis"/>
        </w:rPr>
        <w:t>Staphylococcus aureus</w:t>
      </w:r>
      <w:r w:rsidRPr="002002FF">
        <w:t xml:space="preserve"> (MRSA) bloodstream infections in the European Union declined to 4.48 per 100,000 population, meeting the 2030 reduction target. However, third-generation </w:t>
      </w:r>
      <w:r w:rsidRPr="002002FF">
        <w:lastRenderedPageBreak/>
        <w:t xml:space="preserve">cephalosporin-resistant </w:t>
      </w:r>
      <w:r w:rsidRPr="002002FF">
        <w:rPr>
          <w:rStyle w:val="Emphasis"/>
        </w:rPr>
        <w:t>Escherichia coli</w:t>
      </w:r>
      <w:r w:rsidRPr="002002FF">
        <w:t xml:space="preserve"> exceeded target levels, and carbapenem-resistant </w:t>
      </w:r>
      <w:r w:rsidRPr="002002FF">
        <w:rPr>
          <w:rStyle w:val="Emphasis"/>
        </w:rPr>
        <w:t>Klebsiella pneumoniae</w:t>
      </w:r>
      <w:r w:rsidRPr="002002FF">
        <w:t xml:space="preserve"> increased by 61% compared to 2019, showing a significant upward trend. These findings highlight that while stewardship efforts can reduce certain resistant pathogens, critical Gram-negative resistance continues to escalate</w:t>
      </w:r>
      <w:r w:rsidR="002A2FA0">
        <w:t xml:space="preserve"> (ECDC, 2024)</w:t>
      </w:r>
      <w:r w:rsidRPr="002002FF">
        <w:t>.</w:t>
      </w:r>
    </w:p>
    <w:p w:rsidR="00927477" w:rsidRPr="002002FF" w:rsidRDefault="00927477" w:rsidP="00731E8C">
      <w:pPr>
        <w:pStyle w:val="NormalWeb"/>
        <w:spacing w:line="360" w:lineRule="auto"/>
        <w:jc w:val="both"/>
      </w:pPr>
      <w:r w:rsidRPr="002002FF">
        <w:t xml:space="preserve">In the United States, the </w:t>
      </w:r>
      <w:r w:rsidR="00CD6DD6" w:rsidRPr="002002FF">
        <w:t>Centres</w:t>
      </w:r>
      <w:r w:rsidRPr="002002FF">
        <w:t xml:space="preserve"> for Disease Control and Prevention reported in 2024 that six major antimicrobial-resistant hospital-onset infections increased by 20% during the COVID-19 pandemic, peaking in 2021 and remaining above pre-pandemic levels in 2022. Notably, clinical cases of </w:t>
      </w:r>
      <w:r w:rsidRPr="002002FF">
        <w:rPr>
          <w:rStyle w:val="Emphasis"/>
        </w:rPr>
        <w:t xml:space="preserve">Candida </w:t>
      </w:r>
      <w:proofErr w:type="spellStart"/>
      <w:r w:rsidRPr="002002FF">
        <w:rPr>
          <w:rStyle w:val="Emphasis"/>
        </w:rPr>
        <w:t>auris</w:t>
      </w:r>
      <w:proofErr w:type="spellEnd"/>
      <w:r w:rsidRPr="002002FF">
        <w:t xml:space="preserve"> rose nearly five-fold between 2019 and 2022, reflecting the vulnerability of healthcare systems during periods of intense antimicrobial use</w:t>
      </w:r>
      <w:r w:rsidR="00D10D62">
        <w:t xml:space="preserve"> (CDC, 2025)</w:t>
      </w:r>
      <w:r w:rsidRPr="002002FF">
        <w:t>.</w:t>
      </w:r>
    </w:p>
    <w:p w:rsidR="00927477" w:rsidRPr="002002FF" w:rsidRDefault="00927477" w:rsidP="00731E8C">
      <w:pPr>
        <w:pStyle w:val="NormalWeb"/>
        <w:spacing w:line="360" w:lineRule="auto"/>
        <w:jc w:val="both"/>
      </w:pPr>
      <w:r w:rsidRPr="002002FF">
        <w:t xml:space="preserve">India’s 2024 report from the National Centre for Disease Control under the NARS-Net surveillance program further underscores the concern. Reported isolates increased substantially to 195,077, with </w:t>
      </w:r>
      <w:r w:rsidRPr="002002FF">
        <w:rPr>
          <w:rStyle w:val="Emphasis"/>
        </w:rPr>
        <w:t>E. coli</w:t>
      </w:r>
      <w:r w:rsidRPr="002002FF">
        <w:t xml:space="preserve"> (33%) and </w:t>
      </w:r>
      <w:r w:rsidRPr="002002FF">
        <w:rPr>
          <w:rStyle w:val="Emphasis"/>
        </w:rPr>
        <w:t>Klebsiella</w:t>
      </w:r>
      <w:r w:rsidRPr="002002FF">
        <w:t xml:space="preserve"> spp. (23%) predominating. While MRSA proportions declined, vancomycin-resistant </w:t>
      </w:r>
      <w:r w:rsidRPr="002002FF">
        <w:rPr>
          <w:rStyle w:val="Emphasis"/>
        </w:rPr>
        <w:t>Enterococcus</w:t>
      </w:r>
      <w:r w:rsidRPr="002002FF">
        <w:t xml:space="preserve"> increased from 11% (2021) to 22% (2024). ESBL-producing </w:t>
      </w:r>
      <w:r w:rsidRPr="002002FF">
        <w:rPr>
          <w:rStyle w:val="Emphasis"/>
        </w:rPr>
        <w:t>E. coli</w:t>
      </w:r>
      <w:r w:rsidRPr="002002FF">
        <w:t xml:space="preserve"> rose to 81% and carbapenem resistance showed marked increases in </w:t>
      </w:r>
      <w:r w:rsidRPr="002002FF">
        <w:rPr>
          <w:rStyle w:val="Emphasis"/>
        </w:rPr>
        <w:t>E. coli</w:t>
      </w:r>
      <w:r w:rsidRPr="002002FF">
        <w:t xml:space="preserve">, </w:t>
      </w:r>
      <w:r w:rsidRPr="002002FF">
        <w:rPr>
          <w:rStyle w:val="Emphasis"/>
        </w:rPr>
        <w:t>Klebsiella</w:t>
      </w:r>
      <w:r w:rsidRPr="002002FF">
        <w:t xml:space="preserve"> and </w:t>
      </w:r>
      <w:r w:rsidRPr="002002FF">
        <w:rPr>
          <w:rStyle w:val="Emphasis"/>
        </w:rPr>
        <w:t>Acinetobacter</w:t>
      </w:r>
      <w:r w:rsidRPr="002002FF">
        <w:t xml:space="preserve"> species</w:t>
      </w:r>
      <w:r w:rsidR="00BE4AB5">
        <w:t xml:space="preserve"> (ICMR, 2025)</w:t>
      </w:r>
      <w:r w:rsidRPr="002002FF">
        <w:t>.</w:t>
      </w:r>
    </w:p>
    <w:p w:rsidR="00927477" w:rsidRDefault="00927477" w:rsidP="00731E8C">
      <w:pPr>
        <w:pStyle w:val="NormalWeb"/>
        <w:spacing w:line="360" w:lineRule="auto"/>
        <w:jc w:val="both"/>
      </w:pPr>
      <w:r w:rsidRPr="002002FF">
        <w:t>Collectively, these global trends demonstrate persistent and rising resistance, particularly among Gram-negative pathogens. Given the interconnected nature of human, animal, and environmental reservoirs, reducing antimicrobial dependence in animal production through validated alternative strategies is essential for sustainable health systems under a One Health framework.</w:t>
      </w:r>
    </w:p>
    <w:p w:rsidR="007D6BD9" w:rsidRDefault="001E5BAD" w:rsidP="007D6BD9">
      <w:pPr>
        <w:pStyle w:val="NormalWeb"/>
        <w:numPr>
          <w:ilvl w:val="0"/>
          <w:numId w:val="3"/>
        </w:numPr>
        <w:spacing w:line="360" w:lineRule="auto"/>
        <w:jc w:val="both"/>
        <w:rPr>
          <w:b/>
        </w:rPr>
      </w:pPr>
      <w:r w:rsidRPr="00B43D8C">
        <w:rPr>
          <w:b/>
        </w:rPr>
        <w:t>Methodology:</w:t>
      </w:r>
    </w:p>
    <w:p w:rsidR="007D6BD9" w:rsidRPr="007D6BD9" w:rsidRDefault="007D6BD9" w:rsidP="007D6BD9">
      <w:pPr>
        <w:pStyle w:val="NormalWeb"/>
        <w:spacing w:line="360" w:lineRule="auto"/>
        <w:jc w:val="both"/>
      </w:pPr>
      <w:r>
        <w:t xml:space="preserve">This review was conducted in accordance with the </w:t>
      </w:r>
      <w:r w:rsidRPr="007D6BD9">
        <w:rPr>
          <w:rStyle w:val="whitespace-normal"/>
          <w:bCs/>
        </w:rPr>
        <w:t>PRISMA</w:t>
      </w:r>
      <w:r w:rsidRPr="007D6BD9">
        <w:t xml:space="preserve"> guidelines to ensure a systematic, transparent, and reproducible approach to literature selection and analysis. A comprehensive search was performed across major scientific databases, including PubMed and Scopus, supplemented by institutional reports such as those from the </w:t>
      </w:r>
      <w:r w:rsidRPr="007D6BD9">
        <w:rPr>
          <w:rStyle w:val="whitespace-normal"/>
          <w:bCs/>
        </w:rPr>
        <w:t>European Centre for Disease Prevention and Control</w:t>
      </w:r>
      <w:r w:rsidRPr="007D6BD9">
        <w:t xml:space="preserve">, as well as reference lists of relevant articles. The search strategy incorporated combinations of keywords including “CRISPR-Cas,” “antimicrobial resistance,” “AMR,” “gene editing,” and “delivery systems,” along with specific terms such as “bacteriophage,” “plasmid,” “nanoparticles,” and “extracellular vesicles,” using Boolean operators to refine results. Studies were included if they focused on CRISPR–Cas applications </w:t>
      </w:r>
      <w:r w:rsidRPr="007D6BD9">
        <w:lastRenderedPageBreak/>
        <w:t>in antimicrobial resistance, particularly those addressing delivery mechanisms, therapeutic interventions, or diagnostic applications, and were published in peer-reviewed journals or credible reports. Non-English articles, duplicates, conference abstracts without full text, and studies lacking direct relevance were excluded. Following duplicate removal, titles and abstracts were screened, and eligible studies underwent full-text evaluation. Data extraction focused on CRISPR system type, delivery strategy, target organisms or genes, and key antimicrobial outcomes. In total, 120 records were initially identified, with 30 duplicates removed; 90 re</w:t>
      </w:r>
      <w:r w:rsidR="001D5C87">
        <w:t>cords were screened, of which 36</w:t>
      </w:r>
      <w:r w:rsidRPr="007D6BD9">
        <w:t xml:space="preserve"> were excluded. </w:t>
      </w:r>
      <w:proofErr w:type="gramStart"/>
      <w:r w:rsidRPr="007D6BD9">
        <w:t>Fifty</w:t>
      </w:r>
      <w:r w:rsidR="004B07D4">
        <w:t xml:space="preserve"> six</w:t>
      </w:r>
      <w:proofErr w:type="gramEnd"/>
      <w:r w:rsidRPr="007D6BD9">
        <w:t xml:space="preserve"> full-text articles were </w:t>
      </w:r>
      <w:r w:rsidR="001D5C87">
        <w:t>assessed for eligibility and 44</w:t>
      </w:r>
      <w:r w:rsidRPr="007D6BD9">
        <w:t xml:space="preserve"> studies were ultimately included in the review. While efforts were made to ensure comprehensive coverage, limitations such as publication bias</w:t>
      </w:r>
      <w:r w:rsidR="000A41A1">
        <w:t>, heterogeneity in study design</w:t>
      </w:r>
      <w:r w:rsidRPr="007D6BD9">
        <w:t xml:space="preserve"> and reliance on preclinical data may influence the generalizability of the findings.</w:t>
      </w:r>
    </w:p>
    <w:p w:rsidR="00D46F70" w:rsidRPr="00310A25" w:rsidRDefault="00D46F70" w:rsidP="00310A25">
      <w:pPr>
        <w:pStyle w:val="ListParagraph"/>
        <w:numPr>
          <w:ilvl w:val="0"/>
          <w:numId w:val="3"/>
        </w:numPr>
        <w:spacing w:before="100" w:beforeAutospacing="1" w:after="100" w:afterAutospacing="1" w:line="360" w:lineRule="auto"/>
        <w:jc w:val="both"/>
        <w:rPr>
          <w:rFonts w:ascii="Times New Roman" w:hAnsi="Times New Roman" w:cs="Times New Roman"/>
          <w:b/>
          <w:sz w:val="24"/>
          <w:szCs w:val="24"/>
        </w:rPr>
      </w:pPr>
      <w:r w:rsidRPr="00310A25">
        <w:rPr>
          <w:rFonts w:ascii="Times New Roman" w:hAnsi="Times New Roman" w:cs="Times New Roman"/>
          <w:b/>
          <w:sz w:val="24"/>
          <w:szCs w:val="24"/>
        </w:rPr>
        <w:t>CRISPR–Cas Systems in Next-Generation Antimicrobial Development</w:t>
      </w:r>
    </w:p>
    <w:p w:rsidR="00D46F70" w:rsidRPr="00D46F70" w:rsidRDefault="00743CC2"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002FF">
        <w:rPr>
          <w:rFonts w:ascii="Times New Roman" w:eastAsia="Times New Roman" w:hAnsi="Times New Roman" w:cs="Times New Roman"/>
          <w:sz w:val="24"/>
          <w:szCs w:val="24"/>
          <w:lang w:eastAsia="en-IN"/>
        </w:rPr>
        <w:t xml:space="preserve">A </w:t>
      </w:r>
      <w:r w:rsidR="00D46F70" w:rsidRPr="00D46F70">
        <w:rPr>
          <w:rFonts w:ascii="Times New Roman" w:eastAsia="Times New Roman" w:hAnsi="Times New Roman" w:cs="Times New Roman"/>
          <w:sz w:val="24"/>
          <w:szCs w:val="24"/>
          <w:lang w:eastAsia="en-IN"/>
        </w:rPr>
        <w:t>highly sophisticated adaptive immune mechanism in bacteria,</w:t>
      </w:r>
      <w:r w:rsidRPr="002002FF">
        <w:rPr>
          <w:rFonts w:ascii="Times New Roman" w:eastAsia="Times New Roman" w:hAnsi="Times New Roman" w:cs="Times New Roman"/>
          <w:sz w:val="24"/>
          <w:szCs w:val="24"/>
          <w:lang w:eastAsia="en-IN"/>
        </w:rPr>
        <w:t xml:space="preserve"> namely </w:t>
      </w:r>
      <w:r w:rsidRPr="00D46F70">
        <w:rPr>
          <w:rFonts w:ascii="Times New Roman" w:eastAsia="Times New Roman" w:hAnsi="Times New Roman" w:cs="Times New Roman"/>
          <w:sz w:val="24"/>
          <w:szCs w:val="24"/>
          <w:lang w:eastAsia="en-IN"/>
        </w:rPr>
        <w:t>CRISPR (Clustered Regularly Interspaced Short Palindromic Repeats)–Cas systems</w:t>
      </w:r>
      <w:r w:rsidRPr="002002FF">
        <w:rPr>
          <w:rFonts w:ascii="Times New Roman" w:eastAsia="Times New Roman" w:hAnsi="Times New Roman" w:cs="Times New Roman"/>
          <w:sz w:val="24"/>
          <w:szCs w:val="24"/>
          <w:lang w:eastAsia="en-IN"/>
        </w:rPr>
        <w:t xml:space="preserve">, confer </w:t>
      </w:r>
      <w:r w:rsidR="00D46F70" w:rsidRPr="00D46F70">
        <w:rPr>
          <w:rFonts w:ascii="Times New Roman" w:eastAsia="Times New Roman" w:hAnsi="Times New Roman" w:cs="Times New Roman"/>
          <w:sz w:val="24"/>
          <w:szCs w:val="24"/>
          <w:lang w:eastAsia="en-IN"/>
        </w:rPr>
        <w:t xml:space="preserve">protection against invading genetic elements such as bacteriophages and plasmids. These systems </w:t>
      </w:r>
      <w:r w:rsidR="00B76C28" w:rsidRPr="002002FF">
        <w:rPr>
          <w:rFonts w:ascii="Times New Roman" w:eastAsia="Times New Roman" w:hAnsi="Times New Roman" w:cs="Times New Roman"/>
          <w:sz w:val="24"/>
          <w:szCs w:val="24"/>
          <w:lang w:eastAsia="en-IN"/>
        </w:rPr>
        <w:t>serve</w:t>
      </w:r>
      <w:r w:rsidR="00B76C28" w:rsidRPr="00D46F70">
        <w:rPr>
          <w:rFonts w:ascii="Times New Roman" w:eastAsia="Times New Roman" w:hAnsi="Times New Roman" w:cs="Times New Roman"/>
          <w:sz w:val="24"/>
          <w:szCs w:val="24"/>
          <w:lang w:eastAsia="en-IN"/>
        </w:rPr>
        <w:t xml:space="preserve"> as a molecular memory of past infections</w:t>
      </w:r>
      <w:r w:rsidR="00B76C28" w:rsidRPr="002002FF">
        <w:rPr>
          <w:rFonts w:ascii="Times New Roman" w:eastAsia="Times New Roman" w:hAnsi="Times New Roman" w:cs="Times New Roman"/>
          <w:sz w:val="24"/>
          <w:szCs w:val="24"/>
          <w:lang w:eastAsia="en-IN"/>
        </w:rPr>
        <w:t xml:space="preserve"> </w:t>
      </w:r>
      <w:r w:rsidR="00D46F70" w:rsidRPr="00D46F70">
        <w:rPr>
          <w:rFonts w:ascii="Times New Roman" w:eastAsia="Times New Roman" w:hAnsi="Times New Roman" w:cs="Times New Roman"/>
          <w:sz w:val="24"/>
          <w:szCs w:val="24"/>
          <w:lang w:eastAsia="en-IN"/>
        </w:rPr>
        <w:t>consist</w:t>
      </w:r>
      <w:r w:rsidR="00B76C28" w:rsidRPr="002002FF">
        <w:rPr>
          <w:rFonts w:ascii="Times New Roman" w:eastAsia="Times New Roman" w:hAnsi="Times New Roman" w:cs="Times New Roman"/>
          <w:sz w:val="24"/>
          <w:szCs w:val="24"/>
          <w:lang w:eastAsia="en-IN"/>
        </w:rPr>
        <w:t>ing</w:t>
      </w:r>
      <w:r w:rsidR="00D46F70" w:rsidRPr="00D46F70">
        <w:rPr>
          <w:rFonts w:ascii="Times New Roman" w:eastAsia="Times New Roman" w:hAnsi="Times New Roman" w:cs="Times New Roman"/>
          <w:sz w:val="24"/>
          <w:szCs w:val="24"/>
          <w:lang w:eastAsia="en-IN"/>
        </w:rPr>
        <w:t xml:space="preserve"> of short repeat sequences interspaced with “spacers” derived from previously encountered foreign DNA.</w:t>
      </w:r>
      <w:r w:rsidR="005B7D24" w:rsidRPr="002002FF">
        <w:rPr>
          <w:rFonts w:ascii="Times New Roman" w:eastAsia="Times New Roman" w:hAnsi="Times New Roman" w:cs="Times New Roman"/>
          <w:sz w:val="24"/>
          <w:szCs w:val="24"/>
          <w:lang w:eastAsia="en-IN"/>
        </w:rPr>
        <w:t xml:space="preserve"> T</w:t>
      </w:r>
      <w:r w:rsidR="00D46F70" w:rsidRPr="00D46F70">
        <w:rPr>
          <w:rFonts w:ascii="Times New Roman" w:eastAsia="Times New Roman" w:hAnsi="Times New Roman" w:cs="Times New Roman"/>
          <w:sz w:val="24"/>
          <w:szCs w:val="24"/>
          <w:lang w:eastAsia="en-IN"/>
        </w:rPr>
        <w:t>he CRISPR-Cas machinery recognizes and cleaves the invading nucleic acid in a sequence-specific manner</w:t>
      </w:r>
      <w:r w:rsidR="005B7D24" w:rsidRPr="002002FF">
        <w:rPr>
          <w:rFonts w:ascii="Times New Roman" w:eastAsia="Times New Roman" w:hAnsi="Times New Roman" w:cs="Times New Roman"/>
          <w:sz w:val="24"/>
          <w:szCs w:val="24"/>
          <w:lang w:eastAsia="en-IN"/>
        </w:rPr>
        <w:t xml:space="preserve"> u</w:t>
      </w:r>
      <w:r w:rsidR="005B7D24" w:rsidRPr="00D46F70">
        <w:rPr>
          <w:rFonts w:ascii="Times New Roman" w:eastAsia="Times New Roman" w:hAnsi="Times New Roman" w:cs="Times New Roman"/>
          <w:sz w:val="24"/>
          <w:szCs w:val="24"/>
          <w:lang w:eastAsia="en-IN"/>
        </w:rPr>
        <w:t>pon subsequent exposure to the same pathogen</w:t>
      </w:r>
      <w:r w:rsidR="00D46F70" w:rsidRPr="00D46F70">
        <w:rPr>
          <w:rFonts w:ascii="Times New Roman" w:eastAsia="Times New Roman" w:hAnsi="Times New Roman" w:cs="Times New Roman"/>
          <w:sz w:val="24"/>
          <w:szCs w:val="24"/>
          <w:lang w:eastAsia="en-IN"/>
        </w:rPr>
        <w:t xml:space="preserve">, ensuring targeted </w:t>
      </w:r>
      <w:proofErr w:type="spellStart"/>
      <w:r w:rsidR="00D46F70" w:rsidRPr="00D46F70">
        <w:rPr>
          <w:rFonts w:ascii="Times New Roman" w:eastAsia="Times New Roman" w:hAnsi="Times New Roman" w:cs="Times New Roman"/>
          <w:sz w:val="24"/>
          <w:szCs w:val="24"/>
          <w:lang w:eastAsia="en-IN"/>
        </w:rPr>
        <w:t>defense</w:t>
      </w:r>
      <w:proofErr w:type="spellEnd"/>
      <w:r w:rsidR="00D46F70" w:rsidRPr="00D46F70">
        <w:rPr>
          <w:rFonts w:ascii="Times New Roman" w:eastAsia="Times New Roman" w:hAnsi="Times New Roman" w:cs="Times New Roman"/>
          <w:sz w:val="24"/>
          <w:szCs w:val="24"/>
          <w:lang w:eastAsia="en-IN"/>
        </w:rPr>
        <w:t>. Based on structural and functional diversity, CRISPR-Cas systems are broadly classified into Class 1 (Types I, III, IV) and Class 2 (Types II, V, VI), each comprising multiple subtypes</w:t>
      </w:r>
      <w:r w:rsidR="00CA3448">
        <w:rPr>
          <w:rFonts w:ascii="Times New Roman" w:eastAsia="Times New Roman" w:hAnsi="Times New Roman" w:cs="Times New Roman"/>
          <w:sz w:val="24"/>
          <w:szCs w:val="24"/>
          <w:lang w:eastAsia="en-IN"/>
        </w:rPr>
        <w:t xml:space="preserve"> (</w:t>
      </w:r>
      <w:proofErr w:type="spellStart"/>
      <w:r w:rsidR="00CA3448">
        <w:rPr>
          <w:rFonts w:ascii="Times New Roman" w:eastAsia="Times New Roman" w:hAnsi="Times New Roman" w:cs="Times New Roman"/>
          <w:sz w:val="24"/>
          <w:szCs w:val="24"/>
          <w:lang w:eastAsia="en-IN"/>
        </w:rPr>
        <w:t>Hille</w:t>
      </w:r>
      <w:proofErr w:type="spellEnd"/>
      <w:r w:rsidR="00CA3448">
        <w:rPr>
          <w:rFonts w:ascii="Times New Roman" w:eastAsia="Times New Roman" w:hAnsi="Times New Roman" w:cs="Times New Roman"/>
          <w:sz w:val="24"/>
          <w:szCs w:val="24"/>
          <w:lang w:eastAsia="en-IN"/>
        </w:rPr>
        <w:t xml:space="preserve"> </w:t>
      </w:r>
      <w:r w:rsidR="00B56F51" w:rsidRPr="00B56F51">
        <w:rPr>
          <w:rFonts w:ascii="Times New Roman" w:eastAsia="Times New Roman" w:hAnsi="Times New Roman" w:cs="Times New Roman"/>
          <w:i/>
          <w:sz w:val="24"/>
          <w:szCs w:val="24"/>
          <w:lang w:eastAsia="en-IN"/>
        </w:rPr>
        <w:t>et al</w:t>
      </w:r>
      <w:r w:rsidR="00CA3448">
        <w:rPr>
          <w:rFonts w:ascii="Times New Roman" w:eastAsia="Times New Roman" w:hAnsi="Times New Roman" w:cs="Times New Roman"/>
          <w:sz w:val="24"/>
          <w:szCs w:val="24"/>
          <w:lang w:eastAsia="en-IN"/>
        </w:rPr>
        <w:t>., 2018</w:t>
      </w:r>
      <w:r w:rsidR="00356FA1">
        <w:rPr>
          <w:rFonts w:ascii="Times New Roman" w:eastAsia="Times New Roman" w:hAnsi="Times New Roman" w:cs="Times New Roman"/>
          <w:sz w:val="24"/>
          <w:szCs w:val="24"/>
          <w:lang w:eastAsia="en-IN"/>
        </w:rPr>
        <w:t xml:space="preserve">; Ahmed </w:t>
      </w:r>
      <w:r w:rsidR="00356FA1" w:rsidRPr="00356FA1">
        <w:rPr>
          <w:rFonts w:ascii="Times New Roman" w:eastAsia="Times New Roman" w:hAnsi="Times New Roman" w:cs="Times New Roman"/>
          <w:i/>
          <w:sz w:val="24"/>
          <w:szCs w:val="24"/>
          <w:lang w:eastAsia="en-IN"/>
        </w:rPr>
        <w:t>et al.</w:t>
      </w:r>
      <w:r w:rsidR="00356FA1">
        <w:rPr>
          <w:rFonts w:ascii="Times New Roman" w:eastAsia="Times New Roman" w:hAnsi="Times New Roman" w:cs="Times New Roman"/>
          <w:sz w:val="24"/>
          <w:szCs w:val="24"/>
          <w:lang w:eastAsia="en-IN"/>
        </w:rPr>
        <w:t>, 2024</w:t>
      </w:r>
      <w:r w:rsidR="00CA3448">
        <w:rPr>
          <w:rFonts w:ascii="Times New Roman" w:eastAsia="Times New Roman" w:hAnsi="Times New Roman" w:cs="Times New Roman"/>
          <w:sz w:val="24"/>
          <w:szCs w:val="24"/>
          <w:lang w:eastAsia="en-IN"/>
        </w:rPr>
        <w:t>)</w:t>
      </w:r>
      <w:r w:rsidR="00D46F70" w:rsidRPr="00D46F70">
        <w:rPr>
          <w:rFonts w:ascii="Times New Roman" w:eastAsia="Times New Roman" w:hAnsi="Times New Roman" w:cs="Times New Roman"/>
          <w:sz w:val="24"/>
          <w:szCs w:val="24"/>
          <w:lang w:eastAsia="en-IN"/>
        </w:rPr>
        <w:t>.</w:t>
      </w:r>
    </w:p>
    <w:p w:rsidR="00D46F70" w:rsidRPr="00D46F70" w:rsidRDefault="00D46F70"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46F70">
        <w:rPr>
          <w:rFonts w:ascii="Times New Roman" w:eastAsia="Times New Roman" w:hAnsi="Times New Roman" w:cs="Times New Roman"/>
          <w:sz w:val="24"/>
          <w:szCs w:val="24"/>
          <w:lang w:eastAsia="en-IN"/>
        </w:rPr>
        <w:t>The CRISPR immune response operates through three key stages: adaptation, expression, and interference. During adaptation, fragments of invading DNA are incorporated as new spacers into the CRISPR array, primarily mediated by Cas1 and Cas2 proteins</w:t>
      </w:r>
      <w:r w:rsidR="00E14BEF">
        <w:rPr>
          <w:rFonts w:ascii="Times New Roman" w:eastAsia="Times New Roman" w:hAnsi="Times New Roman" w:cs="Times New Roman"/>
          <w:sz w:val="24"/>
          <w:szCs w:val="24"/>
          <w:lang w:eastAsia="en-IN"/>
        </w:rPr>
        <w:t xml:space="preserve"> (Devi </w:t>
      </w:r>
      <w:r w:rsidR="00B56F51" w:rsidRPr="00B56F51">
        <w:rPr>
          <w:rFonts w:ascii="Times New Roman" w:eastAsia="Times New Roman" w:hAnsi="Times New Roman" w:cs="Times New Roman"/>
          <w:i/>
          <w:sz w:val="24"/>
          <w:szCs w:val="24"/>
          <w:lang w:eastAsia="en-IN"/>
        </w:rPr>
        <w:t>et al</w:t>
      </w:r>
      <w:r w:rsidR="00E14BEF">
        <w:rPr>
          <w:rFonts w:ascii="Times New Roman" w:eastAsia="Times New Roman" w:hAnsi="Times New Roman" w:cs="Times New Roman"/>
          <w:sz w:val="24"/>
          <w:szCs w:val="24"/>
          <w:lang w:eastAsia="en-IN"/>
        </w:rPr>
        <w:t>., 2022)</w:t>
      </w:r>
      <w:r w:rsidRPr="00D46F70">
        <w:rPr>
          <w:rFonts w:ascii="Times New Roman" w:eastAsia="Times New Roman" w:hAnsi="Times New Roman" w:cs="Times New Roman"/>
          <w:sz w:val="24"/>
          <w:szCs w:val="24"/>
          <w:lang w:eastAsia="en-IN"/>
        </w:rPr>
        <w:t>. In the expression phase, the CRISPR locus is transcribed into precursor CRISPR RNA (pre-crRNA), which is subsequently processed into mature CRISPR RNAs (crRNAs). In the interference stage, these crRNAs, in association with Cas proteins, form a surveillance complex that identifies and binds complementary target sequences in invading DNA, typically adjacent to a protospacer adjacent motif (PAM), leading to precise cleavage and inactivation of the foreign genetic material</w:t>
      </w:r>
      <w:r w:rsidR="00C02668">
        <w:rPr>
          <w:rFonts w:ascii="Times New Roman" w:eastAsia="Times New Roman" w:hAnsi="Times New Roman" w:cs="Times New Roman"/>
          <w:sz w:val="24"/>
          <w:szCs w:val="24"/>
          <w:lang w:eastAsia="en-IN"/>
        </w:rPr>
        <w:t xml:space="preserve"> (</w:t>
      </w:r>
      <w:r w:rsidR="001A3B15">
        <w:rPr>
          <w:rFonts w:ascii="Times New Roman" w:eastAsia="Times New Roman" w:hAnsi="Times New Roman" w:cs="Times New Roman"/>
          <w:sz w:val="24"/>
          <w:szCs w:val="24"/>
          <w:lang w:eastAsia="en-IN"/>
        </w:rPr>
        <w:t xml:space="preserve">Shi </w:t>
      </w:r>
      <w:r w:rsidR="00B56F51" w:rsidRPr="00B56F51">
        <w:rPr>
          <w:rFonts w:ascii="Times New Roman" w:eastAsia="Times New Roman" w:hAnsi="Times New Roman" w:cs="Times New Roman"/>
          <w:i/>
          <w:sz w:val="24"/>
          <w:szCs w:val="24"/>
          <w:lang w:eastAsia="en-IN"/>
        </w:rPr>
        <w:t>et al</w:t>
      </w:r>
      <w:r w:rsidR="001A3B15">
        <w:rPr>
          <w:rFonts w:ascii="Times New Roman" w:eastAsia="Times New Roman" w:hAnsi="Times New Roman" w:cs="Times New Roman"/>
          <w:sz w:val="24"/>
          <w:szCs w:val="24"/>
          <w:lang w:eastAsia="en-IN"/>
        </w:rPr>
        <w:t>., 2022;</w:t>
      </w:r>
      <w:r w:rsidR="00C02668">
        <w:rPr>
          <w:rFonts w:ascii="Times New Roman" w:eastAsia="Times New Roman" w:hAnsi="Times New Roman" w:cs="Times New Roman"/>
          <w:sz w:val="24"/>
          <w:szCs w:val="24"/>
          <w:lang w:eastAsia="en-IN"/>
        </w:rPr>
        <w:t xml:space="preserve"> </w:t>
      </w:r>
      <w:proofErr w:type="spellStart"/>
      <w:r w:rsidR="00C02668">
        <w:rPr>
          <w:rFonts w:ascii="Times New Roman" w:eastAsia="Times New Roman" w:hAnsi="Times New Roman" w:cs="Times New Roman"/>
          <w:sz w:val="24"/>
          <w:szCs w:val="24"/>
          <w:lang w:eastAsia="en-IN"/>
        </w:rPr>
        <w:t>Zakrzewzka</w:t>
      </w:r>
      <w:proofErr w:type="spellEnd"/>
      <w:r w:rsidR="00C02668">
        <w:rPr>
          <w:rFonts w:ascii="Times New Roman" w:eastAsia="Times New Roman" w:hAnsi="Times New Roman" w:cs="Times New Roman"/>
          <w:sz w:val="24"/>
          <w:szCs w:val="24"/>
          <w:lang w:eastAsia="en-IN"/>
        </w:rPr>
        <w:t xml:space="preserve"> &amp; </w:t>
      </w:r>
      <w:proofErr w:type="spellStart"/>
      <w:r w:rsidR="00C02668">
        <w:rPr>
          <w:rFonts w:ascii="Times New Roman" w:eastAsia="Times New Roman" w:hAnsi="Times New Roman" w:cs="Times New Roman"/>
          <w:sz w:val="24"/>
          <w:szCs w:val="24"/>
          <w:lang w:eastAsia="en-IN"/>
        </w:rPr>
        <w:t>Burmistrz</w:t>
      </w:r>
      <w:proofErr w:type="spellEnd"/>
      <w:r w:rsidR="00C02668">
        <w:rPr>
          <w:rFonts w:ascii="Times New Roman" w:eastAsia="Times New Roman" w:hAnsi="Times New Roman" w:cs="Times New Roman"/>
          <w:sz w:val="24"/>
          <w:szCs w:val="24"/>
          <w:lang w:eastAsia="en-IN"/>
        </w:rPr>
        <w:t>, 2023)</w:t>
      </w:r>
      <w:r w:rsidRPr="00D46F70">
        <w:rPr>
          <w:rFonts w:ascii="Times New Roman" w:eastAsia="Times New Roman" w:hAnsi="Times New Roman" w:cs="Times New Roman"/>
          <w:sz w:val="24"/>
          <w:szCs w:val="24"/>
          <w:lang w:eastAsia="en-IN"/>
        </w:rPr>
        <w:t>.</w:t>
      </w:r>
    </w:p>
    <w:p w:rsidR="00D46F70" w:rsidRPr="00D46F70" w:rsidRDefault="00D46F70"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46F70">
        <w:rPr>
          <w:rFonts w:ascii="Times New Roman" w:eastAsia="Times New Roman" w:hAnsi="Times New Roman" w:cs="Times New Roman"/>
          <w:sz w:val="24"/>
          <w:szCs w:val="24"/>
          <w:lang w:eastAsia="en-IN"/>
        </w:rPr>
        <w:lastRenderedPageBreak/>
        <w:t>The unique properties of CRISPR-Cas systems—particularly their programmability and sequence specificity—have enabled their repurposing as powerful genome-editing and antimicrobial tools</w:t>
      </w:r>
      <w:r w:rsidR="002B51FB">
        <w:rPr>
          <w:rFonts w:ascii="Times New Roman" w:eastAsia="Times New Roman" w:hAnsi="Times New Roman" w:cs="Times New Roman"/>
          <w:sz w:val="24"/>
          <w:szCs w:val="24"/>
          <w:lang w:eastAsia="en-IN"/>
        </w:rPr>
        <w:t xml:space="preserve"> (Huang </w:t>
      </w:r>
      <w:r w:rsidR="00B56F51" w:rsidRPr="00B56F51">
        <w:rPr>
          <w:rFonts w:ascii="Times New Roman" w:eastAsia="Times New Roman" w:hAnsi="Times New Roman" w:cs="Times New Roman"/>
          <w:i/>
          <w:sz w:val="24"/>
          <w:szCs w:val="24"/>
          <w:lang w:eastAsia="en-IN"/>
        </w:rPr>
        <w:t>et al</w:t>
      </w:r>
      <w:r w:rsidR="002B51FB">
        <w:rPr>
          <w:rFonts w:ascii="Times New Roman" w:eastAsia="Times New Roman" w:hAnsi="Times New Roman" w:cs="Times New Roman"/>
          <w:sz w:val="24"/>
          <w:szCs w:val="24"/>
          <w:lang w:eastAsia="en-IN"/>
        </w:rPr>
        <w:t>., 2022)</w:t>
      </w:r>
      <w:r w:rsidRPr="00D46F70">
        <w:rPr>
          <w:rFonts w:ascii="Times New Roman" w:eastAsia="Times New Roman" w:hAnsi="Times New Roman" w:cs="Times New Roman"/>
          <w:sz w:val="24"/>
          <w:szCs w:val="24"/>
          <w:lang w:eastAsia="en-IN"/>
        </w:rPr>
        <w:t>. Unlike conventional antibiotics, which often exert broad-spectrum effects and promote resistance, CRISPR-based antimicrobials can be engineered to selectively target essential genes or resistance determinants within pathogenic bacteria. By designing guide RNAs (gRNAs) that recognize specific genomic sequences, the CRISPR-Cas system can introduce double-stranded breaks in bacterial DNA, resulting in lethal chromosomal damage or the selective elimination of resistance-conferring elements such as plasmids. This precision allows discrimination between pathogenic and commensal microbiota, a significant advantage over traditional antimicrobial approaches</w:t>
      </w:r>
      <w:r w:rsidR="00494542">
        <w:rPr>
          <w:rFonts w:ascii="Times New Roman" w:eastAsia="Times New Roman" w:hAnsi="Times New Roman" w:cs="Times New Roman"/>
          <w:sz w:val="24"/>
          <w:szCs w:val="24"/>
          <w:lang w:eastAsia="en-IN"/>
        </w:rPr>
        <w:t xml:space="preserve"> (</w:t>
      </w:r>
      <w:proofErr w:type="spellStart"/>
      <w:r w:rsidR="00356FA1">
        <w:rPr>
          <w:rFonts w:ascii="Times New Roman" w:eastAsia="Times New Roman" w:hAnsi="Times New Roman" w:cs="Times New Roman"/>
          <w:sz w:val="24"/>
          <w:szCs w:val="24"/>
          <w:lang w:eastAsia="en-IN"/>
        </w:rPr>
        <w:t>Bikard</w:t>
      </w:r>
      <w:proofErr w:type="spellEnd"/>
      <w:r w:rsidR="00356FA1">
        <w:rPr>
          <w:rFonts w:ascii="Times New Roman" w:eastAsia="Times New Roman" w:hAnsi="Times New Roman" w:cs="Times New Roman"/>
          <w:sz w:val="24"/>
          <w:szCs w:val="24"/>
          <w:lang w:eastAsia="en-IN"/>
        </w:rPr>
        <w:t xml:space="preserve"> et al., 2017; </w:t>
      </w:r>
      <w:r w:rsidR="00494542">
        <w:rPr>
          <w:rFonts w:ascii="Times New Roman" w:eastAsia="Times New Roman" w:hAnsi="Times New Roman" w:cs="Times New Roman"/>
          <w:sz w:val="24"/>
          <w:szCs w:val="24"/>
          <w:lang w:eastAsia="en-IN"/>
        </w:rPr>
        <w:t xml:space="preserve">Yang </w:t>
      </w:r>
      <w:r w:rsidR="00B56F51" w:rsidRPr="00B56F51">
        <w:rPr>
          <w:rFonts w:ascii="Times New Roman" w:eastAsia="Times New Roman" w:hAnsi="Times New Roman" w:cs="Times New Roman"/>
          <w:i/>
          <w:sz w:val="24"/>
          <w:szCs w:val="24"/>
          <w:lang w:eastAsia="en-IN"/>
        </w:rPr>
        <w:t>et al</w:t>
      </w:r>
      <w:r w:rsidR="00494542">
        <w:rPr>
          <w:rFonts w:ascii="Times New Roman" w:eastAsia="Times New Roman" w:hAnsi="Times New Roman" w:cs="Times New Roman"/>
          <w:sz w:val="24"/>
          <w:szCs w:val="24"/>
          <w:lang w:eastAsia="en-IN"/>
        </w:rPr>
        <w:t>., 2024)</w:t>
      </w:r>
      <w:r w:rsidRPr="00D46F70">
        <w:rPr>
          <w:rFonts w:ascii="Times New Roman" w:eastAsia="Times New Roman" w:hAnsi="Times New Roman" w:cs="Times New Roman"/>
          <w:sz w:val="24"/>
          <w:szCs w:val="24"/>
          <w:lang w:eastAsia="en-IN"/>
        </w:rPr>
        <w:t>.</w:t>
      </w:r>
    </w:p>
    <w:p w:rsidR="00D46F70" w:rsidRPr="00D46F70" w:rsidRDefault="00D46F70"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46F70">
        <w:rPr>
          <w:rFonts w:ascii="Times New Roman" w:eastAsia="Times New Roman" w:hAnsi="Times New Roman" w:cs="Times New Roman"/>
          <w:sz w:val="24"/>
          <w:szCs w:val="24"/>
          <w:lang w:eastAsia="en-IN"/>
        </w:rPr>
        <w:t>Earlier genome-editing platforms such as Zinc Finger Nucleases (ZFNs) and Transcription Activator-Like Effector Nucleases (TALENs) demonstrated targeted DNA cleavage but were limited by design complexity, delivery challenges, and restricted target range. In contrast, CRISPR-Cas systems—particularly the Type II Cas9-based platform—offer greater simplicity, flexibility, and efficiency, making them highly adaptable for antimicrobial applications</w:t>
      </w:r>
      <w:r w:rsidR="001C2EFA">
        <w:rPr>
          <w:rFonts w:ascii="Times New Roman" w:eastAsia="Times New Roman" w:hAnsi="Times New Roman" w:cs="Times New Roman"/>
          <w:sz w:val="24"/>
          <w:szCs w:val="24"/>
          <w:lang w:eastAsia="en-IN"/>
        </w:rPr>
        <w:t xml:space="preserve"> (Zubair </w:t>
      </w:r>
      <w:r w:rsidR="00B56F51" w:rsidRPr="00B56F51">
        <w:rPr>
          <w:rFonts w:ascii="Times New Roman" w:eastAsia="Times New Roman" w:hAnsi="Times New Roman" w:cs="Times New Roman"/>
          <w:i/>
          <w:sz w:val="24"/>
          <w:szCs w:val="24"/>
          <w:lang w:eastAsia="en-IN"/>
        </w:rPr>
        <w:t>et al</w:t>
      </w:r>
      <w:r w:rsidR="001C2EFA">
        <w:rPr>
          <w:rFonts w:ascii="Times New Roman" w:eastAsia="Times New Roman" w:hAnsi="Times New Roman" w:cs="Times New Roman"/>
          <w:sz w:val="24"/>
          <w:szCs w:val="24"/>
          <w:lang w:eastAsia="en-IN"/>
        </w:rPr>
        <w:t>., 2025)</w:t>
      </w:r>
      <w:r w:rsidRPr="00D46F70">
        <w:rPr>
          <w:rFonts w:ascii="Times New Roman" w:eastAsia="Times New Roman" w:hAnsi="Times New Roman" w:cs="Times New Roman"/>
          <w:sz w:val="24"/>
          <w:szCs w:val="24"/>
          <w:lang w:eastAsia="en-IN"/>
        </w:rPr>
        <w:t>.</w:t>
      </w:r>
    </w:p>
    <w:p w:rsidR="00D46F70" w:rsidRPr="002002FF" w:rsidRDefault="00D46F70"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D46F70">
        <w:rPr>
          <w:rFonts w:ascii="Times New Roman" w:eastAsia="Times New Roman" w:hAnsi="Times New Roman" w:cs="Times New Roman"/>
          <w:sz w:val="24"/>
          <w:szCs w:val="24"/>
          <w:lang w:eastAsia="en-IN"/>
        </w:rPr>
        <w:t>Given the escalating burden of antimicrobial resistance, CRISPR-Cas technology presents a promising and innovative alternative strategy. Its ability to precisely target and eliminate resistant pathogens or resistance genes positions it as a transformative tool in the next generation of antimicrobial interventions.</w:t>
      </w:r>
    </w:p>
    <w:p w:rsidR="00E55FD5" w:rsidRPr="00310A25" w:rsidRDefault="00E55FD5" w:rsidP="00310A25">
      <w:pPr>
        <w:pStyle w:val="ListParagraph"/>
        <w:numPr>
          <w:ilvl w:val="0"/>
          <w:numId w:val="3"/>
        </w:numPr>
        <w:spacing w:before="100" w:beforeAutospacing="1" w:after="100" w:afterAutospacing="1" w:line="360" w:lineRule="auto"/>
        <w:jc w:val="both"/>
        <w:rPr>
          <w:rFonts w:ascii="Times New Roman" w:eastAsia="Times New Roman" w:hAnsi="Times New Roman" w:cs="Times New Roman"/>
          <w:b/>
          <w:sz w:val="24"/>
          <w:szCs w:val="24"/>
          <w:lang w:eastAsia="en-IN"/>
        </w:rPr>
      </w:pPr>
      <w:r w:rsidRPr="00310A25">
        <w:rPr>
          <w:rFonts w:ascii="Times New Roman" w:hAnsi="Times New Roman" w:cs="Times New Roman"/>
          <w:b/>
          <w:sz w:val="24"/>
          <w:szCs w:val="24"/>
        </w:rPr>
        <w:t>Applications of CRISPR–Cas Systems in Combating Antimicrobial Resistance</w:t>
      </w:r>
    </w:p>
    <w:p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The CRISPR–Cas system, recognized for its precision and adaptability in genome editing, has emerged as a promising tool in combating antimicrobial resistance (AMR). Functioning through RNA-guided nucleases, it enables sequence-specific targeting and cleavage of DNA via interactions between guide RNAs, protospacer sequences, and protospacer adjacent motifs (PAM). This allows precise interference at defined genetic loci, particularly targeting resistance genes or essential chromosomal regions.</w:t>
      </w:r>
    </w:p>
    <w:p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 xml:space="preserve">Recent studies have demonstrated diverse and innovative CRISPR-based antimicrobial applications. Engineered constructs such as “scissors plasmids” utilize guide RNAs (gRNAs) </w:t>
      </w:r>
      <w:r w:rsidRPr="00E55FD5">
        <w:rPr>
          <w:rFonts w:ascii="Times New Roman" w:eastAsia="Times New Roman" w:hAnsi="Times New Roman" w:cs="Times New Roman"/>
          <w:sz w:val="24"/>
          <w:szCs w:val="24"/>
          <w:lang w:eastAsia="en-IN"/>
        </w:rPr>
        <w:lastRenderedPageBreak/>
        <w:t xml:space="preserve">to direct Cas9 to specific DNA sequences, enabling targeted genome disruption. CRISPR-Cas systems have been effectively used to selectively eliminate antibiotic-resistant bacteria while sparing commensal microbiota, particularly when delivered via bacteriophages. For instance, phagemid-based delivery of CRISPR-Cas9 has shown efficient removal of methicillin-resistant </w:t>
      </w:r>
      <w:r w:rsidRPr="002002FF">
        <w:rPr>
          <w:rFonts w:ascii="Times New Roman" w:eastAsia="Times New Roman" w:hAnsi="Times New Roman" w:cs="Times New Roman"/>
          <w:i/>
          <w:iCs/>
          <w:sz w:val="24"/>
          <w:szCs w:val="24"/>
          <w:lang w:eastAsia="en-IN"/>
        </w:rPr>
        <w:t>Staphylococcus aureus</w:t>
      </w:r>
      <w:r w:rsidRPr="00E55FD5">
        <w:rPr>
          <w:rFonts w:ascii="Times New Roman" w:eastAsia="Times New Roman" w:hAnsi="Times New Roman" w:cs="Times New Roman"/>
          <w:sz w:val="24"/>
          <w:szCs w:val="24"/>
          <w:lang w:eastAsia="en-IN"/>
        </w:rPr>
        <w:t xml:space="preserve"> (MRSA) from mixed populations, significantly reducing resistance levels. Similarly, CRISPR-mediated targeting of resistance determinants such as </w:t>
      </w:r>
      <w:proofErr w:type="spellStart"/>
      <w:r w:rsidRPr="002002FF">
        <w:rPr>
          <w:rFonts w:ascii="Times New Roman" w:eastAsia="Times New Roman" w:hAnsi="Times New Roman" w:cs="Times New Roman"/>
          <w:i/>
          <w:iCs/>
          <w:sz w:val="24"/>
          <w:szCs w:val="24"/>
          <w:lang w:eastAsia="en-IN"/>
        </w:rPr>
        <w:t>bla</w:t>
      </w:r>
      <w:proofErr w:type="spellEnd"/>
      <w:r w:rsidRPr="00E55FD5">
        <w:rPr>
          <w:rFonts w:ascii="Times New Roman" w:eastAsia="Times New Roman" w:hAnsi="Times New Roman" w:cs="Times New Roman"/>
          <w:sz w:val="24"/>
          <w:szCs w:val="24"/>
          <w:lang w:eastAsia="en-IN"/>
        </w:rPr>
        <w:t xml:space="preserve">, </w:t>
      </w:r>
      <w:r w:rsidRPr="002002FF">
        <w:rPr>
          <w:rFonts w:ascii="Times New Roman" w:eastAsia="Times New Roman" w:hAnsi="Times New Roman" w:cs="Times New Roman"/>
          <w:i/>
          <w:iCs/>
          <w:sz w:val="24"/>
          <w:szCs w:val="24"/>
          <w:lang w:eastAsia="en-IN"/>
        </w:rPr>
        <w:t>mcr-1</w:t>
      </w:r>
      <w:r w:rsidRPr="00E55FD5">
        <w:rPr>
          <w:rFonts w:ascii="Times New Roman" w:eastAsia="Times New Roman" w:hAnsi="Times New Roman" w:cs="Times New Roman"/>
          <w:sz w:val="24"/>
          <w:szCs w:val="24"/>
          <w:lang w:eastAsia="en-IN"/>
        </w:rPr>
        <w:t xml:space="preserve">, and </w:t>
      </w:r>
      <w:proofErr w:type="spellStart"/>
      <w:r w:rsidRPr="00E55FD5">
        <w:rPr>
          <w:rFonts w:ascii="Times New Roman" w:eastAsia="Times New Roman" w:hAnsi="Times New Roman" w:cs="Times New Roman"/>
          <w:sz w:val="24"/>
          <w:szCs w:val="24"/>
          <w:lang w:eastAsia="en-IN"/>
        </w:rPr>
        <w:t>carbapenemase</w:t>
      </w:r>
      <w:proofErr w:type="spellEnd"/>
      <w:r w:rsidRPr="00E55FD5">
        <w:rPr>
          <w:rFonts w:ascii="Times New Roman" w:eastAsia="Times New Roman" w:hAnsi="Times New Roman" w:cs="Times New Roman"/>
          <w:sz w:val="24"/>
          <w:szCs w:val="24"/>
          <w:lang w:eastAsia="en-IN"/>
        </w:rPr>
        <w:t xml:space="preserve"> genes in </w:t>
      </w:r>
      <w:r w:rsidRPr="002002FF">
        <w:rPr>
          <w:rFonts w:ascii="Times New Roman" w:eastAsia="Times New Roman" w:hAnsi="Times New Roman" w:cs="Times New Roman"/>
          <w:i/>
          <w:iCs/>
          <w:sz w:val="24"/>
          <w:szCs w:val="24"/>
          <w:lang w:eastAsia="en-IN"/>
        </w:rPr>
        <w:t>Escherichia coli</w:t>
      </w:r>
      <w:r w:rsidRPr="00E55FD5">
        <w:rPr>
          <w:rFonts w:ascii="Times New Roman" w:eastAsia="Times New Roman" w:hAnsi="Times New Roman" w:cs="Times New Roman"/>
          <w:sz w:val="24"/>
          <w:szCs w:val="24"/>
          <w:lang w:eastAsia="en-IN"/>
        </w:rPr>
        <w:t xml:space="preserve"> and </w:t>
      </w:r>
      <w:r w:rsidRPr="002002FF">
        <w:rPr>
          <w:rFonts w:ascii="Times New Roman" w:eastAsia="Times New Roman" w:hAnsi="Times New Roman" w:cs="Times New Roman"/>
          <w:i/>
          <w:iCs/>
          <w:sz w:val="24"/>
          <w:szCs w:val="24"/>
          <w:lang w:eastAsia="en-IN"/>
        </w:rPr>
        <w:t>Klebsiella pneumoniae</w:t>
      </w:r>
      <w:r w:rsidRPr="00E55FD5">
        <w:rPr>
          <w:rFonts w:ascii="Times New Roman" w:eastAsia="Times New Roman" w:hAnsi="Times New Roman" w:cs="Times New Roman"/>
          <w:sz w:val="24"/>
          <w:szCs w:val="24"/>
          <w:lang w:eastAsia="en-IN"/>
        </w:rPr>
        <w:t xml:space="preserve"> has demonstrated the ability to eliminate resistance plasmids and restore antibiotic susceptibility.</w:t>
      </w:r>
    </w:p>
    <w:p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Combination strategies further enhance CRISPR efficacy. Approaches such as PRESA integrate CRISPR-Cas9 with conventional antibiotics to block plasmid transfer and prevent the emergence of resistant mutants, thereby restoring the effectiveness of low-cost drugs</w:t>
      </w:r>
      <w:r w:rsidR="007D4C46">
        <w:rPr>
          <w:rFonts w:ascii="Times New Roman" w:eastAsia="Times New Roman" w:hAnsi="Times New Roman" w:cs="Times New Roman"/>
          <w:sz w:val="24"/>
          <w:szCs w:val="24"/>
          <w:lang w:eastAsia="en-IN"/>
        </w:rPr>
        <w:t xml:space="preserve"> (</w:t>
      </w:r>
      <w:proofErr w:type="spellStart"/>
      <w:r w:rsidR="007D4C46">
        <w:rPr>
          <w:rFonts w:ascii="Times New Roman" w:eastAsia="Times New Roman" w:hAnsi="Times New Roman" w:cs="Times New Roman"/>
          <w:sz w:val="24"/>
          <w:szCs w:val="24"/>
          <w:lang w:eastAsia="en-IN"/>
        </w:rPr>
        <w:t>Khambhati</w:t>
      </w:r>
      <w:proofErr w:type="spellEnd"/>
      <w:r w:rsidR="007D4C46">
        <w:rPr>
          <w:rFonts w:ascii="Times New Roman" w:eastAsia="Times New Roman" w:hAnsi="Times New Roman" w:cs="Times New Roman"/>
          <w:sz w:val="24"/>
          <w:szCs w:val="24"/>
          <w:lang w:eastAsia="en-IN"/>
        </w:rPr>
        <w:t xml:space="preserve"> </w:t>
      </w:r>
      <w:r w:rsidR="00B56F51" w:rsidRPr="00B56F51">
        <w:rPr>
          <w:rFonts w:ascii="Times New Roman" w:eastAsia="Times New Roman" w:hAnsi="Times New Roman" w:cs="Times New Roman"/>
          <w:i/>
          <w:sz w:val="24"/>
          <w:szCs w:val="24"/>
          <w:lang w:eastAsia="en-IN"/>
        </w:rPr>
        <w:t>et al</w:t>
      </w:r>
      <w:r w:rsidR="007D4C46">
        <w:rPr>
          <w:rFonts w:ascii="Times New Roman" w:eastAsia="Times New Roman" w:hAnsi="Times New Roman" w:cs="Times New Roman"/>
          <w:sz w:val="24"/>
          <w:szCs w:val="24"/>
          <w:lang w:eastAsia="en-IN"/>
        </w:rPr>
        <w:t>., 2023)</w:t>
      </w:r>
      <w:r w:rsidRPr="00E55FD5">
        <w:rPr>
          <w:rFonts w:ascii="Times New Roman" w:eastAsia="Times New Roman" w:hAnsi="Times New Roman" w:cs="Times New Roman"/>
          <w:sz w:val="24"/>
          <w:szCs w:val="24"/>
          <w:lang w:eastAsia="en-IN"/>
        </w:rPr>
        <w:t>. Advanced systems like ATTACK combine CRISPR targeting with toxin–antitoxin modules to improve killing efficiency against multidrug-resistant pathogens. Additionally, targeting multiple genomic loci simultaneously has been shown to be as effective as single-site targeting, indicating flexibility in CRISPR design</w:t>
      </w:r>
      <w:r w:rsidR="00830081">
        <w:rPr>
          <w:rFonts w:ascii="Times New Roman" w:eastAsia="Times New Roman" w:hAnsi="Times New Roman" w:cs="Times New Roman"/>
          <w:sz w:val="24"/>
          <w:szCs w:val="24"/>
          <w:lang w:eastAsia="en-IN"/>
        </w:rPr>
        <w:t xml:space="preserve"> (Wang </w:t>
      </w:r>
      <w:r w:rsidR="00B56F51" w:rsidRPr="00B56F51">
        <w:rPr>
          <w:rFonts w:ascii="Times New Roman" w:eastAsia="Times New Roman" w:hAnsi="Times New Roman" w:cs="Times New Roman"/>
          <w:i/>
          <w:sz w:val="24"/>
          <w:szCs w:val="24"/>
          <w:lang w:eastAsia="en-IN"/>
        </w:rPr>
        <w:t>et al</w:t>
      </w:r>
      <w:r w:rsidR="00830081">
        <w:rPr>
          <w:rFonts w:ascii="Times New Roman" w:eastAsia="Times New Roman" w:hAnsi="Times New Roman" w:cs="Times New Roman"/>
          <w:sz w:val="24"/>
          <w:szCs w:val="24"/>
          <w:lang w:eastAsia="en-IN"/>
        </w:rPr>
        <w:t>., 2023)</w:t>
      </w:r>
      <w:r w:rsidRPr="00E55FD5">
        <w:rPr>
          <w:rFonts w:ascii="Times New Roman" w:eastAsia="Times New Roman" w:hAnsi="Times New Roman" w:cs="Times New Roman"/>
          <w:sz w:val="24"/>
          <w:szCs w:val="24"/>
          <w:lang w:eastAsia="en-IN"/>
        </w:rPr>
        <w:t>.</w:t>
      </w:r>
    </w:p>
    <w:p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A variety of delivery platforms—including bacteriophages, conjugative plasmids, polymer-coated nanocomplexes, and engineered bacteria—have been developed to improve targeting efficiency and specificity</w:t>
      </w:r>
      <w:r w:rsidR="00C10AAD">
        <w:rPr>
          <w:rFonts w:ascii="Times New Roman" w:eastAsia="Times New Roman" w:hAnsi="Times New Roman" w:cs="Times New Roman"/>
          <w:sz w:val="24"/>
          <w:szCs w:val="24"/>
          <w:lang w:eastAsia="en-IN"/>
        </w:rPr>
        <w:t xml:space="preserve"> (Chen &amp; Ping, 2023)</w:t>
      </w:r>
      <w:r w:rsidRPr="00E55FD5">
        <w:rPr>
          <w:rFonts w:ascii="Times New Roman" w:eastAsia="Times New Roman" w:hAnsi="Times New Roman" w:cs="Times New Roman"/>
          <w:sz w:val="24"/>
          <w:szCs w:val="24"/>
          <w:lang w:eastAsia="en-IN"/>
        </w:rPr>
        <w:t xml:space="preserve">. These systems enable CRISPR-mediated disruption of both chromosomal genes and mobile genetic elements. Notably, CRISPR-Cas systems have also shown effectiveness against Gram-positive pathogens such as </w:t>
      </w:r>
      <w:r w:rsidRPr="002002FF">
        <w:rPr>
          <w:rFonts w:ascii="Times New Roman" w:eastAsia="Times New Roman" w:hAnsi="Times New Roman" w:cs="Times New Roman"/>
          <w:i/>
          <w:iCs/>
          <w:sz w:val="24"/>
          <w:szCs w:val="24"/>
          <w:lang w:eastAsia="en-IN"/>
        </w:rPr>
        <w:t>Enterococcus faecalis</w:t>
      </w:r>
      <w:r w:rsidRPr="00E55FD5">
        <w:rPr>
          <w:rFonts w:ascii="Times New Roman" w:eastAsia="Times New Roman" w:hAnsi="Times New Roman" w:cs="Times New Roman"/>
          <w:sz w:val="24"/>
          <w:szCs w:val="24"/>
          <w:lang w:eastAsia="en-IN"/>
        </w:rPr>
        <w:t xml:space="preserve">, where targeting resistance genes like </w:t>
      </w:r>
      <w:proofErr w:type="spellStart"/>
      <w:r w:rsidRPr="002002FF">
        <w:rPr>
          <w:rFonts w:ascii="Times New Roman" w:eastAsia="Times New Roman" w:hAnsi="Times New Roman" w:cs="Times New Roman"/>
          <w:i/>
          <w:iCs/>
          <w:sz w:val="24"/>
          <w:szCs w:val="24"/>
          <w:lang w:eastAsia="en-IN"/>
        </w:rPr>
        <w:t>tetM</w:t>
      </w:r>
      <w:proofErr w:type="spellEnd"/>
      <w:r w:rsidRPr="00E55FD5">
        <w:rPr>
          <w:rFonts w:ascii="Times New Roman" w:eastAsia="Times New Roman" w:hAnsi="Times New Roman" w:cs="Times New Roman"/>
          <w:sz w:val="24"/>
          <w:szCs w:val="24"/>
          <w:lang w:eastAsia="en-IN"/>
        </w:rPr>
        <w:t xml:space="preserve"> and </w:t>
      </w:r>
      <w:proofErr w:type="spellStart"/>
      <w:r w:rsidRPr="002002FF">
        <w:rPr>
          <w:rFonts w:ascii="Times New Roman" w:eastAsia="Times New Roman" w:hAnsi="Times New Roman" w:cs="Times New Roman"/>
          <w:i/>
          <w:iCs/>
          <w:sz w:val="24"/>
          <w:szCs w:val="24"/>
          <w:lang w:eastAsia="en-IN"/>
        </w:rPr>
        <w:t>ermB</w:t>
      </w:r>
      <w:proofErr w:type="spellEnd"/>
      <w:r w:rsidRPr="00E55FD5">
        <w:rPr>
          <w:rFonts w:ascii="Times New Roman" w:eastAsia="Times New Roman" w:hAnsi="Times New Roman" w:cs="Times New Roman"/>
          <w:sz w:val="24"/>
          <w:szCs w:val="24"/>
          <w:lang w:eastAsia="en-IN"/>
        </w:rPr>
        <w:t xml:space="preserve"> reduces antimicrobial resistance and limits gene acquisition</w:t>
      </w:r>
      <w:r w:rsidR="00036B89">
        <w:rPr>
          <w:rFonts w:ascii="Times New Roman" w:eastAsia="Times New Roman" w:hAnsi="Times New Roman" w:cs="Times New Roman"/>
          <w:sz w:val="24"/>
          <w:szCs w:val="24"/>
          <w:lang w:eastAsia="en-IN"/>
        </w:rPr>
        <w:t xml:space="preserve"> (Tao </w:t>
      </w:r>
      <w:r w:rsidR="00B56F51" w:rsidRPr="00B56F51">
        <w:rPr>
          <w:rFonts w:ascii="Times New Roman" w:eastAsia="Times New Roman" w:hAnsi="Times New Roman" w:cs="Times New Roman"/>
          <w:i/>
          <w:sz w:val="24"/>
          <w:szCs w:val="24"/>
          <w:lang w:eastAsia="en-IN"/>
        </w:rPr>
        <w:t>et al</w:t>
      </w:r>
      <w:r w:rsidR="00036B89">
        <w:rPr>
          <w:rFonts w:ascii="Times New Roman" w:eastAsia="Times New Roman" w:hAnsi="Times New Roman" w:cs="Times New Roman"/>
          <w:sz w:val="24"/>
          <w:szCs w:val="24"/>
          <w:lang w:eastAsia="en-IN"/>
        </w:rPr>
        <w:t>., 2022)</w:t>
      </w:r>
      <w:r w:rsidRPr="00E55FD5">
        <w:rPr>
          <w:rFonts w:ascii="Times New Roman" w:eastAsia="Times New Roman" w:hAnsi="Times New Roman" w:cs="Times New Roman"/>
          <w:sz w:val="24"/>
          <w:szCs w:val="24"/>
          <w:lang w:eastAsia="en-IN"/>
        </w:rPr>
        <w:t>.</w:t>
      </w:r>
    </w:p>
    <w:p w:rsidR="00E55FD5" w:rsidRPr="00E55FD5" w:rsidRDefault="00E55FD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E55FD5">
        <w:rPr>
          <w:rFonts w:ascii="Times New Roman" w:eastAsia="Times New Roman" w:hAnsi="Times New Roman" w:cs="Times New Roman"/>
          <w:sz w:val="24"/>
          <w:szCs w:val="24"/>
          <w:lang w:eastAsia="en-IN"/>
        </w:rPr>
        <w:t>Despite these advancements, several challenges remain. CRISPR-mediated DNA targeting can induce cytotoxic effects due to irreversible genomic damage, which, while beneficial for bacterial killing, necessitates precise control. Off-target effects, variability across bacterial species, and incomplete understanding of CRISPR’s role in horizontal gene transfer further complicate its application. Most critically, the development of efficient and reliable delivery systems remains a major bottleneck.</w:t>
      </w:r>
    </w:p>
    <w:p w:rsidR="00D46F70" w:rsidRDefault="00E55FD5" w:rsidP="00731E8C">
      <w:pPr>
        <w:spacing w:line="360" w:lineRule="auto"/>
        <w:jc w:val="both"/>
        <w:rPr>
          <w:rFonts w:ascii="Times New Roman" w:hAnsi="Times New Roman" w:cs="Times New Roman"/>
          <w:sz w:val="24"/>
          <w:szCs w:val="24"/>
        </w:rPr>
      </w:pPr>
      <w:r w:rsidRPr="002002FF">
        <w:rPr>
          <w:rFonts w:ascii="Times New Roman" w:hAnsi="Times New Roman" w:cs="Times New Roman"/>
          <w:noProof/>
          <w:sz w:val="24"/>
          <w:szCs w:val="24"/>
          <w:lang w:eastAsia="en-IN"/>
        </w:rPr>
        <w:lastRenderedPageBreak/>
        <w:drawing>
          <wp:inline distT="0" distB="0" distL="0" distR="0">
            <wp:extent cx="5547360" cy="3406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r 23, 2026, 10_48_27 AM.png"/>
                    <pic:cNvPicPr/>
                  </pic:nvPicPr>
                  <pic:blipFill rotWithShape="1">
                    <a:blip r:embed="rId5" cstate="print">
                      <a:extLst>
                        <a:ext uri="{28A0092B-C50C-407E-A947-70E740481C1C}">
                          <a14:useLocalDpi xmlns:a14="http://schemas.microsoft.com/office/drawing/2010/main" val="0"/>
                        </a:ext>
                      </a:extLst>
                    </a:blip>
                    <a:srcRect l="1330" t="2992" r="1883" b="7861"/>
                    <a:stretch/>
                  </pic:blipFill>
                  <pic:spPr bwMode="auto">
                    <a:xfrm>
                      <a:off x="0" y="0"/>
                      <a:ext cx="5547360" cy="3406140"/>
                    </a:xfrm>
                    <a:prstGeom prst="rect">
                      <a:avLst/>
                    </a:prstGeom>
                    <a:ln>
                      <a:noFill/>
                    </a:ln>
                    <a:extLst>
                      <a:ext uri="{53640926-AAD7-44D8-BBD7-CCE9431645EC}">
                        <a14:shadowObscured xmlns:a14="http://schemas.microsoft.com/office/drawing/2010/main"/>
                      </a:ext>
                    </a:extLst>
                  </pic:spPr>
                </pic:pic>
              </a:graphicData>
            </a:graphic>
          </wp:inline>
        </w:drawing>
      </w:r>
    </w:p>
    <w:p w:rsidR="00D17CD6" w:rsidRPr="003A6056" w:rsidRDefault="00D17CD6" w:rsidP="003A6056">
      <w:pPr>
        <w:spacing w:line="360" w:lineRule="auto"/>
        <w:jc w:val="center"/>
        <w:rPr>
          <w:rFonts w:ascii="Times New Roman" w:hAnsi="Times New Roman" w:cs="Times New Roman"/>
          <w:b/>
          <w:sz w:val="24"/>
          <w:szCs w:val="24"/>
        </w:rPr>
      </w:pPr>
      <w:r w:rsidRPr="003A6056">
        <w:rPr>
          <w:rFonts w:ascii="Times New Roman" w:hAnsi="Times New Roman" w:cs="Times New Roman"/>
          <w:b/>
          <w:sz w:val="24"/>
          <w:szCs w:val="24"/>
        </w:rPr>
        <w:t xml:space="preserve">Fig. 1. </w:t>
      </w:r>
      <w:r w:rsidR="003A6056" w:rsidRPr="003A6056">
        <w:rPr>
          <w:rFonts w:ascii="Times New Roman" w:hAnsi="Times New Roman" w:cs="Times New Roman"/>
          <w:b/>
          <w:sz w:val="24"/>
          <w:szCs w:val="24"/>
        </w:rPr>
        <w:t>CRISPR system mode of action</w:t>
      </w:r>
    </w:p>
    <w:p w:rsidR="00310A25" w:rsidRDefault="007D6BD9" w:rsidP="00731E8C">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310A25">
        <w:rPr>
          <w:rFonts w:ascii="Times New Roman" w:hAnsi="Times New Roman" w:cs="Times New Roman"/>
          <w:b/>
          <w:sz w:val="24"/>
          <w:szCs w:val="24"/>
        </w:rPr>
        <w:t>. CRISPR Cas delivery systems:</w:t>
      </w:r>
    </w:p>
    <w:p w:rsidR="00B87C93" w:rsidRPr="002002FF" w:rsidRDefault="007D6BD9" w:rsidP="00731E8C">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310A25">
        <w:rPr>
          <w:rFonts w:ascii="Times New Roman" w:hAnsi="Times New Roman" w:cs="Times New Roman"/>
          <w:b/>
          <w:sz w:val="24"/>
          <w:szCs w:val="24"/>
        </w:rPr>
        <w:t xml:space="preserve">.1. </w:t>
      </w:r>
      <w:r w:rsidR="00B87C93" w:rsidRPr="002002FF">
        <w:rPr>
          <w:rFonts w:ascii="Times New Roman" w:hAnsi="Times New Roman" w:cs="Times New Roman"/>
          <w:b/>
          <w:sz w:val="24"/>
          <w:szCs w:val="24"/>
        </w:rPr>
        <w:t xml:space="preserve">Plasmid </w:t>
      </w:r>
      <w:proofErr w:type="gramStart"/>
      <w:r w:rsidR="00B87C93" w:rsidRPr="002002FF">
        <w:rPr>
          <w:rFonts w:ascii="Times New Roman" w:hAnsi="Times New Roman" w:cs="Times New Roman"/>
          <w:b/>
          <w:sz w:val="24"/>
          <w:szCs w:val="24"/>
        </w:rPr>
        <w:t>vector based</w:t>
      </w:r>
      <w:proofErr w:type="gramEnd"/>
      <w:r w:rsidR="00B87C93" w:rsidRPr="002002FF">
        <w:rPr>
          <w:rFonts w:ascii="Times New Roman" w:hAnsi="Times New Roman" w:cs="Times New Roman"/>
          <w:b/>
          <w:sz w:val="24"/>
          <w:szCs w:val="24"/>
        </w:rPr>
        <w:t xml:space="preserve"> delivery:</w:t>
      </w:r>
    </w:p>
    <w:p w:rsidR="001854EF" w:rsidRPr="002002FF" w:rsidRDefault="001854EF" w:rsidP="00731E8C">
      <w:pPr>
        <w:spacing w:line="360" w:lineRule="auto"/>
        <w:jc w:val="both"/>
        <w:rPr>
          <w:rFonts w:ascii="Times New Roman" w:hAnsi="Times New Roman" w:cs="Times New Roman"/>
          <w:sz w:val="24"/>
          <w:szCs w:val="24"/>
        </w:rPr>
      </w:pPr>
      <w:r w:rsidRPr="002002FF">
        <w:rPr>
          <w:rFonts w:ascii="Times New Roman" w:hAnsi="Times New Roman" w:cs="Times New Roman"/>
          <w:sz w:val="24"/>
          <w:szCs w:val="24"/>
        </w:rPr>
        <w:t>Plasmid-based delivery is a key strategy for applying CRISPR–Cas systems to combat antimicrobial resistance. By incorporating CRISPR components into plasmid vectors, resistance genes can be specifically targeted and cleaved, leading to re-sensitization of drug-resistant bacteria. Conjugation, a natural horizontal gene transfer mechanism, facilitates the spread of these CRISPR-bearing plasmids across bacterial populations, enabling sequence-specific elimination of resistance determinants</w:t>
      </w:r>
      <w:r w:rsidR="004E48A1">
        <w:rPr>
          <w:rFonts w:ascii="Times New Roman" w:hAnsi="Times New Roman" w:cs="Times New Roman"/>
          <w:sz w:val="24"/>
          <w:szCs w:val="24"/>
        </w:rPr>
        <w:t xml:space="preserve"> (Tao </w:t>
      </w:r>
      <w:r w:rsidR="00B56F51" w:rsidRPr="00B56F51">
        <w:rPr>
          <w:rFonts w:ascii="Times New Roman" w:hAnsi="Times New Roman" w:cs="Times New Roman"/>
          <w:i/>
          <w:sz w:val="24"/>
          <w:szCs w:val="24"/>
        </w:rPr>
        <w:t>et al</w:t>
      </w:r>
      <w:r w:rsidR="004E48A1">
        <w:rPr>
          <w:rFonts w:ascii="Times New Roman" w:hAnsi="Times New Roman" w:cs="Times New Roman"/>
          <w:sz w:val="24"/>
          <w:szCs w:val="24"/>
        </w:rPr>
        <w:t>., 2022)</w:t>
      </w:r>
      <w:r w:rsidRPr="002002FF">
        <w:rPr>
          <w:rFonts w:ascii="Times New Roman" w:hAnsi="Times New Roman" w:cs="Times New Roman"/>
          <w:sz w:val="24"/>
          <w:szCs w:val="24"/>
        </w:rPr>
        <w:t>.</w:t>
      </w:r>
    </w:p>
    <w:p w:rsidR="001854EF" w:rsidRPr="002002FF" w:rsidRDefault="001854EF" w:rsidP="00731E8C">
      <w:pPr>
        <w:spacing w:line="360" w:lineRule="auto"/>
        <w:jc w:val="both"/>
        <w:rPr>
          <w:rFonts w:ascii="Times New Roman" w:hAnsi="Times New Roman" w:cs="Times New Roman"/>
          <w:sz w:val="24"/>
          <w:szCs w:val="24"/>
        </w:rPr>
      </w:pPr>
      <w:r w:rsidRPr="002002FF">
        <w:rPr>
          <w:rFonts w:ascii="Times New Roman" w:hAnsi="Times New Roman" w:cs="Times New Roman"/>
          <w:sz w:val="24"/>
          <w:szCs w:val="24"/>
        </w:rPr>
        <w:t xml:space="preserve">Engineered plasmids have demonstrated effectiveness in targeting major resistance genes such as </w:t>
      </w:r>
      <w:proofErr w:type="spellStart"/>
      <w:r w:rsidRPr="00221F6E">
        <w:rPr>
          <w:rFonts w:ascii="Times New Roman" w:hAnsi="Times New Roman" w:cs="Times New Roman"/>
          <w:i/>
          <w:sz w:val="24"/>
          <w:szCs w:val="24"/>
        </w:rPr>
        <w:t>blaNDM</w:t>
      </w:r>
      <w:proofErr w:type="spellEnd"/>
      <w:r w:rsidRPr="002002FF">
        <w:rPr>
          <w:rFonts w:ascii="Times New Roman" w:hAnsi="Times New Roman" w:cs="Times New Roman"/>
          <w:sz w:val="24"/>
          <w:szCs w:val="24"/>
        </w:rPr>
        <w:t xml:space="preserve">, </w:t>
      </w:r>
      <w:proofErr w:type="spellStart"/>
      <w:r w:rsidRPr="00221F6E">
        <w:rPr>
          <w:rFonts w:ascii="Times New Roman" w:hAnsi="Times New Roman" w:cs="Times New Roman"/>
          <w:i/>
          <w:sz w:val="24"/>
          <w:szCs w:val="24"/>
        </w:rPr>
        <w:t>blaKPC</w:t>
      </w:r>
      <w:proofErr w:type="spellEnd"/>
      <w:r w:rsidRPr="002002FF">
        <w:rPr>
          <w:rFonts w:ascii="Times New Roman" w:hAnsi="Times New Roman" w:cs="Times New Roman"/>
          <w:sz w:val="24"/>
          <w:szCs w:val="24"/>
        </w:rPr>
        <w:t xml:space="preserve">, and </w:t>
      </w:r>
      <w:r w:rsidRPr="00221F6E">
        <w:rPr>
          <w:rFonts w:ascii="Times New Roman" w:hAnsi="Times New Roman" w:cs="Times New Roman"/>
          <w:i/>
          <w:sz w:val="24"/>
          <w:szCs w:val="24"/>
        </w:rPr>
        <w:t>mcr-1</w:t>
      </w:r>
      <w:r w:rsidRPr="002002FF">
        <w:rPr>
          <w:rFonts w:ascii="Times New Roman" w:hAnsi="Times New Roman" w:cs="Times New Roman"/>
          <w:sz w:val="24"/>
          <w:szCs w:val="24"/>
        </w:rPr>
        <w:t xml:space="preserve">, restoring susceptibility to carbapenems and colistin in organisms like </w:t>
      </w:r>
      <w:r w:rsidRPr="006954BE">
        <w:rPr>
          <w:rFonts w:ascii="Times New Roman" w:hAnsi="Times New Roman" w:cs="Times New Roman"/>
          <w:i/>
          <w:sz w:val="24"/>
          <w:szCs w:val="24"/>
        </w:rPr>
        <w:t>Escherichia coli</w:t>
      </w:r>
      <w:r w:rsidRPr="002002FF">
        <w:rPr>
          <w:rFonts w:ascii="Times New Roman" w:hAnsi="Times New Roman" w:cs="Times New Roman"/>
          <w:sz w:val="24"/>
          <w:szCs w:val="24"/>
        </w:rPr>
        <w:t xml:space="preserve"> and other Enterobacteriaceae. Targeted antimicrobial plasmids (TAPs) further enhance delivery efficiency and help prevent the spread of resistance. Importantly, recipient bacteria can retransmit these plasmids, amplifying their impact within microbial communities</w:t>
      </w:r>
      <w:r w:rsidR="0025719C">
        <w:rPr>
          <w:rFonts w:ascii="Times New Roman" w:hAnsi="Times New Roman" w:cs="Times New Roman"/>
          <w:sz w:val="24"/>
          <w:szCs w:val="24"/>
        </w:rPr>
        <w:t xml:space="preserve"> (</w:t>
      </w:r>
      <w:r w:rsidR="00965372">
        <w:rPr>
          <w:rFonts w:ascii="Times New Roman" w:hAnsi="Times New Roman" w:cs="Times New Roman"/>
          <w:sz w:val="24"/>
          <w:szCs w:val="24"/>
        </w:rPr>
        <w:t xml:space="preserve">Long </w:t>
      </w:r>
      <w:r w:rsidR="00B56F51" w:rsidRPr="00B56F51">
        <w:rPr>
          <w:rFonts w:ascii="Times New Roman" w:hAnsi="Times New Roman" w:cs="Times New Roman"/>
          <w:i/>
          <w:sz w:val="24"/>
          <w:szCs w:val="24"/>
        </w:rPr>
        <w:t>et al</w:t>
      </w:r>
      <w:r w:rsidR="00965372">
        <w:rPr>
          <w:rFonts w:ascii="Times New Roman" w:hAnsi="Times New Roman" w:cs="Times New Roman"/>
          <w:sz w:val="24"/>
          <w:szCs w:val="24"/>
        </w:rPr>
        <w:t>., 2024</w:t>
      </w:r>
      <w:r w:rsidR="0025719C">
        <w:rPr>
          <w:rFonts w:ascii="Times New Roman" w:hAnsi="Times New Roman" w:cs="Times New Roman"/>
          <w:sz w:val="24"/>
          <w:szCs w:val="24"/>
        </w:rPr>
        <w:t>)</w:t>
      </w:r>
      <w:r w:rsidRPr="002002FF">
        <w:rPr>
          <w:rFonts w:ascii="Times New Roman" w:hAnsi="Times New Roman" w:cs="Times New Roman"/>
          <w:sz w:val="24"/>
          <w:szCs w:val="24"/>
        </w:rPr>
        <w:t>.</w:t>
      </w:r>
    </w:p>
    <w:p w:rsidR="00CF1DDD" w:rsidRDefault="00CF1DDD" w:rsidP="00731E8C">
      <w:pPr>
        <w:pStyle w:val="NormalWeb"/>
        <w:spacing w:line="360" w:lineRule="auto"/>
        <w:jc w:val="both"/>
      </w:pPr>
      <w:r>
        <w:t>A broad host-range IncP1 plasmid, pKJK5, engineered to carry CRISPR–Cas9 (pKJK</w:t>
      </w:r>
      <w:proofErr w:type="gramStart"/>
      <w:r>
        <w:t>5::</w:t>
      </w:r>
      <w:proofErr w:type="spellStart"/>
      <w:proofErr w:type="gramEnd"/>
      <w:r>
        <w:t>csg</w:t>
      </w:r>
      <w:proofErr w:type="spellEnd"/>
      <w:r>
        <w:t xml:space="preserve">), demonstrated the ability to both block acquisition and eliminate existing AMR plasmids in </w:t>
      </w:r>
      <w:r>
        <w:rPr>
          <w:rStyle w:val="Emphasis"/>
        </w:rPr>
        <w:t>Escherichia coli</w:t>
      </w:r>
      <w:r>
        <w:t xml:space="preserve">, with effectiveness across diverse environmental, livestock-associated, and </w:t>
      </w:r>
      <w:r>
        <w:lastRenderedPageBreak/>
        <w:t xml:space="preserve">human-derived isolates, including </w:t>
      </w:r>
      <w:r>
        <w:rPr>
          <w:rStyle w:val="Emphasis"/>
        </w:rPr>
        <w:t>Pseudomonas</w:t>
      </w:r>
      <w:r>
        <w:t xml:space="preserve"> spp. (</w:t>
      </w:r>
      <w:proofErr w:type="spellStart"/>
      <w:r>
        <w:t>Sünderhauf</w:t>
      </w:r>
      <w:proofErr w:type="spellEnd"/>
      <w:r>
        <w:t xml:space="preserve"> </w:t>
      </w:r>
      <w:r w:rsidR="00B56F51" w:rsidRPr="00B56F51">
        <w:rPr>
          <w:i/>
        </w:rPr>
        <w:t>et al</w:t>
      </w:r>
      <w:r>
        <w:t xml:space="preserve">., 2025). Similarly, the </w:t>
      </w:r>
      <w:proofErr w:type="spellStart"/>
      <w:r>
        <w:t>Inc.Q</w:t>
      </w:r>
      <w:proofErr w:type="spellEnd"/>
      <w:r>
        <w:t xml:space="preserve">-based vector </w:t>
      </w:r>
      <w:proofErr w:type="spellStart"/>
      <w:r>
        <w:t>pQ</w:t>
      </w:r>
      <w:proofErr w:type="spellEnd"/>
      <w:r>
        <w:t xml:space="preserve">-mini incorporating CRISPR-Cas12f enabled efficient gene-curing across a wide range of bacteria, particularly </w:t>
      </w:r>
      <w:proofErr w:type="spellStart"/>
      <w:r>
        <w:t>Enterobacterales</w:t>
      </w:r>
      <w:proofErr w:type="spellEnd"/>
      <w:r>
        <w:t xml:space="preserve">, showing improved conjugation efficiency and effective removal of resistance genes such as </w:t>
      </w:r>
      <w:r>
        <w:rPr>
          <w:rStyle w:val="Emphasis"/>
        </w:rPr>
        <w:t>mcr-1</w:t>
      </w:r>
      <w:r>
        <w:t xml:space="preserve"> and </w:t>
      </w:r>
      <w:proofErr w:type="spellStart"/>
      <w:r>
        <w:rPr>
          <w:rStyle w:val="Emphasis"/>
        </w:rPr>
        <w:t>blaKPC</w:t>
      </w:r>
      <w:proofErr w:type="spellEnd"/>
      <w:r>
        <w:t xml:space="preserve"> (Long </w:t>
      </w:r>
      <w:r w:rsidR="00B56F51" w:rsidRPr="00B56F51">
        <w:rPr>
          <w:i/>
        </w:rPr>
        <w:t>et al</w:t>
      </w:r>
      <w:r>
        <w:t>., 2024).</w:t>
      </w:r>
    </w:p>
    <w:p w:rsidR="00CF1DDD" w:rsidRDefault="00CF1DDD" w:rsidP="00731E8C">
      <w:pPr>
        <w:pStyle w:val="NormalWeb"/>
        <w:spacing w:line="360" w:lineRule="auto"/>
        <w:jc w:val="both"/>
      </w:pPr>
      <w:r>
        <w:t xml:space="preserve">Self-transmissible conjugative plasmids such as pRK24 and pBP136 have also been engineered to deliver multiplexed CRISPR–Cas9 systems targeting both virulence and resistance genes in pathogens like </w:t>
      </w:r>
      <w:r>
        <w:rPr>
          <w:rStyle w:val="Emphasis"/>
        </w:rPr>
        <w:t>E. coli</w:t>
      </w:r>
      <w:r>
        <w:t xml:space="preserve"> (EHEC/EPEC) and </w:t>
      </w:r>
      <w:r>
        <w:rPr>
          <w:rStyle w:val="Emphasis"/>
        </w:rPr>
        <w:t>Salmonella enterica</w:t>
      </w:r>
      <w:r>
        <w:t xml:space="preserve">. These systems achieved selective killing of pathogenic strains, efficient curing of multidrug-resistant plasmids, and reduced intestinal colonization in murine models (Sheng </w:t>
      </w:r>
      <w:r w:rsidR="00B56F51" w:rsidRPr="00B56F51">
        <w:rPr>
          <w:i/>
        </w:rPr>
        <w:t>et al</w:t>
      </w:r>
      <w:r>
        <w:t>., 2023).</w:t>
      </w:r>
    </w:p>
    <w:p w:rsidR="008841E8" w:rsidRPr="008841E8" w:rsidRDefault="008841E8" w:rsidP="008841E8">
      <w:pPr>
        <w:pStyle w:val="NormalWeb"/>
        <w:spacing w:line="360" w:lineRule="auto"/>
        <w:jc w:val="center"/>
        <w:rPr>
          <w:b/>
        </w:rPr>
      </w:pPr>
      <w:r w:rsidRPr="008841E8">
        <w:rPr>
          <w:b/>
        </w:rPr>
        <w:t>Table. 1. Plasmid based delivery of CRISPR Cas system</w:t>
      </w:r>
    </w:p>
    <w:tbl>
      <w:tblPr>
        <w:tblStyle w:val="TableGrid"/>
        <w:tblW w:w="10460" w:type="dxa"/>
        <w:jc w:val="center"/>
        <w:tblLook w:val="04A0" w:firstRow="1" w:lastRow="0" w:firstColumn="1" w:lastColumn="0" w:noHBand="0" w:noVBand="1"/>
      </w:tblPr>
      <w:tblGrid>
        <w:gridCol w:w="1860"/>
        <w:gridCol w:w="1963"/>
        <w:gridCol w:w="2117"/>
        <w:gridCol w:w="2580"/>
        <w:gridCol w:w="1940"/>
      </w:tblGrid>
      <w:tr w:rsidR="008D0993" w:rsidRPr="008D0993" w:rsidTr="001E3E8E">
        <w:trPr>
          <w:trHeight w:val="452"/>
          <w:jc w:val="center"/>
        </w:trPr>
        <w:tc>
          <w:tcPr>
            <w:tcW w:w="1860" w:type="dxa"/>
            <w:hideMark/>
          </w:tcPr>
          <w:p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Plasmid System</w:t>
            </w:r>
          </w:p>
        </w:tc>
        <w:tc>
          <w:tcPr>
            <w:tcW w:w="1963" w:type="dxa"/>
            <w:hideMark/>
          </w:tcPr>
          <w:p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Target Organisms / Genes</w:t>
            </w:r>
          </w:p>
        </w:tc>
        <w:tc>
          <w:tcPr>
            <w:tcW w:w="2117" w:type="dxa"/>
            <w:hideMark/>
          </w:tcPr>
          <w:p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Key Strategy</w:t>
            </w:r>
          </w:p>
        </w:tc>
        <w:tc>
          <w:tcPr>
            <w:tcW w:w="2580" w:type="dxa"/>
            <w:hideMark/>
          </w:tcPr>
          <w:p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Major Outcomes</w:t>
            </w:r>
          </w:p>
        </w:tc>
        <w:tc>
          <w:tcPr>
            <w:tcW w:w="1940" w:type="dxa"/>
            <w:hideMark/>
          </w:tcPr>
          <w:p w:rsidR="008D0993" w:rsidRPr="008D0993" w:rsidRDefault="008D0993" w:rsidP="00731E8C">
            <w:pPr>
              <w:spacing w:line="360" w:lineRule="auto"/>
              <w:jc w:val="center"/>
              <w:rPr>
                <w:rFonts w:ascii="Times New Roman" w:eastAsia="Times New Roman" w:hAnsi="Times New Roman" w:cs="Times New Roman"/>
                <w:b/>
                <w:bCs/>
                <w:color w:val="000000"/>
                <w:lang w:eastAsia="en-IN"/>
              </w:rPr>
            </w:pPr>
            <w:r w:rsidRPr="008D0993">
              <w:rPr>
                <w:rFonts w:ascii="Times New Roman" w:eastAsia="Times New Roman" w:hAnsi="Times New Roman" w:cs="Times New Roman"/>
                <w:b/>
                <w:bCs/>
                <w:color w:val="000000"/>
                <w:lang w:eastAsia="en-IN"/>
              </w:rPr>
              <w:t>Reference</w:t>
            </w:r>
          </w:p>
        </w:tc>
      </w:tr>
      <w:tr w:rsidR="008D0993" w:rsidRPr="008D0993" w:rsidTr="00D167F7">
        <w:trPr>
          <w:trHeight w:val="1248"/>
          <w:jc w:val="center"/>
        </w:trPr>
        <w:tc>
          <w:tcPr>
            <w:tcW w:w="186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pKJK</w:t>
            </w:r>
            <w:proofErr w:type="gramStart"/>
            <w:r w:rsidRPr="008D0993">
              <w:rPr>
                <w:rFonts w:ascii="Times New Roman" w:eastAsia="Times New Roman" w:hAnsi="Times New Roman" w:cs="Times New Roman"/>
                <w:color w:val="000000"/>
                <w:lang w:eastAsia="en-IN"/>
              </w:rPr>
              <w:t>5::</w:t>
            </w:r>
            <w:proofErr w:type="spellStart"/>
            <w:proofErr w:type="gramEnd"/>
            <w:r w:rsidRPr="008D0993">
              <w:rPr>
                <w:rFonts w:ascii="Times New Roman" w:eastAsia="Times New Roman" w:hAnsi="Times New Roman" w:cs="Times New Roman"/>
                <w:color w:val="000000"/>
                <w:lang w:eastAsia="en-IN"/>
              </w:rPr>
              <w:t>csg</w:t>
            </w:r>
            <w:proofErr w:type="spellEnd"/>
            <w:r w:rsidRPr="008D0993">
              <w:rPr>
                <w:rFonts w:ascii="Times New Roman" w:eastAsia="Times New Roman" w:hAnsi="Times New Roman" w:cs="Times New Roman"/>
                <w:color w:val="000000"/>
                <w:lang w:eastAsia="en-IN"/>
              </w:rPr>
              <w:t xml:space="preserve"> (IncP1)</w:t>
            </w:r>
          </w:p>
        </w:tc>
        <w:tc>
          <w:tcPr>
            <w:tcW w:w="1963" w:type="dxa"/>
            <w:hideMark/>
          </w:tcPr>
          <w:p w:rsidR="008D0993" w:rsidRPr="008D0993" w:rsidRDefault="008D0993" w:rsidP="00731E8C">
            <w:pPr>
              <w:spacing w:line="360" w:lineRule="auto"/>
              <w:rPr>
                <w:rFonts w:ascii="Times New Roman" w:eastAsia="Times New Roman" w:hAnsi="Times New Roman" w:cs="Times New Roman"/>
                <w:i/>
                <w:iCs/>
                <w:color w:val="000000"/>
                <w:lang w:eastAsia="en-IN"/>
              </w:rPr>
            </w:pPr>
            <w:r w:rsidRPr="008D0993">
              <w:rPr>
                <w:rFonts w:ascii="Times New Roman" w:eastAsia="Times New Roman" w:hAnsi="Times New Roman" w:cs="Times New Roman"/>
                <w:i/>
                <w:iCs/>
                <w:color w:val="000000"/>
                <w:lang w:eastAsia="en-IN"/>
              </w:rPr>
              <w:t>E. coli</w:t>
            </w:r>
            <w:r w:rsidRPr="008D0993">
              <w:rPr>
                <w:rFonts w:ascii="Times New Roman" w:eastAsia="Times New Roman" w:hAnsi="Times New Roman" w:cs="Times New Roman"/>
                <w:color w:val="000000"/>
                <w:lang w:eastAsia="en-IN"/>
              </w:rPr>
              <w:t xml:space="preserve">, </w:t>
            </w:r>
            <w:r w:rsidRPr="008D0993">
              <w:rPr>
                <w:rFonts w:ascii="Times New Roman" w:eastAsia="Times New Roman" w:hAnsi="Times New Roman" w:cs="Times New Roman"/>
                <w:i/>
                <w:iCs/>
                <w:color w:val="000000"/>
                <w:lang w:eastAsia="en-IN"/>
              </w:rPr>
              <w:t>Pseudomonas</w:t>
            </w:r>
            <w:r w:rsidRPr="008D0993">
              <w:rPr>
                <w:rFonts w:ascii="Times New Roman" w:eastAsia="Times New Roman" w:hAnsi="Times New Roman" w:cs="Times New Roman"/>
                <w:color w:val="000000"/>
                <w:lang w:eastAsia="en-IN"/>
              </w:rPr>
              <w:t xml:space="preserve"> spp., AMR plasmids</w:t>
            </w:r>
          </w:p>
        </w:tc>
        <w:tc>
          <w:tcPr>
            <w:tcW w:w="2117"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Broad host-range conjugative CRISPR–Cas9 delivery</w:t>
            </w:r>
          </w:p>
        </w:tc>
        <w:tc>
          <w:tcPr>
            <w:tcW w:w="258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Blocked uptake and eliminated existing AMR plasmids across diverse isolates</w:t>
            </w:r>
          </w:p>
        </w:tc>
        <w:tc>
          <w:tcPr>
            <w:tcW w:w="194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proofErr w:type="spellStart"/>
            <w:r w:rsidRPr="008D0993">
              <w:rPr>
                <w:rFonts w:ascii="Times New Roman" w:eastAsia="Times New Roman" w:hAnsi="Times New Roman" w:cs="Times New Roman"/>
                <w:color w:val="000000"/>
                <w:lang w:eastAsia="en-IN"/>
              </w:rPr>
              <w:t>Sünderhauf</w:t>
            </w:r>
            <w:proofErr w:type="spellEnd"/>
            <w:r w:rsidRPr="008D0993">
              <w:rPr>
                <w:rFonts w:ascii="Times New Roman" w:eastAsia="Times New Roman" w:hAnsi="Times New Roman" w:cs="Times New Roman"/>
                <w:color w:val="000000"/>
                <w:lang w:eastAsia="en-IN"/>
              </w:rPr>
              <w:t xml:space="preserve"> </w:t>
            </w:r>
            <w:r w:rsidR="00B56F51" w:rsidRPr="00B56F51">
              <w:rPr>
                <w:rFonts w:ascii="Times New Roman" w:eastAsia="Times New Roman" w:hAnsi="Times New Roman" w:cs="Times New Roman"/>
                <w:i/>
                <w:color w:val="000000"/>
                <w:lang w:eastAsia="en-IN"/>
              </w:rPr>
              <w:t>et al</w:t>
            </w:r>
            <w:r w:rsidRPr="008D0993">
              <w:rPr>
                <w:rFonts w:ascii="Times New Roman" w:eastAsia="Times New Roman" w:hAnsi="Times New Roman" w:cs="Times New Roman"/>
                <w:color w:val="000000"/>
                <w:lang w:eastAsia="en-IN"/>
              </w:rPr>
              <w:t>., 2025</w:t>
            </w:r>
          </w:p>
        </w:tc>
      </w:tr>
      <w:tr w:rsidR="008D0993" w:rsidRPr="008D0993" w:rsidTr="00D167F7">
        <w:trPr>
          <w:trHeight w:val="1620"/>
          <w:jc w:val="center"/>
        </w:trPr>
        <w:tc>
          <w:tcPr>
            <w:tcW w:w="186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proofErr w:type="spellStart"/>
            <w:r w:rsidRPr="008D0993">
              <w:rPr>
                <w:rFonts w:ascii="Times New Roman" w:eastAsia="Times New Roman" w:hAnsi="Times New Roman" w:cs="Times New Roman"/>
                <w:color w:val="000000"/>
                <w:lang w:eastAsia="en-IN"/>
              </w:rPr>
              <w:t>pQ</w:t>
            </w:r>
            <w:proofErr w:type="spellEnd"/>
            <w:r w:rsidRPr="008D0993">
              <w:rPr>
                <w:rFonts w:ascii="Times New Roman" w:eastAsia="Times New Roman" w:hAnsi="Times New Roman" w:cs="Times New Roman"/>
                <w:color w:val="000000"/>
                <w:lang w:eastAsia="en-IN"/>
              </w:rPr>
              <w:t>-mini (</w:t>
            </w:r>
            <w:proofErr w:type="spellStart"/>
            <w:r w:rsidRPr="008D0993">
              <w:rPr>
                <w:rFonts w:ascii="Times New Roman" w:eastAsia="Times New Roman" w:hAnsi="Times New Roman" w:cs="Times New Roman"/>
                <w:color w:val="000000"/>
                <w:lang w:eastAsia="en-IN"/>
              </w:rPr>
              <w:t>Inc.Q</w:t>
            </w:r>
            <w:proofErr w:type="spellEnd"/>
            <w:r w:rsidRPr="008D0993">
              <w:rPr>
                <w:rFonts w:ascii="Times New Roman" w:eastAsia="Times New Roman" w:hAnsi="Times New Roman" w:cs="Times New Roman"/>
                <w:color w:val="000000"/>
                <w:lang w:eastAsia="en-IN"/>
              </w:rPr>
              <w:t xml:space="preserve"> + Cas12f)</w:t>
            </w:r>
          </w:p>
        </w:tc>
        <w:tc>
          <w:tcPr>
            <w:tcW w:w="1963"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proofErr w:type="spellStart"/>
            <w:r w:rsidRPr="008D0993">
              <w:rPr>
                <w:rFonts w:ascii="Times New Roman" w:eastAsia="Times New Roman" w:hAnsi="Times New Roman" w:cs="Times New Roman"/>
                <w:color w:val="000000"/>
                <w:lang w:eastAsia="en-IN"/>
              </w:rPr>
              <w:t>Enterobacterales</w:t>
            </w:r>
            <w:proofErr w:type="spellEnd"/>
            <w:r w:rsidRPr="008D0993">
              <w:rPr>
                <w:rFonts w:ascii="Times New Roman" w:eastAsia="Times New Roman" w:hAnsi="Times New Roman" w:cs="Times New Roman"/>
                <w:color w:val="000000"/>
                <w:lang w:eastAsia="en-IN"/>
              </w:rPr>
              <w:t xml:space="preserve">; </w:t>
            </w:r>
            <w:r w:rsidRPr="008D0993">
              <w:rPr>
                <w:rFonts w:ascii="Times New Roman" w:eastAsia="Times New Roman" w:hAnsi="Times New Roman" w:cs="Times New Roman"/>
                <w:i/>
                <w:iCs/>
                <w:color w:val="000000"/>
                <w:lang w:eastAsia="en-IN"/>
              </w:rPr>
              <w:t>mcr-1</w:t>
            </w:r>
            <w:r w:rsidRPr="008D0993">
              <w:rPr>
                <w:rFonts w:ascii="Times New Roman" w:eastAsia="Times New Roman" w:hAnsi="Times New Roman" w:cs="Times New Roman"/>
                <w:color w:val="000000"/>
                <w:lang w:eastAsia="en-IN"/>
              </w:rPr>
              <w:t xml:space="preserve">, </w:t>
            </w:r>
            <w:proofErr w:type="spellStart"/>
            <w:r w:rsidRPr="008D0993">
              <w:rPr>
                <w:rFonts w:ascii="Times New Roman" w:eastAsia="Times New Roman" w:hAnsi="Times New Roman" w:cs="Times New Roman"/>
                <w:i/>
                <w:iCs/>
                <w:color w:val="000000"/>
                <w:lang w:eastAsia="en-IN"/>
              </w:rPr>
              <w:t>blaKPC</w:t>
            </w:r>
            <w:proofErr w:type="spellEnd"/>
          </w:p>
        </w:tc>
        <w:tc>
          <w:tcPr>
            <w:tcW w:w="2117"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High-efficiency conjugative delivery with CRISPR-Cas12f</w:t>
            </w:r>
          </w:p>
        </w:tc>
        <w:tc>
          <w:tcPr>
            <w:tcW w:w="258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 xml:space="preserve">Broad host transfer; efficient gene-curing comparable to </w:t>
            </w:r>
            <w:proofErr w:type="spellStart"/>
            <w:r w:rsidRPr="008D0993">
              <w:rPr>
                <w:rFonts w:ascii="Times New Roman" w:eastAsia="Times New Roman" w:hAnsi="Times New Roman" w:cs="Times New Roman"/>
                <w:color w:val="000000"/>
                <w:lang w:eastAsia="en-IN"/>
              </w:rPr>
              <w:t>pCasCure</w:t>
            </w:r>
            <w:proofErr w:type="spellEnd"/>
          </w:p>
        </w:tc>
        <w:tc>
          <w:tcPr>
            <w:tcW w:w="194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 xml:space="preserve">Long </w:t>
            </w:r>
            <w:r w:rsidR="00B56F51" w:rsidRPr="00B56F51">
              <w:rPr>
                <w:rFonts w:ascii="Times New Roman" w:eastAsia="Times New Roman" w:hAnsi="Times New Roman" w:cs="Times New Roman"/>
                <w:i/>
                <w:color w:val="000000"/>
                <w:lang w:eastAsia="en-IN"/>
              </w:rPr>
              <w:t>et al</w:t>
            </w:r>
            <w:r w:rsidRPr="008D0993">
              <w:rPr>
                <w:rFonts w:ascii="Times New Roman" w:eastAsia="Times New Roman" w:hAnsi="Times New Roman" w:cs="Times New Roman"/>
                <w:color w:val="000000"/>
                <w:lang w:eastAsia="en-IN"/>
              </w:rPr>
              <w:t>., 2024</w:t>
            </w:r>
          </w:p>
        </w:tc>
      </w:tr>
      <w:tr w:rsidR="008D0993" w:rsidRPr="008D0993" w:rsidTr="00D167F7">
        <w:trPr>
          <w:trHeight w:val="1219"/>
          <w:jc w:val="center"/>
        </w:trPr>
        <w:tc>
          <w:tcPr>
            <w:tcW w:w="186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pRK24, pBP136 derivatives</w:t>
            </w:r>
          </w:p>
        </w:tc>
        <w:tc>
          <w:tcPr>
            <w:tcW w:w="1963" w:type="dxa"/>
            <w:hideMark/>
          </w:tcPr>
          <w:p w:rsidR="008D0993" w:rsidRPr="008D0993" w:rsidRDefault="008D0993" w:rsidP="00731E8C">
            <w:pPr>
              <w:spacing w:line="360" w:lineRule="auto"/>
              <w:rPr>
                <w:rFonts w:ascii="Times New Roman" w:eastAsia="Times New Roman" w:hAnsi="Times New Roman" w:cs="Times New Roman"/>
                <w:i/>
                <w:iCs/>
                <w:color w:val="000000"/>
                <w:lang w:eastAsia="en-IN"/>
              </w:rPr>
            </w:pPr>
            <w:r w:rsidRPr="008D0993">
              <w:rPr>
                <w:rFonts w:ascii="Times New Roman" w:eastAsia="Times New Roman" w:hAnsi="Times New Roman" w:cs="Times New Roman"/>
                <w:i/>
                <w:iCs/>
                <w:color w:val="000000"/>
                <w:lang w:eastAsia="en-IN"/>
              </w:rPr>
              <w:t>E. coli</w:t>
            </w:r>
            <w:r w:rsidRPr="008D0993">
              <w:rPr>
                <w:rFonts w:ascii="Times New Roman" w:eastAsia="Times New Roman" w:hAnsi="Times New Roman" w:cs="Times New Roman"/>
                <w:color w:val="000000"/>
                <w:lang w:eastAsia="en-IN"/>
              </w:rPr>
              <w:t xml:space="preserve"> (EHEC/EPEC), </w:t>
            </w:r>
            <w:r w:rsidRPr="008D0993">
              <w:rPr>
                <w:rFonts w:ascii="Times New Roman" w:eastAsia="Times New Roman" w:hAnsi="Times New Roman" w:cs="Times New Roman"/>
                <w:i/>
                <w:iCs/>
                <w:color w:val="000000"/>
                <w:lang w:eastAsia="en-IN"/>
              </w:rPr>
              <w:t>Salmonella enterica</w:t>
            </w:r>
            <w:r w:rsidRPr="008D0993">
              <w:rPr>
                <w:rFonts w:ascii="Times New Roman" w:eastAsia="Times New Roman" w:hAnsi="Times New Roman" w:cs="Times New Roman"/>
                <w:color w:val="000000"/>
                <w:lang w:eastAsia="en-IN"/>
              </w:rPr>
              <w:t xml:space="preserve">, </w:t>
            </w:r>
            <w:r w:rsidRPr="008D0993">
              <w:rPr>
                <w:rFonts w:ascii="Times New Roman" w:eastAsia="Times New Roman" w:hAnsi="Times New Roman" w:cs="Times New Roman"/>
                <w:i/>
                <w:iCs/>
                <w:color w:val="000000"/>
                <w:lang w:eastAsia="en-IN"/>
              </w:rPr>
              <w:t>blaCMY-2</w:t>
            </w:r>
          </w:p>
        </w:tc>
        <w:tc>
          <w:tcPr>
            <w:tcW w:w="2117"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Multiplexed CRISPR–Cas9 targeting virulence and resistance genes</w:t>
            </w:r>
          </w:p>
        </w:tc>
        <w:tc>
          <w:tcPr>
            <w:tcW w:w="258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Selective pathogen killing, plasmid curing, reduced gut colonization (in vivo)</w:t>
            </w:r>
          </w:p>
        </w:tc>
        <w:tc>
          <w:tcPr>
            <w:tcW w:w="194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 xml:space="preserve">Sheng </w:t>
            </w:r>
            <w:r w:rsidR="00B56F51" w:rsidRPr="00B56F51">
              <w:rPr>
                <w:rFonts w:ascii="Times New Roman" w:eastAsia="Times New Roman" w:hAnsi="Times New Roman" w:cs="Times New Roman"/>
                <w:i/>
                <w:color w:val="000000"/>
                <w:lang w:eastAsia="en-IN"/>
              </w:rPr>
              <w:t>et al</w:t>
            </w:r>
            <w:r w:rsidRPr="008D0993">
              <w:rPr>
                <w:rFonts w:ascii="Times New Roman" w:eastAsia="Times New Roman" w:hAnsi="Times New Roman" w:cs="Times New Roman"/>
                <w:color w:val="000000"/>
                <w:lang w:eastAsia="en-IN"/>
              </w:rPr>
              <w:t>., 2023</w:t>
            </w:r>
          </w:p>
        </w:tc>
      </w:tr>
      <w:tr w:rsidR="008D0993" w:rsidRPr="008D0993" w:rsidTr="00D167F7">
        <w:trPr>
          <w:trHeight w:val="1197"/>
          <w:jc w:val="center"/>
        </w:trPr>
        <w:tc>
          <w:tcPr>
            <w:tcW w:w="186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IncI2 conjugative CRISPR plasmid</w:t>
            </w:r>
          </w:p>
        </w:tc>
        <w:tc>
          <w:tcPr>
            <w:tcW w:w="1963" w:type="dxa"/>
            <w:hideMark/>
          </w:tcPr>
          <w:p w:rsidR="008D0993" w:rsidRPr="008D0993" w:rsidRDefault="008D0993" w:rsidP="00731E8C">
            <w:pPr>
              <w:spacing w:line="360" w:lineRule="auto"/>
              <w:rPr>
                <w:rFonts w:ascii="Times New Roman" w:eastAsia="Times New Roman" w:hAnsi="Times New Roman" w:cs="Times New Roman"/>
                <w:i/>
                <w:iCs/>
                <w:color w:val="000000"/>
                <w:lang w:eastAsia="en-IN"/>
              </w:rPr>
            </w:pPr>
            <w:r w:rsidRPr="008D0993">
              <w:rPr>
                <w:rFonts w:ascii="Times New Roman" w:eastAsia="Times New Roman" w:hAnsi="Times New Roman" w:cs="Times New Roman"/>
                <w:i/>
                <w:iCs/>
                <w:color w:val="000000"/>
                <w:lang w:eastAsia="en-IN"/>
              </w:rPr>
              <w:t>E. coli</w:t>
            </w:r>
            <w:r w:rsidRPr="008D0993">
              <w:rPr>
                <w:rFonts w:ascii="Times New Roman" w:eastAsia="Times New Roman" w:hAnsi="Times New Roman" w:cs="Times New Roman"/>
                <w:color w:val="000000"/>
                <w:lang w:eastAsia="en-IN"/>
              </w:rPr>
              <w:t xml:space="preserve">, </w:t>
            </w:r>
            <w:proofErr w:type="spellStart"/>
            <w:r w:rsidRPr="008D0993">
              <w:rPr>
                <w:rFonts w:ascii="Times New Roman" w:eastAsia="Times New Roman" w:hAnsi="Times New Roman" w:cs="Times New Roman"/>
                <w:i/>
                <w:iCs/>
                <w:color w:val="000000"/>
                <w:lang w:eastAsia="en-IN"/>
              </w:rPr>
              <w:t>blaCMY</w:t>
            </w:r>
            <w:proofErr w:type="spellEnd"/>
          </w:p>
        </w:tc>
        <w:tc>
          <w:tcPr>
            <w:tcW w:w="2117"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Conjugative CRISPR–Cas9 delivery in gut microbiome model</w:t>
            </w:r>
          </w:p>
        </w:tc>
        <w:tc>
          <w:tcPr>
            <w:tcW w:w="258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&gt;97% resistance reduction when delivered; effectiveness limited by conjugation efficiency</w:t>
            </w:r>
          </w:p>
        </w:tc>
        <w:tc>
          <w:tcPr>
            <w:tcW w:w="1940" w:type="dxa"/>
            <w:hideMark/>
          </w:tcPr>
          <w:p w:rsidR="008D0993" w:rsidRPr="008D0993" w:rsidRDefault="008D0993" w:rsidP="00731E8C">
            <w:pPr>
              <w:spacing w:line="360" w:lineRule="auto"/>
              <w:rPr>
                <w:rFonts w:ascii="Times New Roman" w:eastAsia="Times New Roman" w:hAnsi="Times New Roman" w:cs="Times New Roman"/>
                <w:color w:val="000000"/>
                <w:lang w:eastAsia="en-IN"/>
              </w:rPr>
            </w:pPr>
            <w:r w:rsidRPr="008D0993">
              <w:rPr>
                <w:rFonts w:ascii="Times New Roman" w:eastAsia="Times New Roman" w:hAnsi="Times New Roman" w:cs="Times New Roman"/>
                <w:color w:val="000000"/>
                <w:lang w:eastAsia="en-IN"/>
              </w:rPr>
              <w:t>Lougheed, 2025</w:t>
            </w:r>
          </w:p>
        </w:tc>
      </w:tr>
    </w:tbl>
    <w:p w:rsidR="00CF1DDD" w:rsidRDefault="00CF1DDD" w:rsidP="00731E8C">
      <w:pPr>
        <w:pStyle w:val="NormalWeb"/>
        <w:spacing w:line="360" w:lineRule="auto"/>
        <w:jc w:val="both"/>
      </w:pPr>
      <w:r>
        <w:t xml:space="preserve">Additionally, a conjugative CRISPR–Cas9 system targeting the </w:t>
      </w:r>
      <w:proofErr w:type="spellStart"/>
      <w:r>
        <w:rPr>
          <w:rStyle w:val="Emphasis"/>
        </w:rPr>
        <w:t>blaCMY</w:t>
      </w:r>
      <w:proofErr w:type="spellEnd"/>
      <w:r>
        <w:t xml:space="preserve"> gene demonstrated over 97% reduction in cefotaxime resistance in </w:t>
      </w:r>
      <w:r>
        <w:rPr>
          <w:rStyle w:val="Emphasis"/>
        </w:rPr>
        <w:t>E. coli</w:t>
      </w:r>
      <w:r>
        <w:t xml:space="preserve"> when effectively delivered, with </w:t>
      </w:r>
      <w:r>
        <w:lastRenderedPageBreak/>
        <w:t>significant in situ reductions observed in a bioreactor model of the cattle gut microbiome. However, its overall performance was limited by conjugation efficiency and environmental variability, highlighting delivery as a critical factor (Lougheed, 2025).</w:t>
      </w:r>
    </w:p>
    <w:p w:rsidR="001854EF" w:rsidRDefault="001854EF" w:rsidP="00731E8C">
      <w:pPr>
        <w:spacing w:line="360" w:lineRule="auto"/>
        <w:jc w:val="both"/>
        <w:rPr>
          <w:rFonts w:ascii="Times New Roman" w:hAnsi="Times New Roman" w:cs="Times New Roman"/>
          <w:sz w:val="24"/>
          <w:szCs w:val="24"/>
        </w:rPr>
      </w:pPr>
      <w:r w:rsidRPr="002002FF">
        <w:rPr>
          <w:rFonts w:ascii="Times New Roman" w:hAnsi="Times New Roman" w:cs="Times New Roman"/>
          <w:sz w:val="24"/>
          <w:szCs w:val="24"/>
        </w:rPr>
        <w:t>However, delivery efficiency remains a major limitation. Strategies to improve conjugation, such as pheromone-responsive plasmids in Enterococcus faecalis, show promise by enhancing cell-to-cell contact and increasing transfer rates. Overall, conjugative plasmid systems offer a scalable and effective approach for CRISPR-based AMR control.</w:t>
      </w:r>
    </w:p>
    <w:p w:rsidR="008D0993" w:rsidRPr="002002FF" w:rsidRDefault="008D0993" w:rsidP="00731E8C">
      <w:pPr>
        <w:spacing w:line="360" w:lineRule="auto"/>
        <w:jc w:val="both"/>
        <w:rPr>
          <w:rFonts w:ascii="Times New Roman" w:hAnsi="Times New Roman" w:cs="Times New Roman"/>
          <w:sz w:val="24"/>
          <w:szCs w:val="24"/>
        </w:rPr>
      </w:pPr>
    </w:p>
    <w:p w:rsidR="00E35913" w:rsidRDefault="00E35913" w:rsidP="009B5BBB">
      <w:pPr>
        <w:spacing w:line="360" w:lineRule="auto"/>
        <w:jc w:val="center"/>
        <w:rPr>
          <w:rFonts w:ascii="Times New Roman" w:hAnsi="Times New Roman" w:cs="Times New Roman"/>
          <w:sz w:val="24"/>
          <w:szCs w:val="24"/>
        </w:rPr>
      </w:pPr>
      <w:r w:rsidRPr="002002FF">
        <w:rPr>
          <w:rFonts w:ascii="Times New Roman" w:hAnsi="Times New Roman" w:cs="Times New Roman"/>
          <w:noProof/>
          <w:sz w:val="24"/>
          <w:szCs w:val="24"/>
          <w:lang w:eastAsia="en-IN"/>
        </w:rPr>
        <w:drawing>
          <wp:inline distT="0" distB="0" distL="0" distR="0">
            <wp:extent cx="4472940" cy="34626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Mar 23, 2026, 11_05_26 AM.png"/>
                    <pic:cNvPicPr/>
                  </pic:nvPicPr>
                  <pic:blipFill rotWithShape="1">
                    <a:blip r:embed="rId6" cstate="print">
                      <a:extLst>
                        <a:ext uri="{28A0092B-C50C-407E-A947-70E740481C1C}">
                          <a14:useLocalDpi xmlns:a14="http://schemas.microsoft.com/office/drawing/2010/main" val="0"/>
                        </a:ext>
                      </a:extLst>
                    </a:blip>
                    <a:srcRect l="8642" t="9373" r="13317"/>
                    <a:stretch/>
                  </pic:blipFill>
                  <pic:spPr bwMode="auto">
                    <a:xfrm>
                      <a:off x="0" y="0"/>
                      <a:ext cx="4472940" cy="3462655"/>
                    </a:xfrm>
                    <a:prstGeom prst="rect">
                      <a:avLst/>
                    </a:prstGeom>
                    <a:ln>
                      <a:noFill/>
                    </a:ln>
                    <a:extLst>
                      <a:ext uri="{53640926-AAD7-44D8-BBD7-CCE9431645EC}">
                        <a14:shadowObscured xmlns:a14="http://schemas.microsoft.com/office/drawing/2010/main"/>
                      </a:ext>
                    </a:extLst>
                  </pic:spPr>
                </pic:pic>
              </a:graphicData>
            </a:graphic>
          </wp:inline>
        </w:drawing>
      </w:r>
    </w:p>
    <w:p w:rsidR="009B5BBB" w:rsidRPr="009B5BBB" w:rsidRDefault="009B5BBB" w:rsidP="009B5BBB">
      <w:pPr>
        <w:spacing w:line="360" w:lineRule="auto"/>
        <w:jc w:val="center"/>
        <w:rPr>
          <w:rFonts w:ascii="Times New Roman" w:hAnsi="Times New Roman" w:cs="Times New Roman"/>
          <w:b/>
          <w:sz w:val="24"/>
          <w:szCs w:val="24"/>
        </w:rPr>
      </w:pPr>
      <w:r w:rsidRPr="009B5BBB">
        <w:rPr>
          <w:rFonts w:ascii="Times New Roman" w:hAnsi="Times New Roman" w:cs="Times New Roman"/>
          <w:b/>
          <w:sz w:val="24"/>
          <w:szCs w:val="24"/>
        </w:rPr>
        <w:t xml:space="preserve">Fig.2. </w:t>
      </w:r>
      <w:proofErr w:type="spellStart"/>
      <w:r w:rsidRPr="009B5BBB">
        <w:rPr>
          <w:rFonts w:ascii="Times New Roman" w:hAnsi="Times New Roman" w:cs="Times New Roman"/>
          <w:b/>
          <w:sz w:val="24"/>
          <w:szCs w:val="24"/>
        </w:rPr>
        <w:t>Plamid</w:t>
      </w:r>
      <w:proofErr w:type="spellEnd"/>
      <w:r w:rsidRPr="009B5BBB">
        <w:rPr>
          <w:rFonts w:ascii="Times New Roman" w:hAnsi="Times New Roman" w:cs="Times New Roman"/>
          <w:b/>
          <w:sz w:val="24"/>
          <w:szCs w:val="24"/>
        </w:rPr>
        <w:t xml:space="preserve"> based delivery of CRISPR Cas systems</w:t>
      </w:r>
    </w:p>
    <w:p w:rsidR="00B87C93" w:rsidRPr="002002FF" w:rsidRDefault="007D6BD9" w:rsidP="00731E8C">
      <w:pPr>
        <w:pStyle w:val="NormalWeb"/>
        <w:spacing w:line="360" w:lineRule="auto"/>
        <w:jc w:val="both"/>
        <w:rPr>
          <w:b/>
        </w:rPr>
      </w:pPr>
      <w:r>
        <w:rPr>
          <w:b/>
        </w:rPr>
        <w:t>5</w:t>
      </w:r>
      <w:r w:rsidR="006C0EA9">
        <w:rPr>
          <w:b/>
        </w:rPr>
        <w:t xml:space="preserve">.2. </w:t>
      </w:r>
      <w:r w:rsidR="00B87C93" w:rsidRPr="002002FF">
        <w:rPr>
          <w:b/>
        </w:rPr>
        <w:t xml:space="preserve">Phage </w:t>
      </w:r>
      <w:proofErr w:type="gramStart"/>
      <w:r w:rsidR="00B87C93" w:rsidRPr="002002FF">
        <w:rPr>
          <w:b/>
        </w:rPr>
        <w:t>vector based</w:t>
      </w:r>
      <w:proofErr w:type="gramEnd"/>
      <w:r w:rsidR="00B87C93" w:rsidRPr="002002FF">
        <w:rPr>
          <w:b/>
        </w:rPr>
        <w:t xml:space="preserve"> delivery:</w:t>
      </w:r>
    </w:p>
    <w:p w:rsidR="00B87C93" w:rsidRPr="002002FF" w:rsidRDefault="00B87C93" w:rsidP="00731E8C">
      <w:pPr>
        <w:pStyle w:val="NormalWeb"/>
        <w:spacing w:line="360" w:lineRule="auto"/>
        <w:jc w:val="both"/>
      </w:pPr>
      <w:r w:rsidRPr="002002FF">
        <w:t>Engineered bacteriophage-based delivery systems represent a significant advancement in CRISPR-mediated antimicrobial strategies. Conventional antibiotics often fail due to the acquisition of resistance genes or mutations in bacterial targets, whereas CRISPR/Cas systems enable precise, sequence-specific killing without disrupting the native microbiota. One notable approach involves the use of a genetically engineered temperate bacteriophage (</w:t>
      </w:r>
      <w:proofErr w:type="spellStart"/>
      <w:r w:rsidRPr="002002FF">
        <w:t>φSaBov</w:t>
      </w:r>
      <w:proofErr w:type="spellEnd"/>
      <w:r w:rsidRPr="002002FF">
        <w:t xml:space="preserve">) for targeted delivery of CRISPR/Cas9 against </w:t>
      </w:r>
      <w:r w:rsidRPr="002002FF">
        <w:rPr>
          <w:rStyle w:val="Emphasis"/>
        </w:rPr>
        <w:t>Staphylococcus aureus</w:t>
      </w:r>
      <w:r w:rsidRPr="002002FF">
        <w:t xml:space="preserve">, achieving near-complete decolonization in vitro and substantial reduction in bacterial load in vivo. Enhancements such </w:t>
      </w:r>
      <w:r w:rsidRPr="002002FF">
        <w:lastRenderedPageBreak/>
        <w:t xml:space="preserve">as tail </w:t>
      </w:r>
      <w:proofErr w:type="spellStart"/>
      <w:r w:rsidRPr="002002FF">
        <w:t>fiber</w:t>
      </w:r>
      <w:proofErr w:type="spellEnd"/>
      <w:r w:rsidRPr="002002FF">
        <w:t xml:space="preserve"> modification expanded host range, while deletion of virulence genes improved safety by reducing toxin dissemination. Environmental conditions were also shown to influence efficacy, with hydrated conditions supporting better CRISPR activity</w:t>
      </w:r>
      <w:r w:rsidR="00C210AA" w:rsidRPr="002002FF">
        <w:t xml:space="preserve"> (Park </w:t>
      </w:r>
      <w:r w:rsidR="00B56F51" w:rsidRPr="00B56F51">
        <w:rPr>
          <w:i/>
        </w:rPr>
        <w:t>et al</w:t>
      </w:r>
      <w:r w:rsidR="00C210AA" w:rsidRPr="002002FF">
        <w:t>., 2017)</w:t>
      </w:r>
      <w:r w:rsidRPr="002002FF">
        <w:t xml:space="preserve">. Complementing this, another study utilized the ΦNM1 phage system in </w:t>
      </w:r>
      <w:r w:rsidRPr="002002FF">
        <w:rPr>
          <w:rStyle w:val="Emphasis"/>
        </w:rPr>
        <w:t>S. aureus</w:t>
      </w:r>
      <w:r w:rsidRPr="002002FF">
        <w:t xml:space="preserve">, delivering CRISPR constructs targeting resistance genes such as </w:t>
      </w:r>
      <w:r w:rsidRPr="002002FF">
        <w:rPr>
          <w:rStyle w:val="Emphasis"/>
        </w:rPr>
        <w:t>aph-3</w:t>
      </w:r>
      <w:r w:rsidRPr="002002FF">
        <w:t xml:space="preserve"> and </w:t>
      </w:r>
      <w:proofErr w:type="spellStart"/>
      <w:r w:rsidRPr="002002FF">
        <w:rPr>
          <w:rStyle w:val="Emphasis"/>
        </w:rPr>
        <w:t>mecA</w:t>
      </w:r>
      <w:proofErr w:type="spellEnd"/>
      <w:r w:rsidRPr="002002FF">
        <w:t>, resulting in antibiotic re-sensitization, selective killing, and prevention of skin infections in murine models</w:t>
      </w:r>
      <w:r w:rsidR="009C4B3D" w:rsidRPr="002002FF">
        <w:t xml:space="preserve"> (</w:t>
      </w:r>
      <w:proofErr w:type="spellStart"/>
      <w:r w:rsidR="009C4B3D" w:rsidRPr="002002FF">
        <w:t>Bikard</w:t>
      </w:r>
      <w:proofErr w:type="spellEnd"/>
      <w:r w:rsidR="009C4B3D" w:rsidRPr="002002FF">
        <w:t xml:space="preserve"> </w:t>
      </w:r>
      <w:r w:rsidR="00B56F51" w:rsidRPr="00B56F51">
        <w:rPr>
          <w:i/>
        </w:rPr>
        <w:t>et al</w:t>
      </w:r>
      <w:r w:rsidR="009C4B3D" w:rsidRPr="002002FF">
        <w:t>., 2014)</w:t>
      </w:r>
      <w:r w:rsidRPr="002002FF">
        <w:t>.</w:t>
      </w:r>
      <w:r w:rsidR="00E56E91">
        <w:t xml:space="preserve"> In another study, a broad host range P1-derived phagemid has been demonstrated to efficiently deliver Cas9 constructs into </w:t>
      </w:r>
      <w:r w:rsidR="00E56E91">
        <w:rPr>
          <w:rStyle w:val="Emphasis"/>
        </w:rPr>
        <w:t>Escherichia coli</w:t>
      </w:r>
      <w:r w:rsidR="00E56E91">
        <w:t xml:space="preserve"> and </w:t>
      </w:r>
      <w:r w:rsidR="00E56E91">
        <w:rPr>
          <w:rStyle w:val="Emphasis"/>
        </w:rPr>
        <w:t xml:space="preserve">Shigella </w:t>
      </w:r>
      <w:proofErr w:type="spellStart"/>
      <w:r w:rsidR="00E56E91">
        <w:rPr>
          <w:rStyle w:val="Emphasis"/>
        </w:rPr>
        <w:t>flexneri</w:t>
      </w:r>
      <w:proofErr w:type="spellEnd"/>
      <w:r w:rsidR="00E56E91">
        <w:t>, enabling sequence-specific bacterial killing and significantly reducing infection burden in vivo</w:t>
      </w:r>
      <w:r w:rsidR="0081219A">
        <w:t xml:space="preserve"> (Huan </w:t>
      </w:r>
      <w:r w:rsidR="00B56F51" w:rsidRPr="00B56F51">
        <w:rPr>
          <w:i/>
        </w:rPr>
        <w:t>et al</w:t>
      </w:r>
      <w:r w:rsidR="0081219A">
        <w:t>., 2023)</w:t>
      </w:r>
      <w:r w:rsidR="00223CC2">
        <w:t>.</w:t>
      </w:r>
      <w:r w:rsidR="00AB6E0E">
        <w:t xml:space="preserve"> Kawaguchi </w:t>
      </w:r>
      <w:r w:rsidR="00B56F51" w:rsidRPr="00B56F51">
        <w:rPr>
          <w:i/>
        </w:rPr>
        <w:t>et al</w:t>
      </w:r>
      <w:r w:rsidR="00AB6E0E">
        <w:t xml:space="preserve">. (2025) reported a programmable antimicrobial strategy using phage capsid-mediated delivery of CRISPR-Cas13a to target carbapenem-resistant </w:t>
      </w:r>
      <w:r w:rsidR="00AB6E0E">
        <w:rPr>
          <w:rStyle w:val="Emphasis"/>
        </w:rPr>
        <w:t>Pseudomonas aeruginosa</w:t>
      </w:r>
      <w:r w:rsidR="00AB6E0E">
        <w:t xml:space="preserve">. A non-replicative antibacterial capsid (AB-Capsid) was engineered to deliver Cas13a along with a guide RNA targeting the </w:t>
      </w:r>
      <w:r w:rsidR="00AB6E0E">
        <w:rPr>
          <w:rStyle w:val="Emphasis"/>
        </w:rPr>
        <w:t>blaIMP-1</w:t>
      </w:r>
      <w:r w:rsidR="00AB6E0E">
        <w:t xml:space="preserve"> gene encoding </w:t>
      </w:r>
      <w:proofErr w:type="spellStart"/>
      <w:r w:rsidR="00AB6E0E">
        <w:t>metallo</w:t>
      </w:r>
      <w:proofErr w:type="spellEnd"/>
      <w:r w:rsidR="00AB6E0E">
        <w:t>-β-lactamase. This system specifically inhibited the growth of resistant strains and significantly reduced the minimum inhibitory concentration of imipenem, restoring antibiotic susceptibility.</w:t>
      </w:r>
    </w:p>
    <w:p w:rsidR="00B87C93" w:rsidRPr="002002FF" w:rsidRDefault="00B87C93" w:rsidP="00731E8C">
      <w:pPr>
        <w:pStyle w:val="NormalWeb"/>
        <w:spacing w:line="360" w:lineRule="auto"/>
        <w:jc w:val="both"/>
      </w:pPr>
      <w:r w:rsidRPr="002002FF">
        <w:t xml:space="preserve">In parallel, advanced phage engineering strategies have enabled precise genome editing using CRISPR-associated transposase systems. A temperature-sensitive λ phage system incorporating mutations such as </w:t>
      </w:r>
      <w:r w:rsidRPr="002002FF">
        <w:rPr>
          <w:rStyle w:val="Emphasis"/>
        </w:rPr>
        <w:t>cI857</w:t>
      </w:r>
      <w:r w:rsidRPr="002002FF">
        <w:t xml:space="preserve"> and </w:t>
      </w:r>
      <w:r w:rsidRPr="002002FF">
        <w:rPr>
          <w:rStyle w:val="Emphasis"/>
        </w:rPr>
        <w:t>Sam7</w:t>
      </w:r>
      <w:r w:rsidRPr="002002FF">
        <w:t xml:space="preserve"> allowed controlled infection dynamics and improved editing efficiency by limiting premature host lysis. Integration of CRISPR-guided transposition systems (DART) into the phage genome enabled targeted insertion into loci such as </w:t>
      </w:r>
      <w:proofErr w:type="spellStart"/>
      <w:r w:rsidRPr="002002FF">
        <w:rPr>
          <w:rStyle w:val="Emphasis"/>
        </w:rPr>
        <w:t>thyA</w:t>
      </w:r>
      <w:proofErr w:type="spellEnd"/>
      <w:r w:rsidRPr="002002FF">
        <w:t xml:space="preserve"> and </w:t>
      </w:r>
      <w:r w:rsidRPr="002002FF">
        <w:rPr>
          <w:rStyle w:val="Emphasis"/>
        </w:rPr>
        <w:t>lacZ</w:t>
      </w:r>
      <w:r w:rsidRPr="002002FF">
        <w:t>, supporting large-scale genomic modifications</w:t>
      </w:r>
      <w:r w:rsidR="001D4CCE" w:rsidRPr="002002FF">
        <w:t xml:space="preserve"> (</w:t>
      </w:r>
      <w:r w:rsidR="00202411" w:rsidRPr="002002FF">
        <w:t xml:space="preserve">Roberts </w:t>
      </w:r>
      <w:r w:rsidR="00B56F51" w:rsidRPr="00B56F51">
        <w:rPr>
          <w:i/>
        </w:rPr>
        <w:t>et al</w:t>
      </w:r>
      <w:r w:rsidR="00202411" w:rsidRPr="002002FF">
        <w:t>., 2025</w:t>
      </w:r>
      <w:r w:rsidR="001D4CCE" w:rsidRPr="002002FF">
        <w:t>)</w:t>
      </w:r>
      <w:r w:rsidRPr="002002FF">
        <w:t xml:space="preserve">. Editing efficiency was influenced by factors such as multiplicity of infection, promoter strength, and incubation conditions. Additionally, phage-mediated CRISPR delivery has been extended to in vivo microbiome targeting, where M13-derived </w:t>
      </w:r>
      <w:proofErr w:type="spellStart"/>
      <w:r w:rsidRPr="002002FF">
        <w:t>phages</w:t>
      </w:r>
      <w:proofErr w:type="spellEnd"/>
      <w:r w:rsidRPr="002002FF">
        <w:t xml:space="preserve"> carrying CRISPR-Cas9 systems were orally administered in murine models to selectively target fluorescently </w:t>
      </w:r>
      <w:proofErr w:type="spellStart"/>
      <w:r w:rsidRPr="002002FF">
        <w:t>labeled</w:t>
      </w:r>
      <w:proofErr w:type="spellEnd"/>
      <w:r w:rsidRPr="002002FF">
        <w:t xml:space="preserve"> </w:t>
      </w:r>
      <w:r w:rsidRPr="002002FF">
        <w:rPr>
          <w:rStyle w:val="Emphasis"/>
        </w:rPr>
        <w:t>Escherichia coli</w:t>
      </w:r>
      <w:r w:rsidRPr="002002FF">
        <w:t xml:space="preserve"> strains in the gut, demonstrating proof-of-principle for sequence-specific microbiome editing without disrupting non-target organisms</w:t>
      </w:r>
      <w:r w:rsidR="003D470A" w:rsidRPr="002002FF">
        <w:t xml:space="preserve"> (Lam </w:t>
      </w:r>
      <w:r w:rsidR="00B56F51" w:rsidRPr="00B56F51">
        <w:rPr>
          <w:i/>
        </w:rPr>
        <w:t>et al</w:t>
      </w:r>
      <w:r w:rsidR="003D470A" w:rsidRPr="002002FF">
        <w:t>., 2021)</w:t>
      </w:r>
      <w:r w:rsidRPr="002002FF">
        <w:t>.</w:t>
      </w:r>
    </w:p>
    <w:p w:rsidR="00B87C93" w:rsidRPr="002002FF" w:rsidRDefault="00B87C93" w:rsidP="00731E8C">
      <w:pPr>
        <w:pStyle w:val="NormalWeb"/>
        <w:spacing w:line="360" w:lineRule="auto"/>
        <w:jc w:val="both"/>
      </w:pPr>
      <w:r w:rsidRPr="002002FF">
        <w:t xml:space="preserve">Further expanding the scope, CRISPR-based base editing systems have been applied to clinically relevant multidrug-resistant pathogens such as </w:t>
      </w:r>
      <w:r w:rsidRPr="002002FF">
        <w:rPr>
          <w:rStyle w:val="Emphasis"/>
        </w:rPr>
        <w:t>Klebsiella pneumoniae</w:t>
      </w:r>
      <w:r w:rsidRPr="002002FF">
        <w:t xml:space="preserve">. Using fusion constructs such as Cas9 </w:t>
      </w:r>
      <w:proofErr w:type="spellStart"/>
      <w:r w:rsidRPr="002002FF">
        <w:t>nickase</w:t>
      </w:r>
      <w:proofErr w:type="spellEnd"/>
      <w:r w:rsidRPr="002002FF">
        <w:t xml:space="preserve"> coupled with cytidine deaminase (APOBEC1), precise base editing enabled disruption of resistance genes including </w:t>
      </w:r>
      <w:proofErr w:type="spellStart"/>
      <w:r w:rsidRPr="002002FF">
        <w:rPr>
          <w:rStyle w:val="Emphasis"/>
        </w:rPr>
        <w:t>fosA</w:t>
      </w:r>
      <w:proofErr w:type="spellEnd"/>
      <w:r w:rsidRPr="002002FF">
        <w:t xml:space="preserve">, </w:t>
      </w:r>
      <w:r w:rsidRPr="002002FF">
        <w:rPr>
          <w:rStyle w:val="Emphasis"/>
        </w:rPr>
        <w:t>blaKPC-2</w:t>
      </w:r>
      <w:r w:rsidRPr="002002FF">
        <w:t xml:space="preserve">, </w:t>
      </w:r>
      <w:proofErr w:type="spellStart"/>
      <w:r w:rsidRPr="002002FF">
        <w:rPr>
          <w:rStyle w:val="Emphasis"/>
        </w:rPr>
        <w:t>blaSHV</w:t>
      </w:r>
      <w:proofErr w:type="spellEnd"/>
      <w:r w:rsidRPr="002002FF">
        <w:t xml:space="preserve">, and </w:t>
      </w:r>
      <w:r w:rsidRPr="002002FF">
        <w:rPr>
          <w:rStyle w:val="Emphasis"/>
        </w:rPr>
        <w:t>blaCTX-M65</w:t>
      </w:r>
      <w:r w:rsidRPr="002002FF">
        <w:t xml:space="preserve">. These modifications restored antibiotic susceptibility, particularly to </w:t>
      </w:r>
      <w:proofErr w:type="spellStart"/>
      <w:r w:rsidRPr="002002FF">
        <w:t>fosfomycin</w:t>
      </w:r>
      <w:proofErr w:type="spellEnd"/>
      <w:r w:rsidRPr="002002FF">
        <w:t xml:space="preserve">, and </w:t>
      </w:r>
      <w:r w:rsidRPr="002002FF">
        <w:lastRenderedPageBreak/>
        <w:t xml:space="preserve">enabled efficient deletion of extended-spectrum β-lactamase (ESBL) and carbapenem resistance genes. The integration of CRISPR systems with λ Red recombination further enhanced editing efficiency in these strains, including </w:t>
      </w:r>
      <w:proofErr w:type="spellStart"/>
      <w:r w:rsidRPr="002002FF">
        <w:t>hypermucoviscous</w:t>
      </w:r>
      <w:proofErr w:type="spellEnd"/>
      <w:r w:rsidRPr="002002FF">
        <w:t xml:space="preserve"> carbapenem-resistant isolates</w:t>
      </w:r>
      <w:r w:rsidR="0000353E" w:rsidRPr="002002FF">
        <w:t xml:space="preserve"> (Wang </w:t>
      </w:r>
      <w:r w:rsidR="00B56F51" w:rsidRPr="00B56F51">
        <w:rPr>
          <w:i/>
        </w:rPr>
        <w:t>et al</w:t>
      </w:r>
      <w:r w:rsidR="0000353E" w:rsidRPr="002002FF">
        <w:t>., 2018)</w:t>
      </w:r>
      <w:r w:rsidRPr="002002FF">
        <w:t>.</w:t>
      </w:r>
    </w:p>
    <w:p w:rsidR="00B87C93" w:rsidRDefault="00B87C93" w:rsidP="00731E8C">
      <w:pPr>
        <w:pStyle w:val="NormalWeb"/>
        <w:spacing w:line="360" w:lineRule="auto"/>
        <w:jc w:val="both"/>
      </w:pPr>
      <w:r w:rsidRPr="002002FF">
        <w:t>Overall, these studies collectively demonstrate the versatility of phage-mediated CRISPR systems in targeting antimicrobial resistance through mechanisms ranging from selective bacterial killing and gene disruption to precise genome editing and microbiome modulation. Despite their promise, challenges such as delivery efficiency, host specificity, immune responses, and regulatory considerations remain critical barriers that must be addressed to enable clinical translation.</w:t>
      </w:r>
    </w:p>
    <w:p w:rsidR="00731ACB" w:rsidRPr="00731ACB" w:rsidRDefault="00731ACB" w:rsidP="00731ACB">
      <w:pPr>
        <w:pStyle w:val="NormalWeb"/>
        <w:spacing w:line="360" w:lineRule="auto"/>
        <w:jc w:val="center"/>
        <w:rPr>
          <w:b/>
        </w:rPr>
      </w:pPr>
      <w:r w:rsidRPr="00731ACB">
        <w:rPr>
          <w:b/>
        </w:rPr>
        <w:t>Table. 2. Phage based delivery of CRISPR systems</w:t>
      </w:r>
    </w:p>
    <w:tbl>
      <w:tblPr>
        <w:tblStyle w:val="TableGrid"/>
        <w:tblW w:w="10340" w:type="dxa"/>
        <w:jc w:val="center"/>
        <w:tblLook w:val="04A0" w:firstRow="1" w:lastRow="0" w:firstColumn="1" w:lastColumn="0" w:noHBand="0" w:noVBand="1"/>
      </w:tblPr>
      <w:tblGrid>
        <w:gridCol w:w="1900"/>
        <w:gridCol w:w="1940"/>
        <w:gridCol w:w="2060"/>
        <w:gridCol w:w="2600"/>
        <w:gridCol w:w="1840"/>
      </w:tblGrid>
      <w:tr w:rsidR="0078164C" w:rsidRPr="0078164C" w:rsidTr="0078164C">
        <w:trPr>
          <w:trHeight w:val="288"/>
          <w:jc w:val="center"/>
        </w:trPr>
        <w:tc>
          <w:tcPr>
            <w:tcW w:w="1900" w:type="dxa"/>
            <w:hideMark/>
          </w:tcPr>
          <w:p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Phage / System</w:t>
            </w:r>
          </w:p>
        </w:tc>
        <w:tc>
          <w:tcPr>
            <w:tcW w:w="1940" w:type="dxa"/>
            <w:hideMark/>
          </w:tcPr>
          <w:p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Target Organism(s)</w:t>
            </w:r>
          </w:p>
        </w:tc>
        <w:tc>
          <w:tcPr>
            <w:tcW w:w="2060" w:type="dxa"/>
            <w:hideMark/>
          </w:tcPr>
          <w:p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CRISPR Strategy</w:t>
            </w:r>
          </w:p>
        </w:tc>
        <w:tc>
          <w:tcPr>
            <w:tcW w:w="2600" w:type="dxa"/>
            <w:hideMark/>
          </w:tcPr>
          <w:p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Key Outcomes</w:t>
            </w:r>
          </w:p>
        </w:tc>
        <w:tc>
          <w:tcPr>
            <w:tcW w:w="1840" w:type="dxa"/>
            <w:hideMark/>
          </w:tcPr>
          <w:p w:rsidR="0078164C" w:rsidRPr="0078164C" w:rsidRDefault="0078164C" w:rsidP="00731E8C">
            <w:pPr>
              <w:spacing w:line="360" w:lineRule="auto"/>
              <w:jc w:val="center"/>
              <w:rPr>
                <w:rFonts w:ascii="Times New Roman" w:eastAsia="Times New Roman" w:hAnsi="Times New Roman" w:cs="Times New Roman"/>
                <w:b/>
                <w:bCs/>
                <w:color w:val="000000"/>
                <w:lang w:eastAsia="en-IN"/>
              </w:rPr>
            </w:pPr>
            <w:r w:rsidRPr="0078164C">
              <w:rPr>
                <w:rFonts w:ascii="Times New Roman" w:eastAsia="Times New Roman" w:hAnsi="Times New Roman" w:cs="Times New Roman"/>
                <w:b/>
                <w:bCs/>
                <w:color w:val="000000"/>
                <w:lang w:eastAsia="en-IN"/>
              </w:rPr>
              <w:t>Reference</w:t>
            </w:r>
          </w:p>
        </w:tc>
      </w:tr>
      <w:tr w:rsidR="0078164C" w:rsidRPr="0078164C" w:rsidTr="007420E9">
        <w:trPr>
          <w:trHeight w:val="1133"/>
          <w:jc w:val="center"/>
        </w:trPr>
        <w:tc>
          <w:tcPr>
            <w:tcW w:w="19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ΦNM1 phage system</w:t>
            </w:r>
          </w:p>
        </w:tc>
        <w:tc>
          <w:tcPr>
            <w:tcW w:w="1940" w:type="dxa"/>
            <w:hideMark/>
          </w:tcPr>
          <w:p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Staphylococcus aureus</w:t>
            </w:r>
          </w:p>
        </w:tc>
        <w:tc>
          <w:tcPr>
            <w:tcW w:w="206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CRISPR–Cas9 targeting </w:t>
            </w:r>
            <w:r w:rsidRPr="0078164C">
              <w:rPr>
                <w:rFonts w:ascii="Times New Roman" w:eastAsia="Times New Roman" w:hAnsi="Times New Roman" w:cs="Times New Roman"/>
                <w:i/>
                <w:iCs/>
                <w:color w:val="000000"/>
                <w:lang w:eastAsia="en-IN"/>
              </w:rPr>
              <w:t>aph-3</w:t>
            </w:r>
            <w:r w:rsidRPr="0078164C">
              <w:rPr>
                <w:rFonts w:ascii="Times New Roman" w:eastAsia="Times New Roman" w:hAnsi="Times New Roman" w:cs="Times New Roman"/>
                <w:color w:val="000000"/>
                <w:lang w:eastAsia="en-IN"/>
              </w:rPr>
              <w:t xml:space="preserve">, </w:t>
            </w:r>
            <w:proofErr w:type="spellStart"/>
            <w:r w:rsidRPr="0078164C">
              <w:rPr>
                <w:rFonts w:ascii="Times New Roman" w:eastAsia="Times New Roman" w:hAnsi="Times New Roman" w:cs="Times New Roman"/>
                <w:i/>
                <w:iCs/>
                <w:color w:val="000000"/>
                <w:lang w:eastAsia="en-IN"/>
              </w:rPr>
              <w:t>mecA</w:t>
            </w:r>
            <w:proofErr w:type="spellEnd"/>
          </w:p>
        </w:tc>
        <w:tc>
          <w:tcPr>
            <w:tcW w:w="26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Antibiotic re-sensitization; selective killing; prevention of skin infection in murine model</w:t>
            </w:r>
          </w:p>
        </w:tc>
        <w:tc>
          <w:tcPr>
            <w:tcW w:w="184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proofErr w:type="spellStart"/>
            <w:r w:rsidRPr="0078164C">
              <w:rPr>
                <w:rFonts w:ascii="Times New Roman" w:eastAsia="Times New Roman" w:hAnsi="Times New Roman" w:cs="Times New Roman"/>
                <w:color w:val="000000"/>
                <w:lang w:eastAsia="en-IN"/>
              </w:rPr>
              <w:t>Bikard</w:t>
            </w:r>
            <w:proofErr w:type="spellEnd"/>
            <w:r w:rsidRPr="0078164C">
              <w:rPr>
                <w:rFonts w:ascii="Times New Roman" w:eastAsia="Times New Roman" w:hAnsi="Times New Roman" w:cs="Times New Roman"/>
                <w:color w:val="000000"/>
                <w:lang w:eastAsia="en-IN"/>
              </w:rPr>
              <w:t xml:space="preserve"> </w:t>
            </w:r>
            <w:r w:rsidR="00B56F51" w:rsidRPr="00B56F51">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2014</w:t>
            </w:r>
          </w:p>
        </w:tc>
      </w:tr>
      <w:tr w:rsidR="0078164C" w:rsidRPr="0078164C" w:rsidTr="0078164C">
        <w:trPr>
          <w:trHeight w:val="2016"/>
          <w:jc w:val="center"/>
        </w:trPr>
        <w:tc>
          <w:tcPr>
            <w:tcW w:w="19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proofErr w:type="spellStart"/>
            <w:r w:rsidRPr="0078164C">
              <w:rPr>
                <w:rFonts w:ascii="Times New Roman" w:eastAsia="Times New Roman" w:hAnsi="Times New Roman" w:cs="Times New Roman"/>
                <w:color w:val="000000"/>
                <w:lang w:eastAsia="en-IN"/>
              </w:rPr>
              <w:t>φSaBov</w:t>
            </w:r>
            <w:proofErr w:type="spellEnd"/>
            <w:r w:rsidRPr="0078164C">
              <w:rPr>
                <w:rFonts w:ascii="Times New Roman" w:eastAsia="Times New Roman" w:hAnsi="Times New Roman" w:cs="Times New Roman"/>
                <w:color w:val="000000"/>
                <w:lang w:eastAsia="en-IN"/>
              </w:rPr>
              <w:t xml:space="preserve"> (engineered temperate phage)</w:t>
            </w:r>
          </w:p>
        </w:tc>
        <w:tc>
          <w:tcPr>
            <w:tcW w:w="1940" w:type="dxa"/>
            <w:hideMark/>
          </w:tcPr>
          <w:p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Staphylococcus aureus</w:t>
            </w:r>
          </w:p>
        </w:tc>
        <w:tc>
          <w:tcPr>
            <w:tcW w:w="206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CRISPR–Cas9 delivery via engineered phage (tail </w:t>
            </w:r>
            <w:proofErr w:type="spellStart"/>
            <w:r w:rsidRPr="0078164C">
              <w:rPr>
                <w:rFonts w:ascii="Times New Roman" w:eastAsia="Times New Roman" w:hAnsi="Times New Roman" w:cs="Times New Roman"/>
                <w:color w:val="000000"/>
                <w:lang w:eastAsia="en-IN"/>
              </w:rPr>
              <w:t>fiber</w:t>
            </w:r>
            <w:proofErr w:type="spellEnd"/>
            <w:r w:rsidRPr="0078164C">
              <w:rPr>
                <w:rFonts w:ascii="Times New Roman" w:eastAsia="Times New Roman" w:hAnsi="Times New Roman" w:cs="Times New Roman"/>
                <w:color w:val="000000"/>
                <w:lang w:eastAsia="en-IN"/>
              </w:rPr>
              <w:t xml:space="preserve"> modification, virulence gene deletion)</w:t>
            </w:r>
          </w:p>
        </w:tc>
        <w:tc>
          <w:tcPr>
            <w:tcW w:w="26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Near-complete in vitro decolonization; significant in vivo reduction; improved safety and host range</w:t>
            </w:r>
          </w:p>
        </w:tc>
        <w:tc>
          <w:tcPr>
            <w:tcW w:w="184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Park </w:t>
            </w:r>
            <w:r w:rsidR="00B56F51" w:rsidRPr="00B56F51">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2017</w:t>
            </w:r>
          </w:p>
        </w:tc>
      </w:tr>
      <w:tr w:rsidR="0078164C" w:rsidRPr="0078164C" w:rsidTr="007420E9">
        <w:trPr>
          <w:trHeight w:val="1408"/>
          <w:jc w:val="center"/>
        </w:trPr>
        <w:tc>
          <w:tcPr>
            <w:tcW w:w="19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Cas9 </w:t>
            </w:r>
            <w:proofErr w:type="spellStart"/>
            <w:r w:rsidRPr="0078164C">
              <w:rPr>
                <w:rFonts w:ascii="Times New Roman" w:eastAsia="Times New Roman" w:hAnsi="Times New Roman" w:cs="Times New Roman"/>
                <w:color w:val="000000"/>
                <w:lang w:eastAsia="en-IN"/>
              </w:rPr>
              <w:t>nickase</w:t>
            </w:r>
            <w:proofErr w:type="spellEnd"/>
            <w:r w:rsidRPr="0078164C">
              <w:rPr>
                <w:rFonts w:ascii="Times New Roman" w:eastAsia="Times New Roman" w:hAnsi="Times New Roman" w:cs="Times New Roman"/>
                <w:color w:val="000000"/>
                <w:lang w:eastAsia="en-IN"/>
              </w:rPr>
              <w:t xml:space="preserve"> + APOBEC1</w:t>
            </w:r>
            <w:r w:rsidR="00F34FD8" w:rsidRPr="007420E9">
              <w:rPr>
                <w:rFonts w:ascii="Times New Roman" w:eastAsia="Times New Roman" w:hAnsi="Times New Roman" w:cs="Times New Roman"/>
                <w:color w:val="000000"/>
                <w:lang w:eastAsia="en-IN"/>
              </w:rPr>
              <w:t>, λ Red system</w:t>
            </w:r>
          </w:p>
        </w:tc>
        <w:tc>
          <w:tcPr>
            <w:tcW w:w="1940" w:type="dxa"/>
            <w:hideMark/>
          </w:tcPr>
          <w:p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Klebsiella pneumoniae</w:t>
            </w:r>
          </w:p>
        </w:tc>
        <w:tc>
          <w:tcPr>
            <w:tcW w:w="206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Cytidine deaminase-mediated base editing targeting </w:t>
            </w:r>
            <w:proofErr w:type="spellStart"/>
            <w:r w:rsidRPr="0078164C">
              <w:rPr>
                <w:rFonts w:ascii="Times New Roman" w:eastAsia="Times New Roman" w:hAnsi="Times New Roman" w:cs="Times New Roman"/>
                <w:i/>
                <w:iCs/>
                <w:color w:val="000000"/>
                <w:lang w:eastAsia="en-IN"/>
              </w:rPr>
              <w:t>fosA</w:t>
            </w:r>
            <w:proofErr w:type="spellEnd"/>
            <w:r w:rsidRPr="0078164C">
              <w:rPr>
                <w:rFonts w:ascii="Times New Roman" w:eastAsia="Times New Roman" w:hAnsi="Times New Roman" w:cs="Times New Roman"/>
                <w:color w:val="000000"/>
                <w:lang w:eastAsia="en-IN"/>
              </w:rPr>
              <w:t xml:space="preserve">, </w:t>
            </w:r>
            <w:r w:rsidRPr="0078164C">
              <w:rPr>
                <w:rFonts w:ascii="Times New Roman" w:eastAsia="Times New Roman" w:hAnsi="Times New Roman" w:cs="Times New Roman"/>
                <w:i/>
                <w:iCs/>
                <w:color w:val="000000"/>
                <w:lang w:eastAsia="en-IN"/>
              </w:rPr>
              <w:t>blaKPC-2</w:t>
            </w:r>
            <w:r w:rsidRPr="0078164C">
              <w:rPr>
                <w:rFonts w:ascii="Times New Roman" w:eastAsia="Times New Roman" w:hAnsi="Times New Roman" w:cs="Times New Roman"/>
                <w:color w:val="000000"/>
                <w:lang w:eastAsia="en-IN"/>
              </w:rPr>
              <w:t xml:space="preserve">, </w:t>
            </w:r>
            <w:proofErr w:type="spellStart"/>
            <w:r w:rsidRPr="0078164C">
              <w:rPr>
                <w:rFonts w:ascii="Times New Roman" w:eastAsia="Times New Roman" w:hAnsi="Times New Roman" w:cs="Times New Roman"/>
                <w:i/>
                <w:iCs/>
                <w:color w:val="000000"/>
                <w:lang w:eastAsia="en-IN"/>
              </w:rPr>
              <w:t>blaSHV</w:t>
            </w:r>
            <w:proofErr w:type="spellEnd"/>
            <w:r w:rsidRPr="0078164C">
              <w:rPr>
                <w:rFonts w:ascii="Times New Roman" w:eastAsia="Times New Roman" w:hAnsi="Times New Roman" w:cs="Times New Roman"/>
                <w:color w:val="000000"/>
                <w:lang w:eastAsia="en-IN"/>
              </w:rPr>
              <w:t xml:space="preserve">, </w:t>
            </w:r>
            <w:r w:rsidRPr="0078164C">
              <w:rPr>
                <w:rFonts w:ascii="Times New Roman" w:eastAsia="Times New Roman" w:hAnsi="Times New Roman" w:cs="Times New Roman"/>
                <w:i/>
                <w:iCs/>
                <w:color w:val="000000"/>
                <w:lang w:eastAsia="en-IN"/>
              </w:rPr>
              <w:t>blaCTX-M65</w:t>
            </w:r>
          </w:p>
        </w:tc>
        <w:tc>
          <w:tcPr>
            <w:tcW w:w="26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Restoration of antibiotic susceptibility; efficient deletion of ESBL and carbapenem resistance genes</w:t>
            </w:r>
          </w:p>
        </w:tc>
        <w:tc>
          <w:tcPr>
            <w:tcW w:w="184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Wang </w:t>
            </w:r>
            <w:r w:rsidR="00B56F51" w:rsidRPr="00B56F51">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2018</w:t>
            </w:r>
          </w:p>
        </w:tc>
      </w:tr>
      <w:tr w:rsidR="0078164C" w:rsidRPr="0078164C" w:rsidTr="007420E9">
        <w:trPr>
          <w:trHeight w:val="1301"/>
          <w:jc w:val="center"/>
        </w:trPr>
        <w:tc>
          <w:tcPr>
            <w:tcW w:w="19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lastRenderedPageBreak/>
              <w:t>M13-derived phage</w:t>
            </w:r>
          </w:p>
        </w:tc>
        <w:tc>
          <w:tcPr>
            <w:tcW w:w="1940" w:type="dxa"/>
            <w:hideMark/>
          </w:tcPr>
          <w:p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Escherichia coli</w:t>
            </w:r>
            <w:r w:rsidRPr="0078164C">
              <w:rPr>
                <w:rFonts w:ascii="Times New Roman" w:eastAsia="Times New Roman" w:hAnsi="Times New Roman" w:cs="Times New Roman"/>
                <w:color w:val="000000"/>
                <w:lang w:eastAsia="en-IN"/>
              </w:rPr>
              <w:t xml:space="preserve"> (gut microbiome)</w:t>
            </w:r>
          </w:p>
        </w:tc>
        <w:tc>
          <w:tcPr>
            <w:tcW w:w="206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CRISPR–Cas9 phagemid delivery (oral, in vivo)</w:t>
            </w:r>
          </w:p>
        </w:tc>
        <w:tc>
          <w:tcPr>
            <w:tcW w:w="26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Strain-specific targeting in gut; proof-of-principle microbiome editing without off-target disruption</w:t>
            </w:r>
          </w:p>
        </w:tc>
        <w:tc>
          <w:tcPr>
            <w:tcW w:w="184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Lam </w:t>
            </w:r>
            <w:r w:rsidR="00B56F51" w:rsidRPr="00B56F51">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2021</w:t>
            </w:r>
          </w:p>
        </w:tc>
      </w:tr>
      <w:tr w:rsidR="0078164C" w:rsidRPr="0078164C" w:rsidTr="007420E9">
        <w:trPr>
          <w:trHeight w:val="1405"/>
          <w:jc w:val="center"/>
        </w:trPr>
        <w:tc>
          <w:tcPr>
            <w:tcW w:w="19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λ phage (cI857, Sam7 mutants) + DART</w:t>
            </w:r>
          </w:p>
        </w:tc>
        <w:tc>
          <w:tcPr>
            <w:tcW w:w="1940" w:type="dxa"/>
            <w:hideMark/>
          </w:tcPr>
          <w:p w:rsidR="0078164C" w:rsidRPr="0078164C" w:rsidRDefault="0078164C" w:rsidP="00731E8C">
            <w:pPr>
              <w:spacing w:line="360" w:lineRule="auto"/>
              <w:rPr>
                <w:rFonts w:ascii="Times New Roman" w:eastAsia="Times New Roman" w:hAnsi="Times New Roman" w:cs="Times New Roman"/>
                <w:i/>
                <w:iCs/>
                <w:color w:val="000000"/>
                <w:lang w:eastAsia="en-IN"/>
              </w:rPr>
            </w:pPr>
            <w:r w:rsidRPr="0078164C">
              <w:rPr>
                <w:rFonts w:ascii="Times New Roman" w:eastAsia="Times New Roman" w:hAnsi="Times New Roman" w:cs="Times New Roman"/>
                <w:i/>
                <w:iCs/>
                <w:color w:val="000000"/>
                <w:lang w:eastAsia="en-IN"/>
              </w:rPr>
              <w:t>E. coli</w:t>
            </w:r>
            <w:r w:rsidRPr="0078164C">
              <w:rPr>
                <w:rFonts w:ascii="Times New Roman" w:eastAsia="Times New Roman" w:hAnsi="Times New Roman" w:cs="Times New Roman"/>
                <w:color w:val="000000"/>
                <w:lang w:eastAsia="en-IN"/>
              </w:rPr>
              <w:t xml:space="preserve"> (targets: </w:t>
            </w:r>
            <w:proofErr w:type="spellStart"/>
            <w:r w:rsidRPr="0078164C">
              <w:rPr>
                <w:rFonts w:ascii="Times New Roman" w:eastAsia="Times New Roman" w:hAnsi="Times New Roman" w:cs="Times New Roman"/>
                <w:i/>
                <w:iCs/>
                <w:color w:val="000000"/>
                <w:lang w:eastAsia="en-IN"/>
              </w:rPr>
              <w:t>thyA</w:t>
            </w:r>
            <w:proofErr w:type="spellEnd"/>
            <w:r w:rsidRPr="0078164C">
              <w:rPr>
                <w:rFonts w:ascii="Times New Roman" w:eastAsia="Times New Roman" w:hAnsi="Times New Roman" w:cs="Times New Roman"/>
                <w:color w:val="000000"/>
                <w:lang w:eastAsia="en-IN"/>
              </w:rPr>
              <w:t xml:space="preserve">, </w:t>
            </w:r>
            <w:r w:rsidRPr="0078164C">
              <w:rPr>
                <w:rFonts w:ascii="Times New Roman" w:eastAsia="Times New Roman" w:hAnsi="Times New Roman" w:cs="Times New Roman"/>
                <w:i/>
                <w:iCs/>
                <w:color w:val="000000"/>
                <w:lang w:eastAsia="en-IN"/>
              </w:rPr>
              <w:t>lacZ</w:t>
            </w:r>
            <w:r w:rsidRPr="0078164C">
              <w:rPr>
                <w:rFonts w:ascii="Times New Roman" w:eastAsia="Times New Roman" w:hAnsi="Times New Roman" w:cs="Times New Roman"/>
                <w:color w:val="000000"/>
                <w:lang w:eastAsia="en-IN"/>
              </w:rPr>
              <w:t>)</w:t>
            </w:r>
          </w:p>
        </w:tc>
        <w:tc>
          <w:tcPr>
            <w:tcW w:w="206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CRISPR-guided transposition (DART) with controlled infection dynamics</w:t>
            </w:r>
          </w:p>
        </w:tc>
        <w:tc>
          <w:tcPr>
            <w:tcW w:w="260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Precise genome insertion; large-scale edits; efficiency influenced by MOI, promoter strength</w:t>
            </w:r>
          </w:p>
        </w:tc>
        <w:tc>
          <w:tcPr>
            <w:tcW w:w="1840" w:type="dxa"/>
            <w:hideMark/>
          </w:tcPr>
          <w:p w:rsidR="0078164C" w:rsidRPr="0078164C" w:rsidRDefault="0078164C" w:rsidP="00731E8C">
            <w:pPr>
              <w:spacing w:line="360" w:lineRule="auto"/>
              <w:rPr>
                <w:rFonts w:ascii="Times New Roman" w:eastAsia="Times New Roman" w:hAnsi="Times New Roman" w:cs="Times New Roman"/>
                <w:color w:val="000000"/>
                <w:lang w:eastAsia="en-IN"/>
              </w:rPr>
            </w:pPr>
            <w:r w:rsidRPr="0078164C">
              <w:rPr>
                <w:rFonts w:ascii="Times New Roman" w:eastAsia="Times New Roman" w:hAnsi="Times New Roman" w:cs="Times New Roman"/>
                <w:color w:val="000000"/>
                <w:lang w:eastAsia="en-IN"/>
              </w:rPr>
              <w:t xml:space="preserve">Roberts </w:t>
            </w:r>
            <w:r w:rsidR="00B56F51" w:rsidRPr="00B56F51">
              <w:rPr>
                <w:rFonts w:ascii="Times New Roman" w:eastAsia="Times New Roman" w:hAnsi="Times New Roman" w:cs="Times New Roman"/>
                <w:i/>
                <w:color w:val="000000"/>
                <w:lang w:eastAsia="en-IN"/>
              </w:rPr>
              <w:t>et al</w:t>
            </w:r>
            <w:r w:rsidRPr="0078164C">
              <w:rPr>
                <w:rFonts w:ascii="Times New Roman" w:eastAsia="Times New Roman" w:hAnsi="Times New Roman" w:cs="Times New Roman"/>
                <w:color w:val="000000"/>
                <w:lang w:eastAsia="en-IN"/>
              </w:rPr>
              <w:t>., 2025</w:t>
            </w:r>
          </w:p>
        </w:tc>
      </w:tr>
      <w:tr w:rsidR="009C75B4" w:rsidRPr="0078164C" w:rsidTr="007420E9">
        <w:trPr>
          <w:trHeight w:val="1405"/>
          <w:jc w:val="center"/>
        </w:trPr>
        <w:tc>
          <w:tcPr>
            <w:tcW w:w="1900" w:type="dxa"/>
          </w:tcPr>
          <w:p w:rsidR="009C75B4" w:rsidRPr="00BF2618" w:rsidRDefault="009C75B4" w:rsidP="00731E8C">
            <w:pPr>
              <w:spacing w:line="360" w:lineRule="auto"/>
              <w:rPr>
                <w:rFonts w:ascii="Times New Roman" w:eastAsia="Times New Roman" w:hAnsi="Times New Roman" w:cs="Times New Roman"/>
                <w:color w:val="000000"/>
                <w:lang w:eastAsia="en-IN"/>
              </w:rPr>
            </w:pPr>
            <w:r w:rsidRPr="00BF2618">
              <w:rPr>
                <w:rFonts w:ascii="Times New Roman" w:hAnsi="Times New Roman" w:cs="Times New Roman"/>
              </w:rPr>
              <w:t>P1-derived phagemid system</w:t>
            </w:r>
          </w:p>
        </w:tc>
        <w:tc>
          <w:tcPr>
            <w:tcW w:w="1940" w:type="dxa"/>
          </w:tcPr>
          <w:p w:rsidR="009C75B4" w:rsidRPr="00BF2618" w:rsidRDefault="009C75B4" w:rsidP="00731E8C">
            <w:pPr>
              <w:spacing w:line="360" w:lineRule="auto"/>
              <w:rPr>
                <w:rFonts w:ascii="Times New Roman" w:eastAsia="Times New Roman" w:hAnsi="Times New Roman" w:cs="Times New Roman"/>
                <w:i/>
                <w:iCs/>
                <w:color w:val="000000"/>
                <w:lang w:eastAsia="en-IN"/>
              </w:rPr>
            </w:pPr>
            <w:r w:rsidRPr="00BF2618">
              <w:rPr>
                <w:rStyle w:val="Emphasis"/>
                <w:rFonts w:ascii="Times New Roman" w:hAnsi="Times New Roman" w:cs="Times New Roman"/>
              </w:rPr>
              <w:t>Escherichia coli</w:t>
            </w:r>
            <w:r w:rsidRPr="00BF2618">
              <w:rPr>
                <w:rFonts w:ascii="Times New Roman" w:hAnsi="Times New Roman" w:cs="Times New Roman"/>
              </w:rPr>
              <w:t xml:space="preserve">, </w:t>
            </w:r>
            <w:r w:rsidRPr="00BF2618">
              <w:rPr>
                <w:rStyle w:val="Emphasis"/>
                <w:rFonts w:ascii="Times New Roman" w:hAnsi="Times New Roman" w:cs="Times New Roman"/>
              </w:rPr>
              <w:t xml:space="preserve">Shigella </w:t>
            </w:r>
            <w:proofErr w:type="spellStart"/>
            <w:r w:rsidRPr="00BF2618">
              <w:rPr>
                <w:rStyle w:val="Emphasis"/>
                <w:rFonts w:ascii="Times New Roman" w:hAnsi="Times New Roman" w:cs="Times New Roman"/>
              </w:rPr>
              <w:t>flexneri</w:t>
            </w:r>
            <w:proofErr w:type="spellEnd"/>
          </w:p>
        </w:tc>
        <w:tc>
          <w:tcPr>
            <w:tcW w:w="2060" w:type="dxa"/>
          </w:tcPr>
          <w:p w:rsidR="009C75B4" w:rsidRPr="00BF2618" w:rsidRDefault="009C75B4" w:rsidP="00731E8C">
            <w:pPr>
              <w:spacing w:line="360" w:lineRule="auto"/>
              <w:rPr>
                <w:rFonts w:ascii="Times New Roman" w:eastAsia="Times New Roman" w:hAnsi="Times New Roman" w:cs="Times New Roman"/>
                <w:color w:val="000000"/>
                <w:lang w:eastAsia="en-IN"/>
              </w:rPr>
            </w:pPr>
            <w:r w:rsidRPr="00BF2618">
              <w:rPr>
                <w:rFonts w:ascii="Times New Roman" w:hAnsi="Times New Roman" w:cs="Times New Roman"/>
              </w:rPr>
              <w:t xml:space="preserve">CRISPR–Cas9 chromosomal targeting delivered via phagemid; enhanced packaging via modified </w:t>
            </w:r>
            <w:proofErr w:type="spellStart"/>
            <w:r w:rsidRPr="00BF2618">
              <w:rPr>
                <w:rStyle w:val="Emphasis"/>
                <w:rFonts w:ascii="Times New Roman" w:hAnsi="Times New Roman" w:cs="Times New Roman"/>
              </w:rPr>
              <w:t>pac</w:t>
            </w:r>
            <w:proofErr w:type="spellEnd"/>
            <w:r w:rsidRPr="00BF2618">
              <w:rPr>
                <w:rFonts w:ascii="Times New Roman" w:hAnsi="Times New Roman" w:cs="Times New Roman"/>
              </w:rPr>
              <w:t xml:space="preserve"> site</w:t>
            </w:r>
          </w:p>
        </w:tc>
        <w:tc>
          <w:tcPr>
            <w:tcW w:w="2600" w:type="dxa"/>
          </w:tcPr>
          <w:p w:rsidR="009C75B4" w:rsidRPr="00BF2618" w:rsidRDefault="009C75B4" w:rsidP="00731E8C">
            <w:pPr>
              <w:spacing w:line="360" w:lineRule="auto"/>
              <w:rPr>
                <w:rFonts w:ascii="Times New Roman" w:eastAsia="Times New Roman" w:hAnsi="Times New Roman" w:cs="Times New Roman"/>
                <w:color w:val="000000"/>
                <w:lang w:eastAsia="en-IN"/>
              </w:rPr>
            </w:pPr>
            <w:r w:rsidRPr="00BF2618">
              <w:rPr>
                <w:rFonts w:ascii="Times New Roman" w:hAnsi="Times New Roman" w:cs="Times New Roman"/>
              </w:rPr>
              <w:t>Sequence-specific bacterial killing; improved phagemid delivery efficiency; significant reduction of bacterial load and increased host survival in zebrafish model</w:t>
            </w:r>
          </w:p>
        </w:tc>
        <w:tc>
          <w:tcPr>
            <w:tcW w:w="1840" w:type="dxa"/>
          </w:tcPr>
          <w:p w:rsidR="009C75B4" w:rsidRPr="0078164C" w:rsidRDefault="009C75B4" w:rsidP="00731E8C">
            <w:pPr>
              <w:spacing w:line="360" w:lineRule="auto"/>
              <w:rPr>
                <w:rFonts w:ascii="Times New Roman" w:eastAsia="Times New Roman" w:hAnsi="Times New Roman" w:cs="Times New Roman"/>
                <w:color w:val="000000"/>
                <w:lang w:eastAsia="en-IN"/>
              </w:rPr>
            </w:pPr>
            <w:r>
              <w:rPr>
                <w:rFonts w:ascii="Times New Roman" w:eastAsia="Times New Roman" w:hAnsi="Times New Roman" w:cs="Times New Roman"/>
                <w:color w:val="000000"/>
                <w:lang w:eastAsia="en-IN"/>
              </w:rPr>
              <w:t xml:space="preserve">Huan </w:t>
            </w:r>
            <w:r w:rsidR="00B56F51" w:rsidRPr="00B56F51">
              <w:rPr>
                <w:rFonts w:ascii="Times New Roman" w:eastAsia="Times New Roman" w:hAnsi="Times New Roman" w:cs="Times New Roman"/>
                <w:i/>
                <w:color w:val="000000"/>
                <w:lang w:eastAsia="en-IN"/>
              </w:rPr>
              <w:t>et al</w:t>
            </w:r>
            <w:r>
              <w:rPr>
                <w:rFonts w:ascii="Times New Roman" w:eastAsia="Times New Roman" w:hAnsi="Times New Roman" w:cs="Times New Roman"/>
                <w:color w:val="000000"/>
                <w:lang w:eastAsia="en-IN"/>
              </w:rPr>
              <w:t>., 2023</w:t>
            </w:r>
          </w:p>
        </w:tc>
      </w:tr>
      <w:tr w:rsidR="0083068B" w:rsidRPr="0078164C" w:rsidTr="007420E9">
        <w:trPr>
          <w:trHeight w:val="1405"/>
          <w:jc w:val="center"/>
        </w:trPr>
        <w:tc>
          <w:tcPr>
            <w:tcW w:w="1900" w:type="dxa"/>
          </w:tcPr>
          <w:p w:rsidR="0083068B" w:rsidRPr="00E06748" w:rsidRDefault="0083068B" w:rsidP="00731E8C">
            <w:pPr>
              <w:spacing w:line="360" w:lineRule="auto"/>
              <w:rPr>
                <w:rFonts w:ascii="Times New Roman" w:hAnsi="Times New Roman" w:cs="Times New Roman"/>
              </w:rPr>
            </w:pPr>
            <w:r w:rsidRPr="00E06748">
              <w:rPr>
                <w:rFonts w:ascii="Times New Roman" w:hAnsi="Times New Roman" w:cs="Times New Roman"/>
              </w:rPr>
              <w:t>AB-Capsid (non-replicative phage capsid)</w:t>
            </w:r>
          </w:p>
        </w:tc>
        <w:tc>
          <w:tcPr>
            <w:tcW w:w="1940" w:type="dxa"/>
          </w:tcPr>
          <w:p w:rsidR="0083068B" w:rsidRPr="00E06748" w:rsidRDefault="0083068B" w:rsidP="00731E8C">
            <w:pPr>
              <w:spacing w:line="360" w:lineRule="auto"/>
              <w:rPr>
                <w:rStyle w:val="Emphasis"/>
                <w:rFonts w:ascii="Times New Roman" w:hAnsi="Times New Roman" w:cs="Times New Roman"/>
              </w:rPr>
            </w:pPr>
            <w:r w:rsidRPr="00E06748">
              <w:rPr>
                <w:rStyle w:val="Emphasis"/>
                <w:rFonts w:ascii="Times New Roman" w:hAnsi="Times New Roman" w:cs="Times New Roman"/>
              </w:rPr>
              <w:t>Pseudomonas aeruginosa</w:t>
            </w:r>
            <w:r w:rsidRPr="00E06748">
              <w:rPr>
                <w:rFonts w:ascii="Times New Roman" w:hAnsi="Times New Roman" w:cs="Times New Roman"/>
              </w:rPr>
              <w:t xml:space="preserve"> (</w:t>
            </w:r>
            <w:r w:rsidRPr="00E06748">
              <w:rPr>
                <w:rStyle w:val="Emphasis"/>
                <w:rFonts w:ascii="Times New Roman" w:hAnsi="Times New Roman" w:cs="Times New Roman"/>
              </w:rPr>
              <w:t>blaIMP-1</w:t>
            </w:r>
            <w:r w:rsidRPr="00E06748">
              <w:rPr>
                <w:rFonts w:ascii="Times New Roman" w:hAnsi="Times New Roman" w:cs="Times New Roman"/>
              </w:rPr>
              <w:t>)</w:t>
            </w:r>
          </w:p>
        </w:tc>
        <w:tc>
          <w:tcPr>
            <w:tcW w:w="2060" w:type="dxa"/>
          </w:tcPr>
          <w:p w:rsidR="0083068B" w:rsidRPr="00E06748" w:rsidRDefault="0083068B" w:rsidP="00731E8C">
            <w:pPr>
              <w:spacing w:line="360" w:lineRule="auto"/>
              <w:rPr>
                <w:rFonts w:ascii="Times New Roman" w:hAnsi="Times New Roman" w:cs="Times New Roman"/>
              </w:rPr>
            </w:pPr>
            <w:r w:rsidRPr="00E06748">
              <w:rPr>
                <w:rFonts w:ascii="Times New Roman" w:hAnsi="Times New Roman" w:cs="Times New Roman"/>
              </w:rPr>
              <w:t>CRISPR-Cas13a (RNA-targeting) delivered via phage capsid</w:t>
            </w:r>
          </w:p>
        </w:tc>
        <w:tc>
          <w:tcPr>
            <w:tcW w:w="2600" w:type="dxa"/>
          </w:tcPr>
          <w:p w:rsidR="0083068B" w:rsidRPr="00E06748" w:rsidRDefault="0083068B" w:rsidP="00731E8C">
            <w:pPr>
              <w:spacing w:line="360" w:lineRule="auto"/>
              <w:rPr>
                <w:rFonts w:ascii="Times New Roman" w:hAnsi="Times New Roman" w:cs="Times New Roman"/>
              </w:rPr>
            </w:pPr>
            <w:r w:rsidRPr="00E06748">
              <w:rPr>
                <w:rFonts w:ascii="Times New Roman" w:hAnsi="Times New Roman" w:cs="Times New Roman"/>
              </w:rPr>
              <w:t>Gene-specific growth inhibition; reduced imipenem MIC; restored antibiotic susceptibility; high targeting specificity</w:t>
            </w:r>
          </w:p>
        </w:tc>
        <w:tc>
          <w:tcPr>
            <w:tcW w:w="1840" w:type="dxa"/>
          </w:tcPr>
          <w:p w:rsidR="0083068B" w:rsidRPr="00E06748" w:rsidRDefault="0083068B" w:rsidP="00731E8C">
            <w:pPr>
              <w:spacing w:line="360" w:lineRule="auto"/>
              <w:rPr>
                <w:rFonts w:ascii="Times New Roman" w:eastAsia="Times New Roman" w:hAnsi="Times New Roman" w:cs="Times New Roman"/>
                <w:color w:val="000000"/>
                <w:lang w:eastAsia="en-IN"/>
              </w:rPr>
            </w:pPr>
            <w:r w:rsidRPr="00E06748">
              <w:rPr>
                <w:rFonts w:ascii="Times New Roman" w:hAnsi="Times New Roman" w:cs="Times New Roman"/>
              </w:rPr>
              <w:t xml:space="preserve">Kawaguchi </w:t>
            </w:r>
            <w:r w:rsidR="00B56F51" w:rsidRPr="00B56F51">
              <w:rPr>
                <w:rFonts w:ascii="Times New Roman" w:hAnsi="Times New Roman" w:cs="Times New Roman"/>
                <w:i/>
              </w:rPr>
              <w:t>et al</w:t>
            </w:r>
            <w:r w:rsidRPr="00E06748">
              <w:rPr>
                <w:rFonts w:ascii="Times New Roman" w:hAnsi="Times New Roman" w:cs="Times New Roman"/>
              </w:rPr>
              <w:t>., 2025</w:t>
            </w:r>
          </w:p>
        </w:tc>
      </w:tr>
    </w:tbl>
    <w:p w:rsidR="00165A31" w:rsidRPr="00165A31" w:rsidRDefault="007D6BD9" w:rsidP="00731E8C">
      <w:pPr>
        <w:spacing w:before="100" w:beforeAutospacing="1" w:after="100" w:afterAutospacing="1" w:line="36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5</w:t>
      </w:r>
      <w:r w:rsidR="006C0EA9">
        <w:rPr>
          <w:rFonts w:ascii="Times New Roman" w:eastAsia="Times New Roman" w:hAnsi="Times New Roman" w:cs="Times New Roman"/>
          <w:b/>
          <w:sz w:val="24"/>
          <w:szCs w:val="24"/>
          <w:lang w:eastAsia="en-IN"/>
        </w:rPr>
        <w:t xml:space="preserve">.3. </w:t>
      </w:r>
      <w:r w:rsidR="00165A31" w:rsidRPr="00165A31">
        <w:rPr>
          <w:rFonts w:ascii="Times New Roman" w:eastAsia="Times New Roman" w:hAnsi="Times New Roman" w:cs="Times New Roman"/>
          <w:b/>
          <w:sz w:val="24"/>
          <w:szCs w:val="24"/>
          <w:lang w:eastAsia="en-IN"/>
        </w:rPr>
        <w:t>Nanoparticle based delivery of CRISPR-Cas systems:</w:t>
      </w:r>
    </w:p>
    <w:p w:rsidR="008D35A5" w:rsidRPr="008D35A5" w:rsidRDefault="008D35A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D35A5">
        <w:rPr>
          <w:rFonts w:ascii="Times New Roman" w:eastAsia="Times New Roman" w:hAnsi="Times New Roman" w:cs="Times New Roman"/>
          <w:sz w:val="24"/>
          <w:szCs w:val="24"/>
          <w:lang w:eastAsia="en-IN"/>
        </w:rPr>
        <w:t xml:space="preserve">Nanoparticle-based delivery systems have emerged as a promising non-viral approach for CRISPR–Cas-mediated antimicrobial therapy, particularly against multidrug-resistant pathogens such as </w:t>
      </w:r>
      <w:r w:rsidRPr="008D35A5">
        <w:rPr>
          <w:rFonts w:ascii="Times New Roman" w:eastAsia="Times New Roman" w:hAnsi="Times New Roman" w:cs="Times New Roman"/>
          <w:i/>
          <w:iCs/>
          <w:sz w:val="24"/>
          <w:szCs w:val="24"/>
          <w:lang w:eastAsia="en-IN"/>
        </w:rPr>
        <w:t>Staphylococcus aureus</w:t>
      </w:r>
      <w:r w:rsidRPr="008D35A5">
        <w:rPr>
          <w:rFonts w:ascii="Times New Roman" w:eastAsia="Times New Roman" w:hAnsi="Times New Roman" w:cs="Times New Roman"/>
          <w:sz w:val="24"/>
          <w:szCs w:val="24"/>
          <w:lang w:eastAsia="en-IN"/>
        </w:rPr>
        <w:t xml:space="preserve">. Polymeric nanoparticles and ribonucleoprotein (RNP) complexes have been explored to enable efficient intracellular delivery of CRISPR components targeting resistance genes. For instance, CRISPR systems delivered via polymeric nanoparticles targeting the </w:t>
      </w:r>
      <w:proofErr w:type="spellStart"/>
      <w:r w:rsidRPr="008D35A5">
        <w:rPr>
          <w:rFonts w:ascii="Times New Roman" w:eastAsia="Times New Roman" w:hAnsi="Times New Roman" w:cs="Times New Roman"/>
          <w:i/>
          <w:iCs/>
          <w:sz w:val="24"/>
          <w:szCs w:val="24"/>
          <w:lang w:eastAsia="en-IN"/>
        </w:rPr>
        <w:t>mecA</w:t>
      </w:r>
      <w:proofErr w:type="spellEnd"/>
      <w:r w:rsidRPr="008D35A5">
        <w:rPr>
          <w:rFonts w:ascii="Times New Roman" w:eastAsia="Times New Roman" w:hAnsi="Times New Roman" w:cs="Times New Roman"/>
          <w:sz w:val="24"/>
          <w:szCs w:val="24"/>
          <w:lang w:eastAsia="en-IN"/>
        </w:rPr>
        <w:t xml:space="preserve"> gene in methicillin-resistant </w:t>
      </w:r>
      <w:r w:rsidRPr="008D35A5">
        <w:rPr>
          <w:rFonts w:ascii="Times New Roman" w:eastAsia="Times New Roman" w:hAnsi="Times New Roman" w:cs="Times New Roman"/>
          <w:i/>
          <w:iCs/>
          <w:sz w:val="24"/>
          <w:szCs w:val="24"/>
          <w:lang w:eastAsia="en-IN"/>
        </w:rPr>
        <w:t>S. aureus</w:t>
      </w:r>
      <w:r w:rsidRPr="008D35A5">
        <w:rPr>
          <w:rFonts w:ascii="Times New Roman" w:eastAsia="Times New Roman" w:hAnsi="Times New Roman" w:cs="Times New Roman"/>
          <w:sz w:val="24"/>
          <w:szCs w:val="24"/>
          <w:lang w:eastAsia="en-IN"/>
        </w:rPr>
        <w:t xml:space="preserve"> (MRSA) demonstrated effective disruption of the resistance determinant, leading to suppression of methicillin resistance and restoration of antibiotic susceptibility (Zhang</w:t>
      </w:r>
      <w:r>
        <w:rPr>
          <w:rFonts w:ascii="Times New Roman" w:eastAsia="Times New Roman" w:hAnsi="Times New Roman" w:cs="Times New Roman"/>
          <w:sz w:val="24"/>
          <w:szCs w:val="24"/>
          <w:lang w:eastAsia="en-IN"/>
        </w:rPr>
        <w:t xml:space="preserve"> </w:t>
      </w:r>
      <w:r w:rsidR="00B56F51" w:rsidRPr="00B56F51">
        <w:rPr>
          <w:rFonts w:ascii="Times New Roman" w:eastAsia="Times New Roman" w:hAnsi="Times New Roman" w:cs="Times New Roman"/>
          <w:i/>
          <w:sz w:val="24"/>
          <w:szCs w:val="24"/>
          <w:lang w:eastAsia="en-IN"/>
        </w:rPr>
        <w:t>et al</w:t>
      </w:r>
      <w:r>
        <w:rPr>
          <w:rFonts w:ascii="Times New Roman" w:eastAsia="Times New Roman" w:hAnsi="Times New Roman" w:cs="Times New Roman"/>
          <w:sz w:val="24"/>
          <w:szCs w:val="24"/>
          <w:lang w:eastAsia="en-IN"/>
        </w:rPr>
        <w:t>.</w:t>
      </w:r>
      <w:r w:rsidRPr="008D35A5">
        <w:rPr>
          <w:rFonts w:ascii="Times New Roman" w:eastAsia="Times New Roman" w:hAnsi="Times New Roman" w:cs="Times New Roman"/>
          <w:sz w:val="24"/>
          <w:szCs w:val="24"/>
          <w:lang w:eastAsia="en-IN"/>
        </w:rPr>
        <w:t>, 2019).</w:t>
      </w:r>
    </w:p>
    <w:p w:rsidR="008D35A5" w:rsidRDefault="008D35A5" w:rsidP="00731E8C">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D35A5">
        <w:rPr>
          <w:rFonts w:ascii="Times New Roman" w:eastAsia="Times New Roman" w:hAnsi="Times New Roman" w:cs="Times New Roman"/>
          <w:sz w:val="24"/>
          <w:szCs w:val="24"/>
          <w:lang w:eastAsia="en-IN"/>
        </w:rPr>
        <w:lastRenderedPageBreak/>
        <w:t xml:space="preserve">In a related study, a novel CRISPR nanocomplex (Cr-nanocomplex) was developed by covalently modifying the Cas9 protein with cationic polymers, enabling stable complexation with guide RNA. This nanosized complex retained full endonuclease activity and facilitated efficient delivery into MRSA cells, achieving significantly higher genome editing efficiency compared to native Cas9 systems or conventional lipid-based delivery methods. Targeting the </w:t>
      </w:r>
      <w:proofErr w:type="spellStart"/>
      <w:r w:rsidRPr="008D35A5">
        <w:rPr>
          <w:rFonts w:ascii="Times New Roman" w:eastAsia="Times New Roman" w:hAnsi="Times New Roman" w:cs="Times New Roman"/>
          <w:i/>
          <w:iCs/>
          <w:sz w:val="24"/>
          <w:szCs w:val="24"/>
          <w:lang w:eastAsia="en-IN"/>
        </w:rPr>
        <w:t>mecA</w:t>
      </w:r>
      <w:proofErr w:type="spellEnd"/>
      <w:r w:rsidRPr="008D35A5">
        <w:rPr>
          <w:rFonts w:ascii="Times New Roman" w:eastAsia="Times New Roman" w:hAnsi="Times New Roman" w:cs="Times New Roman"/>
          <w:sz w:val="24"/>
          <w:szCs w:val="24"/>
          <w:lang w:eastAsia="en-IN"/>
        </w:rPr>
        <w:t xml:space="preserve"> gene, the system successfully induced double-stranded DNA breaks, thereby reversing resistance phenotypes (Kang</w:t>
      </w:r>
      <w:r>
        <w:rPr>
          <w:rFonts w:ascii="Times New Roman" w:eastAsia="Times New Roman" w:hAnsi="Times New Roman" w:cs="Times New Roman"/>
          <w:sz w:val="24"/>
          <w:szCs w:val="24"/>
          <w:lang w:eastAsia="en-IN"/>
        </w:rPr>
        <w:t xml:space="preserve"> </w:t>
      </w:r>
      <w:r w:rsidR="00B56F51" w:rsidRPr="00B56F51">
        <w:rPr>
          <w:rFonts w:ascii="Times New Roman" w:eastAsia="Times New Roman" w:hAnsi="Times New Roman" w:cs="Times New Roman"/>
          <w:i/>
          <w:sz w:val="24"/>
          <w:szCs w:val="24"/>
          <w:lang w:eastAsia="en-IN"/>
        </w:rPr>
        <w:t>et al</w:t>
      </w:r>
      <w:r>
        <w:rPr>
          <w:rFonts w:ascii="Times New Roman" w:eastAsia="Times New Roman" w:hAnsi="Times New Roman" w:cs="Times New Roman"/>
          <w:sz w:val="24"/>
          <w:szCs w:val="24"/>
          <w:lang w:eastAsia="en-IN"/>
        </w:rPr>
        <w:t>.</w:t>
      </w:r>
      <w:r w:rsidRPr="008D35A5">
        <w:rPr>
          <w:rFonts w:ascii="Times New Roman" w:eastAsia="Times New Roman" w:hAnsi="Times New Roman" w:cs="Times New Roman"/>
          <w:sz w:val="24"/>
          <w:szCs w:val="24"/>
          <w:lang w:eastAsia="en-IN"/>
        </w:rPr>
        <w:t>, 2017).</w:t>
      </w:r>
    </w:p>
    <w:p w:rsidR="00E7394B" w:rsidRDefault="00865253" w:rsidP="00731E8C">
      <w:pPr>
        <w:spacing w:line="360" w:lineRule="auto"/>
        <w:jc w:val="both"/>
        <w:rPr>
          <w:rFonts w:ascii="Times New Roman" w:hAnsi="Times New Roman" w:cs="Times New Roman"/>
          <w:sz w:val="24"/>
        </w:rPr>
      </w:pPr>
      <w:r w:rsidRPr="00810DB7">
        <w:rPr>
          <w:rFonts w:ascii="Times New Roman" w:hAnsi="Times New Roman" w:cs="Times New Roman"/>
          <w:sz w:val="24"/>
        </w:rPr>
        <w:t xml:space="preserve">Similarly, carbon quantum dot (CQD)-based CRISPR delivery systems have been explored as innovative nanocarriers for targeted antimicrobial applications. In one study, CQDs were covalently conjugated with Cas9 and guide RNA to form “CRISPR-dots” (Cri-dots) targeting the </w:t>
      </w:r>
      <w:proofErr w:type="spellStart"/>
      <w:r w:rsidRPr="00810DB7">
        <w:rPr>
          <w:rStyle w:val="Emphasis"/>
          <w:rFonts w:ascii="Times New Roman" w:hAnsi="Times New Roman" w:cs="Times New Roman"/>
          <w:sz w:val="24"/>
        </w:rPr>
        <w:t>papG</w:t>
      </w:r>
      <w:proofErr w:type="spellEnd"/>
      <w:r w:rsidRPr="00810DB7">
        <w:rPr>
          <w:rFonts w:ascii="Times New Roman" w:hAnsi="Times New Roman" w:cs="Times New Roman"/>
          <w:sz w:val="24"/>
        </w:rPr>
        <w:t xml:space="preserve"> gene in </w:t>
      </w:r>
      <w:proofErr w:type="spellStart"/>
      <w:r w:rsidRPr="00810DB7">
        <w:rPr>
          <w:rFonts w:ascii="Times New Roman" w:hAnsi="Times New Roman" w:cs="Times New Roman"/>
          <w:sz w:val="24"/>
        </w:rPr>
        <w:t>uropathogenic</w:t>
      </w:r>
      <w:proofErr w:type="spellEnd"/>
      <w:r w:rsidRPr="00810DB7">
        <w:rPr>
          <w:rFonts w:ascii="Times New Roman" w:hAnsi="Times New Roman" w:cs="Times New Roman"/>
          <w:sz w:val="24"/>
        </w:rPr>
        <w:t xml:space="preserve"> </w:t>
      </w:r>
      <w:r w:rsidRPr="00810DB7">
        <w:rPr>
          <w:rStyle w:val="Emphasis"/>
          <w:rFonts w:ascii="Times New Roman" w:hAnsi="Times New Roman" w:cs="Times New Roman"/>
          <w:sz w:val="24"/>
        </w:rPr>
        <w:t>Escherichia coli</w:t>
      </w:r>
      <w:r w:rsidRPr="00810DB7">
        <w:rPr>
          <w:rFonts w:ascii="Times New Roman" w:hAnsi="Times New Roman" w:cs="Times New Roman"/>
          <w:sz w:val="24"/>
        </w:rPr>
        <w:t xml:space="preserve"> (UPEC). This nanocomplex enabled efficient gene editing, resulting in reduced expression of the adhesion-associated </w:t>
      </w:r>
      <w:proofErr w:type="spellStart"/>
      <w:r w:rsidRPr="00810DB7">
        <w:rPr>
          <w:rStyle w:val="Emphasis"/>
          <w:rFonts w:ascii="Times New Roman" w:hAnsi="Times New Roman" w:cs="Times New Roman"/>
          <w:sz w:val="24"/>
        </w:rPr>
        <w:t>papG</w:t>
      </w:r>
      <w:proofErr w:type="spellEnd"/>
      <w:r w:rsidRPr="00810DB7">
        <w:rPr>
          <w:rFonts w:ascii="Times New Roman" w:hAnsi="Times New Roman" w:cs="Times New Roman"/>
          <w:sz w:val="24"/>
        </w:rPr>
        <w:t xml:space="preserve"> gene, which in turn significantly decreased bacterial adherence and biofilm formation. Furthermore, the edited strains exhibited attenuated virulence, as evidenced by improved survival in </w:t>
      </w:r>
      <w:r w:rsidRPr="00810DB7">
        <w:rPr>
          <w:rStyle w:val="Emphasis"/>
          <w:rFonts w:ascii="Times New Roman" w:hAnsi="Times New Roman" w:cs="Times New Roman"/>
          <w:sz w:val="24"/>
        </w:rPr>
        <w:t>Caenorhabditis elegans</w:t>
      </w:r>
      <w:r w:rsidRPr="00810DB7">
        <w:rPr>
          <w:rFonts w:ascii="Times New Roman" w:hAnsi="Times New Roman" w:cs="Times New Roman"/>
          <w:sz w:val="24"/>
        </w:rPr>
        <w:t xml:space="preserve"> infection models. These findings highlight the potential of CQD-based CRISPR nanocomplexes as a targeted and effective strategy for reducing pathogenicity in multidrug-resistant bacteria (Gupta </w:t>
      </w:r>
      <w:r w:rsidR="00B56F51" w:rsidRPr="00B56F51">
        <w:rPr>
          <w:rFonts w:ascii="Times New Roman" w:hAnsi="Times New Roman" w:cs="Times New Roman"/>
          <w:i/>
          <w:sz w:val="24"/>
        </w:rPr>
        <w:t>et al</w:t>
      </w:r>
      <w:r w:rsidRPr="00810DB7">
        <w:rPr>
          <w:rFonts w:ascii="Times New Roman" w:hAnsi="Times New Roman" w:cs="Times New Roman"/>
          <w:sz w:val="24"/>
        </w:rPr>
        <w:t>., 2022).</w:t>
      </w:r>
    </w:p>
    <w:p w:rsidR="00E36961" w:rsidRDefault="00E36961" w:rsidP="00731E8C">
      <w:pPr>
        <w:tabs>
          <w:tab w:val="left" w:pos="2268"/>
        </w:tabs>
        <w:spacing w:line="360" w:lineRule="auto"/>
        <w:jc w:val="both"/>
        <w:rPr>
          <w:rFonts w:ascii="Times New Roman" w:hAnsi="Times New Roman" w:cs="Times New Roman"/>
          <w:sz w:val="28"/>
          <w:szCs w:val="24"/>
        </w:rPr>
      </w:pPr>
    </w:p>
    <w:p w:rsidR="00E36961" w:rsidRDefault="00E36961" w:rsidP="00F05416">
      <w:pPr>
        <w:tabs>
          <w:tab w:val="left" w:pos="2268"/>
        </w:tabs>
        <w:spacing w:line="360" w:lineRule="auto"/>
        <w:jc w:val="center"/>
        <w:rPr>
          <w:rFonts w:ascii="Times New Roman" w:hAnsi="Times New Roman" w:cs="Times New Roman"/>
          <w:sz w:val="28"/>
          <w:szCs w:val="24"/>
        </w:rPr>
      </w:pPr>
      <w:r w:rsidRPr="00E36961">
        <w:rPr>
          <w:noProof/>
          <w:lang w:eastAsia="en-IN"/>
        </w:rPr>
        <w:lastRenderedPageBreak/>
        <w:drawing>
          <wp:inline distT="0" distB="0" distL="0" distR="0">
            <wp:extent cx="5572037" cy="5389280"/>
            <wp:effectExtent l="0" t="4128"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5617186" cy="5432949"/>
                    </a:xfrm>
                    <a:prstGeom prst="rect">
                      <a:avLst/>
                    </a:prstGeom>
                    <a:noFill/>
                    <a:ln>
                      <a:noFill/>
                    </a:ln>
                  </pic:spPr>
                </pic:pic>
              </a:graphicData>
            </a:graphic>
          </wp:inline>
        </w:drawing>
      </w:r>
    </w:p>
    <w:p w:rsidR="00F05416" w:rsidRPr="00F05416" w:rsidRDefault="00F05416" w:rsidP="00F05416">
      <w:pPr>
        <w:tabs>
          <w:tab w:val="left" w:pos="2268"/>
        </w:tabs>
        <w:spacing w:line="360" w:lineRule="auto"/>
        <w:jc w:val="center"/>
        <w:rPr>
          <w:rFonts w:ascii="Times New Roman" w:hAnsi="Times New Roman" w:cs="Times New Roman"/>
          <w:b/>
          <w:sz w:val="24"/>
          <w:szCs w:val="24"/>
        </w:rPr>
      </w:pPr>
      <w:r w:rsidRPr="00F05416">
        <w:rPr>
          <w:rFonts w:ascii="Times New Roman" w:hAnsi="Times New Roman" w:cs="Times New Roman"/>
          <w:b/>
          <w:sz w:val="24"/>
          <w:szCs w:val="24"/>
        </w:rPr>
        <w:t>Table 3. Nanoparticle based delivery of CRISPR Cas systems</w:t>
      </w:r>
    </w:p>
    <w:p w:rsidR="00020ADF" w:rsidRPr="00663049" w:rsidRDefault="007D6BD9" w:rsidP="00731E8C">
      <w:pPr>
        <w:tabs>
          <w:tab w:val="left" w:pos="2268"/>
        </w:tabs>
        <w:spacing w:line="360" w:lineRule="auto"/>
        <w:jc w:val="both"/>
        <w:rPr>
          <w:rFonts w:ascii="Times New Roman" w:hAnsi="Times New Roman" w:cs="Times New Roman"/>
          <w:b/>
          <w:sz w:val="24"/>
        </w:rPr>
      </w:pPr>
      <w:r>
        <w:rPr>
          <w:rFonts w:ascii="Times New Roman" w:hAnsi="Times New Roman" w:cs="Times New Roman"/>
          <w:b/>
          <w:sz w:val="24"/>
        </w:rPr>
        <w:t>5</w:t>
      </w:r>
      <w:r w:rsidR="006C0EA9">
        <w:rPr>
          <w:rFonts w:ascii="Times New Roman" w:hAnsi="Times New Roman" w:cs="Times New Roman"/>
          <w:b/>
          <w:sz w:val="24"/>
        </w:rPr>
        <w:t xml:space="preserve">.4. </w:t>
      </w:r>
      <w:r w:rsidR="00020ADF" w:rsidRPr="00663049">
        <w:rPr>
          <w:rFonts w:ascii="Times New Roman" w:hAnsi="Times New Roman" w:cs="Times New Roman"/>
          <w:b/>
          <w:sz w:val="24"/>
        </w:rPr>
        <w:t xml:space="preserve">Extracellular </w:t>
      </w:r>
      <w:proofErr w:type="gramStart"/>
      <w:r w:rsidR="00020ADF" w:rsidRPr="00663049">
        <w:rPr>
          <w:rFonts w:ascii="Times New Roman" w:hAnsi="Times New Roman" w:cs="Times New Roman"/>
          <w:b/>
          <w:sz w:val="24"/>
        </w:rPr>
        <w:t>vesicle based</w:t>
      </w:r>
      <w:proofErr w:type="gramEnd"/>
      <w:r w:rsidR="00020ADF" w:rsidRPr="00663049">
        <w:rPr>
          <w:rFonts w:ascii="Times New Roman" w:hAnsi="Times New Roman" w:cs="Times New Roman"/>
          <w:b/>
          <w:sz w:val="24"/>
        </w:rPr>
        <w:t xml:space="preserve"> d</w:t>
      </w:r>
      <w:r w:rsidR="007123AA">
        <w:rPr>
          <w:rFonts w:ascii="Times New Roman" w:hAnsi="Times New Roman" w:cs="Times New Roman"/>
          <w:b/>
          <w:sz w:val="24"/>
        </w:rPr>
        <w:t>e</w:t>
      </w:r>
      <w:r w:rsidR="00020ADF" w:rsidRPr="00663049">
        <w:rPr>
          <w:rFonts w:ascii="Times New Roman" w:hAnsi="Times New Roman" w:cs="Times New Roman"/>
          <w:b/>
          <w:sz w:val="24"/>
        </w:rPr>
        <w:t xml:space="preserve">livery of CRISPR- Cas: </w:t>
      </w:r>
    </w:p>
    <w:p w:rsidR="00663049" w:rsidRPr="00663049" w:rsidRDefault="00663049" w:rsidP="00731E8C">
      <w:pPr>
        <w:tabs>
          <w:tab w:val="left" w:pos="2268"/>
        </w:tabs>
        <w:spacing w:line="360" w:lineRule="auto"/>
        <w:jc w:val="both"/>
        <w:rPr>
          <w:rFonts w:ascii="Times New Roman" w:hAnsi="Times New Roman" w:cs="Times New Roman"/>
          <w:sz w:val="24"/>
        </w:rPr>
      </w:pPr>
      <w:r w:rsidRPr="00663049">
        <w:rPr>
          <w:rFonts w:ascii="Times New Roman" w:hAnsi="Times New Roman" w:cs="Times New Roman"/>
          <w:sz w:val="24"/>
        </w:rPr>
        <w:t>Small extracellular vesicles (</w:t>
      </w:r>
      <w:proofErr w:type="spellStart"/>
      <w:r w:rsidRPr="00663049">
        <w:rPr>
          <w:rFonts w:ascii="Times New Roman" w:hAnsi="Times New Roman" w:cs="Times New Roman"/>
          <w:sz w:val="24"/>
        </w:rPr>
        <w:t>sEVs</w:t>
      </w:r>
      <w:proofErr w:type="spellEnd"/>
      <w:r w:rsidRPr="00663049">
        <w:rPr>
          <w:rFonts w:ascii="Times New Roman" w:hAnsi="Times New Roman" w:cs="Times New Roman"/>
          <w:sz w:val="24"/>
        </w:rPr>
        <w:t>) are nanosized (70–200 nm) membrane-bound particles secreted by most cell types and naturally present in biological fluids. They function as key mediators of intercellular communication by transporting a wide range of biomolecules, including mRNAs, microRNAs, DNA, proteins, and lipids, to recipient cells</w:t>
      </w:r>
      <w:r w:rsidR="0020770C">
        <w:rPr>
          <w:rFonts w:ascii="Times New Roman" w:hAnsi="Times New Roman" w:cs="Times New Roman"/>
          <w:sz w:val="24"/>
        </w:rPr>
        <w:t xml:space="preserve"> (</w:t>
      </w:r>
      <w:proofErr w:type="spellStart"/>
      <w:r w:rsidR="0020770C">
        <w:rPr>
          <w:rFonts w:ascii="Times New Roman" w:hAnsi="Times New Roman" w:cs="Times New Roman"/>
          <w:sz w:val="24"/>
        </w:rPr>
        <w:t>Moman</w:t>
      </w:r>
      <w:proofErr w:type="spellEnd"/>
      <w:r w:rsidR="0020770C">
        <w:rPr>
          <w:rFonts w:ascii="Times New Roman" w:hAnsi="Times New Roman" w:cs="Times New Roman"/>
          <w:sz w:val="24"/>
        </w:rPr>
        <w:t xml:space="preserve">- </w:t>
      </w:r>
      <w:proofErr w:type="spellStart"/>
      <w:r w:rsidR="0020770C">
        <w:rPr>
          <w:rFonts w:ascii="Times New Roman" w:hAnsi="Times New Roman" w:cs="Times New Roman"/>
          <w:sz w:val="24"/>
        </w:rPr>
        <w:t>Heravi</w:t>
      </w:r>
      <w:proofErr w:type="spellEnd"/>
      <w:r w:rsidR="0020770C">
        <w:rPr>
          <w:rFonts w:ascii="Times New Roman" w:hAnsi="Times New Roman" w:cs="Times New Roman"/>
          <w:sz w:val="24"/>
        </w:rPr>
        <w:t xml:space="preserve"> </w:t>
      </w:r>
      <w:r w:rsidR="00B56F51" w:rsidRPr="00B56F51">
        <w:rPr>
          <w:rFonts w:ascii="Times New Roman" w:hAnsi="Times New Roman" w:cs="Times New Roman"/>
          <w:i/>
          <w:sz w:val="24"/>
        </w:rPr>
        <w:t>et al</w:t>
      </w:r>
      <w:r w:rsidR="0020770C">
        <w:rPr>
          <w:rFonts w:ascii="Times New Roman" w:hAnsi="Times New Roman" w:cs="Times New Roman"/>
          <w:sz w:val="24"/>
        </w:rPr>
        <w:t>., 2018)</w:t>
      </w:r>
      <w:r w:rsidRPr="00663049">
        <w:rPr>
          <w:rFonts w:ascii="Times New Roman" w:hAnsi="Times New Roman" w:cs="Times New Roman"/>
          <w:sz w:val="24"/>
        </w:rPr>
        <w:t xml:space="preserve">. Owing to their intrinsic biological properties, </w:t>
      </w:r>
      <w:proofErr w:type="spellStart"/>
      <w:r w:rsidRPr="00663049">
        <w:rPr>
          <w:rFonts w:ascii="Times New Roman" w:hAnsi="Times New Roman" w:cs="Times New Roman"/>
          <w:sz w:val="24"/>
        </w:rPr>
        <w:t>sEVs</w:t>
      </w:r>
      <w:proofErr w:type="spellEnd"/>
      <w:r w:rsidRPr="00663049">
        <w:rPr>
          <w:rFonts w:ascii="Times New Roman" w:hAnsi="Times New Roman" w:cs="Times New Roman"/>
          <w:sz w:val="24"/>
        </w:rPr>
        <w:t xml:space="preserve"> have emerged as promising drug delivery vehicles. Their small size and membrane similarity facilitate efficient cellular uptake, while their biocompatibility, low immunogenicity, and minimal toxicity make them suitable for repeated in vivo applications. Additionally, the lipid bilayer structure protects their cargo from enzymatic degradation, and their stability, along with prolonged circulation time, </w:t>
      </w:r>
      <w:r w:rsidRPr="00663049">
        <w:rPr>
          <w:rFonts w:ascii="Times New Roman" w:hAnsi="Times New Roman" w:cs="Times New Roman"/>
          <w:sz w:val="24"/>
        </w:rPr>
        <w:lastRenderedPageBreak/>
        <w:t xml:space="preserve">enhances delivery efficiency. These advantages have led to increasing interest in exploiting </w:t>
      </w:r>
      <w:proofErr w:type="spellStart"/>
      <w:r w:rsidRPr="00663049">
        <w:rPr>
          <w:rFonts w:ascii="Times New Roman" w:hAnsi="Times New Roman" w:cs="Times New Roman"/>
          <w:sz w:val="24"/>
        </w:rPr>
        <w:t>sEVs</w:t>
      </w:r>
      <w:proofErr w:type="spellEnd"/>
      <w:r w:rsidRPr="00663049">
        <w:rPr>
          <w:rFonts w:ascii="Times New Roman" w:hAnsi="Times New Roman" w:cs="Times New Roman"/>
          <w:sz w:val="24"/>
        </w:rPr>
        <w:t xml:space="preserve"> for delivering nucleic acid-based therapeutics, including RNA interference molecules and gene editing components</w:t>
      </w:r>
      <w:r w:rsidR="0020770C">
        <w:rPr>
          <w:rFonts w:ascii="Times New Roman" w:hAnsi="Times New Roman" w:cs="Times New Roman"/>
          <w:sz w:val="24"/>
        </w:rPr>
        <w:t xml:space="preserve"> (</w:t>
      </w:r>
      <w:proofErr w:type="spellStart"/>
      <w:r w:rsidR="0020770C">
        <w:rPr>
          <w:rFonts w:ascii="Times New Roman" w:hAnsi="Times New Roman" w:cs="Times New Roman"/>
          <w:sz w:val="24"/>
        </w:rPr>
        <w:t>Lotvall</w:t>
      </w:r>
      <w:proofErr w:type="spellEnd"/>
      <w:r w:rsidR="0020770C">
        <w:rPr>
          <w:rFonts w:ascii="Times New Roman" w:hAnsi="Times New Roman" w:cs="Times New Roman"/>
          <w:sz w:val="24"/>
        </w:rPr>
        <w:t xml:space="preserve"> </w:t>
      </w:r>
      <w:r w:rsidR="00B56F51" w:rsidRPr="00B56F51">
        <w:rPr>
          <w:rFonts w:ascii="Times New Roman" w:hAnsi="Times New Roman" w:cs="Times New Roman"/>
          <w:i/>
          <w:sz w:val="24"/>
        </w:rPr>
        <w:t>et al</w:t>
      </w:r>
      <w:r w:rsidR="0020770C">
        <w:rPr>
          <w:rFonts w:ascii="Times New Roman" w:hAnsi="Times New Roman" w:cs="Times New Roman"/>
          <w:sz w:val="24"/>
        </w:rPr>
        <w:t>., 2014)</w:t>
      </w:r>
      <w:r w:rsidRPr="00663049">
        <w:rPr>
          <w:rFonts w:ascii="Times New Roman" w:hAnsi="Times New Roman" w:cs="Times New Roman"/>
          <w:sz w:val="24"/>
        </w:rPr>
        <w:t>.</w:t>
      </w:r>
    </w:p>
    <w:p w:rsidR="00E36961" w:rsidRPr="00020ADF" w:rsidRDefault="00E36961" w:rsidP="00731E8C">
      <w:pPr>
        <w:tabs>
          <w:tab w:val="left" w:pos="2268"/>
        </w:tabs>
        <w:spacing w:line="360" w:lineRule="auto"/>
        <w:jc w:val="both"/>
        <w:rPr>
          <w:rFonts w:ascii="Times New Roman" w:hAnsi="Times New Roman" w:cs="Times New Roman"/>
          <w:sz w:val="24"/>
        </w:rPr>
      </w:pPr>
      <w:r w:rsidRPr="00020ADF">
        <w:rPr>
          <w:rFonts w:ascii="Times New Roman" w:hAnsi="Times New Roman" w:cs="Times New Roman"/>
          <w:sz w:val="24"/>
        </w:rPr>
        <w:t>A novel small extracellular vesicle (</w:t>
      </w:r>
      <w:proofErr w:type="spellStart"/>
      <w:r w:rsidRPr="00020ADF">
        <w:rPr>
          <w:rFonts w:ascii="Times New Roman" w:hAnsi="Times New Roman" w:cs="Times New Roman"/>
          <w:sz w:val="24"/>
        </w:rPr>
        <w:t>sEV</w:t>
      </w:r>
      <w:proofErr w:type="spellEnd"/>
      <w:r w:rsidRPr="00020ADF">
        <w:rPr>
          <w:rFonts w:ascii="Times New Roman" w:hAnsi="Times New Roman" w:cs="Times New Roman"/>
          <w:sz w:val="24"/>
        </w:rPr>
        <w:t xml:space="preserve">)-based platform, </w:t>
      </w:r>
      <w:proofErr w:type="spellStart"/>
      <w:r w:rsidRPr="00020ADF">
        <w:rPr>
          <w:rStyle w:val="Emphasis"/>
          <w:rFonts w:ascii="Times New Roman" w:hAnsi="Times New Roman" w:cs="Times New Roman"/>
          <w:sz w:val="24"/>
        </w:rPr>
        <w:t>safeEXO</w:t>
      </w:r>
      <w:proofErr w:type="spellEnd"/>
      <w:r w:rsidRPr="00020ADF">
        <w:rPr>
          <w:rFonts w:ascii="Times New Roman" w:hAnsi="Times New Roman" w:cs="Times New Roman"/>
          <w:sz w:val="24"/>
        </w:rPr>
        <w:t xml:space="preserve">, has been developed as a non-viral delivery system for CRISPR components. Engineered vesicles carrying Cas9 and guide RNA demonstrated efficient and targeted gene editing in vitro and in vivo, with improved tissue-specific delivery and minimal toxicity. This approach highlights the potential of </w:t>
      </w:r>
      <w:proofErr w:type="spellStart"/>
      <w:r w:rsidRPr="00020ADF">
        <w:rPr>
          <w:rFonts w:ascii="Times New Roman" w:hAnsi="Times New Roman" w:cs="Times New Roman"/>
          <w:sz w:val="24"/>
        </w:rPr>
        <w:t>sEVs</w:t>
      </w:r>
      <w:proofErr w:type="spellEnd"/>
      <w:r w:rsidRPr="00020ADF">
        <w:rPr>
          <w:rFonts w:ascii="Times New Roman" w:hAnsi="Times New Roman" w:cs="Times New Roman"/>
          <w:sz w:val="24"/>
        </w:rPr>
        <w:t xml:space="preserve"> as a safe and adaptable platform for CRISPR-based antimicrobial and therapeutic applications (Dubey </w:t>
      </w:r>
      <w:r w:rsidR="00B56F51" w:rsidRPr="00B56F51">
        <w:rPr>
          <w:rFonts w:ascii="Times New Roman" w:hAnsi="Times New Roman" w:cs="Times New Roman"/>
          <w:i/>
          <w:sz w:val="24"/>
        </w:rPr>
        <w:t>et al</w:t>
      </w:r>
      <w:r w:rsidRPr="00020ADF">
        <w:rPr>
          <w:rFonts w:ascii="Times New Roman" w:hAnsi="Times New Roman" w:cs="Times New Roman"/>
          <w:sz w:val="24"/>
        </w:rPr>
        <w:t>., 2024).</w:t>
      </w:r>
    </w:p>
    <w:p w:rsidR="00204688" w:rsidRDefault="00204688" w:rsidP="00731E8C">
      <w:pPr>
        <w:pStyle w:val="NormalWeb"/>
        <w:spacing w:line="360" w:lineRule="auto"/>
        <w:jc w:val="both"/>
      </w:pPr>
      <w:r>
        <w:t xml:space="preserve">A biomimetic cationic hybrid vesicle (BCV)-based delivery system has been developed to enhance the targeted delivery of CRISPR/Cas9 plasmids against multidrug-resistant pathogens. By integrating bacterial outer membrane vesicles with cationic lipids, BCVs enabled efficient delivery and internalization of CRISPR constructs into resistant bacteria in both in vitro and in vivo models. This approach resulted in effective eradication of pathogens such as multidrug-resistant </w:t>
      </w:r>
      <w:r>
        <w:rPr>
          <w:rStyle w:val="Emphasis"/>
        </w:rPr>
        <w:t xml:space="preserve">Acinetobacter </w:t>
      </w:r>
      <w:proofErr w:type="spellStart"/>
      <w:r>
        <w:rPr>
          <w:rStyle w:val="Emphasis"/>
        </w:rPr>
        <w:t>baumannii</w:t>
      </w:r>
      <w:proofErr w:type="spellEnd"/>
      <w:r>
        <w:t xml:space="preserve"> and </w:t>
      </w:r>
      <w:r w:rsidR="00DE0E3E">
        <w:t xml:space="preserve">drug resistant </w:t>
      </w:r>
      <w:r>
        <w:rPr>
          <w:rStyle w:val="Emphasis"/>
        </w:rPr>
        <w:t>Pseudomonas aeruginosa</w:t>
      </w:r>
      <w:r>
        <w:t xml:space="preserve"> in infection models, demonstrating the potential of BCVs as a promising non-viral delivery platform for CRISPR-based antimicrobial therapy (Jia </w:t>
      </w:r>
      <w:r w:rsidR="00B56F51" w:rsidRPr="00B56F51">
        <w:rPr>
          <w:i/>
        </w:rPr>
        <w:t>et al</w:t>
      </w:r>
      <w:r>
        <w:t>., 2024).</w:t>
      </w:r>
    </w:p>
    <w:p w:rsidR="00664414" w:rsidRPr="004610E9" w:rsidRDefault="00664414" w:rsidP="00664414">
      <w:pPr>
        <w:pStyle w:val="NormalWeb"/>
        <w:numPr>
          <w:ilvl w:val="0"/>
          <w:numId w:val="5"/>
        </w:numPr>
        <w:spacing w:line="360" w:lineRule="auto"/>
        <w:jc w:val="both"/>
        <w:rPr>
          <w:b/>
        </w:rPr>
      </w:pPr>
      <w:r w:rsidRPr="004610E9">
        <w:rPr>
          <w:b/>
        </w:rPr>
        <w:t xml:space="preserve">Current worldwide applications: </w:t>
      </w:r>
    </w:p>
    <w:p w:rsidR="00664414" w:rsidRDefault="00664414" w:rsidP="00664414">
      <w:pPr>
        <w:pStyle w:val="NormalWeb"/>
        <w:spacing w:line="360" w:lineRule="auto"/>
        <w:jc w:val="both"/>
      </w:pPr>
      <w:r>
        <w:t>SNIPR001, a most advanced CRISPR- based</w:t>
      </w:r>
      <w:r w:rsidR="00B414A8">
        <w:t xml:space="preserve"> (CRISPR- Cas9)</w:t>
      </w:r>
      <w:r>
        <w:t xml:space="preserve"> cocktail of four engineered bacteriophages </w:t>
      </w:r>
      <w:r w:rsidR="00747221">
        <w:t xml:space="preserve">(α15.2, α20.4, α48.4, α51.5) </w:t>
      </w:r>
      <w:r>
        <w:t xml:space="preserve">designed to specifically target </w:t>
      </w:r>
      <w:r w:rsidRPr="00664414">
        <w:rPr>
          <w:i/>
        </w:rPr>
        <w:t>Escherichia coli</w:t>
      </w:r>
      <w:r>
        <w:t xml:space="preserve"> in the gut. It is being developed as a prophylactic treatment to prevent bloodstream infections in patients with haematological malignancies who are at high risk of </w:t>
      </w:r>
      <w:r w:rsidRPr="00664414">
        <w:rPr>
          <w:i/>
        </w:rPr>
        <w:t>E. coli</w:t>
      </w:r>
      <w:r>
        <w:t xml:space="preserve"> translocation from the gut. It was found to be well tolerated in mice models and reduces </w:t>
      </w:r>
      <w:r w:rsidRPr="00797E18">
        <w:rPr>
          <w:i/>
        </w:rPr>
        <w:t>E. coli</w:t>
      </w:r>
      <w:r>
        <w:t xml:space="preserve"> load in the mouse gut efficiently</w:t>
      </w:r>
      <w:r w:rsidR="00432BD6">
        <w:t xml:space="preserve"> (</w:t>
      </w:r>
      <w:proofErr w:type="spellStart"/>
      <w:r w:rsidR="00432BD6">
        <w:t>Gencay</w:t>
      </w:r>
      <w:proofErr w:type="spellEnd"/>
      <w:r w:rsidR="00432BD6">
        <w:t xml:space="preserve"> </w:t>
      </w:r>
      <w:r w:rsidR="00B56F51" w:rsidRPr="00B56F51">
        <w:rPr>
          <w:i/>
        </w:rPr>
        <w:t>et al</w:t>
      </w:r>
      <w:r w:rsidR="00432BD6">
        <w:t>., 2024)</w:t>
      </w:r>
      <w:r>
        <w:t xml:space="preserve">. </w:t>
      </w:r>
    </w:p>
    <w:p w:rsidR="0054002E" w:rsidRDefault="0054002E" w:rsidP="00664414">
      <w:pPr>
        <w:pStyle w:val="NormalWeb"/>
        <w:spacing w:line="360" w:lineRule="auto"/>
        <w:jc w:val="both"/>
      </w:pPr>
      <w:r>
        <w:t xml:space="preserve">LBP-EC01, utilises an enhanced bacteriophage cocktail with CRISPR- Cas3 system targeting </w:t>
      </w:r>
      <w:r w:rsidRPr="00CF43B1">
        <w:rPr>
          <w:i/>
        </w:rPr>
        <w:t>E. coli</w:t>
      </w:r>
      <w:r>
        <w:t xml:space="preserve"> causing urinary tract infections (UTIs). It completed a phase IB trial, which demonstrated safety and a significant reduction in bacterial load in patients. </w:t>
      </w:r>
      <w:r w:rsidR="00CF43B1">
        <w:t>It is now undergoing a Phase2/3 (ELIMINATE trial)</w:t>
      </w:r>
      <w:r w:rsidR="00A56939">
        <w:t xml:space="preserve"> (Locus biosciences, 2022)</w:t>
      </w:r>
    </w:p>
    <w:p w:rsidR="00235F71" w:rsidRDefault="0073233C" w:rsidP="00235F71">
      <w:pPr>
        <w:pStyle w:val="NormalWeb"/>
        <w:numPr>
          <w:ilvl w:val="0"/>
          <w:numId w:val="5"/>
        </w:numPr>
        <w:spacing w:line="360" w:lineRule="auto"/>
        <w:jc w:val="both"/>
        <w:rPr>
          <w:b/>
        </w:rPr>
      </w:pPr>
      <w:r w:rsidRPr="0073233C">
        <w:rPr>
          <w:b/>
        </w:rPr>
        <w:t>Future perspectives</w:t>
      </w:r>
      <w:r w:rsidR="00140D50" w:rsidRPr="0073233C">
        <w:rPr>
          <w:b/>
        </w:rPr>
        <w:t>:</w:t>
      </w:r>
    </w:p>
    <w:p w:rsidR="006940C5" w:rsidRDefault="00235F71" w:rsidP="006940C5">
      <w:pPr>
        <w:pStyle w:val="NormalWeb"/>
        <w:spacing w:line="360" w:lineRule="auto"/>
        <w:jc w:val="both"/>
      </w:pPr>
      <w:r>
        <w:lastRenderedPageBreak/>
        <w:t>CRISPR–Cas systems represent a highly promising strategy for combating antimicrobial resistance (AMR) due to their ability to selectively target resistance determinants and pathogenic bacteria with high sequence specificity. Unlike conventional antibiotics, these systems enable precise elimination of resistance genes or re-sensitization of bacteria, thereby preserving commensal microbiota and extending the utility of existing antimicrobials (</w:t>
      </w:r>
      <w:proofErr w:type="spellStart"/>
      <w:r>
        <w:t>Allemailem</w:t>
      </w:r>
      <w:proofErr w:type="spellEnd"/>
      <w:r>
        <w:t>, 2024). Diverse CRISPR variants, including Cas9, Cas12a, and Cas3, have demonstrated broad applicability across clinically relevant pathogens, aligning with global priorities such as the WHO bacterial priority pathogen framework (</w:t>
      </w:r>
      <w:proofErr w:type="spellStart"/>
      <w:r>
        <w:t>Okesanya</w:t>
      </w:r>
      <w:proofErr w:type="spellEnd"/>
      <w:r>
        <w:t xml:space="preserve"> </w:t>
      </w:r>
      <w:r w:rsidR="00B56F51" w:rsidRPr="00B56F51">
        <w:rPr>
          <w:i/>
        </w:rPr>
        <w:t>et al</w:t>
      </w:r>
      <w:r>
        <w:t xml:space="preserve">., 2025). </w:t>
      </w:r>
    </w:p>
    <w:p w:rsidR="006940C5" w:rsidRDefault="00235F71" w:rsidP="006940C5">
      <w:pPr>
        <w:pStyle w:val="NormalWeb"/>
        <w:spacing w:line="360" w:lineRule="auto"/>
        <w:jc w:val="both"/>
      </w:pPr>
      <w:r>
        <w:t xml:space="preserve">However, the clinical translation of CRISPR-based antimicrobials remains constrained by several unresolved challenges. Foremost among these is the inefficiency and inconsistency of delivery systems in complex biological environments. Although bacteriophages, conjugative plasmids, nanoparticles, and extracellular vesicles have shown experimental success, their performance is often highly context-dependent, with limitations in host range, delivery efficiency, and biosafety (Yan </w:t>
      </w:r>
      <w:r w:rsidR="00B56F51" w:rsidRPr="00B56F51">
        <w:rPr>
          <w:i/>
        </w:rPr>
        <w:t>et al</w:t>
      </w:r>
      <w:r>
        <w:t xml:space="preserve">., 2021). In particular, intracellular pathogens such as </w:t>
      </w:r>
      <w:r>
        <w:rPr>
          <w:rStyle w:val="Emphasis"/>
        </w:rPr>
        <w:t>Salmonella enterica</w:t>
      </w:r>
      <w:r>
        <w:t xml:space="preserve"> and </w:t>
      </w:r>
      <w:r>
        <w:rPr>
          <w:rStyle w:val="Emphasis"/>
        </w:rPr>
        <w:t>Mycobacterium tuberculosis</w:t>
      </w:r>
      <w:r>
        <w:t xml:space="preserve"> pose significant barriers due to restricted accessibility and intracellular localization. Additionally, the large size of commonly used nucleases such as SpCas9 limits their compatibility with certain delivery vectors, highlighting the need for smaller or engineered Cas variants (Uddin </w:t>
      </w:r>
      <w:r w:rsidR="00B56F51" w:rsidRPr="00B56F51">
        <w:rPr>
          <w:i/>
        </w:rPr>
        <w:t>et al</w:t>
      </w:r>
      <w:r>
        <w:t xml:space="preserve">., 2020). </w:t>
      </w:r>
    </w:p>
    <w:p w:rsidR="006940C5" w:rsidRDefault="00235F71" w:rsidP="006940C5">
      <w:pPr>
        <w:pStyle w:val="NormalWeb"/>
        <w:spacing w:line="360" w:lineRule="auto"/>
        <w:jc w:val="both"/>
      </w:pPr>
      <w:r>
        <w:t>Another critical limitation is the potential for the emergence of resistance to CRISPR-based interventions. Bacterial escape mechanisms, including mutations in target sequences, alterations in CRISPR components, and the presence of anti-CRISPR proteins, may reduce long-term efficacy. Furthermore, off-target effects and unintended ecological consequences within microbial communities remain insufficiently characterized, particularly in in vivo settings. These concerns underscore the importance of integrating advanced bioinformatics tools for optimized guide RNA design and real-time monitoring of resistance evolution (</w:t>
      </w:r>
      <w:proofErr w:type="spellStart"/>
      <w:r>
        <w:t>Prokhorova</w:t>
      </w:r>
      <w:proofErr w:type="spellEnd"/>
      <w:r>
        <w:t xml:space="preserve"> </w:t>
      </w:r>
      <w:r w:rsidR="00B56F51" w:rsidRPr="00B56F51">
        <w:rPr>
          <w:i/>
        </w:rPr>
        <w:t>et al</w:t>
      </w:r>
      <w:r>
        <w:t xml:space="preserve">., 2022). </w:t>
      </w:r>
    </w:p>
    <w:p w:rsidR="006940C5" w:rsidRDefault="00235F71" w:rsidP="006940C5">
      <w:pPr>
        <w:pStyle w:val="NormalWeb"/>
        <w:spacing w:line="360" w:lineRule="auto"/>
        <w:jc w:val="both"/>
      </w:pPr>
      <w:r>
        <w:t xml:space="preserve">From a practical standpoint, while CRISPR-based diagnostics offer rapid and sensitive detection of resistance genes, their dependence on predefined target sequences limits their utility in identifying novel or emerging pathogens (Wu </w:t>
      </w:r>
      <w:r w:rsidR="00B56F51" w:rsidRPr="00B56F51">
        <w:rPr>
          <w:i/>
        </w:rPr>
        <w:t>et al</w:t>
      </w:r>
      <w:r>
        <w:t>., 2021). Moreover, regulatory, ethic</w:t>
      </w:r>
      <w:r w:rsidR="00554D60">
        <w:t xml:space="preserve">al and economic considerations </w:t>
      </w:r>
      <w:r>
        <w:t xml:space="preserve">including safety, standardization and accessibility—pose additional barriers to large-scale clinical implementation, particularly in resource-limited settings. </w:t>
      </w:r>
    </w:p>
    <w:p w:rsidR="006940C5" w:rsidRDefault="00235F71" w:rsidP="006940C5">
      <w:pPr>
        <w:pStyle w:val="NormalWeb"/>
        <w:spacing w:line="360" w:lineRule="auto"/>
        <w:jc w:val="both"/>
      </w:pPr>
      <w:r>
        <w:lastRenderedPageBreak/>
        <w:t xml:space="preserve">Future research should therefore prioritize improving delivery efficiency and specificity, particularly for in vivo applications, while minimizing off-target effects. Strategies such as engineered bacteriophages, </w:t>
      </w:r>
      <w:r w:rsidR="00475D05">
        <w:t xml:space="preserve">optimized nanoparticle systems </w:t>
      </w:r>
      <w:r>
        <w:t>and modular delivery platforms hold promise but require rigorous validation under clinically relevant conditions. Importantly, combining CRISPR systems with conventional antibiotics or alternative antimicrobials may provide synergistic effects and enhance therapeutic outcomes. Long-term studies assessing ecologica</w:t>
      </w:r>
      <w:r w:rsidR="00475D05">
        <w:t xml:space="preserve">l impact, resistance evolution </w:t>
      </w:r>
      <w:r>
        <w:t>and safety are essential before clinical translation can be realized. Overall, while CRISPR–Cas systems offer a transformative approach to AMR control, their successful application will depend on overcoming key translational barriers and establishing robust regulatory frameworks. Continued interdisciplinary efforts integrating microbiology, bioengineering and computational biology will be critical to fully harness their potential in clinical and public health settings (</w:t>
      </w:r>
      <w:proofErr w:type="spellStart"/>
      <w:r>
        <w:t>Gholizadeh</w:t>
      </w:r>
      <w:proofErr w:type="spellEnd"/>
      <w:r>
        <w:t xml:space="preserve"> </w:t>
      </w:r>
      <w:r w:rsidR="00B56F51" w:rsidRPr="00B56F51">
        <w:rPr>
          <w:i/>
        </w:rPr>
        <w:t>et al</w:t>
      </w:r>
      <w:r>
        <w:t xml:space="preserve">., 2020; Tao </w:t>
      </w:r>
      <w:r w:rsidR="00B56F51" w:rsidRPr="00B56F51">
        <w:rPr>
          <w:i/>
        </w:rPr>
        <w:t>et al</w:t>
      </w:r>
      <w:r>
        <w:t>., 2022).</w:t>
      </w:r>
    </w:p>
    <w:p w:rsidR="002105D0" w:rsidRDefault="00235F71" w:rsidP="002105D0">
      <w:pPr>
        <w:pStyle w:val="NormalWeb"/>
        <w:numPr>
          <w:ilvl w:val="0"/>
          <w:numId w:val="5"/>
        </w:numPr>
        <w:spacing w:line="360" w:lineRule="auto"/>
        <w:jc w:val="both"/>
      </w:pPr>
      <w:r>
        <w:rPr>
          <w:b/>
        </w:rPr>
        <w:t>Conclusion:</w:t>
      </w:r>
    </w:p>
    <w:p w:rsidR="00075E20" w:rsidRDefault="002105D0" w:rsidP="000111A2">
      <w:pPr>
        <w:pStyle w:val="NormalWeb"/>
        <w:spacing w:line="360" w:lineRule="auto"/>
        <w:jc w:val="both"/>
      </w:pPr>
      <w:r>
        <w:t xml:space="preserve">CRISPR–Cas systems represent a paradigm shift in the fight against antimicrobial resistance (AMR), offering highly specific, programmable approaches to selectively eliminate resistant bacteria or restore antibiotic susceptibility. Evidence across multiple delivery platforms—including bacteriophage-mediated systems (e.g., </w:t>
      </w:r>
      <w:proofErr w:type="spellStart"/>
      <w:r>
        <w:t>φSaBov</w:t>
      </w:r>
      <w:proofErr w:type="spellEnd"/>
      <w:r>
        <w:t>, ΦNM1), conjugative and mobilizable plasmids (e.g., pKJK</w:t>
      </w:r>
      <w:proofErr w:type="gramStart"/>
      <w:r>
        <w:t>5::</w:t>
      </w:r>
      <w:proofErr w:type="spellStart"/>
      <w:proofErr w:type="gramEnd"/>
      <w:r>
        <w:t>csg</w:t>
      </w:r>
      <w:proofErr w:type="spellEnd"/>
      <w:r>
        <w:t xml:space="preserve">, </w:t>
      </w:r>
      <w:proofErr w:type="spellStart"/>
      <w:r>
        <w:t>pQ</w:t>
      </w:r>
      <w:proofErr w:type="spellEnd"/>
      <w:r>
        <w:t xml:space="preserve">-mini), nanoparticle-based carriers (polymeric nanocomplexes, carbon quantum dots), and emerging extracellular vesicle systems—demonstrates the versatility of CRISPR technologies in targeting resistance genes such as </w:t>
      </w:r>
      <w:proofErr w:type="spellStart"/>
      <w:r>
        <w:rPr>
          <w:rStyle w:val="Emphasis"/>
        </w:rPr>
        <w:t>mecA</w:t>
      </w:r>
      <w:proofErr w:type="spellEnd"/>
      <w:r>
        <w:t xml:space="preserve">, </w:t>
      </w:r>
      <w:proofErr w:type="spellStart"/>
      <w:r>
        <w:rPr>
          <w:rStyle w:val="Emphasis"/>
        </w:rPr>
        <w:t>blaKPC</w:t>
      </w:r>
      <w:proofErr w:type="spellEnd"/>
      <w:r>
        <w:t xml:space="preserve">, </w:t>
      </w:r>
      <w:r>
        <w:rPr>
          <w:rStyle w:val="Emphasis"/>
        </w:rPr>
        <w:t>mcr-1</w:t>
      </w:r>
      <w:r>
        <w:t xml:space="preserve">, and </w:t>
      </w:r>
      <w:proofErr w:type="spellStart"/>
      <w:r>
        <w:rPr>
          <w:rStyle w:val="Emphasis"/>
        </w:rPr>
        <w:t>fosA</w:t>
      </w:r>
      <w:proofErr w:type="spellEnd"/>
      <w:r>
        <w:t xml:space="preserve">, as well as key virulence determinants. Collectively, these studies highlight the capacity of CRISPR systems for sequence-specific killing, plasmid curing, microbiome-sparing interventions, and precise genome editing in clinically relevant pathogens including </w:t>
      </w:r>
      <w:r>
        <w:rPr>
          <w:rStyle w:val="Emphasis"/>
        </w:rPr>
        <w:t>Staphylococcus aureus</w:t>
      </w:r>
      <w:r>
        <w:t xml:space="preserve">, </w:t>
      </w:r>
      <w:r>
        <w:rPr>
          <w:rStyle w:val="Emphasis"/>
        </w:rPr>
        <w:t>Escherichia coli</w:t>
      </w:r>
      <w:r>
        <w:t xml:space="preserve"> and </w:t>
      </w:r>
      <w:r>
        <w:rPr>
          <w:rStyle w:val="Emphasis"/>
        </w:rPr>
        <w:t>Klebsiella pneumoniae</w:t>
      </w:r>
      <w:r>
        <w:t>.</w:t>
      </w:r>
    </w:p>
    <w:p w:rsidR="00075E20" w:rsidRDefault="002105D0" w:rsidP="000111A2">
      <w:pPr>
        <w:pStyle w:val="NormalWeb"/>
        <w:spacing w:line="360" w:lineRule="auto"/>
        <w:jc w:val="both"/>
      </w:pPr>
      <w:r>
        <w:t xml:space="preserve">Despite these advances, the transition from experimental systems to clinically viable therapies </w:t>
      </w:r>
      <w:proofErr w:type="gramStart"/>
      <w:r>
        <w:t>remains</w:t>
      </w:r>
      <w:proofErr w:type="gramEnd"/>
      <w:r>
        <w:t xml:space="preserve"> limited by several unresolved challenges. Foremost among these is the efficiency and reproducibility of delivery systems in complex in vivo environments and polymicrobial communities. Variability in conjugation efficiency, restricted host range of bacteriophages, and stability concerns associated with nanoparticle-based systems continue to influence therapeutic reliability. In addition, the potential emergence of resistance to CRISPR-mediated targeting—through mutations in protospacer regions, alterations in CRISPR components, or the presence of anti-CRISPR proteins—represents a significant evolutionary constraint that warrants further </w:t>
      </w:r>
      <w:r>
        <w:lastRenderedPageBreak/>
        <w:t>investigation. Off-target effects, ecological impacts on microbial communities, and fitness costs associated with CRISPR delivery further complicate its practical applicability.</w:t>
      </w:r>
    </w:p>
    <w:p w:rsidR="00075E20" w:rsidRDefault="002105D0" w:rsidP="000111A2">
      <w:pPr>
        <w:pStyle w:val="NormalWeb"/>
        <w:spacing w:line="360" w:lineRule="auto"/>
        <w:jc w:val="both"/>
      </w:pPr>
      <w:r>
        <w:t>Advances in bioinformatics have improved sgRNA design, target specificity, and resistance monitoring, while innovations such as multiplex targeting and CRISPR-associated transposases expand the functional scope of these systems. Furthermore, CRISPR-based diagnostics provide rapid and sensitive tools for AMR detection, supporting their integration into surveillance frameworks.</w:t>
      </w:r>
    </w:p>
    <w:p w:rsidR="002105D0" w:rsidRDefault="002105D0" w:rsidP="000111A2">
      <w:pPr>
        <w:pStyle w:val="NormalWeb"/>
        <w:spacing w:line="360" w:lineRule="auto"/>
        <w:jc w:val="both"/>
      </w:pPr>
      <w:r>
        <w:t>Future progress will depend on the development of robust, scalable, and clinically adaptable delivery platforms, along with improved editing efficiency across diverse bacterial hosts. Equally important is the establishment of standardized regulatory and ethical frameworks to ensure safe and equitable deployment. Overall, while significant translational barriers persist, CRISPR–Cas systems hold substantial promise as next-generation precision antimicrobials with the potential to redefine strategies for controlling AMR and improving global health outcomes.</w:t>
      </w:r>
    </w:p>
    <w:p w:rsidR="008D370E" w:rsidRDefault="008D370E" w:rsidP="008D370E">
      <w:pPr>
        <w:rPr>
          <w:highlight w:val="yellow"/>
        </w:rPr>
      </w:pPr>
      <w:r>
        <w:rPr>
          <w:highlight w:val="yellow"/>
        </w:rPr>
        <w:t>Disclaimer (Artificial intelligence)</w:t>
      </w:r>
    </w:p>
    <w:p w:rsidR="008D370E" w:rsidRDefault="008D370E" w:rsidP="008D370E">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8D370E" w:rsidRDefault="008D370E" w:rsidP="008D370E"/>
    <w:p w:rsidR="008D370E" w:rsidRDefault="008D370E" w:rsidP="000111A2">
      <w:pPr>
        <w:pStyle w:val="NormalWeb"/>
        <w:spacing w:line="360" w:lineRule="auto"/>
        <w:jc w:val="both"/>
      </w:pPr>
      <w:bookmarkStart w:id="0" w:name="_GoBack"/>
      <w:bookmarkEnd w:id="0"/>
    </w:p>
    <w:p w:rsidR="00D8622A" w:rsidRPr="00731E8C" w:rsidRDefault="00731E8C" w:rsidP="007D6BD9">
      <w:pPr>
        <w:pStyle w:val="NormalWeb"/>
        <w:numPr>
          <w:ilvl w:val="0"/>
          <w:numId w:val="5"/>
        </w:numPr>
        <w:spacing w:line="360" w:lineRule="auto"/>
        <w:jc w:val="both"/>
        <w:rPr>
          <w:b/>
        </w:rPr>
      </w:pPr>
      <w:r w:rsidRPr="00731E8C">
        <w:rPr>
          <w:b/>
        </w:rPr>
        <w:t>References:</w:t>
      </w:r>
    </w:p>
    <w:p w:rsidR="005E3529" w:rsidRPr="005E3529" w:rsidRDefault="005E3529" w:rsidP="005E3529">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5E3529">
        <w:rPr>
          <w:rFonts w:ascii="Times New Roman" w:eastAsia="Times New Roman" w:hAnsi="Times New Roman" w:cs="Times New Roman"/>
          <w:sz w:val="24"/>
          <w:szCs w:val="24"/>
          <w:lang w:eastAsia="en-IN"/>
        </w:rPr>
        <w:t xml:space="preserve">Ahmed, M. M., Kayode, H. H., </w:t>
      </w:r>
      <w:proofErr w:type="spellStart"/>
      <w:r w:rsidRPr="005E3529">
        <w:rPr>
          <w:rFonts w:ascii="Times New Roman" w:eastAsia="Times New Roman" w:hAnsi="Times New Roman" w:cs="Times New Roman"/>
          <w:sz w:val="24"/>
          <w:szCs w:val="24"/>
          <w:lang w:eastAsia="en-IN"/>
        </w:rPr>
        <w:t>Okesanya</w:t>
      </w:r>
      <w:proofErr w:type="spellEnd"/>
      <w:r w:rsidRPr="005E3529">
        <w:rPr>
          <w:rFonts w:ascii="Times New Roman" w:eastAsia="Times New Roman" w:hAnsi="Times New Roman" w:cs="Times New Roman"/>
          <w:sz w:val="24"/>
          <w:szCs w:val="24"/>
          <w:lang w:eastAsia="en-IN"/>
        </w:rPr>
        <w:t xml:space="preserve">, O. J., </w:t>
      </w:r>
      <w:proofErr w:type="spellStart"/>
      <w:r w:rsidRPr="005E3529">
        <w:rPr>
          <w:rFonts w:ascii="Times New Roman" w:eastAsia="Times New Roman" w:hAnsi="Times New Roman" w:cs="Times New Roman"/>
          <w:sz w:val="24"/>
          <w:szCs w:val="24"/>
          <w:lang w:eastAsia="en-IN"/>
        </w:rPr>
        <w:t>Ukoaka</w:t>
      </w:r>
      <w:proofErr w:type="spellEnd"/>
      <w:r w:rsidRPr="005E3529">
        <w:rPr>
          <w:rFonts w:ascii="Times New Roman" w:eastAsia="Times New Roman" w:hAnsi="Times New Roman" w:cs="Times New Roman"/>
          <w:sz w:val="24"/>
          <w:szCs w:val="24"/>
          <w:lang w:eastAsia="en-IN"/>
        </w:rPr>
        <w:t xml:space="preserve">, B. M., </w:t>
      </w:r>
      <w:proofErr w:type="spellStart"/>
      <w:r w:rsidRPr="005E3529">
        <w:rPr>
          <w:rFonts w:ascii="Times New Roman" w:eastAsia="Times New Roman" w:hAnsi="Times New Roman" w:cs="Times New Roman"/>
          <w:sz w:val="24"/>
          <w:szCs w:val="24"/>
          <w:lang w:eastAsia="en-IN"/>
        </w:rPr>
        <w:t>Es</w:t>
      </w:r>
      <w:r>
        <w:rPr>
          <w:rFonts w:ascii="Times New Roman" w:eastAsia="Times New Roman" w:hAnsi="Times New Roman" w:cs="Times New Roman"/>
          <w:sz w:val="24"/>
          <w:szCs w:val="24"/>
          <w:lang w:eastAsia="en-IN"/>
        </w:rPr>
        <w:t>hun</w:t>
      </w:r>
      <w:proofErr w:type="spellEnd"/>
      <w:r>
        <w:rPr>
          <w:rFonts w:ascii="Times New Roman" w:eastAsia="Times New Roman" w:hAnsi="Times New Roman" w:cs="Times New Roman"/>
          <w:sz w:val="24"/>
          <w:szCs w:val="24"/>
          <w:lang w:eastAsia="en-IN"/>
        </w:rPr>
        <w:t xml:space="preserve">, G., </w:t>
      </w:r>
      <w:proofErr w:type="spellStart"/>
      <w:r>
        <w:rPr>
          <w:rFonts w:ascii="Times New Roman" w:eastAsia="Times New Roman" w:hAnsi="Times New Roman" w:cs="Times New Roman"/>
          <w:sz w:val="24"/>
          <w:szCs w:val="24"/>
          <w:lang w:eastAsia="en-IN"/>
        </w:rPr>
        <w:t>Mourid</w:t>
      </w:r>
      <w:proofErr w:type="spellEnd"/>
      <w:r>
        <w:rPr>
          <w:rFonts w:ascii="Times New Roman" w:eastAsia="Times New Roman" w:hAnsi="Times New Roman" w:cs="Times New Roman"/>
          <w:sz w:val="24"/>
          <w:szCs w:val="24"/>
          <w:lang w:eastAsia="en-IN"/>
        </w:rPr>
        <w:t>, M. R.</w:t>
      </w:r>
      <w:proofErr w:type="gramStart"/>
      <w:r>
        <w:rPr>
          <w:rFonts w:ascii="Times New Roman" w:eastAsia="Times New Roman" w:hAnsi="Times New Roman" w:cs="Times New Roman"/>
          <w:sz w:val="24"/>
          <w:szCs w:val="24"/>
          <w:lang w:eastAsia="en-IN"/>
        </w:rPr>
        <w:t xml:space="preserve">, </w:t>
      </w:r>
      <w:r w:rsidRPr="005E3529">
        <w:rPr>
          <w:rFonts w:ascii="Times New Roman" w:eastAsia="Times New Roman" w:hAnsi="Times New Roman" w:cs="Times New Roman"/>
          <w:sz w:val="24"/>
          <w:szCs w:val="24"/>
          <w:lang w:eastAsia="en-IN"/>
        </w:rPr>
        <w:t>;</w:t>
      </w:r>
      <w:proofErr w:type="gramEnd"/>
      <w:r w:rsidRPr="005E3529">
        <w:rPr>
          <w:rFonts w:ascii="Times New Roman" w:eastAsia="Times New Roman" w:hAnsi="Times New Roman" w:cs="Times New Roman"/>
          <w:sz w:val="24"/>
          <w:szCs w:val="24"/>
          <w:lang w:eastAsia="en-IN"/>
        </w:rPr>
        <w:t xml:space="preserve"> Lucero-</w:t>
      </w:r>
      <w:proofErr w:type="spellStart"/>
      <w:r w:rsidRPr="005E3529">
        <w:rPr>
          <w:rFonts w:ascii="Times New Roman" w:eastAsia="Times New Roman" w:hAnsi="Times New Roman" w:cs="Times New Roman"/>
          <w:sz w:val="24"/>
          <w:szCs w:val="24"/>
          <w:lang w:eastAsia="en-IN"/>
        </w:rPr>
        <w:t>Prisno</w:t>
      </w:r>
      <w:proofErr w:type="spellEnd"/>
      <w:r w:rsidRPr="005E3529">
        <w:rPr>
          <w:rFonts w:ascii="Times New Roman" w:eastAsia="Times New Roman" w:hAnsi="Times New Roman" w:cs="Times New Roman"/>
          <w:sz w:val="24"/>
          <w:szCs w:val="24"/>
          <w:lang w:eastAsia="en-IN"/>
        </w:rPr>
        <w:t xml:space="preserve"> III, D. E. (2024). CRISPR-Cas systems in the fight</w:t>
      </w:r>
      <w:r>
        <w:rPr>
          <w:rFonts w:ascii="Times New Roman" w:eastAsia="Times New Roman" w:hAnsi="Times New Roman" w:cs="Times New Roman"/>
          <w:sz w:val="24"/>
          <w:szCs w:val="24"/>
          <w:lang w:eastAsia="en-IN"/>
        </w:rPr>
        <w:t xml:space="preserve"> </w:t>
      </w:r>
      <w:r w:rsidRPr="005E3529">
        <w:rPr>
          <w:rFonts w:ascii="Times New Roman" w:eastAsia="Times New Roman" w:hAnsi="Times New Roman" w:cs="Times New Roman"/>
          <w:sz w:val="24"/>
          <w:szCs w:val="24"/>
          <w:lang w:eastAsia="en-IN"/>
        </w:rPr>
        <w:t xml:space="preserve">against antimicrobial resistance: current status, potentials, and future directions. </w:t>
      </w:r>
      <w:r w:rsidRPr="005E3529">
        <w:rPr>
          <w:rFonts w:ascii="Times New Roman" w:eastAsia="Times New Roman" w:hAnsi="Times New Roman" w:cs="Times New Roman"/>
          <w:i/>
          <w:sz w:val="24"/>
          <w:szCs w:val="24"/>
          <w:lang w:eastAsia="en-IN"/>
        </w:rPr>
        <w:t>Infection and drug resistance</w:t>
      </w:r>
      <w:r w:rsidRPr="005E3529">
        <w:rPr>
          <w:rFonts w:ascii="Times New Roman" w:eastAsia="Times New Roman" w:hAnsi="Times New Roman" w:cs="Times New Roman"/>
          <w:sz w:val="24"/>
          <w:szCs w:val="24"/>
          <w:lang w:eastAsia="en-IN"/>
        </w:rPr>
        <w:t>, 5229-5245.</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Barrangou</w:t>
      </w:r>
      <w:proofErr w:type="spellEnd"/>
      <w:r w:rsidRPr="00D45549">
        <w:rPr>
          <w:rFonts w:ascii="Times New Roman" w:eastAsia="Times New Roman" w:hAnsi="Times New Roman" w:cs="Times New Roman"/>
          <w:sz w:val="24"/>
          <w:szCs w:val="24"/>
          <w:lang w:eastAsia="en-IN"/>
        </w:rPr>
        <w:t xml:space="preserve">, R., &amp; </w:t>
      </w:r>
      <w:proofErr w:type="spellStart"/>
      <w:r w:rsidRPr="00D45549">
        <w:rPr>
          <w:rFonts w:ascii="Times New Roman" w:eastAsia="Times New Roman" w:hAnsi="Times New Roman" w:cs="Times New Roman"/>
          <w:sz w:val="24"/>
          <w:szCs w:val="24"/>
          <w:lang w:eastAsia="en-IN"/>
        </w:rPr>
        <w:t>Doudna</w:t>
      </w:r>
      <w:proofErr w:type="spellEnd"/>
      <w:r w:rsidRPr="00D45549">
        <w:rPr>
          <w:rFonts w:ascii="Times New Roman" w:eastAsia="Times New Roman" w:hAnsi="Times New Roman" w:cs="Times New Roman"/>
          <w:sz w:val="24"/>
          <w:szCs w:val="24"/>
          <w:lang w:eastAsia="en-IN"/>
        </w:rPr>
        <w:t xml:space="preserve">, J. (2016). Applications of CRISPR technologies in research and beyond. </w:t>
      </w:r>
      <w:r w:rsidRPr="00D45549">
        <w:rPr>
          <w:rFonts w:ascii="Times New Roman" w:eastAsia="Times New Roman" w:hAnsi="Times New Roman" w:cs="Times New Roman"/>
          <w:i/>
          <w:iCs/>
          <w:sz w:val="24"/>
          <w:szCs w:val="24"/>
          <w:lang w:eastAsia="en-IN"/>
        </w:rPr>
        <w:t>Nature Biotechnology</w:t>
      </w:r>
      <w:r w:rsidRPr="00D45549">
        <w:rPr>
          <w:rFonts w:ascii="Times New Roman" w:eastAsia="Times New Roman" w:hAnsi="Times New Roman" w:cs="Times New Roman"/>
          <w:sz w:val="24"/>
          <w:szCs w:val="24"/>
          <w:lang w:eastAsia="en-IN"/>
        </w:rPr>
        <w:t>, 34(9), 933–941.</w:t>
      </w:r>
    </w:p>
    <w:p w:rsidR="002C4284"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Bikard</w:t>
      </w:r>
      <w:proofErr w:type="spellEnd"/>
      <w:r w:rsidRPr="00D45549">
        <w:rPr>
          <w:rFonts w:ascii="Times New Roman" w:eastAsia="Times New Roman" w:hAnsi="Times New Roman" w:cs="Times New Roman"/>
          <w:sz w:val="24"/>
          <w:szCs w:val="24"/>
          <w:lang w:eastAsia="en-IN"/>
        </w:rPr>
        <w:t xml:space="preserve">, D., Euler, C.W., Jiang, W.,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(2014). Exploiting CRISPR-Cas nucleases to produce sequence-specific antimicrobials. </w:t>
      </w:r>
      <w:r w:rsidRPr="00D45549">
        <w:rPr>
          <w:rFonts w:ascii="Times New Roman" w:eastAsia="Times New Roman" w:hAnsi="Times New Roman" w:cs="Times New Roman"/>
          <w:i/>
          <w:iCs/>
          <w:sz w:val="24"/>
          <w:szCs w:val="24"/>
          <w:lang w:eastAsia="en-IN"/>
        </w:rPr>
        <w:t>Nature Biotechnology</w:t>
      </w:r>
      <w:r w:rsidRPr="00D45549">
        <w:rPr>
          <w:rFonts w:ascii="Times New Roman" w:eastAsia="Times New Roman" w:hAnsi="Times New Roman" w:cs="Times New Roman"/>
          <w:sz w:val="24"/>
          <w:szCs w:val="24"/>
          <w:lang w:eastAsia="en-IN"/>
        </w:rPr>
        <w:t>, 32, 1146–1150.</w:t>
      </w:r>
    </w:p>
    <w:p w:rsidR="005E3529" w:rsidRPr="005E3529" w:rsidRDefault="005E3529" w:rsidP="005E3529">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5E3529">
        <w:rPr>
          <w:rFonts w:ascii="Times New Roman" w:eastAsia="Times New Roman" w:hAnsi="Times New Roman" w:cs="Times New Roman"/>
          <w:sz w:val="24"/>
          <w:szCs w:val="24"/>
          <w:lang w:eastAsia="en-IN"/>
        </w:rPr>
        <w:lastRenderedPageBreak/>
        <w:t>Bikard</w:t>
      </w:r>
      <w:proofErr w:type="spellEnd"/>
      <w:r w:rsidRPr="005E3529">
        <w:rPr>
          <w:rFonts w:ascii="Times New Roman" w:eastAsia="Times New Roman" w:hAnsi="Times New Roman" w:cs="Times New Roman"/>
          <w:sz w:val="24"/>
          <w:szCs w:val="24"/>
          <w:lang w:eastAsia="en-IN"/>
        </w:rPr>
        <w:t xml:space="preserve">, D., &amp;amp; </w:t>
      </w:r>
      <w:proofErr w:type="spellStart"/>
      <w:r w:rsidRPr="005E3529">
        <w:rPr>
          <w:rFonts w:ascii="Times New Roman" w:eastAsia="Times New Roman" w:hAnsi="Times New Roman" w:cs="Times New Roman"/>
          <w:sz w:val="24"/>
          <w:szCs w:val="24"/>
          <w:lang w:eastAsia="en-IN"/>
        </w:rPr>
        <w:t>Barrangou</w:t>
      </w:r>
      <w:proofErr w:type="spellEnd"/>
      <w:r w:rsidRPr="005E3529">
        <w:rPr>
          <w:rFonts w:ascii="Times New Roman" w:eastAsia="Times New Roman" w:hAnsi="Times New Roman" w:cs="Times New Roman"/>
          <w:sz w:val="24"/>
          <w:szCs w:val="24"/>
          <w:lang w:eastAsia="en-IN"/>
        </w:rPr>
        <w:t>, R. (2017). Using CRISPR-Cas systems as antimicrobials. Current opinion in Microbiology, 37, 155-160.</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Centers</w:t>
      </w:r>
      <w:proofErr w:type="spellEnd"/>
      <w:r w:rsidRPr="00D45549">
        <w:rPr>
          <w:rFonts w:ascii="Times New Roman" w:eastAsia="Times New Roman" w:hAnsi="Times New Roman" w:cs="Times New Roman"/>
          <w:sz w:val="24"/>
          <w:szCs w:val="24"/>
          <w:lang w:eastAsia="en-IN"/>
        </w:rPr>
        <w:t xml:space="preserve"> for Disease Control and Prevention (CDC) (2025). Antimicrobial resistance facts and stats. Available at: CDC website (Accessed 15 April 2026).</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Chen, Y., &amp; Ping, Y. (2023). Development of CRISPR/Cas delivery systems for in vivo precision genome editing. </w:t>
      </w:r>
      <w:r w:rsidRPr="00D45549">
        <w:rPr>
          <w:rFonts w:ascii="Times New Roman" w:eastAsia="Times New Roman" w:hAnsi="Times New Roman" w:cs="Times New Roman"/>
          <w:i/>
          <w:iCs/>
          <w:sz w:val="24"/>
          <w:szCs w:val="24"/>
          <w:lang w:eastAsia="en-IN"/>
        </w:rPr>
        <w:t>Accounts of Chemical Research</w:t>
      </w:r>
      <w:r w:rsidRPr="00D45549">
        <w:rPr>
          <w:rFonts w:ascii="Times New Roman" w:eastAsia="Times New Roman" w:hAnsi="Times New Roman" w:cs="Times New Roman"/>
          <w:sz w:val="24"/>
          <w:szCs w:val="24"/>
          <w:lang w:eastAsia="en-IN"/>
        </w:rPr>
        <w:t>, 56(16), 2185–2196.</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Devi, V., </w:t>
      </w:r>
      <w:proofErr w:type="spellStart"/>
      <w:r w:rsidRPr="00D45549">
        <w:rPr>
          <w:rFonts w:ascii="Times New Roman" w:eastAsia="Times New Roman" w:hAnsi="Times New Roman" w:cs="Times New Roman"/>
          <w:sz w:val="24"/>
          <w:szCs w:val="24"/>
          <w:lang w:eastAsia="en-IN"/>
        </w:rPr>
        <w:t>Harjai</w:t>
      </w:r>
      <w:proofErr w:type="spellEnd"/>
      <w:r w:rsidRPr="00D45549">
        <w:rPr>
          <w:rFonts w:ascii="Times New Roman" w:eastAsia="Times New Roman" w:hAnsi="Times New Roman" w:cs="Times New Roman"/>
          <w:sz w:val="24"/>
          <w:szCs w:val="24"/>
          <w:lang w:eastAsia="en-IN"/>
        </w:rPr>
        <w:t xml:space="preserve">, K., &amp; </w:t>
      </w:r>
      <w:proofErr w:type="spellStart"/>
      <w:r w:rsidRPr="00D45549">
        <w:rPr>
          <w:rFonts w:ascii="Times New Roman" w:eastAsia="Times New Roman" w:hAnsi="Times New Roman" w:cs="Times New Roman"/>
          <w:sz w:val="24"/>
          <w:szCs w:val="24"/>
          <w:lang w:eastAsia="en-IN"/>
        </w:rPr>
        <w:t>Chhibber</w:t>
      </w:r>
      <w:proofErr w:type="spellEnd"/>
      <w:r w:rsidRPr="00D45549">
        <w:rPr>
          <w:rFonts w:ascii="Times New Roman" w:eastAsia="Times New Roman" w:hAnsi="Times New Roman" w:cs="Times New Roman"/>
          <w:sz w:val="24"/>
          <w:szCs w:val="24"/>
          <w:lang w:eastAsia="en-IN"/>
        </w:rPr>
        <w:t xml:space="preserve">, S. (2022). CRISPR-Cas systems: role in cellular processes beyond adaptive immunity. </w:t>
      </w:r>
      <w:r w:rsidRPr="00D45549">
        <w:rPr>
          <w:rFonts w:ascii="Times New Roman" w:eastAsia="Times New Roman" w:hAnsi="Times New Roman" w:cs="Times New Roman"/>
          <w:i/>
          <w:iCs/>
          <w:sz w:val="24"/>
          <w:szCs w:val="24"/>
          <w:lang w:eastAsia="en-IN"/>
        </w:rPr>
        <w:t xml:space="preserve">Folia </w:t>
      </w:r>
      <w:proofErr w:type="spellStart"/>
      <w:r w:rsidRPr="00D45549">
        <w:rPr>
          <w:rFonts w:ascii="Times New Roman" w:eastAsia="Times New Roman" w:hAnsi="Times New Roman" w:cs="Times New Roman"/>
          <w:i/>
          <w:iCs/>
          <w:sz w:val="24"/>
          <w:szCs w:val="24"/>
          <w:lang w:eastAsia="en-IN"/>
        </w:rPr>
        <w:t>Microbiologica</w:t>
      </w:r>
      <w:proofErr w:type="spellEnd"/>
      <w:r w:rsidRPr="00D45549">
        <w:rPr>
          <w:rFonts w:ascii="Times New Roman" w:eastAsia="Times New Roman" w:hAnsi="Times New Roman" w:cs="Times New Roman"/>
          <w:sz w:val="24"/>
          <w:szCs w:val="24"/>
          <w:lang w:eastAsia="en-IN"/>
        </w:rPr>
        <w:t>, 67(6), 837–850.</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Dubey, S., Chen, Z., Jiang, Y.J.,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(2024). Small extracellular vesicles (</w:t>
      </w:r>
      <w:proofErr w:type="spellStart"/>
      <w:r w:rsidRPr="00D45549">
        <w:rPr>
          <w:rFonts w:ascii="Times New Roman" w:eastAsia="Times New Roman" w:hAnsi="Times New Roman" w:cs="Times New Roman"/>
          <w:sz w:val="24"/>
          <w:szCs w:val="24"/>
          <w:lang w:eastAsia="en-IN"/>
        </w:rPr>
        <w:t>sEVs</w:t>
      </w:r>
      <w:proofErr w:type="spellEnd"/>
      <w:r w:rsidRPr="00D45549">
        <w:rPr>
          <w:rFonts w:ascii="Times New Roman" w:eastAsia="Times New Roman" w:hAnsi="Times New Roman" w:cs="Times New Roman"/>
          <w:sz w:val="24"/>
          <w:szCs w:val="24"/>
          <w:lang w:eastAsia="en-IN"/>
        </w:rPr>
        <w:t xml:space="preserve">)-based gene delivery platform for cell-specific CRISPR/Cas9 genome editing. </w:t>
      </w:r>
      <w:proofErr w:type="spellStart"/>
      <w:r w:rsidRPr="00D45549">
        <w:rPr>
          <w:rFonts w:ascii="Times New Roman" w:eastAsia="Times New Roman" w:hAnsi="Times New Roman" w:cs="Times New Roman"/>
          <w:i/>
          <w:iCs/>
          <w:sz w:val="24"/>
          <w:szCs w:val="24"/>
          <w:lang w:eastAsia="en-IN"/>
        </w:rPr>
        <w:t>Theranostics</w:t>
      </w:r>
      <w:proofErr w:type="spellEnd"/>
      <w:r w:rsidRPr="00D45549">
        <w:rPr>
          <w:rFonts w:ascii="Times New Roman" w:eastAsia="Times New Roman" w:hAnsi="Times New Roman" w:cs="Times New Roman"/>
          <w:sz w:val="24"/>
          <w:szCs w:val="24"/>
          <w:lang w:eastAsia="en-IN"/>
        </w:rPr>
        <w:t>, 14(7), 2777.</w:t>
      </w:r>
    </w:p>
    <w:p w:rsidR="002C4284"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European Centre for Disease Prevention and Control (ECDC) (2024). </w:t>
      </w:r>
      <w:r w:rsidRPr="00D45549">
        <w:rPr>
          <w:rFonts w:ascii="Times New Roman" w:eastAsia="Times New Roman" w:hAnsi="Times New Roman" w:cs="Times New Roman"/>
          <w:i/>
          <w:iCs/>
          <w:sz w:val="24"/>
          <w:szCs w:val="24"/>
          <w:lang w:eastAsia="en-IN"/>
        </w:rPr>
        <w:t>Antimicrobial resistance in the EU/EEA (EARS-Net) – Annual Epidemiological Report 2024</w:t>
      </w:r>
      <w:r w:rsidRPr="00D45549">
        <w:rPr>
          <w:rFonts w:ascii="Times New Roman" w:eastAsia="Times New Roman" w:hAnsi="Times New Roman" w:cs="Times New Roman"/>
          <w:sz w:val="24"/>
          <w:szCs w:val="24"/>
          <w:lang w:eastAsia="en-IN"/>
        </w:rPr>
        <w:t>. Stockholm: ECDC.</w:t>
      </w:r>
    </w:p>
    <w:p w:rsidR="00892ADA" w:rsidRPr="00892ADA" w:rsidRDefault="00892ADA"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8"/>
          <w:szCs w:val="24"/>
          <w:lang w:eastAsia="en-IN"/>
        </w:rPr>
      </w:pPr>
      <w:proofErr w:type="spellStart"/>
      <w:r w:rsidRPr="00892ADA">
        <w:rPr>
          <w:rFonts w:ascii="Times New Roman" w:hAnsi="Times New Roman" w:cs="Times New Roman"/>
          <w:sz w:val="24"/>
        </w:rPr>
        <w:t>Gencay</w:t>
      </w:r>
      <w:proofErr w:type="spellEnd"/>
      <w:r w:rsidRPr="00892ADA">
        <w:rPr>
          <w:rFonts w:ascii="Times New Roman" w:hAnsi="Times New Roman" w:cs="Times New Roman"/>
          <w:sz w:val="24"/>
        </w:rPr>
        <w:t xml:space="preserve">, Y.E., </w:t>
      </w:r>
      <w:proofErr w:type="spellStart"/>
      <w:r w:rsidRPr="00892ADA">
        <w:rPr>
          <w:rFonts w:ascii="Times New Roman" w:hAnsi="Times New Roman" w:cs="Times New Roman"/>
          <w:sz w:val="24"/>
        </w:rPr>
        <w:t>Jasinskytė</w:t>
      </w:r>
      <w:proofErr w:type="spellEnd"/>
      <w:r w:rsidRPr="00892ADA">
        <w:rPr>
          <w:rFonts w:ascii="Times New Roman" w:hAnsi="Times New Roman" w:cs="Times New Roman"/>
          <w:sz w:val="24"/>
        </w:rPr>
        <w:t xml:space="preserve">, D., Robert, C. </w:t>
      </w:r>
      <w:r w:rsidR="00B56F51" w:rsidRPr="00B56F51">
        <w:rPr>
          <w:rStyle w:val="Emphasis"/>
          <w:rFonts w:ascii="Times New Roman" w:hAnsi="Times New Roman" w:cs="Times New Roman"/>
          <w:sz w:val="24"/>
        </w:rPr>
        <w:t>et al</w:t>
      </w:r>
      <w:r w:rsidRPr="00892ADA">
        <w:rPr>
          <w:rStyle w:val="Emphasis"/>
          <w:rFonts w:ascii="Times New Roman" w:hAnsi="Times New Roman" w:cs="Times New Roman"/>
          <w:sz w:val="24"/>
        </w:rPr>
        <w:t>.</w:t>
      </w:r>
      <w:r>
        <w:rPr>
          <w:rFonts w:ascii="Times New Roman" w:hAnsi="Times New Roman" w:cs="Times New Roman"/>
          <w:sz w:val="24"/>
        </w:rPr>
        <w:t xml:space="preserve"> (2024) </w:t>
      </w:r>
      <w:r w:rsidRPr="00892ADA">
        <w:rPr>
          <w:rFonts w:ascii="Times New Roman" w:hAnsi="Times New Roman" w:cs="Times New Roman"/>
          <w:sz w:val="24"/>
        </w:rPr>
        <w:t xml:space="preserve">Engineered phage with antibacterial CRISPR–Cas selectively reduce </w:t>
      </w:r>
      <w:r w:rsidRPr="00892ADA">
        <w:rPr>
          <w:rStyle w:val="Emphasis"/>
          <w:rFonts w:ascii="Times New Roman" w:hAnsi="Times New Roman" w:cs="Times New Roman"/>
          <w:sz w:val="24"/>
        </w:rPr>
        <w:t>E. coli</w:t>
      </w:r>
      <w:r>
        <w:rPr>
          <w:rFonts w:ascii="Times New Roman" w:hAnsi="Times New Roman" w:cs="Times New Roman"/>
          <w:sz w:val="24"/>
        </w:rPr>
        <w:t xml:space="preserve"> burden in mice.</w:t>
      </w:r>
      <w:r w:rsidRPr="00892ADA">
        <w:rPr>
          <w:rFonts w:ascii="Times New Roman" w:hAnsi="Times New Roman" w:cs="Times New Roman"/>
          <w:sz w:val="24"/>
        </w:rPr>
        <w:t xml:space="preserve"> </w:t>
      </w:r>
      <w:r w:rsidRPr="00892ADA">
        <w:rPr>
          <w:rStyle w:val="whitespace-normal"/>
          <w:rFonts w:ascii="Times New Roman" w:hAnsi="Times New Roman" w:cs="Times New Roman"/>
          <w:sz w:val="24"/>
        </w:rPr>
        <w:t>Nature B</w:t>
      </w:r>
      <w:r>
        <w:rPr>
          <w:rStyle w:val="whitespace-normal"/>
          <w:rFonts w:ascii="Times New Roman" w:hAnsi="Times New Roman" w:cs="Times New Roman"/>
          <w:sz w:val="24"/>
        </w:rPr>
        <w:t>iotechnology.</w:t>
      </w:r>
      <w:r w:rsidRPr="00892ADA">
        <w:rPr>
          <w:rFonts w:ascii="Times New Roman" w:hAnsi="Times New Roman" w:cs="Times New Roman"/>
          <w:sz w:val="24"/>
        </w:rPr>
        <w:t xml:space="preserve"> 42, pp. 265–274.</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Gholizadeh</w:t>
      </w:r>
      <w:proofErr w:type="spellEnd"/>
      <w:r w:rsidRPr="00D45549">
        <w:rPr>
          <w:rFonts w:ascii="Times New Roman" w:eastAsia="Times New Roman" w:hAnsi="Times New Roman" w:cs="Times New Roman"/>
          <w:sz w:val="24"/>
          <w:szCs w:val="24"/>
          <w:lang w:eastAsia="en-IN"/>
        </w:rPr>
        <w:t xml:space="preserve">, P., </w:t>
      </w:r>
      <w:proofErr w:type="spellStart"/>
      <w:r w:rsidRPr="00D45549">
        <w:rPr>
          <w:rFonts w:ascii="Times New Roman" w:eastAsia="Times New Roman" w:hAnsi="Times New Roman" w:cs="Times New Roman"/>
          <w:sz w:val="24"/>
          <w:szCs w:val="24"/>
          <w:lang w:eastAsia="en-IN"/>
        </w:rPr>
        <w:t>Köse</w:t>
      </w:r>
      <w:proofErr w:type="spellEnd"/>
      <w:r w:rsidRPr="00D45549">
        <w:rPr>
          <w:rFonts w:ascii="Times New Roman" w:eastAsia="Times New Roman" w:hAnsi="Times New Roman" w:cs="Times New Roman"/>
          <w:sz w:val="24"/>
          <w:szCs w:val="24"/>
          <w:lang w:eastAsia="en-IN"/>
        </w:rPr>
        <w:t xml:space="preserve">, Ş., Dao, S.,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(2020). How CRISPR-Cas system could be used to combat antimicrobial resistance. </w:t>
      </w:r>
      <w:r w:rsidRPr="00D45549">
        <w:rPr>
          <w:rFonts w:ascii="Times New Roman" w:eastAsia="Times New Roman" w:hAnsi="Times New Roman" w:cs="Times New Roman"/>
          <w:i/>
          <w:iCs/>
          <w:sz w:val="24"/>
          <w:szCs w:val="24"/>
          <w:lang w:eastAsia="en-IN"/>
        </w:rPr>
        <w:t>Infection and Drug Resistance</w:t>
      </w:r>
      <w:r w:rsidRPr="00D45549">
        <w:rPr>
          <w:rFonts w:ascii="Times New Roman" w:eastAsia="Times New Roman" w:hAnsi="Times New Roman" w:cs="Times New Roman"/>
          <w:sz w:val="24"/>
          <w:szCs w:val="24"/>
          <w:lang w:eastAsia="en-IN"/>
        </w:rPr>
        <w:t>, 13, 1111–1121.</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Gupta, S., Kumar, P., </w:t>
      </w:r>
      <w:proofErr w:type="spellStart"/>
      <w:r w:rsidRPr="00D45549">
        <w:rPr>
          <w:rFonts w:ascii="Times New Roman" w:eastAsia="Times New Roman" w:hAnsi="Times New Roman" w:cs="Times New Roman"/>
          <w:sz w:val="24"/>
          <w:szCs w:val="24"/>
          <w:lang w:eastAsia="en-IN"/>
        </w:rPr>
        <w:t>Rathi</w:t>
      </w:r>
      <w:proofErr w:type="spellEnd"/>
      <w:r w:rsidRPr="00D45549">
        <w:rPr>
          <w:rFonts w:ascii="Times New Roman" w:eastAsia="Times New Roman" w:hAnsi="Times New Roman" w:cs="Times New Roman"/>
          <w:sz w:val="24"/>
          <w:szCs w:val="24"/>
          <w:lang w:eastAsia="en-IN"/>
        </w:rPr>
        <w:t xml:space="preserve">, B.,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(2021). Targeting of </w:t>
      </w:r>
      <w:proofErr w:type="spellStart"/>
      <w:r w:rsidRPr="00D45549">
        <w:rPr>
          <w:rFonts w:ascii="Times New Roman" w:eastAsia="Times New Roman" w:hAnsi="Times New Roman" w:cs="Times New Roman"/>
          <w:sz w:val="24"/>
          <w:szCs w:val="24"/>
          <w:lang w:eastAsia="en-IN"/>
        </w:rPr>
        <w:t>uropathogenic</w:t>
      </w:r>
      <w:proofErr w:type="spellEnd"/>
      <w:r w:rsidRPr="00D45549">
        <w:rPr>
          <w:rFonts w:ascii="Times New Roman" w:eastAsia="Times New Roman" w:hAnsi="Times New Roman" w:cs="Times New Roman"/>
          <w:sz w:val="24"/>
          <w:szCs w:val="24"/>
          <w:lang w:eastAsia="en-IN"/>
        </w:rPr>
        <w:t xml:space="preserve"> </w:t>
      </w:r>
      <w:r w:rsidRPr="00D45549">
        <w:rPr>
          <w:rFonts w:ascii="Times New Roman" w:eastAsia="Times New Roman" w:hAnsi="Times New Roman" w:cs="Times New Roman"/>
          <w:i/>
          <w:iCs/>
          <w:sz w:val="24"/>
          <w:szCs w:val="24"/>
          <w:lang w:eastAsia="en-IN"/>
        </w:rPr>
        <w:t>Escherichia coli</w:t>
      </w:r>
      <w:r w:rsidRPr="00D45549">
        <w:rPr>
          <w:rFonts w:ascii="Times New Roman" w:eastAsia="Times New Roman" w:hAnsi="Times New Roman" w:cs="Times New Roman"/>
          <w:sz w:val="24"/>
          <w:szCs w:val="24"/>
          <w:lang w:eastAsia="en-IN"/>
        </w:rPr>
        <w:t xml:space="preserve"> </w:t>
      </w:r>
      <w:proofErr w:type="spellStart"/>
      <w:r w:rsidRPr="00D45549">
        <w:rPr>
          <w:rFonts w:ascii="Times New Roman" w:eastAsia="Times New Roman" w:hAnsi="Times New Roman" w:cs="Times New Roman"/>
          <w:sz w:val="24"/>
          <w:szCs w:val="24"/>
          <w:lang w:eastAsia="en-IN"/>
        </w:rPr>
        <w:t>papG</w:t>
      </w:r>
      <w:proofErr w:type="spellEnd"/>
      <w:r w:rsidRPr="00D45549">
        <w:rPr>
          <w:rFonts w:ascii="Times New Roman" w:eastAsia="Times New Roman" w:hAnsi="Times New Roman" w:cs="Times New Roman"/>
          <w:sz w:val="24"/>
          <w:szCs w:val="24"/>
          <w:lang w:eastAsia="en-IN"/>
        </w:rPr>
        <w:t xml:space="preserve"> gene using CRISPR-dot nanocomplex reduced virulence of UPEC. </w:t>
      </w:r>
      <w:r w:rsidRPr="00D45549">
        <w:rPr>
          <w:rFonts w:ascii="Times New Roman" w:eastAsia="Times New Roman" w:hAnsi="Times New Roman" w:cs="Times New Roman"/>
          <w:i/>
          <w:iCs/>
          <w:sz w:val="24"/>
          <w:szCs w:val="24"/>
          <w:lang w:eastAsia="en-IN"/>
        </w:rPr>
        <w:t>Scientific Reports</w:t>
      </w:r>
      <w:r w:rsidRPr="00D45549">
        <w:rPr>
          <w:rFonts w:ascii="Times New Roman" w:eastAsia="Times New Roman" w:hAnsi="Times New Roman" w:cs="Times New Roman"/>
          <w:sz w:val="24"/>
          <w:szCs w:val="24"/>
          <w:lang w:eastAsia="en-IN"/>
        </w:rPr>
        <w:t>, 11(1), 17801.</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Hille</w:t>
      </w:r>
      <w:proofErr w:type="spellEnd"/>
      <w:r w:rsidRPr="00D45549">
        <w:rPr>
          <w:rFonts w:ascii="Times New Roman" w:eastAsia="Times New Roman" w:hAnsi="Times New Roman" w:cs="Times New Roman"/>
          <w:sz w:val="24"/>
          <w:szCs w:val="24"/>
          <w:lang w:eastAsia="en-IN"/>
        </w:rPr>
        <w:t xml:space="preserve">, F., Richter, H., Wong, S.,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(2018). The biology of CRISPR-Cas: backward and forward. </w:t>
      </w:r>
      <w:r w:rsidRPr="00D45549">
        <w:rPr>
          <w:rFonts w:ascii="Times New Roman" w:eastAsia="Times New Roman" w:hAnsi="Times New Roman" w:cs="Times New Roman"/>
          <w:i/>
          <w:iCs/>
          <w:sz w:val="24"/>
          <w:szCs w:val="24"/>
          <w:lang w:eastAsia="en-IN"/>
        </w:rPr>
        <w:t>Cell</w:t>
      </w:r>
      <w:r w:rsidRPr="00D45549">
        <w:rPr>
          <w:rFonts w:ascii="Times New Roman" w:eastAsia="Times New Roman" w:hAnsi="Times New Roman" w:cs="Times New Roman"/>
          <w:sz w:val="24"/>
          <w:szCs w:val="24"/>
          <w:lang w:eastAsia="en-IN"/>
        </w:rPr>
        <w:t>, 172(6), 1239–1259.</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Huan, Y.W., </w:t>
      </w:r>
      <w:proofErr w:type="spellStart"/>
      <w:r w:rsidRPr="00D45549">
        <w:rPr>
          <w:rFonts w:ascii="Times New Roman" w:eastAsia="Times New Roman" w:hAnsi="Times New Roman" w:cs="Times New Roman"/>
          <w:sz w:val="24"/>
          <w:szCs w:val="24"/>
          <w:lang w:eastAsia="en-IN"/>
        </w:rPr>
        <w:t>Torraca</w:t>
      </w:r>
      <w:proofErr w:type="spellEnd"/>
      <w:r w:rsidRPr="00D45549">
        <w:rPr>
          <w:rFonts w:ascii="Times New Roman" w:eastAsia="Times New Roman" w:hAnsi="Times New Roman" w:cs="Times New Roman"/>
          <w:sz w:val="24"/>
          <w:szCs w:val="24"/>
          <w:lang w:eastAsia="en-IN"/>
        </w:rPr>
        <w:t xml:space="preserve">, V., Brown, R.,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(2023). P1 bacteriophage-enabled delivery of CRISPR-Cas9 antimicrobial activity against </w:t>
      </w:r>
      <w:r w:rsidRPr="00D45549">
        <w:rPr>
          <w:rFonts w:ascii="Times New Roman" w:eastAsia="Times New Roman" w:hAnsi="Times New Roman" w:cs="Times New Roman"/>
          <w:i/>
          <w:iCs/>
          <w:sz w:val="24"/>
          <w:szCs w:val="24"/>
          <w:lang w:eastAsia="en-IN"/>
        </w:rPr>
        <w:t xml:space="preserve">Shigella </w:t>
      </w:r>
      <w:proofErr w:type="spellStart"/>
      <w:r w:rsidRPr="00D45549">
        <w:rPr>
          <w:rFonts w:ascii="Times New Roman" w:eastAsia="Times New Roman" w:hAnsi="Times New Roman" w:cs="Times New Roman"/>
          <w:i/>
          <w:iCs/>
          <w:sz w:val="24"/>
          <w:szCs w:val="24"/>
          <w:lang w:eastAsia="en-IN"/>
        </w:rPr>
        <w:t>flexneri</w:t>
      </w:r>
      <w:proofErr w:type="spellEnd"/>
      <w:r w:rsidRPr="00D45549">
        <w:rPr>
          <w:rFonts w:ascii="Times New Roman" w:eastAsia="Times New Roman" w:hAnsi="Times New Roman" w:cs="Times New Roman"/>
          <w:sz w:val="24"/>
          <w:szCs w:val="24"/>
          <w:lang w:eastAsia="en-IN"/>
        </w:rPr>
        <w:t xml:space="preserve">. </w:t>
      </w:r>
      <w:r w:rsidRPr="00D45549">
        <w:rPr>
          <w:rFonts w:ascii="Times New Roman" w:eastAsia="Times New Roman" w:hAnsi="Times New Roman" w:cs="Times New Roman"/>
          <w:i/>
          <w:iCs/>
          <w:sz w:val="24"/>
          <w:szCs w:val="24"/>
          <w:lang w:eastAsia="en-IN"/>
        </w:rPr>
        <w:t>ACS Synthetic Biology</w:t>
      </w:r>
      <w:r w:rsidRPr="00D45549">
        <w:rPr>
          <w:rFonts w:ascii="Times New Roman" w:eastAsia="Times New Roman" w:hAnsi="Times New Roman" w:cs="Times New Roman"/>
          <w:sz w:val="24"/>
          <w:szCs w:val="24"/>
          <w:lang w:eastAsia="en-IN"/>
        </w:rPr>
        <w:t>, 12(3), 709–721.</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Huang, X., Yang, D., Zhang, J.,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(2022). Recent advances in improving gene-editing specificity through CRISPR–Cas9 nuclease engineering. </w:t>
      </w:r>
      <w:r w:rsidRPr="00D45549">
        <w:rPr>
          <w:rFonts w:ascii="Times New Roman" w:eastAsia="Times New Roman" w:hAnsi="Times New Roman" w:cs="Times New Roman"/>
          <w:i/>
          <w:iCs/>
          <w:sz w:val="24"/>
          <w:szCs w:val="24"/>
          <w:lang w:eastAsia="en-IN"/>
        </w:rPr>
        <w:t>Cells</w:t>
      </w:r>
      <w:r w:rsidRPr="00D45549">
        <w:rPr>
          <w:rFonts w:ascii="Times New Roman" w:eastAsia="Times New Roman" w:hAnsi="Times New Roman" w:cs="Times New Roman"/>
          <w:sz w:val="24"/>
          <w:szCs w:val="24"/>
          <w:lang w:eastAsia="en-IN"/>
        </w:rPr>
        <w:t>, 11(14), 2186.</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Indian Council of Medical Research (ICMR) (2025). </w:t>
      </w:r>
      <w:r w:rsidRPr="00D45549">
        <w:rPr>
          <w:rFonts w:ascii="Times New Roman" w:eastAsia="Times New Roman" w:hAnsi="Times New Roman" w:cs="Times New Roman"/>
          <w:i/>
          <w:iCs/>
          <w:sz w:val="24"/>
          <w:szCs w:val="24"/>
          <w:lang w:eastAsia="en-IN"/>
        </w:rPr>
        <w:t>Antimicrobial Resistance Research &amp; Surveillance Network (AMRSN): Annual report 2024</w:t>
      </w:r>
      <w:r w:rsidRPr="00D45549">
        <w:rPr>
          <w:rFonts w:ascii="Times New Roman" w:eastAsia="Times New Roman" w:hAnsi="Times New Roman" w:cs="Times New Roman"/>
          <w:sz w:val="24"/>
          <w:szCs w:val="24"/>
          <w:lang w:eastAsia="en-IN"/>
        </w:rPr>
        <w:t xml:space="preserve"> (8th ed.). New Delhi: ICMR.</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lastRenderedPageBreak/>
        <w:t xml:space="preserve">Jia, X., Yuan, B., Wang, W.,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(2024). Gene editing tool-loaded biomimetic cationic vesicles for in vivo eradication of pathogens. </w:t>
      </w:r>
      <w:r w:rsidRPr="00D45549">
        <w:rPr>
          <w:rFonts w:ascii="Times New Roman" w:eastAsia="Times New Roman" w:hAnsi="Times New Roman" w:cs="Times New Roman"/>
          <w:i/>
          <w:iCs/>
          <w:sz w:val="24"/>
          <w:szCs w:val="24"/>
          <w:lang w:eastAsia="en-IN"/>
        </w:rPr>
        <w:t>Journal of Nanobiotechnology</w:t>
      </w:r>
      <w:r w:rsidRPr="00D45549">
        <w:rPr>
          <w:rFonts w:ascii="Times New Roman" w:eastAsia="Times New Roman" w:hAnsi="Times New Roman" w:cs="Times New Roman"/>
          <w:sz w:val="24"/>
          <w:szCs w:val="24"/>
          <w:lang w:eastAsia="en-IN"/>
        </w:rPr>
        <w:t>, 22(1), 787.</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Kang, Y.K., Kwon, K., Ryu, J.S.,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(2017). </w:t>
      </w:r>
      <w:proofErr w:type="spellStart"/>
      <w:r w:rsidRPr="00D45549">
        <w:rPr>
          <w:rFonts w:ascii="Times New Roman" w:eastAsia="Times New Roman" w:hAnsi="Times New Roman" w:cs="Times New Roman"/>
          <w:sz w:val="24"/>
          <w:szCs w:val="24"/>
          <w:lang w:eastAsia="en-IN"/>
        </w:rPr>
        <w:t>Nonviral</w:t>
      </w:r>
      <w:proofErr w:type="spellEnd"/>
      <w:r w:rsidRPr="00D45549">
        <w:rPr>
          <w:rFonts w:ascii="Times New Roman" w:eastAsia="Times New Roman" w:hAnsi="Times New Roman" w:cs="Times New Roman"/>
          <w:sz w:val="24"/>
          <w:szCs w:val="24"/>
          <w:lang w:eastAsia="en-IN"/>
        </w:rPr>
        <w:t xml:space="preserve"> genome editing based on a polymer-derivatized CRISPR nanocomplex. </w:t>
      </w:r>
      <w:r w:rsidRPr="00D45549">
        <w:rPr>
          <w:rFonts w:ascii="Times New Roman" w:eastAsia="Times New Roman" w:hAnsi="Times New Roman" w:cs="Times New Roman"/>
          <w:i/>
          <w:iCs/>
          <w:sz w:val="24"/>
          <w:szCs w:val="24"/>
          <w:lang w:eastAsia="en-IN"/>
        </w:rPr>
        <w:t>Bioconjugate Chemistry</w:t>
      </w:r>
      <w:r w:rsidRPr="00D45549">
        <w:rPr>
          <w:rFonts w:ascii="Times New Roman" w:eastAsia="Times New Roman" w:hAnsi="Times New Roman" w:cs="Times New Roman"/>
          <w:sz w:val="24"/>
          <w:szCs w:val="24"/>
          <w:lang w:eastAsia="en-IN"/>
        </w:rPr>
        <w:t>, 28(4), 957–967.</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Khambhati</w:t>
      </w:r>
      <w:proofErr w:type="spellEnd"/>
      <w:r w:rsidRPr="00D45549">
        <w:rPr>
          <w:rFonts w:ascii="Times New Roman" w:eastAsia="Times New Roman" w:hAnsi="Times New Roman" w:cs="Times New Roman"/>
          <w:sz w:val="24"/>
          <w:szCs w:val="24"/>
          <w:lang w:eastAsia="en-IN"/>
        </w:rPr>
        <w:t xml:space="preserve">, K., Bhattacharjee, G., Gohil, N.,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(2023). Phage engineering and phage-assisted CRISPR-Cas delivery. </w:t>
      </w:r>
      <w:r w:rsidRPr="00D45549">
        <w:rPr>
          <w:rFonts w:ascii="Times New Roman" w:eastAsia="Times New Roman" w:hAnsi="Times New Roman" w:cs="Times New Roman"/>
          <w:i/>
          <w:iCs/>
          <w:sz w:val="24"/>
          <w:szCs w:val="24"/>
          <w:lang w:eastAsia="en-IN"/>
        </w:rPr>
        <w:t>Bioengineering &amp; Translational Medicine</w:t>
      </w:r>
      <w:r w:rsidRPr="00D45549">
        <w:rPr>
          <w:rFonts w:ascii="Times New Roman" w:eastAsia="Times New Roman" w:hAnsi="Times New Roman" w:cs="Times New Roman"/>
          <w:sz w:val="24"/>
          <w:szCs w:val="24"/>
          <w:lang w:eastAsia="en-IN"/>
        </w:rPr>
        <w:t>, 8(2), e10381.</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Kiga</w:t>
      </w:r>
      <w:proofErr w:type="spellEnd"/>
      <w:r w:rsidRPr="00D45549">
        <w:rPr>
          <w:rFonts w:ascii="Times New Roman" w:eastAsia="Times New Roman" w:hAnsi="Times New Roman" w:cs="Times New Roman"/>
          <w:sz w:val="24"/>
          <w:szCs w:val="24"/>
          <w:lang w:eastAsia="en-IN"/>
        </w:rPr>
        <w:t xml:space="preserve">, K., Tan, X., Ibarra-Chávez, R.,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(2020). Development of CRISPR-Cas13a-based antimicrobials. </w:t>
      </w:r>
      <w:r w:rsidRPr="00D45549">
        <w:rPr>
          <w:rFonts w:ascii="Times New Roman" w:eastAsia="Times New Roman" w:hAnsi="Times New Roman" w:cs="Times New Roman"/>
          <w:i/>
          <w:iCs/>
          <w:sz w:val="24"/>
          <w:szCs w:val="24"/>
          <w:lang w:eastAsia="en-IN"/>
        </w:rPr>
        <w:t>Nature Communications</w:t>
      </w:r>
      <w:r w:rsidRPr="00D45549">
        <w:rPr>
          <w:rFonts w:ascii="Times New Roman" w:eastAsia="Times New Roman" w:hAnsi="Times New Roman" w:cs="Times New Roman"/>
          <w:sz w:val="24"/>
          <w:szCs w:val="24"/>
          <w:lang w:eastAsia="en-IN"/>
        </w:rPr>
        <w:t>, 11(1), 2934.</w:t>
      </w:r>
    </w:p>
    <w:p w:rsidR="002C4284"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Lam, K.N., </w:t>
      </w:r>
      <w:proofErr w:type="spellStart"/>
      <w:r w:rsidRPr="00D45549">
        <w:rPr>
          <w:rFonts w:ascii="Times New Roman" w:eastAsia="Times New Roman" w:hAnsi="Times New Roman" w:cs="Times New Roman"/>
          <w:sz w:val="24"/>
          <w:szCs w:val="24"/>
          <w:lang w:eastAsia="en-IN"/>
        </w:rPr>
        <w:t>Spanogiannopoulos</w:t>
      </w:r>
      <w:proofErr w:type="spellEnd"/>
      <w:r w:rsidRPr="00D45549">
        <w:rPr>
          <w:rFonts w:ascii="Times New Roman" w:eastAsia="Times New Roman" w:hAnsi="Times New Roman" w:cs="Times New Roman"/>
          <w:sz w:val="24"/>
          <w:szCs w:val="24"/>
          <w:lang w:eastAsia="en-IN"/>
        </w:rPr>
        <w:t xml:space="preserve">, P., Soto-Perez, P.,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(2021). Phage-delivered CRISPR-Cas9 for microbiome editing. </w:t>
      </w:r>
      <w:r w:rsidRPr="00D45549">
        <w:rPr>
          <w:rFonts w:ascii="Times New Roman" w:eastAsia="Times New Roman" w:hAnsi="Times New Roman" w:cs="Times New Roman"/>
          <w:i/>
          <w:iCs/>
          <w:sz w:val="24"/>
          <w:szCs w:val="24"/>
          <w:lang w:eastAsia="en-IN"/>
        </w:rPr>
        <w:t>Cell Reports</w:t>
      </w:r>
      <w:r w:rsidRPr="00D45549">
        <w:rPr>
          <w:rFonts w:ascii="Times New Roman" w:eastAsia="Times New Roman" w:hAnsi="Times New Roman" w:cs="Times New Roman"/>
          <w:sz w:val="24"/>
          <w:szCs w:val="24"/>
          <w:lang w:eastAsia="en-IN"/>
        </w:rPr>
        <w:t>, 37, 109930.</w:t>
      </w:r>
    </w:p>
    <w:p w:rsidR="00F05D9E" w:rsidRPr="00F05D9E" w:rsidRDefault="00F05D9E" w:rsidP="00EC4C5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05D9E">
        <w:rPr>
          <w:rFonts w:ascii="Times New Roman" w:hAnsi="Times New Roman" w:cs="Times New Roman"/>
          <w:sz w:val="24"/>
        </w:rPr>
        <w:t xml:space="preserve">Locus Biosciences. </w:t>
      </w:r>
      <w:r w:rsidRPr="00F05D9E">
        <w:rPr>
          <w:rStyle w:val="Emphasis"/>
          <w:rFonts w:ascii="Times New Roman" w:hAnsi="Times New Roman" w:cs="Times New Roman"/>
          <w:sz w:val="24"/>
        </w:rPr>
        <w:t>A Phase 2, Double-blind, Randomized, Active-controlled Evaluation of the Safety, Tolerability, Pharmacokinetics and Efficacy of LBP-EC01 in the Treatment of Acute Uncomplicated Urinary Tract Infection Caused by Drug Resistant E. coli</w:t>
      </w:r>
      <w:r w:rsidRPr="00F05D9E">
        <w:rPr>
          <w:rFonts w:ascii="Times New Roman" w:hAnsi="Times New Roman" w:cs="Times New Roman"/>
          <w:sz w:val="24"/>
        </w:rPr>
        <w:t xml:space="preserve">. ClinicalTrials.gov Identifier: NCT05488340. Available from: </w:t>
      </w:r>
      <w:hyperlink r:id="rId8" w:tgtFrame="_new" w:history="1">
        <w:r w:rsidRPr="00F05D9E">
          <w:rPr>
            <w:rStyle w:val="Hyperlink"/>
            <w:rFonts w:ascii="Times New Roman" w:hAnsi="Times New Roman" w:cs="Times New Roman"/>
            <w:sz w:val="24"/>
          </w:rPr>
          <w:t>https://clinicaltrials.gov/study/NCT05488340</w:t>
        </w:r>
      </w:hyperlink>
      <w:r w:rsidRPr="00F05D9E">
        <w:rPr>
          <w:rFonts w:ascii="Times New Roman" w:hAnsi="Times New Roman" w:cs="Times New Roman"/>
          <w:sz w:val="24"/>
        </w:rPr>
        <w:t xml:space="preserve">. </w:t>
      </w:r>
    </w:p>
    <w:p w:rsidR="002C4284" w:rsidRPr="00F05D9E" w:rsidRDefault="002C4284" w:rsidP="00EC4C5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F05D9E">
        <w:rPr>
          <w:rFonts w:ascii="Times New Roman" w:eastAsia="Times New Roman" w:hAnsi="Times New Roman" w:cs="Times New Roman"/>
          <w:sz w:val="24"/>
          <w:szCs w:val="24"/>
          <w:lang w:eastAsia="en-IN"/>
        </w:rPr>
        <w:t>Lotvall</w:t>
      </w:r>
      <w:proofErr w:type="spellEnd"/>
      <w:r w:rsidRPr="00F05D9E">
        <w:rPr>
          <w:rFonts w:ascii="Times New Roman" w:eastAsia="Times New Roman" w:hAnsi="Times New Roman" w:cs="Times New Roman"/>
          <w:sz w:val="24"/>
          <w:szCs w:val="24"/>
          <w:lang w:eastAsia="en-IN"/>
        </w:rPr>
        <w:t xml:space="preserve">, J., Hill, A.F., Hochberg, F., </w:t>
      </w:r>
      <w:proofErr w:type="spellStart"/>
      <w:r w:rsidRPr="00F05D9E">
        <w:rPr>
          <w:rFonts w:ascii="Times New Roman" w:eastAsia="Times New Roman" w:hAnsi="Times New Roman" w:cs="Times New Roman"/>
          <w:sz w:val="24"/>
          <w:szCs w:val="24"/>
          <w:lang w:eastAsia="en-IN"/>
        </w:rPr>
        <w:t>Buzas</w:t>
      </w:r>
      <w:proofErr w:type="spellEnd"/>
      <w:r w:rsidRPr="00F05D9E">
        <w:rPr>
          <w:rFonts w:ascii="Times New Roman" w:eastAsia="Times New Roman" w:hAnsi="Times New Roman" w:cs="Times New Roman"/>
          <w:sz w:val="24"/>
          <w:szCs w:val="24"/>
          <w:lang w:eastAsia="en-IN"/>
        </w:rPr>
        <w:t xml:space="preserve">, E.I., Di </w:t>
      </w:r>
      <w:proofErr w:type="spellStart"/>
      <w:r w:rsidRPr="00F05D9E">
        <w:rPr>
          <w:rFonts w:ascii="Times New Roman" w:eastAsia="Times New Roman" w:hAnsi="Times New Roman" w:cs="Times New Roman"/>
          <w:sz w:val="24"/>
          <w:szCs w:val="24"/>
          <w:lang w:eastAsia="en-IN"/>
        </w:rPr>
        <w:t>Vizio</w:t>
      </w:r>
      <w:proofErr w:type="spellEnd"/>
      <w:r w:rsidRPr="00F05D9E">
        <w:rPr>
          <w:rFonts w:ascii="Times New Roman" w:eastAsia="Times New Roman" w:hAnsi="Times New Roman" w:cs="Times New Roman"/>
          <w:sz w:val="24"/>
          <w:szCs w:val="24"/>
          <w:lang w:eastAsia="en-IN"/>
        </w:rPr>
        <w:t xml:space="preserve">, D., Gardiner, C., </w:t>
      </w:r>
      <w:r w:rsidR="00B56F51" w:rsidRPr="00B56F51">
        <w:rPr>
          <w:rFonts w:ascii="Times New Roman" w:eastAsia="Times New Roman" w:hAnsi="Times New Roman" w:cs="Times New Roman"/>
          <w:i/>
          <w:sz w:val="24"/>
          <w:szCs w:val="24"/>
          <w:lang w:eastAsia="en-IN"/>
        </w:rPr>
        <w:t>et al</w:t>
      </w:r>
      <w:r w:rsidRPr="00F05D9E">
        <w:rPr>
          <w:rFonts w:ascii="Times New Roman" w:eastAsia="Times New Roman" w:hAnsi="Times New Roman" w:cs="Times New Roman"/>
          <w:sz w:val="24"/>
          <w:szCs w:val="24"/>
          <w:lang w:eastAsia="en-IN"/>
        </w:rPr>
        <w:t xml:space="preserve">. (2014). Minimal experimental requirements for definition of extracellular vesicles and their functions: a position statement from the International Society for Extracellular Vesicles. </w:t>
      </w:r>
      <w:r w:rsidRPr="00F05D9E">
        <w:rPr>
          <w:rFonts w:ascii="Times New Roman" w:eastAsia="Times New Roman" w:hAnsi="Times New Roman" w:cs="Times New Roman"/>
          <w:i/>
          <w:iCs/>
          <w:sz w:val="24"/>
          <w:szCs w:val="24"/>
          <w:lang w:eastAsia="en-IN"/>
        </w:rPr>
        <w:t>Journal of Extracellular Vesicles</w:t>
      </w:r>
      <w:r w:rsidRPr="00F05D9E">
        <w:rPr>
          <w:rFonts w:ascii="Times New Roman" w:eastAsia="Times New Roman" w:hAnsi="Times New Roman" w:cs="Times New Roman"/>
          <w:sz w:val="24"/>
          <w:szCs w:val="24"/>
          <w:lang w:eastAsia="en-IN"/>
        </w:rPr>
        <w:t>, 3, 26913.</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Long, T.F., Zhou, S.Y., Huang, Z.L.,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(2024). CRISPR-Cas12f delivery system for combating AMR. </w:t>
      </w:r>
      <w:r w:rsidRPr="00D45549">
        <w:rPr>
          <w:rFonts w:ascii="Times New Roman" w:eastAsia="Times New Roman" w:hAnsi="Times New Roman" w:cs="Times New Roman"/>
          <w:i/>
          <w:iCs/>
          <w:sz w:val="24"/>
          <w:szCs w:val="24"/>
          <w:lang w:eastAsia="en-IN"/>
        </w:rPr>
        <w:t>ACS Synthetic Biology</w:t>
      </w:r>
      <w:r w:rsidRPr="00D45549">
        <w:rPr>
          <w:rFonts w:ascii="Times New Roman" w:eastAsia="Times New Roman" w:hAnsi="Times New Roman" w:cs="Times New Roman"/>
          <w:sz w:val="24"/>
          <w:szCs w:val="24"/>
          <w:lang w:eastAsia="en-IN"/>
        </w:rPr>
        <w:t>, 13(6), 1831–1841.</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Lougheed, T.J. (2025). </w:t>
      </w:r>
      <w:r w:rsidRPr="00D45549">
        <w:rPr>
          <w:rFonts w:ascii="Times New Roman" w:eastAsia="Times New Roman" w:hAnsi="Times New Roman" w:cs="Times New Roman"/>
          <w:i/>
          <w:iCs/>
          <w:sz w:val="24"/>
          <w:szCs w:val="24"/>
          <w:lang w:eastAsia="en-IN"/>
        </w:rPr>
        <w:t>Developing a conjugative CRISPR-Cas9 plasmid for targeting antimicrobial resistance genes</w:t>
      </w:r>
      <w:r w:rsidRPr="00D45549">
        <w:rPr>
          <w:rFonts w:ascii="Times New Roman" w:eastAsia="Times New Roman" w:hAnsi="Times New Roman" w:cs="Times New Roman"/>
          <w:sz w:val="24"/>
          <w:szCs w:val="24"/>
          <w:lang w:eastAsia="en-IN"/>
        </w:rPr>
        <w:t xml:space="preserve"> (Master’s thesis). University of Guelph.</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Momen-Heravi</w:t>
      </w:r>
      <w:proofErr w:type="spellEnd"/>
      <w:r w:rsidRPr="00D45549">
        <w:rPr>
          <w:rFonts w:ascii="Times New Roman" w:eastAsia="Times New Roman" w:hAnsi="Times New Roman" w:cs="Times New Roman"/>
          <w:sz w:val="24"/>
          <w:szCs w:val="24"/>
          <w:lang w:eastAsia="en-IN"/>
        </w:rPr>
        <w:t xml:space="preserve">, F., Getting, S.J., &amp; </w:t>
      </w:r>
      <w:proofErr w:type="spellStart"/>
      <w:r w:rsidRPr="00D45549">
        <w:rPr>
          <w:rFonts w:ascii="Times New Roman" w:eastAsia="Times New Roman" w:hAnsi="Times New Roman" w:cs="Times New Roman"/>
          <w:sz w:val="24"/>
          <w:szCs w:val="24"/>
          <w:lang w:eastAsia="en-IN"/>
        </w:rPr>
        <w:t>Moschos</w:t>
      </w:r>
      <w:proofErr w:type="spellEnd"/>
      <w:r w:rsidRPr="00D45549">
        <w:rPr>
          <w:rFonts w:ascii="Times New Roman" w:eastAsia="Times New Roman" w:hAnsi="Times New Roman" w:cs="Times New Roman"/>
          <w:sz w:val="24"/>
          <w:szCs w:val="24"/>
          <w:lang w:eastAsia="en-IN"/>
        </w:rPr>
        <w:t xml:space="preserve">, S.A. (2018). Extracellular vesicles and their nucleic acids for biomarker discovery. </w:t>
      </w:r>
      <w:r w:rsidRPr="00D45549">
        <w:rPr>
          <w:rFonts w:ascii="Times New Roman" w:eastAsia="Times New Roman" w:hAnsi="Times New Roman" w:cs="Times New Roman"/>
          <w:i/>
          <w:iCs/>
          <w:sz w:val="24"/>
          <w:szCs w:val="24"/>
          <w:lang w:eastAsia="en-IN"/>
        </w:rPr>
        <w:t>Pharmacology &amp; Therapeutics</w:t>
      </w:r>
      <w:r w:rsidRPr="00D45549">
        <w:rPr>
          <w:rFonts w:ascii="Times New Roman" w:eastAsia="Times New Roman" w:hAnsi="Times New Roman" w:cs="Times New Roman"/>
          <w:sz w:val="24"/>
          <w:szCs w:val="24"/>
          <w:lang w:eastAsia="en-IN"/>
        </w:rPr>
        <w:t>, 192, 170–187.</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Okesanya</w:t>
      </w:r>
      <w:proofErr w:type="spellEnd"/>
      <w:r w:rsidRPr="00D45549">
        <w:rPr>
          <w:rFonts w:ascii="Times New Roman" w:eastAsia="Times New Roman" w:hAnsi="Times New Roman" w:cs="Times New Roman"/>
          <w:sz w:val="24"/>
          <w:szCs w:val="24"/>
          <w:lang w:eastAsia="en-IN"/>
        </w:rPr>
        <w:t xml:space="preserve">, O.J., Ahmed, M.M., </w:t>
      </w:r>
      <w:proofErr w:type="spellStart"/>
      <w:r w:rsidRPr="00D45549">
        <w:rPr>
          <w:rFonts w:ascii="Times New Roman" w:eastAsia="Times New Roman" w:hAnsi="Times New Roman" w:cs="Times New Roman"/>
          <w:sz w:val="24"/>
          <w:szCs w:val="24"/>
          <w:lang w:eastAsia="en-IN"/>
        </w:rPr>
        <w:t>Ogaya</w:t>
      </w:r>
      <w:proofErr w:type="spellEnd"/>
      <w:r w:rsidRPr="00D45549">
        <w:rPr>
          <w:rFonts w:ascii="Times New Roman" w:eastAsia="Times New Roman" w:hAnsi="Times New Roman" w:cs="Times New Roman"/>
          <w:sz w:val="24"/>
          <w:szCs w:val="24"/>
          <w:lang w:eastAsia="en-IN"/>
        </w:rPr>
        <w:t xml:space="preserve">, J.B.,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(2025). Reinvigorating AMR resilience using CRISPR–Cas technology. </w:t>
      </w:r>
      <w:r w:rsidRPr="00D45549">
        <w:rPr>
          <w:rFonts w:ascii="Times New Roman" w:eastAsia="Times New Roman" w:hAnsi="Times New Roman" w:cs="Times New Roman"/>
          <w:i/>
          <w:iCs/>
          <w:sz w:val="24"/>
          <w:szCs w:val="24"/>
          <w:lang w:eastAsia="en-IN"/>
        </w:rPr>
        <w:t>Tropical Medicine and Health</w:t>
      </w:r>
      <w:r w:rsidRPr="00D45549">
        <w:rPr>
          <w:rFonts w:ascii="Times New Roman" w:eastAsia="Times New Roman" w:hAnsi="Times New Roman" w:cs="Times New Roman"/>
          <w:sz w:val="24"/>
          <w:szCs w:val="24"/>
          <w:lang w:eastAsia="en-IN"/>
        </w:rPr>
        <w:t>, 53(1), 43.</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Palacios Araya, D., Palmer, K.L., &amp; </w:t>
      </w:r>
      <w:proofErr w:type="spellStart"/>
      <w:r w:rsidRPr="00D45549">
        <w:rPr>
          <w:rFonts w:ascii="Times New Roman" w:eastAsia="Times New Roman" w:hAnsi="Times New Roman" w:cs="Times New Roman"/>
          <w:sz w:val="24"/>
          <w:szCs w:val="24"/>
          <w:lang w:eastAsia="en-IN"/>
        </w:rPr>
        <w:t>Duerkop</w:t>
      </w:r>
      <w:proofErr w:type="spellEnd"/>
      <w:r w:rsidRPr="00D45549">
        <w:rPr>
          <w:rFonts w:ascii="Times New Roman" w:eastAsia="Times New Roman" w:hAnsi="Times New Roman" w:cs="Times New Roman"/>
          <w:sz w:val="24"/>
          <w:szCs w:val="24"/>
          <w:lang w:eastAsia="en-IN"/>
        </w:rPr>
        <w:t xml:space="preserve">, B.A. (2021). CRISPR-based antimicrobials. </w:t>
      </w:r>
      <w:proofErr w:type="spellStart"/>
      <w:r w:rsidRPr="00D45549">
        <w:rPr>
          <w:rFonts w:ascii="Times New Roman" w:eastAsia="Times New Roman" w:hAnsi="Times New Roman" w:cs="Times New Roman"/>
          <w:i/>
          <w:iCs/>
          <w:sz w:val="24"/>
          <w:szCs w:val="24"/>
          <w:lang w:eastAsia="en-IN"/>
        </w:rPr>
        <w:t>PLoS</w:t>
      </w:r>
      <w:proofErr w:type="spellEnd"/>
      <w:r w:rsidRPr="00D45549">
        <w:rPr>
          <w:rFonts w:ascii="Times New Roman" w:eastAsia="Times New Roman" w:hAnsi="Times New Roman" w:cs="Times New Roman"/>
          <w:i/>
          <w:iCs/>
          <w:sz w:val="24"/>
          <w:szCs w:val="24"/>
          <w:lang w:eastAsia="en-IN"/>
        </w:rPr>
        <w:t xml:space="preserve"> Pathogens</w:t>
      </w:r>
      <w:r w:rsidRPr="00D45549">
        <w:rPr>
          <w:rFonts w:ascii="Times New Roman" w:eastAsia="Times New Roman" w:hAnsi="Times New Roman" w:cs="Times New Roman"/>
          <w:sz w:val="24"/>
          <w:szCs w:val="24"/>
          <w:lang w:eastAsia="en-IN"/>
        </w:rPr>
        <w:t>, 17(7), e1009672.</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Park, J.Y., Moon, B.Y., Park, J.W.,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(2017). Phage-based CRISPR/Cas9 antimicrobials against </w:t>
      </w:r>
      <w:r w:rsidRPr="00D45549">
        <w:rPr>
          <w:rFonts w:ascii="Times New Roman" w:eastAsia="Times New Roman" w:hAnsi="Times New Roman" w:cs="Times New Roman"/>
          <w:i/>
          <w:iCs/>
          <w:sz w:val="24"/>
          <w:szCs w:val="24"/>
          <w:lang w:eastAsia="en-IN"/>
        </w:rPr>
        <w:t>Staphylococcus aureus</w:t>
      </w:r>
      <w:r w:rsidRPr="00D45549">
        <w:rPr>
          <w:rFonts w:ascii="Times New Roman" w:eastAsia="Times New Roman" w:hAnsi="Times New Roman" w:cs="Times New Roman"/>
          <w:sz w:val="24"/>
          <w:szCs w:val="24"/>
          <w:lang w:eastAsia="en-IN"/>
        </w:rPr>
        <w:t xml:space="preserve">. </w:t>
      </w:r>
      <w:r w:rsidRPr="00D45549">
        <w:rPr>
          <w:rFonts w:ascii="Times New Roman" w:eastAsia="Times New Roman" w:hAnsi="Times New Roman" w:cs="Times New Roman"/>
          <w:i/>
          <w:iCs/>
          <w:sz w:val="24"/>
          <w:szCs w:val="24"/>
          <w:lang w:eastAsia="en-IN"/>
        </w:rPr>
        <w:t>Scientific Reports</w:t>
      </w:r>
      <w:r w:rsidRPr="00D45549">
        <w:rPr>
          <w:rFonts w:ascii="Times New Roman" w:eastAsia="Times New Roman" w:hAnsi="Times New Roman" w:cs="Times New Roman"/>
          <w:sz w:val="24"/>
          <w:szCs w:val="24"/>
          <w:lang w:eastAsia="en-IN"/>
        </w:rPr>
        <w:t>, 7(1), 44929.</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lastRenderedPageBreak/>
        <w:t>Prokhorova</w:t>
      </w:r>
      <w:proofErr w:type="spellEnd"/>
      <w:r w:rsidRPr="00D45549">
        <w:rPr>
          <w:rFonts w:ascii="Times New Roman" w:eastAsia="Times New Roman" w:hAnsi="Times New Roman" w:cs="Times New Roman"/>
          <w:sz w:val="24"/>
          <w:szCs w:val="24"/>
          <w:lang w:eastAsia="en-IN"/>
        </w:rPr>
        <w:t xml:space="preserve">, D.V., </w:t>
      </w:r>
      <w:proofErr w:type="spellStart"/>
      <w:r w:rsidRPr="00D45549">
        <w:rPr>
          <w:rFonts w:ascii="Times New Roman" w:eastAsia="Times New Roman" w:hAnsi="Times New Roman" w:cs="Times New Roman"/>
          <w:sz w:val="24"/>
          <w:szCs w:val="24"/>
          <w:lang w:eastAsia="en-IN"/>
        </w:rPr>
        <w:t>Vokhtantsev</w:t>
      </w:r>
      <w:proofErr w:type="spellEnd"/>
      <w:r w:rsidRPr="00D45549">
        <w:rPr>
          <w:rFonts w:ascii="Times New Roman" w:eastAsia="Times New Roman" w:hAnsi="Times New Roman" w:cs="Times New Roman"/>
          <w:sz w:val="24"/>
          <w:szCs w:val="24"/>
          <w:lang w:eastAsia="en-IN"/>
        </w:rPr>
        <w:t xml:space="preserve">, I.P., </w:t>
      </w:r>
      <w:proofErr w:type="spellStart"/>
      <w:r w:rsidRPr="00D45549">
        <w:rPr>
          <w:rFonts w:ascii="Times New Roman" w:eastAsia="Times New Roman" w:hAnsi="Times New Roman" w:cs="Times New Roman"/>
          <w:sz w:val="24"/>
          <w:szCs w:val="24"/>
          <w:lang w:eastAsia="en-IN"/>
        </w:rPr>
        <w:t>Tolstova</w:t>
      </w:r>
      <w:proofErr w:type="spellEnd"/>
      <w:r w:rsidRPr="00D45549">
        <w:rPr>
          <w:rFonts w:ascii="Times New Roman" w:eastAsia="Times New Roman" w:hAnsi="Times New Roman" w:cs="Times New Roman"/>
          <w:sz w:val="24"/>
          <w:szCs w:val="24"/>
          <w:lang w:eastAsia="en-IN"/>
        </w:rPr>
        <w:t xml:space="preserve">, P.O.,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(2022). Guide RNA modifications in CRISPR-Cas9. </w:t>
      </w:r>
      <w:r w:rsidRPr="00D45549">
        <w:rPr>
          <w:rFonts w:ascii="Times New Roman" w:eastAsia="Times New Roman" w:hAnsi="Times New Roman" w:cs="Times New Roman"/>
          <w:i/>
          <w:iCs/>
          <w:sz w:val="24"/>
          <w:szCs w:val="24"/>
          <w:lang w:eastAsia="en-IN"/>
        </w:rPr>
        <w:t>CRISPR Journal</w:t>
      </w:r>
      <w:r w:rsidRPr="00D45549">
        <w:rPr>
          <w:rFonts w:ascii="Times New Roman" w:eastAsia="Times New Roman" w:hAnsi="Times New Roman" w:cs="Times New Roman"/>
          <w:sz w:val="24"/>
          <w:szCs w:val="24"/>
          <w:lang w:eastAsia="en-IN"/>
        </w:rPr>
        <w:t>, 5(6), 799–812.</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Roberts, A., Adler, B.A., Cress, B.F.,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(2025). Phage-based delivery of CRISPR-associated transposases. </w:t>
      </w:r>
      <w:r w:rsidRPr="00D45549">
        <w:rPr>
          <w:rFonts w:ascii="Times New Roman" w:eastAsia="Times New Roman" w:hAnsi="Times New Roman" w:cs="Times New Roman"/>
          <w:i/>
          <w:iCs/>
          <w:sz w:val="24"/>
          <w:szCs w:val="24"/>
          <w:lang w:eastAsia="en-IN"/>
        </w:rPr>
        <w:t>Proceedings of the National Academy of Sciences</w:t>
      </w:r>
      <w:r w:rsidRPr="00D45549">
        <w:rPr>
          <w:rFonts w:ascii="Times New Roman" w:eastAsia="Times New Roman" w:hAnsi="Times New Roman" w:cs="Times New Roman"/>
          <w:sz w:val="24"/>
          <w:szCs w:val="24"/>
          <w:lang w:eastAsia="en-IN"/>
        </w:rPr>
        <w:t>, 122(30), e2504853122.</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Shi, Y.J., </w:t>
      </w:r>
      <w:proofErr w:type="spellStart"/>
      <w:r w:rsidRPr="00D45549">
        <w:rPr>
          <w:rFonts w:ascii="Times New Roman" w:eastAsia="Times New Roman" w:hAnsi="Times New Roman" w:cs="Times New Roman"/>
          <w:sz w:val="24"/>
          <w:szCs w:val="24"/>
          <w:lang w:eastAsia="en-IN"/>
        </w:rPr>
        <w:t>Duan</w:t>
      </w:r>
      <w:proofErr w:type="spellEnd"/>
      <w:r w:rsidRPr="00D45549">
        <w:rPr>
          <w:rFonts w:ascii="Times New Roman" w:eastAsia="Times New Roman" w:hAnsi="Times New Roman" w:cs="Times New Roman"/>
          <w:sz w:val="24"/>
          <w:szCs w:val="24"/>
          <w:lang w:eastAsia="en-IN"/>
        </w:rPr>
        <w:t xml:space="preserve">, M., Ding, J.M.,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(2022). DNA topology and Cas9 interaction. </w:t>
      </w:r>
      <w:r w:rsidRPr="00D45549">
        <w:rPr>
          <w:rFonts w:ascii="Times New Roman" w:eastAsia="Times New Roman" w:hAnsi="Times New Roman" w:cs="Times New Roman"/>
          <w:i/>
          <w:iCs/>
          <w:sz w:val="24"/>
          <w:szCs w:val="24"/>
          <w:lang w:eastAsia="en-IN"/>
        </w:rPr>
        <w:t>Molecular Cell</w:t>
      </w:r>
      <w:r w:rsidRPr="00D45549">
        <w:rPr>
          <w:rFonts w:ascii="Times New Roman" w:eastAsia="Times New Roman" w:hAnsi="Times New Roman" w:cs="Times New Roman"/>
          <w:sz w:val="24"/>
          <w:szCs w:val="24"/>
          <w:lang w:eastAsia="en-IN"/>
        </w:rPr>
        <w:t>, 82(21), 4160–4175.</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Sünderhauf</w:t>
      </w:r>
      <w:proofErr w:type="spellEnd"/>
      <w:r w:rsidRPr="00D45549">
        <w:rPr>
          <w:rFonts w:ascii="Times New Roman" w:eastAsia="Times New Roman" w:hAnsi="Times New Roman" w:cs="Times New Roman"/>
          <w:sz w:val="24"/>
          <w:szCs w:val="24"/>
          <w:lang w:eastAsia="en-IN"/>
        </w:rPr>
        <w:t xml:space="preserve">, D., </w:t>
      </w:r>
      <w:proofErr w:type="spellStart"/>
      <w:r w:rsidRPr="00D45549">
        <w:rPr>
          <w:rFonts w:ascii="Times New Roman" w:eastAsia="Times New Roman" w:hAnsi="Times New Roman" w:cs="Times New Roman"/>
          <w:sz w:val="24"/>
          <w:szCs w:val="24"/>
          <w:lang w:eastAsia="en-IN"/>
        </w:rPr>
        <w:t>Klümper</w:t>
      </w:r>
      <w:proofErr w:type="spellEnd"/>
      <w:r w:rsidRPr="00D45549">
        <w:rPr>
          <w:rFonts w:ascii="Times New Roman" w:eastAsia="Times New Roman" w:hAnsi="Times New Roman" w:cs="Times New Roman"/>
          <w:sz w:val="24"/>
          <w:szCs w:val="24"/>
          <w:lang w:eastAsia="en-IN"/>
        </w:rPr>
        <w:t xml:space="preserve">, U., </w:t>
      </w:r>
      <w:proofErr w:type="spellStart"/>
      <w:r w:rsidRPr="00D45549">
        <w:rPr>
          <w:rFonts w:ascii="Times New Roman" w:eastAsia="Times New Roman" w:hAnsi="Times New Roman" w:cs="Times New Roman"/>
          <w:sz w:val="24"/>
          <w:szCs w:val="24"/>
          <w:lang w:eastAsia="en-IN"/>
        </w:rPr>
        <w:t>Pursey</w:t>
      </w:r>
      <w:proofErr w:type="spellEnd"/>
      <w:r w:rsidRPr="00D45549">
        <w:rPr>
          <w:rFonts w:ascii="Times New Roman" w:eastAsia="Times New Roman" w:hAnsi="Times New Roman" w:cs="Times New Roman"/>
          <w:sz w:val="24"/>
          <w:szCs w:val="24"/>
          <w:lang w:eastAsia="en-IN"/>
        </w:rPr>
        <w:t xml:space="preserve">, E.,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(2025). Removal of AMR plasmids using CRISPR delivery tool. </w:t>
      </w:r>
      <w:r w:rsidRPr="00D45549">
        <w:rPr>
          <w:rFonts w:ascii="Times New Roman" w:eastAsia="Times New Roman" w:hAnsi="Times New Roman" w:cs="Times New Roman"/>
          <w:i/>
          <w:iCs/>
          <w:sz w:val="24"/>
          <w:szCs w:val="24"/>
          <w:lang w:eastAsia="en-IN"/>
        </w:rPr>
        <w:t>Microbiology</w:t>
      </w:r>
      <w:r w:rsidRPr="00D45549">
        <w:rPr>
          <w:rFonts w:ascii="Times New Roman" w:eastAsia="Times New Roman" w:hAnsi="Times New Roman" w:cs="Times New Roman"/>
          <w:sz w:val="24"/>
          <w:szCs w:val="24"/>
          <w:lang w:eastAsia="en-IN"/>
        </w:rPr>
        <w:t>, 169(5), 001334.</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Tang, K.W.K., Millar, B.C., &amp; Moore, J.E. (2023). Antimicrobial resistance overview. </w:t>
      </w:r>
      <w:r w:rsidRPr="00D45549">
        <w:rPr>
          <w:rFonts w:ascii="Times New Roman" w:eastAsia="Times New Roman" w:hAnsi="Times New Roman" w:cs="Times New Roman"/>
          <w:i/>
          <w:iCs/>
          <w:sz w:val="24"/>
          <w:szCs w:val="24"/>
          <w:lang w:eastAsia="en-IN"/>
        </w:rPr>
        <w:t>British Journal of Biomedical Science</w:t>
      </w:r>
      <w:r w:rsidRPr="00D45549">
        <w:rPr>
          <w:rFonts w:ascii="Times New Roman" w:eastAsia="Times New Roman" w:hAnsi="Times New Roman" w:cs="Times New Roman"/>
          <w:sz w:val="24"/>
          <w:szCs w:val="24"/>
          <w:lang w:eastAsia="en-IN"/>
        </w:rPr>
        <w:t>, 80, 11387.</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Tao, S., Chen, H., Li, N., &amp; Liang, W. (2022). CRISPR-Cas in antibiotic resistance. </w:t>
      </w:r>
      <w:r w:rsidRPr="00D45549">
        <w:rPr>
          <w:rFonts w:ascii="Times New Roman" w:eastAsia="Times New Roman" w:hAnsi="Times New Roman" w:cs="Times New Roman"/>
          <w:i/>
          <w:iCs/>
          <w:sz w:val="24"/>
          <w:szCs w:val="24"/>
          <w:lang w:eastAsia="en-IN"/>
        </w:rPr>
        <w:t>Infection and Drug Resistance</w:t>
      </w:r>
      <w:r w:rsidRPr="00D45549">
        <w:rPr>
          <w:rFonts w:ascii="Times New Roman" w:eastAsia="Times New Roman" w:hAnsi="Times New Roman" w:cs="Times New Roman"/>
          <w:sz w:val="24"/>
          <w:szCs w:val="24"/>
          <w:lang w:eastAsia="en-IN"/>
        </w:rPr>
        <w:t>, 15, 4155–4168.</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Uddin, F., Rudin, C.M., &amp; Sen, T. (2020). CRISPR gene therapy applications. </w:t>
      </w:r>
      <w:r w:rsidRPr="00D45549">
        <w:rPr>
          <w:rFonts w:ascii="Times New Roman" w:eastAsia="Times New Roman" w:hAnsi="Times New Roman" w:cs="Times New Roman"/>
          <w:i/>
          <w:iCs/>
          <w:sz w:val="24"/>
          <w:szCs w:val="24"/>
          <w:lang w:eastAsia="en-IN"/>
        </w:rPr>
        <w:t>Frontiers in Oncology</w:t>
      </w:r>
      <w:r w:rsidRPr="00D45549">
        <w:rPr>
          <w:rFonts w:ascii="Times New Roman" w:eastAsia="Times New Roman" w:hAnsi="Times New Roman" w:cs="Times New Roman"/>
          <w:sz w:val="24"/>
          <w:szCs w:val="24"/>
          <w:lang w:eastAsia="en-IN"/>
        </w:rPr>
        <w:t>, 10, 1387.</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Wang, Y., Wang, S., Chen, W.,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(2018). Genome editing in </w:t>
      </w:r>
      <w:r w:rsidRPr="00D45549">
        <w:rPr>
          <w:rFonts w:ascii="Times New Roman" w:eastAsia="Times New Roman" w:hAnsi="Times New Roman" w:cs="Times New Roman"/>
          <w:i/>
          <w:iCs/>
          <w:sz w:val="24"/>
          <w:szCs w:val="24"/>
          <w:lang w:eastAsia="en-IN"/>
        </w:rPr>
        <w:t>Klebsiella pneumoniae</w:t>
      </w:r>
      <w:r w:rsidRPr="00D45549">
        <w:rPr>
          <w:rFonts w:ascii="Times New Roman" w:eastAsia="Times New Roman" w:hAnsi="Times New Roman" w:cs="Times New Roman"/>
          <w:sz w:val="24"/>
          <w:szCs w:val="24"/>
          <w:lang w:eastAsia="en-IN"/>
        </w:rPr>
        <w:t xml:space="preserve">. </w:t>
      </w:r>
      <w:r w:rsidRPr="00D45549">
        <w:rPr>
          <w:rFonts w:ascii="Times New Roman" w:eastAsia="Times New Roman" w:hAnsi="Times New Roman" w:cs="Times New Roman"/>
          <w:i/>
          <w:iCs/>
          <w:sz w:val="24"/>
          <w:szCs w:val="24"/>
          <w:lang w:eastAsia="en-IN"/>
        </w:rPr>
        <w:t>Applied and Environmental Microbiology</w:t>
      </w:r>
      <w:r w:rsidRPr="00D45549">
        <w:rPr>
          <w:rFonts w:ascii="Times New Roman" w:eastAsia="Times New Roman" w:hAnsi="Times New Roman" w:cs="Times New Roman"/>
          <w:sz w:val="24"/>
          <w:szCs w:val="24"/>
          <w:lang w:eastAsia="en-IN"/>
        </w:rPr>
        <w:t>, 84, e01834.</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Wang, R., Shu, X., Zhao, H.,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(2023). CRISPR-Cas with toxin-antitoxin systems. </w:t>
      </w:r>
      <w:r w:rsidRPr="00D45549">
        <w:rPr>
          <w:rFonts w:ascii="Times New Roman" w:eastAsia="Times New Roman" w:hAnsi="Times New Roman" w:cs="Times New Roman"/>
          <w:i/>
          <w:iCs/>
          <w:sz w:val="24"/>
          <w:szCs w:val="24"/>
          <w:lang w:eastAsia="en-IN"/>
        </w:rPr>
        <w:t>Nature Communications</w:t>
      </w:r>
      <w:r w:rsidRPr="00D45549">
        <w:rPr>
          <w:rFonts w:ascii="Times New Roman" w:eastAsia="Times New Roman" w:hAnsi="Times New Roman" w:cs="Times New Roman"/>
          <w:sz w:val="24"/>
          <w:szCs w:val="24"/>
          <w:lang w:eastAsia="en-IN"/>
        </w:rPr>
        <w:t>, 14(1), 2078.</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Wu, X., Zhu, J., Tao, P., &amp; Rao, V.B. (2021). Bacteriophage T4 escapes CRISPR attack. </w:t>
      </w:r>
      <w:r w:rsidRPr="00D45549">
        <w:rPr>
          <w:rFonts w:ascii="Times New Roman" w:eastAsia="Times New Roman" w:hAnsi="Times New Roman" w:cs="Times New Roman"/>
          <w:i/>
          <w:iCs/>
          <w:sz w:val="24"/>
          <w:szCs w:val="24"/>
          <w:lang w:eastAsia="en-IN"/>
        </w:rPr>
        <w:t>mBio</w:t>
      </w:r>
      <w:r w:rsidRPr="00D45549">
        <w:rPr>
          <w:rFonts w:ascii="Times New Roman" w:eastAsia="Times New Roman" w:hAnsi="Times New Roman" w:cs="Times New Roman"/>
          <w:sz w:val="24"/>
          <w:szCs w:val="24"/>
          <w:lang w:eastAsia="en-IN"/>
        </w:rPr>
        <w:t>, 12(3), e01281-21.</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Yan, W., Banerjee, P., Xu, M.,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(2021). Phage formulation strategies. </w:t>
      </w:r>
      <w:r w:rsidRPr="00D45549">
        <w:rPr>
          <w:rFonts w:ascii="Times New Roman" w:eastAsia="Times New Roman" w:hAnsi="Times New Roman" w:cs="Times New Roman"/>
          <w:i/>
          <w:iCs/>
          <w:sz w:val="24"/>
          <w:szCs w:val="24"/>
          <w:lang w:eastAsia="en-IN"/>
        </w:rPr>
        <w:t>Advanced Drug Delivery Reviews</w:t>
      </w:r>
      <w:r w:rsidRPr="00D45549">
        <w:rPr>
          <w:rFonts w:ascii="Times New Roman" w:eastAsia="Times New Roman" w:hAnsi="Times New Roman" w:cs="Times New Roman"/>
          <w:sz w:val="24"/>
          <w:szCs w:val="24"/>
          <w:lang w:eastAsia="en-IN"/>
        </w:rPr>
        <w:t>, 176, 113864.</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Yang, S., Hu, G., Wang, J., &amp; Song, J. (2024). CRISPR tools for large DNA integration. </w:t>
      </w:r>
      <w:r w:rsidRPr="00D45549">
        <w:rPr>
          <w:rFonts w:ascii="Times New Roman" w:eastAsia="Times New Roman" w:hAnsi="Times New Roman" w:cs="Times New Roman"/>
          <w:i/>
          <w:iCs/>
          <w:sz w:val="24"/>
          <w:szCs w:val="24"/>
          <w:lang w:eastAsia="en-IN"/>
        </w:rPr>
        <w:t>ACS Synthetic Biology</w:t>
      </w:r>
      <w:r w:rsidRPr="00D45549">
        <w:rPr>
          <w:rFonts w:ascii="Times New Roman" w:eastAsia="Times New Roman" w:hAnsi="Times New Roman" w:cs="Times New Roman"/>
          <w:sz w:val="24"/>
          <w:szCs w:val="24"/>
          <w:lang w:eastAsia="en-IN"/>
        </w:rPr>
        <w:t>, 14(1), 57–71.</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D45549">
        <w:rPr>
          <w:rFonts w:ascii="Times New Roman" w:eastAsia="Times New Roman" w:hAnsi="Times New Roman" w:cs="Times New Roman"/>
          <w:sz w:val="24"/>
          <w:szCs w:val="24"/>
          <w:lang w:eastAsia="en-IN"/>
        </w:rPr>
        <w:t>Zakrzewska</w:t>
      </w:r>
      <w:proofErr w:type="spellEnd"/>
      <w:r w:rsidRPr="00D45549">
        <w:rPr>
          <w:rFonts w:ascii="Times New Roman" w:eastAsia="Times New Roman" w:hAnsi="Times New Roman" w:cs="Times New Roman"/>
          <w:sz w:val="24"/>
          <w:szCs w:val="24"/>
          <w:lang w:eastAsia="en-IN"/>
        </w:rPr>
        <w:t xml:space="preserve">, M., &amp; </w:t>
      </w:r>
      <w:proofErr w:type="spellStart"/>
      <w:r w:rsidRPr="00D45549">
        <w:rPr>
          <w:rFonts w:ascii="Times New Roman" w:eastAsia="Times New Roman" w:hAnsi="Times New Roman" w:cs="Times New Roman"/>
          <w:sz w:val="24"/>
          <w:szCs w:val="24"/>
          <w:lang w:eastAsia="en-IN"/>
        </w:rPr>
        <w:t>Burmistrz</w:t>
      </w:r>
      <w:proofErr w:type="spellEnd"/>
      <w:r w:rsidRPr="00D45549">
        <w:rPr>
          <w:rFonts w:ascii="Times New Roman" w:eastAsia="Times New Roman" w:hAnsi="Times New Roman" w:cs="Times New Roman"/>
          <w:sz w:val="24"/>
          <w:szCs w:val="24"/>
          <w:lang w:eastAsia="en-IN"/>
        </w:rPr>
        <w:t xml:space="preserve">, M. (2023). Regulation of CRISPR-Cas systems. </w:t>
      </w:r>
      <w:r w:rsidRPr="00D45549">
        <w:rPr>
          <w:rFonts w:ascii="Times New Roman" w:eastAsia="Times New Roman" w:hAnsi="Times New Roman" w:cs="Times New Roman"/>
          <w:i/>
          <w:iCs/>
          <w:sz w:val="24"/>
          <w:szCs w:val="24"/>
          <w:lang w:eastAsia="en-IN"/>
        </w:rPr>
        <w:t>Frontiers in Microbiology</w:t>
      </w:r>
      <w:r w:rsidRPr="00D45549">
        <w:rPr>
          <w:rFonts w:ascii="Times New Roman" w:eastAsia="Times New Roman" w:hAnsi="Times New Roman" w:cs="Times New Roman"/>
          <w:sz w:val="24"/>
          <w:szCs w:val="24"/>
          <w:lang w:eastAsia="en-IN"/>
        </w:rPr>
        <w:t>, 14, 1060337.</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Zhang, L., Wang, L., </w:t>
      </w:r>
      <w:proofErr w:type="spellStart"/>
      <w:r w:rsidRPr="00D45549">
        <w:rPr>
          <w:rFonts w:ascii="Times New Roman" w:eastAsia="Times New Roman" w:hAnsi="Times New Roman" w:cs="Times New Roman"/>
          <w:sz w:val="24"/>
          <w:szCs w:val="24"/>
          <w:lang w:eastAsia="en-IN"/>
        </w:rPr>
        <w:t>Xie</w:t>
      </w:r>
      <w:proofErr w:type="spellEnd"/>
      <w:r w:rsidRPr="00D45549">
        <w:rPr>
          <w:rFonts w:ascii="Times New Roman" w:eastAsia="Times New Roman" w:hAnsi="Times New Roman" w:cs="Times New Roman"/>
          <w:sz w:val="24"/>
          <w:szCs w:val="24"/>
          <w:lang w:eastAsia="en-IN"/>
        </w:rPr>
        <w:t xml:space="preserve">, Y., </w:t>
      </w:r>
      <w:r w:rsidR="00B56F51" w:rsidRPr="00B56F51">
        <w:rPr>
          <w:rFonts w:ascii="Times New Roman" w:eastAsia="Times New Roman" w:hAnsi="Times New Roman" w:cs="Times New Roman"/>
          <w:i/>
          <w:sz w:val="24"/>
          <w:szCs w:val="24"/>
          <w:lang w:eastAsia="en-IN"/>
        </w:rPr>
        <w:t>et al</w:t>
      </w:r>
      <w:r w:rsidRPr="00D45549">
        <w:rPr>
          <w:rFonts w:ascii="Times New Roman" w:eastAsia="Times New Roman" w:hAnsi="Times New Roman" w:cs="Times New Roman"/>
          <w:sz w:val="24"/>
          <w:szCs w:val="24"/>
          <w:lang w:eastAsia="en-IN"/>
        </w:rPr>
        <w:t xml:space="preserve">. (2019). CRISPR/Cas9 delivery strategies. </w:t>
      </w:r>
      <w:proofErr w:type="spellStart"/>
      <w:r w:rsidRPr="00D45549">
        <w:rPr>
          <w:rFonts w:ascii="Times New Roman" w:eastAsia="Times New Roman" w:hAnsi="Times New Roman" w:cs="Times New Roman"/>
          <w:i/>
          <w:iCs/>
          <w:sz w:val="24"/>
          <w:szCs w:val="24"/>
          <w:lang w:eastAsia="en-IN"/>
        </w:rPr>
        <w:t>Angewandte</w:t>
      </w:r>
      <w:proofErr w:type="spellEnd"/>
      <w:r w:rsidRPr="00D45549">
        <w:rPr>
          <w:rFonts w:ascii="Times New Roman" w:eastAsia="Times New Roman" w:hAnsi="Times New Roman" w:cs="Times New Roman"/>
          <w:i/>
          <w:iCs/>
          <w:sz w:val="24"/>
          <w:szCs w:val="24"/>
          <w:lang w:eastAsia="en-IN"/>
        </w:rPr>
        <w:t xml:space="preserve"> </w:t>
      </w:r>
      <w:proofErr w:type="spellStart"/>
      <w:r w:rsidRPr="00D45549">
        <w:rPr>
          <w:rFonts w:ascii="Times New Roman" w:eastAsia="Times New Roman" w:hAnsi="Times New Roman" w:cs="Times New Roman"/>
          <w:i/>
          <w:iCs/>
          <w:sz w:val="24"/>
          <w:szCs w:val="24"/>
          <w:lang w:eastAsia="en-IN"/>
        </w:rPr>
        <w:t>Chemie</w:t>
      </w:r>
      <w:proofErr w:type="spellEnd"/>
      <w:r w:rsidRPr="00D45549">
        <w:rPr>
          <w:rFonts w:ascii="Times New Roman" w:eastAsia="Times New Roman" w:hAnsi="Times New Roman" w:cs="Times New Roman"/>
          <w:i/>
          <w:iCs/>
          <w:sz w:val="24"/>
          <w:szCs w:val="24"/>
          <w:lang w:eastAsia="en-IN"/>
        </w:rPr>
        <w:t xml:space="preserve"> International Edition</w:t>
      </w:r>
      <w:r w:rsidRPr="00D45549">
        <w:rPr>
          <w:rFonts w:ascii="Times New Roman" w:eastAsia="Times New Roman" w:hAnsi="Times New Roman" w:cs="Times New Roman"/>
          <w:sz w:val="24"/>
          <w:szCs w:val="24"/>
          <w:lang w:eastAsia="en-IN"/>
        </w:rPr>
        <w:t>, 58(36), 12404–12408.</w:t>
      </w:r>
    </w:p>
    <w:p w:rsidR="002C4284" w:rsidRPr="00D45549" w:rsidRDefault="002C4284" w:rsidP="002C4284">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D45549">
        <w:rPr>
          <w:rFonts w:ascii="Times New Roman" w:eastAsia="Times New Roman" w:hAnsi="Times New Roman" w:cs="Times New Roman"/>
          <w:sz w:val="24"/>
          <w:szCs w:val="24"/>
          <w:lang w:eastAsia="en-IN"/>
        </w:rPr>
        <w:t xml:space="preserve">Zubair, A., Ali, M., Ahmad, F., &amp; </w:t>
      </w:r>
      <w:proofErr w:type="spellStart"/>
      <w:r w:rsidRPr="00D45549">
        <w:rPr>
          <w:rFonts w:ascii="Times New Roman" w:eastAsia="Times New Roman" w:hAnsi="Times New Roman" w:cs="Times New Roman"/>
          <w:sz w:val="24"/>
          <w:szCs w:val="24"/>
          <w:lang w:eastAsia="en-IN"/>
        </w:rPr>
        <w:t>Althobaiti</w:t>
      </w:r>
      <w:proofErr w:type="spellEnd"/>
      <w:r w:rsidRPr="00D45549">
        <w:rPr>
          <w:rFonts w:ascii="Times New Roman" w:eastAsia="Times New Roman" w:hAnsi="Times New Roman" w:cs="Times New Roman"/>
          <w:sz w:val="24"/>
          <w:szCs w:val="24"/>
          <w:lang w:eastAsia="en-IN"/>
        </w:rPr>
        <w:t xml:space="preserve">, S.A. (2025). TALENs and ZFNs in therapy. </w:t>
      </w:r>
      <w:r w:rsidRPr="00D45549">
        <w:rPr>
          <w:rFonts w:ascii="Times New Roman" w:eastAsia="Times New Roman" w:hAnsi="Times New Roman" w:cs="Times New Roman"/>
          <w:i/>
          <w:iCs/>
          <w:sz w:val="24"/>
          <w:szCs w:val="24"/>
          <w:lang w:eastAsia="en-IN"/>
        </w:rPr>
        <w:t>Molecular Biology Reports</w:t>
      </w:r>
      <w:r w:rsidRPr="00D45549">
        <w:rPr>
          <w:rFonts w:ascii="Times New Roman" w:eastAsia="Times New Roman" w:hAnsi="Times New Roman" w:cs="Times New Roman"/>
          <w:sz w:val="24"/>
          <w:szCs w:val="24"/>
          <w:lang w:eastAsia="en-IN"/>
        </w:rPr>
        <w:t>, 52(1), 948.</w:t>
      </w:r>
    </w:p>
    <w:p w:rsidR="00B31F0F" w:rsidRDefault="00B31F0F" w:rsidP="00731E8C">
      <w:pPr>
        <w:pStyle w:val="NormalWeb"/>
        <w:spacing w:line="360" w:lineRule="auto"/>
        <w:jc w:val="both"/>
      </w:pPr>
    </w:p>
    <w:p w:rsidR="00140D50" w:rsidRDefault="00140D50" w:rsidP="00731E8C">
      <w:pPr>
        <w:pStyle w:val="NormalWeb"/>
        <w:spacing w:line="360" w:lineRule="auto"/>
        <w:jc w:val="both"/>
      </w:pPr>
    </w:p>
    <w:p w:rsidR="00204688" w:rsidRPr="00810DB7" w:rsidRDefault="00204688" w:rsidP="00731E8C">
      <w:pPr>
        <w:tabs>
          <w:tab w:val="left" w:pos="2268"/>
        </w:tabs>
        <w:spacing w:line="360" w:lineRule="auto"/>
        <w:jc w:val="both"/>
        <w:rPr>
          <w:rFonts w:ascii="Times New Roman" w:hAnsi="Times New Roman" w:cs="Times New Roman"/>
          <w:sz w:val="28"/>
          <w:szCs w:val="24"/>
        </w:rPr>
      </w:pPr>
    </w:p>
    <w:sectPr w:rsidR="00204688" w:rsidRPr="00810D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4A73"/>
    <w:multiLevelType w:val="hybridMultilevel"/>
    <w:tmpl w:val="61DC9EA0"/>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6B0220"/>
    <w:multiLevelType w:val="hybridMultilevel"/>
    <w:tmpl w:val="52EEDF96"/>
    <w:lvl w:ilvl="0" w:tplc="3390A44A">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0027975"/>
    <w:multiLevelType w:val="hybridMultilevel"/>
    <w:tmpl w:val="45D688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8B83AA4"/>
    <w:multiLevelType w:val="hybridMultilevel"/>
    <w:tmpl w:val="E33614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BD25F26"/>
    <w:multiLevelType w:val="hybridMultilevel"/>
    <w:tmpl w:val="B6263F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D18"/>
    <w:rsid w:val="0000353E"/>
    <w:rsid w:val="000111A2"/>
    <w:rsid w:val="00020ADF"/>
    <w:rsid w:val="00036B89"/>
    <w:rsid w:val="000645C9"/>
    <w:rsid w:val="00075E20"/>
    <w:rsid w:val="000A41A1"/>
    <w:rsid w:val="000A48D9"/>
    <w:rsid w:val="000E356F"/>
    <w:rsid w:val="001010EA"/>
    <w:rsid w:val="00116D05"/>
    <w:rsid w:val="0014099D"/>
    <w:rsid w:val="00140D50"/>
    <w:rsid w:val="00165A31"/>
    <w:rsid w:val="001854EF"/>
    <w:rsid w:val="001A3B15"/>
    <w:rsid w:val="001C2EFA"/>
    <w:rsid w:val="001D4CCE"/>
    <w:rsid w:val="001D5C87"/>
    <w:rsid w:val="001E3E8E"/>
    <w:rsid w:val="001E5BAD"/>
    <w:rsid w:val="001F0D59"/>
    <w:rsid w:val="002002FF"/>
    <w:rsid w:val="00202411"/>
    <w:rsid w:val="00204688"/>
    <w:rsid w:val="0020770C"/>
    <w:rsid w:val="002105D0"/>
    <w:rsid w:val="00221F6E"/>
    <w:rsid w:val="00223CC2"/>
    <w:rsid w:val="00235F71"/>
    <w:rsid w:val="0024122B"/>
    <w:rsid w:val="0025719C"/>
    <w:rsid w:val="00282DA5"/>
    <w:rsid w:val="002A2FA0"/>
    <w:rsid w:val="002B51FB"/>
    <w:rsid w:val="002C4284"/>
    <w:rsid w:val="002F46E0"/>
    <w:rsid w:val="003051CE"/>
    <w:rsid w:val="00310A25"/>
    <w:rsid w:val="00320A29"/>
    <w:rsid w:val="0034047D"/>
    <w:rsid w:val="003444A6"/>
    <w:rsid w:val="0035256F"/>
    <w:rsid w:val="00356ED2"/>
    <w:rsid w:val="00356FA1"/>
    <w:rsid w:val="003A6056"/>
    <w:rsid w:val="003B70B6"/>
    <w:rsid w:val="003D470A"/>
    <w:rsid w:val="003E5801"/>
    <w:rsid w:val="00403E7F"/>
    <w:rsid w:val="00432BD6"/>
    <w:rsid w:val="004610E9"/>
    <w:rsid w:val="0046604F"/>
    <w:rsid w:val="00475D05"/>
    <w:rsid w:val="00494542"/>
    <w:rsid w:val="004B07D4"/>
    <w:rsid w:val="004D4105"/>
    <w:rsid w:val="004E48A1"/>
    <w:rsid w:val="0054002E"/>
    <w:rsid w:val="00554D60"/>
    <w:rsid w:val="00556DBE"/>
    <w:rsid w:val="00584861"/>
    <w:rsid w:val="005B7D24"/>
    <w:rsid w:val="005E3529"/>
    <w:rsid w:val="00615433"/>
    <w:rsid w:val="006251D7"/>
    <w:rsid w:val="00663049"/>
    <w:rsid w:val="00664414"/>
    <w:rsid w:val="006872B7"/>
    <w:rsid w:val="006940C5"/>
    <w:rsid w:val="006954BE"/>
    <w:rsid w:val="006C0EA9"/>
    <w:rsid w:val="006D3C1D"/>
    <w:rsid w:val="006F6AB5"/>
    <w:rsid w:val="00710C89"/>
    <w:rsid w:val="007123AA"/>
    <w:rsid w:val="00731ACB"/>
    <w:rsid w:val="00731E8C"/>
    <w:rsid w:val="0073233C"/>
    <w:rsid w:val="007420E9"/>
    <w:rsid w:val="00743CC2"/>
    <w:rsid w:val="00747221"/>
    <w:rsid w:val="0075357D"/>
    <w:rsid w:val="0078164C"/>
    <w:rsid w:val="00797E18"/>
    <w:rsid w:val="007B4D6C"/>
    <w:rsid w:val="007B5559"/>
    <w:rsid w:val="007D4C46"/>
    <w:rsid w:val="007D6BD9"/>
    <w:rsid w:val="00810DB7"/>
    <w:rsid w:val="0081219A"/>
    <w:rsid w:val="00824E8C"/>
    <w:rsid w:val="00830081"/>
    <w:rsid w:val="0083068B"/>
    <w:rsid w:val="00842E2C"/>
    <w:rsid w:val="00854721"/>
    <w:rsid w:val="00861380"/>
    <w:rsid w:val="00865253"/>
    <w:rsid w:val="008841E8"/>
    <w:rsid w:val="00892ADA"/>
    <w:rsid w:val="008B1C15"/>
    <w:rsid w:val="008D0993"/>
    <w:rsid w:val="008D35A5"/>
    <w:rsid w:val="008D370E"/>
    <w:rsid w:val="00911EE8"/>
    <w:rsid w:val="00927477"/>
    <w:rsid w:val="00965372"/>
    <w:rsid w:val="009B277E"/>
    <w:rsid w:val="009B3ECA"/>
    <w:rsid w:val="009B5BBB"/>
    <w:rsid w:val="009C4B3D"/>
    <w:rsid w:val="009C75B4"/>
    <w:rsid w:val="009E7564"/>
    <w:rsid w:val="009F0B4A"/>
    <w:rsid w:val="009F6D3D"/>
    <w:rsid w:val="00A01F9B"/>
    <w:rsid w:val="00A2784B"/>
    <w:rsid w:val="00A56939"/>
    <w:rsid w:val="00A8218C"/>
    <w:rsid w:val="00AA058A"/>
    <w:rsid w:val="00AA7D18"/>
    <w:rsid w:val="00AB6E0E"/>
    <w:rsid w:val="00B120C4"/>
    <w:rsid w:val="00B31F0F"/>
    <w:rsid w:val="00B414A8"/>
    <w:rsid w:val="00B43D8C"/>
    <w:rsid w:val="00B56F51"/>
    <w:rsid w:val="00B76C28"/>
    <w:rsid w:val="00B87C93"/>
    <w:rsid w:val="00BB18EF"/>
    <w:rsid w:val="00BE4AB5"/>
    <w:rsid w:val="00BF2618"/>
    <w:rsid w:val="00C02668"/>
    <w:rsid w:val="00C10AAD"/>
    <w:rsid w:val="00C210AA"/>
    <w:rsid w:val="00C31F9A"/>
    <w:rsid w:val="00C3335F"/>
    <w:rsid w:val="00C463D8"/>
    <w:rsid w:val="00CA3448"/>
    <w:rsid w:val="00CC426E"/>
    <w:rsid w:val="00CD6DD6"/>
    <w:rsid w:val="00CE657B"/>
    <w:rsid w:val="00CF1DDD"/>
    <w:rsid w:val="00CF43B1"/>
    <w:rsid w:val="00D10D62"/>
    <w:rsid w:val="00D167F7"/>
    <w:rsid w:val="00D17CD6"/>
    <w:rsid w:val="00D31112"/>
    <w:rsid w:val="00D46F70"/>
    <w:rsid w:val="00D8622A"/>
    <w:rsid w:val="00DE0E3E"/>
    <w:rsid w:val="00E06748"/>
    <w:rsid w:val="00E14BEF"/>
    <w:rsid w:val="00E35913"/>
    <w:rsid w:val="00E36961"/>
    <w:rsid w:val="00E55FD5"/>
    <w:rsid w:val="00E56E91"/>
    <w:rsid w:val="00E602E2"/>
    <w:rsid w:val="00E7394B"/>
    <w:rsid w:val="00ED4762"/>
    <w:rsid w:val="00F05416"/>
    <w:rsid w:val="00F05D9E"/>
    <w:rsid w:val="00F34FD8"/>
    <w:rsid w:val="00FA041B"/>
    <w:rsid w:val="00FA0DCD"/>
    <w:rsid w:val="00FE1E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1CA6A"/>
  <w15:chartTrackingRefBased/>
  <w15:docId w15:val="{C4C8DBF6-E909-4064-B747-60461D79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747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927477"/>
    <w:rPr>
      <w:i/>
      <w:iCs/>
    </w:rPr>
  </w:style>
  <w:style w:type="table" w:styleId="TableGrid">
    <w:name w:val="Table Grid"/>
    <w:basedOn w:val="TableNormal"/>
    <w:uiPriority w:val="39"/>
    <w:rsid w:val="008D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622A"/>
    <w:pPr>
      <w:ind w:left="720"/>
      <w:contextualSpacing/>
    </w:pPr>
  </w:style>
  <w:style w:type="character" w:styleId="Hyperlink">
    <w:name w:val="Hyperlink"/>
    <w:basedOn w:val="DefaultParagraphFont"/>
    <w:uiPriority w:val="99"/>
    <w:unhideWhenUsed/>
    <w:rsid w:val="00D8622A"/>
    <w:rPr>
      <w:color w:val="0563C1" w:themeColor="hyperlink"/>
      <w:u w:val="single"/>
    </w:rPr>
  </w:style>
  <w:style w:type="character" w:customStyle="1" w:styleId="whitespace-normal">
    <w:name w:val="whitespace-normal"/>
    <w:basedOn w:val="DefaultParagraphFont"/>
    <w:rsid w:val="001E5BAD"/>
  </w:style>
  <w:style w:type="character" w:styleId="Strong">
    <w:name w:val="Strong"/>
    <w:basedOn w:val="DefaultParagraphFont"/>
    <w:uiPriority w:val="22"/>
    <w:qFormat/>
    <w:rsid w:val="000A48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905808">
      <w:bodyDiv w:val="1"/>
      <w:marLeft w:val="0"/>
      <w:marRight w:val="0"/>
      <w:marTop w:val="0"/>
      <w:marBottom w:val="0"/>
      <w:divBdr>
        <w:top w:val="none" w:sz="0" w:space="0" w:color="auto"/>
        <w:left w:val="none" w:sz="0" w:space="0" w:color="auto"/>
        <w:bottom w:val="none" w:sz="0" w:space="0" w:color="auto"/>
        <w:right w:val="none" w:sz="0" w:space="0" w:color="auto"/>
      </w:divBdr>
    </w:div>
    <w:div w:id="343095029">
      <w:bodyDiv w:val="1"/>
      <w:marLeft w:val="0"/>
      <w:marRight w:val="0"/>
      <w:marTop w:val="0"/>
      <w:marBottom w:val="0"/>
      <w:divBdr>
        <w:top w:val="none" w:sz="0" w:space="0" w:color="auto"/>
        <w:left w:val="none" w:sz="0" w:space="0" w:color="auto"/>
        <w:bottom w:val="none" w:sz="0" w:space="0" w:color="auto"/>
        <w:right w:val="none" w:sz="0" w:space="0" w:color="auto"/>
      </w:divBdr>
    </w:div>
    <w:div w:id="348146221">
      <w:bodyDiv w:val="1"/>
      <w:marLeft w:val="0"/>
      <w:marRight w:val="0"/>
      <w:marTop w:val="0"/>
      <w:marBottom w:val="0"/>
      <w:divBdr>
        <w:top w:val="none" w:sz="0" w:space="0" w:color="auto"/>
        <w:left w:val="none" w:sz="0" w:space="0" w:color="auto"/>
        <w:bottom w:val="none" w:sz="0" w:space="0" w:color="auto"/>
        <w:right w:val="none" w:sz="0" w:space="0" w:color="auto"/>
      </w:divBdr>
    </w:div>
    <w:div w:id="532158088">
      <w:bodyDiv w:val="1"/>
      <w:marLeft w:val="0"/>
      <w:marRight w:val="0"/>
      <w:marTop w:val="0"/>
      <w:marBottom w:val="0"/>
      <w:divBdr>
        <w:top w:val="none" w:sz="0" w:space="0" w:color="auto"/>
        <w:left w:val="none" w:sz="0" w:space="0" w:color="auto"/>
        <w:bottom w:val="none" w:sz="0" w:space="0" w:color="auto"/>
        <w:right w:val="none" w:sz="0" w:space="0" w:color="auto"/>
      </w:divBdr>
      <w:divsChild>
        <w:div w:id="1682389590">
          <w:marLeft w:val="0"/>
          <w:marRight w:val="0"/>
          <w:marTop w:val="0"/>
          <w:marBottom w:val="0"/>
          <w:divBdr>
            <w:top w:val="none" w:sz="0" w:space="0" w:color="auto"/>
            <w:left w:val="none" w:sz="0" w:space="0" w:color="auto"/>
            <w:bottom w:val="none" w:sz="0" w:space="0" w:color="auto"/>
            <w:right w:val="none" w:sz="0" w:space="0" w:color="auto"/>
          </w:divBdr>
          <w:divsChild>
            <w:div w:id="1238782701">
              <w:marLeft w:val="0"/>
              <w:marRight w:val="0"/>
              <w:marTop w:val="0"/>
              <w:marBottom w:val="0"/>
              <w:divBdr>
                <w:top w:val="none" w:sz="0" w:space="0" w:color="auto"/>
                <w:left w:val="none" w:sz="0" w:space="0" w:color="auto"/>
                <w:bottom w:val="none" w:sz="0" w:space="0" w:color="auto"/>
                <w:right w:val="none" w:sz="0" w:space="0" w:color="auto"/>
              </w:divBdr>
              <w:divsChild>
                <w:div w:id="598409925">
                  <w:marLeft w:val="0"/>
                  <w:marRight w:val="0"/>
                  <w:marTop w:val="0"/>
                  <w:marBottom w:val="0"/>
                  <w:divBdr>
                    <w:top w:val="none" w:sz="0" w:space="0" w:color="auto"/>
                    <w:left w:val="none" w:sz="0" w:space="0" w:color="auto"/>
                    <w:bottom w:val="none" w:sz="0" w:space="0" w:color="auto"/>
                    <w:right w:val="none" w:sz="0" w:space="0" w:color="auto"/>
                  </w:divBdr>
                  <w:divsChild>
                    <w:div w:id="722100438">
                      <w:marLeft w:val="0"/>
                      <w:marRight w:val="0"/>
                      <w:marTop w:val="0"/>
                      <w:marBottom w:val="0"/>
                      <w:divBdr>
                        <w:top w:val="none" w:sz="0" w:space="0" w:color="auto"/>
                        <w:left w:val="none" w:sz="0" w:space="0" w:color="auto"/>
                        <w:bottom w:val="none" w:sz="0" w:space="0" w:color="auto"/>
                        <w:right w:val="none" w:sz="0" w:space="0" w:color="auto"/>
                      </w:divBdr>
                      <w:divsChild>
                        <w:div w:id="766535144">
                          <w:marLeft w:val="0"/>
                          <w:marRight w:val="0"/>
                          <w:marTop w:val="0"/>
                          <w:marBottom w:val="0"/>
                          <w:divBdr>
                            <w:top w:val="none" w:sz="0" w:space="0" w:color="auto"/>
                            <w:left w:val="none" w:sz="0" w:space="0" w:color="auto"/>
                            <w:bottom w:val="none" w:sz="0" w:space="0" w:color="auto"/>
                            <w:right w:val="none" w:sz="0" w:space="0" w:color="auto"/>
                          </w:divBdr>
                          <w:divsChild>
                            <w:div w:id="619216813">
                              <w:marLeft w:val="0"/>
                              <w:marRight w:val="0"/>
                              <w:marTop w:val="0"/>
                              <w:marBottom w:val="0"/>
                              <w:divBdr>
                                <w:top w:val="none" w:sz="0" w:space="0" w:color="auto"/>
                                <w:left w:val="none" w:sz="0" w:space="0" w:color="auto"/>
                                <w:bottom w:val="none" w:sz="0" w:space="0" w:color="auto"/>
                                <w:right w:val="none" w:sz="0" w:space="0" w:color="auto"/>
                              </w:divBdr>
                              <w:divsChild>
                                <w:div w:id="18850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579456">
      <w:bodyDiv w:val="1"/>
      <w:marLeft w:val="0"/>
      <w:marRight w:val="0"/>
      <w:marTop w:val="0"/>
      <w:marBottom w:val="0"/>
      <w:divBdr>
        <w:top w:val="none" w:sz="0" w:space="0" w:color="auto"/>
        <w:left w:val="none" w:sz="0" w:space="0" w:color="auto"/>
        <w:bottom w:val="none" w:sz="0" w:space="0" w:color="auto"/>
        <w:right w:val="none" w:sz="0" w:space="0" w:color="auto"/>
      </w:divBdr>
    </w:div>
    <w:div w:id="543564166">
      <w:bodyDiv w:val="1"/>
      <w:marLeft w:val="0"/>
      <w:marRight w:val="0"/>
      <w:marTop w:val="0"/>
      <w:marBottom w:val="0"/>
      <w:divBdr>
        <w:top w:val="none" w:sz="0" w:space="0" w:color="auto"/>
        <w:left w:val="none" w:sz="0" w:space="0" w:color="auto"/>
        <w:bottom w:val="none" w:sz="0" w:space="0" w:color="auto"/>
        <w:right w:val="none" w:sz="0" w:space="0" w:color="auto"/>
      </w:divBdr>
    </w:div>
    <w:div w:id="569847940">
      <w:bodyDiv w:val="1"/>
      <w:marLeft w:val="0"/>
      <w:marRight w:val="0"/>
      <w:marTop w:val="0"/>
      <w:marBottom w:val="0"/>
      <w:divBdr>
        <w:top w:val="none" w:sz="0" w:space="0" w:color="auto"/>
        <w:left w:val="none" w:sz="0" w:space="0" w:color="auto"/>
        <w:bottom w:val="none" w:sz="0" w:space="0" w:color="auto"/>
        <w:right w:val="none" w:sz="0" w:space="0" w:color="auto"/>
      </w:divBdr>
    </w:div>
    <w:div w:id="664556373">
      <w:bodyDiv w:val="1"/>
      <w:marLeft w:val="0"/>
      <w:marRight w:val="0"/>
      <w:marTop w:val="0"/>
      <w:marBottom w:val="0"/>
      <w:divBdr>
        <w:top w:val="none" w:sz="0" w:space="0" w:color="auto"/>
        <w:left w:val="none" w:sz="0" w:space="0" w:color="auto"/>
        <w:bottom w:val="none" w:sz="0" w:space="0" w:color="auto"/>
        <w:right w:val="none" w:sz="0" w:space="0" w:color="auto"/>
      </w:divBdr>
    </w:div>
    <w:div w:id="783496192">
      <w:bodyDiv w:val="1"/>
      <w:marLeft w:val="0"/>
      <w:marRight w:val="0"/>
      <w:marTop w:val="0"/>
      <w:marBottom w:val="0"/>
      <w:divBdr>
        <w:top w:val="none" w:sz="0" w:space="0" w:color="auto"/>
        <w:left w:val="none" w:sz="0" w:space="0" w:color="auto"/>
        <w:bottom w:val="none" w:sz="0" w:space="0" w:color="auto"/>
        <w:right w:val="none" w:sz="0" w:space="0" w:color="auto"/>
      </w:divBdr>
      <w:divsChild>
        <w:div w:id="958342094">
          <w:marLeft w:val="0"/>
          <w:marRight w:val="0"/>
          <w:marTop w:val="0"/>
          <w:marBottom w:val="0"/>
          <w:divBdr>
            <w:top w:val="none" w:sz="0" w:space="0" w:color="auto"/>
            <w:left w:val="none" w:sz="0" w:space="0" w:color="auto"/>
            <w:bottom w:val="none" w:sz="0" w:space="0" w:color="auto"/>
            <w:right w:val="none" w:sz="0" w:space="0" w:color="auto"/>
          </w:divBdr>
          <w:divsChild>
            <w:div w:id="217011858">
              <w:marLeft w:val="0"/>
              <w:marRight w:val="0"/>
              <w:marTop w:val="0"/>
              <w:marBottom w:val="0"/>
              <w:divBdr>
                <w:top w:val="none" w:sz="0" w:space="0" w:color="auto"/>
                <w:left w:val="none" w:sz="0" w:space="0" w:color="auto"/>
                <w:bottom w:val="none" w:sz="0" w:space="0" w:color="auto"/>
                <w:right w:val="none" w:sz="0" w:space="0" w:color="auto"/>
              </w:divBdr>
              <w:divsChild>
                <w:div w:id="419839781">
                  <w:marLeft w:val="0"/>
                  <w:marRight w:val="0"/>
                  <w:marTop w:val="0"/>
                  <w:marBottom w:val="0"/>
                  <w:divBdr>
                    <w:top w:val="none" w:sz="0" w:space="0" w:color="auto"/>
                    <w:left w:val="none" w:sz="0" w:space="0" w:color="auto"/>
                    <w:bottom w:val="none" w:sz="0" w:space="0" w:color="auto"/>
                    <w:right w:val="none" w:sz="0" w:space="0" w:color="auto"/>
                  </w:divBdr>
                  <w:divsChild>
                    <w:div w:id="936668592">
                      <w:marLeft w:val="0"/>
                      <w:marRight w:val="0"/>
                      <w:marTop w:val="0"/>
                      <w:marBottom w:val="0"/>
                      <w:divBdr>
                        <w:top w:val="none" w:sz="0" w:space="0" w:color="auto"/>
                        <w:left w:val="none" w:sz="0" w:space="0" w:color="auto"/>
                        <w:bottom w:val="none" w:sz="0" w:space="0" w:color="auto"/>
                        <w:right w:val="none" w:sz="0" w:space="0" w:color="auto"/>
                      </w:divBdr>
                      <w:divsChild>
                        <w:div w:id="748963886">
                          <w:marLeft w:val="0"/>
                          <w:marRight w:val="0"/>
                          <w:marTop w:val="0"/>
                          <w:marBottom w:val="0"/>
                          <w:divBdr>
                            <w:top w:val="none" w:sz="0" w:space="0" w:color="auto"/>
                            <w:left w:val="none" w:sz="0" w:space="0" w:color="auto"/>
                            <w:bottom w:val="none" w:sz="0" w:space="0" w:color="auto"/>
                            <w:right w:val="none" w:sz="0" w:space="0" w:color="auto"/>
                          </w:divBdr>
                          <w:divsChild>
                            <w:div w:id="2436274">
                              <w:marLeft w:val="0"/>
                              <w:marRight w:val="0"/>
                              <w:marTop w:val="0"/>
                              <w:marBottom w:val="0"/>
                              <w:divBdr>
                                <w:top w:val="none" w:sz="0" w:space="0" w:color="auto"/>
                                <w:left w:val="none" w:sz="0" w:space="0" w:color="auto"/>
                                <w:bottom w:val="none" w:sz="0" w:space="0" w:color="auto"/>
                                <w:right w:val="none" w:sz="0" w:space="0" w:color="auto"/>
                              </w:divBdr>
                              <w:divsChild>
                                <w:div w:id="15485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541463">
      <w:bodyDiv w:val="1"/>
      <w:marLeft w:val="0"/>
      <w:marRight w:val="0"/>
      <w:marTop w:val="0"/>
      <w:marBottom w:val="0"/>
      <w:divBdr>
        <w:top w:val="none" w:sz="0" w:space="0" w:color="auto"/>
        <w:left w:val="none" w:sz="0" w:space="0" w:color="auto"/>
        <w:bottom w:val="none" w:sz="0" w:space="0" w:color="auto"/>
        <w:right w:val="none" w:sz="0" w:space="0" w:color="auto"/>
      </w:divBdr>
    </w:div>
    <w:div w:id="906063901">
      <w:bodyDiv w:val="1"/>
      <w:marLeft w:val="0"/>
      <w:marRight w:val="0"/>
      <w:marTop w:val="0"/>
      <w:marBottom w:val="0"/>
      <w:divBdr>
        <w:top w:val="none" w:sz="0" w:space="0" w:color="auto"/>
        <w:left w:val="none" w:sz="0" w:space="0" w:color="auto"/>
        <w:bottom w:val="none" w:sz="0" w:space="0" w:color="auto"/>
        <w:right w:val="none" w:sz="0" w:space="0" w:color="auto"/>
      </w:divBdr>
    </w:div>
    <w:div w:id="1066802654">
      <w:bodyDiv w:val="1"/>
      <w:marLeft w:val="0"/>
      <w:marRight w:val="0"/>
      <w:marTop w:val="0"/>
      <w:marBottom w:val="0"/>
      <w:divBdr>
        <w:top w:val="none" w:sz="0" w:space="0" w:color="auto"/>
        <w:left w:val="none" w:sz="0" w:space="0" w:color="auto"/>
        <w:bottom w:val="none" w:sz="0" w:space="0" w:color="auto"/>
        <w:right w:val="none" w:sz="0" w:space="0" w:color="auto"/>
      </w:divBdr>
    </w:div>
    <w:div w:id="1090737364">
      <w:bodyDiv w:val="1"/>
      <w:marLeft w:val="0"/>
      <w:marRight w:val="0"/>
      <w:marTop w:val="0"/>
      <w:marBottom w:val="0"/>
      <w:divBdr>
        <w:top w:val="none" w:sz="0" w:space="0" w:color="auto"/>
        <w:left w:val="none" w:sz="0" w:space="0" w:color="auto"/>
        <w:bottom w:val="none" w:sz="0" w:space="0" w:color="auto"/>
        <w:right w:val="none" w:sz="0" w:space="0" w:color="auto"/>
      </w:divBdr>
      <w:divsChild>
        <w:div w:id="1203445110">
          <w:marLeft w:val="0"/>
          <w:marRight w:val="0"/>
          <w:marTop w:val="0"/>
          <w:marBottom w:val="0"/>
          <w:divBdr>
            <w:top w:val="none" w:sz="0" w:space="0" w:color="auto"/>
            <w:left w:val="none" w:sz="0" w:space="0" w:color="auto"/>
            <w:bottom w:val="none" w:sz="0" w:space="0" w:color="auto"/>
            <w:right w:val="none" w:sz="0" w:space="0" w:color="auto"/>
          </w:divBdr>
          <w:divsChild>
            <w:div w:id="335696630">
              <w:marLeft w:val="0"/>
              <w:marRight w:val="0"/>
              <w:marTop w:val="0"/>
              <w:marBottom w:val="0"/>
              <w:divBdr>
                <w:top w:val="none" w:sz="0" w:space="0" w:color="auto"/>
                <w:left w:val="none" w:sz="0" w:space="0" w:color="auto"/>
                <w:bottom w:val="none" w:sz="0" w:space="0" w:color="auto"/>
                <w:right w:val="none" w:sz="0" w:space="0" w:color="auto"/>
              </w:divBdr>
              <w:divsChild>
                <w:div w:id="1742867471">
                  <w:marLeft w:val="0"/>
                  <w:marRight w:val="0"/>
                  <w:marTop w:val="0"/>
                  <w:marBottom w:val="0"/>
                  <w:divBdr>
                    <w:top w:val="none" w:sz="0" w:space="0" w:color="auto"/>
                    <w:left w:val="none" w:sz="0" w:space="0" w:color="auto"/>
                    <w:bottom w:val="none" w:sz="0" w:space="0" w:color="auto"/>
                    <w:right w:val="none" w:sz="0" w:space="0" w:color="auto"/>
                  </w:divBdr>
                  <w:divsChild>
                    <w:div w:id="2098477179">
                      <w:marLeft w:val="0"/>
                      <w:marRight w:val="0"/>
                      <w:marTop w:val="0"/>
                      <w:marBottom w:val="0"/>
                      <w:divBdr>
                        <w:top w:val="none" w:sz="0" w:space="0" w:color="auto"/>
                        <w:left w:val="none" w:sz="0" w:space="0" w:color="auto"/>
                        <w:bottom w:val="none" w:sz="0" w:space="0" w:color="auto"/>
                        <w:right w:val="none" w:sz="0" w:space="0" w:color="auto"/>
                      </w:divBdr>
                      <w:divsChild>
                        <w:div w:id="1789855901">
                          <w:marLeft w:val="0"/>
                          <w:marRight w:val="0"/>
                          <w:marTop w:val="0"/>
                          <w:marBottom w:val="0"/>
                          <w:divBdr>
                            <w:top w:val="none" w:sz="0" w:space="0" w:color="auto"/>
                            <w:left w:val="none" w:sz="0" w:space="0" w:color="auto"/>
                            <w:bottom w:val="none" w:sz="0" w:space="0" w:color="auto"/>
                            <w:right w:val="none" w:sz="0" w:space="0" w:color="auto"/>
                          </w:divBdr>
                          <w:divsChild>
                            <w:div w:id="5140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559171">
      <w:bodyDiv w:val="1"/>
      <w:marLeft w:val="0"/>
      <w:marRight w:val="0"/>
      <w:marTop w:val="0"/>
      <w:marBottom w:val="0"/>
      <w:divBdr>
        <w:top w:val="none" w:sz="0" w:space="0" w:color="auto"/>
        <w:left w:val="none" w:sz="0" w:space="0" w:color="auto"/>
        <w:bottom w:val="none" w:sz="0" w:space="0" w:color="auto"/>
        <w:right w:val="none" w:sz="0" w:space="0" w:color="auto"/>
      </w:divBdr>
    </w:div>
    <w:div w:id="1339195294">
      <w:bodyDiv w:val="1"/>
      <w:marLeft w:val="0"/>
      <w:marRight w:val="0"/>
      <w:marTop w:val="0"/>
      <w:marBottom w:val="0"/>
      <w:divBdr>
        <w:top w:val="none" w:sz="0" w:space="0" w:color="auto"/>
        <w:left w:val="none" w:sz="0" w:space="0" w:color="auto"/>
        <w:bottom w:val="none" w:sz="0" w:space="0" w:color="auto"/>
        <w:right w:val="none" w:sz="0" w:space="0" w:color="auto"/>
      </w:divBdr>
    </w:div>
    <w:div w:id="1359742801">
      <w:bodyDiv w:val="1"/>
      <w:marLeft w:val="0"/>
      <w:marRight w:val="0"/>
      <w:marTop w:val="0"/>
      <w:marBottom w:val="0"/>
      <w:divBdr>
        <w:top w:val="none" w:sz="0" w:space="0" w:color="auto"/>
        <w:left w:val="none" w:sz="0" w:space="0" w:color="auto"/>
        <w:bottom w:val="none" w:sz="0" w:space="0" w:color="auto"/>
        <w:right w:val="none" w:sz="0" w:space="0" w:color="auto"/>
      </w:divBdr>
    </w:div>
    <w:div w:id="1611819619">
      <w:bodyDiv w:val="1"/>
      <w:marLeft w:val="0"/>
      <w:marRight w:val="0"/>
      <w:marTop w:val="0"/>
      <w:marBottom w:val="0"/>
      <w:divBdr>
        <w:top w:val="none" w:sz="0" w:space="0" w:color="auto"/>
        <w:left w:val="none" w:sz="0" w:space="0" w:color="auto"/>
        <w:bottom w:val="none" w:sz="0" w:space="0" w:color="auto"/>
        <w:right w:val="none" w:sz="0" w:space="0" w:color="auto"/>
      </w:divBdr>
      <w:divsChild>
        <w:div w:id="775371609">
          <w:marLeft w:val="0"/>
          <w:marRight w:val="0"/>
          <w:marTop w:val="0"/>
          <w:marBottom w:val="0"/>
          <w:divBdr>
            <w:top w:val="none" w:sz="0" w:space="0" w:color="auto"/>
            <w:left w:val="none" w:sz="0" w:space="0" w:color="auto"/>
            <w:bottom w:val="none" w:sz="0" w:space="0" w:color="auto"/>
            <w:right w:val="none" w:sz="0" w:space="0" w:color="auto"/>
          </w:divBdr>
          <w:divsChild>
            <w:div w:id="182130667">
              <w:marLeft w:val="0"/>
              <w:marRight w:val="0"/>
              <w:marTop w:val="0"/>
              <w:marBottom w:val="0"/>
              <w:divBdr>
                <w:top w:val="none" w:sz="0" w:space="0" w:color="auto"/>
                <w:left w:val="none" w:sz="0" w:space="0" w:color="auto"/>
                <w:bottom w:val="none" w:sz="0" w:space="0" w:color="auto"/>
                <w:right w:val="none" w:sz="0" w:space="0" w:color="auto"/>
              </w:divBdr>
              <w:divsChild>
                <w:div w:id="50618221">
                  <w:marLeft w:val="0"/>
                  <w:marRight w:val="0"/>
                  <w:marTop w:val="0"/>
                  <w:marBottom w:val="0"/>
                  <w:divBdr>
                    <w:top w:val="none" w:sz="0" w:space="0" w:color="auto"/>
                    <w:left w:val="none" w:sz="0" w:space="0" w:color="auto"/>
                    <w:bottom w:val="none" w:sz="0" w:space="0" w:color="auto"/>
                    <w:right w:val="none" w:sz="0" w:space="0" w:color="auto"/>
                  </w:divBdr>
                  <w:divsChild>
                    <w:div w:id="1612400932">
                      <w:marLeft w:val="0"/>
                      <w:marRight w:val="0"/>
                      <w:marTop w:val="0"/>
                      <w:marBottom w:val="0"/>
                      <w:divBdr>
                        <w:top w:val="none" w:sz="0" w:space="0" w:color="auto"/>
                        <w:left w:val="none" w:sz="0" w:space="0" w:color="auto"/>
                        <w:bottom w:val="none" w:sz="0" w:space="0" w:color="auto"/>
                        <w:right w:val="none" w:sz="0" w:space="0" w:color="auto"/>
                      </w:divBdr>
                      <w:divsChild>
                        <w:div w:id="236792580">
                          <w:marLeft w:val="0"/>
                          <w:marRight w:val="0"/>
                          <w:marTop w:val="0"/>
                          <w:marBottom w:val="0"/>
                          <w:divBdr>
                            <w:top w:val="none" w:sz="0" w:space="0" w:color="auto"/>
                            <w:left w:val="none" w:sz="0" w:space="0" w:color="auto"/>
                            <w:bottom w:val="none" w:sz="0" w:space="0" w:color="auto"/>
                            <w:right w:val="none" w:sz="0" w:space="0" w:color="auto"/>
                          </w:divBdr>
                          <w:divsChild>
                            <w:div w:id="1526216638">
                              <w:marLeft w:val="0"/>
                              <w:marRight w:val="0"/>
                              <w:marTop w:val="0"/>
                              <w:marBottom w:val="0"/>
                              <w:divBdr>
                                <w:top w:val="none" w:sz="0" w:space="0" w:color="auto"/>
                                <w:left w:val="none" w:sz="0" w:space="0" w:color="auto"/>
                                <w:bottom w:val="none" w:sz="0" w:space="0" w:color="auto"/>
                                <w:right w:val="none" w:sz="0" w:space="0" w:color="auto"/>
                              </w:divBdr>
                              <w:divsChild>
                                <w:div w:id="343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545014">
      <w:bodyDiv w:val="1"/>
      <w:marLeft w:val="0"/>
      <w:marRight w:val="0"/>
      <w:marTop w:val="0"/>
      <w:marBottom w:val="0"/>
      <w:divBdr>
        <w:top w:val="none" w:sz="0" w:space="0" w:color="auto"/>
        <w:left w:val="none" w:sz="0" w:space="0" w:color="auto"/>
        <w:bottom w:val="none" w:sz="0" w:space="0" w:color="auto"/>
        <w:right w:val="none" w:sz="0" w:space="0" w:color="auto"/>
      </w:divBdr>
    </w:div>
    <w:div w:id="1632251978">
      <w:bodyDiv w:val="1"/>
      <w:marLeft w:val="0"/>
      <w:marRight w:val="0"/>
      <w:marTop w:val="0"/>
      <w:marBottom w:val="0"/>
      <w:divBdr>
        <w:top w:val="none" w:sz="0" w:space="0" w:color="auto"/>
        <w:left w:val="none" w:sz="0" w:space="0" w:color="auto"/>
        <w:bottom w:val="none" w:sz="0" w:space="0" w:color="auto"/>
        <w:right w:val="none" w:sz="0" w:space="0" w:color="auto"/>
      </w:divBdr>
    </w:div>
    <w:div w:id="1682968062">
      <w:bodyDiv w:val="1"/>
      <w:marLeft w:val="0"/>
      <w:marRight w:val="0"/>
      <w:marTop w:val="0"/>
      <w:marBottom w:val="0"/>
      <w:divBdr>
        <w:top w:val="none" w:sz="0" w:space="0" w:color="auto"/>
        <w:left w:val="none" w:sz="0" w:space="0" w:color="auto"/>
        <w:bottom w:val="none" w:sz="0" w:space="0" w:color="auto"/>
        <w:right w:val="none" w:sz="0" w:space="0" w:color="auto"/>
      </w:divBdr>
    </w:div>
    <w:div w:id="1771848167">
      <w:bodyDiv w:val="1"/>
      <w:marLeft w:val="0"/>
      <w:marRight w:val="0"/>
      <w:marTop w:val="0"/>
      <w:marBottom w:val="0"/>
      <w:divBdr>
        <w:top w:val="none" w:sz="0" w:space="0" w:color="auto"/>
        <w:left w:val="none" w:sz="0" w:space="0" w:color="auto"/>
        <w:bottom w:val="none" w:sz="0" w:space="0" w:color="auto"/>
        <w:right w:val="none" w:sz="0" w:space="0" w:color="auto"/>
      </w:divBdr>
    </w:div>
    <w:div w:id="1801655547">
      <w:bodyDiv w:val="1"/>
      <w:marLeft w:val="0"/>
      <w:marRight w:val="0"/>
      <w:marTop w:val="0"/>
      <w:marBottom w:val="0"/>
      <w:divBdr>
        <w:top w:val="none" w:sz="0" w:space="0" w:color="auto"/>
        <w:left w:val="none" w:sz="0" w:space="0" w:color="auto"/>
        <w:bottom w:val="none" w:sz="0" w:space="0" w:color="auto"/>
        <w:right w:val="none" w:sz="0" w:space="0" w:color="auto"/>
      </w:divBdr>
    </w:div>
    <w:div w:id="1916351014">
      <w:bodyDiv w:val="1"/>
      <w:marLeft w:val="0"/>
      <w:marRight w:val="0"/>
      <w:marTop w:val="0"/>
      <w:marBottom w:val="0"/>
      <w:divBdr>
        <w:top w:val="none" w:sz="0" w:space="0" w:color="auto"/>
        <w:left w:val="none" w:sz="0" w:space="0" w:color="auto"/>
        <w:bottom w:val="none" w:sz="0" w:space="0" w:color="auto"/>
        <w:right w:val="none" w:sz="0" w:space="0" w:color="auto"/>
      </w:divBdr>
    </w:div>
    <w:div w:id="1994602840">
      <w:bodyDiv w:val="1"/>
      <w:marLeft w:val="0"/>
      <w:marRight w:val="0"/>
      <w:marTop w:val="0"/>
      <w:marBottom w:val="0"/>
      <w:divBdr>
        <w:top w:val="none" w:sz="0" w:space="0" w:color="auto"/>
        <w:left w:val="none" w:sz="0" w:space="0" w:color="auto"/>
        <w:bottom w:val="none" w:sz="0" w:space="0" w:color="auto"/>
        <w:right w:val="none" w:sz="0" w:space="0" w:color="auto"/>
      </w:divBdr>
    </w:div>
    <w:div w:id="201575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nicaltrials.gov/study/NCT05488340"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2296</TotalTime>
  <Pages>21</Pages>
  <Words>6418</Words>
  <Characters>36584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1022</cp:lastModifiedBy>
  <cp:revision>193</cp:revision>
  <dcterms:created xsi:type="dcterms:W3CDTF">2026-03-03T05:34:00Z</dcterms:created>
  <dcterms:modified xsi:type="dcterms:W3CDTF">2026-04-28T08:45:00Z</dcterms:modified>
</cp:coreProperties>
</file>