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C9FE6" w14:textId="3ACF6F56" w:rsidR="00056A21" w:rsidRDefault="00056A21" w:rsidP="00F707A8">
      <w:pPr>
        <w:spacing w:before="100" w:beforeAutospacing="1" w:after="100" w:afterAutospacing="1" w:line="480" w:lineRule="auto"/>
        <w:jc w:val="center"/>
        <w:outlineLvl w:val="3"/>
        <w:rPr>
          <w:rFonts w:ascii="Times New Roman" w:eastAsia="Times New Roman" w:hAnsi="Times New Roman" w:cs="Times New Roman"/>
          <w:b/>
          <w:sz w:val="32"/>
          <w:szCs w:val="32"/>
        </w:rPr>
      </w:pPr>
      <w:r w:rsidRPr="00056A21">
        <w:rPr>
          <w:rFonts w:ascii="Times New Roman" w:hAnsi="Times New Roman" w:cs="Times New Roman"/>
          <w:b/>
          <w:bCs/>
          <w:sz w:val="32"/>
          <w:szCs w:val="32"/>
        </w:rPr>
        <w:t xml:space="preserve">Prevalence of </w:t>
      </w:r>
      <w:r w:rsidRPr="00056A21">
        <w:rPr>
          <w:rFonts w:ascii="Times New Roman" w:hAnsi="Times New Roman" w:cs="Times New Roman"/>
          <w:b/>
          <w:bCs/>
          <w:i/>
          <w:sz w:val="32"/>
          <w:szCs w:val="32"/>
        </w:rPr>
        <w:t>Trichophyton rubrum</w:t>
      </w:r>
      <w:r w:rsidRPr="00056A21">
        <w:rPr>
          <w:rFonts w:ascii="Times New Roman" w:hAnsi="Times New Roman" w:cs="Times New Roman"/>
          <w:b/>
          <w:bCs/>
          <w:sz w:val="32"/>
          <w:szCs w:val="32"/>
        </w:rPr>
        <w:t xml:space="preserve"> among </w:t>
      </w:r>
      <w:r w:rsidR="00B30167">
        <w:rPr>
          <w:rFonts w:ascii="Times New Roman" w:eastAsia="Times New Roman" w:hAnsi="Times New Roman" w:cs="Times New Roman"/>
          <w:b/>
          <w:sz w:val="32"/>
          <w:szCs w:val="32"/>
        </w:rPr>
        <w:t>P</w:t>
      </w:r>
      <w:r w:rsidRPr="00056A21">
        <w:rPr>
          <w:rFonts w:ascii="Times New Roman" w:eastAsia="Times New Roman" w:hAnsi="Times New Roman" w:cs="Times New Roman"/>
          <w:b/>
          <w:sz w:val="32"/>
          <w:szCs w:val="32"/>
        </w:rPr>
        <w:t>atients</w:t>
      </w:r>
      <w:r w:rsidR="00B02C19">
        <w:rPr>
          <w:rFonts w:ascii="Times New Roman" w:eastAsia="Times New Roman" w:hAnsi="Times New Roman" w:cs="Times New Roman"/>
          <w:b/>
          <w:sz w:val="32"/>
          <w:szCs w:val="32"/>
        </w:rPr>
        <w:t xml:space="preserve"> </w:t>
      </w:r>
      <w:r w:rsidR="00AF42E6">
        <w:rPr>
          <w:rFonts w:ascii="Times New Roman" w:eastAsia="Times New Roman" w:hAnsi="Times New Roman" w:cs="Times New Roman"/>
          <w:b/>
          <w:sz w:val="32"/>
          <w:szCs w:val="32"/>
        </w:rPr>
        <w:t>Attending</w:t>
      </w:r>
      <w:r w:rsidR="00B30167">
        <w:rPr>
          <w:rFonts w:ascii="Times New Roman" w:eastAsia="Times New Roman" w:hAnsi="Times New Roman" w:cs="Times New Roman"/>
          <w:b/>
          <w:sz w:val="32"/>
          <w:szCs w:val="32"/>
        </w:rPr>
        <w:t xml:space="preserve"> Tertiary Health C</w:t>
      </w:r>
      <w:r w:rsidRPr="00056A21">
        <w:rPr>
          <w:rFonts w:ascii="Times New Roman" w:eastAsia="Times New Roman" w:hAnsi="Times New Roman" w:cs="Times New Roman"/>
          <w:b/>
          <w:sz w:val="32"/>
          <w:szCs w:val="32"/>
        </w:rPr>
        <w:t>enters in Makurdi</w:t>
      </w:r>
      <w:r w:rsidR="00B02C19">
        <w:rPr>
          <w:rFonts w:ascii="Times New Roman" w:eastAsia="Times New Roman" w:hAnsi="Times New Roman" w:cs="Times New Roman"/>
          <w:b/>
          <w:sz w:val="32"/>
          <w:szCs w:val="32"/>
        </w:rPr>
        <w:t>,</w:t>
      </w:r>
      <w:r w:rsidRPr="00056A21">
        <w:rPr>
          <w:rFonts w:ascii="Times New Roman" w:eastAsia="Times New Roman" w:hAnsi="Times New Roman" w:cs="Times New Roman"/>
          <w:b/>
          <w:sz w:val="32"/>
          <w:szCs w:val="32"/>
        </w:rPr>
        <w:t xml:space="preserve"> Benue State</w:t>
      </w:r>
      <w:r w:rsidR="00AF42E6">
        <w:rPr>
          <w:rFonts w:ascii="Times New Roman" w:eastAsia="Times New Roman" w:hAnsi="Times New Roman" w:cs="Times New Roman"/>
          <w:b/>
          <w:sz w:val="32"/>
          <w:szCs w:val="32"/>
        </w:rPr>
        <w:t xml:space="preserve"> Nigeria</w:t>
      </w:r>
    </w:p>
    <w:p w14:paraId="5A3BA842" w14:textId="77777777" w:rsidR="007B5202" w:rsidRDefault="007B5202" w:rsidP="00FE3AC1">
      <w:pPr>
        <w:spacing w:before="100" w:beforeAutospacing="1" w:after="100" w:afterAutospacing="1" w:line="480" w:lineRule="auto"/>
        <w:jc w:val="center"/>
        <w:outlineLvl w:val="1"/>
        <w:rPr>
          <w:rFonts w:ascii="Times New Roman" w:eastAsia="Times New Roman" w:hAnsi="Times New Roman" w:cs="Times New Roman"/>
          <w:b/>
          <w:bCs/>
          <w:sz w:val="24"/>
          <w:szCs w:val="24"/>
        </w:rPr>
      </w:pPr>
    </w:p>
    <w:p w14:paraId="374D10BD" w14:textId="45E41663" w:rsidR="00B30167" w:rsidRPr="008D1746" w:rsidRDefault="00B30167" w:rsidP="00F707A8">
      <w:pPr>
        <w:spacing w:before="100" w:beforeAutospacing="1" w:after="100" w:afterAutospacing="1" w:line="480" w:lineRule="auto"/>
        <w:outlineLvl w:val="1"/>
        <w:rPr>
          <w:rFonts w:ascii="Times New Roman" w:eastAsia="Times New Roman" w:hAnsi="Times New Roman" w:cs="Times New Roman"/>
          <w:b/>
          <w:bCs/>
          <w:sz w:val="24"/>
          <w:szCs w:val="24"/>
        </w:rPr>
      </w:pPr>
      <w:r w:rsidRPr="005B0626">
        <w:rPr>
          <w:rFonts w:ascii="Times New Roman" w:eastAsia="Times New Roman" w:hAnsi="Times New Roman" w:cs="Times New Roman"/>
          <w:b/>
          <w:bCs/>
          <w:sz w:val="24"/>
          <w:szCs w:val="24"/>
        </w:rPr>
        <w:t>ABSTRACT</w:t>
      </w:r>
    </w:p>
    <w:p w14:paraId="2287E619" w14:textId="77777777" w:rsidR="00B30167" w:rsidRDefault="00B30167" w:rsidP="00F707A8">
      <w:pPr>
        <w:spacing w:before="100" w:beforeAutospacing="1" w:after="100" w:afterAutospacing="1" w:line="240" w:lineRule="auto"/>
        <w:jc w:val="both"/>
        <w:rPr>
          <w:rFonts w:ascii="Times New Roman" w:eastAsia="Times New Roman" w:hAnsi="Times New Roman" w:cs="Times New Roman"/>
          <w:sz w:val="24"/>
          <w:szCs w:val="24"/>
        </w:rPr>
      </w:pPr>
      <w:r w:rsidRPr="008D1746">
        <w:rPr>
          <w:rFonts w:ascii="Times New Roman" w:eastAsia="Times New Roman" w:hAnsi="Times New Roman" w:cs="Times New Roman"/>
          <w:b/>
          <w:bCs/>
          <w:sz w:val="24"/>
          <w:szCs w:val="24"/>
        </w:rPr>
        <w:t>Background:</w:t>
      </w:r>
      <w:r>
        <w:rPr>
          <w:rFonts w:ascii="Times New Roman" w:eastAsia="Times New Roman" w:hAnsi="Times New Roman" w:cs="Times New Roman"/>
          <w:sz w:val="24"/>
          <w:szCs w:val="24"/>
        </w:rPr>
        <w:t xml:space="preserve"> </w:t>
      </w:r>
      <w:r w:rsidRPr="008D1746">
        <w:rPr>
          <w:rFonts w:ascii="Times New Roman" w:eastAsia="Times New Roman" w:hAnsi="Times New Roman" w:cs="Times New Roman"/>
          <w:i/>
          <w:sz w:val="24"/>
          <w:szCs w:val="24"/>
        </w:rPr>
        <w:t>Trichophyton rubrum</w:t>
      </w:r>
      <w:r w:rsidRPr="008D1746">
        <w:rPr>
          <w:rFonts w:ascii="Times New Roman" w:eastAsia="Times New Roman" w:hAnsi="Times New Roman" w:cs="Times New Roman"/>
          <w:sz w:val="24"/>
          <w:szCs w:val="24"/>
        </w:rPr>
        <w:t xml:space="preserve"> infection is a major cause of superficial fungal infections, particularly in tropical regions where environmental and behavioral factors favor transmission. Understanding its prevalence and associated risk factors is essential for effective control strategies.</w:t>
      </w:r>
      <w:r>
        <w:rPr>
          <w:rFonts w:ascii="Times New Roman" w:eastAsia="Times New Roman" w:hAnsi="Times New Roman" w:cs="Times New Roman"/>
          <w:sz w:val="24"/>
          <w:szCs w:val="24"/>
        </w:rPr>
        <w:t xml:space="preserve"> </w:t>
      </w:r>
      <w:r w:rsidRPr="008D1746">
        <w:rPr>
          <w:rFonts w:ascii="Times New Roman" w:eastAsia="Times New Roman" w:hAnsi="Times New Roman" w:cs="Times New Roman"/>
          <w:b/>
          <w:bCs/>
          <w:sz w:val="24"/>
          <w:szCs w:val="24"/>
        </w:rPr>
        <w:t>Aim:</w:t>
      </w:r>
      <w:r>
        <w:rPr>
          <w:rFonts w:ascii="Times New Roman" w:eastAsia="Times New Roman" w:hAnsi="Times New Roman" w:cs="Times New Roman"/>
          <w:sz w:val="24"/>
          <w:szCs w:val="24"/>
        </w:rPr>
        <w:t xml:space="preserve"> </w:t>
      </w:r>
      <w:r w:rsidRPr="008D1746">
        <w:rPr>
          <w:rFonts w:ascii="Times New Roman" w:eastAsia="Times New Roman" w:hAnsi="Times New Roman" w:cs="Times New Roman"/>
          <w:sz w:val="24"/>
          <w:szCs w:val="24"/>
        </w:rPr>
        <w:t xml:space="preserve">This study investigated the prevalence and distribution of </w:t>
      </w:r>
      <w:r w:rsidRPr="008D1746">
        <w:rPr>
          <w:rFonts w:ascii="Times New Roman" w:eastAsia="Times New Roman" w:hAnsi="Times New Roman" w:cs="Times New Roman"/>
          <w:i/>
          <w:iCs/>
          <w:sz w:val="24"/>
          <w:szCs w:val="24"/>
        </w:rPr>
        <w:t>Trichophyton rubrum</w:t>
      </w:r>
      <w:r w:rsidRPr="008D1746">
        <w:rPr>
          <w:rFonts w:ascii="Times New Roman" w:eastAsia="Times New Roman" w:hAnsi="Times New Roman" w:cs="Times New Roman"/>
          <w:sz w:val="24"/>
          <w:szCs w:val="24"/>
        </w:rPr>
        <w:t xml:space="preserve"> among patients attending two tertiary health institutions in Makurdi, Benue State.</w:t>
      </w:r>
      <w:r>
        <w:rPr>
          <w:rFonts w:ascii="Times New Roman" w:eastAsia="Times New Roman" w:hAnsi="Times New Roman" w:cs="Times New Roman"/>
          <w:sz w:val="24"/>
          <w:szCs w:val="24"/>
        </w:rPr>
        <w:t xml:space="preserve"> </w:t>
      </w:r>
      <w:r w:rsidRPr="008D1746">
        <w:rPr>
          <w:rFonts w:ascii="Times New Roman" w:eastAsia="Times New Roman" w:hAnsi="Times New Roman" w:cs="Times New Roman"/>
          <w:b/>
          <w:bCs/>
          <w:sz w:val="24"/>
          <w:szCs w:val="24"/>
        </w:rPr>
        <w:t>Methods:</w:t>
      </w:r>
      <w:r>
        <w:rPr>
          <w:rFonts w:ascii="Times New Roman" w:eastAsia="Times New Roman" w:hAnsi="Times New Roman" w:cs="Times New Roman"/>
          <w:sz w:val="24"/>
          <w:szCs w:val="24"/>
        </w:rPr>
        <w:t xml:space="preserve"> </w:t>
      </w:r>
      <w:r w:rsidRPr="008D1746">
        <w:rPr>
          <w:rFonts w:ascii="Times New Roman" w:eastAsia="Times New Roman" w:hAnsi="Times New Roman" w:cs="Times New Roman"/>
          <w:sz w:val="24"/>
          <w:szCs w:val="24"/>
        </w:rPr>
        <w:t xml:space="preserve">A descriptive cross-sectional study was conducted among 400 patients recruited from Benue State University Teaching Hospital (BSUTH) and Federal Medical Center (FMC), Makurdi. Samples were collected from active lesion sites using sterile techniques and analyzed using potassium hydroxide (KOH) microscopy and culture on </w:t>
      </w:r>
      <w:proofErr w:type="spellStart"/>
      <w:r w:rsidRPr="008D1746">
        <w:rPr>
          <w:rFonts w:ascii="Times New Roman" w:eastAsia="Times New Roman" w:hAnsi="Times New Roman" w:cs="Times New Roman"/>
          <w:sz w:val="24"/>
          <w:szCs w:val="24"/>
        </w:rPr>
        <w:t>Sabouraud</w:t>
      </w:r>
      <w:proofErr w:type="spellEnd"/>
      <w:r w:rsidRPr="008D1746">
        <w:rPr>
          <w:rFonts w:ascii="Times New Roman" w:eastAsia="Times New Roman" w:hAnsi="Times New Roman" w:cs="Times New Roman"/>
          <w:sz w:val="24"/>
          <w:szCs w:val="24"/>
        </w:rPr>
        <w:t xml:space="preserve"> dextrose agar. Sociodemographic and risk factor data were obtained using structured questionnaires. Statistical analysis was performed to determine associations between infection and variables such as age, sex, occupation, and hygiene practices.</w:t>
      </w:r>
      <w:r>
        <w:rPr>
          <w:rFonts w:ascii="Times New Roman" w:eastAsia="Times New Roman" w:hAnsi="Times New Roman" w:cs="Times New Roman"/>
          <w:sz w:val="24"/>
          <w:szCs w:val="24"/>
        </w:rPr>
        <w:t xml:space="preserve"> </w:t>
      </w:r>
      <w:r w:rsidRPr="008D1746">
        <w:rPr>
          <w:rFonts w:ascii="Times New Roman" w:eastAsia="Times New Roman" w:hAnsi="Times New Roman" w:cs="Times New Roman"/>
          <w:b/>
          <w:bCs/>
          <w:sz w:val="24"/>
          <w:szCs w:val="24"/>
        </w:rPr>
        <w:t>Results:</w:t>
      </w:r>
      <w:r>
        <w:rPr>
          <w:rFonts w:ascii="Times New Roman" w:eastAsia="Times New Roman" w:hAnsi="Times New Roman" w:cs="Times New Roman"/>
          <w:sz w:val="24"/>
          <w:szCs w:val="24"/>
        </w:rPr>
        <w:t xml:space="preserve"> </w:t>
      </w:r>
      <w:r w:rsidRPr="008D1746">
        <w:rPr>
          <w:rFonts w:ascii="Times New Roman" w:eastAsia="Times New Roman" w:hAnsi="Times New Roman" w:cs="Times New Roman"/>
          <w:sz w:val="24"/>
          <w:szCs w:val="24"/>
        </w:rPr>
        <w:t xml:space="preserve">Out of 400 participants, 294 (73.5%) tested positive for </w:t>
      </w:r>
      <w:r w:rsidRPr="008D1746">
        <w:rPr>
          <w:rFonts w:ascii="Times New Roman" w:eastAsia="Times New Roman" w:hAnsi="Times New Roman" w:cs="Times New Roman"/>
          <w:i/>
          <w:iCs/>
          <w:sz w:val="24"/>
          <w:szCs w:val="24"/>
        </w:rPr>
        <w:t>Trichophyton rubrum</w:t>
      </w:r>
      <w:r w:rsidRPr="008D1746">
        <w:rPr>
          <w:rFonts w:ascii="Times New Roman" w:eastAsia="Times New Roman" w:hAnsi="Times New Roman" w:cs="Times New Roman"/>
          <w:sz w:val="24"/>
          <w:szCs w:val="24"/>
        </w:rPr>
        <w:t>. Prevalence was higher in BSUTH (78%) compared to FMC (69%). Infection was significantly associated with age (p &lt; 0.05), with the highest prevalence among individuals aged 31–40 years. Occupation, educational status, marital status, and sharing of personal items (such as towels and sponges) were also significantly associated with infection. However, no significant association was observed with sex (p &gt; 0.05). Itching was the most common clinical symptom reported.</w:t>
      </w:r>
      <w:r>
        <w:rPr>
          <w:rFonts w:ascii="Times New Roman" w:eastAsia="Times New Roman" w:hAnsi="Times New Roman" w:cs="Times New Roman"/>
          <w:sz w:val="24"/>
          <w:szCs w:val="24"/>
        </w:rPr>
        <w:t xml:space="preserve"> </w:t>
      </w:r>
      <w:r w:rsidRPr="008D1746">
        <w:rPr>
          <w:rFonts w:ascii="Times New Roman" w:eastAsia="Times New Roman" w:hAnsi="Times New Roman" w:cs="Times New Roman"/>
          <w:b/>
          <w:bCs/>
          <w:sz w:val="24"/>
          <w:szCs w:val="24"/>
        </w:rPr>
        <w:t>Conclusion:</w:t>
      </w:r>
      <w:r>
        <w:rPr>
          <w:rFonts w:ascii="Times New Roman" w:eastAsia="Times New Roman" w:hAnsi="Times New Roman" w:cs="Times New Roman"/>
          <w:sz w:val="24"/>
          <w:szCs w:val="24"/>
        </w:rPr>
        <w:t xml:space="preserve"> </w:t>
      </w:r>
      <w:r w:rsidRPr="008D1746">
        <w:rPr>
          <w:rFonts w:ascii="Times New Roman" w:eastAsia="Times New Roman" w:hAnsi="Times New Roman" w:cs="Times New Roman"/>
          <w:sz w:val="24"/>
          <w:szCs w:val="24"/>
        </w:rPr>
        <w:t xml:space="preserve">The study demonstrates a high prevalence of </w:t>
      </w:r>
      <w:r w:rsidRPr="008D1746">
        <w:rPr>
          <w:rFonts w:ascii="Times New Roman" w:eastAsia="Times New Roman" w:hAnsi="Times New Roman" w:cs="Times New Roman"/>
          <w:i/>
          <w:iCs/>
          <w:sz w:val="24"/>
          <w:szCs w:val="24"/>
        </w:rPr>
        <w:t>Trichophyton rubrum</w:t>
      </w:r>
      <w:r w:rsidRPr="008D1746">
        <w:rPr>
          <w:rFonts w:ascii="Times New Roman" w:eastAsia="Times New Roman" w:hAnsi="Times New Roman" w:cs="Times New Roman"/>
          <w:sz w:val="24"/>
          <w:szCs w:val="24"/>
        </w:rPr>
        <w:t xml:space="preserve"> infections in Makurdi, highlighting the role of environmental, occupational, and behavioral factors in disease transmission.</w:t>
      </w:r>
    </w:p>
    <w:p w14:paraId="529312D7" w14:textId="77777777" w:rsidR="0028679C" w:rsidRPr="0028679C" w:rsidRDefault="0028679C" w:rsidP="00F707A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 words: </w:t>
      </w:r>
      <w:r w:rsidRPr="008D1746">
        <w:rPr>
          <w:rFonts w:ascii="Times New Roman" w:eastAsia="Times New Roman" w:hAnsi="Times New Roman" w:cs="Times New Roman"/>
          <w:i/>
          <w:sz w:val="24"/>
          <w:szCs w:val="24"/>
        </w:rPr>
        <w:t>Trichophyton rubrum</w:t>
      </w:r>
      <w:r w:rsidR="005B0626">
        <w:rPr>
          <w:rFonts w:ascii="Times New Roman" w:eastAsia="Times New Roman" w:hAnsi="Times New Roman" w:cs="Times New Roman"/>
          <w:sz w:val="24"/>
          <w:szCs w:val="24"/>
        </w:rPr>
        <w:t>,</w:t>
      </w:r>
      <w:r w:rsidRPr="008D1746">
        <w:rPr>
          <w:rFonts w:ascii="Times New Roman" w:eastAsia="Times New Roman" w:hAnsi="Times New Roman" w:cs="Times New Roman"/>
          <w:sz w:val="24"/>
          <w:szCs w:val="24"/>
        </w:rPr>
        <w:t xml:space="preserve"> infection</w:t>
      </w:r>
      <w:r w:rsidR="005B0626">
        <w:rPr>
          <w:rFonts w:ascii="Times New Roman" w:eastAsia="Times New Roman" w:hAnsi="Times New Roman" w:cs="Times New Roman"/>
          <w:sz w:val="24"/>
          <w:szCs w:val="24"/>
        </w:rPr>
        <w:t xml:space="preserve">, </w:t>
      </w:r>
      <w:r w:rsidRPr="008D1746">
        <w:rPr>
          <w:rFonts w:ascii="Times New Roman" w:eastAsia="Times New Roman" w:hAnsi="Times New Roman" w:cs="Times New Roman"/>
          <w:sz w:val="24"/>
          <w:szCs w:val="24"/>
        </w:rPr>
        <w:t>Dermatophytosis</w:t>
      </w:r>
      <w:r w:rsidR="005B0626">
        <w:rPr>
          <w:rFonts w:ascii="Times New Roman" w:eastAsia="Times New Roman" w:hAnsi="Times New Roman" w:cs="Times New Roman"/>
          <w:sz w:val="24"/>
          <w:szCs w:val="24"/>
        </w:rPr>
        <w:t xml:space="preserve">, </w:t>
      </w:r>
      <w:r w:rsidRPr="008D1746">
        <w:rPr>
          <w:rFonts w:ascii="Times New Roman" w:eastAsia="Times New Roman" w:hAnsi="Times New Roman" w:cs="Times New Roman"/>
          <w:sz w:val="24"/>
          <w:szCs w:val="24"/>
        </w:rPr>
        <w:t>Prevalence</w:t>
      </w:r>
      <w:r w:rsidR="005B0626">
        <w:rPr>
          <w:rFonts w:ascii="Times New Roman" w:eastAsia="Times New Roman" w:hAnsi="Times New Roman" w:cs="Times New Roman"/>
          <w:sz w:val="24"/>
          <w:szCs w:val="24"/>
        </w:rPr>
        <w:t xml:space="preserve">. Risk factors, </w:t>
      </w:r>
      <w:r w:rsidRPr="008D1746">
        <w:rPr>
          <w:rFonts w:ascii="Times New Roman" w:eastAsia="Times New Roman" w:hAnsi="Times New Roman" w:cs="Times New Roman"/>
          <w:sz w:val="24"/>
          <w:szCs w:val="24"/>
        </w:rPr>
        <w:t>Onychomycosis</w:t>
      </w:r>
      <w:r w:rsidR="005B0626">
        <w:rPr>
          <w:rFonts w:ascii="Times New Roman" w:eastAsia="Times New Roman" w:hAnsi="Times New Roman" w:cs="Times New Roman"/>
          <w:sz w:val="24"/>
          <w:szCs w:val="24"/>
        </w:rPr>
        <w:t xml:space="preserve">, </w:t>
      </w:r>
      <w:r w:rsidRPr="008D1746">
        <w:rPr>
          <w:rFonts w:ascii="Times New Roman" w:eastAsia="Times New Roman" w:hAnsi="Times New Roman" w:cs="Times New Roman"/>
          <w:sz w:val="24"/>
          <w:szCs w:val="24"/>
        </w:rPr>
        <w:t>Epidemiology</w:t>
      </w:r>
      <w:r w:rsidR="005B0626">
        <w:rPr>
          <w:rFonts w:ascii="Times New Roman" w:eastAsia="Times New Roman" w:hAnsi="Times New Roman" w:cs="Times New Roman"/>
          <w:sz w:val="24"/>
          <w:szCs w:val="24"/>
        </w:rPr>
        <w:t xml:space="preserve">, </w:t>
      </w:r>
      <w:r w:rsidRPr="008D1746">
        <w:rPr>
          <w:rFonts w:ascii="Times New Roman" w:eastAsia="Times New Roman" w:hAnsi="Times New Roman" w:cs="Times New Roman"/>
          <w:sz w:val="24"/>
          <w:szCs w:val="24"/>
        </w:rPr>
        <w:t>Nigeria</w:t>
      </w:r>
      <w:r w:rsidR="005B0626">
        <w:rPr>
          <w:rFonts w:ascii="Times New Roman" w:eastAsia="Times New Roman" w:hAnsi="Times New Roman" w:cs="Times New Roman"/>
          <w:sz w:val="24"/>
          <w:szCs w:val="24"/>
        </w:rPr>
        <w:t xml:space="preserve"> and </w:t>
      </w:r>
      <w:r w:rsidRPr="008D1746">
        <w:rPr>
          <w:rFonts w:ascii="Times New Roman" w:eastAsia="Times New Roman" w:hAnsi="Times New Roman" w:cs="Times New Roman"/>
          <w:sz w:val="24"/>
          <w:szCs w:val="24"/>
        </w:rPr>
        <w:t>Tertiary healthcare</w:t>
      </w:r>
    </w:p>
    <w:p w14:paraId="6F46A010" w14:textId="77777777" w:rsidR="00056A21" w:rsidRDefault="00056A21" w:rsidP="00F707A8">
      <w:pPr>
        <w:spacing w:before="100" w:beforeAutospacing="1" w:after="100" w:afterAutospacing="1" w:line="480" w:lineRule="auto"/>
        <w:outlineLvl w:val="3"/>
        <w:rPr>
          <w:rFonts w:ascii="Times New Roman" w:hAnsi="Times New Roman" w:cs="Times New Roman"/>
          <w:b/>
          <w:bCs/>
          <w:sz w:val="24"/>
          <w:szCs w:val="24"/>
        </w:rPr>
      </w:pPr>
      <w:r w:rsidRPr="00056A21">
        <w:rPr>
          <w:rFonts w:ascii="Times New Roman" w:hAnsi="Times New Roman" w:cs="Times New Roman"/>
          <w:b/>
          <w:bCs/>
          <w:sz w:val="24"/>
          <w:szCs w:val="24"/>
        </w:rPr>
        <w:t>INTRODUCTION</w:t>
      </w:r>
    </w:p>
    <w:p w14:paraId="03777D7A" w14:textId="77777777" w:rsidR="00056A21" w:rsidRPr="0014133E" w:rsidRDefault="00056A21" w:rsidP="00F707A8">
      <w:pPr>
        <w:spacing w:line="240" w:lineRule="auto"/>
        <w:rPr>
          <w:rFonts w:ascii="Times New Roman" w:hAnsi="Times New Roman" w:cs="Times New Roman"/>
          <w:bCs/>
          <w:sz w:val="24"/>
          <w:szCs w:val="24"/>
        </w:rPr>
      </w:pPr>
      <w:r w:rsidRPr="00C54759">
        <w:rPr>
          <w:rFonts w:ascii="Times New Roman" w:eastAsia="Times New Roman" w:hAnsi="Times New Roman" w:cs="Times New Roman"/>
          <w:i/>
          <w:sz w:val="24"/>
          <w:szCs w:val="24"/>
        </w:rPr>
        <w:t>Trichophyton rubrum</w:t>
      </w:r>
      <w:r w:rsidRPr="00070189">
        <w:rPr>
          <w:rFonts w:ascii="Times New Roman" w:eastAsia="Times New Roman" w:hAnsi="Times New Roman" w:cs="Times New Roman"/>
          <w:sz w:val="24"/>
          <w:szCs w:val="24"/>
        </w:rPr>
        <w:t xml:space="preserve"> is a major etiologic agent of superficial fungal infections like athlete's foot and ringworm, which are very common in tropical regions like Nigeria due to factors like high humidity and lack of proper personal hygiene (Ameen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xml:space="preserve"> 2020). Onychomycosis, a fungal infection of the nails, is a major global public health issue. It is caused by infection with a number of dermatophytes, the primary causative agents (de Berker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xml:space="preserve">., 2007). This infection can markedly affect patients' occupational, social, and emotional status, predisposing to embarrassment in working and social settings due to the reluctance to display affected hands or feet. There are several risk factors that contribute to Onychomycosis development, including </w:t>
      </w:r>
      <w:r w:rsidRPr="00070189">
        <w:rPr>
          <w:rFonts w:ascii="Times New Roman" w:eastAsia="Times New Roman" w:hAnsi="Times New Roman" w:cs="Times New Roman"/>
          <w:sz w:val="24"/>
          <w:szCs w:val="24"/>
        </w:rPr>
        <w:lastRenderedPageBreak/>
        <w:t xml:space="preserve">diabetes mellitus, advanced age, nail trauma, poor circulation, weakened immune systems, tight shoes, long fingernails, artificial nails, walking barefoot in public, sharing shoes, and exposure of the hands or feet to moisture for prolonged durations (Westerberg and </w:t>
      </w:r>
      <w:proofErr w:type="spellStart"/>
      <w:r w:rsidRPr="00070189">
        <w:rPr>
          <w:rFonts w:ascii="Times New Roman" w:eastAsia="Times New Roman" w:hAnsi="Times New Roman" w:cs="Times New Roman"/>
          <w:sz w:val="24"/>
          <w:szCs w:val="24"/>
        </w:rPr>
        <w:t>Voyack</w:t>
      </w:r>
      <w:proofErr w:type="spellEnd"/>
      <w:r w:rsidRPr="00070189">
        <w:rPr>
          <w:rFonts w:ascii="Times New Roman" w:eastAsia="Times New Roman" w:hAnsi="Times New Roman" w:cs="Times New Roman"/>
          <w:sz w:val="24"/>
          <w:szCs w:val="24"/>
        </w:rPr>
        <w:t>, 2013). The increasing prevalence of Onychomycosis was an eye-opener regarding awareness of its etiologic agents and associated risk factors (</w:t>
      </w:r>
      <w:proofErr w:type="spellStart"/>
      <w:r w:rsidRPr="00070189">
        <w:rPr>
          <w:rFonts w:ascii="Times New Roman" w:eastAsia="Times New Roman" w:hAnsi="Times New Roman" w:cs="Times New Roman"/>
          <w:sz w:val="24"/>
          <w:szCs w:val="24"/>
        </w:rPr>
        <w:t>Baki</w:t>
      </w:r>
      <w:proofErr w:type="spellEnd"/>
      <w:r w:rsidRPr="00070189">
        <w:rPr>
          <w:rFonts w:ascii="Times New Roman" w:eastAsia="Times New Roman" w:hAnsi="Times New Roman" w:cs="Times New Roman"/>
          <w:sz w:val="24"/>
          <w:szCs w:val="24"/>
        </w:rPr>
        <w:t xml:space="preserve">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xml:space="preserve"> 2018). </w:t>
      </w:r>
      <w:r w:rsidRPr="00C54759">
        <w:rPr>
          <w:rFonts w:ascii="Times New Roman" w:eastAsia="Times New Roman" w:hAnsi="Times New Roman" w:cs="Times New Roman"/>
          <w:i/>
          <w:sz w:val="24"/>
          <w:szCs w:val="24"/>
        </w:rPr>
        <w:t>Trichophyton rubrum</w:t>
      </w:r>
      <w:r w:rsidRPr="00070189">
        <w:rPr>
          <w:rFonts w:ascii="Times New Roman" w:eastAsia="Times New Roman" w:hAnsi="Times New Roman" w:cs="Times New Roman"/>
          <w:sz w:val="24"/>
          <w:szCs w:val="24"/>
        </w:rPr>
        <w:t xml:space="preserve">, a dermatophyte with a </w:t>
      </w:r>
      <w:proofErr w:type="spellStart"/>
      <w:r w:rsidRPr="00070189">
        <w:rPr>
          <w:rFonts w:ascii="Times New Roman" w:eastAsia="Times New Roman" w:hAnsi="Times New Roman" w:cs="Times New Roman"/>
          <w:sz w:val="24"/>
          <w:szCs w:val="24"/>
        </w:rPr>
        <w:t>keratinophilic</w:t>
      </w:r>
      <w:proofErr w:type="spellEnd"/>
      <w:r w:rsidRPr="00070189">
        <w:rPr>
          <w:rFonts w:ascii="Times New Roman" w:eastAsia="Times New Roman" w:hAnsi="Times New Roman" w:cs="Times New Roman"/>
          <w:sz w:val="24"/>
          <w:szCs w:val="24"/>
        </w:rPr>
        <w:t xml:space="preserve"> affinity that has a virulent tendency towards keratinized tissue, is a major contributor to Onychomycosis's global burden (</w:t>
      </w:r>
      <w:proofErr w:type="spellStart"/>
      <w:r w:rsidRPr="00070189">
        <w:rPr>
          <w:rFonts w:ascii="Times New Roman" w:eastAsia="Times New Roman" w:hAnsi="Times New Roman" w:cs="Times New Roman"/>
          <w:sz w:val="24"/>
          <w:szCs w:val="24"/>
        </w:rPr>
        <w:t>Jazdarehee</w:t>
      </w:r>
      <w:proofErr w:type="spellEnd"/>
      <w:r w:rsidRPr="00070189">
        <w:rPr>
          <w:rFonts w:ascii="Times New Roman" w:eastAsia="Times New Roman" w:hAnsi="Times New Roman" w:cs="Times New Roman"/>
          <w:sz w:val="24"/>
          <w:szCs w:val="24"/>
        </w:rPr>
        <w:t xml:space="preserve">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2022). As in the rest of the tropical areas, Nigeria's high-temperature and humid climate is favorable for dermatophytes to develop and multiply (</w:t>
      </w:r>
      <w:proofErr w:type="spellStart"/>
      <w:r w:rsidRPr="00070189">
        <w:rPr>
          <w:rFonts w:ascii="Times New Roman" w:eastAsia="Times New Roman" w:hAnsi="Times New Roman" w:cs="Times New Roman"/>
          <w:sz w:val="24"/>
          <w:szCs w:val="24"/>
        </w:rPr>
        <w:t>Yenişehirliet</w:t>
      </w:r>
      <w:proofErr w:type="spellEnd"/>
      <w:r w:rsidRPr="00070189">
        <w:rPr>
          <w:rFonts w:ascii="Times New Roman" w:eastAsia="Times New Roman" w:hAnsi="Times New Roman" w:cs="Times New Roman"/>
          <w:sz w:val="24"/>
          <w:szCs w:val="24"/>
        </w:rPr>
        <w:t xml:space="preserve">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2012).</w:t>
      </w:r>
      <w:r w:rsidRPr="00070189">
        <w:rPr>
          <w:rFonts w:ascii="Times New Roman" w:eastAsia="Times New Roman" w:hAnsi="Times New Roman" w:cs="Times New Roman"/>
          <w:sz w:val="24"/>
          <w:szCs w:val="24"/>
        </w:rPr>
        <w:br/>
        <w:t>Understanding the epidemiology of onychomycosis and its etiologic agents in the Benue state is important for the planning of targeted prevention and treatment interventions that are specific to the local population. In Benue State, the infections are most prevalent, with the</w:t>
      </w:r>
      <w:r>
        <w:rPr>
          <w:rFonts w:ascii="Times New Roman" w:eastAsia="Times New Roman" w:hAnsi="Times New Roman" w:cs="Times New Roman"/>
          <w:sz w:val="24"/>
          <w:szCs w:val="24"/>
        </w:rPr>
        <w:t xml:space="preserve"> majority of patients</w:t>
      </w:r>
      <w:r w:rsidRPr="00070189">
        <w:rPr>
          <w:rFonts w:ascii="Times New Roman" w:eastAsia="Times New Roman" w:hAnsi="Times New Roman" w:cs="Times New Roman"/>
          <w:sz w:val="24"/>
          <w:szCs w:val="24"/>
        </w:rPr>
        <w:t xml:space="preserve"> at tertiary health centers.</w:t>
      </w:r>
      <w:r>
        <w:rPr>
          <w:rFonts w:ascii="Times New Roman" w:eastAsia="Times New Roman" w:hAnsi="Times New Roman" w:cs="Times New Roman"/>
          <w:sz w:val="24"/>
          <w:szCs w:val="24"/>
        </w:rPr>
        <w:t xml:space="preserve"> </w:t>
      </w:r>
      <w:r>
        <w:rPr>
          <w:rFonts w:ascii="Times New Roman" w:hAnsi="Times New Roman" w:cs="Times New Roman"/>
          <w:bCs/>
          <w:sz w:val="24"/>
          <w:szCs w:val="24"/>
        </w:rPr>
        <w:t>This</w:t>
      </w:r>
      <w:r w:rsidRPr="00537858">
        <w:rPr>
          <w:rFonts w:ascii="Times New Roman" w:hAnsi="Times New Roman" w:cs="Times New Roman"/>
          <w:bCs/>
          <w:sz w:val="24"/>
          <w:szCs w:val="24"/>
        </w:rPr>
        <w:t xml:space="preserve"> </w:t>
      </w:r>
      <w:r>
        <w:rPr>
          <w:rFonts w:ascii="Times New Roman" w:hAnsi="Times New Roman" w:cs="Times New Roman"/>
          <w:bCs/>
          <w:sz w:val="24"/>
          <w:szCs w:val="24"/>
        </w:rPr>
        <w:t xml:space="preserve">study aimed to investigate the </w:t>
      </w:r>
      <w:r w:rsidRPr="00056A21">
        <w:rPr>
          <w:rFonts w:ascii="Times New Roman" w:hAnsi="Times New Roman" w:cs="Times New Roman"/>
          <w:bCs/>
          <w:i/>
          <w:sz w:val="24"/>
          <w:szCs w:val="24"/>
        </w:rPr>
        <w:t>Trichophyton. rubrum</w:t>
      </w:r>
      <w:r>
        <w:rPr>
          <w:rFonts w:ascii="Times New Roman" w:hAnsi="Times New Roman" w:cs="Times New Roman"/>
          <w:bCs/>
          <w:sz w:val="24"/>
          <w:szCs w:val="24"/>
        </w:rPr>
        <w:t xml:space="preserve"> isolated from two (2) </w:t>
      </w:r>
      <w:r>
        <w:rPr>
          <w:rFonts w:ascii="Times New Roman" w:hAnsi="Times New Roman" w:cs="Times New Roman"/>
          <w:sz w:val="24"/>
          <w:szCs w:val="24"/>
        </w:rPr>
        <w:t>Tertiary Hospitals i</w:t>
      </w:r>
      <w:r w:rsidRPr="00731BE3">
        <w:rPr>
          <w:rFonts w:ascii="Times New Roman" w:hAnsi="Times New Roman" w:cs="Times New Roman"/>
          <w:sz w:val="24"/>
          <w:szCs w:val="24"/>
        </w:rPr>
        <w:t>n Benue State</w:t>
      </w:r>
    </w:p>
    <w:p w14:paraId="1A1567F2" w14:textId="77777777" w:rsidR="00056A21" w:rsidRDefault="002531F9" w:rsidP="00F707A8">
      <w:pPr>
        <w:spacing w:before="100" w:beforeAutospacing="1" w:after="100" w:afterAutospacing="1" w:line="480" w:lineRule="auto"/>
        <w:jc w:val="both"/>
        <w:outlineLvl w:val="3"/>
        <w:rPr>
          <w:rFonts w:ascii="Times New Roman" w:hAnsi="Times New Roman" w:cs="Times New Roman"/>
          <w:b/>
          <w:bCs/>
          <w:sz w:val="24"/>
          <w:szCs w:val="24"/>
        </w:rPr>
      </w:pPr>
      <w:r w:rsidRPr="00241EF5">
        <w:rPr>
          <w:rFonts w:ascii="Times New Roman" w:hAnsi="Times New Roman" w:cs="Times New Roman"/>
          <w:b/>
          <w:bCs/>
          <w:sz w:val="24"/>
          <w:szCs w:val="24"/>
        </w:rPr>
        <w:t>MATERIALS</w:t>
      </w:r>
      <w:r w:rsidRPr="00425A95">
        <w:rPr>
          <w:rFonts w:ascii="Times New Roman" w:hAnsi="Times New Roman" w:cs="Times New Roman"/>
          <w:b/>
          <w:bCs/>
          <w:sz w:val="24"/>
          <w:szCs w:val="24"/>
        </w:rPr>
        <w:t xml:space="preserve"> AND METHODS</w:t>
      </w:r>
    </w:p>
    <w:p w14:paraId="4241725A" w14:textId="77777777" w:rsidR="00D32F4A" w:rsidRPr="007D67E4" w:rsidRDefault="002531F9" w:rsidP="00F707A8">
      <w:pPr>
        <w:spacing w:line="240" w:lineRule="auto"/>
        <w:jc w:val="both"/>
        <w:rPr>
          <w:rFonts w:ascii="Times New Roman" w:hAnsi="Times New Roman" w:cs="Times New Roman"/>
          <w:sz w:val="24"/>
          <w:szCs w:val="24"/>
        </w:rPr>
      </w:pPr>
      <w:r w:rsidRPr="00425A95">
        <w:rPr>
          <w:rFonts w:ascii="Times New Roman" w:hAnsi="Times New Roman" w:cs="Times New Roman"/>
          <w:sz w:val="24"/>
          <w:szCs w:val="24"/>
        </w:rPr>
        <w:t>The res</w:t>
      </w:r>
      <w:r>
        <w:rPr>
          <w:rFonts w:ascii="Times New Roman" w:hAnsi="Times New Roman" w:cs="Times New Roman"/>
          <w:sz w:val="24"/>
          <w:szCs w:val="24"/>
        </w:rPr>
        <w:t>earch was conducted in two (2</w:t>
      </w:r>
      <w:r w:rsidRPr="00425A95">
        <w:rPr>
          <w:rFonts w:ascii="Times New Roman" w:hAnsi="Times New Roman" w:cs="Times New Roman"/>
          <w:sz w:val="24"/>
          <w:szCs w:val="24"/>
        </w:rPr>
        <w:t xml:space="preserve">) Tertiary Hospitals in </w:t>
      </w:r>
      <w:r>
        <w:rPr>
          <w:rFonts w:ascii="Times New Roman" w:hAnsi="Times New Roman" w:cs="Times New Roman"/>
          <w:sz w:val="24"/>
          <w:szCs w:val="24"/>
        </w:rPr>
        <w:t xml:space="preserve">Makurdi, </w:t>
      </w:r>
      <w:r w:rsidRPr="00425A95">
        <w:rPr>
          <w:rFonts w:ascii="Times New Roman" w:hAnsi="Times New Roman" w:cs="Times New Roman"/>
          <w:sz w:val="24"/>
          <w:szCs w:val="24"/>
        </w:rPr>
        <w:t>Benue State Viz: Benue State University hospital</w:t>
      </w:r>
      <w:r>
        <w:rPr>
          <w:rFonts w:ascii="Times New Roman" w:hAnsi="Times New Roman" w:cs="Times New Roman"/>
          <w:sz w:val="24"/>
          <w:szCs w:val="24"/>
        </w:rPr>
        <w:t xml:space="preserve"> and Federal Medical Center</w:t>
      </w:r>
      <w:r w:rsidRPr="00425A95">
        <w:rPr>
          <w:rFonts w:ascii="Times New Roman" w:hAnsi="Times New Roman" w:cs="Times New Roman"/>
          <w:sz w:val="24"/>
          <w:szCs w:val="24"/>
        </w:rPr>
        <w:t xml:space="preserve"> in Makurdi</w:t>
      </w:r>
      <w:r w:rsidR="008F7650">
        <w:rPr>
          <w:rFonts w:ascii="Times New Roman" w:hAnsi="Times New Roman" w:cs="Times New Roman"/>
          <w:sz w:val="24"/>
          <w:szCs w:val="24"/>
        </w:rPr>
        <w:t xml:space="preserve"> </w:t>
      </w:r>
    </w:p>
    <w:p w14:paraId="63CCAC74" w14:textId="77777777" w:rsidR="00056A21" w:rsidRDefault="002531F9" w:rsidP="00F707A8">
      <w:pPr>
        <w:spacing w:line="240" w:lineRule="auto"/>
      </w:pPr>
      <w:r>
        <w:rPr>
          <w:noProof/>
        </w:rPr>
        <w:lastRenderedPageBreak/>
        <w:drawing>
          <wp:inline distT="0" distB="0" distL="0" distR="0" wp14:anchorId="5176D61B" wp14:editId="5700A3CC">
            <wp:extent cx="5943600" cy="4873625"/>
            <wp:effectExtent l="0" t="0" r="0" b="3175"/>
            <wp:docPr id="2" name="Picture 2" descr="https://www.researchgate.net/profile/Terwase-Shabu/publication/258858863/figure/fig6/AS:668629452455946@1536425092492/Map-of-Makurdi-Town-Showing-The-Study-Areas-Source-Benue-State-Ministry-for-Lands-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esearchgate.net/profile/Terwase-Shabu/publication/258858863/figure/fig6/AS:668629452455946@1536425092492/Map-of-Makurdi-Town-Showing-The-Study-Areas-Source-Benue-State-Ministry-for-Lands-an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873625"/>
                    </a:xfrm>
                    <a:prstGeom prst="rect">
                      <a:avLst/>
                    </a:prstGeom>
                    <a:noFill/>
                    <a:ln>
                      <a:noFill/>
                    </a:ln>
                  </pic:spPr>
                </pic:pic>
              </a:graphicData>
            </a:graphic>
          </wp:inline>
        </w:drawing>
      </w:r>
    </w:p>
    <w:p w14:paraId="3E00BC1A" w14:textId="77777777" w:rsidR="002531F9" w:rsidRDefault="002531F9" w:rsidP="00F707A8">
      <w:pPr>
        <w:spacing w:line="240" w:lineRule="auto"/>
        <w:jc w:val="both"/>
        <w:rPr>
          <w:rFonts w:ascii="Times New Roman" w:hAnsi="Times New Roman" w:cs="Times New Roman"/>
          <w:b/>
          <w:bCs/>
          <w:sz w:val="24"/>
          <w:szCs w:val="24"/>
        </w:rPr>
      </w:pPr>
      <w:r>
        <w:rPr>
          <w:rFonts w:ascii="Times New Roman" w:eastAsia="Times New Roman" w:hAnsi="Times New Roman" w:cs="Times New Roman"/>
          <w:bCs/>
          <w:kern w:val="36"/>
          <w:sz w:val="24"/>
          <w:szCs w:val="24"/>
        </w:rPr>
        <w:t xml:space="preserve">Fig </w:t>
      </w:r>
      <w:r w:rsidRPr="00D21AC1">
        <w:rPr>
          <w:rFonts w:ascii="Times New Roman" w:eastAsia="Times New Roman" w:hAnsi="Times New Roman" w:cs="Times New Roman"/>
          <w:bCs/>
          <w:kern w:val="36"/>
          <w:sz w:val="24"/>
          <w:szCs w:val="24"/>
        </w:rPr>
        <w:t>1: Map of Makurdi Town Showing the Study Areas (Source: Benue State Ministry for Lands and Survey, 2011)</w:t>
      </w:r>
      <w:r w:rsidRPr="002531F9">
        <w:rPr>
          <w:rFonts w:ascii="Times New Roman" w:hAnsi="Times New Roman" w:cs="Times New Roman"/>
          <w:b/>
          <w:bCs/>
          <w:sz w:val="24"/>
          <w:szCs w:val="24"/>
        </w:rPr>
        <w:t xml:space="preserve"> </w:t>
      </w:r>
    </w:p>
    <w:p w14:paraId="3D3D02BE" w14:textId="77777777" w:rsidR="002531F9" w:rsidRPr="00F6785A" w:rsidRDefault="002531F9" w:rsidP="00F707A8">
      <w:pPr>
        <w:spacing w:line="240" w:lineRule="auto"/>
        <w:jc w:val="both"/>
        <w:rPr>
          <w:rFonts w:ascii="Times New Roman" w:hAnsi="Times New Roman" w:cs="Times New Roman"/>
          <w:b/>
          <w:bCs/>
          <w:sz w:val="24"/>
          <w:szCs w:val="24"/>
        </w:rPr>
      </w:pPr>
      <w:r w:rsidRPr="00425A95">
        <w:rPr>
          <w:rFonts w:ascii="Times New Roman" w:hAnsi="Times New Roman" w:cs="Times New Roman"/>
          <w:b/>
          <w:bCs/>
          <w:sz w:val="24"/>
          <w:szCs w:val="24"/>
        </w:rPr>
        <w:t>Study Design</w:t>
      </w:r>
      <w:r w:rsidR="00F6785A">
        <w:rPr>
          <w:rFonts w:ascii="Times New Roman" w:hAnsi="Times New Roman" w:cs="Times New Roman"/>
          <w:b/>
          <w:bCs/>
          <w:sz w:val="24"/>
          <w:szCs w:val="24"/>
        </w:rPr>
        <w:t xml:space="preserve">: </w:t>
      </w:r>
      <w:r w:rsidRPr="00425A95">
        <w:rPr>
          <w:rFonts w:ascii="Times New Roman" w:hAnsi="Times New Roman" w:cs="Times New Roman"/>
          <w:sz w:val="24"/>
          <w:szCs w:val="24"/>
        </w:rPr>
        <w:t xml:space="preserve">A </w:t>
      </w:r>
      <w:r>
        <w:rPr>
          <w:rFonts w:ascii="Times New Roman" w:hAnsi="Times New Roman" w:cs="Times New Roman"/>
          <w:sz w:val="24"/>
          <w:szCs w:val="24"/>
        </w:rPr>
        <w:t>descriptive study design was</w:t>
      </w:r>
      <w:r w:rsidRPr="00425A95">
        <w:rPr>
          <w:rFonts w:ascii="Times New Roman" w:hAnsi="Times New Roman" w:cs="Times New Roman"/>
          <w:sz w:val="24"/>
          <w:szCs w:val="24"/>
        </w:rPr>
        <w:t xml:space="preserve"> used </w:t>
      </w:r>
      <w:r>
        <w:rPr>
          <w:rFonts w:ascii="Times New Roman" w:hAnsi="Times New Roman" w:cs="Times New Roman"/>
          <w:sz w:val="24"/>
          <w:szCs w:val="24"/>
        </w:rPr>
        <w:t>to determine</w:t>
      </w:r>
      <w:r w:rsidRPr="00425A95">
        <w:rPr>
          <w:rFonts w:ascii="Times New Roman" w:hAnsi="Times New Roman" w:cs="Times New Roman"/>
          <w:sz w:val="24"/>
          <w:szCs w:val="24"/>
        </w:rPr>
        <w:t xml:space="preserve"> the prevalence and distributi</w:t>
      </w:r>
      <w:r>
        <w:rPr>
          <w:rFonts w:ascii="Times New Roman" w:hAnsi="Times New Roman" w:cs="Times New Roman"/>
          <w:sz w:val="24"/>
          <w:szCs w:val="24"/>
        </w:rPr>
        <w:t>on of the circulating</w:t>
      </w:r>
      <w:r w:rsidRPr="00425A95">
        <w:rPr>
          <w:rFonts w:ascii="Times New Roman" w:hAnsi="Times New Roman" w:cs="Times New Roman"/>
          <w:sz w:val="24"/>
          <w:szCs w:val="24"/>
        </w:rPr>
        <w:t xml:space="preserve"> </w:t>
      </w:r>
      <w:r w:rsidRPr="0029716E">
        <w:rPr>
          <w:rFonts w:ascii="Times New Roman" w:eastAsia="Times New Roman" w:hAnsi="Times New Roman" w:cs="Times New Roman"/>
          <w:i/>
          <w:iCs/>
          <w:sz w:val="24"/>
          <w:szCs w:val="24"/>
        </w:rPr>
        <w:t>Trichophyton rubrum</w:t>
      </w:r>
      <w:r w:rsidRPr="0029716E">
        <w:rPr>
          <w:rFonts w:ascii="Times New Roman" w:eastAsia="Times New Roman" w:hAnsi="Times New Roman" w:cs="Times New Roman"/>
          <w:sz w:val="24"/>
          <w:szCs w:val="24"/>
        </w:rPr>
        <w:t xml:space="preserve"> </w:t>
      </w:r>
      <w:r w:rsidRPr="00425A95">
        <w:rPr>
          <w:rFonts w:ascii="Times New Roman" w:hAnsi="Times New Roman" w:cs="Times New Roman"/>
          <w:sz w:val="24"/>
          <w:szCs w:val="24"/>
        </w:rPr>
        <w:t xml:space="preserve">and also to assess the demographic characteristics. </w:t>
      </w:r>
      <w:r>
        <w:rPr>
          <w:rFonts w:ascii="Times New Roman" w:eastAsia="Times New Roman" w:hAnsi="Times New Roman" w:cs="Times New Roman"/>
          <w:sz w:val="24"/>
          <w:szCs w:val="24"/>
        </w:rPr>
        <w:t>The study also</w:t>
      </w:r>
      <w:r w:rsidRPr="00425A95">
        <w:rPr>
          <w:rFonts w:ascii="Times New Roman" w:eastAsia="Times New Roman" w:hAnsi="Times New Roman" w:cs="Times New Roman"/>
          <w:sz w:val="24"/>
          <w:szCs w:val="24"/>
        </w:rPr>
        <w:t xml:space="preserve"> focus</w:t>
      </w:r>
      <w:r>
        <w:rPr>
          <w:rFonts w:ascii="Times New Roman" w:eastAsia="Times New Roman" w:hAnsi="Times New Roman" w:cs="Times New Roman"/>
          <w:sz w:val="24"/>
          <w:szCs w:val="24"/>
        </w:rPr>
        <w:t>ed</w:t>
      </w:r>
      <w:r w:rsidRPr="00425A95">
        <w:rPr>
          <w:rFonts w:ascii="Times New Roman" w:eastAsia="Times New Roman" w:hAnsi="Times New Roman" w:cs="Times New Roman"/>
          <w:sz w:val="24"/>
          <w:szCs w:val="24"/>
        </w:rPr>
        <w:t xml:space="preserve"> on the </w:t>
      </w:r>
      <w:r>
        <w:rPr>
          <w:rFonts w:ascii="Times New Roman" w:eastAsia="Times New Roman" w:hAnsi="Times New Roman" w:cs="Times New Roman"/>
          <w:sz w:val="24"/>
          <w:szCs w:val="24"/>
        </w:rPr>
        <w:t xml:space="preserve">prevalence of </w:t>
      </w:r>
      <w:r w:rsidRPr="002531F9">
        <w:rPr>
          <w:rFonts w:ascii="Times New Roman" w:eastAsia="Times New Roman" w:hAnsi="Times New Roman" w:cs="Times New Roman"/>
          <w:i/>
          <w:sz w:val="24"/>
          <w:szCs w:val="24"/>
        </w:rPr>
        <w:t>Trichophyton rubrum</w:t>
      </w:r>
      <w:r>
        <w:rPr>
          <w:rFonts w:ascii="Times New Roman" w:eastAsia="Times New Roman" w:hAnsi="Times New Roman" w:cs="Times New Roman"/>
          <w:sz w:val="24"/>
          <w:szCs w:val="24"/>
        </w:rPr>
        <w:t xml:space="preserve"> among patients at two tertiary hospital in Makurdi metropolis.</w:t>
      </w:r>
    </w:p>
    <w:p w14:paraId="689F0FEF" w14:textId="77777777" w:rsidR="002531F9" w:rsidRPr="00F6785A" w:rsidRDefault="002531F9" w:rsidP="00605111">
      <w:pPr>
        <w:spacing w:after="0" w:line="240" w:lineRule="auto"/>
        <w:jc w:val="both"/>
        <w:rPr>
          <w:rFonts w:ascii="Times New Roman" w:hAnsi="Times New Roman" w:cs="Times New Roman"/>
          <w:b/>
          <w:bCs/>
          <w:sz w:val="24"/>
          <w:szCs w:val="24"/>
        </w:rPr>
      </w:pPr>
      <w:r w:rsidRPr="00425A95">
        <w:rPr>
          <w:rFonts w:ascii="Times New Roman" w:eastAsia="Times New Roman" w:hAnsi="Times New Roman" w:cs="Times New Roman"/>
          <w:b/>
          <w:bCs/>
          <w:sz w:val="24"/>
          <w:szCs w:val="24"/>
        </w:rPr>
        <w:t>Sample Size Determination</w:t>
      </w:r>
      <w:r w:rsidR="00F6785A">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The sample size was</w:t>
      </w:r>
      <w:r w:rsidRPr="00425A95">
        <w:rPr>
          <w:rFonts w:ascii="Times New Roman" w:eastAsia="Times New Roman" w:hAnsi="Times New Roman" w:cs="Times New Roman"/>
          <w:sz w:val="24"/>
          <w:szCs w:val="24"/>
        </w:rPr>
        <w:t xml:space="preserve"> determined using the formula </w:t>
      </w:r>
      <w:r>
        <w:rPr>
          <w:rFonts w:ascii="Times New Roman" w:eastAsia="Times New Roman" w:hAnsi="Times New Roman" w:cs="Times New Roman"/>
          <w:sz w:val="24"/>
          <w:szCs w:val="24"/>
        </w:rPr>
        <w:t>of Taro Yamane (1967).</w:t>
      </w:r>
    </w:p>
    <w:p w14:paraId="393326A8" w14:textId="77777777" w:rsidR="002531F9" w:rsidRPr="00425A95" w:rsidRDefault="002531F9" w:rsidP="00605111">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statistical formula devised by Taro Yamane (1967) was used as followed</w:t>
      </w:r>
    </w:p>
    <w:p w14:paraId="7A5EC4E8" w14:textId="77777777" w:rsidR="002531F9" w:rsidRPr="00425A95" w:rsidRDefault="002531F9" w:rsidP="00605111">
      <w:pPr>
        <w:spacing w:before="100" w:beforeAutospacing="1" w:after="0" w:line="240" w:lineRule="auto"/>
        <w:ind w:left="720"/>
        <w:jc w:val="both"/>
        <w:rPr>
          <w:rFonts w:ascii="Times New Roman" w:eastAsia="Times New Roman" w:hAnsi="Times New Roman" w:cs="Times New Roman"/>
          <w:sz w:val="24"/>
          <w:szCs w:val="24"/>
        </w:rPr>
      </w:pPr>
      <w:r w:rsidRPr="00425A95">
        <w:rPr>
          <w:rStyle w:val="mord"/>
          <w:rFonts w:ascii="Times New Roman" w:hAnsi="Times New Roman" w:cs="Times New Roman"/>
          <w:sz w:val="24"/>
          <w:szCs w:val="24"/>
        </w:rPr>
        <w:t>n</w:t>
      </w:r>
      <w:r w:rsidRPr="00425A95">
        <w:rPr>
          <w:rStyle w:val="mrel"/>
          <w:rFonts w:ascii="Times New Roman" w:hAnsi="Times New Roman" w:cs="Times New Roman"/>
          <w:sz w:val="24"/>
          <w:szCs w:val="24"/>
        </w:rPr>
        <w:t>=</w:t>
      </w:r>
      <w:r w:rsidRPr="00425A95">
        <w:rPr>
          <w:rStyle w:val="mord"/>
          <w:rFonts w:ascii="Times New Roman" w:hAnsi="Times New Roman" w:cs="Times New Roman"/>
          <w:sz w:val="24"/>
          <w:szCs w:val="24"/>
        </w:rPr>
        <w:t xml:space="preserve"> </w:t>
      </w:r>
      <w:r>
        <w:rPr>
          <w:rStyle w:val="mord"/>
          <w:rFonts w:ascii="Times New Roman" w:hAnsi="Times New Roman" w:cs="Times New Roman"/>
          <w:sz w:val="24"/>
          <w:szCs w:val="24"/>
        </w:rPr>
        <w:t>N/</w:t>
      </w:r>
      <w:r w:rsidRPr="00425A95">
        <w:rPr>
          <w:rStyle w:val="mclose"/>
          <w:rFonts w:ascii="Times New Roman" w:hAnsi="Times New Roman" w:cs="Times New Roman"/>
          <w:sz w:val="24"/>
          <w:szCs w:val="24"/>
        </w:rPr>
        <w:t xml:space="preserve"> </w:t>
      </w:r>
      <w:r>
        <w:rPr>
          <w:rStyle w:val="mclose"/>
          <w:rFonts w:ascii="Times New Roman" w:hAnsi="Times New Roman" w:cs="Times New Roman"/>
          <w:sz w:val="24"/>
          <w:szCs w:val="24"/>
        </w:rPr>
        <w:t>1+N(e)</w:t>
      </w:r>
      <w:r w:rsidRPr="001219C3">
        <w:rPr>
          <w:rStyle w:val="mclose"/>
          <w:rFonts w:ascii="Times New Roman" w:hAnsi="Times New Roman" w:cs="Times New Roman"/>
          <w:sz w:val="24"/>
          <w:szCs w:val="24"/>
          <w:vertAlign w:val="superscript"/>
        </w:rPr>
        <w:t>2</w:t>
      </w:r>
    </w:p>
    <w:p w14:paraId="20B4FC3B" w14:textId="77777777" w:rsidR="002531F9" w:rsidRDefault="002531F9" w:rsidP="00605111">
      <w:pPr>
        <w:spacing w:before="100" w:beforeAutospacing="1" w:after="0" w:line="240" w:lineRule="auto"/>
        <w:jc w:val="both"/>
        <w:rPr>
          <w:rFonts w:ascii="Times New Roman" w:eastAsia="Times New Roman" w:hAnsi="Times New Roman" w:cs="Times New Roman"/>
          <w:sz w:val="24"/>
          <w:szCs w:val="24"/>
        </w:rPr>
      </w:pPr>
      <w:r w:rsidRPr="00425A95">
        <w:rPr>
          <w:rFonts w:ascii="Times New Roman" w:eastAsia="Times New Roman" w:hAnsi="Times New Roman" w:cs="Times New Roman"/>
          <w:sz w:val="24"/>
          <w:szCs w:val="24"/>
        </w:rPr>
        <w:t>Where:</w:t>
      </w:r>
      <w:r>
        <w:rPr>
          <w:rFonts w:ascii="Times New Roman" w:eastAsia="Times New Roman" w:hAnsi="Times New Roman" w:cs="Times New Roman"/>
          <w:sz w:val="24"/>
          <w:szCs w:val="24"/>
        </w:rPr>
        <w:t xml:space="preserve"> n is the desired sample size from the population under study</w:t>
      </w:r>
    </w:p>
    <w:p w14:paraId="5A3D3853" w14:textId="77777777" w:rsidR="002531F9" w:rsidRDefault="002531F9" w:rsidP="00605111">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is the whole population under study</w:t>
      </w:r>
    </w:p>
    <w:p w14:paraId="79A6C0A2" w14:textId="77777777" w:rsidR="002531F9" w:rsidRPr="00425A95" w:rsidRDefault="002531F9" w:rsidP="00605111">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 is the marginal error or </w:t>
      </w:r>
      <w:proofErr w:type="spellStart"/>
      <w:r>
        <w:rPr>
          <w:rFonts w:ascii="Times New Roman" w:eastAsia="Times New Roman" w:hAnsi="Times New Roman" w:cs="Times New Roman"/>
          <w:sz w:val="24"/>
          <w:szCs w:val="24"/>
        </w:rPr>
        <w:t>coefficience</w:t>
      </w:r>
      <w:proofErr w:type="spellEnd"/>
      <w:r>
        <w:rPr>
          <w:rFonts w:ascii="Times New Roman" w:eastAsia="Times New Roman" w:hAnsi="Times New Roman" w:cs="Times New Roman"/>
          <w:sz w:val="24"/>
          <w:szCs w:val="24"/>
        </w:rPr>
        <w:t xml:space="preserve"> of interval as described by the researcher 0.05</w:t>
      </w:r>
    </w:p>
    <w:p w14:paraId="0D390A0E" w14:textId="77777777" w:rsidR="002531F9" w:rsidRDefault="002531F9" w:rsidP="006051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 1000 patients</w:t>
      </w:r>
    </w:p>
    <w:p w14:paraId="604370A8" w14:textId="77777777" w:rsidR="002531F9" w:rsidRDefault="002531F9" w:rsidP="006051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n=1000/1+1000(0.0025)</w:t>
      </w:r>
    </w:p>
    <w:p w14:paraId="1645D85E" w14:textId="77777777" w:rsidR="002531F9" w:rsidRDefault="002531F9" w:rsidP="006051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n=285.714</w:t>
      </w:r>
    </w:p>
    <w:p w14:paraId="108A40E1" w14:textId="77777777" w:rsidR="002531F9" w:rsidRDefault="002531F9" w:rsidP="00605111">
      <w:pPr>
        <w:spacing w:after="0" w:line="240" w:lineRule="auto"/>
        <w:rPr>
          <w:rFonts w:ascii="Times New Roman" w:hAnsi="Times New Roman" w:cs="Times New Roman"/>
          <w:sz w:val="24"/>
          <w:szCs w:val="24"/>
        </w:rPr>
      </w:pPr>
      <w:r w:rsidRPr="00BD6C30">
        <w:rPr>
          <w:rFonts w:ascii="Cambria Math" w:hAnsi="Cambria Math" w:cs="Cambria Math"/>
          <w:sz w:val="24"/>
          <w:szCs w:val="24"/>
        </w:rPr>
        <w:t>≃</w:t>
      </w:r>
      <w:r>
        <w:rPr>
          <w:rFonts w:ascii="Cambria Math" w:hAnsi="Cambria Math" w:cs="Cambria Math"/>
          <w:sz w:val="24"/>
          <w:szCs w:val="24"/>
        </w:rPr>
        <w:t xml:space="preserve"> </w:t>
      </w:r>
      <w:r>
        <w:rPr>
          <w:rFonts w:ascii="Times New Roman" w:hAnsi="Times New Roman" w:cs="Times New Roman"/>
          <w:sz w:val="24"/>
          <w:szCs w:val="24"/>
        </w:rPr>
        <w:t>400</w:t>
      </w:r>
    </w:p>
    <w:p w14:paraId="22E7AA18" w14:textId="77777777" w:rsidR="002531F9" w:rsidRPr="00F6785A" w:rsidRDefault="002531F9" w:rsidP="00F707A8">
      <w:pPr>
        <w:spacing w:line="240" w:lineRule="auto"/>
        <w:jc w:val="both"/>
        <w:rPr>
          <w:rFonts w:ascii="Times New Roman" w:hAnsi="Times New Roman" w:cs="Times New Roman"/>
          <w:b/>
          <w:bCs/>
          <w:sz w:val="24"/>
          <w:szCs w:val="24"/>
        </w:rPr>
      </w:pPr>
      <w:r w:rsidRPr="00425A95">
        <w:rPr>
          <w:rFonts w:ascii="Times New Roman" w:hAnsi="Times New Roman" w:cs="Times New Roman"/>
          <w:b/>
          <w:bCs/>
          <w:sz w:val="24"/>
          <w:szCs w:val="24"/>
        </w:rPr>
        <w:t>Inclusion Criteria</w:t>
      </w:r>
      <w:r w:rsidR="00F6785A">
        <w:rPr>
          <w:rFonts w:ascii="Times New Roman" w:hAnsi="Times New Roman" w:cs="Times New Roman"/>
          <w:b/>
          <w:bCs/>
          <w:sz w:val="24"/>
          <w:szCs w:val="24"/>
        </w:rPr>
        <w:t xml:space="preserve">: </w:t>
      </w:r>
      <w:r>
        <w:rPr>
          <w:rFonts w:ascii="Times New Roman" w:hAnsi="Times New Roman" w:cs="Times New Roman"/>
          <w:sz w:val="24"/>
          <w:szCs w:val="24"/>
        </w:rPr>
        <w:t>The study</w:t>
      </w:r>
      <w:r w:rsidRPr="00425A95">
        <w:rPr>
          <w:rFonts w:ascii="Times New Roman" w:hAnsi="Times New Roman" w:cs="Times New Roman"/>
          <w:sz w:val="24"/>
          <w:szCs w:val="24"/>
        </w:rPr>
        <w:t xml:space="preserve"> include</w:t>
      </w:r>
      <w:r>
        <w:rPr>
          <w:rFonts w:ascii="Times New Roman" w:hAnsi="Times New Roman" w:cs="Times New Roman"/>
          <w:sz w:val="24"/>
          <w:szCs w:val="24"/>
        </w:rPr>
        <w:t>d</w:t>
      </w:r>
      <w:r w:rsidRPr="00425A95">
        <w:rPr>
          <w:rFonts w:ascii="Times New Roman" w:hAnsi="Times New Roman" w:cs="Times New Roman"/>
          <w:sz w:val="24"/>
          <w:szCs w:val="24"/>
        </w:rPr>
        <w:t xml:space="preserve"> </w:t>
      </w:r>
      <w:bookmarkStart w:id="0" w:name="_Hlk141411717"/>
      <w:r>
        <w:rPr>
          <w:rFonts w:ascii="Times New Roman" w:hAnsi="Times New Roman" w:cs="Times New Roman"/>
          <w:sz w:val="24"/>
          <w:szCs w:val="24"/>
        </w:rPr>
        <w:t xml:space="preserve">patients with </w:t>
      </w:r>
      <w:r w:rsidRPr="00425A95">
        <w:rPr>
          <w:rFonts w:ascii="Times New Roman" w:hAnsi="Times New Roman" w:cs="Times New Roman"/>
          <w:sz w:val="24"/>
          <w:szCs w:val="24"/>
        </w:rPr>
        <w:t>sign</w:t>
      </w:r>
      <w:r>
        <w:rPr>
          <w:rFonts w:ascii="Times New Roman" w:hAnsi="Times New Roman" w:cs="Times New Roman"/>
          <w:sz w:val="24"/>
          <w:szCs w:val="24"/>
        </w:rPr>
        <w:t>s</w:t>
      </w:r>
      <w:r w:rsidRPr="00425A95">
        <w:rPr>
          <w:rFonts w:ascii="Times New Roman" w:hAnsi="Times New Roman" w:cs="Times New Roman"/>
          <w:sz w:val="24"/>
          <w:szCs w:val="24"/>
        </w:rPr>
        <w:t xml:space="preserve"> and symptoms of </w:t>
      </w:r>
      <w:r w:rsidRPr="0029716E">
        <w:rPr>
          <w:rFonts w:ascii="Times New Roman" w:eastAsia="Times New Roman" w:hAnsi="Times New Roman" w:cs="Times New Roman"/>
          <w:i/>
          <w:iCs/>
          <w:sz w:val="24"/>
          <w:szCs w:val="24"/>
        </w:rPr>
        <w:t>Trichophyton rubrum</w:t>
      </w:r>
      <w:r w:rsidRPr="0029716E">
        <w:rPr>
          <w:rFonts w:ascii="Times New Roman" w:eastAsia="Times New Roman" w:hAnsi="Times New Roman" w:cs="Times New Roman"/>
          <w:sz w:val="24"/>
          <w:szCs w:val="24"/>
        </w:rPr>
        <w:t xml:space="preserve"> </w:t>
      </w:r>
      <w:r w:rsidRPr="00425A95">
        <w:rPr>
          <w:rFonts w:ascii="Times New Roman" w:hAnsi="Times New Roman" w:cs="Times New Roman"/>
          <w:sz w:val="24"/>
          <w:szCs w:val="24"/>
        </w:rPr>
        <w:t>around the groins</w:t>
      </w:r>
      <w:r>
        <w:rPr>
          <w:rFonts w:ascii="Times New Roman" w:hAnsi="Times New Roman" w:cs="Times New Roman"/>
          <w:sz w:val="24"/>
          <w:szCs w:val="24"/>
        </w:rPr>
        <w:t xml:space="preserve">, redness and body itching. </w:t>
      </w:r>
      <w:bookmarkEnd w:id="0"/>
      <w:r w:rsidRPr="00425A95">
        <w:rPr>
          <w:rFonts w:ascii="Times New Roman" w:hAnsi="Times New Roman" w:cs="Times New Roman"/>
          <w:sz w:val="24"/>
          <w:szCs w:val="24"/>
        </w:rPr>
        <w:t xml:space="preserve">Patients </w:t>
      </w:r>
      <w:r>
        <w:rPr>
          <w:rFonts w:ascii="Times New Roman" w:hAnsi="Times New Roman" w:cs="Times New Roman"/>
          <w:sz w:val="24"/>
          <w:szCs w:val="24"/>
        </w:rPr>
        <w:t>who gave their consent were</w:t>
      </w:r>
      <w:r w:rsidRPr="00425A95">
        <w:rPr>
          <w:rFonts w:ascii="Times New Roman" w:hAnsi="Times New Roman" w:cs="Times New Roman"/>
          <w:sz w:val="24"/>
          <w:szCs w:val="24"/>
        </w:rPr>
        <w:t xml:space="preserve"> recruited for the study.</w:t>
      </w:r>
    </w:p>
    <w:p w14:paraId="2C751098" w14:textId="77777777" w:rsidR="002531F9" w:rsidRPr="00F6785A" w:rsidRDefault="002531F9" w:rsidP="00F707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425A95">
        <w:rPr>
          <w:rFonts w:ascii="Times New Roman" w:hAnsi="Times New Roman" w:cs="Times New Roman"/>
          <w:b/>
          <w:bCs/>
          <w:sz w:val="24"/>
          <w:szCs w:val="24"/>
        </w:rPr>
        <w:t>Exclusion Criteria</w:t>
      </w:r>
      <w:r w:rsidR="00F6785A">
        <w:rPr>
          <w:rFonts w:ascii="Times New Roman" w:hAnsi="Times New Roman" w:cs="Times New Roman"/>
          <w:b/>
          <w:bCs/>
          <w:sz w:val="24"/>
          <w:szCs w:val="24"/>
        </w:rPr>
        <w:t xml:space="preserve">: </w:t>
      </w:r>
      <w:r w:rsidRPr="00425A95">
        <w:rPr>
          <w:rFonts w:ascii="Times New Roman" w:hAnsi="Times New Roman" w:cs="Times New Roman"/>
          <w:sz w:val="24"/>
          <w:szCs w:val="24"/>
        </w:rPr>
        <w:t xml:space="preserve">All patients without the sign and symptoms of </w:t>
      </w:r>
      <w:r w:rsidRPr="0029716E">
        <w:rPr>
          <w:rFonts w:ascii="Times New Roman" w:eastAsia="Times New Roman" w:hAnsi="Times New Roman" w:cs="Times New Roman"/>
          <w:i/>
          <w:iCs/>
          <w:sz w:val="24"/>
          <w:szCs w:val="24"/>
        </w:rPr>
        <w:t>Trichophyton rubrum</w:t>
      </w:r>
      <w:r w:rsidRPr="0029716E">
        <w:rPr>
          <w:rFonts w:ascii="Times New Roman" w:eastAsia="Times New Roman" w:hAnsi="Times New Roman" w:cs="Times New Roman"/>
          <w:sz w:val="24"/>
          <w:szCs w:val="24"/>
        </w:rPr>
        <w:t xml:space="preserve"> </w:t>
      </w:r>
      <w:r>
        <w:rPr>
          <w:rFonts w:ascii="Times New Roman" w:hAnsi="Times New Roman" w:cs="Times New Roman"/>
          <w:sz w:val="24"/>
          <w:szCs w:val="24"/>
        </w:rPr>
        <w:t>around the groins were</w:t>
      </w:r>
      <w:r w:rsidRPr="00425A95">
        <w:rPr>
          <w:rFonts w:ascii="Times New Roman" w:hAnsi="Times New Roman" w:cs="Times New Roman"/>
          <w:sz w:val="24"/>
          <w:szCs w:val="24"/>
        </w:rPr>
        <w:t xml:space="preserve"> excluded from the research.</w:t>
      </w:r>
    </w:p>
    <w:p w14:paraId="220A61B3" w14:textId="77777777" w:rsidR="002531F9" w:rsidRPr="00F6785A" w:rsidRDefault="002531F9" w:rsidP="00F707A8">
      <w:pPr>
        <w:spacing w:line="240" w:lineRule="auto"/>
        <w:jc w:val="both"/>
        <w:rPr>
          <w:rFonts w:ascii="Times New Roman" w:hAnsi="Times New Roman" w:cs="Times New Roman"/>
          <w:b/>
          <w:bCs/>
          <w:sz w:val="24"/>
          <w:szCs w:val="24"/>
        </w:rPr>
      </w:pPr>
      <w:r w:rsidRPr="00425A95">
        <w:rPr>
          <w:rFonts w:ascii="Times New Roman" w:hAnsi="Times New Roman" w:cs="Times New Roman"/>
          <w:b/>
          <w:bCs/>
          <w:sz w:val="24"/>
          <w:szCs w:val="24"/>
        </w:rPr>
        <w:t>Data Collection</w:t>
      </w:r>
      <w:r w:rsidR="00F6785A">
        <w:rPr>
          <w:rFonts w:ascii="Times New Roman" w:hAnsi="Times New Roman" w:cs="Times New Roman"/>
          <w:b/>
          <w:bCs/>
          <w:sz w:val="24"/>
          <w:szCs w:val="24"/>
        </w:rPr>
        <w:t>:</w:t>
      </w:r>
      <w:r w:rsidR="0028679C">
        <w:rPr>
          <w:rFonts w:ascii="Times New Roman" w:hAnsi="Times New Roman" w:cs="Times New Roman"/>
          <w:b/>
          <w:bCs/>
          <w:sz w:val="24"/>
          <w:szCs w:val="24"/>
        </w:rPr>
        <w:t xml:space="preserve"> </w:t>
      </w:r>
      <w:r w:rsidRPr="00425A95">
        <w:rPr>
          <w:rFonts w:ascii="Times New Roman" w:hAnsi="Times New Roman" w:cs="Times New Roman"/>
          <w:sz w:val="24"/>
          <w:szCs w:val="24"/>
        </w:rPr>
        <w:t>A structured designed questionnaire to analyze risk factors and obt</w:t>
      </w:r>
      <w:r>
        <w:rPr>
          <w:rFonts w:ascii="Times New Roman" w:hAnsi="Times New Roman" w:cs="Times New Roman"/>
          <w:sz w:val="24"/>
          <w:szCs w:val="24"/>
        </w:rPr>
        <w:t>ain bio-demographic data were</w:t>
      </w:r>
      <w:r w:rsidRPr="00425A95">
        <w:rPr>
          <w:rFonts w:ascii="Times New Roman" w:hAnsi="Times New Roman" w:cs="Times New Roman"/>
          <w:sz w:val="24"/>
          <w:szCs w:val="24"/>
        </w:rPr>
        <w:t xml:space="preserve"> utilized</w:t>
      </w:r>
      <w:r>
        <w:rPr>
          <w:rFonts w:ascii="Times New Roman" w:hAnsi="Times New Roman" w:cs="Times New Roman"/>
          <w:sz w:val="24"/>
          <w:szCs w:val="24"/>
        </w:rPr>
        <w:t>.</w:t>
      </w:r>
    </w:p>
    <w:p w14:paraId="0352D8A3" w14:textId="77777777" w:rsidR="002531F9" w:rsidRDefault="002531F9" w:rsidP="00F707A8">
      <w:pPr>
        <w:spacing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3.8 </w:t>
      </w:r>
      <w:r w:rsidRPr="00425A95">
        <w:rPr>
          <w:rFonts w:ascii="Times New Roman" w:hAnsi="Times New Roman" w:cs="Times New Roman"/>
          <w:b/>
          <w:bCs/>
          <w:sz w:val="24"/>
          <w:szCs w:val="24"/>
        </w:rPr>
        <w:t>Ethical Clearance</w:t>
      </w:r>
      <w:r w:rsidR="00F6785A">
        <w:rPr>
          <w:rFonts w:ascii="Times New Roman" w:hAnsi="Times New Roman" w:cs="Times New Roman"/>
          <w:b/>
          <w:bCs/>
          <w:sz w:val="24"/>
          <w:szCs w:val="24"/>
        </w:rPr>
        <w:t xml:space="preserve">: </w:t>
      </w:r>
      <w:r>
        <w:rPr>
          <w:rFonts w:ascii="Times New Roman" w:eastAsia="Times New Roman" w:hAnsi="Times New Roman" w:cs="Times New Roman"/>
          <w:sz w:val="24"/>
          <w:szCs w:val="24"/>
        </w:rPr>
        <w:t>Ethical approval were obtained from the ethical, Committee</w:t>
      </w:r>
      <w:r w:rsidRPr="00425A95">
        <w:rPr>
          <w:rFonts w:ascii="Times New Roman" w:eastAsia="Times New Roman" w:hAnsi="Times New Roman" w:cs="Times New Roman"/>
          <w:sz w:val="24"/>
          <w:szCs w:val="24"/>
        </w:rPr>
        <w:t xml:space="preserve"> of FMC and</w:t>
      </w:r>
      <w:r>
        <w:rPr>
          <w:rFonts w:ascii="Times New Roman" w:eastAsia="Times New Roman" w:hAnsi="Times New Roman" w:cs="Times New Roman"/>
          <w:sz w:val="24"/>
          <w:szCs w:val="24"/>
        </w:rPr>
        <w:t xml:space="preserve"> BSUTH with the issuance of a letter of introduction and a letter of ethical approval. Informed consents were</w:t>
      </w:r>
      <w:r w:rsidRPr="00425A95">
        <w:rPr>
          <w:rFonts w:ascii="Times New Roman" w:eastAsia="Times New Roman" w:hAnsi="Times New Roman" w:cs="Times New Roman"/>
          <w:sz w:val="24"/>
          <w:szCs w:val="24"/>
        </w:rPr>
        <w:t xml:space="preserve"> secured from all participants or their guardians (in the case of minors).</w:t>
      </w:r>
    </w:p>
    <w:p w14:paraId="1C4D9911" w14:textId="77777777" w:rsidR="00CC6C61" w:rsidRPr="00CC6C61" w:rsidRDefault="00CC6C61" w:rsidP="00F707A8">
      <w:pPr>
        <w:pStyle w:val="NormalWeb"/>
      </w:pPr>
      <w:r>
        <w:t xml:space="preserve">A </w:t>
      </w:r>
      <w:r w:rsidRPr="00F75B3C">
        <w:t xml:space="preserve">lesion </w:t>
      </w:r>
      <w:r>
        <w:t>was cleaned with 70% alcohol and allowed</w:t>
      </w:r>
      <w:r w:rsidRPr="00F75B3C">
        <w:t xml:space="preserve"> to dr</w:t>
      </w:r>
      <w:r>
        <w:t xml:space="preserve">y and sterile scalpel blade was used to </w:t>
      </w:r>
      <w:r w:rsidRPr="00F75B3C">
        <w:t xml:space="preserve">crape from the </w:t>
      </w:r>
      <w:r w:rsidRPr="006709DB">
        <w:rPr>
          <w:bCs/>
        </w:rPr>
        <w:t>advancing/scaly edge</w:t>
      </w:r>
      <w:r w:rsidRPr="00F75B3C">
        <w:t xml:space="preserve"> of lesion</w:t>
      </w:r>
      <w:r>
        <w:t>. Scales were c</w:t>
      </w:r>
      <w:r w:rsidRPr="00F75B3C">
        <w:t>ollect</w:t>
      </w:r>
      <w:r>
        <w:t>ed</w:t>
      </w:r>
      <w:r w:rsidRPr="00F75B3C">
        <w:t xml:space="preserve"> onto clean paper or sterile container</w:t>
      </w:r>
      <w:r w:rsidR="0028679C">
        <w:t>.</w:t>
      </w:r>
    </w:p>
    <w:p w14:paraId="67F5EF54" w14:textId="77777777" w:rsidR="008F7650" w:rsidRPr="00425A95" w:rsidRDefault="008F7650" w:rsidP="00F707A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Samples were</w:t>
      </w:r>
      <w:r w:rsidRPr="00425A95">
        <w:rPr>
          <w:rFonts w:ascii="Times New Roman" w:eastAsia="Times New Roman" w:hAnsi="Times New Roman" w:cs="Times New Roman"/>
          <w:sz w:val="24"/>
          <w:szCs w:val="24"/>
        </w:rPr>
        <w:t xml:space="preserve"> examined using potassium hydroxide (KOH) preparation to detect fungal elements.</w:t>
      </w:r>
    </w:p>
    <w:p w14:paraId="60EB454D" w14:textId="77777777" w:rsidR="008F7650" w:rsidRPr="00425A95" w:rsidRDefault="008F7650" w:rsidP="00F707A8">
      <w:pPr>
        <w:pStyle w:val="NormalWeb"/>
        <w:jc w:val="both"/>
      </w:pPr>
      <w:r w:rsidRPr="00425A95">
        <w:t>The procedure for KOH wet mount is as follows:</w:t>
      </w:r>
      <w:r w:rsidR="00F6785A">
        <w:t xml:space="preserve"> t</w:t>
      </w:r>
      <w:r w:rsidRPr="00425A95">
        <w:t xml:space="preserve">he groin </w:t>
      </w:r>
      <w:r>
        <w:t>area of infected patient was</w:t>
      </w:r>
      <w:r w:rsidR="00F6785A">
        <w:t xml:space="preserve"> cleaned with 70 % alcohol, t</w:t>
      </w:r>
      <w:r w:rsidRPr="00425A95">
        <w:t>he collection of scales from the margin o</w:t>
      </w:r>
      <w:r>
        <w:t>f the lesion was</w:t>
      </w:r>
      <w:r w:rsidRPr="00425A95">
        <w:t xml:space="preserve"> done using a scalpel or the edge of a glass slide and over the collected scales with a cover slip and allow</w:t>
      </w:r>
      <w:r>
        <w:t>ed</w:t>
      </w:r>
      <w:r w:rsidRPr="00425A95">
        <w:t xml:space="preserve"> a drop of KOH (10-15% </w:t>
      </w:r>
      <w:proofErr w:type="spellStart"/>
      <w:r w:rsidRPr="00425A95">
        <w:t>wt</w:t>
      </w:r>
      <w:proofErr w:type="spellEnd"/>
      <w:r w:rsidRPr="00425A95">
        <w:t>/v</w:t>
      </w:r>
      <w:r w:rsidR="00F6785A">
        <w:t>ol) to run under the cover slip, t</w:t>
      </w:r>
      <w:r>
        <w:t>he keratin and debris were</w:t>
      </w:r>
      <w:r w:rsidRPr="00425A95">
        <w:t xml:space="preserve"> dissolved after a few minutes. The pr</w:t>
      </w:r>
      <w:r>
        <w:t>ocess was</w:t>
      </w:r>
      <w:r w:rsidRPr="00425A95">
        <w:t xml:space="preserve"> hastened by heating the slide or by the addition of a keratolytic or dimethyl sulfoxide</w:t>
      </w:r>
      <w:r w:rsidR="00F6785A">
        <w:t xml:space="preserve"> to the KOH formulation, t</w:t>
      </w:r>
      <w:r w:rsidRPr="00425A95">
        <w:t>he addition of 1 drop of lactophenol cotton blue solution to the wet mount preparation heightens the con</w:t>
      </w:r>
      <w:r w:rsidR="00F6785A">
        <w:t>trast and aids in the diagnosis, t</w:t>
      </w:r>
      <w:r>
        <w:t>he material was</w:t>
      </w:r>
      <w:r w:rsidRPr="00425A95">
        <w:t xml:space="preserve"> examined under a microscope.</w:t>
      </w:r>
      <w:r w:rsidR="00F6785A">
        <w:t xml:space="preserve"> </w:t>
      </w:r>
      <w:r w:rsidRPr="00425A95">
        <w:t xml:space="preserve">Microscopy is positive if hyphae are identified in fungal infections and if </w:t>
      </w:r>
      <w:proofErr w:type="spellStart"/>
      <w:r w:rsidRPr="00425A95">
        <w:t>pseudohyphae</w:t>
      </w:r>
      <w:proofErr w:type="spellEnd"/>
      <w:r w:rsidRPr="00425A95">
        <w:t xml:space="preserve"> or yeast forms are seen in Candida or </w:t>
      </w:r>
      <w:proofErr w:type="spellStart"/>
      <w:r w:rsidRPr="00425A95">
        <w:t>Pityrosporum</w:t>
      </w:r>
      <w:proofErr w:type="spellEnd"/>
      <w:r w:rsidRPr="00425A95">
        <w:t xml:space="preserve"> infections (Ashraf </w:t>
      </w:r>
      <w:r w:rsidRPr="00425A95">
        <w:rPr>
          <w:i/>
          <w:iCs/>
        </w:rPr>
        <w:t>et al.,</w:t>
      </w:r>
      <w:r w:rsidRPr="00425A95">
        <w:t xml:space="preserve"> 2018).</w:t>
      </w:r>
    </w:p>
    <w:p w14:paraId="3CCE885E" w14:textId="77777777" w:rsidR="008F7650" w:rsidRDefault="008F7650" w:rsidP="00F707A8">
      <w:pPr>
        <w:spacing w:line="240" w:lineRule="auto"/>
        <w:jc w:val="both"/>
        <w:rPr>
          <w:rFonts w:ascii="Times New Roman" w:hAnsi="Times New Roman" w:cs="Times New Roman"/>
          <w:sz w:val="24"/>
          <w:szCs w:val="24"/>
        </w:rPr>
      </w:pPr>
      <w:r>
        <w:rPr>
          <w:rFonts w:ascii="Times New Roman" w:hAnsi="Times New Roman" w:cs="Times New Roman"/>
          <w:sz w:val="24"/>
          <w:szCs w:val="24"/>
        </w:rPr>
        <w:t>Culture was</w:t>
      </w:r>
      <w:r w:rsidRPr="00425A95">
        <w:rPr>
          <w:rFonts w:ascii="Times New Roman" w:hAnsi="Times New Roman" w:cs="Times New Roman"/>
          <w:sz w:val="24"/>
          <w:szCs w:val="24"/>
        </w:rPr>
        <w:t xml:space="preserve"> done </w:t>
      </w:r>
      <w:proofErr w:type="spellStart"/>
      <w:r w:rsidRPr="00425A95">
        <w:rPr>
          <w:rFonts w:ascii="Times New Roman" w:hAnsi="Times New Roman" w:cs="Times New Roman"/>
          <w:sz w:val="24"/>
          <w:szCs w:val="24"/>
        </w:rPr>
        <w:t>Saboraud’s</w:t>
      </w:r>
      <w:proofErr w:type="spellEnd"/>
      <w:r w:rsidRPr="00425A95">
        <w:rPr>
          <w:rFonts w:ascii="Times New Roman" w:hAnsi="Times New Roman" w:cs="Times New Roman"/>
          <w:sz w:val="24"/>
          <w:szCs w:val="24"/>
        </w:rPr>
        <w:t xml:space="preserve"> dextrose agar (SDA) </w:t>
      </w:r>
      <w:r>
        <w:rPr>
          <w:rFonts w:ascii="Times New Roman" w:hAnsi="Times New Roman" w:cs="Times New Roman"/>
          <w:sz w:val="24"/>
          <w:szCs w:val="24"/>
        </w:rPr>
        <w:t>base (</w:t>
      </w:r>
      <w:proofErr w:type="spellStart"/>
      <w:r>
        <w:rPr>
          <w:rFonts w:ascii="Times New Roman" w:hAnsi="Times New Roman" w:cs="Times New Roman"/>
          <w:sz w:val="24"/>
          <w:szCs w:val="24"/>
        </w:rPr>
        <w:t>Oxoid</w:t>
      </w:r>
      <w:proofErr w:type="spellEnd"/>
      <w:r>
        <w:rPr>
          <w:rFonts w:ascii="Times New Roman" w:hAnsi="Times New Roman" w:cs="Times New Roman"/>
          <w:sz w:val="24"/>
          <w:szCs w:val="24"/>
        </w:rPr>
        <w:t xml:space="preserve"> UK). The SDA was</w:t>
      </w:r>
      <w:r w:rsidRPr="00425A95">
        <w:rPr>
          <w:rFonts w:ascii="Times New Roman" w:hAnsi="Times New Roman" w:cs="Times New Roman"/>
          <w:sz w:val="24"/>
          <w:szCs w:val="24"/>
        </w:rPr>
        <w:t xml:space="preserve"> supplemented with broad spectrum </w:t>
      </w:r>
      <w:proofErr w:type="spellStart"/>
      <w:r w:rsidRPr="00425A95">
        <w:rPr>
          <w:rFonts w:ascii="Times New Roman" w:hAnsi="Times New Roman" w:cs="Times New Roman"/>
          <w:sz w:val="24"/>
          <w:szCs w:val="24"/>
        </w:rPr>
        <w:t>cyclohexamide</w:t>
      </w:r>
      <w:proofErr w:type="spellEnd"/>
      <w:r w:rsidRPr="00425A95">
        <w:rPr>
          <w:rFonts w:ascii="Times New Roman" w:hAnsi="Times New Roman" w:cs="Times New Roman"/>
          <w:sz w:val="24"/>
          <w:szCs w:val="24"/>
        </w:rPr>
        <w:t xml:space="preserve"> to inhibit bacteria and saprophytic fungal contamination. </w:t>
      </w:r>
      <w:r>
        <w:rPr>
          <w:rFonts w:ascii="Times New Roman" w:eastAsia="Times New Roman" w:hAnsi="Times New Roman" w:cs="Times New Roman"/>
          <w:sz w:val="24"/>
          <w:szCs w:val="24"/>
        </w:rPr>
        <w:t xml:space="preserve"> Plates were</w:t>
      </w:r>
      <w:r w:rsidRPr="00425A95">
        <w:rPr>
          <w:rFonts w:ascii="Times New Roman" w:eastAsia="Times New Roman" w:hAnsi="Times New Roman" w:cs="Times New Roman"/>
          <w:sz w:val="24"/>
          <w:szCs w:val="24"/>
        </w:rPr>
        <w:t xml:space="preserve"> incubated at 25-30°C for up 4-10 days.</w:t>
      </w:r>
      <w:r w:rsidRPr="00425A95">
        <w:rPr>
          <w:rFonts w:ascii="Times New Roman" w:hAnsi="Times New Roman" w:cs="Times New Roman"/>
          <w:sz w:val="24"/>
          <w:szCs w:val="24"/>
        </w:rPr>
        <w:t xml:space="preserve"> Pos</w:t>
      </w:r>
      <w:r>
        <w:rPr>
          <w:rFonts w:ascii="Times New Roman" w:hAnsi="Times New Roman" w:cs="Times New Roman"/>
          <w:sz w:val="24"/>
          <w:szCs w:val="24"/>
        </w:rPr>
        <w:t>itive cultures were</w:t>
      </w:r>
      <w:r w:rsidRPr="00425A95">
        <w:rPr>
          <w:rFonts w:ascii="Times New Roman" w:hAnsi="Times New Roman" w:cs="Times New Roman"/>
          <w:sz w:val="24"/>
          <w:szCs w:val="24"/>
        </w:rPr>
        <w:t xml:space="preserve"> examined microscopically and macroscopically.</w:t>
      </w:r>
      <w:r>
        <w:rPr>
          <w:rFonts w:ascii="Times New Roman" w:hAnsi="Times New Roman" w:cs="Times New Roman"/>
          <w:sz w:val="24"/>
          <w:szCs w:val="24"/>
        </w:rPr>
        <w:t xml:space="preserve"> Macroscopic examination was</w:t>
      </w:r>
      <w:r w:rsidRPr="00425A95">
        <w:rPr>
          <w:rFonts w:ascii="Times New Roman" w:hAnsi="Times New Roman" w:cs="Times New Roman"/>
          <w:sz w:val="24"/>
          <w:szCs w:val="24"/>
        </w:rPr>
        <w:t xml:space="preserve"> for characteristic </w:t>
      </w:r>
      <w:proofErr w:type="spellStart"/>
      <w:r w:rsidRPr="00425A95">
        <w:rPr>
          <w:rFonts w:ascii="Times New Roman" w:hAnsi="Times New Roman" w:cs="Times New Roman"/>
          <w:sz w:val="24"/>
          <w:szCs w:val="24"/>
        </w:rPr>
        <w:t>colour</w:t>
      </w:r>
      <w:proofErr w:type="spellEnd"/>
      <w:r w:rsidRPr="00425A95">
        <w:rPr>
          <w:rFonts w:ascii="Times New Roman" w:hAnsi="Times New Roman" w:cs="Times New Roman"/>
          <w:sz w:val="24"/>
          <w:szCs w:val="24"/>
        </w:rPr>
        <w:t xml:space="preserve"> of surface and reverse, texture and topography (Lopes </w:t>
      </w:r>
      <w:r w:rsidRPr="00425A95">
        <w:rPr>
          <w:rFonts w:ascii="Times New Roman" w:hAnsi="Times New Roman" w:cs="Times New Roman"/>
          <w:i/>
          <w:iCs/>
          <w:sz w:val="24"/>
          <w:szCs w:val="24"/>
        </w:rPr>
        <w:t>et al.,</w:t>
      </w:r>
      <w:r w:rsidRPr="00425A95">
        <w:rPr>
          <w:rFonts w:ascii="Times New Roman" w:hAnsi="Times New Roman" w:cs="Times New Roman"/>
          <w:sz w:val="24"/>
          <w:szCs w:val="24"/>
        </w:rPr>
        <w:t xml:space="preserve"> 2017).</w:t>
      </w:r>
    </w:p>
    <w:p w14:paraId="0075623D" w14:textId="3C829801" w:rsidR="00542085" w:rsidRPr="00542085" w:rsidRDefault="00542085" w:rsidP="00F707A8">
      <w:pPr>
        <w:spacing w:line="240" w:lineRule="auto"/>
        <w:jc w:val="both"/>
        <w:rPr>
          <w:rFonts w:ascii="Times New Roman" w:hAnsi="Times New Roman" w:cs="Times New Roman"/>
          <w:sz w:val="24"/>
          <w:szCs w:val="24"/>
        </w:rPr>
      </w:pPr>
      <w:r w:rsidRPr="00542085">
        <w:rPr>
          <w:rFonts w:ascii="Times New Roman" w:hAnsi="Times New Roman" w:cs="Times New Roman"/>
          <w:sz w:val="24"/>
          <w:szCs w:val="24"/>
        </w:rPr>
        <w:t xml:space="preserve">Morphological Characterization Isolated fungi were identified by comparing photographic Atlas and based on physiological and morphological properties </w:t>
      </w:r>
      <w:r w:rsidRPr="00542085">
        <w:rPr>
          <w:rFonts w:ascii="Times New Roman" w:eastAsia="Times New Roman" w:hAnsi="Times New Roman" w:cs="Times New Roman"/>
          <w:sz w:val="24"/>
          <w:szCs w:val="24"/>
        </w:rPr>
        <w:t>(hyphae, conidia).</w:t>
      </w:r>
      <w:r w:rsidRPr="00542085">
        <w:rPr>
          <w:rFonts w:ascii="Times New Roman" w:hAnsi="Times New Roman" w:cs="Times New Roman"/>
          <w:sz w:val="24"/>
          <w:szCs w:val="24"/>
        </w:rPr>
        <w:t xml:space="preserve"> (De </w:t>
      </w:r>
      <w:proofErr w:type="spellStart"/>
      <w:r w:rsidRPr="00542085">
        <w:rPr>
          <w:rFonts w:ascii="Times New Roman" w:hAnsi="Times New Roman" w:cs="Times New Roman"/>
          <w:sz w:val="24"/>
          <w:szCs w:val="24"/>
        </w:rPr>
        <w:t>Hoog</w:t>
      </w:r>
      <w:proofErr w:type="spellEnd"/>
      <w:r w:rsidRPr="00542085">
        <w:rPr>
          <w:rFonts w:ascii="Times New Roman" w:hAnsi="Times New Roman" w:cs="Times New Roman"/>
          <w:sz w:val="24"/>
          <w:szCs w:val="24"/>
        </w:rPr>
        <w:t xml:space="preserve">, 2020). Colonies on SDA were classified according to shape, </w:t>
      </w:r>
      <w:proofErr w:type="spellStart"/>
      <w:r w:rsidRPr="00542085">
        <w:rPr>
          <w:rFonts w:ascii="Times New Roman" w:hAnsi="Times New Roman" w:cs="Times New Roman"/>
          <w:sz w:val="24"/>
          <w:szCs w:val="24"/>
        </w:rPr>
        <w:t>colour</w:t>
      </w:r>
      <w:proofErr w:type="spellEnd"/>
      <w:r w:rsidRPr="00542085">
        <w:rPr>
          <w:rFonts w:ascii="Times New Roman" w:hAnsi="Times New Roman" w:cs="Times New Roman"/>
          <w:sz w:val="24"/>
          <w:szCs w:val="24"/>
        </w:rPr>
        <w:t>, size and margin characteristics. Plates with no visible growth after 21 days were considered negative. Visible colonies were stored in tween 80 broth and afterwards on SDA broth for molecular identification</w:t>
      </w:r>
    </w:p>
    <w:p w14:paraId="2525C9A7" w14:textId="0C3C013A" w:rsidR="007D67E4" w:rsidRDefault="007D67E4" w:rsidP="00F707A8">
      <w:pPr>
        <w:spacing w:line="240" w:lineRule="auto"/>
        <w:rPr>
          <w:rFonts w:ascii="Times New Roman" w:hAnsi="Times New Roman" w:cs="Times New Roman"/>
          <w:b/>
          <w:sz w:val="24"/>
          <w:szCs w:val="24"/>
        </w:rPr>
      </w:pPr>
      <w:r w:rsidRPr="00B34A21">
        <w:rPr>
          <w:rFonts w:ascii="Times New Roman" w:hAnsi="Times New Roman" w:cs="Times New Roman"/>
          <w:b/>
          <w:sz w:val="24"/>
          <w:szCs w:val="24"/>
        </w:rPr>
        <w:lastRenderedPageBreak/>
        <w:t>RESULTS</w:t>
      </w:r>
      <w:r w:rsidR="009371F4">
        <w:rPr>
          <w:rFonts w:ascii="Times New Roman" w:hAnsi="Times New Roman" w:cs="Times New Roman"/>
          <w:b/>
          <w:sz w:val="24"/>
          <w:szCs w:val="24"/>
        </w:rPr>
        <w:t xml:space="preserve"> AND DISCUSSION </w:t>
      </w:r>
    </w:p>
    <w:p w14:paraId="19DCEFD2" w14:textId="77777777" w:rsidR="007D67E4" w:rsidRDefault="007D67E4" w:rsidP="00F707A8">
      <w:pPr>
        <w:spacing w:after="0" w:line="240" w:lineRule="auto"/>
        <w:rPr>
          <w:rFonts w:ascii="Times New Roman" w:eastAsia="Times New Roman" w:hAnsi="Times New Roman" w:cs="Times New Roman"/>
          <w:b/>
          <w:bCs/>
          <w:dstrike/>
          <w:sz w:val="24"/>
          <w:szCs w:val="24"/>
        </w:rPr>
      </w:pPr>
      <w:r>
        <w:rPr>
          <w:rFonts w:ascii="Times New Roman" w:hAnsi="Times New Roman" w:cs="Times New Roman"/>
          <w:b/>
          <w:bCs/>
          <w:sz w:val="24"/>
          <w:szCs w:val="24"/>
        </w:rPr>
        <w:t xml:space="preserve">Table 1: The Prevalence of </w:t>
      </w:r>
      <w:r w:rsidRPr="00FF5A48">
        <w:rPr>
          <w:rFonts w:ascii="Times New Roman" w:eastAsia="Times New Roman" w:hAnsi="Times New Roman" w:cs="Times New Roman"/>
          <w:b/>
          <w:i/>
          <w:iCs/>
          <w:sz w:val="24"/>
          <w:szCs w:val="24"/>
        </w:rPr>
        <w:t>Trichophyton rubrum</w:t>
      </w:r>
      <w:r>
        <w:rPr>
          <w:rFonts w:ascii="Times New Roman" w:hAnsi="Times New Roman" w:cs="Times New Roman"/>
          <w:b/>
          <w:bCs/>
          <w:sz w:val="24"/>
          <w:szCs w:val="24"/>
        </w:rPr>
        <w:t xml:space="preserve"> infections among</w:t>
      </w:r>
      <w:r w:rsidRPr="0001282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BSUTH</w:t>
      </w:r>
      <w:r w:rsidRPr="002B130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and FMC Makurdi.</w:t>
      </w:r>
    </w:p>
    <w:p w14:paraId="4BE91026" w14:textId="77777777" w:rsidR="007D67E4" w:rsidRDefault="007D67E4" w:rsidP="00F707A8">
      <w:pPr>
        <w:spacing w:line="240" w:lineRule="auto"/>
      </w:pPr>
    </w:p>
    <w:tbl>
      <w:tblPr>
        <w:tblStyle w:val="TableGrid"/>
        <w:tblW w:w="0" w:type="auto"/>
        <w:tblLook w:val="04A0" w:firstRow="1" w:lastRow="0" w:firstColumn="1" w:lastColumn="0" w:noHBand="0" w:noVBand="1"/>
      </w:tblPr>
      <w:tblGrid>
        <w:gridCol w:w="2554"/>
        <w:gridCol w:w="2393"/>
        <w:gridCol w:w="2300"/>
        <w:gridCol w:w="2113"/>
      </w:tblGrid>
      <w:tr w:rsidR="007D67E4" w14:paraId="490C62C1" w14:textId="77777777" w:rsidTr="0063388A">
        <w:tc>
          <w:tcPr>
            <w:tcW w:w="2554" w:type="dxa"/>
            <w:tcBorders>
              <w:top w:val="single" w:sz="4" w:space="0" w:color="auto"/>
              <w:left w:val="nil"/>
              <w:bottom w:val="single" w:sz="4" w:space="0" w:color="auto"/>
              <w:right w:val="nil"/>
            </w:tcBorders>
            <w:hideMark/>
          </w:tcPr>
          <w:p w14:paraId="471D58DF" w14:textId="77777777" w:rsidR="007D67E4" w:rsidRPr="00C81941" w:rsidRDefault="007D67E4" w:rsidP="00F707A8">
            <w:pPr>
              <w:rPr>
                <w:rFonts w:ascii="Times New Roman" w:hAnsi="Times New Roman" w:cs="Times New Roman"/>
                <w:b/>
                <w:i/>
                <w:sz w:val="24"/>
                <w:szCs w:val="24"/>
              </w:rPr>
            </w:pPr>
            <w:r w:rsidRPr="00C81941">
              <w:rPr>
                <w:rFonts w:ascii="Times New Roman" w:hAnsi="Times New Roman" w:cs="Times New Roman"/>
                <w:b/>
                <w:i/>
                <w:sz w:val="24"/>
                <w:szCs w:val="24"/>
              </w:rPr>
              <w:t>Tric</w:t>
            </w:r>
            <w:r>
              <w:rPr>
                <w:rFonts w:ascii="Times New Roman" w:hAnsi="Times New Roman" w:cs="Times New Roman"/>
                <w:b/>
                <w:i/>
                <w:sz w:val="24"/>
                <w:szCs w:val="24"/>
              </w:rPr>
              <w:t>h</w:t>
            </w:r>
            <w:r w:rsidRPr="00C81941">
              <w:rPr>
                <w:rFonts w:ascii="Times New Roman" w:hAnsi="Times New Roman" w:cs="Times New Roman"/>
                <w:b/>
                <w:i/>
                <w:sz w:val="24"/>
                <w:szCs w:val="24"/>
              </w:rPr>
              <w:t>ophyton rubrum</w:t>
            </w:r>
          </w:p>
        </w:tc>
        <w:tc>
          <w:tcPr>
            <w:tcW w:w="2393" w:type="dxa"/>
            <w:tcBorders>
              <w:top w:val="single" w:sz="4" w:space="0" w:color="auto"/>
              <w:left w:val="nil"/>
              <w:bottom w:val="single" w:sz="4" w:space="0" w:color="auto"/>
              <w:right w:val="nil"/>
            </w:tcBorders>
            <w:hideMark/>
          </w:tcPr>
          <w:p w14:paraId="4BE73F66" w14:textId="77777777" w:rsidR="007D67E4" w:rsidRPr="0058532B" w:rsidRDefault="007D67E4" w:rsidP="00F707A8">
            <w:pPr>
              <w:rPr>
                <w:rFonts w:ascii="Times New Roman" w:hAnsi="Times New Roman" w:cs="Times New Roman"/>
                <w:b/>
                <w:sz w:val="24"/>
                <w:szCs w:val="24"/>
              </w:rPr>
            </w:pPr>
            <w:r w:rsidRPr="0058532B">
              <w:rPr>
                <w:rFonts w:ascii="Times New Roman" w:hAnsi="Times New Roman" w:cs="Times New Roman"/>
                <w:b/>
                <w:sz w:val="24"/>
                <w:szCs w:val="24"/>
              </w:rPr>
              <w:t>BSUTH (%)</w:t>
            </w:r>
          </w:p>
        </w:tc>
        <w:tc>
          <w:tcPr>
            <w:tcW w:w="2300" w:type="dxa"/>
            <w:tcBorders>
              <w:top w:val="single" w:sz="4" w:space="0" w:color="auto"/>
              <w:left w:val="nil"/>
              <w:bottom w:val="single" w:sz="4" w:space="0" w:color="auto"/>
              <w:right w:val="nil"/>
            </w:tcBorders>
            <w:hideMark/>
          </w:tcPr>
          <w:p w14:paraId="01780479" w14:textId="77777777" w:rsidR="007D67E4" w:rsidRPr="0058532B" w:rsidRDefault="007D67E4" w:rsidP="00F707A8">
            <w:pPr>
              <w:rPr>
                <w:rFonts w:ascii="Times New Roman" w:hAnsi="Times New Roman" w:cs="Times New Roman"/>
                <w:b/>
                <w:sz w:val="24"/>
                <w:szCs w:val="24"/>
              </w:rPr>
            </w:pPr>
            <w:r w:rsidRPr="0058532B">
              <w:rPr>
                <w:rFonts w:ascii="Times New Roman" w:hAnsi="Times New Roman" w:cs="Times New Roman"/>
                <w:b/>
                <w:sz w:val="24"/>
                <w:szCs w:val="24"/>
              </w:rPr>
              <w:t>FMC (%)</w:t>
            </w:r>
          </w:p>
        </w:tc>
        <w:tc>
          <w:tcPr>
            <w:tcW w:w="2113" w:type="dxa"/>
            <w:tcBorders>
              <w:top w:val="single" w:sz="4" w:space="0" w:color="auto"/>
              <w:left w:val="nil"/>
              <w:bottom w:val="single" w:sz="4" w:space="0" w:color="auto"/>
              <w:right w:val="nil"/>
            </w:tcBorders>
          </w:tcPr>
          <w:p w14:paraId="74505651" w14:textId="77777777" w:rsidR="007D67E4" w:rsidRPr="0058532B" w:rsidRDefault="007D67E4" w:rsidP="00F707A8">
            <w:pPr>
              <w:rPr>
                <w:rFonts w:ascii="Times New Roman" w:hAnsi="Times New Roman" w:cs="Times New Roman"/>
                <w:b/>
                <w:sz w:val="24"/>
                <w:szCs w:val="24"/>
              </w:rPr>
            </w:pPr>
            <w:r>
              <w:rPr>
                <w:rFonts w:ascii="Times New Roman" w:hAnsi="Times New Roman" w:cs="Times New Roman"/>
                <w:b/>
                <w:sz w:val="24"/>
                <w:szCs w:val="24"/>
              </w:rPr>
              <w:t>Total (%)</w:t>
            </w:r>
          </w:p>
        </w:tc>
      </w:tr>
      <w:tr w:rsidR="007D67E4" w14:paraId="693EE168" w14:textId="77777777" w:rsidTr="0063388A">
        <w:tc>
          <w:tcPr>
            <w:tcW w:w="2554" w:type="dxa"/>
            <w:tcBorders>
              <w:top w:val="single" w:sz="4" w:space="0" w:color="auto"/>
              <w:left w:val="nil"/>
              <w:bottom w:val="nil"/>
              <w:right w:val="nil"/>
            </w:tcBorders>
            <w:hideMark/>
          </w:tcPr>
          <w:p w14:paraId="7B3558C2" w14:textId="77777777" w:rsidR="007D67E4" w:rsidRDefault="007D67E4" w:rsidP="00F707A8">
            <w:pPr>
              <w:rPr>
                <w:rFonts w:ascii="Times New Roman" w:hAnsi="Times New Roman" w:cs="Times New Roman"/>
                <w:sz w:val="24"/>
                <w:szCs w:val="24"/>
              </w:rPr>
            </w:pPr>
            <w:r>
              <w:rPr>
                <w:rFonts w:ascii="Times New Roman" w:hAnsi="Times New Roman" w:cs="Times New Roman"/>
                <w:sz w:val="24"/>
                <w:szCs w:val="24"/>
              </w:rPr>
              <w:t>Positive</w:t>
            </w:r>
          </w:p>
        </w:tc>
        <w:tc>
          <w:tcPr>
            <w:tcW w:w="2393" w:type="dxa"/>
            <w:tcBorders>
              <w:top w:val="single" w:sz="4" w:space="0" w:color="auto"/>
              <w:left w:val="nil"/>
              <w:bottom w:val="nil"/>
              <w:right w:val="nil"/>
            </w:tcBorders>
            <w:hideMark/>
          </w:tcPr>
          <w:p w14:paraId="489AF1BA" w14:textId="77777777" w:rsidR="007D67E4" w:rsidRDefault="007D67E4" w:rsidP="00F707A8">
            <w:pPr>
              <w:rPr>
                <w:rFonts w:ascii="Times New Roman" w:hAnsi="Times New Roman" w:cs="Times New Roman"/>
                <w:sz w:val="24"/>
                <w:szCs w:val="24"/>
              </w:rPr>
            </w:pPr>
            <w:r>
              <w:rPr>
                <w:rFonts w:ascii="Times New Roman" w:hAnsi="Times New Roman" w:cs="Times New Roman"/>
                <w:sz w:val="24"/>
                <w:szCs w:val="24"/>
              </w:rPr>
              <w:t>156 (78)</w:t>
            </w:r>
          </w:p>
        </w:tc>
        <w:tc>
          <w:tcPr>
            <w:tcW w:w="2300" w:type="dxa"/>
            <w:tcBorders>
              <w:top w:val="single" w:sz="4" w:space="0" w:color="auto"/>
              <w:left w:val="nil"/>
              <w:bottom w:val="nil"/>
              <w:right w:val="nil"/>
            </w:tcBorders>
            <w:hideMark/>
          </w:tcPr>
          <w:p w14:paraId="7B385218" w14:textId="77777777" w:rsidR="007D67E4" w:rsidRDefault="007D67E4" w:rsidP="00F707A8">
            <w:pPr>
              <w:rPr>
                <w:rFonts w:ascii="Times New Roman" w:hAnsi="Times New Roman" w:cs="Times New Roman"/>
                <w:sz w:val="24"/>
                <w:szCs w:val="24"/>
              </w:rPr>
            </w:pPr>
            <w:r>
              <w:rPr>
                <w:rFonts w:ascii="Times New Roman" w:hAnsi="Times New Roman" w:cs="Times New Roman"/>
                <w:sz w:val="24"/>
                <w:szCs w:val="24"/>
              </w:rPr>
              <w:t>138 (69)</w:t>
            </w:r>
          </w:p>
        </w:tc>
        <w:tc>
          <w:tcPr>
            <w:tcW w:w="2113" w:type="dxa"/>
            <w:tcBorders>
              <w:top w:val="single" w:sz="4" w:space="0" w:color="auto"/>
              <w:left w:val="nil"/>
              <w:bottom w:val="nil"/>
              <w:right w:val="nil"/>
            </w:tcBorders>
          </w:tcPr>
          <w:p w14:paraId="3AB267A4" w14:textId="77777777" w:rsidR="007D67E4" w:rsidRDefault="007D67E4" w:rsidP="00F707A8">
            <w:pPr>
              <w:rPr>
                <w:rFonts w:ascii="Times New Roman" w:hAnsi="Times New Roman" w:cs="Times New Roman"/>
                <w:sz w:val="24"/>
                <w:szCs w:val="24"/>
              </w:rPr>
            </w:pPr>
            <w:r>
              <w:rPr>
                <w:rFonts w:ascii="Times New Roman" w:hAnsi="Times New Roman" w:cs="Times New Roman"/>
                <w:sz w:val="24"/>
                <w:szCs w:val="24"/>
              </w:rPr>
              <w:t>294 (73.5</w:t>
            </w:r>
            <w:r w:rsidRPr="006C71ED">
              <w:rPr>
                <w:rFonts w:ascii="Times New Roman" w:hAnsi="Times New Roman" w:cs="Times New Roman"/>
                <w:sz w:val="24"/>
                <w:szCs w:val="24"/>
              </w:rPr>
              <w:t>)</w:t>
            </w:r>
          </w:p>
        </w:tc>
      </w:tr>
      <w:tr w:rsidR="007D67E4" w14:paraId="272240EA" w14:textId="77777777" w:rsidTr="0063388A">
        <w:tc>
          <w:tcPr>
            <w:tcW w:w="2554" w:type="dxa"/>
            <w:tcBorders>
              <w:top w:val="nil"/>
              <w:left w:val="nil"/>
              <w:bottom w:val="nil"/>
              <w:right w:val="nil"/>
            </w:tcBorders>
            <w:hideMark/>
          </w:tcPr>
          <w:p w14:paraId="2C5A4306" w14:textId="77777777" w:rsidR="007D67E4" w:rsidRDefault="007D67E4" w:rsidP="00F707A8">
            <w:pPr>
              <w:rPr>
                <w:rFonts w:ascii="Times New Roman" w:hAnsi="Times New Roman" w:cs="Times New Roman"/>
                <w:sz w:val="24"/>
                <w:szCs w:val="24"/>
              </w:rPr>
            </w:pPr>
            <w:r>
              <w:rPr>
                <w:rFonts w:ascii="Times New Roman" w:hAnsi="Times New Roman" w:cs="Times New Roman"/>
                <w:sz w:val="24"/>
                <w:szCs w:val="24"/>
              </w:rPr>
              <w:t>Negative</w:t>
            </w:r>
          </w:p>
        </w:tc>
        <w:tc>
          <w:tcPr>
            <w:tcW w:w="2393" w:type="dxa"/>
            <w:tcBorders>
              <w:top w:val="nil"/>
              <w:left w:val="nil"/>
              <w:bottom w:val="nil"/>
              <w:right w:val="nil"/>
            </w:tcBorders>
            <w:hideMark/>
          </w:tcPr>
          <w:p w14:paraId="1DCA1AC4" w14:textId="77777777" w:rsidR="007D67E4" w:rsidRDefault="007D67E4" w:rsidP="00F707A8">
            <w:pPr>
              <w:rPr>
                <w:rFonts w:ascii="Times New Roman" w:hAnsi="Times New Roman" w:cs="Times New Roman"/>
                <w:sz w:val="24"/>
                <w:szCs w:val="24"/>
              </w:rPr>
            </w:pPr>
            <w:r>
              <w:rPr>
                <w:rFonts w:ascii="Times New Roman" w:hAnsi="Times New Roman" w:cs="Times New Roman"/>
                <w:sz w:val="24"/>
                <w:szCs w:val="24"/>
              </w:rPr>
              <w:t>44 (22)</w:t>
            </w:r>
          </w:p>
        </w:tc>
        <w:tc>
          <w:tcPr>
            <w:tcW w:w="2300" w:type="dxa"/>
            <w:tcBorders>
              <w:top w:val="nil"/>
              <w:left w:val="nil"/>
              <w:bottom w:val="nil"/>
              <w:right w:val="nil"/>
            </w:tcBorders>
            <w:hideMark/>
          </w:tcPr>
          <w:p w14:paraId="6D71A605" w14:textId="77777777" w:rsidR="007D67E4" w:rsidRDefault="007D67E4" w:rsidP="00F707A8">
            <w:pPr>
              <w:rPr>
                <w:rFonts w:ascii="Times New Roman" w:hAnsi="Times New Roman" w:cs="Times New Roman"/>
                <w:sz w:val="24"/>
                <w:szCs w:val="24"/>
              </w:rPr>
            </w:pPr>
            <w:r>
              <w:rPr>
                <w:rFonts w:ascii="Times New Roman" w:hAnsi="Times New Roman" w:cs="Times New Roman"/>
                <w:sz w:val="24"/>
                <w:szCs w:val="24"/>
              </w:rPr>
              <w:t>62 (31)</w:t>
            </w:r>
          </w:p>
        </w:tc>
        <w:tc>
          <w:tcPr>
            <w:tcW w:w="2113" w:type="dxa"/>
            <w:tcBorders>
              <w:top w:val="nil"/>
              <w:left w:val="nil"/>
              <w:bottom w:val="nil"/>
              <w:right w:val="nil"/>
            </w:tcBorders>
          </w:tcPr>
          <w:p w14:paraId="3BFAFF55" w14:textId="77777777" w:rsidR="007D67E4" w:rsidRDefault="007D67E4" w:rsidP="00F707A8">
            <w:pPr>
              <w:rPr>
                <w:rFonts w:ascii="Times New Roman" w:hAnsi="Times New Roman" w:cs="Times New Roman"/>
                <w:sz w:val="24"/>
                <w:szCs w:val="24"/>
              </w:rPr>
            </w:pPr>
            <w:r>
              <w:rPr>
                <w:rFonts w:ascii="Times New Roman" w:hAnsi="Times New Roman" w:cs="Times New Roman"/>
                <w:sz w:val="24"/>
                <w:szCs w:val="24"/>
              </w:rPr>
              <w:t>106 (26.5</w:t>
            </w:r>
            <w:r w:rsidRPr="006C71ED">
              <w:rPr>
                <w:rFonts w:ascii="Times New Roman" w:hAnsi="Times New Roman" w:cs="Times New Roman"/>
                <w:sz w:val="24"/>
                <w:szCs w:val="24"/>
              </w:rPr>
              <w:t>)</w:t>
            </w:r>
          </w:p>
        </w:tc>
      </w:tr>
      <w:tr w:rsidR="007D67E4" w:rsidRPr="0058532B" w14:paraId="53D79B5E" w14:textId="77777777" w:rsidTr="0063388A">
        <w:tc>
          <w:tcPr>
            <w:tcW w:w="2554" w:type="dxa"/>
            <w:tcBorders>
              <w:top w:val="nil"/>
              <w:left w:val="nil"/>
              <w:bottom w:val="single" w:sz="4" w:space="0" w:color="auto"/>
              <w:right w:val="nil"/>
            </w:tcBorders>
            <w:hideMark/>
          </w:tcPr>
          <w:p w14:paraId="68210D19" w14:textId="77777777" w:rsidR="007D67E4" w:rsidRPr="0058532B" w:rsidRDefault="007D67E4" w:rsidP="00F707A8">
            <w:pPr>
              <w:rPr>
                <w:rFonts w:ascii="Times New Roman" w:hAnsi="Times New Roman" w:cs="Times New Roman"/>
                <w:b/>
                <w:sz w:val="24"/>
                <w:szCs w:val="24"/>
              </w:rPr>
            </w:pPr>
            <w:r w:rsidRPr="0058532B">
              <w:rPr>
                <w:rFonts w:ascii="Times New Roman" w:hAnsi="Times New Roman" w:cs="Times New Roman"/>
                <w:b/>
                <w:sz w:val="24"/>
                <w:szCs w:val="24"/>
              </w:rPr>
              <w:t>Total</w:t>
            </w:r>
          </w:p>
        </w:tc>
        <w:tc>
          <w:tcPr>
            <w:tcW w:w="2393" w:type="dxa"/>
            <w:tcBorders>
              <w:top w:val="nil"/>
              <w:left w:val="nil"/>
              <w:bottom w:val="single" w:sz="4" w:space="0" w:color="auto"/>
              <w:right w:val="nil"/>
            </w:tcBorders>
            <w:hideMark/>
          </w:tcPr>
          <w:p w14:paraId="57006BD8" w14:textId="77777777" w:rsidR="007D67E4" w:rsidRPr="0058532B" w:rsidRDefault="007D67E4" w:rsidP="00F707A8">
            <w:pPr>
              <w:rPr>
                <w:rFonts w:ascii="Times New Roman" w:hAnsi="Times New Roman" w:cs="Times New Roman"/>
                <w:b/>
                <w:sz w:val="24"/>
                <w:szCs w:val="24"/>
              </w:rPr>
            </w:pPr>
            <w:r w:rsidRPr="0058532B">
              <w:rPr>
                <w:rFonts w:ascii="Times New Roman" w:hAnsi="Times New Roman" w:cs="Times New Roman"/>
                <w:b/>
                <w:sz w:val="24"/>
                <w:szCs w:val="24"/>
              </w:rPr>
              <w:t>200 (100)</w:t>
            </w:r>
          </w:p>
        </w:tc>
        <w:tc>
          <w:tcPr>
            <w:tcW w:w="2300" w:type="dxa"/>
            <w:tcBorders>
              <w:top w:val="nil"/>
              <w:left w:val="nil"/>
              <w:bottom w:val="single" w:sz="4" w:space="0" w:color="auto"/>
              <w:right w:val="nil"/>
            </w:tcBorders>
            <w:hideMark/>
          </w:tcPr>
          <w:p w14:paraId="46362FA9" w14:textId="77777777" w:rsidR="007D67E4" w:rsidRPr="0058532B" w:rsidRDefault="007D67E4" w:rsidP="00F707A8">
            <w:pPr>
              <w:rPr>
                <w:rFonts w:ascii="Times New Roman" w:hAnsi="Times New Roman" w:cs="Times New Roman"/>
                <w:b/>
                <w:sz w:val="24"/>
                <w:szCs w:val="24"/>
              </w:rPr>
            </w:pPr>
            <w:r w:rsidRPr="0058532B">
              <w:rPr>
                <w:rFonts w:ascii="Times New Roman" w:hAnsi="Times New Roman" w:cs="Times New Roman"/>
                <w:b/>
                <w:sz w:val="24"/>
                <w:szCs w:val="24"/>
              </w:rPr>
              <w:t>200 (100)</w:t>
            </w:r>
          </w:p>
        </w:tc>
        <w:tc>
          <w:tcPr>
            <w:tcW w:w="2113" w:type="dxa"/>
            <w:tcBorders>
              <w:top w:val="nil"/>
              <w:left w:val="nil"/>
              <w:bottom w:val="single" w:sz="4" w:space="0" w:color="auto"/>
              <w:right w:val="nil"/>
            </w:tcBorders>
          </w:tcPr>
          <w:p w14:paraId="27CF3958" w14:textId="77777777" w:rsidR="007D67E4" w:rsidRPr="0058532B" w:rsidRDefault="007D67E4" w:rsidP="00F707A8">
            <w:pPr>
              <w:rPr>
                <w:rFonts w:ascii="Times New Roman" w:hAnsi="Times New Roman" w:cs="Times New Roman"/>
                <w:b/>
                <w:sz w:val="24"/>
                <w:szCs w:val="24"/>
              </w:rPr>
            </w:pPr>
            <w:r>
              <w:rPr>
                <w:rFonts w:ascii="Times New Roman" w:hAnsi="Times New Roman" w:cs="Times New Roman"/>
                <w:b/>
                <w:sz w:val="24"/>
                <w:szCs w:val="24"/>
              </w:rPr>
              <w:t>400 (100)</w:t>
            </w:r>
          </w:p>
        </w:tc>
      </w:tr>
    </w:tbl>
    <w:p w14:paraId="11703A0C" w14:textId="78E5039C" w:rsidR="007D67E4" w:rsidRPr="00445CD9" w:rsidRDefault="00445CD9" w:rsidP="00445CD9">
      <w:pPr>
        <w:spacing w:line="240" w:lineRule="auto"/>
        <w:jc w:val="both"/>
        <w:rPr>
          <w:rFonts w:ascii="Times New Roman" w:hAnsi="Times New Roman" w:cs="Times New Roman"/>
          <w:sz w:val="24"/>
          <w:szCs w:val="24"/>
        </w:rPr>
      </w:pPr>
      <w:r>
        <w:rPr>
          <w:rFonts w:ascii="Times New Roman" w:hAnsi="Times New Roman" w:cs="Times New Roman"/>
          <w:bCs/>
          <w:sz w:val="24"/>
          <w:szCs w:val="24"/>
        </w:rPr>
        <w:t xml:space="preserve">Four hundred patients </w:t>
      </w:r>
      <w:r w:rsidRPr="006C71ED">
        <w:rPr>
          <w:rFonts w:ascii="Times New Roman" w:hAnsi="Times New Roman" w:cs="Times New Roman"/>
          <w:bCs/>
          <w:sz w:val="24"/>
          <w:szCs w:val="24"/>
        </w:rPr>
        <w:t xml:space="preserve">were screened for the presence </w:t>
      </w:r>
      <w:r>
        <w:rPr>
          <w:rFonts w:ascii="Times New Roman" w:hAnsi="Times New Roman" w:cs="Times New Roman"/>
          <w:bCs/>
          <w:sz w:val="24"/>
          <w:szCs w:val="24"/>
        </w:rPr>
        <w:t xml:space="preserve">of </w:t>
      </w:r>
      <w:r w:rsidRPr="00453C05">
        <w:rPr>
          <w:rFonts w:ascii="Times New Roman" w:eastAsia="Times New Roman" w:hAnsi="Times New Roman" w:cs="Times New Roman"/>
          <w:i/>
          <w:iCs/>
          <w:sz w:val="24"/>
          <w:szCs w:val="24"/>
        </w:rPr>
        <w:t>Trichophyton rubrum</w:t>
      </w:r>
      <w:r w:rsidRPr="00453C05">
        <w:rPr>
          <w:rFonts w:ascii="Times New Roman" w:hAnsi="Times New Roman" w:cs="Times New Roman"/>
          <w:bCs/>
          <w:sz w:val="24"/>
          <w:szCs w:val="24"/>
        </w:rPr>
        <w:t>.</w:t>
      </w:r>
      <w:r w:rsidRPr="006C71ED">
        <w:rPr>
          <w:rFonts w:ascii="Times New Roman" w:hAnsi="Times New Roman" w:cs="Times New Roman"/>
          <w:bCs/>
          <w:sz w:val="24"/>
          <w:szCs w:val="24"/>
        </w:rPr>
        <w:t xml:space="preserve"> </w:t>
      </w:r>
      <w:r>
        <w:rPr>
          <w:rFonts w:ascii="Times New Roman" w:hAnsi="Times New Roman" w:cs="Times New Roman"/>
          <w:sz w:val="24"/>
          <w:szCs w:val="24"/>
        </w:rPr>
        <w:t>As shown in Table 1</w:t>
      </w:r>
      <w:r w:rsidRPr="006C71ED">
        <w:rPr>
          <w:rFonts w:ascii="Times New Roman" w:hAnsi="Times New Roman" w:cs="Times New Roman"/>
          <w:sz w:val="24"/>
          <w:szCs w:val="24"/>
        </w:rPr>
        <w:t xml:space="preserve">, </w:t>
      </w:r>
      <w:r w:rsidRPr="00453C05">
        <w:rPr>
          <w:rFonts w:ascii="Times New Roman" w:eastAsia="Times New Roman" w:hAnsi="Times New Roman" w:cs="Times New Roman"/>
          <w:i/>
          <w:iCs/>
          <w:sz w:val="24"/>
          <w:szCs w:val="24"/>
        </w:rPr>
        <w:t>Trichophyton rubrum</w:t>
      </w:r>
      <w:r>
        <w:rPr>
          <w:rFonts w:ascii="Times New Roman" w:hAnsi="Times New Roman" w:cs="Times New Roman"/>
          <w:b/>
          <w:bCs/>
          <w:sz w:val="24"/>
          <w:szCs w:val="24"/>
        </w:rPr>
        <w:t xml:space="preserve"> </w:t>
      </w:r>
      <w:r>
        <w:rPr>
          <w:rFonts w:ascii="Times New Roman" w:hAnsi="Times New Roman" w:cs="Times New Roman"/>
          <w:sz w:val="24"/>
          <w:szCs w:val="24"/>
        </w:rPr>
        <w:t>were isolated from 294 (73.5</w:t>
      </w:r>
      <w:r w:rsidRPr="006C71ED">
        <w:rPr>
          <w:rFonts w:ascii="Times New Roman" w:hAnsi="Times New Roman" w:cs="Times New Roman"/>
          <w:sz w:val="24"/>
          <w:szCs w:val="24"/>
        </w:rPr>
        <w:t xml:space="preserve">%) of the </w:t>
      </w:r>
      <w:r>
        <w:rPr>
          <w:rFonts w:ascii="Times New Roman" w:hAnsi="Times New Roman" w:cs="Times New Roman"/>
          <w:sz w:val="24"/>
          <w:szCs w:val="24"/>
        </w:rPr>
        <w:t>patients from Benue State University teaching Hospital (BSUTH) and Federal Medical Center (FMC) Makurdi. One hundred and six 106 (26.5</w:t>
      </w:r>
      <w:r w:rsidRPr="006C71ED">
        <w:rPr>
          <w:rFonts w:ascii="Times New Roman" w:hAnsi="Times New Roman" w:cs="Times New Roman"/>
          <w:sz w:val="24"/>
          <w:szCs w:val="24"/>
        </w:rPr>
        <w:t xml:space="preserve">%) of the </w:t>
      </w:r>
      <w:r>
        <w:rPr>
          <w:rFonts w:ascii="Times New Roman" w:hAnsi="Times New Roman" w:cs="Times New Roman"/>
          <w:sz w:val="24"/>
          <w:szCs w:val="24"/>
        </w:rPr>
        <w:t>Patients were not infected with</w:t>
      </w:r>
      <w:r w:rsidRPr="006C71ED">
        <w:rPr>
          <w:rFonts w:ascii="Times New Roman" w:hAnsi="Times New Roman" w:cs="Times New Roman"/>
          <w:sz w:val="24"/>
          <w:szCs w:val="24"/>
        </w:rPr>
        <w:t xml:space="preserve"> </w:t>
      </w:r>
      <w:r w:rsidRPr="00453C05">
        <w:rPr>
          <w:rFonts w:ascii="Times New Roman" w:eastAsia="Times New Roman" w:hAnsi="Times New Roman" w:cs="Times New Roman"/>
          <w:i/>
          <w:iCs/>
          <w:sz w:val="24"/>
          <w:szCs w:val="24"/>
        </w:rPr>
        <w:t>Trichophyton rubrum</w:t>
      </w:r>
      <w:r>
        <w:rPr>
          <w:rFonts w:ascii="Times New Roman" w:hAnsi="Times New Roman" w:cs="Times New Roman"/>
          <w:sz w:val="24"/>
          <w:szCs w:val="24"/>
        </w:rPr>
        <w:t>. Out of 294 positive patients BSUTH has 176 (78%) while FMC recorded 138 (69%).</w:t>
      </w:r>
    </w:p>
    <w:tbl>
      <w:tblPr>
        <w:tblW w:w="5000" w:type="pct"/>
        <w:tblLayout w:type="fixed"/>
        <w:tblLook w:val="04A0" w:firstRow="1" w:lastRow="0" w:firstColumn="1" w:lastColumn="0" w:noHBand="0" w:noVBand="1"/>
      </w:tblPr>
      <w:tblGrid>
        <w:gridCol w:w="9360"/>
      </w:tblGrid>
      <w:tr w:rsidR="007D67E4" w:rsidRPr="00206562" w14:paraId="5320D167" w14:textId="77777777" w:rsidTr="0063388A">
        <w:trPr>
          <w:trHeight w:val="900"/>
        </w:trPr>
        <w:tc>
          <w:tcPr>
            <w:tcW w:w="5000" w:type="pct"/>
            <w:tcBorders>
              <w:top w:val="nil"/>
              <w:left w:val="nil"/>
              <w:bottom w:val="nil"/>
              <w:right w:val="nil"/>
            </w:tcBorders>
            <w:noWrap/>
            <w:vAlign w:val="center"/>
            <w:hideMark/>
          </w:tcPr>
          <w:p w14:paraId="196F8A1F" w14:textId="77777777" w:rsidR="007D67E4" w:rsidRDefault="007D67E4" w:rsidP="00F707A8">
            <w:pPr>
              <w:spacing w:after="0" w:line="240" w:lineRule="auto"/>
              <w:rPr>
                <w:rFonts w:ascii="Times New Roman" w:eastAsia="Times New Roman" w:hAnsi="Times New Roman" w:cs="Times New Roman"/>
                <w:b/>
                <w:bCs/>
                <w:sz w:val="24"/>
                <w:szCs w:val="24"/>
              </w:rPr>
            </w:pPr>
          </w:p>
          <w:p w14:paraId="4B6E7129" w14:textId="77777777" w:rsidR="007D67E4" w:rsidRDefault="007D67E4" w:rsidP="00F707A8">
            <w:pPr>
              <w:spacing w:after="0" w:line="240" w:lineRule="auto"/>
              <w:rPr>
                <w:rFonts w:ascii="Times New Roman" w:eastAsia="Times New Roman" w:hAnsi="Times New Roman" w:cs="Times New Roman"/>
                <w:b/>
                <w:bCs/>
                <w:dstrike/>
                <w:sz w:val="24"/>
                <w:szCs w:val="24"/>
              </w:rPr>
            </w:pPr>
            <w:r>
              <w:rPr>
                <w:rFonts w:ascii="Times New Roman" w:eastAsia="Times New Roman" w:hAnsi="Times New Roman" w:cs="Times New Roman"/>
                <w:b/>
                <w:bCs/>
                <w:sz w:val="24"/>
                <w:szCs w:val="24"/>
              </w:rPr>
              <w:t>Table 2</w:t>
            </w:r>
            <w:r w:rsidRPr="002B130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The </w:t>
            </w:r>
            <w:r w:rsidRPr="0001282D">
              <w:rPr>
                <w:rFonts w:ascii="Times New Roman" w:eastAsia="Times New Roman" w:hAnsi="Times New Roman" w:cs="Times New Roman"/>
                <w:b/>
                <w:bCs/>
                <w:sz w:val="24"/>
                <w:szCs w:val="24"/>
              </w:rPr>
              <w:t xml:space="preserve">distribution of </w:t>
            </w:r>
            <w:r w:rsidRPr="00FF5A48">
              <w:rPr>
                <w:rFonts w:ascii="Times New Roman" w:eastAsia="Times New Roman" w:hAnsi="Times New Roman" w:cs="Times New Roman"/>
                <w:b/>
                <w:i/>
                <w:iCs/>
                <w:sz w:val="24"/>
                <w:szCs w:val="24"/>
              </w:rPr>
              <w:t>Trichophyton rubrum</w:t>
            </w:r>
            <w:r w:rsidRPr="0001282D">
              <w:rPr>
                <w:rFonts w:ascii="Times New Roman" w:eastAsia="Times New Roman" w:hAnsi="Times New Roman" w:cs="Times New Roman"/>
                <w:b/>
                <w:bCs/>
                <w:sz w:val="24"/>
                <w:szCs w:val="24"/>
              </w:rPr>
              <w:t xml:space="preserve"> infection among </w:t>
            </w:r>
            <w:r>
              <w:rPr>
                <w:rFonts w:ascii="Times New Roman" w:eastAsia="Times New Roman" w:hAnsi="Times New Roman" w:cs="Times New Roman"/>
                <w:b/>
                <w:bCs/>
                <w:sz w:val="24"/>
                <w:szCs w:val="24"/>
              </w:rPr>
              <w:t>BSUTH</w:t>
            </w:r>
            <w:r w:rsidRPr="002B130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and FMC Makurdi in relation to </w:t>
            </w:r>
            <w:r w:rsidRPr="0001282D">
              <w:rPr>
                <w:rFonts w:ascii="Times New Roman" w:eastAsia="Times New Roman" w:hAnsi="Times New Roman" w:cs="Times New Roman"/>
                <w:b/>
                <w:bCs/>
                <w:sz w:val="24"/>
                <w:szCs w:val="24"/>
              </w:rPr>
              <w:t>Age</w:t>
            </w:r>
            <w:r>
              <w:rPr>
                <w:rFonts w:ascii="Times New Roman" w:eastAsia="Times New Roman" w:hAnsi="Times New Roman" w:cs="Times New Roman"/>
                <w:b/>
                <w:bCs/>
                <w:sz w:val="24"/>
                <w:szCs w:val="24"/>
              </w:rPr>
              <w:t xml:space="preserve"> group.</w:t>
            </w:r>
          </w:p>
          <w:p w14:paraId="66F7FFE5" w14:textId="77777777" w:rsidR="007D67E4" w:rsidRPr="002B130E" w:rsidRDefault="007D67E4" w:rsidP="00F707A8">
            <w:pPr>
              <w:spacing w:after="0" w:line="240" w:lineRule="auto"/>
              <w:ind w:left="1060" w:hanging="1060"/>
              <w:rPr>
                <w:rFonts w:ascii="Times New Roman" w:eastAsia="Times New Roman" w:hAnsi="Times New Roman" w:cs="Times New Roman"/>
                <w:b/>
                <w:bCs/>
                <w:color w:val="FF0000"/>
                <w:sz w:val="24"/>
                <w:szCs w:val="24"/>
              </w:rPr>
            </w:pPr>
          </w:p>
        </w:tc>
      </w:tr>
    </w:tbl>
    <w:p w14:paraId="2D0E34C3" w14:textId="77777777" w:rsidR="007D67E4" w:rsidRDefault="007D67E4" w:rsidP="00F707A8">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7D67E4" w14:paraId="48F6F19A" w14:textId="77777777" w:rsidTr="0063388A">
        <w:tc>
          <w:tcPr>
            <w:tcW w:w="1870" w:type="dxa"/>
            <w:tcBorders>
              <w:left w:val="nil"/>
              <w:bottom w:val="nil"/>
              <w:right w:val="nil"/>
            </w:tcBorders>
          </w:tcPr>
          <w:p w14:paraId="150AD63D" w14:textId="77777777" w:rsidR="007D67E4" w:rsidRPr="00550011" w:rsidRDefault="007D67E4" w:rsidP="00F707A8">
            <w:pPr>
              <w:jc w:val="both"/>
              <w:rPr>
                <w:rFonts w:ascii="Times New Roman" w:hAnsi="Times New Roman" w:cs="Times New Roman"/>
                <w:b/>
                <w:sz w:val="24"/>
                <w:szCs w:val="24"/>
              </w:rPr>
            </w:pPr>
          </w:p>
        </w:tc>
        <w:tc>
          <w:tcPr>
            <w:tcW w:w="1870" w:type="dxa"/>
            <w:tcBorders>
              <w:left w:val="nil"/>
              <w:bottom w:val="nil"/>
              <w:right w:val="nil"/>
            </w:tcBorders>
          </w:tcPr>
          <w:p w14:paraId="5BC99AE1"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BSUTH</w:t>
            </w:r>
          </w:p>
        </w:tc>
        <w:tc>
          <w:tcPr>
            <w:tcW w:w="1870" w:type="dxa"/>
            <w:tcBorders>
              <w:left w:val="nil"/>
              <w:bottom w:val="nil"/>
              <w:right w:val="nil"/>
            </w:tcBorders>
          </w:tcPr>
          <w:p w14:paraId="604796D5" w14:textId="77777777" w:rsidR="007D67E4" w:rsidRPr="00550011" w:rsidRDefault="007D67E4" w:rsidP="00F707A8">
            <w:pPr>
              <w:jc w:val="both"/>
              <w:rPr>
                <w:rFonts w:ascii="Times New Roman" w:hAnsi="Times New Roman" w:cs="Times New Roman"/>
                <w:b/>
                <w:sz w:val="24"/>
                <w:szCs w:val="24"/>
              </w:rPr>
            </w:pPr>
          </w:p>
        </w:tc>
        <w:tc>
          <w:tcPr>
            <w:tcW w:w="1870" w:type="dxa"/>
            <w:tcBorders>
              <w:left w:val="nil"/>
              <w:bottom w:val="nil"/>
              <w:right w:val="nil"/>
            </w:tcBorders>
          </w:tcPr>
          <w:p w14:paraId="35725534"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FMC</w:t>
            </w:r>
          </w:p>
        </w:tc>
        <w:tc>
          <w:tcPr>
            <w:tcW w:w="1870" w:type="dxa"/>
            <w:tcBorders>
              <w:left w:val="nil"/>
              <w:bottom w:val="nil"/>
              <w:right w:val="nil"/>
            </w:tcBorders>
          </w:tcPr>
          <w:p w14:paraId="7E3B6DF9" w14:textId="77777777" w:rsidR="007D67E4" w:rsidRPr="00550011" w:rsidRDefault="007D67E4" w:rsidP="00F707A8">
            <w:pPr>
              <w:jc w:val="both"/>
              <w:rPr>
                <w:rFonts w:ascii="Times New Roman" w:hAnsi="Times New Roman" w:cs="Times New Roman"/>
                <w:b/>
                <w:sz w:val="24"/>
                <w:szCs w:val="24"/>
              </w:rPr>
            </w:pPr>
          </w:p>
        </w:tc>
      </w:tr>
      <w:tr w:rsidR="007D67E4" w14:paraId="3999BCC5" w14:textId="77777777" w:rsidTr="0063388A">
        <w:tc>
          <w:tcPr>
            <w:tcW w:w="1870" w:type="dxa"/>
            <w:tcBorders>
              <w:top w:val="nil"/>
              <w:left w:val="nil"/>
              <w:bottom w:val="single" w:sz="4" w:space="0" w:color="auto"/>
              <w:right w:val="nil"/>
            </w:tcBorders>
          </w:tcPr>
          <w:p w14:paraId="449F7C6F"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Age (years)</w:t>
            </w:r>
          </w:p>
        </w:tc>
        <w:tc>
          <w:tcPr>
            <w:tcW w:w="1870" w:type="dxa"/>
            <w:tcBorders>
              <w:top w:val="nil"/>
              <w:left w:val="nil"/>
              <w:bottom w:val="single" w:sz="4" w:space="0" w:color="auto"/>
              <w:right w:val="nil"/>
            </w:tcBorders>
          </w:tcPr>
          <w:p w14:paraId="35757FD9"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Positive (%)</w:t>
            </w:r>
          </w:p>
        </w:tc>
        <w:tc>
          <w:tcPr>
            <w:tcW w:w="1870" w:type="dxa"/>
            <w:tcBorders>
              <w:top w:val="nil"/>
              <w:left w:val="nil"/>
              <w:bottom w:val="single" w:sz="4" w:space="0" w:color="auto"/>
              <w:right w:val="nil"/>
            </w:tcBorders>
          </w:tcPr>
          <w:p w14:paraId="77B67348"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Negative (%)</w:t>
            </w:r>
          </w:p>
        </w:tc>
        <w:tc>
          <w:tcPr>
            <w:tcW w:w="1870" w:type="dxa"/>
            <w:tcBorders>
              <w:top w:val="nil"/>
              <w:left w:val="nil"/>
              <w:bottom w:val="single" w:sz="4" w:space="0" w:color="auto"/>
              <w:right w:val="nil"/>
            </w:tcBorders>
          </w:tcPr>
          <w:p w14:paraId="2D718DFD"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Positive (%)</w:t>
            </w:r>
          </w:p>
        </w:tc>
        <w:tc>
          <w:tcPr>
            <w:tcW w:w="1870" w:type="dxa"/>
            <w:tcBorders>
              <w:top w:val="nil"/>
              <w:left w:val="nil"/>
              <w:bottom w:val="single" w:sz="4" w:space="0" w:color="auto"/>
              <w:right w:val="nil"/>
            </w:tcBorders>
          </w:tcPr>
          <w:p w14:paraId="7860EE0F"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Negative (%)</w:t>
            </w:r>
          </w:p>
        </w:tc>
      </w:tr>
      <w:tr w:rsidR="007D67E4" w14:paraId="60B04A0A" w14:textId="77777777" w:rsidTr="0063388A">
        <w:tc>
          <w:tcPr>
            <w:tcW w:w="1870" w:type="dxa"/>
            <w:tcBorders>
              <w:left w:val="nil"/>
              <w:bottom w:val="nil"/>
              <w:right w:val="nil"/>
            </w:tcBorders>
          </w:tcPr>
          <w:p w14:paraId="59EBAD34"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0-10</w:t>
            </w:r>
          </w:p>
        </w:tc>
        <w:tc>
          <w:tcPr>
            <w:tcW w:w="1870" w:type="dxa"/>
            <w:tcBorders>
              <w:left w:val="nil"/>
              <w:bottom w:val="nil"/>
              <w:right w:val="nil"/>
            </w:tcBorders>
          </w:tcPr>
          <w:p w14:paraId="41608359"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21 (13.5)</w:t>
            </w:r>
          </w:p>
        </w:tc>
        <w:tc>
          <w:tcPr>
            <w:tcW w:w="1870" w:type="dxa"/>
            <w:tcBorders>
              <w:left w:val="nil"/>
              <w:bottom w:val="nil"/>
              <w:right w:val="nil"/>
            </w:tcBorders>
          </w:tcPr>
          <w:p w14:paraId="2E9BD6E8"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0 (0.0)</w:t>
            </w:r>
          </w:p>
        </w:tc>
        <w:tc>
          <w:tcPr>
            <w:tcW w:w="1870" w:type="dxa"/>
            <w:tcBorders>
              <w:left w:val="nil"/>
              <w:bottom w:val="nil"/>
              <w:right w:val="nil"/>
            </w:tcBorders>
          </w:tcPr>
          <w:p w14:paraId="2B905980"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0 (0.0)</w:t>
            </w:r>
          </w:p>
        </w:tc>
        <w:tc>
          <w:tcPr>
            <w:tcW w:w="1870" w:type="dxa"/>
            <w:tcBorders>
              <w:left w:val="nil"/>
              <w:bottom w:val="nil"/>
              <w:right w:val="nil"/>
            </w:tcBorders>
          </w:tcPr>
          <w:p w14:paraId="5BC64775"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14 (22.6)</w:t>
            </w:r>
          </w:p>
        </w:tc>
      </w:tr>
      <w:tr w:rsidR="007D67E4" w14:paraId="14A27113" w14:textId="77777777" w:rsidTr="0063388A">
        <w:tc>
          <w:tcPr>
            <w:tcW w:w="1870" w:type="dxa"/>
            <w:tcBorders>
              <w:top w:val="nil"/>
              <w:left w:val="nil"/>
              <w:bottom w:val="nil"/>
              <w:right w:val="nil"/>
            </w:tcBorders>
          </w:tcPr>
          <w:p w14:paraId="6615491B"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11-20</w:t>
            </w:r>
          </w:p>
        </w:tc>
        <w:tc>
          <w:tcPr>
            <w:tcW w:w="1870" w:type="dxa"/>
            <w:tcBorders>
              <w:top w:val="nil"/>
              <w:left w:val="nil"/>
              <w:bottom w:val="nil"/>
              <w:right w:val="nil"/>
            </w:tcBorders>
          </w:tcPr>
          <w:p w14:paraId="59A28B17"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16 (10.3)</w:t>
            </w:r>
          </w:p>
        </w:tc>
        <w:tc>
          <w:tcPr>
            <w:tcW w:w="1870" w:type="dxa"/>
            <w:tcBorders>
              <w:top w:val="nil"/>
              <w:left w:val="nil"/>
              <w:bottom w:val="nil"/>
              <w:right w:val="nil"/>
            </w:tcBorders>
          </w:tcPr>
          <w:p w14:paraId="4BBEDBFA"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0 (0.0)</w:t>
            </w:r>
          </w:p>
        </w:tc>
        <w:tc>
          <w:tcPr>
            <w:tcW w:w="1870" w:type="dxa"/>
            <w:tcBorders>
              <w:top w:val="nil"/>
              <w:left w:val="nil"/>
              <w:bottom w:val="nil"/>
              <w:right w:val="nil"/>
            </w:tcBorders>
          </w:tcPr>
          <w:p w14:paraId="7409F1DD"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29 (21.01)</w:t>
            </w:r>
          </w:p>
        </w:tc>
        <w:tc>
          <w:tcPr>
            <w:tcW w:w="1870" w:type="dxa"/>
            <w:tcBorders>
              <w:top w:val="nil"/>
              <w:left w:val="nil"/>
              <w:bottom w:val="nil"/>
              <w:right w:val="nil"/>
            </w:tcBorders>
          </w:tcPr>
          <w:p w14:paraId="3C90A8A4"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4 (6.5)</w:t>
            </w:r>
          </w:p>
        </w:tc>
      </w:tr>
      <w:tr w:rsidR="007D67E4" w14:paraId="10FAE6BD" w14:textId="77777777" w:rsidTr="0063388A">
        <w:tc>
          <w:tcPr>
            <w:tcW w:w="1870" w:type="dxa"/>
            <w:tcBorders>
              <w:top w:val="nil"/>
              <w:left w:val="nil"/>
              <w:bottom w:val="nil"/>
              <w:right w:val="nil"/>
            </w:tcBorders>
          </w:tcPr>
          <w:p w14:paraId="36D8A30B"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21-30</w:t>
            </w:r>
          </w:p>
        </w:tc>
        <w:tc>
          <w:tcPr>
            <w:tcW w:w="1870" w:type="dxa"/>
            <w:tcBorders>
              <w:top w:val="nil"/>
              <w:left w:val="nil"/>
              <w:bottom w:val="nil"/>
              <w:right w:val="nil"/>
            </w:tcBorders>
          </w:tcPr>
          <w:p w14:paraId="2FF3BF3A"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50 (32.1)</w:t>
            </w:r>
          </w:p>
        </w:tc>
        <w:tc>
          <w:tcPr>
            <w:tcW w:w="1870" w:type="dxa"/>
            <w:tcBorders>
              <w:top w:val="nil"/>
              <w:left w:val="nil"/>
              <w:bottom w:val="nil"/>
              <w:right w:val="nil"/>
            </w:tcBorders>
          </w:tcPr>
          <w:p w14:paraId="34FBF2EE"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0 (0.0)</w:t>
            </w:r>
          </w:p>
        </w:tc>
        <w:tc>
          <w:tcPr>
            <w:tcW w:w="1870" w:type="dxa"/>
            <w:tcBorders>
              <w:top w:val="nil"/>
              <w:left w:val="nil"/>
              <w:bottom w:val="nil"/>
              <w:right w:val="nil"/>
            </w:tcBorders>
          </w:tcPr>
          <w:p w14:paraId="40A36CA7"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30 (21.7)</w:t>
            </w:r>
          </w:p>
        </w:tc>
        <w:tc>
          <w:tcPr>
            <w:tcW w:w="1870" w:type="dxa"/>
            <w:tcBorders>
              <w:top w:val="nil"/>
              <w:left w:val="nil"/>
              <w:bottom w:val="nil"/>
              <w:right w:val="nil"/>
            </w:tcBorders>
          </w:tcPr>
          <w:p w14:paraId="588C147D"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10 (16.1)</w:t>
            </w:r>
          </w:p>
        </w:tc>
      </w:tr>
      <w:tr w:rsidR="007D67E4" w14:paraId="0DAD5B4D" w14:textId="77777777" w:rsidTr="0063388A">
        <w:tc>
          <w:tcPr>
            <w:tcW w:w="1870" w:type="dxa"/>
            <w:tcBorders>
              <w:top w:val="nil"/>
              <w:left w:val="nil"/>
              <w:bottom w:val="nil"/>
              <w:right w:val="nil"/>
            </w:tcBorders>
          </w:tcPr>
          <w:p w14:paraId="0472A6A6"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31-40</w:t>
            </w:r>
          </w:p>
        </w:tc>
        <w:tc>
          <w:tcPr>
            <w:tcW w:w="1870" w:type="dxa"/>
            <w:tcBorders>
              <w:top w:val="nil"/>
              <w:left w:val="nil"/>
              <w:bottom w:val="nil"/>
              <w:right w:val="nil"/>
            </w:tcBorders>
          </w:tcPr>
          <w:p w14:paraId="3D6FD472"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68 (43.6)</w:t>
            </w:r>
          </w:p>
        </w:tc>
        <w:tc>
          <w:tcPr>
            <w:tcW w:w="1870" w:type="dxa"/>
            <w:tcBorders>
              <w:top w:val="nil"/>
              <w:left w:val="nil"/>
              <w:bottom w:val="nil"/>
              <w:right w:val="nil"/>
            </w:tcBorders>
          </w:tcPr>
          <w:p w14:paraId="0635DE5A"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44 ( 100)</w:t>
            </w:r>
          </w:p>
        </w:tc>
        <w:tc>
          <w:tcPr>
            <w:tcW w:w="1870" w:type="dxa"/>
            <w:tcBorders>
              <w:top w:val="nil"/>
              <w:left w:val="nil"/>
              <w:bottom w:val="nil"/>
              <w:right w:val="nil"/>
            </w:tcBorders>
          </w:tcPr>
          <w:p w14:paraId="5B9FDA5E"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57 (41.3)</w:t>
            </w:r>
          </w:p>
        </w:tc>
        <w:tc>
          <w:tcPr>
            <w:tcW w:w="1870" w:type="dxa"/>
            <w:tcBorders>
              <w:top w:val="nil"/>
              <w:left w:val="nil"/>
              <w:bottom w:val="nil"/>
              <w:right w:val="nil"/>
            </w:tcBorders>
          </w:tcPr>
          <w:p w14:paraId="1E89206B"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18 (39.03)</w:t>
            </w:r>
          </w:p>
        </w:tc>
      </w:tr>
      <w:tr w:rsidR="007D67E4" w14:paraId="07E3DAC7" w14:textId="77777777" w:rsidTr="0063388A">
        <w:tc>
          <w:tcPr>
            <w:tcW w:w="1870" w:type="dxa"/>
            <w:tcBorders>
              <w:top w:val="nil"/>
              <w:left w:val="nil"/>
              <w:bottom w:val="nil"/>
              <w:right w:val="nil"/>
            </w:tcBorders>
          </w:tcPr>
          <w:p w14:paraId="4E9455D0"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41-50</w:t>
            </w:r>
          </w:p>
        </w:tc>
        <w:tc>
          <w:tcPr>
            <w:tcW w:w="1870" w:type="dxa"/>
            <w:tcBorders>
              <w:top w:val="nil"/>
              <w:left w:val="nil"/>
              <w:bottom w:val="nil"/>
              <w:right w:val="nil"/>
            </w:tcBorders>
          </w:tcPr>
          <w:p w14:paraId="2BACF949"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 (0.6)</w:t>
            </w:r>
          </w:p>
        </w:tc>
        <w:tc>
          <w:tcPr>
            <w:tcW w:w="1870" w:type="dxa"/>
            <w:tcBorders>
              <w:top w:val="nil"/>
              <w:left w:val="nil"/>
              <w:bottom w:val="nil"/>
              <w:right w:val="nil"/>
            </w:tcBorders>
          </w:tcPr>
          <w:p w14:paraId="25E42E80" w14:textId="77777777" w:rsidR="007D67E4" w:rsidRPr="00204759" w:rsidRDefault="007D67E4" w:rsidP="00F707A8">
            <w:pPr>
              <w:jc w:val="both"/>
            </w:pPr>
            <w:r>
              <w:t>0 (0.0)</w:t>
            </w:r>
          </w:p>
        </w:tc>
        <w:tc>
          <w:tcPr>
            <w:tcW w:w="1870" w:type="dxa"/>
            <w:tcBorders>
              <w:top w:val="nil"/>
              <w:left w:val="nil"/>
              <w:bottom w:val="nil"/>
              <w:right w:val="nil"/>
            </w:tcBorders>
          </w:tcPr>
          <w:p w14:paraId="3DD8BB31"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22 (15.9)</w:t>
            </w:r>
          </w:p>
        </w:tc>
        <w:tc>
          <w:tcPr>
            <w:tcW w:w="1870" w:type="dxa"/>
            <w:tcBorders>
              <w:top w:val="nil"/>
              <w:left w:val="nil"/>
              <w:bottom w:val="nil"/>
              <w:right w:val="nil"/>
            </w:tcBorders>
          </w:tcPr>
          <w:p w14:paraId="3E9226B6"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17 (27.4)</w:t>
            </w:r>
          </w:p>
        </w:tc>
      </w:tr>
      <w:tr w:rsidR="007D67E4" w14:paraId="69F52DA1" w14:textId="77777777" w:rsidTr="0063388A">
        <w:tc>
          <w:tcPr>
            <w:tcW w:w="1870" w:type="dxa"/>
            <w:tcBorders>
              <w:top w:val="nil"/>
              <w:left w:val="nil"/>
              <w:right w:val="nil"/>
            </w:tcBorders>
          </w:tcPr>
          <w:p w14:paraId="4B4CC2C8"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TOTAL</w:t>
            </w:r>
          </w:p>
        </w:tc>
        <w:tc>
          <w:tcPr>
            <w:tcW w:w="1870" w:type="dxa"/>
            <w:tcBorders>
              <w:top w:val="nil"/>
              <w:left w:val="nil"/>
              <w:right w:val="nil"/>
            </w:tcBorders>
          </w:tcPr>
          <w:p w14:paraId="5AD95F3A"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156 (100)</w:t>
            </w:r>
          </w:p>
        </w:tc>
        <w:tc>
          <w:tcPr>
            <w:tcW w:w="1870" w:type="dxa"/>
            <w:tcBorders>
              <w:top w:val="nil"/>
              <w:left w:val="nil"/>
              <w:right w:val="nil"/>
            </w:tcBorders>
          </w:tcPr>
          <w:p w14:paraId="6027157A"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44 (100)</w:t>
            </w:r>
          </w:p>
        </w:tc>
        <w:tc>
          <w:tcPr>
            <w:tcW w:w="1870" w:type="dxa"/>
            <w:tcBorders>
              <w:top w:val="nil"/>
              <w:left w:val="nil"/>
              <w:right w:val="nil"/>
            </w:tcBorders>
          </w:tcPr>
          <w:p w14:paraId="566FC841"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138 (100)</w:t>
            </w:r>
          </w:p>
        </w:tc>
        <w:tc>
          <w:tcPr>
            <w:tcW w:w="1870" w:type="dxa"/>
            <w:tcBorders>
              <w:top w:val="nil"/>
              <w:left w:val="nil"/>
              <w:right w:val="nil"/>
            </w:tcBorders>
          </w:tcPr>
          <w:p w14:paraId="196244C6"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62 (100)</w:t>
            </w:r>
          </w:p>
        </w:tc>
      </w:tr>
    </w:tbl>
    <w:p w14:paraId="7DE46130" w14:textId="77777777" w:rsidR="007D67E4" w:rsidRDefault="007D67E4" w:rsidP="00F707A8">
      <w:pPr>
        <w:spacing w:line="240" w:lineRule="auto"/>
        <w:jc w:val="both"/>
        <w:rPr>
          <w:rFonts w:ascii="Times New Roman" w:eastAsia="Times New Roman" w:hAnsi="Times New Roman" w:cs="Times New Roman"/>
          <w:sz w:val="24"/>
          <w:szCs w:val="24"/>
        </w:rPr>
      </w:pPr>
      <w:r w:rsidRPr="009503C3">
        <w:rPr>
          <w:rFonts w:ascii="Times New Roman" w:hAnsi="Times New Roman" w:cs="Times New Roman"/>
          <w:sz w:val="24"/>
          <w:szCs w:val="24"/>
        </w:rPr>
        <w:t>χ</w:t>
      </w:r>
      <w:r w:rsidRPr="009503C3">
        <w:rPr>
          <w:rFonts w:ascii="Times New Roman" w:hAnsi="Times New Roman" w:cs="Times New Roman"/>
          <w:sz w:val="24"/>
          <w:szCs w:val="24"/>
          <w:vertAlign w:val="superscript"/>
        </w:rPr>
        <w:t>2</w:t>
      </w:r>
      <w:r>
        <w:rPr>
          <w:rFonts w:ascii="Times New Roman" w:eastAsia="Times New Roman" w:hAnsi="Times New Roman" w:cs="Times New Roman"/>
          <w:sz w:val="24"/>
          <w:szCs w:val="24"/>
        </w:rPr>
        <w:t>=44.</w:t>
      </w:r>
      <w:proofErr w:type="gramStart"/>
      <w:r>
        <w:rPr>
          <w:rFonts w:ascii="Times New Roman" w:eastAsia="Times New Roman" w:hAnsi="Times New Roman" w:cs="Times New Roman"/>
          <w:sz w:val="24"/>
          <w:szCs w:val="24"/>
        </w:rPr>
        <w:t>323  df</w:t>
      </w:r>
      <w:proofErr w:type="gramEnd"/>
      <w:r>
        <w:rPr>
          <w:rFonts w:ascii="Times New Roman" w:eastAsia="Times New Roman" w:hAnsi="Times New Roman" w:cs="Times New Roman"/>
          <w:sz w:val="24"/>
          <w:szCs w:val="24"/>
        </w:rPr>
        <w:t>=4   p=0.000</w:t>
      </w:r>
    </w:p>
    <w:p w14:paraId="1683E28A" w14:textId="77777777" w:rsidR="00445CD9" w:rsidRDefault="00445CD9" w:rsidP="00445CD9">
      <w:pPr>
        <w:spacing w:after="0" w:line="240" w:lineRule="auto"/>
        <w:rPr>
          <w:rFonts w:ascii="Times New Roman" w:eastAsia="Times New Roman" w:hAnsi="Times New Roman" w:cs="Times New Roman"/>
          <w:b/>
          <w:bCs/>
          <w:sz w:val="24"/>
          <w:szCs w:val="24"/>
        </w:rPr>
      </w:pPr>
      <w:r w:rsidRPr="009503C3">
        <w:rPr>
          <w:rFonts w:ascii="Times New Roman" w:hAnsi="Times New Roman" w:cs="Times New Roman"/>
          <w:sz w:val="24"/>
          <w:szCs w:val="24"/>
        </w:rPr>
        <w:t xml:space="preserve">The highest prevalence of </w:t>
      </w:r>
      <w:r w:rsidRPr="0071326E">
        <w:rPr>
          <w:rFonts w:ascii="Times New Roman" w:eastAsia="Times New Roman" w:hAnsi="Times New Roman" w:cs="Times New Roman"/>
          <w:i/>
          <w:iCs/>
          <w:sz w:val="24"/>
          <w:szCs w:val="24"/>
        </w:rPr>
        <w:t>Trichophyton rubrum</w:t>
      </w:r>
      <w:r w:rsidRPr="009503C3">
        <w:rPr>
          <w:rFonts w:ascii="Times New Roman" w:hAnsi="Times New Roman" w:cs="Times New Roman"/>
          <w:sz w:val="24"/>
          <w:szCs w:val="24"/>
        </w:rPr>
        <w:t xml:space="preserve"> infection was observed among </w:t>
      </w:r>
      <w:r>
        <w:rPr>
          <w:rFonts w:ascii="Times New Roman" w:hAnsi="Times New Roman" w:cs="Times New Roman"/>
          <w:sz w:val="24"/>
          <w:szCs w:val="24"/>
        </w:rPr>
        <w:t xml:space="preserve">patients aged 31-40 years (n=68/ 43.6 </w:t>
      </w:r>
      <w:r w:rsidRPr="009503C3">
        <w:rPr>
          <w:rFonts w:ascii="Times New Roman" w:hAnsi="Times New Roman" w:cs="Times New Roman"/>
          <w:sz w:val="24"/>
          <w:szCs w:val="24"/>
        </w:rPr>
        <w:t>%), followed by age groups of 21-30</w:t>
      </w:r>
      <w:r>
        <w:rPr>
          <w:rFonts w:ascii="Times New Roman" w:hAnsi="Times New Roman" w:cs="Times New Roman"/>
          <w:sz w:val="24"/>
          <w:szCs w:val="24"/>
        </w:rPr>
        <w:t xml:space="preserve"> (n=30: 32.1%) years among BSUTH patients while and 31-40 years has the higher prevalence</w:t>
      </w:r>
      <w:r>
        <w:rPr>
          <w:rFonts w:ascii="Times New Roman" w:hAnsi="Times New Roman" w:cs="Times New Roman"/>
          <w:color w:val="FF0000"/>
          <w:sz w:val="24"/>
          <w:szCs w:val="24"/>
        </w:rPr>
        <w:t xml:space="preserve"> </w:t>
      </w:r>
      <w:r>
        <w:rPr>
          <w:rFonts w:ascii="Times New Roman" w:hAnsi="Times New Roman" w:cs="Times New Roman"/>
          <w:sz w:val="24"/>
          <w:szCs w:val="24"/>
        </w:rPr>
        <w:t>(41.3</w:t>
      </w:r>
      <w:r w:rsidRPr="009503C3">
        <w:rPr>
          <w:rFonts w:ascii="Times New Roman" w:hAnsi="Times New Roman" w:cs="Times New Roman"/>
          <w:sz w:val="24"/>
          <w:szCs w:val="24"/>
        </w:rPr>
        <w:t>%)</w:t>
      </w:r>
      <w:r>
        <w:rPr>
          <w:rFonts w:ascii="Times New Roman" w:hAnsi="Times New Roman" w:cs="Times New Roman"/>
          <w:sz w:val="24"/>
          <w:szCs w:val="24"/>
        </w:rPr>
        <w:t xml:space="preserve"> followed 21-30 year (21.7 %) among FMC patients</w:t>
      </w:r>
      <w:r w:rsidRPr="009503C3">
        <w:rPr>
          <w:rFonts w:ascii="Times New Roman" w:hAnsi="Times New Roman" w:cs="Times New Roman"/>
          <w:sz w:val="24"/>
          <w:szCs w:val="24"/>
        </w:rPr>
        <w:t xml:space="preserve"> </w:t>
      </w:r>
      <w:r>
        <w:rPr>
          <w:rFonts w:ascii="Times New Roman" w:hAnsi="Times New Roman" w:cs="Times New Roman"/>
          <w:sz w:val="24"/>
          <w:szCs w:val="24"/>
        </w:rPr>
        <w:t>(Table 2).</w:t>
      </w:r>
    </w:p>
    <w:p w14:paraId="416FE9CD" w14:textId="77777777" w:rsidR="00067C9E" w:rsidRDefault="00067C9E" w:rsidP="00F707A8">
      <w:pPr>
        <w:spacing w:line="240" w:lineRule="auto"/>
        <w:rPr>
          <w:rFonts w:ascii="Times New Roman" w:eastAsia="Times New Roman" w:hAnsi="Times New Roman" w:cs="Times New Roman"/>
          <w:b/>
          <w:bCs/>
          <w:sz w:val="24"/>
          <w:szCs w:val="24"/>
        </w:rPr>
      </w:pPr>
    </w:p>
    <w:p w14:paraId="3D715743" w14:textId="77777777" w:rsidR="007D67E4" w:rsidRDefault="007D67E4" w:rsidP="00F707A8">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3: The </w:t>
      </w:r>
      <w:r w:rsidRPr="0001282D">
        <w:rPr>
          <w:rFonts w:ascii="Times New Roman" w:eastAsia="Times New Roman" w:hAnsi="Times New Roman" w:cs="Times New Roman"/>
          <w:b/>
          <w:bCs/>
          <w:sz w:val="24"/>
          <w:szCs w:val="24"/>
        </w:rPr>
        <w:t xml:space="preserve">distribution of </w:t>
      </w:r>
      <w:r w:rsidRPr="00FF5A48">
        <w:rPr>
          <w:rFonts w:ascii="Times New Roman" w:eastAsia="Times New Roman" w:hAnsi="Times New Roman" w:cs="Times New Roman"/>
          <w:b/>
          <w:i/>
          <w:iCs/>
          <w:sz w:val="24"/>
          <w:szCs w:val="24"/>
        </w:rPr>
        <w:t>Trichophyton rubrum</w:t>
      </w:r>
      <w:r w:rsidRPr="0001282D">
        <w:rPr>
          <w:rFonts w:ascii="Times New Roman" w:eastAsia="Times New Roman" w:hAnsi="Times New Roman" w:cs="Times New Roman"/>
          <w:b/>
          <w:bCs/>
          <w:sz w:val="24"/>
          <w:szCs w:val="24"/>
        </w:rPr>
        <w:t xml:space="preserve"> infection among </w:t>
      </w:r>
      <w:r>
        <w:rPr>
          <w:rFonts w:ascii="Times New Roman" w:eastAsia="Times New Roman" w:hAnsi="Times New Roman" w:cs="Times New Roman"/>
          <w:b/>
          <w:bCs/>
          <w:sz w:val="24"/>
          <w:szCs w:val="24"/>
        </w:rPr>
        <w:t>BSUTH</w:t>
      </w:r>
      <w:r w:rsidRPr="002B130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and FMC Makurdi in relation to Sex</w:t>
      </w:r>
    </w:p>
    <w:p w14:paraId="402D83AD" w14:textId="77777777" w:rsidR="007D67E4" w:rsidRDefault="007D67E4" w:rsidP="00F707A8">
      <w:pPr>
        <w:spacing w:line="24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7D67E4" w14:paraId="7B5CDD00" w14:textId="77777777" w:rsidTr="0063388A">
        <w:tc>
          <w:tcPr>
            <w:tcW w:w="1870" w:type="dxa"/>
            <w:tcBorders>
              <w:left w:val="nil"/>
              <w:bottom w:val="nil"/>
              <w:right w:val="nil"/>
            </w:tcBorders>
          </w:tcPr>
          <w:p w14:paraId="2D2151A0" w14:textId="77777777" w:rsidR="007D67E4" w:rsidRPr="007C489D" w:rsidRDefault="007D67E4" w:rsidP="00F707A8">
            <w:pPr>
              <w:jc w:val="both"/>
              <w:rPr>
                <w:rFonts w:ascii="Times New Roman" w:eastAsia="Times New Roman" w:hAnsi="Times New Roman" w:cs="Times New Roman"/>
                <w:b/>
                <w:sz w:val="24"/>
                <w:szCs w:val="24"/>
              </w:rPr>
            </w:pPr>
          </w:p>
        </w:tc>
        <w:tc>
          <w:tcPr>
            <w:tcW w:w="1870" w:type="dxa"/>
            <w:tcBorders>
              <w:left w:val="nil"/>
              <w:bottom w:val="nil"/>
              <w:right w:val="nil"/>
            </w:tcBorders>
          </w:tcPr>
          <w:p w14:paraId="72452F6E"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BSUTH</w:t>
            </w:r>
          </w:p>
        </w:tc>
        <w:tc>
          <w:tcPr>
            <w:tcW w:w="1870" w:type="dxa"/>
            <w:tcBorders>
              <w:left w:val="nil"/>
              <w:bottom w:val="nil"/>
              <w:right w:val="nil"/>
            </w:tcBorders>
          </w:tcPr>
          <w:p w14:paraId="633973AA" w14:textId="77777777" w:rsidR="007D67E4" w:rsidRPr="007C489D" w:rsidRDefault="007D67E4" w:rsidP="00F707A8">
            <w:pPr>
              <w:jc w:val="both"/>
              <w:rPr>
                <w:rFonts w:ascii="Times New Roman" w:eastAsia="Times New Roman" w:hAnsi="Times New Roman" w:cs="Times New Roman"/>
                <w:b/>
                <w:sz w:val="24"/>
                <w:szCs w:val="24"/>
              </w:rPr>
            </w:pPr>
          </w:p>
        </w:tc>
        <w:tc>
          <w:tcPr>
            <w:tcW w:w="1870" w:type="dxa"/>
            <w:tcBorders>
              <w:left w:val="nil"/>
              <w:bottom w:val="nil"/>
              <w:right w:val="nil"/>
            </w:tcBorders>
          </w:tcPr>
          <w:p w14:paraId="2E171F65"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FMC</w:t>
            </w:r>
          </w:p>
        </w:tc>
        <w:tc>
          <w:tcPr>
            <w:tcW w:w="1870" w:type="dxa"/>
            <w:tcBorders>
              <w:left w:val="nil"/>
              <w:bottom w:val="nil"/>
              <w:right w:val="nil"/>
            </w:tcBorders>
          </w:tcPr>
          <w:p w14:paraId="481C28FA" w14:textId="77777777" w:rsidR="007D67E4" w:rsidRPr="007C489D" w:rsidRDefault="007D67E4" w:rsidP="00F707A8">
            <w:pPr>
              <w:jc w:val="both"/>
              <w:rPr>
                <w:rFonts w:ascii="Times New Roman" w:eastAsia="Times New Roman" w:hAnsi="Times New Roman" w:cs="Times New Roman"/>
                <w:b/>
                <w:sz w:val="24"/>
                <w:szCs w:val="24"/>
              </w:rPr>
            </w:pPr>
          </w:p>
        </w:tc>
      </w:tr>
      <w:tr w:rsidR="007D67E4" w14:paraId="466E09B5" w14:textId="77777777" w:rsidTr="0063388A">
        <w:tc>
          <w:tcPr>
            <w:tcW w:w="1870" w:type="dxa"/>
            <w:tcBorders>
              <w:top w:val="nil"/>
              <w:left w:val="nil"/>
              <w:bottom w:val="single" w:sz="4" w:space="0" w:color="auto"/>
              <w:right w:val="nil"/>
            </w:tcBorders>
          </w:tcPr>
          <w:p w14:paraId="34975591"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Variable</w:t>
            </w:r>
          </w:p>
        </w:tc>
        <w:tc>
          <w:tcPr>
            <w:tcW w:w="1870" w:type="dxa"/>
            <w:tcBorders>
              <w:top w:val="nil"/>
              <w:left w:val="nil"/>
              <w:bottom w:val="single" w:sz="4" w:space="0" w:color="auto"/>
              <w:right w:val="nil"/>
            </w:tcBorders>
          </w:tcPr>
          <w:p w14:paraId="2CBA6C3A"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Positive (%)</w:t>
            </w:r>
          </w:p>
        </w:tc>
        <w:tc>
          <w:tcPr>
            <w:tcW w:w="1870" w:type="dxa"/>
            <w:tcBorders>
              <w:top w:val="nil"/>
              <w:left w:val="nil"/>
              <w:bottom w:val="single" w:sz="4" w:space="0" w:color="auto"/>
              <w:right w:val="nil"/>
            </w:tcBorders>
          </w:tcPr>
          <w:p w14:paraId="06D6AAAA"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Negative (%)</w:t>
            </w:r>
          </w:p>
        </w:tc>
        <w:tc>
          <w:tcPr>
            <w:tcW w:w="1870" w:type="dxa"/>
            <w:tcBorders>
              <w:top w:val="nil"/>
              <w:left w:val="nil"/>
              <w:bottom w:val="single" w:sz="4" w:space="0" w:color="auto"/>
              <w:right w:val="nil"/>
            </w:tcBorders>
          </w:tcPr>
          <w:p w14:paraId="745DFB12"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Positive (%)</w:t>
            </w:r>
          </w:p>
        </w:tc>
        <w:tc>
          <w:tcPr>
            <w:tcW w:w="1870" w:type="dxa"/>
            <w:tcBorders>
              <w:top w:val="nil"/>
              <w:left w:val="nil"/>
              <w:bottom w:val="single" w:sz="4" w:space="0" w:color="auto"/>
              <w:right w:val="nil"/>
            </w:tcBorders>
          </w:tcPr>
          <w:p w14:paraId="5475CE09"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Negative (%)</w:t>
            </w:r>
          </w:p>
        </w:tc>
      </w:tr>
      <w:tr w:rsidR="007D67E4" w14:paraId="582AAD5D" w14:textId="77777777" w:rsidTr="0063388A">
        <w:tc>
          <w:tcPr>
            <w:tcW w:w="1870" w:type="dxa"/>
            <w:tcBorders>
              <w:left w:val="nil"/>
              <w:bottom w:val="nil"/>
              <w:right w:val="nil"/>
            </w:tcBorders>
          </w:tcPr>
          <w:p w14:paraId="067747D0" w14:textId="77777777" w:rsidR="007D67E4" w:rsidRDefault="007D67E4" w:rsidP="00F707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870" w:type="dxa"/>
            <w:tcBorders>
              <w:left w:val="nil"/>
              <w:bottom w:val="nil"/>
              <w:right w:val="nil"/>
            </w:tcBorders>
          </w:tcPr>
          <w:p w14:paraId="290AAEFC" w14:textId="77777777" w:rsidR="007D67E4" w:rsidRDefault="007D67E4" w:rsidP="00F707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(48.7)</w:t>
            </w:r>
          </w:p>
        </w:tc>
        <w:tc>
          <w:tcPr>
            <w:tcW w:w="1870" w:type="dxa"/>
            <w:tcBorders>
              <w:left w:val="nil"/>
              <w:bottom w:val="nil"/>
              <w:right w:val="nil"/>
            </w:tcBorders>
          </w:tcPr>
          <w:p w14:paraId="19E7CAC6" w14:textId="77777777" w:rsidR="007D67E4" w:rsidRDefault="007D67E4" w:rsidP="00F707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(54.5)</w:t>
            </w:r>
          </w:p>
        </w:tc>
        <w:tc>
          <w:tcPr>
            <w:tcW w:w="1870" w:type="dxa"/>
            <w:tcBorders>
              <w:left w:val="nil"/>
              <w:bottom w:val="nil"/>
              <w:right w:val="nil"/>
            </w:tcBorders>
          </w:tcPr>
          <w:p w14:paraId="6C5ABD82" w14:textId="77777777" w:rsidR="007D67E4" w:rsidRDefault="007D67E4" w:rsidP="00F707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 (50.0)</w:t>
            </w:r>
          </w:p>
        </w:tc>
        <w:tc>
          <w:tcPr>
            <w:tcW w:w="1870" w:type="dxa"/>
            <w:tcBorders>
              <w:left w:val="nil"/>
              <w:bottom w:val="nil"/>
              <w:right w:val="nil"/>
            </w:tcBorders>
          </w:tcPr>
          <w:p w14:paraId="70250B2D" w14:textId="77777777" w:rsidR="007D67E4" w:rsidRDefault="007D67E4" w:rsidP="00F707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(50.0)</w:t>
            </w:r>
          </w:p>
        </w:tc>
      </w:tr>
      <w:tr w:rsidR="007D67E4" w14:paraId="4DC59CB5" w14:textId="77777777" w:rsidTr="0063388A">
        <w:tc>
          <w:tcPr>
            <w:tcW w:w="1870" w:type="dxa"/>
            <w:tcBorders>
              <w:top w:val="nil"/>
              <w:left w:val="nil"/>
              <w:bottom w:val="nil"/>
              <w:right w:val="nil"/>
            </w:tcBorders>
          </w:tcPr>
          <w:p w14:paraId="7849B7E7" w14:textId="77777777" w:rsidR="007D67E4" w:rsidRDefault="007D67E4" w:rsidP="00F707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870" w:type="dxa"/>
            <w:tcBorders>
              <w:top w:val="nil"/>
              <w:left w:val="nil"/>
              <w:bottom w:val="nil"/>
              <w:right w:val="nil"/>
            </w:tcBorders>
          </w:tcPr>
          <w:p w14:paraId="3F210112" w14:textId="77777777" w:rsidR="007D67E4" w:rsidRDefault="007D67E4" w:rsidP="00F707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 (51.3)</w:t>
            </w:r>
          </w:p>
        </w:tc>
        <w:tc>
          <w:tcPr>
            <w:tcW w:w="1870" w:type="dxa"/>
            <w:tcBorders>
              <w:top w:val="nil"/>
              <w:left w:val="nil"/>
              <w:bottom w:val="nil"/>
              <w:right w:val="nil"/>
            </w:tcBorders>
          </w:tcPr>
          <w:p w14:paraId="7032D598" w14:textId="77777777" w:rsidR="007D67E4" w:rsidRDefault="007D67E4" w:rsidP="00F707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(45.5)</w:t>
            </w:r>
          </w:p>
        </w:tc>
        <w:tc>
          <w:tcPr>
            <w:tcW w:w="1870" w:type="dxa"/>
            <w:tcBorders>
              <w:top w:val="nil"/>
              <w:left w:val="nil"/>
              <w:bottom w:val="nil"/>
              <w:right w:val="nil"/>
            </w:tcBorders>
          </w:tcPr>
          <w:p w14:paraId="6939220D" w14:textId="77777777" w:rsidR="007D67E4" w:rsidRDefault="007D67E4" w:rsidP="00F707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 (50.0)</w:t>
            </w:r>
          </w:p>
        </w:tc>
        <w:tc>
          <w:tcPr>
            <w:tcW w:w="1870" w:type="dxa"/>
            <w:tcBorders>
              <w:top w:val="nil"/>
              <w:left w:val="nil"/>
              <w:bottom w:val="nil"/>
              <w:right w:val="nil"/>
            </w:tcBorders>
          </w:tcPr>
          <w:p w14:paraId="4FDC340C" w14:textId="77777777" w:rsidR="007D67E4" w:rsidRDefault="007D67E4" w:rsidP="00F707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(50.0)</w:t>
            </w:r>
          </w:p>
        </w:tc>
      </w:tr>
      <w:tr w:rsidR="007D67E4" w:rsidRPr="007C489D" w14:paraId="75EB5D60" w14:textId="77777777" w:rsidTr="0063388A">
        <w:tc>
          <w:tcPr>
            <w:tcW w:w="1870" w:type="dxa"/>
            <w:tcBorders>
              <w:top w:val="nil"/>
              <w:left w:val="nil"/>
              <w:right w:val="nil"/>
            </w:tcBorders>
          </w:tcPr>
          <w:p w14:paraId="31199842"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TOTAL</w:t>
            </w:r>
          </w:p>
        </w:tc>
        <w:tc>
          <w:tcPr>
            <w:tcW w:w="1870" w:type="dxa"/>
            <w:tcBorders>
              <w:top w:val="nil"/>
              <w:left w:val="nil"/>
              <w:right w:val="nil"/>
            </w:tcBorders>
          </w:tcPr>
          <w:p w14:paraId="3DF2E0E9"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156 (100)</w:t>
            </w:r>
          </w:p>
        </w:tc>
        <w:tc>
          <w:tcPr>
            <w:tcW w:w="1870" w:type="dxa"/>
            <w:tcBorders>
              <w:top w:val="nil"/>
              <w:left w:val="nil"/>
              <w:right w:val="nil"/>
            </w:tcBorders>
          </w:tcPr>
          <w:p w14:paraId="29AB28AE"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44 (100)</w:t>
            </w:r>
          </w:p>
        </w:tc>
        <w:tc>
          <w:tcPr>
            <w:tcW w:w="1870" w:type="dxa"/>
            <w:tcBorders>
              <w:top w:val="nil"/>
              <w:left w:val="nil"/>
              <w:right w:val="nil"/>
            </w:tcBorders>
          </w:tcPr>
          <w:p w14:paraId="2644737A"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138 (100)</w:t>
            </w:r>
          </w:p>
        </w:tc>
        <w:tc>
          <w:tcPr>
            <w:tcW w:w="1870" w:type="dxa"/>
            <w:tcBorders>
              <w:top w:val="nil"/>
              <w:left w:val="nil"/>
              <w:right w:val="nil"/>
            </w:tcBorders>
          </w:tcPr>
          <w:p w14:paraId="2B0EE81D"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62 (100)</w:t>
            </w:r>
          </w:p>
        </w:tc>
      </w:tr>
    </w:tbl>
    <w:p w14:paraId="723DAD68" w14:textId="77777777" w:rsidR="00445CD9" w:rsidRDefault="007D67E4" w:rsidP="00F707A8">
      <w:pPr>
        <w:spacing w:line="240" w:lineRule="auto"/>
        <w:jc w:val="both"/>
        <w:rPr>
          <w:rFonts w:ascii="Times New Roman" w:eastAsia="Times New Roman" w:hAnsi="Times New Roman" w:cs="Times New Roman"/>
          <w:sz w:val="24"/>
          <w:szCs w:val="24"/>
        </w:rPr>
      </w:pPr>
      <w:r w:rsidRPr="009503C3">
        <w:rPr>
          <w:rFonts w:ascii="Times New Roman" w:hAnsi="Times New Roman" w:cs="Times New Roman"/>
          <w:sz w:val="24"/>
          <w:szCs w:val="24"/>
        </w:rPr>
        <w:t>χ</w:t>
      </w:r>
      <w:r w:rsidRPr="009503C3">
        <w:rPr>
          <w:rFonts w:ascii="Times New Roman" w:hAnsi="Times New Roman" w:cs="Times New Roman"/>
          <w:sz w:val="24"/>
          <w:szCs w:val="24"/>
          <w:vertAlign w:val="superscript"/>
        </w:rPr>
        <w:t>2</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466  df</w:t>
      </w:r>
      <w:proofErr w:type="gramEnd"/>
      <w:r>
        <w:rPr>
          <w:rFonts w:ascii="Times New Roman" w:eastAsia="Times New Roman" w:hAnsi="Times New Roman" w:cs="Times New Roman"/>
          <w:sz w:val="24"/>
          <w:szCs w:val="24"/>
        </w:rPr>
        <w:t>=1   p=0.495</w:t>
      </w:r>
      <w:r>
        <w:rPr>
          <w:rFonts w:ascii="Times New Roman" w:eastAsia="Times New Roman" w:hAnsi="Times New Roman" w:cs="Times New Roman"/>
          <w:sz w:val="24"/>
          <w:szCs w:val="24"/>
        </w:rPr>
        <w:tab/>
      </w:r>
    </w:p>
    <w:p w14:paraId="7C2740DF" w14:textId="0493CE32" w:rsidR="007D67E4" w:rsidRPr="00445CD9" w:rsidRDefault="00445CD9" w:rsidP="00445CD9">
      <w:pPr>
        <w:spacing w:line="240" w:lineRule="auto"/>
        <w:rPr>
          <w:rFonts w:ascii="Times New Roman" w:eastAsia="Times New Roman" w:hAnsi="Times New Roman" w:cs="Times New Roman"/>
          <w:b/>
          <w:bCs/>
          <w:sz w:val="24"/>
          <w:szCs w:val="24"/>
        </w:rPr>
      </w:pPr>
      <w:r>
        <w:rPr>
          <w:rFonts w:ascii="Times New Roman" w:hAnsi="Times New Roman" w:cs="Times New Roman"/>
          <w:sz w:val="24"/>
          <w:szCs w:val="24"/>
        </w:rPr>
        <w:lastRenderedPageBreak/>
        <w:t>As shown in Table 3</w:t>
      </w:r>
      <w:r w:rsidRPr="009503C3">
        <w:rPr>
          <w:rFonts w:ascii="Times New Roman" w:hAnsi="Times New Roman" w:cs="Times New Roman"/>
          <w:sz w:val="24"/>
          <w:szCs w:val="24"/>
        </w:rPr>
        <w:t xml:space="preserve">, </w:t>
      </w:r>
      <w:r>
        <w:rPr>
          <w:rFonts w:ascii="Times New Roman" w:hAnsi="Times New Roman" w:cs="Times New Roman"/>
          <w:sz w:val="24"/>
          <w:szCs w:val="24"/>
        </w:rPr>
        <w:t xml:space="preserve">200 males and 200 females were screened for </w:t>
      </w:r>
      <w:r w:rsidRPr="00DD586C">
        <w:rPr>
          <w:rFonts w:ascii="Times New Roman" w:hAnsi="Times New Roman" w:cs="Times New Roman"/>
          <w:i/>
          <w:sz w:val="24"/>
          <w:szCs w:val="24"/>
        </w:rPr>
        <w:t>T. rubrum</w:t>
      </w:r>
      <w:r>
        <w:rPr>
          <w:rFonts w:ascii="Times New Roman" w:hAnsi="Times New Roman" w:cs="Times New Roman"/>
          <w:sz w:val="24"/>
          <w:szCs w:val="24"/>
        </w:rPr>
        <w:t xml:space="preserve">, </w:t>
      </w:r>
      <w:r w:rsidRPr="009503C3">
        <w:rPr>
          <w:rFonts w:ascii="Times New Roman" w:hAnsi="Times New Roman" w:cs="Times New Roman"/>
          <w:sz w:val="24"/>
          <w:szCs w:val="24"/>
        </w:rPr>
        <w:t xml:space="preserve">the males had a higher prevalence of </w:t>
      </w:r>
      <w:r w:rsidRPr="00440759">
        <w:rPr>
          <w:rFonts w:ascii="Times New Roman" w:eastAsia="Times New Roman" w:hAnsi="Times New Roman" w:cs="Times New Roman"/>
          <w:i/>
          <w:iCs/>
          <w:sz w:val="24"/>
          <w:szCs w:val="24"/>
        </w:rPr>
        <w:t>Trichophyton rubrum</w:t>
      </w:r>
      <w:r>
        <w:rPr>
          <w:rFonts w:ascii="Times New Roman" w:hAnsi="Times New Roman" w:cs="Times New Roman"/>
          <w:sz w:val="24"/>
          <w:szCs w:val="24"/>
        </w:rPr>
        <w:t xml:space="preserve"> infection (7</w:t>
      </w:r>
      <w:r w:rsidRPr="009503C3">
        <w:rPr>
          <w:rFonts w:ascii="Times New Roman" w:hAnsi="Times New Roman" w:cs="Times New Roman"/>
          <w:sz w:val="24"/>
          <w:szCs w:val="24"/>
        </w:rPr>
        <w:t>4</w:t>
      </w:r>
      <w:r>
        <w:rPr>
          <w:rFonts w:ascii="Times New Roman" w:hAnsi="Times New Roman" w:cs="Times New Roman"/>
          <w:sz w:val="24"/>
          <w:szCs w:val="24"/>
        </w:rPr>
        <w:t>.5%) than the females (72.5</w:t>
      </w:r>
      <w:r w:rsidRPr="009503C3">
        <w:rPr>
          <w:rFonts w:ascii="Times New Roman" w:hAnsi="Times New Roman" w:cs="Times New Roman"/>
          <w:sz w:val="24"/>
          <w:szCs w:val="24"/>
        </w:rPr>
        <w:t xml:space="preserve">%). </w:t>
      </w:r>
      <w:r>
        <w:rPr>
          <w:rFonts w:ascii="Times New Roman" w:hAnsi="Times New Roman" w:cs="Times New Roman"/>
          <w:sz w:val="24"/>
          <w:szCs w:val="24"/>
        </w:rPr>
        <w:t>In BSUTH, male recorded a prevalence 76 (48.7%) lower compared to the prevalence of male recorded in FMC 69 (50.0%). Among female</w:t>
      </w:r>
    </w:p>
    <w:p w14:paraId="08F0AD2A" w14:textId="77777777" w:rsidR="007D67E4" w:rsidRPr="006A74C3" w:rsidRDefault="007D67E4" w:rsidP="00F707A8">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4: The </w:t>
      </w:r>
      <w:r w:rsidRPr="0001282D">
        <w:rPr>
          <w:rFonts w:ascii="Times New Roman" w:eastAsia="Times New Roman" w:hAnsi="Times New Roman" w:cs="Times New Roman"/>
          <w:b/>
          <w:bCs/>
          <w:sz w:val="24"/>
          <w:szCs w:val="24"/>
        </w:rPr>
        <w:t xml:space="preserve">distribution of </w:t>
      </w:r>
      <w:r w:rsidRPr="00FF5A48">
        <w:rPr>
          <w:rFonts w:ascii="Times New Roman" w:eastAsia="Times New Roman" w:hAnsi="Times New Roman" w:cs="Times New Roman"/>
          <w:b/>
          <w:i/>
          <w:iCs/>
          <w:sz w:val="24"/>
          <w:szCs w:val="24"/>
        </w:rPr>
        <w:t>Trichophyton rubrum</w:t>
      </w:r>
      <w:r w:rsidRPr="0001282D">
        <w:rPr>
          <w:rFonts w:ascii="Times New Roman" w:eastAsia="Times New Roman" w:hAnsi="Times New Roman" w:cs="Times New Roman"/>
          <w:b/>
          <w:bCs/>
          <w:sz w:val="24"/>
          <w:szCs w:val="24"/>
        </w:rPr>
        <w:t xml:space="preserve"> infection among </w:t>
      </w:r>
      <w:r>
        <w:rPr>
          <w:rFonts w:ascii="Times New Roman" w:eastAsia="Times New Roman" w:hAnsi="Times New Roman" w:cs="Times New Roman"/>
          <w:b/>
          <w:bCs/>
          <w:sz w:val="24"/>
          <w:szCs w:val="24"/>
        </w:rPr>
        <w:t>BSUTH</w:t>
      </w:r>
      <w:r w:rsidRPr="002B130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and FMC Makurdi in relation to Marital Status</w:t>
      </w:r>
    </w:p>
    <w:p w14:paraId="142FEB5E" w14:textId="77777777" w:rsidR="007D67E4" w:rsidRDefault="007D67E4" w:rsidP="00F707A8">
      <w:pPr>
        <w:spacing w:line="240" w:lineRule="auto"/>
        <w:jc w:val="both"/>
        <w:rPr>
          <w:rFonts w:ascii="Times New Roman" w:hAnsi="Times New Roman" w:cs="Times New Roman"/>
          <w:sz w:val="24"/>
          <w:szCs w:val="24"/>
        </w:rPr>
      </w:pPr>
    </w:p>
    <w:tbl>
      <w:tblPr>
        <w:tblStyle w:val="TableGrid"/>
        <w:tblW w:w="0" w:type="auto"/>
        <w:tblInd w:w="-180" w:type="dxa"/>
        <w:tblLook w:val="04A0" w:firstRow="1" w:lastRow="0" w:firstColumn="1" w:lastColumn="0" w:noHBand="0" w:noVBand="1"/>
      </w:tblPr>
      <w:tblGrid>
        <w:gridCol w:w="2050"/>
        <w:gridCol w:w="1870"/>
        <w:gridCol w:w="1870"/>
        <w:gridCol w:w="1870"/>
        <w:gridCol w:w="1870"/>
      </w:tblGrid>
      <w:tr w:rsidR="007D67E4" w14:paraId="3C3D55DB" w14:textId="77777777" w:rsidTr="0063388A">
        <w:tc>
          <w:tcPr>
            <w:tcW w:w="2050" w:type="dxa"/>
            <w:tcBorders>
              <w:left w:val="nil"/>
              <w:bottom w:val="nil"/>
              <w:right w:val="nil"/>
            </w:tcBorders>
          </w:tcPr>
          <w:p w14:paraId="0D653717" w14:textId="77777777" w:rsidR="007D67E4" w:rsidRPr="00EE4134" w:rsidRDefault="007D67E4" w:rsidP="00F707A8">
            <w:pPr>
              <w:jc w:val="both"/>
              <w:rPr>
                <w:rFonts w:ascii="Times New Roman" w:hAnsi="Times New Roman" w:cs="Times New Roman"/>
                <w:b/>
                <w:sz w:val="24"/>
                <w:szCs w:val="24"/>
              </w:rPr>
            </w:pPr>
          </w:p>
        </w:tc>
        <w:tc>
          <w:tcPr>
            <w:tcW w:w="1870" w:type="dxa"/>
            <w:tcBorders>
              <w:left w:val="nil"/>
              <w:bottom w:val="nil"/>
              <w:right w:val="nil"/>
            </w:tcBorders>
          </w:tcPr>
          <w:p w14:paraId="7EFF1AD5"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BSUTH</w:t>
            </w:r>
          </w:p>
        </w:tc>
        <w:tc>
          <w:tcPr>
            <w:tcW w:w="1870" w:type="dxa"/>
            <w:tcBorders>
              <w:left w:val="nil"/>
              <w:bottom w:val="nil"/>
              <w:right w:val="nil"/>
            </w:tcBorders>
          </w:tcPr>
          <w:p w14:paraId="1BB56766" w14:textId="77777777" w:rsidR="007D67E4" w:rsidRPr="00EE4134" w:rsidRDefault="007D67E4" w:rsidP="00F707A8">
            <w:pPr>
              <w:jc w:val="both"/>
              <w:rPr>
                <w:rFonts w:ascii="Times New Roman" w:hAnsi="Times New Roman" w:cs="Times New Roman"/>
                <w:b/>
                <w:sz w:val="24"/>
                <w:szCs w:val="24"/>
              </w:rPr>
            </w:pPr>
          </w:p>
        </w:tc>
        <w:tc>
          <w:tcPr>
            <w:tcW w:w="1870" w:type="dxa"/>
            <w:tcBorders>
              <w:left w:val="nil"/>
              <w:bottom w:val="nil"/>
              <w:right w:val="nil"/>
            </w:tcBorders>
          </w:tcPr>
          <w:p w14:paraId="194C7E03"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FMC</w:t>
            </w:r>
          </w:p>
        </w:tc>
        <w:tc>
          <w:tcPr>
            <w:tcW w:w="1870" w:type="dxa"/>
            <w:tcBorders>
              <w:left w:val="nil"/>
              <w:bottom w:val="nil"/>
              <w:right w:val="nil"/>
            </w:tcBorders>
          </w:tcPr>
          <w:p w14:paraId="268AF748" w14:textId="77777777" w:rsidR="007D67E4" w:rsidRPr="00EE4134" w:rsidRDefault="007D67E4" w:rsidP="00F707A8">
            <w:pPr>
              <w:jc w:val="both"/>
              <w:rPr>
                <w:rFonts w:ascii="Times New Roman" w:hAnsi="Times New Roman" w:cs="Times New Roman"/>
                <w:b/>
                <w:sz w:val="24"/>
                <w:szCs w:val="24"/>
              </w:rPr>
            </w:pPr>
          </w:p>
        </w:tc>
      </w:tr>
      <w:tr w:rsidR="007D67E4" w14:paraId="5197EC4E" w14:textId="77777777" w:rsidTr="0063388A">
        <w:tc>
          <w:tcPr>
            <w:tcW w:w="2050" w:type="dxa"/>
            <w:tcBorders>
              <w:top w:val="nil"/>
              <w:left w:val="nil"/>
              <w:bottom w:val="single" w:sz="4" w:space="0" w:color="auto"/>
              <w:right w:val="nil"/>
            </w:tcBorders>
          </w:tcPr>
          <w:p w14:paraId="18137E17" w14:textId="77777777" w:rsidR="007D67E4" w:rsidRPr="00EE4134" w:rsidRDefault="007D67E4" w:rsidP="00F707A8">
            <w:pPr>
              <w:jc w:val="both"/>
              <w:rPr>
                <w:rFonts w:ascii="Times New Roman" w:hAnsi="Times New Roman" w:cs="Times New Roman"/>
                <w:b/>
                <w:sz w:val="24"/>
                <w:szCs w:val="24"/>
              </w:rPr>
            </w:pPr>
            <w:r>
              <w:rPr>
                <w:rFonts w:ascii="Times New Roman" w:hAnsi="Times New Roman" w:cs="Times New Roman"/>
                <w:b/>
                <w:sz w:val="24"/>
                <w:szCs w:val="24"/>
              </w:rPr>
              <w:t>Marital status</w:t>
            </w:r>
          </w:p>
        </w:tc>
        <w:tc>
          <w:tcPr>
            <w:tcW w:w="1870" w:type="dxa"/>
            <w:tcBorders>
              <w:top w:val="nil"/>
              <w:left w:val="nil"/>
              <w:bottom w:val="single" w:sz="4" w:space="0" w:color="auto"/>
              <w:right w:val="nil"/>
            </w:tcBorders>
          </w:tcPr>
          <w:p w14:paraId="3ED8EF6E"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Positive (%)</w:t>
            </w:r>
          </w:p>
        </w:tc>
        <w:tc>
          <w:tcPr>
            <w:tcW w:w="1870" w:type="dxa"/>
            <w:tcBorders>
              <w:top w:val="nil"/>
              <w:left w:val="nil"/>
              <w:bottom w:val="single" w:sz="4" w:space="0" w:color="auto"/>
              <w:right w:val="nil"/>
            </w:tcBorders>
          </w:tcPr>
          <w:p w14:paraId="236615D8"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Negative (%)</w:t>
            </w:r>
          </w:p>
        </w:tc>
        <w:tc>
          <w:tcPr>
            <w:tcW w:w="1870" w:type="dxa"/>
            <w:tcBorders>
              <w:top w:val="nil"/>
              <w:left w:val="nil"/>
              <w:bottom w:val="single" w:sz="4" w:space="0" w:color="auto"/>
              <w:right w:val="nil"/>
            </w:tcBorders>
          </w:tcPr>
          <w:p w14:paraId="1E60D2DE"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Positive (%)</w:t>
            </w:r>
          </w:p>
        </w:tc>
        <w:tc>
          <w:tcPr>
            <w:tcW w:w="1870" w:type="dxa"/>
            <w:tcBorders>
              <w:top w:val="nil"/>
              <w:left w:val="nil"/>
              <w:bottom w:val="single" w:sz="4" w:space="0" w:color="auto"/>
              <w:right w:val="nil"/>
            </w:tcBorders>
          </w:tcPr>
          <w:p w14:paraId="0386487F"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Negative (%)</w:t>
            </w:r>
          </w:p>
        </w:tc>
      </w:tr>
      <w:tr w:rsidR="007D67E4" w14:paraId="2E8FE47F" w14:textId="77777777" w:rsidTr="0063388A">
        <w:tc>
          <w:tcPr>
            <w:tcW w:w="2050" w:type="dxa"/>
            <w:tcBorders>
              <w:left w:val="nil"/>
              <w:bottom w:val="nil"/>
              <w:right w:val="nil"/>
            </w:tcBorders>
          </w:tcPr>
          <w:p w14:paraId="4C5140B4"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Single</w:t>
            </w:r>
          </w:p>
        </w:tc>
        <w:tc>
          <w:tcPr>
            <w:tcW w:w="1870" w:type="dxa"/>
            <w:tcBorders>
              <w:left w:val="nil"/>
              <w:bottom w:val="nil"/>
              <w:right w:val="nil"/>
            </w:tcBorders>
          </w:tcPr>
          <w:p w14:paraId="642C2775"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56 (35.9)</w:t>
            </w:r>
          </w:p>
        </w:tc>
        <w:tc>
          <w:tcPr>
            <w:tcW w:w="1870" w:type="dxa"/>
            <w:tcBorders>
              <w:left w:val="nil"/>
              <w:bottom w:val="nil"/>
              <w:right w:val="nil"/>
            </w:tcBorders>
          </w:tcPr>
          <w:p w14:paraId="0CF2AD31"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4 (9,1)</w:t>
            </w:r>
          </w:p>
        </w:tc>
        <w:tc>
          <w:tcPr>
            <w:tcW w:w="1870" w:type="dxa"/>
            <w:tcBorders>
              <w:left w:val="nil"/>
              <w:bottom w:val="nil"/>
              <w:right w:val="nil"/>
            </w:tcBorders>
          </w:tcPr>
          <w:p w14:paraId="54EAE3AD"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16 (11.6)</w:t>
            </w:r>
          </w:p>
        </w:tc>
        <w:tc>
          <w:tcPr>
            <w:tcW w:w="1870" w:type="dxa"/>
            <w:tcBorders>
              <w:left w:val="nil"/>
              <w:bottom w:val="nil"/>
              <w:right w:val="nil"/>
            </w:tcBorders>
          </w:tcPr>
          <w:p w14:paraId="522D4A80"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16 (25.8)</w:t>
            </w:r>
          </w:p>
        </w:tc>
      </w:tr>
      <w:tr w:rsidR="007D67E4" w14:paraId="39280EB2" w14:textId="77777777" w:rsidTr="0063388A">
        <w:tc>
          <w:tcPr>
            <w:tcW w:w="2050" w:type="dxa"/>
            <w:tcBorders>
              <w:top w:val="nil"/>
              <w:left w:val="nil"/>
              <w:bottom w:val="nil"/>
              <w:right w:val="nil"/>
            </w:tcBorders>
          </w:tcPr>
          <w:p w14:paraId="613DA75D"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Married</w:t>
            </w:r>
          </w:p>
        </w:tc>
        <w:tc>
          <w:tcPr>
            <w:tcW w:w="1870" w:type="dxa"/>
            <w:tcBorders>
              <w:top w:val="nil"/>
              <w:left w:val="nil"/>
              <w:bottom w:val="nil"/>
              <w:right w:val="nil"/>
            </w:tcBorders>
          </w:tcPr>
          <w:p w14:paraId="154A82B7"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92 (59.0)</w:t>
            </w:r>
          </w:p>
        </w:tc>
        <w:tc>
          <w:tcPr>
            <w:tcW w:w="1870" w:type="dxa"/>
            <w:tcBorders>
              <w:top w:val="nil"/>
              <w:left w:val="nil"/>
              <w:bottom w:val="nil"/>
              <w:right w:val="nil"/>
            </w:tcBorders>
          </w:tcPr>
          <w:p w14:paraId="6685577B"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7 (15.9)</w:t>
            </w:r>
          </w:p>
        </w:tc>
        <w:tc>
          <w:tcPr>
            <w:tcW w:w="1870" w:type="dxa"/>
            <w:tcBorders>
              <w:top w:val="nil"/>
              <w:left w:val="nil"/>
              <w:bottom w:val="nil"/>
              <w:right w:val="nil"/>
            </w:tcBorders>
          </w:tcPr>
          <w:p w14:paraId="247A01F2"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108 (78.3)</w:t>
            </w:r>
          </w:p>
        </w:tc>
        <w:tc>
          <w:tcPr>
            <w:tcW w:w="1870" w:type="dxa"/>
            <w:tcBorders>
              <w:top w:val="nil"/>
              <w:left w:val="nil"/>
              <w:bottom w:val="nil"/>
              <w:right w:val="nil"/>
            </w:tcBorders>
          </w:tcPr>
          <w:p w14:paraId="77A968D8"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40 (64.5)</w:t>
            </w:r>
          </w:p>
        </w:tc>
      </w:tr>
      <w:tr w:rsidR="007D67E4" w14:paraId="75FCA098" w14:textId="77777777" w:rsidTr="0063388A">
        <w:tc>
          <w:tcPr>
            <w:tcW w:w="2050" w:type="dxa"/>
            <w:tcBorders>
              <w:top w:val="nil"/>
              <w:left w:val="nil"/>
              <w:bottom w:val="nil"/>
              <w:right w:val="nil"/>
            </w:tcBorders>
          </w:tcPr>
          <w:p w14:paraId="50C88F9D"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Separated</w:t>
            </w:r>
          </w:p>
        </w:tc>
        <w:tc>
          <w:tcPr>
            <w:tcW w:w="1870" w:type="dxa"/>
            <w:tcBorders>
              <w:top w:val="nil"/>
              <w:left w:val="nil"/>
              <w:bottom w:val="nil"/>
              <w:right w:val="nil"/>
            </w:tcBorders>
          </w:tcPr>
          <w:p w14:paraId="393A68C8"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3 (1.9)</w:t>
            </w:r>
          </w:p>
        </w:tc>
        <w:tc>
          <w:tcPr>
            <w:tcW w:w="1870" w:type="dxa"/>
            <w:tcBorders>
              <w:top w:val="nil"/>
              <w:left w:val="nil"/>
              <w:bottom w:val="nil"/>
              <w:right w:val="nil"/>
            </w:tcBorders>
          </w:tcPr>
          <w:p w14:paraId="10D285F8"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25 (56.8)</w:t>
            </w:r>
          </w:p>
        </w:tc>
        <w:tc>
          <w:tcPr>
            <w:tcW w:w="1870" w:type="dxa"/>
            <w:tcBorders>
              <w:top w:val="nil"/>
              <w:left w:val="nil"/>
              <w:bottom w:val="nil"/>
              <w:right w:val="nil"/>
            </w:tcBorders>
          </w:tcPr>
          <w:p w14:paraId="776A2F3E"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10 (7.2)</w:t>
            </w:r>
          </w:p>
        </w:tc>
        <w:tc>
          <w:tcPr>
            <w:tcW w:w="1870" w:type="dxa"/>
            <w:tcBorders>
              <w:top w:val="nil"/>
              <w:left w:val="nil"/>
              <w:bottom w:val="nil"/>
              <w:right w:val="nil"/>
            </w:tcBorders>
          </w:tcPr>
          <w:p w14:paraId="3FA3478C"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0 (0.0)</w:t>
            </w:r>
          </w:p>
        </w:tc>
      </w:tr>
      <w:tr w:rsidR="007D67E4" w14:paraId="64C61185" w14:textId="77777777" w:rsidTr="0063388A">
        <w:tc>
          <w:tcPr>
            <w:tcW w:w="2050" w:type="dxa"/>
            <w:tcBorders>
              <w:top w:val="nil"/>
              <w:left w:val="nil"/>
              <w:bottom w:val="nil"/>
              <w:right w:val="nil"/>
            </w:tcBorders>
          </w:tcPr>
          <w:p w14:paraId="77A9E625"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Divorced</w:t>
            </w:r>
          </w:p>
        </w:tc>
        <w:tc>
          <w:tcPr>
            <w:tcW w:w="1870" w:type="dxa"/>
            <w:tcBorders>
              <w:top w:val="nil"/>
              <w:left w:val="nil"/>
              <w:bottom w:val="nil"/>
              <w:right w:val="nil"/>
            </w:tcBorders>
          </w:tcPr>
          <w:p w14:paraId="4BEF0E41"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5 (3.21)</w:t>
            </w:r>
          </w:p>
        </w:tc>
        <w:tc>
          <w:tcPr>
            <w:tcW w:w="1870" w:type="dxa"/>
            <w:tcBorders>
              <w:top w:val="nil"/>
              <w:left w:val="nil"/>
              <w:bottom w:val="nil"/>
              <w:right w:val="nil"/>
            </w:tcBorders>
          </w:tcPr>
          <w:p w14:paraId="2D02B459"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8 (18.2)</w:t>
            </w:r>
          </w:p>
        </w:tc>
        <w:tc>
          <w:tcPr>
            <w:tcW w:w="1870" w:type="dxa"/>
            <w:tcBorders>
              <w:top w:val="nil"/>
              <w:left w:val="nil"/>
              <w:bottom w:val="nil"/>
              <w:right w:val="nil"/>
            </w:tcBorders>
          </w:tcPr>
          <w:p w14:paraId="5BCD80EA"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4 (2.9)</w:t>
            </w:r>
          </w:p>
        </w:tc>
        <w:tc>
          <w:tcPr>
            <w:tcW w:w="1870" w:type="dxa"/>
            <w:tcBorders>
              <w:top w:val="nil"/>
              <w:left w:val="nil"/>
              <w:bottom w:val="nil"/>
              <w:right w:val="nil"/>
            </w:tcBorders>
          </w:tcPr>
          <w:p w14:paraId="75D76EE4"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6 (9.7)</w:t>
            </w:r>
          </w:p>
        </w:tc>
      </w:tr>
      <w:tr w:rsidR="007D67E4" w14:paraId="0163620F" w14:textId="77777777" w:rsidTr="0063388A">
        <w:tc>
          <w:tcPr>
            <w:tcW w:w="2050" w:type="dxa"/>
            <w:tcBorders>
              <w:top w:val="nil"/>
              <w:left w:val="nil"/>
              <w:right w:val="nil"/>
            </w:tcBorders>
          </w:tcPr>
          <w:p w14:paraId="1D9AFC5A"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Total</w:t>
            </w:r>
          </w:p>
        </w:tc>
        <w:tc>
          <w:tcPr>
            <w:tcW w:w="1870" w:type="dxa"/>
            <w:tcBorders>
              <w:top w:val="nil"/>
              <w:left w:val="nil"/>
              <w:right w:val="nil"/>
            </w:tcBorders>
          </w:tcPr>
          <w:p w14:paraId="5DCFC4C9"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156 (100)</w:t>
            </w:r>
          </w:p>
        </w:tc>
        <w:tc>
          <w:tcPr>
            <w:tcW w:w="1870" w:type="dxa"/>
            <w:tcBorders>
              <w:top w:val="nil"/>
              <w:left w:val="nil"/>
              <w:right w:val="nil"/>
            </w:tcBorders>
          </w:tcPr>
          <w:p w14:paraId="06BD46CA"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44 (100)</w:t>
            </w:r>
          </w:p>
        </w:tc>
        <w:tc>
          <w:tcPr>
            <w:tcW w:w="1870" w:type="dxa"/>
            <w:tcBorders>
              <w:top w:val="nil"/>
              <w:left w:val="nil"/>
              <w:right w:val="nil"/>
            </w:tcBorders>
          </w:tcPr>
          <w:p w14:paraId="265158D9"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138 (100)</w:t>
            </w:r>
          </w:p>
        </w:tc>
        <w:tc>
          <w:tcPr>
            <w:tcW w:w="1870" w:type="dxa"/>
            <w:tcBorders>
              <w:top w:val="nil"/>
              <w:left w:val="nil"/>
              <w:right w:val="nil"/>
            </w:tcBorders>
          </w:tcPr>
          <w:p w14:paraId="19CA4FC8"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62 (100)</w:t>
            </w:r>
          </w:p>
        </w:tc>
      </w:tr>
    </w:tbl>
    <w:tbl>
      <w:tblPr>
        <w:tblW w:w="1949" w:type="pct"/>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83"/>
        <w:gridCol w:w="629"/>
        <w:gridCol w:w="1537"/>
      </w:tblGrid>
      <w:tr w:rsidR="007D67E4" w:rsidRPr="00C051FB" w14:paraId="6734430F" w14:textId="77777777" w:rsidTr="0063388A">
        <w:trPr>
          <w:cantSplit/>
        </w:trPr>
        <w:tc>
          <w:tcPr>
            <w:tcW w:w="2146" w:type="pct"/>
            <w:tcBorders>
              <w:top w:val="nil"/>
              <w:left w:val="nil"/>
              <w:bottom w:val="nil"/>
              <w:right w:val="nil"/>
            </w:tcBorders>
            <w:shd w:val="clear" w:color="auto" w:fill="FFFFFF"/>
          </w:tcPr>
          <w:p w14:paraId="5CB587FA" w14:textId="77777777" w:rsidR="007D67E4" w:rsidRPr="00C051FB" w:rsidRDefault="007D67E4" w:rsidP="00F707A8">
            <w:pPr>
              <w:tabs>
                <w:tab w:val="right" w:pos="1001"/>
              </w:tabs>
              <w:autoSpaceDE w:val="0"/>
              <w:autoSpaceDN w:val="0"/>
              <w:adjustRightInd w:val="0"/>
              <w:spacing w:after="0" w:line="240" w:lineRule="auto"/>
              <w:ind w:left="60" w:right="60"/>
              <w:rPr>
                <w:rFonts w:ascii="Times New Roman" w:hAnsi="Times New Roman" w:cs="Times New Roman"/>
                <w:color w:val="000000"/>
                <w:sz w:val="24"/>
                <w:szCs w:val="24"/>
              </w:rPr>
            </w:pPr>
            <w:r w:rsidRPr="00C051FB">
              <w:rPr>
                <w:rFonts w:ascii="Times New Roman" w:hAnsi="Times New Roman" w:cs="Times New Roman"/>
                <w:color w:val="000000"/>
                <w:sz w:val="24"/>
                <w:szCs w:val="24"/>
              </w:rPr>
              <w:tab/>
            </w:r>
            <w:r w:rsidRPr="009503C3">
              <w:rPr>
                <w:rFonts w:ascii="Times New Roman" w:hAnsi="Times New Roman" w:cs="Times New Roman"/>
                <w:sz w:val="24"/>
                <w:szCs w:val="24"/>
              </w:rPr>
              <w:t>χ</w:t>
            </w:r>
            <w:r w:rsidRPr="009503C3">
              <w:rPr>
                <w:rFonts w:ascii="Times New Roman" w:hAnsi="Times New Roman" w:cs="Times New Roman"/>
                <w:sz w:val="24"/>
                <w:szCs w:val="24"/>
                <w:vertAlign w:val="superscript"/>
              </w:rPr>
              <w:t>2</w:t>
            </w:r>
            <w:r>
              <w:rPr>
                <w:rFonts w:ascii="Times New Roman" w:hAnsi="Times New Roman" w:cs="Times New Roman"/>
                <w:color w:val="000000"/>
                <w:sz w:val="24"/>
                <w:szCs w:val="24"/>
              </w:rPr>
              <w:t xml:space="preserve"> = </w:t>
            </w:r>
            <w:r>
              <w:rPr>
                <w:rFonts w:ascii="Times New Roman" w:hAnsi="Times New Roman" w:cs="Times New Roman"/>
              </w:rPr>
              <w:t>1.068</w:t>
            </w:r>
          </w:p>
        </w:tc>
        <w:tc>
          <w:tcPr>
            <w:tcW w:w="634" w:type="pct"/>
            <w:tcBorders>
              <w:top w:val="nil"/>
              <w:left w:val="nil"/>
              <w:bottom w:val="nil"/>
              <w:right w:val="nil"/>
            </w:tcBorders>
            <w:shd w:val="clear" w:color="auto" w:fill="FFFFFF"/>
          </w:tcPr>
          <w:p w14:paraId="3B2E7A4F" w14:textId="77777777" w:rsidR="007D67E4" w:rsidRPr="00C051FB" w:rsidRDefault="007D67E4" w:rsidP="00F707A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Df=3</w:t>
            </w:r>
          </w:p>
        </w:tc>
        <w:tc>
          <w:tcPr>
            <w:tcW w:w="2220" w:type="pct"/>
            <w:tcBorders>
              <w:top w:val="nil"/>
              <w:left w:val="nil"/>
              <w:bottom w:val="nil"/>
              <w:right w:val="nil"/>
            </w:tcBorders>
            <w:shd w:val="clear" w:color="auto" w:fill="FFFFFF"/>
          </w:tcPr>
          <w:p w14:paraId="0116EAA4" w14:textId="77777777" w:rsidR="007D67E4" w:rsidRPr="00C051FB" w:rsidRDefault="007D67E4" w:rsidP="00F707A8">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P= 0.000</w:t>
            </w:r>
          </w:p>
        </w:tc>
      </w:tr>
      <w:tr w:rsidR="00445CD9" w:rsidRPr="00C051FB" w14:paraId="79FC93CA" w14:textId="77777777" w:rsidTr="0063388A">
        <w:trPr>
          <w:cantSplit/>
        </w:trPr>
        <w:tc>
          <w:tcPr>
            <w:tcW w:w="2146" w:type="pct"/>
            <w:tcBorders>
              <w:top w:val="nil"/>
              <w:left w:val="nil"/>
              <w:bottom w:val="nil"/>
              <w:right w:val="nil"/>
            </w:tcBorders>
            <w:shd w:val="clear" w:color="auto" w:fill="FFFFFF"/>
          </w:tcPr>
          <w:p w14:paraId="11EDCA27" w14:textId="77777777" w:rsidR="00445CD9" w:rsidRPr="00C051FB" w:rsidRDefault="00445CD9" w:rsidP="00F707A8">
            <w:pPr>
              <w:tabs>
                <w:tab w:val="right" w:pos="1001"/>
              </w:tabs>
              <w:autoSpaceDE w:val="0"/>
              <w:autoSpaceDN w:val="0"/>
              <w:adjustRightInd w:val="0"/>
              <w:spacing w:after="0" w:line="240" w:lineRule="auto"/>
              <w:ind w:left="60" w:right="60"/>
              <w:rPr>
                <w:rFonts w:ascii="Times New Roman" w:hAnsi="Times New Roman" w:cs="Times New Roman"/>
                <w:color w:val="000000"/>
                <w:sz w:val="24"/>
                <w:szCs w:val="24"/>
              </w:rPr>
            </w:pPr>
          </w:p>
        </w:tc>
        <w:tc>
          <w:tcPr>
            <w:tcW w:w="634" w:type="pct"/>
            <w:tcBorders>
              <w:top w:val="nil"/>
              <w:left w:val="nil"/>
              <w:bottom w:val="nil"/>
              <w:right w:val="nil"/>
            </w:tcBorders>
            <w:shd w:val="clear" w:color="auto" w:fill="FFFFFF"/>
          </w:tcPr>
          <w:p w14:paraId="6A70FD27" w14:textId="77777777" w:rsidR="00445CD9" w:rsidRDefault="00445CD9" w:rsidP="00F707A8">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2220" w:type="pct"/>
            <w:tcBorders>
              <w:top w:val="nil"/>
              <w:left w:val="nil"/>
              <w:bottom w:val="nil"/>
              <w:right w:val="nil"/>
            </w:tcBorders>
            <w:shd w:val="clear" w:color="auto" w:fill="FFFFFF"/>
          </w:tcPr>
          <w:p w14:paraId="0BACA9D9" w14:textId="77777777" w:rsidR="00445CD9" w:rsidRDefault="00445CD9" w:rsidP="00F707A8">
            <w:pPr>
              <w:autoSpaceDE w:val="0"/>
              <w:autoSpaceDN w:val="0"/>
              <w:adjustRightInd w:val="0"/>
              <w:spacing w:after="0" w:line="240" w:lineRule="auto"/>
              <w:ind w:right="60"/>
              <w:rPr>
                <w:rFonts w:ascii="Times New Roman" w:hAnsi="Times New Roman" w:cs="Times New Roman"/>
                <w:color w:val="000000"/>
                <w:sz w:val="24"/>
                <w:szCs w:val="24"/>
              </w:rPr>
            </w:pPr>
          </w:p>
        </w:tc>
      </w:tr>
    </w:tbl>
    <w:p w14:paraId="5AFD7A1B" w14:textId="77777777" w:rsidR="00B412A4" w:rsidRDefault="00B412A4" w:rsidP="00F707A8">
      <w:pPr>
        <w:spacing w:line="240" w:lineRule="auto"/>
        <w:jc w:val="both"/>
        <w:rPr>
          <w:rFonts w:ascii="Times New Roman" w:eastAsia="Times New Roman" w:hAnsi="Times New Roman" w:cs="Times New Roman"/>
          <w:b/>
          <w:bCs/>
          <w:sz w:val="24"/>
          <w:szCs w:val="24"/>
        </w:rPr>
      </w:pPr>
    </w:p>
    <w:p w14:paraId="0C63D0FD" w14:textId="7330A872" w:rsidR="00067C9E" w:rsidRDefault="00067C9E" w:rsidP="00F707A8">
      <w:pPr>
        <w:spacing w:line="24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Occupation in</w:t>
      </w:r>
      <w:r w:rsidRPr="009503C3">
        <w:rPr>
          <w:rFonts w:ascii="Times New Roman" w:hAnsi="Times New Roman" w:cs="Times New Roman"/>
          <w:sz w:val="24"/>
          <w:szCs w:val="24"/>
        </w:rPr>
        <w:t xml:space="preserve"> table</w:t>
      </w:r>
      <w:r>
        <w:rPr>
          <w:rFonts w:ascii="Times New Roman" w:hAnsi="Times New Roman" w:cs="Times New Roman"/>
          <w:sz w:val="24"/>
          <w:szCs w:val="24"/>
        </w:rPr>
        <w:t xml:space="preserve"> 5, farming</w:t>
      </w:r>
      <w:r w:rsidRPr="009503C3">
        <w:rPr>
          <w:rFonts w:ascii="Times New Roman" w:hAnsi="Times New Roman" w:cs="Times New Roman"/>
          <w:sz w:val="24"/>
          <w:szCs w:val="24"/>
        </w:rPr>
        <w:t xml:space="preserve"> has the higher prevalence of </w:t>
      </w:r>
      <w:r w:rsidRPr="00440759">
        <w:rPr>
          <w:rFonts w:ascii="Times New Roman" w:eastAsia="Times New Roman" w:hAnsi="Times New Roman" w:cs="Times New Roman"/>
          <w:i/>
          <w:iCs/>
          <w:sz w:val="24"/>
          <w:szCs w:val="24"/>
        </w:rPr>
        <w:t>Trichophyton rubrum</w:t>
      </w:r>
      <w:r>
        <w:rPr>
          <w:rFonts w:ascii="Times New Roman" w:hAnsi="Times New Roman" w:cs="Times New Roman"/>
          <w:sz w:val="24"/>
          <w:szCs w:val="24"/>
        </w:rPr>
        <w:t xml:space="preserve"> infections in both BSUTH (51.3%) and FMC (40.3%) followed by Civil servants with the prevalence of (31.4%) in BSUTH and (32.6%) </w:t>
      </w:r>
      <w:proofErr w:type="spellStart"/>
      <w:r>
        <w:rPr>
          <w:rFonts w:ascii="Times New Roman" w:hAnsi="Times New Roman" w:cs="Times New Roman"/>
          <w:sz w:val="24"/>
          <w:szCs w:val="24"/>
        </w:rPr>
        <w:t>inFMC</w:t>
      </w:r>
      <w:proofErr w:type="spellEnd"/>
      <w:r>
        <w:rPr>
          <w:rFonts w:ascii="Times New Roman" w:hAnsi="Times New Roman" w:cs="Times New Roman"/>
          <w:sz w:val="24"/>
          <w:szCs w:val="24"/>
        </w:rPr>
        <w:t xml:space="preserve"> respectively. Students came last with the prevalence of (17.31 %) in BSUTH and (32.6 %) in FMC respectively</w:t>
      </w:r>
    </w:p>
    <w:p w14:paraId="49423314" w14:textId="77777777" w:rsidR="00B412A4" w:rsidRDefault="00EF53DF" w:rsidP="00F707A8">
      <w:pPr>
        <w:spacing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Table 5</w:t>
      </w:r>
      <w:r w:rsidR="00B412A4">
        <w:rPr>
          <w:rFonts w:ascii="Times New Roman" w:eastAsia="Times New Roman" w:hAnsi="Times New Roman" w:cs="Times New Roman"/>
          <w:b/>
          <w:bCs/>
          <w:sz w:val="24"/>
          <w:szCs w:val="24"/>
        </w:rPr>
        <w:t xml:space="preserve">: The </w:t>
      </w:r>
      <w:r w:rsidR="00B412A4" w:rsidRPr="0001282D">
        <w:rPr>
          <w:rFonts w:ascii="Times New Roman" w:eastAsia="Times New Roman" w:hAnsi="Times New Roman" w:cs="Times New Roman"/>
          <w:b/>
          <w:bCs/>
          <w:sz w:val="24"/>
          <w:szCs w:val="24"/>
        </w:rPr>
        <w:t xml:space="preserve">distribution of </w:t>
      </w:r>
      <w:r w:rsidR="00B412A4" w:rsidRPr="00FF5A48">
        <w:rPr>
          <w:rFonts w:ascii="Times New Roman" w:eastAsia="Times New Roman" w:hAnsi="Times New Roman" w:cs="Times New Roman"/>
          <w:b/>
          <w:i/>
          <w:iCs/>
          <w:sz w:val="24"/>
          <w:szCs w:val="24"/>
        </w:rPr>
        <w:t>Trichophyton rubrum</w:t>
      </w:r>
      <w:r w:rsidR="00B412A4" w:rsidRPr="0001282D">
        <w:rPr>
          <w:rFonts w:ascii="Times New Roman" w:eastAsia="Times New Roman" w:hAnsi="Times New Roman" w:cs="Times New Roman"/>
          <w:b/>
          <w:bCs/>
          <w:sz w:val="24"/>
          <w:szCs w:val="24"/>
        </w:rPr>
        <w:t xml:space="preserve"> infection among </w:t>
      </w:r>
      <w:r w:rsidR="00B412A4">
        <w:rPr>
          <w:rFonts w:ascii="Times New Roman" w:eastAsia="Times New Roman" w:hAnsi="Times New Roman" w:cs="Times New Roman"/>
          <w:b/>
          <w:bCs/>
          <w:sz w:val="24"/>
          <w:szCs w:val="24"/>
        </w:rPr>
        <w:t>BSUTH</w:t>
      </w:r>
      <w:r w:rsidR="00B412A4" w:rsidRPr="002B130E">
        <w:rPr>
          <w:rFonts w:ascii="Times New Roman" w:eastAsia="Times New Roman" w:hAnsi="Times New Roman" w:cs="Times New Roman"/>
          <w:b/>
          <w:bCs/>
          <w:sz w:val="24"/>
          <w:szCs w:val="24"/>
        </w:rPr>
        <w:t xml:space="preserve"> </w:t>
      </w:r>
      <w:r w:rsidR="00B412A4">
        <w:rPr>
          <w:rFonts w:ascii="Times New Roman" w:eastAsia="Times New Roman" w:hAnsi="Times New Roman" w:cs="Times New Roman"/>
          <w:b/>
          <w:bCs/>
          <w:sz w:val="24"/>
          <w:szCs w:val="24"/>
        </w:rPr>
        <w:t>and FMC Makurdi in relation to Occupations</w:t>
      </w:r>
    </w:p>
    <w:tbl>
      <w:tblPr>
        <w:tblStyle w:val="TableGrid"/>
        <w:tblW w:w="0" w:type="auto"/>
        <w:tblInd w:w="-95" w:type="dxa"/>
        <w:tblLook w:val="04A0" w:firstRow="1" w:lastRow="0" w:firstColumn="1" w:lastColumn="0" w:noHBand="0" w:noVBand="1"/>
      </w:tblPr>
      <w:tblGrid>
        <w:gridCol w:w="1965"/>
        <w:gridCol w:w="1870"/>
        <w:gridCol w:w="1870"/>
        <w:gridCol w:w="1870"/>
        <w:gridCol w:w="1870"/>
      </w:tblGrid>
      <w:tr w:rsidR="00B412A4" w14:paraId="7DCD8E08" w14:textId="77777777" w:rsidTr="0063388A">
        <w:tc>
          <w:tcPr>
            <w:tcW w:w="1965" w:type="dxa"/>
            <w:tcBorders>
              <w:left w:val="nil"/>
              <w:bottom w:val="nil"/>
              <w:right w:val="nil"/>
            </w:tcBorders>
          </w:tcPr>
          <w:p w14:paraId="0BAE54DE" w14:textId="77777777" w:rsidR="00B412A4" w:rsidRPr="008152F2" w:rsidRDefault="00B412A4" w:rsidP="00F707A8">
            <w:pPr>
              <w:jc w:val="both"/>
              <w:rPr>
                <w:rFonts w:ascii="Times New Roman" w:hAnsi="Times New Roman" w:cs="Times New Roman"/>
                <w:b/>
                <w:sz w:val="24"/>
                <w:szCs w:val="24"/>
              </w:rPr>
            </w:pPr>
          </w:p>
        </w:tc>
        <w:tc>
          <w:tcPr>
            <w:tcW w:w="1870" w:type="dxa"/>
            <w:tcBorders>
              <w:left w:val="nil"/>
              <w:bottom w:val="nil"/>
              <w:right w:val="nil"/>
            </w:tcBorders>
          </w:tcPr>
          <w:p w14:paraId="39FA90E1"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BSUTH</w:t>
            </w:r>
          </w:p>
        </w:tc>
        <w:tc>
          <w:tcPr>
            <w:tcW w:w="1870" w:type="dxa"/>
            <w:tcBorders>
              <w:left w:val="nil"/>
              <w:bottom w:val="nil"/>
              <w:right w:val="nil"/>
            </w:tcBorders>
          </w:tcPr>
          <w:p w14:paraId="5C94E579" w14:textId="77777777" w:rsidR="00B412A4" w:rsidRPr="008152F2" w:rsidRDefault="00B412A4" w:rsidP="00F707A8">
            <w:pPr>
              <w:jc w:val="both"/>
              <w:rPr>
                <w:rFonts w:ascii="Times New Roman" w:hAnsi="Times New Roman" w:cs="Times New Roman"/>
                <w:b/>
                <w:sz w:val="24"/>
                <w:szCs w:val="24"/>
              </w:rPr>
            </w:pPr>
          </w:p>
        </w:tc>
        <w:tc>
          <w:tcPr>
            <w:tcW w:w="1870" w:type="dxa"/>
            <w:tcBorders>
              <w:left w:val="nil"/>
              <w:bottom w:val="nil"/>
              <w:right w:val="nil"/>
            </w:tcBorders>
          </w:tcPr>
          <w:p w14:paraId="573435B6"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FMC</w:t>
            </w:r>
          </w:p>
        </w:tc>
        <w:tc>
          <w:tcPr>
            <w:tcW w:w="1870" w:type="dxa"/>
            <w:tcBorders>
              <w:left w:val="nil"/>
              <w:bottom w:val="nil"/>
              <w:right w:val="nil"/>
            </w:tcBorders>
          </w:tcPr>
          <w:p w14:paraId="08FD7065" w14:textId="77777777" w:rsidR="00B412A4" w:rsidRPr="008152F2" w:rsidRDefault="00B412A4" w:rsidP="00F707A8">
            <w:pPr>
              <w:jc w:val="both"/>
              <w:rPr>
                <w:rFonts w:ascii="Times New Roman" w:hAnsi="Times New Roman" w:cs="Times New Roman"/>
                <w:b/>
                <w:sz w:val="24"/>
                <w:szCs w:val="24"/>
              </w:rPr>
            </w:pPr>
          </w:p>
        </w:tc>
      </w:tr>
      <w:tr w:rsidR="00B412A4" w14:paraId="6C62BA08" w14:textId="77777777" w:rsidTr="0063388A">
        <w:tc>
          <w:tcPr>
            <w:tcW w:w="1965" w:type="dxa"/>
            <w:tcBorders>
              <w:top w:val="nil"/>
              <w:left w:val="nil"/>
              <w:bottom w:val="single" w:sz="4" w:space="0" w:color="auto"/>
              <w:right w:val="nil"/>
            </w:tcBorders>
          </w:tcPr>
          <w:p w14:paraId="51CEC3B7"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 xml:space="preserve">Occupation </w:t>
            </w:r>
          </w:p>
        </w:tc>
        <w:tc>
          <w:tcPr>
            <w:tcW w:w="1870" w:type="dxa"/>
            <w:tcBorders>
              <w:top w:val="nil"/>
              <w:left w:val="nil"/>
              <w:bottom w:val="single" w:sz="4" w:space="0" w:color="auto"/>
              <w:right w:val="nil"/>
            </w:tcBorders>
          </w:tcPr>
          <w:p w14:paraId="0437123C"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Positive (%)</w:t>
            </w:r>
          </w:p>
        </w:tc>
        <w:tc>
          <w:tcPr>
            <w:tcW w:w="1870" w:type="dxa"/>
            <w:tcBorders>
              <w:top w:val="nil"/>
              <w:left w:val="nil"/>
              <w:bottom w:val="single" w:sz="4" w:space="0" w:color="auto"/>
              <w:right w:val="nil"/>
            </w:tcBorders>
          </w:tcPr>
          <w:p w14:paraId="4FC3379A"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Negative (%)</w:t>
            </w:r>
          </w:p>
        </w:tc>
        <w:tc>
          <w:tcPr>
            <w:tcW w:w="1870" w:type="dxa"/>
            <w:tcBorders>
              <w:top w:val="nil"/>
              <w:left w:val="nil"/>
              <w:bottom w:val="single" w:sz="4" w:space="0" w:color="auto"/>
              <w:right w:val="nil"/>
            </w:tcBorders>
          </w:tcPr>
          <w:p w14:paraId="0F38E471"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Positive (%)</w:t>
            </w:r>
          </w:p>
        </w:tc>
        <w:tc>
          <w:tcPr>
            <w:tcW w:w="1870" w:type="dxa"/>
            <w:tcBorders>
              <w:top w:val="nil"/>
              <w:left w:val="nil"/>
              <w:bottom w:val="single" w:sz="4" w:space="0" w:color="auto"/>
              <w:right w:val="nil"/>
            </w:tcBorders>
          </w:tcPr>
          <w:p w14:paraId="14A08032"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Negative (%)</w:t>
            </w:r>
          </w:p>
        </w:tc>
      </w:tr>
      <w:tr w:rsidR="00B412A4" w14:paraId="5255614C" w14:textId="77777777" w:rsidTr="0063388A">
        <w:tc>
          <w:tcPr>
            <w:tcW w:w="1965" w:type="dxa"/>
            <w:tcBorders>
              <w:left w:val="nil"/>
              <w:bottom w:val="nil"/>
              <w:right w:val="nil"/>
            </w:tcBorders>
          </w:tcPr>
          <w:p w14:paraId="2287A3C5"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Farming</w:t>
            </w:r>
          </w:p>
        </w:tc>
        <w:tc>
          <w:tcPr>
            <w:tcW w:w="1870" w:type="dxa"/>
            <w:tcBorders>
              <w:left w:val="nil"/>
              <w:bottom w:val="nil"/>
              <w:right w:val="nil"/>
            </w:tcBorders>
          </w:tcPr>
          <w:p w14:paraId="48A26E8B"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80 (51.3)</w:t>
            </w:r>
          </w:p>
        </w:tc>
        <w:tc>
          <w:tcPr>
            <w:tcW w:w="1870" w:type="dxa"/>
            <w:tcBorders>
              <w:left w:val="nil"/>
              <w:bottom w:val="nil"/>
              <w:right w:val="nil"/>
            </w:tcBorders>
          </w:tcPr>
          <w:p w14:paraId="1A77AA42"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29 (65.9)</w:t>
            </w:r>
          </w:p>
        </w:tc>
        <w:tc>
          <w:tcPr>
            <w:tcW w:w="1870" w:type="dxa"/>
            <w:tcBorders>
              <w:left w:val="nil"/>
              <w:bottom w:val="nil"/>
              <w:right w:val="nil"/>
            </w:tcBorders>
          </w:tcPr>
          <w:p w14:paraId="7BCB5EB2"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55 (40.0)</w:t>
            </w:r>
          </w:p>
        </w:tc>
        <w:tc>
          <w:tcPr>
            <w:tcW w:w="1870" w:type="dxa"/>
            <w:tcBorders>
              <w:left w:val="nil"/>
              <w:bottom w:val="nil"/>
              <w:right w:val="nil"/>
            </w:tcBorders>
          </w:tcPr>
          <w:p w14:paraId="43FCBFC2"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25 (40.3)</w:t>
            </w:r>
          </w:p>
        </w:tc>
      </w:tr>
      <w:tr w:rsidR="00B412A4" w14:paraId="2B22BC3A" w14:textId="77777777" w:rsidTr="0063388A">
        <w:tc>
          <w:tcPr>
            <w:tcW w:w="1965" w:type="dxa"/>
            <w:tcBorders>
              <w:top w:val="nil"/>
              <w:left w:val="nil"/>
              <w:bottom w:val="nil"/>
              <w:right w:val="nil"/>
            </w:tcBorders>
          </w:tcPr>
          <w:p w14:paraId="30828910"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Schooling</w:t>
            </w:r>
          </w:p>
        </w:tc>
        <w:tc>
          <w:tcPr>
            <w:tcW w:w="1870" w:type="dxa"/>
            <w:tcBorders>
              <w:top w:val="nil"/>
              <w:left w:val="nil"/>
              <w:bottom w:val="nil"/>
              <w:right w:val="nil"/>
            </w:tcBorders>
          </w:tcPr>
          <w:p w14:paraId="1AD0E63C"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27 (17.31)</w:t>
            </w:r>
          </w:p>
        </w:tc>
        <w:tc>
          <w:tcPr>
            <w:tcW w:w="1870" w:type="dxa"/>
            <w:tcBorders>
              <w:top w:val="nil"/>
              <w:left w:val="nil"/>
              <w:bottom w:val="nil"/>
              <w:right w:val="nil"/>
            </w:tcBorders>
          </w:tcPr>
          <w:p w14:paraId="5B1D40D8"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5 (11.4)</w:t>
            </w:r>
          </w:p>
        </w:tc>
        <w:tc>
          <w:tcPr>
            <w:tcW w:w="1870" w:type="dxa"/>
            <w:tcBorders>
              <w:top w:val="nil"/>
              <w:left w:val="nil"/>
              <w:bottom w:val="nil"/>
              <w:right w:val="nil"/>
            </w:tcBorders>
          </w:tcPr>
          <w:p w14:paraId="0C4D8F64"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38 (27.5)</w:t>
            </w:r>
          </w:p>
        </w:tc>
        <w:tc>
          <w:tcPr>
            <w:tcW w:w="1870" w:type="dxa"/>
            <w:tcBorders>
              <w:top w:val="nil"/>
              <w:left w:val="nil"/>
              <w:bottom w:val="nil"/>
              <w:right w:val="nil"/>
            </w:tcBorders>
          </w:tcPr>
          <w:p w14:paraId="1682988B"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31 (50.0)</w:t>
            </w:r>
          </w:p>
        </w:tc>
      </w:tr>
      <w:tr w:rsidR="00B412A4" w14:paraId="3FCDE00B" w14:textId="77777777" w:rsidTr="0063388A">
        <w:tc>
          <w:tcPr>
            <w:tcW w:w="1965" w:type="dxa"/>
            <w:tcBorders>
              <w:top w:val="nil"/>
              <w:left w:val="nil"/>
              <w:bottom w:val="nil"/>
              <w:right w:val="nil"/>
            </w:tcBorders>
          </w:tcPr>
          <w:p w14:paraId="6E9BCB98"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Civil Servant</w:t>
            </w:r>
          </w:p>
        </w:tc>
        <w:tc>
          <w:tcPr>
            <w:tcW w:w="1870" w:type="dxa"/>
            <w:tcBorders>
              <w:top w:val="nil"/>
              <w:left w:val="nil"/>
              <w:bottom w:val="nil"/>
              <w:right w:val="nil"/>
            </w:tcBorders>
          </w:tcPr>
          <w:p w14:paraId="69DE6DD8"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49 (31.4)</w:t>
            </w:r>
          </w:p>
        </w:tc>
        <w:tc>
          <w:tcPr>
            <w:tcW w:w="1870" w:type="dxa"/>
            <w:tcBorders>
              <w:top w:val="nil"/>
              <w:left w:val="nil"/>
              <w:bottom w:val="nil"/>
              <w:right w:val="nil"/>
            </w:tcBorders>
          </w:tcPr>
          <w:p w14:paraId="1528D967"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10 (22.7)</w:t>
            </w:r>
          </w:p>
        </w:tc>
        <w:tc>
          <w:tcPr>
            <w:tcW w:w="1870" w:type="dxa"/>
            <w:tcBorders>
              <w:top w:val="nil"/>
              <w:left w:val="nil"/>
              <w:bottom w:val="nil"/>
              <w:right w:val="nil"/>
            </w:tcBorders>
          </w:tcPr>
          <w:p w14:paraId="5B290767"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45 (32.6)</w:t>
            </w:r>
          </w:p>
        </w:tc>
        <w:tc>
          <w:tcPr>
            <w:tcW w:w="1870" w:type="dxa"/>
            <w:tcBorders>
              <w:top w:val="nil"/>
              <w:left w:val="nil"/>
              <w:bottom w:val="nil"/>
              <w:right w:val="nil"/>
            </w:tcBorders>
          </w:tcPr>
          <w:p w14:paraId="500DE318"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6 (9.7)</w:t>
            </w:r>
          </w:p>
        </w:tc>
      </w:tr>
      <w:tr w:rsidR="00B412A4" w14:paraId="70B2B397" w14:textId="77777777" w:rsidTr="0063388A">
        <w:tc>
          <w:tcPr>
            <w:tcW w:w="1965" w:type="dxa"/>
            <w:tcBorders>
              <w:top w:val="nil"/>
              <w:left w:val="nil"/>
              <w:right w:val="nil"/>
            </w:tcBorders>
          </w:tcPr>
          <w:p w14:paraId="5818D50B"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Total</w:t>
            </w:r>
          </w:p>
        </w:tc>
        <w:tc>
          <w:tcPr>
            <w:tcW w:w="1870" w:type="dxa"/>
            <w:tcBorders>
              <w:top w:val="nil"/>
              <w:left w:val="nil"/>
              <w:right w:val="nil"/>
            </w:tcBorders>
          </w:tcPr>
          <w:p w14:paraId="4BB1F909"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156 (100)</w:t>
            </w:r>
          </w:p>
        </w:tc>
        <w:tc>
          <w:tcPr>
            <w:tcW w:w="1870" w:type="dxa"/>
            <w:tcBorders>
              <w:top w:val="nil"/>
              <w:left w:val="nil"/>
              <w:right w:val="nil"/>
            </w:tcBorders>
          </w:tcPr>
          <w:p w14:paraId="05ABB9A5"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44 (100)</w:t>
            </w:r>
          </w:p>
        </w:tc>
        <w:tc>
          <w:tcPr>
            <w:tcW w:w="1870" w:type="dxa"/>
            <w:tcBorders>
              <w:top w:val="nil"/>
              <w:left w:val="nil"/>
              <w:right w:val="nil"/>
            </w:tcBorders>
          </w:tcPr>
          <w:p w14:paraId="27FDAD95"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138 (100)</w:t>
            </w:r>
          </w:p>
        </w:tc>
        <w:tc>
          <w:tcPr>
            <w:tcW w:w="1870" w:type="dxa"/>
            <w:tcBorders>
              <w:top w:val="nil"/>
              <w:left w:val="nil"/>
              <w:right w:val="nil"/>
            </w:tcBorders>
          </w:tcPr>
          <w:p w14:paraId="49F90146"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62 (100)</w:t>
            </w:r>
          </w:p>
        </w:tc>
      </w:tr>
    </w:tbl>
    <w:tbl>
      <w:tblPr>
        <w:tblW w:w="1949" w:type="pct"/>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83"/>
        <w:gridCol w:w="629"/>
        <w:gridCol w:w="1537"/>
      </w:tblGrid>
      <w:tr w:rsidR="00B412A4" w:rsidRPr="00C051FB" w14:paraId="5E801599" w14:textId="77777777" w:rsidTr="00445CD9">
        <w:trPr>
          <w:cantSplit/>
        </w:trPr>
        <w:tc>
          <w:tcPr>
            <w:tcW w:w="2032" w:type="pct"/>
            <w:tcBorders>
              <w:top w:val="nil"/>
              <w:left w:val="nil"/>
              <w:bottom w:val="nil"/>
              <w:right w:val="nil"/>
            </w:tcBorders>
            <w:shd w:val="clear" w:color="auto" w:fill="FFFFFF"/>
          </w:tcPr>
          <w:p w14:paraId="12A0ADE8" w14:textId="77777777" w:rsidR="00B412A4" w:rsidRPr="00C051FB" w:rsidRDefault="00B412A4" w:rsidP="00F707A8">
            <w:pPr>
              <w:tabs>
                <w:tab w:val="right" w:pos="1001"/>
              </w:tabs>
              <w:autoSpaceDE w:val="0"/>
              <w:autoSpaceDN w:val="0"/>
              <w:adjustRightInd w:val="0"/>
              <w:spacing w:after="0" w:line="240" w:lineRule="auto"/>
              <w:ind w:left="60" w:right="60"/>
              <w:rPr>
                <w:rFonts w:ascii="Times New Roman" w:hAnsi="Times New Roman" w:cs="Times New Roman"/>
                <w:color w:val="000000"/>
                <w:sz w:val="24"/>
                <w:szCs w:val="24"/>
              </w:rPr>
            </w:pPr>
            <w:r w:rsidRPr="00C051FB">
              <w:rPr>
                <w:rFonts w:ascii="Times New Roman" w:hAnsi="Times New Roman" w:cs="Times New Roman"/>
                <w:color w:val="000000"/>
                <w:sz w:val="24"/>
                <w:szCs w:val="24"/>
              </w:rPr>
              <w:tab/>
            </w:r>
            <w:r w:rsidRPr="009503C3">
              <w:rPr>
                <w:rFonts w:ascii="Times New Roman" w:hAnsi="Times New Roman" w:cs="Times New Roman"/>
                <w:sz w:val="24"/>
                <w:szCs w:val="24"/>
              </w:rPr>
              <w:t>χ</w:t>
            </w:r>
            <w:r w:rsidRPr="009503C3">
              <w:rPr>
                <w:rFonts w:ascii="Times New Roman" w:hAnsi="Times New Roman" w:cs="Times New Roman"/>
                <w:sz w:val="24"/>
                <w:szCs w:val="24"/>
                <w:vertAlign w:val="superscript"/>
              </w:rPr>
              <w:t>2</w:t>
            </w:r>
            <w:r>
              <w:rPr>
                <w:rFonts w:ascii="Times New Roman" w:hAnsi="Times New Roman" w:cs="Times New Roman"/>
                <w:color w:val="000000"/>
                <w:sz w:val="24"/>
                <w:szCs w:val="24"/>
              </w:rPr>
              <w:t xml:space="preserve"> = </w:t>
            </w:r>
            <w:r>
              <w:rPr>
                <w:rFonts w:ascii="Times New Roman" w:hAnsi="Times New Roman" w:cs="Times New Roman"/>
              </w:rPr>
              <w:t>15.081</w:t>
            </w:r>
          </w:p>
        </w:tc>
        <w:tc>
          <w:tcPr>
            <w:tcW w:w="862" w:type="pct"/>
            <w:tcBorders>
              <w:top w:val="nil"/>
              <w:left w:val="nil"/>
              <w:bottom w:val="nil"/>
              <w:right w:val="nil"/>
            </w:tcBorders>
            <w:shd w:val="clear" w:color="auto" w:fill="FFFFFF"/>
          </w:tcPr>
          <w:p w14:paraId="393C4F1C" w14:textId="77777777" w:rsidR="00B412A4" w:rsidRPr="00C051FB" w:rsidRDefault="00B412A4" w:rsidP="00F707A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Df=2</w:t>
            </w:r>
          </w:p>
        </w:tc>
        <w:tc>
          <w:tcPr>
            <w:tcW w:w="2106" w:type="pct"/>
            <w:tcBorders>
              <w:top w:val="nil"/>
              <w:left w:val="nil"/>
              <w:bottom w:val="nil"/>
              <w:right w:val="nil"/>
            </w:tcBorders>
            <w:shd w:val="clear" w:color="auto" w:fill="FFFFFF"/>
          </w:tcPr>
          <w:p w14:paraId="59B3B6FE" w14:textId="77777777" w:rsidR="00B412A4" w:rsidRPr="00C051FB" w:rsidRDefault="00B412A4" w:rsidP="00F707A8">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P=0.001</w:t>
            </w:r>
          </w:p>
        </w:tc>
      </w:tr>
    </w:tbl>
    <w:p w14:paraId="38B71739" w14:textId="77777777" w:rsidR="00445CD9" w:rsidRDefault="00445CD9" w:rsidP="00445CD9">
      <w:pPr>
        <w:spacing w:line="240" w:lineRule="auto"/>
        <w:rPr>
          <w:rFonts w:ascii="Times New Roman" w:eastAsia="Times New Roman" w:hAnsi="Times New Roman" w:cs="Times New Roman"/>
          <w:b/>
          <w:bCs/>
          <w:sz w:val="24"/>
          <w:szCs w:val="24"/>
        </w:rPr>
      </w:pPr>
      <w:r>
        <w:rPr>
          <w:rFonts w:ascii="Times New Roman" w:hAnsi="Times New Roman" w:cs="Times New Roman"/>
          <w:sz w:val="24"/>
          <w:szCs w:val="24"/>
        </w:rPr>
        <w:t>Table 4, showed that married patients had a</w:t>
      </w:r>
      <w:r w:rsidRPr="009503C3">
        <w:rPr>
          <w:rFonts w:ascii="Times New Roman" w:hAnsi="Times New Roman" w:cs="Times New Roman"/>
          <w:sz w:val="24"/>
          <w:szCs w:val="24"/>
        </w:rPr>
        <w:t xml:space="preserve"> higher prevalence of </w:t>
      </w:r>
      <w:r w:rsidRPr="00440759">
        <w:rPr>
          <w:rFonts w:ascii="Times New Roman" w:eastAsia="Times New Roman" w:hAnsi="Times New Roman" w:cs="Times New Roman"/>
          <w:i/>
          <w:iCs/>
          <w:sz w:val="24"/>
          <w:szCs w:val="24"/>
        </w:rPr>
        <w:t>Trichophyton rubrum</w:t>
      </w:r>
      <w:r>
        <w:rPr>
          <w:rFonts w:ascii="Times New Roman" w:hAnsi="Times New Roman" w:cs="Times New Roman"/>
          <w:sz w:val="24"/>
          <w:szCs w:val="24"/>
        </w:rPr>
        <w:t xml:space="preserve"> infection in  FMC  (78.3%) and separated patients recorded higher prevalence of 59.1% in BSUTH while single,</w:t>
      </w:r>
      <w:r w:rsidRPr="009503C3">
        <w:rPr>
          <w:rFonts w:ascii="Times New Roman" w:hAnsi="Times New Roman" w:cs="Times New Roman"/>
          <w:sz w:val="24"/>
          <w:szCs w:val="24"/>
        </w:rPr>
        <w:t xml:space="preserve"> and div</w:t>
      </w:r>
      <w:r>
        <w:rPr>
          <w:rFonts w:ascii="Times New Roman" w:hAnsi="Times New Roman" w:cs="Times New Roman"/>
          <w:sz w:val="24"/>
          <w:szCs w:val="24"/>
        </w:rPr>
        <w:t>orced had subjects a lower prevalence shown in table 4</w:t>
      </w:r>
      <w:r w:rsidRPr="009503C3">
        <w:rPr>
          <w:rFonts w:ascii="Times New Roman" w:hAnsi="Times New Roman" w:cs="Times New Roman"/>
          <w:sz w:val="24"/>
          <w:szCs w:val="24"/>
        </w:rPr>
        <w:t>.</w:t>
      </w:r>
    </w:p>
    <w:p w14:paraId="72C97AED" w14:textId="77777777" w:rsidR="00B412A4" w:rsidRDefault="00B412A4" w:rsidP="00F707A8">
      <w:pPr>
        <w:spacing w:line="240" w:lineRule="auto"/>
        <w:jc w:val="both"/>
        <w:rPr>
          <w:rFonts w:ascii="Times New Roman" w:hAnsi="Times New Roman" w:cs="Times New Roman"/>
          <w:sz w:val="24"/>
          <w:szCs w:val="24"/>
        </w:rPr>
      </w:pPr>
    </w:p>
    <w:p w14:paraId="367DC8F7" w14:textId="77777777" w:rsidR="00B412A4" w:rsidRPr="008D5751" w:rsidRDefault="00EF53DF" w:rsidP="00F707A8">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6</w:t>
      </w:r>
      <w:r w:rsidR="00B412A4">
        <w:rPr>
          <w:rFonts w:ascii="Times New Roman" w:eastAsia="Times New Roman" w:hAnsi="Times New Roman" w:cs="Times New Roman"/>
          <w:b/>
          <w:bCs/>
          <w:sz w:val="24"/>
          <w:szCs w:val="24"/>
        </w:rPr>
        <w:t xml:space="preserve">: The </w:t>
      </w:r>
      <w:r w:rsidR="00B412A4" w:rsidRPr="0001282D">
        <w:rPr>
          <w:rFonts w:ascii="Times New Roman" w:eastAsia="Times New Roman" w:hAnsi="Times New Roman" w:cs="Times New Roman"/>
          <w:b/>
          <w:bCs/>
          <w:sz w:val="24"/>
          <w:szCs w:val="24"/>
        </w:rPr>
        <w:t xml:space="preserve">distribution of </w:t>
      </w:r>
      <w:r w:rsidR="00B412A4" w:rsidRPr="00FF5A48">
        <w:rPr>
          <w:rFonts w:ascii="Times New Roman" w:eastAsia="Times New Roman" w:hAnsi="Times New Roman" w:cs="Times New Roman"/>
          <w:b/>
          <w:i/>
          <w:iCs/>
          <w:sz w:val="24"/>
          <w:szCs w:val="24"/>
        </w:rPr>
        <w:t>Trichophyton rubrum</w:t>
      </w:r>
      <w:r w:rsidR="00B412A4" w:rsidRPr="0001282D">
        <w:rPr>
          <w:rFonts w:ascii="Times New Roman" w:eastAsia="Times New Roman" w:hAnsi="Times New Roman" w:cs="Times New Roman"/>
          <w:b/>
          <w:bCs/>
          <w:sz w:val="24"/>
          <w:szCs w:val="24"/>
        </w:rPr>
        <w:t xml:space="preserve"> infection among </w:t>
      </w:r>
      <w:r w:rsidR="00B412A4">
        <w:rPr>
          <w:rFonts w:ascii="Times New Roman" w:eastAsia="Times New Roman" w:hAnsi="Times New Roman" w:cs="Times New Roman"/>
          <w:b/>
          <w:bCs/>
          <w:sz w:val="24"/>
          <w:szCs w:val="24"/>
        </w:rPr>
        <w:t>BSUTH</w:t>
      </w:r>
      <w:r w:rsidR="00B412A4" w:rsidRPr="002B130E">
        <w:rPr>
          <w:rFonts w:ascii="Times New Roman" w:eastAsia="Times New Roman" w:hAnsi="Times New Roman" w:cs="Times New Roman"/>
          <w:b/>
          <w:bCs/>
          <w:sz w:val="24"/>
          <w:szCs w:val="24"/>
        </w:rPr>
        <w:t xml:space="preserve"> </w:t>
      </w:r>
      <w:r w:rsidR="00B412A4">
        <w:rPr>
          <w:rFonts w:ascii="Times New Roman" w:eastAsia="Times New Roman" w:hAnsi="Times New Roman" w:cs="Times New Roman"/>
          <w:b/>
          <w:bCs/>
          <w:sz w:val="24"/>
          <w:szCs w:val="24"/>
        </w:rPr>
        <w:t xml:space="preserve">and FMC Makurdi in relation to Educational Status. </w:t>
      </w:r>
    </w:p>
    <w:tbl>
      <w:tblPr>
        <w:tblStyle w:val="TableGrid"/>
        <w:tblW w:w="0" w:type="auto"/>
        <w:tblInd w:w="-180" w:type="dxa"/>
        <w:tblLook w:val="04A0" w:firstRow="1" w:lastRow="0" w:firstColumn="1" w:lastColumn="0" w:noHBand="0" w:noVBand="1"/>
      </w:tblPr>
      <w:tblGrid>
        <w:gridCol w:w="2250"/>
        <w:gridCol w:w="1670"/>
        <w:gridCol w:w="1870"/>
        <w:gridCol w:w="1870"/>
        <w:gridCol w:w="1870"/>
      </w:tblGrid>
      <w:tr w:rsidR="00B412A4" w14:paraId="22352D2E" w14:textId="77777777" w:rsidTr="0063388A">
        <w:tc>
          <w:tcPr>
            <w:tcW w:w="2250" w:type="dxa"/>
            <w:tcBorders>
              <w:left w:val="nil"/>
              <w:bottom w:val="nil"/>
              <w:right w:val="nil"/>
            </w:tcBorders>
          </w:tcPr>
          <w:p w14:paraId="129370BE" w14:textId="77777777" w:rsidR="00B412A4" w:rsidRPr="006F6687" w:rsidRDefault="00B412A4" w:rsidP="00F707A8">
            <w:pPr>
              <w:jc w:val="both"/>
              <w:rPr>
                <w:rFonts w:ascii="Times New Roman" w:hAnsi="Times New Roman" w:cs="Times New Roman"/>
                <w:b/>
                <w:sz w:val="24"/>
                <w:szCs w:val="24"/>
              </w:rPr>
            </w:pPr>
          </w:p>
        </w:tc>
        <w:tc>
          <w:tcPr>
            <w:tcW w:w="1670" w:type="dxa"/>
            <w:tcBorders>
              <w:left w:val="nil"/>
              <w:bottom w:val="nil"/>
              <w:right w:val="nil"/>
            </w:tcBorders>
          </w:tcPr>
          <w:p w14:paraId="3D58E7AA"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BSUTH</w:t>
            </w:r>
          </w:p>
        </w:tc>
        <w:tc>
          <w:tcPr>
            <w:tcW w:w="1870" w:type="dxa"/>
            <w:tcBorders>
              <w:left w:val="nil"/>
              <w:bottom w:val="nil"/>
              <w:right w:val="nil"/>
            </w:tcBorders>
          </w:tcPr>
          <w:p w14:paraId="16BC38E8" w14:textId="77777777" w:rsidR="00B412A4" w:rsidRPr="006F6687" w:rsidRDefault="00B412A4" w:rsidP="00F707A8">
            <w:pPr>
              <w:jc w:val="both"/>
              <w:rPr>
                <w:rFonts w:ascii="Times New Roman" w:hAnsi="Times New Roman" w:cs="Times New Roman"/>
                <w:b/>
                <w:sz w:val="24"/>
                <w:szCs w:val="24"/>
              </w:rPr>
            </w:pPr>
          </w:p>
        </w:tc>
        <w:tc>
          <w:tcPr>
            <w:tcW w:w="1870" w:type="dxa"/>
            <w:tcBorders>
              <w:left w:val="nil"/>
              <w:bottom w:val="nil"/>
              <w:right w:val="nil"/>
            </w:tcBorders>
          </w:tcPr>
          <w:p w14:paraId="4DDFCF15"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FMC</w:t>
            </w:r>
          </w:p>
        </w:tc>
        <w:tc>
          <w:tcPr>
            <w:tcW w:w="1870" w:type="dxa"/>
            <w:tcBorders>
              <w:left w:val="nil"/>
              <w:bottom w:val="nil"/>
              <w:right w:val="nil"/>
            </w:tcBorders>
          </w:tcPr>
          <w:p w14:paraId="1E183851" w14:textId="77777777" w:rsidR="00B412A4" w:rsidRPr="006F6687" w:rsidRDefault="00B412A4" w:rsidP="00F707A8">
            <w:pPr>
              <w:jc w:val="both"/>
              <w:rPr>
                <w:rFonts w:ascii="Times New Roman" w:hAnsi="Times New Roman" w:cs="Times New Roman"/>
                <w:b/>
                <w:sz w:val="24"/>
                <w:szCs w:val="24"/>
              </w:rPr>
            </w:pPr>
          </w:p>
        </w:tc>
      </w:tr>
      <w:tr w:rsidR="00B412A4" w14:paraId="22DEA9A9" w14:textId="77777777" w:rsidTr="0063388A">
        <w:tc>
          <w:tcPr>
            <w:tcW w:w="2250" w:type="dxa"/>
            <w:tcBorders>
              <w:top w:val="nil"/>
              <w:left w:val="nil"/>
              <w:bottom w:val="single" w:sz="4" w:space="0" w:color="auto"/>
              <w:right w:val="nil"/>
            </w:tcBorders>
          </w:tcPr>
          <w:p w14:paraId="6D130890"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Education</w:t>
            </w:r>
            <w:r>
              <w:rPr>
                <w:rFonts w:ascii="Times New Roman" w:hAnsi="Times New Roman" w:cs="Times New Roman"/>
                <w:b/>
                <w:sz w:val="24"/>
                <w:szCs w:val="24"/>
              </w:rPr>
              <w:t>al status</w:t>
            </w:r>
          </w:p>
        </w:tc>
        <w:tc>
          <w:tcPr>
            <w:tcW w:w="1670" w:type="dxa"/>
            <w:tcBorders>
              <w:top w:val="nil"/>
              <w:left w:val="nil"/>
              <w:bottom w:val="single" w:sz="4" w:space="0" w:color="auto"/>
              <w:right w:val="nil"/>
            </w:tcBorders>
          </w:tcPr>
          <w:p w14:paraId="0E3C67C3"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Positive (%)</w:t>
            </w:r>
          </w:p>
        </w:tc>
        <w:tc>
          <w:tcPr>
            <w:tcW w:w="1870" w:type="dxa"/>
            <w:tcBorders>
              <w:top w:val="nil"/>
              <w:left w:val="nil"/>
              <w:bottom w:val="single" w:sz="4" w:space="0" w:color="auto"/>
              <w:right w:val="nil"/>
            </w:tcBorders>
          </w:tcPr>
          <w:p w14:paraId="3E656999"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Negative (%)</w:t>
            </w:r>
          </w:p>
        </w:tc>
        <w:tc>
          <w:tcPr>
            <w:tcW w:w="1870" w:type="dxa"/>
            <w:tcBorders>
              <w:top w:val="nil"/>
              <w:left w:val="nil"/>
              <w:bottom w:val="single" w:sz="4" w:space="0" w:color="auto"/>
              <w:right w:val="nil"/>
            </w:tcBorders>
          </w:tcPr>
          <w:p w14:paraId="5390F08B"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Positive (%)</w:t>
            </w:r>
          </w:p>
        </w:tc>
        <w:tc>
          <w:tcPr>
            <w:tcW w:w="1870" w:type="dxa"/>
            <w:tcBorders>
              <w:top w:val="nil"/>
              <w:left w:val="nil"/>
              <w:bottom w:val="single" w:sz="4" w:space="0" w:color="auto"/>
              <w:right w:val="nil"/>
            </w:tcBorders>
          </w:tcPr>
          <w:p w14:paraId="7A68D5CA"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Negative (%)</w:t>
            </w:r>
          </w:p>
        </w:tc>
      </w:tr>
      <w:tr w:rsidR="00B412A4" w14:paraId="33725D1E" w14:textId="77777777" w:rsidTr="0063388A">
        <w:tc>
          <w:tcPr>
            <w:tcW w:w="2250" w:type="dxa"/>
            <w:tcBorders>
              <w:left w:val="nil"/>
              <w:bottom w:val="nil"/>
              <w:right w:val="nil"/>
            </w:tcBorders>
          </w:tcPr>
          <w:p w14:paraId="531F74DC"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Primary</w:t>
            </w:r>
          </w:p>
        </w:tc>
        <w:tc>
          <w:tcPr>
            <w:tcW w:w="1670" w:type="dxa"/>
            <w:tcBorders>
              <w:left w:val="nil"/>
              <w:bottom w:val="nil"/>
              <w:right w:val="nil"/>
            </w:tcBorders>
          </w:tcPr>
          <w:p w14:paraId="78D30C29"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37 (23.7)</w:t>
            </w:r>
          </w:p>
        </w:tc>
        <w:tc>
          <w:tcPr>
            <w:tcW w:w="1870" w:type="dxa"/>
            <w:tcBorders>
              <w:left w:val="nil"/>
              <w:bottom w:val="nil"/>
              <w:right w:val="nil"/>
            </w:tcBorders>
          </w:tcPr>
          <w:p w14:paraId="538684D8"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23 (52.3)</w:t>
            </w:r>
          </w:p>
        </w:tc>
        <w:tc>
          <w:tcPr>
            <w:tcW w:w="1870" w:type="dxa"/>
            <w:tcBorders>
              <w:left w:val="nil"/>
              <w:bottom w:val="nil"/>
              <w:right w:val="nil"/>
            </w:tcBorders>
          </w:tcPr>
          <w:p w14:paraId="6AA3275C"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9 (6.5)</w:t>
            </w:r>
          </w:p>
        </w:tc>
        <w:tc>
          <w:tcPr>
            <w:tcW w:w="1870" w:type="dxa"/>
            <w:tcBorders>
              <w:left w:val="nil"/>
              <w:bottom w:val="nil"/>
              <w:right w:val="nil"/>
            </w:tcBorders>
          </w:tcPr>
          <w:p w14:paraId="1029ECE9"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0 (0.0)</w:t>
            </w:r>
          </w:p>
        </w:tc>
      </w:tr>
      <w:tr w:rsidR="00B412A4" w14:paraId="5C92EB52" w14:textId="77777777" w:rsidTr="0063388A">
        <w:tc>
          <w:tcPr>
            <w:tcW w:w="2250" w:type="dxa"/>
            <w:tcBorders>
              <w:top w:val="nil"/>
              <w:left w:val="nil"/>
              <w:bottom w:val="nil"/>
              <w:right w:val="nil"/>
            </w:tcBorders>
          </w:tcPr>
          <w:p w14:paraId="456B23C3"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Secondary</w:t>
            </w:r>
          </w:p>
        </w:tc>
        <w:tc>
          <w:tcPr>
            <w:tcW w:w="1670" w:type="dxa"/>
            <w:tcBorders>
              <w:top w:val="nil"/>
              <w:left w:val="nil"/>
              <w:bottom w:val="nil"/>
              <w:right w:val="nil"/>
            </w:tcBorders>
          </w:tcPr>
          <w:p w14:paraId="3A47BDD7"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88 (56.4)</w:t>
            </w:r>
          </w:p>
        </w:tc>
        <w:tc>
          <w:tcPr>
            <w:tcW w:w="1870" w:type="dxa"/>
            <w:tcBorders>
              <w:top w:val="nil"/>
              <w:left w:val="nil"/>
              <w:bottom w:val="nil"/>
              <w:right w:val="nil"/>
            </w:tcBorders>
          </w:tcPr>
          <w:p w14:paraId="6D4ABE50"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15 (34.1)</w:t>
            </w:r>
          </w:p>
        </w:tc>
        <w:tc>
          <w:tcPr>
            <w:tcW w:w="1870" w:type="dxa"/>
            <w:tcBorders>
              <w:top w:val="nil"/>
              <w:left w:val="nil"/>
              <w:bottom w:val="nil"/>
              <w:right w:val="nil"/>
            </w:tcBorders>
          </w:tcPr>
          <w:p w14:paraId="677401C4"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104(75.4)</w:t>
            </w:r>
          </w:p>
        </w:tc>
        <w:tc>
          <w:tcPr>
            <w:tcW w:w="1870" w:type="dxa"/>
            <w:tcBorders>
              <w:top w:val="nil"/>
              <w:left w:val="nil"/>
              <w:bottom w:val="nil"/>
              <w:right w:val="nil"/>
            </w:tcBorders>
          </w:tcPr>
          <w:p w14:paraId="68749C09"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62 (100)</w:t>
            </w:r>
          </w:p>
        </w:tc>
      </w:tr>
      <w:tr w:rsidR="00B412A4" w14:paraId="2333EB29" w14:textId="77777777" w:rsidTr="0063388A">
        <w:tc>
          <w:tcPr>
            <w:tcW w:w="2250" w:type="dxa"/>
            <w:tcBorders>
              <w:top w:val="nil"/>
              <w:left w:val="nil"/>
              <w:bottom w:val="nil"/>
              <w:right w:val="nil"/>
            </w:tcBorders>
          </w:tcPr>
          <w:p w14:paraId="0B5A91C4"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Tertiary</w:t>
            </w:r>
          </w:p>
        </w:tc>
        <w:tc>
          <w:tcPr>
            <w:tcW w:w="1670" w:type="dxa"/>
            <w:tcBorders>
              <w:top w:val="nil"/>
              <w:left w:val="nil"/>
              <w:bottom w:val="nil"/>
              <w:right w:val="nil"/>
            </w:tcBorders>
          </w:tcPr>
          <w:p w14:paraId="2C96D20A"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31 (19.9)</w:t>
            </w:r>
          </w:p>
        </w:tc>
        <w:tc>
          <w:tcPr>
            <w:tcW w:w="1870" w:type="dxa"/>
            <w:tcBorders>
              <w:top w:val="nil"/>
              <w:left w:val="nil"/>
              <w:bottom w:val="nil"/>
              <w:right w:val="nil"/>
            </w:tcBorders>
          </w:tcPr>
          <w:p w14:paraId="31048833"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6 (13.6)</w:t>
            </w:r>
          </w:p>
        </w:tc>
        <w:tc>
          <w:tcPr>
            <w:tcW w:w="1870" w:type="dxa"/>
            <w:tcBorders>
              <w:top w:val="nil"/>
              <w:left w:val="nil"/>
              <w:bottom w:val="nil"/>
              <w:right w:val="nil"/>
            </w:tcBorders>
          </w:tcPr>
          <w:p w14:paraId="15E9D9B5"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25 (18.12)</w:t>
            </w:r>
          </w:p>
        </w:tc>
        <w:tc>
          <w:tcPr>
            <w:tcW w:w="1870" w:type="dxa"/>
            <w:tcBorders>
              <w:top w:val="nil"/>
              <w:left w:val="nil"/>
              <w:bottom w:val="nil"/>
              <w:right w:val="nil"/>
            </w:tcBorders>
          </w:tcPr>
          <w:p w14:paraId="4751ABAD"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0 (0.0)</w:t>
            </w:r>
          </w:p>
        </w:tc>
      </w:tr>
      <w:tr w:rsidR="00B412A4" w14:paraId="73DE41B5" w14:textId="77777777" w:rsidTr="0063388A">
        <w:tc>
          <w:tcPr>
            <w:tcW w:w="2250" w:type="dxa"/>
            <w:tcBorders>
              <w:top w:val="nil"/>
              <w:left w:val="nil"/>
              <w:right w:val="nil"/>
            </w:tcBorders>
          </w:tcPr>
          <w:p w14:paraId="19D1392C"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lastRenderedPageBreak/>
              <w:t>Total</w:t>
            </w:r>
          </w:p>
        </w:tc>
        <w:tc>
          <w:tcPr>
            <w:tcW w:w="1670" w:type="dxa"/>
            <w:tcBorders>
              <w:top w:val="nil"/>
              <w:left w:val="nil"/>
              <w:right w:val="nil"/>
            </w:tcBorders>
          </w:tcPr>
          <w:p w14:paraId="0A8B0615"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156 (100)</w:t>
            </w:r>
          </w:p>
        </w:tc>
        <w:tc>
          <w:tcPr>
            <w:tcW w:w="1870" w:type="dxa"/>
            <w:tcBorders>
              <w:top w:val="nil"/>
              <w:left w:val="nil"/>
              <w:right w:val="nil"/>
            </w:tcBorders>
          </w:tcPr>
          <w:p w14:paraId="127516D8"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44 (100)</w:t>
            </w:r>
          </w:p>
        </w:tc>
        <w:tc>
          <w:tcPr>
            <w:tcW w:w="1870" w:type="dxa"/>
            <w:tcBorders>
              <w:top w:val="nil"/>
              <w:left w:val="nil"/>
              <w:right w:val="nil"/>
            </w:tcBorders>
          </w:tcPr>
          <w:p w14:paraId="30FA0D53"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138 (100)</w:t>
            </w:r>
          </w:p>
        </w:tc>
        <w:tc>
          <w:tcPr>
            <w:tcW w:w="1870" w:type="dxa"/>
            <w:tcBorders>
              <w:top w:val="nil"/>
              <w:left w:val="nil"/>
              <w:right w:val="nil"/>
            </w:tcBorders>
          </w:tcPr>
          <w:p w14:paraId="03DDED1E"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62 (100)</w:t>
            </w:r>
          </w:p>
        </w:tc>
      </w:tr>
    </w:tbl>
    <w:tbl>
      <w:tblPr>
        <w:tblW w:w="1949" w:type="pct"/>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83"/>
        <w:gridCol w:w="629"/>
        <w:gridCol w:w="1537"/>
      </w:tblGrid>
      <w:tr w:rsidR="00B412A4" w:rsidRPr="00C051FB" w14:paraId="5C5D5B5D" w14:textId="77777777" w:rsidTr="00421E25">
        <w:trPr>
          <w:cantSplit/>
        </w:trPr>
        <w:tc>
          <w:tcPr>
            <w:tcW w:w="2032" w:type="pct"/>
            <w:tcBorders>
              <w:top w:val="nil"/>
              <w:left w:val="nil"/>
              <w:bottom w:val="nil"/>
              <w:right w:val="nil"/>
            </w:tcBorders>
            <w:shd w:val="clear" w:color="auto" w:fill="FFFFFF"/>
          </w:tcPr>
          <w:p w14:paraId="308BA43B" w14:textId="77777777" w:rsidR="00B412A4" w:rsidRPr="00C051FB" w:rsidRDefault="00B412A4" w:rsidP="00F707A8">
            <w:pPr>
              <w:tabs>
                <w:tab w:val="right" w:pos="1001"/>
              </w:tabs>
              <w:autoSpaceDE w:val="0"/>
              <w:autoSpaceDN w:val="0"/>
              <w:adjustRightInd w:val="0"/>
              <w:spacing w:after="0" w:line="240" w:lineRule="auto"/>
              <w:ind w:left="60" w:right="60"/>
              <w:rPr>
                <w:rFonts w:ascii="Times New Roman" w:hAnsi="Times New Roman" w:cs="Times New Roman"/>
                <w:color w:val="000000"/>
                <w:sz w:val="24"/>
                <w:szCs w:val="24"/>
              </w:rPr>
            </w:pPr>
            <w:r w:rsidRPr="00C051FB">
              <w:rPr>
                <w:rFonts w:ascii="Times New Roman" w:hAnsi="Times New Roman" w:cs="Times New Roman"/>
                <w:color w:val="000000"/>
                <w:sz w:val="24"/>
                <w:szCs w:val="24"/>
              </w:rPr>
              <w:tab/>
            </w:r>
            <w:r w:rsidRPr="009503C3">
              <w:rPr>
                <w:rFonts w:ascii="Times New Roman" w:hAnsi="Times New Roman" w:cs="Times New Roman"/>
                <w:sz w:val="24"/>
                <w:szCs w:val="24"/>
              </w:rPr>
              <w:t>χ</w:t>
            </w:r>
            <w:r w:rsidRPr="009503C3">
              <w:rPr>
                <w:rFonts w:ascii="Times New Roman" w:hAnsi="Times New Roman" w:cs="Times New Roman"/>
                <w:sz w:val="24"/>
                <w:szCs w:val="24"/>
                <w:vertAlign w:val="superscript"/>
              </w:rPr>
              <w:t>2</w:t>
            </w:r>
            <w:r>
              <w:rPr>
                <w:rFonts w:ascii="Times New Roman" w:hAnsi="Times New Roman" w:cs="Times New Roman"/>
                <w:color w:val="000000"/>
                <w:sz w:val="24"/>
                <w:szCs w:val="24"/>
              </w:rPr>
              <w:t xml:space="preserve"> = </w:t>
            </w:r>
            <w:r>
              <w:rPr>
                <w:rFonts w:ascii="Times New Roman" w:hAnsi="Times New Roman" w:cs="Times New Roman"/>
              </w:rPr>
              <w:t>13.369</w:t>
            </w:r>
          </w:p>
        </w:tc>
        <w:tc>
          <w:tcPr>
            <w:tcW w:w="862" w:type="pct"/>
            <w:tcBorders>
              <w:top w:val="nil"/>
              <w:left w:val="nil"/>
              <w:bottom w:val="nil"/>
              <w:right w:val="nil"/>
            </w:tcBorders>
            <w:shd w:val="clear" w:color="auto" w:fill="FFFFFF"/>
          </w:tcPr>
          <w:p w14:paraId="78283F6D" w14:textId="77777777" w:rsidR="00B412A4" w:rsidRPr="00C051FB" w:rsidRDefault="00B412A4" w:rsidP="00F707A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Df=2</w:t>
            </w:r>
          </w:p>
        </w:tc>
        <w:tc>
          <w:tcPr>
            <w:tcW w:w="2106" w:type="pct"/>
            <w:tcBorders>
              <w:top w:val="nil"/>
              <w:left w:val="nil"/>
              <w:bottom w:val="nil"/>
              <w:right w:val="nil"/>
            </w:tcBorders>
            <w:shd w:val="clear" w:color="auto" w:fill="FFFFFF"/>
          </w:tcPr>
          <w:p w14:paraId="10EA5F31" w14:textId="77777777" w:rsidR="00445CD9" w:rsidRDefault="00B412A4" w:rsidP="00F707A8">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P= 0.001</w:t>
            </w:r>
          </w:p>
          <w:p w14:paraId="0A52921A" w14:textId="77777777" w:rsidR="00445CD9" w:rsidRDefault="00445CD9" w:rsidP="00F707A8">
            <w:pPr>
              <w:autoSpaceDE w:val="0"/>
              <w:autoSpaceDN w:val="0"/>
              <w:adjustRightInd w:val="0"/>
              <w:spacing w:after="0" w:line="240" w:lineRule="auto"/>
              <w:ind w:right="60"/>
              <w:rPr>
                <w:rFonts w:ascii="Times New Roman" w:hAnsi="Times New Roman" w:cs="Times New Roman"/>
                <w:color w:val="000000"/>
                <w:sz w:val="24"/>
                <w:szCs w:val="24"/>
              </w:rPr>
            </w:pPr>
          </w:p>
          <w:p w14:paraId="3B162A31" w14:textId="118E088A" w:rsidR="00445CD9" w:rsidRPr="00C051FB" w:rsidRDefault="00445CD9" w:rsidP="00F707A8">
            <w:pPr>
              <w:autoSpaceDE w:val="0"/>
              <w:autoSpaceDN w:val="0"/>
              <w:adjustRightInd w:val="0"/>
              <w:spacing w:after="0" w:line="240" w:lineRule="auto"/>
              <w:ind w:right="60"/>
              <w:rPr>
                <w:rFonts w:ascii="Times New Roman" w:hAnsi="Times New Roman" w:cs="Times New Roman"/>
                <w:color w:val="000000"/>
                <w:sz w:val="24"/>
                <w:szCs w:val="24"/>
              </w:rPr>
            </w:pPr>
          </w:p>
        </w:tc>
      </w:tr>
    </w:tbl>
    <w:p w14:paraId="65B0C60B" w14:textId="77777777" w:rsidR="00445CD9" w:rsidRDefault="00445CD9" w:rsidP="00445CD9">
      <w:pPr>
        <w:spacing w:line="240" w:lineRule="auto"/>
        <w:rPr>
          <w:rFonts w:ascii="Times New Roman" w:eastAsia="Times New Roman" w:hAnsi="Times New Roman" w:cs="Times New Roman"/>
          <w:b/>
          <w:bCs/>
          <w:sz w:val="24"/>
          <w:szCs w:val="24"/>
        </w:rPr>
      </w:pPr>
      <w:r>
        <w:rPr>
          <w:rFonts w:ascii="Times New Roman" w:hAnsi="Times New Roman" w:cs="Times New Roman"/>
          <w:sz w:val="24"/>
          <w:szCs w:val="24"/>
        </w:rPr>
        <w:t>Educational status in</w:t>
      </w:r>
      <w:r w:rsidRPr="009503C3">
        <w:rPr>
          <w:rFonts w:ascii="Times New Roman" w:hAnsi="Times New Roman" w:cs="Times New Roman"/>
          <w:sz w:val="24"/>
          <w:szCs w:val="24"/>
        </w:rPr>
        <w:t xml:space="preserve"> table</w:t>
      </w:r>
      <w:r>
        <w:rPr>
          <w:rFonts w:ascii="Times New Roman" w:hAnsi="Times New Roman" w:cs="Times New Roman"/>
          <w:sz w:val="24"/>
          <w:szCs w:val="24"/>
        </w:rPr>
        <w:t xml:space="preserve"> 6, patients with Secondary education recorded</w:t>
      </w:r>
      <w:r w:rsidRPr="009503C3">
        <w:rPr>
          <w:rFonts w:ascii="Times New Roman" w:hAnsi="Times New Roman" w:cs="Times New Roman"/>
          <w:sz w:val="24"/>
          <w:szCs w:val="24"/>
        </w:rPr>
        <w:t xml:space="preserve"> the higher prevalence of </w:t>
      </w:r>
      <w:r w:rsidRPr="00440759">
        <w:rPr>
          <w:rFonts w:ascii="Times New Roman" w:eastAsia="Times New Roman" w:hAnsi="Times New Roman" w:cs="Times New Roman"/>
          <w:i/>
          <w:iCs/>
          <w:sz w:val="24"/>
          <w:szCs w:val="24"/>
        </w:rPr>
        <w:t>Trichophyton rubrum</w:t>
      </w:r>
      <w:r>
        <w:rPr>
          <w:rFonts w:ascii="Times New Roman" w:hAnsi="Times New Roman" w:cs="Times New Roman"/>
          <w:sz w:val="24"/>
          <w:szCs w:val="24"/>
        </w:rPr>
        <w:t xml:space="preserve"> infections in BSUTH (56.4 %) and FMC (75.4 %), </w:t>
      </w:r>
      <w:r w:rsidRPr="009503C3">
        <w:rPr>
          <w:rFonts w:ascii="Times New Roman" w:hAnsi="Times New Roman" w:cs="Times New Roman"/>
          <w:sz w:val="24"/>
          <w:szCs w:val="24"/>
        </w:rPr>
        <w:t xml:space="preserve">The prevalence of </w:t>
      </w:r>
      <w:r w:rsidRPr="00440759">
        <w:rPr>
          <w:rFonts w:ascii="Times New Roman" w:eastAsia="Times New Roman" w:hAnsi="Times New Roman" w:cs="Times New Roman"/>
          <w:i/>
          <w:iCs/>
          <w:sz w:val="24"/>
          <w:szCs w:val="24"/>
        </w:rPr>
        <w:t>Trichophyton rubrum</w:t>
      </w:r>
      <w:r>
        <w:rPr>
          <w:rFonts w:ascii="Times New Roman" w:hAnsi="Times New Roman" w:cs="Times New Roman"/>
          <w:sz w:val="24"/>
          <w:szCs w:val="24"/>
        </w:rPr>
        <w:t xml:space="preserve"> infection among educational status </w:t>
      </w:r>
      <w:r w:rsidRPr="009503C3">
        <w:rPr>
          <w:rFonts w:ascii="Times New Roman" w:hAnsi="Times New Roman" w:cs="Times New Roman"/>
          <w:sz w:val="24"/>
          <w:szCs w:val="24"/>
        </w:rPr>
        <w:t>was statistically s</w:t>
      </w:r>
      <w:r>
        <w:rPr>
          <w:rFonts w:ascii="Times New Roman" w:hAnsi="Times New Roman" w:cs="Times New Roman"/>
          <w:sz w:val="24"/>
          <w:szCs w:val="24"/>
        </w:rPr>
        <w:t>ignificant, with p-value of 0.001</w:t>
      </w:r>
      <w:r w:rsidRPr="009503C3">
        <w:rPr>
          <w:rFonts w:ascii="Times New Roman" w:hAnsi="Times New Roman" w:cs="Times New Roman"/>
          <w:sz w:val="24"/>
          <w:szCs w:val="24"/>
        </w:rPr>
        <w:t xml:space="preserve">, indicating that the observed difference </w:t>
      </w:r>
      <w:r>
        <w:rPr>
          <w:rFonts w:ascii="Times New Roman" w:hAnsi="Times New Roman" w:cs="Times New Roman"/>
          <w:sz w:val="24"/>
          <w:szCs w:val="24"/>
        </w:rPr>
        <w:t>is significant</w:t>
      </w:r>
    </w:p>
    <w:p w14:paraId="1CBBA4DF" w14:textId="77777777" w:rsidR="00445CD9" w:rsidRDefault="00445CD9" w:rsidP="00F707A8">
      <w:pPr>
        <w:spacing w:line="240" w:lineRule="auto"/>
        <w:jc w:val="both"/>
        <w:rPr>
          <w:rFonts w:ascii="Times New Roman" w:hAnsi="Times New Roman" w:cs="Times New Roman"/>
          <w:sz w:val="24"/>
          <w:szCs w:val="24"/>
        </w:rPr>
      </w:pPr>
    </w:p>
    <w:p w14:paraId="43D26811" w14:textId="77777777" w:rsidR="00B412A4" w:rsidRPr="007716B2" w:rsidRDefault="00EF53DF" w:rsidP="00F707A8">
      <w:pPr>
        <w:spacing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Table 7</w:t>
      </w:r>
      <w:r w:rsidR="00B412A4">
        <w:rPr>
          <w:rFonts w:ascii="Times New Roman" w:eastAsia="Times New Roman" w:hAnsi="Times New Roman" w:cs="Times New Roman"/>
          <w:b/>
          <w:bCs/>
          <w:sz w:val="24"/>
          <w:szCs w:val="24"/>
        </w:rPr>
        <w:t xml:space="preserve">: The </w:t>
      </w:r>
      <w:r w:rsidR="00B412A4" w:rsidRPr="0001282D">
        <w:rPr>
          <w:rFonts w:ascii="Times New Roman" w:eastAsia="Times New Roman" w:hAnsi="Times New Roman" w:cs="Times New Roman"/>
          <w:b/>
          <w:bCs/>
          <w:sz w:val="24"/>
          <w:szCs w:val="24"/>
        </w:rPr>
        <w:t xml:space="preserve">distribution of </w:t>
      </w:r>
      <w:r w:rsidR="00B412A4" w:rsidRPr="00FF5A48">
        <w:rPr>
          <w:rFonts w:ascii="Times New Roman" w:eastAsia="Times New Roman" w:hAnsi="Times New Roman" w:cs="Times New Roman"/>
          <w:b/>
          <w:i/>
          <w:iCs/>
          <w:sz w:val="24"/>
          <w:szCs w:val="24"/>
        </w:rPr>
        <w:t>Trichophyton rubrum</w:t>
      </w:r>
      <w:r w:rsidR="00B412A4" w:rsidRPr="0001282D">
        <w:rPr>
          <w:rFonts w:ascii="Times New Roman" w:eastAsia="Times New Roman" w:hAnsi="Times New Roman" w:cs="Times New Roman"/>
          <w:b/>
          <w:bCs/>
          <w:sz w:val="24"/>
          <w:szCs w:val="24"/>
        </w:rPr>
        <w:t xml:space="preserve"> infection among </w:t>
      </w:r>
      <w:r w:rsidR="00B412A4">
        <w:rPr>
          <w:rFonts w:ascii="Times New Roman" w:eastAsia="Times New Roman" w:hAnsi="Times New Roman" w:cs="Times New Roman"/>
          <w:b/>
          <w:bCs/>
          <w:sz w:val="24"/>
          <w:szCs w:val="24"/>
        </w:rPr>
        <w:t>BSUTH Hospital</w:t>
      </w:r>
      <w:r w:rsidR="00B412A4" w:rsidRPr="002B130E">
        <w:rPr>
          <w:rFonts w:ascii="Times New Roman" w:eastAsia="Times New Roman" w:hAnsi="Times New Roman" w:cs="Times New Roman"/>
          <w:b/>
          <w:bCs/>
          <w:sz w:val="24"/>
          <w:szCs w:val="24"/>
        </w:rPr>
        <w:t xml:space="preserve"> </w:t>
      </w:r>
      <w:r w:rsidR="00B412A4">
        <w:rPr>
          <w:rFonts w:ascii="Times New Roman" w:eastAsia="Times New Roman" w:hAnsi="Times New Roman" w:cs="Times New Roman"/>
          <w:b/>
          <w:bCs/>
          <w:sz w:val="24"/>
          <w:szCs w:val="24"/>
        </w:rPr>
        <w:t>and FMC Makurdi in relation to Sign and Symptoms of the Disease</w:t>
      </w:r>
    </w:p>
    <w:tbl>
      <w:tblPr>
        <w:tblStyle w:val="TableGrid"/>
        <w:tblW w:w="0" w:type="auto"/>
        <w:tblInd w:w="-275" w:type="dxa"/>
        <w:tblLook w:val="04A0" w:firstRow="1" w:lastRow="0" w:firstColumn="1" w:lastColumn="0" w:noHBand="0" w:noVBand="1"/>
      </w:tblPr>
      <w:tblGrid>
        <w:gridCol w:w="2250"/>
        <w:gridCol w:w="1890"/>
        <w:gridCol w:w="1745"/>
        <w:gridCol w:w="1870"/>
        <w:gridCol w:w="1870"/>
      </w:tblGrid>
      <w:tr w:rsidR="00B412A4" w14:paraId="1C205846" w14:textId="77777777" w:rsidTr="0063388A">
        <w:tc>
          <w:tcPr>
            <w:tcW w:w="2250" w:type="dxa"/>
            <w:tcBorders>
              <w:left w:val="nil"/>
              <w:bottom w:val="nil"/>
              <w:right w:val="nil"/>
            </w:tcBorders>
          </w:tcPr>
          <w:p w14:paraId="79EF1C1B" w14:textId="77777777" w:rsidR="00B412A4" w:rsidRDefault="00B412A4" w:rsidP="00F707A8">
            <w:pPr>
              <w:rPr>
                <w:rFonts w:ascii="Times New Roman" w:eastAsia="Times New Roman" w:hAnsi="Times New Roman" w:cs="Times New Roman"/>
                <w:b/>
                <w:bCs/>
                <w:sz w:val="24"/>
                <w:szCs w:val="24"/>
              </w:rPr>
            </w:pPr>
          </w:p>
        </w:tc>
        <w:tc>
          <w:tcPr>
            <w:tcW w:w="1890" w:type="dxa"/>
            <w:tcBorders>
              <w:left w:val="nil"/>
              <w:bottom w:val="nil"/>
              <w:right w:val="nil"/>
            </w:tcBorders>
          </w:tcPr>
          <w:p w14:paraId="65162008"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BSUTH</w:t>
            </w:r>
          </w:p>
        </w:tc>
        <w:tc>
          <w:tcPr>
            <w:tcW w:w="1745" w:type="dxa"/>
            <w:tcBorders>
              <w:left w:val="nil"/>
              <w:bottom w:val="nil"/>
              <w:right w:val="nil"/>
            </w:tcBorders>
          </w:tcPr>
          <w:p w14:paraId="1CD7C639" w14:textId="77777777" w:rsidR="00B412A4" w:rsidRDefault="00B412A4" w:rsidP="00F707A8">
            <w:pPr>
              <w:rPr>
                <w:rFonts w:ascii="Times New Roman" w:eastAsia="Times New Roman" w:hAnsi="Times New Roman" w:cs="Times New Roman"/>
                <w:b/>
                <w:bCs/>
                <w:sz w:val="24"/>
                <w:szCs w:val="24"/>
              </w:rPr>
            </w:pPr>
          </w:p>
        </w:tc>
        <w:tc>
          <w:tcPr>
            <w:tcW w:w="1870" w:type="dxa"/>
            <w:tcBorders>
              <w:left w:val="nil"/>
              <w:bottom w:val="nil"/>
              <w:right w:val="nil"/>
            </w:tcBorders>
          </w:tcPr>
          <w:p w14:paraId="1CDC4117"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FMC</w:t>
            </w:r>
          </w:p>
        </w:tc>
        <w:tc>
          <w:tcPr>
            <w:tcW w:w="1870" w:type="dxa"/>
            <w:tcBorders>
              <w:left w:val="nil"/>
              <w:bottom w:val="nil"/>
              <w:right w:val="nil"/>
            </w:tcBorders>
          </w:tcPr>
          <w:p w14:paraId="48B9D4AA" w14:textId="77777777" w:rsidR="00B412A4" w:rsidRDefault="00B412A4" w:rsidP="00F707A8">
            <w:pPr>
              <w:rPr>
                <w:rFonts w:ascii="Times New Roman" w:eastAsia="Times New Roman" w:hAnsi="Times New Roman" w:cs="Times New Roman"/>
                <w:b/>
                <w:bCs/>
                <w:sz w:val="24"/>
                <w:szCs w:val="24"/>
              </w:rPr>
            </w:pPr>
          </w:p>
        </w:tc>
      </w:tr>
      <w:tr w:rsidR="00B412A4" w14:paraId="745FA7A6" w14:textId="77777777" w:rsidTr="0063388A">
        <w:tc>
          <w:tcPr>
            <w:tcW w:w="2250" w:type="dxa"/>
            <w:tcBorders>
              <w:top w:val="nil"/>
              <w:left w:val="nil"/>
              <w:bottom w:val="single" w:sz="4" w:space="0" w:color="auto"/>
              <w:right w:val="nil"/>
            </w:tcBorders>
          </w:tcPr>
          <w:p w14:paraId="1FE73918"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Signs &amp; Symptoms</w:t>
            </w:r>
          </w:p>
        </w:tc>
        <w:tc>
          <w:tcPr>
            <w:tcW w:w="1890" w:type="dxa"/>
            <w:tcBorders>
              <w:top w:val="nil"/>
              <w:left w:val="nil"/>
              <w:bottom w:val="single" w:sz="4" w:space="0" w:color="auto"/>
              <w:right w:val="nil"/>
            </w:tcBorders>
          </w:tcPr>
          <w:p w14:paraId="04860206"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Positive (%)</w:t>
            </w:r>
          </w:p>
        </w:tc>
        <w:tc>
          <w:tcPr>
            <w:tcW w:w="1745" w:type="dxa"/>
            <w:tcBorders>
              <w:top w:val="nil"/>
              <w:left w:val="nil"/>
              <w:bottom w:val="single" w:sz="4" w:space="0" w:color="auto"/>
              <w:right w:val="nil"/>
            </w:tcBorders>
          </w:tcPr>
          <w:p w14:paraId="24084B6A"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Negative (%)</w:t>
            </w:r>
          </w:p>
        </w:tc>
        <w:tc>
          <w:tcPr>
            <w:tcW w:w="1870" w:type="dxa"/>
            <w:tcBorders>
              <w:top w:val="nil"/>
              <w:left w:val="nil"/>
              <w:bottom w:val="single" w:sz="4" w:space="0" w:color="auto"/>
              <w:right w:val="nil"/>
            </w:tcBorders>
          </w:tcPr>
          <w:p w14:paraId="6D41F3ED"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Positive (%)</w:t>
            </w:r>
          </w:p>
        </w:tc>
        <w:tc>
          <w:tcPr>
            <w:tcW w:w="1870" w:type="dxa"/>
            <w:tcBorders>
              <w:top w:val="nil"/>
              <w:left w:val="nil"/>
              <w:bottom w:val="single" w:sz="4" w:space="0" w:color="auto"/>
              <w:right w:val="nil"/>
            </w:tcBorders>
          </w:tcPr>
          <w:p w14:paraId="1637C3CF"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Negative (%)</w:t>
            </w:r>
          </w:p>
        </w:tc>
      </w:tr>
      <w:tr w:rsidR="00B412A4" w14:paraId="15FA602E" w14:textId="77777777" w:rsidTr="0063388A">
        <w:tc>
          <w:tcPr>
            <w:tcW w:w="2250" w:type="dxa"/>
            <w:tcBorders>
              <w:left w:val="nil"/>
              <w:bottom w:val="nil"/>
              <w:right w:val="nil"/>
            </w:tcBorders>
          </w:tcPr>
          <w:p w14:paraId="14AF8823"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Redness</w:t>
            </w:r>
          </w:p>
        </w:tc>
        <w:tc>
          <w:tcPr>
            <w:tcW w:w="1890" w:type="dxa"/>
            <w:tcBorders>
              <w:left w:val="nil"/>
              <w:bottom w:val="nil"/>
              <w:right w:val="nil"/>
            </w:tcBorders>
          </w:tcPr>
          <w:p w14:paraId="2D0671DF"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46 (29.5)</w:t>
            </w:r>
          </w:p>
        </w:tc>
        <w:tc>
          <w:tcPr>
            <w:tcW w:w="1745" w:type="dxa"/>
            <w:tcBorders>
              <w:left w:val="nil"/>
              <w:bottom w:val="nil"/>
              <w:right w:val="nil"/>
            </w:tcBorders>
          </w:tcPr>
          <w:p w14:paraId="6B4B329A"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14 (31.8)</w:t>
            </w:r>
          </w:p>
        </w:tc>
        <w:tc>
          <w:tcPr>
            <w:tcW w:w="1870" w:type="dxa"/>
            <w:tcBorders>
              <w:left w:val="nil"/>
              <w:bottom w:val="nil"/>
              <w:right w:val="nil"/>
            </w:tcBorders>
          </w:tcPr>
          <w:p w14:paraId="3EE13FCC"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23 (16.7)</w:t>
            </w:r>
          </w:p>
        </w:tc>
        <w:tc>
          <w:tcPr>
            <w:tcW w:w="1870" w:type="dxa"/>
            <w:tcBorders>
              <w:left w:val="nil"/>
              <w:bottom w:val="nil"/>
              <w:right w:val="nil"/>
            </w:tcBorders>
          </w:tcPr>
          <w:p w14:paraId="625946B4"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18 (29.03)</w:t>
            </w:r>
          </w:p>
        </w:tc>
      </w:tr>
      <w:tr w:rsidR="00B412A4" w14:paraId="1E6456CD" w14:textId="77777777" w:rsidTr="0063388A">
        <w:tc>
          <w:tcPr>
            <w:tcW w:w="2250" w:type="dxa"/>
            <w:tcBorders>
              <w:top w:val="nil"/>
              <w:left w:val="nil"/>
              <w:bottom w:val="nil"/>
              <w:right w:val="nil"/>
            </w:tcBorders>
          </w:tcPr>
          <w:p w14:paraId="414870B2"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Itching</w:t>
            </w:r>
          </w:p>
        </w:tc>
        <w:tc>
          <w:tcPr>
            <w:tcW w:w="1890" w:type="dxa"/>
            <w:tcBorders>
              <w:top w:val="nil"/>
              <w:left w:val="nil"/>
              <w:bottom w:val="nil"/>
              <w:right w:val="nil"/>
            </w:tcBorders>
          </w:tcPr>
          <w:p w14:paraId="1318280C"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66 (42.3)</w:t>
            </w:r>
          </w:p>
        </w:tc>
        <w:tc>
          <w:tcPr>
            <w:tcW w:w="1745" w:type="dxa"/>
            <w:tcBorders>
              <w:top w:val="nil"/>
              <w:left w:val="nil"/>
              <w:bottom w:val="nil"/>
              <w:right w:val="nil"/>
            </w:tcBorders>
          </w:tcPr>
          <w:p w14:paraId="20C4FD7F"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3 (6.8)</w:t>
            </w:r>
          </w:p>
        </w:tc>
        <w:tc>
          <w:tcPr>
            <w:tcW w:w="1870" w:type="dxa"/>
            <w:tcBorders>
              <w:top w:val="nil"/>
              <w:left w:val="nil"/>
              <w:bottom w:val="nil"/>
              <w:right w:val="nil"/>
            </w:tcBorders>
          </w:tcPr>
          <w:p w14:paraId="403DC043"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58 (42.02)</w:t>
            </w:r>
          </w:p>
        </w:tc>
        <w:tc>
          <w:tcPr>
            <w:tcW w:w="1870" w:type="dxa"/>
            <w:tcBorders>
              <w:top w:val="nil"/>
              <w:left w:val="nil"/>
              <w:bottom w:val="nil"/>
              <w:right w:val="nil"/>
            </w:tcBorders>
          </w:tcPr>
          <w:p w14:paraId="1C059CFD"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26 (41.9)</w:t>
            </w:r>
          </w:p>
        </w:tc>
      </w:tr>
      <w:tr w:rsidR="00B412A4" w14:paraId="332FFE90" w14:textId="77777777" w:rsidTr="0063388A">
        <w:tc>
          <w:tcPr>
            <w:tcW w:w="2250" w:type="dxa"/>
            <w:tcBorders>
              <w:top w:val="nil"/>
              <w:left w:val="nil"/>
              <w:bottom w:val="nil"/>
              <w:right w:val="nil"/>
            </w:tcBorders>
          </w:tcPr>
          <w:p w14:paraId="0A62B57E"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Scares</w:t>
            </w:r>
          </w:p>
        </w:tc>
        <w:tc>
          <w:tcPr>
            <w:tcW w:w="1890" w:type="dxa"/>
            <w:tcBorders>
              <w:top w:val="nil"/>
              <w:left w:val="nil"/>
              <w:bottom w:val="nil"/>
              <w:right w:val="nil"/>
            </w:tcBorders>
          </w:tcPr>
          <w:p w14:paraId="07D94D09"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44 (28.21)</w:t>
            </w:r>
          </w:p>
        </w:tc>
        <w:tc>
          <w:tcPr>
            <w:tcW w:w="1745" w:type="dxa"/>
            <w:tcBorders>
              <w:top w:val="nil"/>
              <w:left w:val="nil"/>
              <w:bottom w:val="nil"/>
              <w:right w:val="nil"/>
            </w:tcBorders>
          </w:tcPr>
          <w:p w14:paraId="366D16D4"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27 (61.4)</w:t>
            </w:r>
          </w:p>
        </w:tc>
        <w:tc>
          <w:tcPr>
            <w:tcW w:w="1870" w:type="dxa"/>
            <w:tcBorders>
              <w:top w:val="nil"/>
              <w:left w:val="nil"/>
              <w:bottom w:val="nil"/>
              <w:right w:val="nil"/>
            </w:tcBorders>
          </w:tcPr>
          <w:p w14:paraId="1211A493"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57 (41.3)</w:t>
            </w:r>
          </w:p>
        </w:tc>
        <w:tc>
          <w:tcPr>
            <w:tcW w:w="1870" w:type="dxa"/>
            <w:tcBorders>
              <w:top w:val="nil"/>
              <w:left w:val="nil"/>
              <w:bottom w:val="nil"/>
              <w:right w:val="nil"/>
            </w:tcBorders>
          </w:tcPr>
          <w:p w14:paraId="49E361E9"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18 (29.03)</w:t>
            </w:r>
          </w:p>
        </w:tc>
      </w:tr>
      <w:tr w:rsidR="00B412A4" w14:paraId="01FAA756" w14:textId="77777777" w:rsidTr="0063388A">
        <w:tc>
          <w:tcPr>
            <w:tcW w:w="2250" w:type="dxa"/>
            <w:tcBorders>
              <w:top w:val="nil"/>
              <w:left w:val="nil"/>
              <w:right w:val="nil"/>
            </w:tcBorders>
          </w:tcPr>
          <w:p w14:paraId="5345A8C3"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tc>
        <w:tc>
          <w:tcPr>
            <w:tcW w:w="1890" w:type="dxa"/>
            <w:tcBorders>
              <w:top w:val="nil"/>
              <w:left w:val="nil"/>
              <w:right w:val="nil"/>
            </w:tcBorders>
          </w:tcPr>
          <w:p w14:paraId="32682180"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156 (100)</w:t>
            </w:r>
          </w:p>
        </w:tc>
        <w:tc>
          <w:tcPr>
            <w:tcW w:w="1745" w:type="dxa"/>
            <w:tcBorders>
              <w:top w:val="nil"/>
              <w:left w:val="nil"/>
              <w:right w:val="nil"/>
            </w:tcBorders>
          </w:tcPr>
          <w:p w14:paraId="5FD9EB1D"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 (100)</w:t>
            </w:r>
          </w:p>
        </w:tc>
        <w:tc>
          <w:tcPr>
            <w:tcW w:w="1870" w:type="dxa"/>
            <w:tcBorders>
              <w:top w:val="nil"/>
              <w:left w:val="nil"/>
              <w:right w:val="nil"/>
            </w:tcBorders>
          </w:tcPr>
          <w:p w14:paraId="461D998B"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138 (100)</w:t>
            </w:r>
          </w:p>
        </w:tc>
        <w:tc>
          <w:tcPr>
            <w:tcW w:w="1870" w:type="dxa"/>
            <w:tcBorders>
              <w:top w:val="nil"/>
              <w:left w:val="nil"/>
              <w:right w:val="nil"/>
            </w:tcBorders>
          </w:tcPr>
          <w:p w14:paraId="78983372"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62 (100)</w:t>
            </w:r>
          </w:p>
        </w:tc>
      </w:tr>
    </w:tbl>
    <w:tbl>
      <w:tblPr>
        <w:tblW w:w="1949" w:type="pct"/>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83"/>
        <w:gridCol w:w="629"/>
        <w:gridCol w:w="1537"/>
      </w:tblGrid>
      <w:tr w:rsidR="00B412A4" w:rsidRPr="00C051FB" w14:paraId="0394C84D" w14:textId="77777777" w:rsidTr="00421E25">
        <w:trPr>
          <w:cantSplit/>
        </w:trPr>
        <w:tc>
          <w:tcPr>
            <w:tcW w:w="2032" w:type="pct"/>
            <w:tcBorders>
              <w:top w:val="nil"/>
              <w:left w:val="nil"/>
              <w:bottom w:val="nil"/>
              <w:right w:val="nil"/>
            </w:tcBorders>
            <w:shd w:val="clear" w:color="auto" w:fill="FFFFFF"/>
          </w:tcPr>
          <w:p w14:paraId="07F238BB" w14:textId="77777777" w:rsidR="00B412A4" w:rsidRPr="00C051FB" w:rsidRDefault="00B412A4" w:rsidP="00F707A8">
            <w:pPr>
              <w:tabs>
                <w:tab w:val="right" w:pos="1001"/>
              </w:tabs>
              <w:autoSpaceDE w:val="0"/>
              <w:autoSpaceDN w:val="0"/>
              <w:adjustRightInd w:val="0"/>
              <w:spacing w:after="0" w:line="240" w:lineRule="auto"/>
              <w:ind w:left="60" w:right="60"/>
              <w:rPr>
                <w:rFonts w:ascii="Times New Roman" w:hAnsi="Times New Roman" w:cs="Times New Roman"/>
                <w:color w:val="000000"/>
                <w:sz w:val="24"/>
                <w:szCs w:val="24"/>
              </w:rPr>
            </w:pPr>
            <w:r w:rsidRPr="00C051FB">
              <w:rPr>
                <w:rFonts w:ascii="Times New Roman" w:hAnsi="Times New Roman" w:cs="Times New Roman"/>
                <w:color w:val="000000"/>
                <w:sz w:val="24"/>
                <w:szCs w:val="24"/>
              </w:rPr>
              <w:tab/>
            </w:r>
            <w:r w:rsidRPr="009503C3">
              <w:rPr>
                <w:rFonts w:ascii="Times New Roman" w:hAnsi="Times New Roman" w:cs="Times New Roman"/>
                <w:sz w:val="24"/>
                <w:szCs w:val="24"/>
              </w:rPr>
              <w:t>χ</w:t>
            </w:r>
            <w:r w:rsidRPr="009503C3">
              <w:rPr>
                <w:rFonts w:ascii="Times New Roman" w:hAnsi="Times New Roman" w:cs="Times New Roman"/>
                <w:sz w:val="24"/>
                <w:szCs w:val="24"/>
                <w:vertAlign w:val="superscript"/>
              </w:rPr>
              <w:t>2</w:t>
            </w:r>
            <w:r>
              <w:rPr>
                <w:rFonts w:ascii="Times New Roman" w:hAnsi="Times New Roman" w:cs="Times New Roman"/>
                <w:color w:val="000000"/>
                <w:sz w:val="24"/>
                <w:szCs w:val="24"/>
              </w:rPr>
              <w:t xml:space="preserve"> = </w:t>
            </w:r>
            <w:r>
              <w:rPr>
                <w:rFonts w:ascii="Times New Roman" w:hAnsi="Times New Roman" w:cs="Times New Roman"/>
              </w:rPr>
              <w:t>23.221</w:t>
            </w:r>
          </w:p>
        </w:tc>
        <w:tc>
          <w:tcPr>
            <w:tcW w:w="862" w:type="pct"/>
            <w:tcBorders>
              <w:top w:val="nil"/>
              <w:left w:val="nil"/>
              <w:bottom w:val="nil"/>
              <w:right w:val="nil"/>
            </w:tcBorders>
            <w:shd w:val="clear" w:color="auto" w:fill="FFFFFF"/>
          </w:tcPr>
          <w:p w14:paraId="72771109" w14:textId="77777777" w:rsidR="00B412A4" w:rsidRPr="00C051FB" w:rsidRDefault="00B412A4" w:rsidP="00F707A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Df=2</w:t>
            </w:r>
          </w:p>
        </w:tc>
        <w:tc>
          <w:tcPr>
            <w:tcW w:w="2106" w:type="pct"/>
            <w:tcBorders>
              <w:top w:val="nil"/>
              <w:left w:val="nil"/>
              <w:bottom w:val="nil"/>
              <w:right w:val="nil"/>
            </w:tcBorders>
            <w:shd w:val="clear" w:color="auto" w:fill="FFFFFF"/>
          </w:tcPr>
          <w:p w14:paraId="5CD57275" w14:textId="77777777" w:rsidR="00B412A4" w:rsidRPr="00C051FB" w:rsidRDefault="00B412A4" w:rsidP="00F707A8">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P=0.000</w:t>
            </w:r>
          </w:p>
        </w:tc>
      </w:tr>
    </w:tbl>
    <w:p w14:paraId="4581E50E" w14:textId="77777777" w:rsidR="00445CD9" w:rsidRDefault="00445CD9" w:rsidP="00445CD9">
      <w:pPr>
        <w:spacing w:line="24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 xml:space="preserve">Concerning signs and symptoms presented by patients in both BSUTH and FMC Makurdi in table 7, the prevalence of </w:t>
      </w:r>
      <w:r w:rsidRPr="002F3890">
        <w:rPr>
          <w:rFonts w:ascii="Times New Roman" w:hAnsi="Times New Roman" w:cs="Times New Roman"/>
          <w:i/>
          <w:sz w:val="24"/>
          <w:szCs w:val="24"/>
        </w:rPr>
        <w:t>Trichophyton rubrum</w:t>
      </w:r>
      <w:r>
        <w:rPr>
          <w:rFonts w:ascii="Times New Roman" w:hAnsi="Times New Roman" w:cs="Times New Roman"/>
          <w:sz w:val="24"/>
          <w:szCs w:val="24"/>
        </w:rPr>
        <w:t xml:space="preserve"> was recorded more on patients that complaint of body itching (42.3%) in BSUTH (42.02 %) in FMC respectively, followed by patients with complaint of scares (41.3%) in FMC while patients with redness in their body recorded the prevalence of 29.5% in BSUTH.</w:t>
      </w:r>
    </w:p>
    <w:p w14:paraId="7DD4E49F" w14:textId="77777777" w:rsidR="00B412A4" w:rsidRDefault="00B412A4" w:rsidP="00F707A8">
      <w:pPr>
        <w:spacing w:line="240" w:lineRule="auto"/>
        <w:rPr>
          <w:rFonts w:ascii="Times New Roman" w:eastAsia="Times New Roman" w:hAnsi="Times New Roman" w:cs="Times New Roman"/>
          <w:b/>
          <w:bCs/>
          <w:sz w:val="24"/>
          <w:szCs w:val="24"/>
        </w:rPr>
      </w:pPr>
    </w:p>
    <w:p w14:paraId="6B539FDF" w14:textId="77777777" w:rsidR="00B412A4" w:rsidRPr="006A74C3" w:rsidRDefault="00137412" w:rsidP="00F707A8">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w:t>
      </w:r>
      <w:r w:rsidR="00B412A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8</w:t>
      </w:r>
      <w:r w:rsidR="00B412A4">
        <w:rPr>
          <w:rFonts w:ascii="Times New Roman" w:eastAsia="Times New Roman" w:hAnsi="Times New Roman" w:cs="Times New Roman"/>
          <w:b/>
          <w:bCs/>
          <w:sz w:val="24"/>
          <w:szCs w:val="24"/>
        </w:rPr>
        <w:t xml:space="preserve"> The </w:t>
      </w:r>
      <w:r w:rsidR="00B412A4" w:rsidRPr="0001282D">
        <w:rPr>
          <w:rFonts w:ascii="Times New Roman" w:eastAsia="Times New Roman" w:hAnsi="Times New Roman" w:cs="Times New Roman"/>
          <w:b/>
          <w:bCs/>
          <w:sz w:val="24"/>
          <w:szCs w:val="24"/>
        </w:rPr>
        <w:t xml:space="preserve">distribution of </w:t>
      </w:r>
      <w:r w:rsidR="00B412A4" w:rsidRPr="00FF5A48">
        <w:rPr>
          <w:rFonts w:ascii="Times New Roman" w:eastAsia="Times New Roman" w:hAnsi="Times New Roman" w:cs="Times New Roman"/>
          <w:b/>
          <w:i/>
          <w:iCs/>
          <w:sz w:val="24"/>
          <w:szCs w:val="24"/>
        </w:rPr>
        <w:t>Trichophyton rubrum</w:t>
      </w:r>
      <w:r w:rsidR="00B412A4" w:rsidRPr="0001282D">
        <w:rPr>
          <w:rFonts w:ascii="Times New Roman" w:eastAsia="Times New Roman" w:hAnsi="Times New Roman" w:cs="Times New Roman"/>
          <w:b/>
          <w:bCs/>
          <w:sz w:val="24"/>
          <w:szCs w:val="24"/>
        </w:rPr>
        <w:t xml:space="preserve"> infection among </w:t>
      </w:r>
      <w:r w:rsidR="00B412A4">
        <w:rPr>
          <w:rFonts w:ascii="Times New Roman" w:eastAsia="Times New Roman" w:hAnsi="Times New Roman" w:cs="Times New Roman"/>
          <w:b/>
          <w:bCs/>
          <w:sz w:val="24"/>
          <w:szCs w:val="24"/>
        </w:rPr>
        <w:t>BSUTH Hospital</w:t>
      </w:r>
      <w:r w:rsidR="00B412A4" w:rsidRPr="002B130E">
        <w:rPr>
          <w:rFonts w:ascii="Times New Roman" w:eastAsia="Times New Roman" w:hAnsi="Times New Roman" w:cs="Times New Roman"/>
          <w:b/>
          <w:bCs/>
          <w:sz w:val="24"/>
          <w:szCs w:val="24"/>
        </w:rPr>
        <w:t xml:space="preserve"> </w:t>
      </w:r>
      <w:r w:rsidR="00B412A4">
        <w:rPr>
          <w:rFonts w:ascii="Times New Roman" w:eastAsia="Times New Roman" w:hAnsi="Times New Roman" w:cs="Times New Roman"/>
          <w:b/>
          <w:bCs/>
          <w:sz w:val="24"/>
          <w:szCs w:val="24"/>
        </w:rPr>
        <w:t>and FMC Makurdi Items Shared.</w:t>
      </w:r>
    </w:p>
    <w:tbl>
      <w:tblPr>
        <w:tblStyle w:val="TableGrid"/>
        <w:tblW w:w="0" w:type="auto"/>
        <w:tblLook w:val="04A0" w:firstRow="1" w:lastRow="0" w:firstColumn="1" w:lastColumn="0" w:noHBand="0" w:noVBand="1"/>
      </w:tblPr>
      <w:tblGrid>
        <w:gridCol w:w="1497"/>
        <w:gridCol w:w="1304"/>
        <w:gridCol w:w="1302"/>
        <w:gridCol w:w="1301"/>
        <w:gridCol w:w="1312"/>
        <w:gridCol w:w="1308"/>
        <w:gridCol w:w="1336"/>
      </w:tblGrid>
      <w:tr w:rsidR="00B412A4" w14:paraId="5D90F954" w14:textId="77777777" w:rsidTr="0063388A">
        <w:tc>
          <w:tcPr>
            <w:tcW w:w="1497" w:type="dxa"/>
            <w:tcBorders>
              <w:left w:val="nil"/>
              <w:bottom w:val="single" w:sz="4" w:space="0" w:color="auto"/>
              <w:right w:val="nil"/>
            </w:tcBorders>
          </w:tcPr>
          <w:p w14:paraId="02290E73" w14:textId="77777777" w:rsidR="00B412A4" w:rsidRPr="0012599F"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Items Shared</w:t>
            </w:r>
          </w:p>
        </w:tc>
        <w:tc>
          <w:tcPr>
            <w:tcW w:w="1304" w:type="dxa"/>
            <w:tcBorders>
              <w:left w:val="nil"/>
              <w:right w:val="nil"/>
            </w:tcBorders>
          </w:tcPr>
          <w:p w14:paraId="7C1BFC8F"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No of Patients</w:t>
            </w:r>
          </w:p>
        </w:tc>
        <w:tc>
          <w:tcPr>
            <w:tcW w:w="1302" w:type="dxa"/>
            <w:tcBorders>
              <w:left w:val="nil"/>
              <w:bottom w:val="single" w:sz="4" w:space="0" w:color="auto"/>
              <w:right w:val="nil"/>
            </w:tcBorders>
          </w:tcPr>
          <w:p w14:paraId="58B4EF4A"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No of Positive Cases</w:t>
            </w:r>
          </w:p>
        </w:tc>
        <w:tc>
          <w:tcPr>
            <w:tcW w:w="1301" w:type="dxa"/>
            <w:tcBorders>
              <w:left w:val="nil"/>
              <w:right w:val="nil"/>
            </w:tcBorders>
          </w:tcPr>
          <w:p w14:paraId="304CC5AC"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 xml:space="preserve"> % </w:t>
            </w:r>
          </w:p>
          <w:p w14:paraId="0C481E85"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positive</w:t>
            </w:r>
          </w:p>
        </w:tc>
        <w:tc>
          <w:tcPr>
            <w:tcW w:w="1312" w:type="dxa"/>
            <w:tcBorders>
              <w:top w:val="single" w:sz="4" w:space="0" w:color="auto"/>
              <w:left w:val="nil"/>
              <w:bottom w:val="single" w:sz="4" w:space="0" w:color="auto"/>
              <w:right w:val="nil"/>
            </w:tcBorders>
          </w:tcPr>
          <w:p w14:paraId="45C78F49"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No of Negative Cases</w:t>
            </w:r>
          </w:p>
        </w:tc>
        <w:tc>
          <w:tcPr>
            <w:tcW w:w="1308" w:type="dxa"/>
            <w:tcBorders>
              <w:left w:val="nil"/>
              <w:right w:val="nil"/>
            </w:tcBorders>
          </w:tcPr>
          <w:p w14:paraId="13D0BB7D"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 xml:space="preserve">     %</w:t>
            </w:r>
          </w:p>
          <w:p w14:paraId="49B56754"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negative</w:t>
            </w:r>
          </w:p>
        </w:tc>
        <w:tc>
          <w:tcPr>
            <w:tcW w:w="1336" w:type="dxa"/>
            <w:tcBorders>
              <w:left w:val="nil"/>
              <w:bottom w:val="single" w:sz="4" w:space="0" w:color="auto"/>
              <w:right w:val="nil"/>
            </w:tcBorders>
          </w:tcPr>
          <w:p w14:paraId="4F49CED7"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Total percentage</w:t>
            </w:r>
          </w:p>
        </w:tc>
      </w:tr>
      <w:tr w:rsidR="00B412A4" w14:paraId="6BBFE8A5" w14:textId="77777777" w:rsidTr="0063388A">
        <w:tc>
          <w:tcPr>
            <w:tcW w:w="1497" w:type="dxa"/>
            <w:tcBorders>
              <w:left w:val="nil"/>
              <w:bottom w:val="nil"/>
              <w:right w:val="nil"/>
            </w:tcBorders>
          </w:tcPr>
          <w:p w14:paraId="1DB9E296"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Sponge</w:t>
            </w:r>
          </w:p>
        </w:tc>
        <w:tc>
          <w:tcPr>
            <w:tcW w:w="1304" w:type="dxa"/>
            <w:tcBorders>
              <w:left w:val="nil"/>
              <w:bottom w:val="nil"/>
              <w:right w:val="nil"/>
            </w:tcBorders>
          </w:tcPr>
          <w:p w14:paraId="7F364A83"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170</w:t>
            </w:r>
          </w:p>
        </w:tc>
        <w:tc>
          <w:tcPr>
            <w:tcW w:w="1302" w:type="dxa"/>
            <w:tcBorders>
              <w:left w:val="nil"/>
              <w:bottom w:val="nil"/>
              <w:right w:val="nil"/>
            </w:tcBorders>
          </w:tcPr>
          <w:p w14:paraId="60D5825E"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133</w:t>
            </w:r>
          </w:p>
        </w:tc>
        <w:tc>
          <w:tcPr>
            <w:tcW w:w="1301" w:type="dxa"/>
            <w:tcBorders>
              <w:left w:val="nil"/>
              <w:bottom w:val="nil"/>
              <w:right w:val="nil"/>
            </w:tcBorders>
          </w:tcPr>
          <w:p w14:paraId="79F736DF"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78.2</w:t>
            </w:r>
          </w:p>
        </w:tc>
        <w:tc>
          <w:tcPr>
            <w:tcW w:w="1312" w:type="dxa"/>
            <w:tcBorders>
              <w:left w:val="nil"/>
              <w:bottom w:val="nil"/>
              <w:right w:val="nil"/>
            </w:tcBorders>
          </w:tcPr>
          <w:p w14:paraId="1C010A57"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37</w:t>
            </w:r>
          </w:p>
        </w:tc>
        <w:tc>
          <w:tcPr>
            <w:tcW w:w="1308" w:type="dxa"/>
            <w:tcBorders>
              <w:left w:val="nil"/>
              <w:bottom w:val="nil"/>
              <w:right w:val="nil"/>
            </w:tcBorders>
          </w:tcPr>
          <w:p w14:paraId="6EF672DC"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21.8</w:t>
            </w:r>
          </w:p>
        </w:tc>
        <w:tc>
          <w:tcPr>
            <w:tcW w:w="1336" w:type="dxa"/>
            <w:tcBorders>
              <w:left w:val="nil"/>
              <w:bottom w:val="nil"/>
              <w:right w:val="nil"/>
            </w:tcBorders>
          </w:tcPr>
          <w:p w14:paraId="7FA15828"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100</w:t>
            </w:r>
          </w:p>
        </w:tc>
      </w:tr>
      <w:tr w:rsidR="00B412A4" w14:paraId="247CEA7C" w14:textId="77777777" w:rsidTr="0063388A">
        <w:tc>
          <w:tcPr>
            <w:tcW w:w="1497" w:type="dxa"/>
            <w:tcBorders>
              <w:top w:val="nil"/>
              <w:left w:val="nil"/>
              <w:bottom w:val="nil"/>
              <w:right w:val="nil"/>
            </w:tcBorders>
          </w:tcPr>
          <w:p w14:paraId="3C4CF45C"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Underwear</w:t>
            </w:r>
          </w:p>
        </w:tc>
        <w:tc>
          <w:tcPr>
            <w:tcW w:w="1304" w:type="dxa"/>
            <w:tcBorders>
              <w:top w:val="nil"/>
              <w:left w:val="nil"/>
              <w:bottom w:val="nil"/>
              <w:right w:val="nil"/>
            </w:tcBorders>
          </w:tcPr>
          <w:p w14:paraId="6F472EFB"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51</w:t>
            </w:r>
          </w:p>
        </w:tc>
        <w:tc>
          <w:tcPr>
            <w:tcW w:w="1302" w:type="dxa"/>
            <w:tcBorders>
              <w:top w:val="nil"/>
              <w:left w:val="nil"/>
              <w:bottom w:val="nil"/>
              <w:right w:val="nil"/>
            </w:tcBorders>
          </w:tcPr>
          <w:p w14:paraId="18E250EA"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31</w:t>
            </w:r>
          </w:p>
        </w:tc>
        <w:tc>
          <w:tcPr>
            <w:tcW w:w="1301" w:type="dxa"/>
            <w:tcBorders>
              <w:top w:val="nil"/>
              <w:left w:val="nil"/>
              <w:bottom w:val="nil"/>
              <w:right w:val="nil"/>
            </w:tcBorders>
          </w:tcPr>
          <w:p w14:paraId="3D46F30E"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60.8</w:t>
            </w:r>
          </w:p>
        </w:tc>
        <w:tc>
          <w:tcPr>
            <w:tcW w:w="1312" w:type="dxa"/>
            <w:tcBorders>
              <w:top w:val="nil"/>
              <w:left w:val="nil"/>
              <w:bottom w:val="nil"/>
              <w:right w:val="nil"/>
            </w:tcBorders>
          </w:tcPr>
          <w:p w14:paraId="65E735F4"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20</w:t>
            </w:r>
          </w:p>
        </w:tc>
        <w:tc>
          <w:tcPr>
            <w:tcW w:w="1308" w:type="dxa"/>
            <w:tcBorders>
              <w:top w:val="nil"/>
              <w:left w:val="nil"/>
              <w:bottom w:val="nil"/>
              <w:right w:val="nil"/>
            </w:tcBorders>
          </w:tcPr>
          <w:p w14:paraId="720DB19F"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39.2</w:t>
            </w:r>
          </w:p>
        </w:tc>
        <w:tc>
          <w:tcPr>
            <w:tcW w:w="1336" w:type="dxa"/>
            <w:tcBorders>
              <w:top w:val="nil"/>
              <w:left w:val="nil"/>
              <w:bottom w:val="nil"/>
              <w:right w:val="nil"/>
            </w:tcBorders>
          </w:tcPr>
          <w:p w14:paraId="126414C1"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100</w:t>
            </w:r>
          </w:p>
        </w:tc>
      </w:tr>
      <w:tr w:rsidR="00B412A4" w14:paraId="5C119DE2" w14:textId="77777777" w:rsidTr="0063388A">
        <w:tc>
          <w:tcPr>
            <w:tcW w:w="1497" w:type="dxa"/>
            <w:tcBorders>
              <w:top w:val="nil"/>
              <w:left w:val="nil"/>
              <w:bottom w:val="nil"/>
              <w:right w:val="nil"/>
            </w:tcBorders>
          </w:tcPr>
          <w:p w14:paraId="673C5DA1"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Towel</w:t>
            </w:r>
          </w:p>
        </w:tc>
        <w:tc>
          <w:tcPr>
            <w:tcW w:w="1304" w:type="dxa"/>
            <w:tcBorders>
              <w:top w:val="nil"/>
              <w:left w:val="nil"/>
              <w:bottom w:val="nil"/>
              <w:right w:val="nil"/>
            </w:tcBorders>
          </w:tcPr>
          <w:p w14:paraId="11E0C760"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179</w:t>
            </w:r>
          </w:p>
        </w:tc>
        <w:tc>
          <w:tcPr>
            <w:tcW w:w="1302" w:type="dxa"/>
            <w:tcBorders>
              <w:top w:val="nil"/>
              <w:left w:val="nil"/>
              <w:bottom w:val="nil"/>
              <w:right w:val="nil"/>
            </w:tcBorders>
          </w:tcPr>
          <w:p w14:paraId="774D7833"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130</w:t>
            </w:r>
          </w:p>
        </w:tc>
        <w:tc>
          <w:tcPr>
            <w:tcW w:w="1301" w:type="dxa"/>
            <w:tcBorders>
              <w:top w:val="nil"/>
              <w:left w:val="nil"/>
              <w:bottom w:val="nil"/>
              <w:right w:val="nil"/>
            </w:tcBorders>
          </w:tcPr>
          <w:p w14:paraId="720943EC"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72.6</w:t>
            </w:r>
          </w:p>
        </w:tc>
        <w:tc>
          <w:tcPr>
            <w:tcW w:w="1312" w:type="dxa"/>
            <w:tcBorders>
              <w:top w:val="nil"/>
              <w:left w:val="nil"/>
              <w:bottom w:val="nil"/>
              <w:right w:val="nil"/>
            </w:tcBorders>
          </w:tcPr>
          <w:p w14:paraId="687F9743"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49</w:t>
            </w:r>
          </w:p>
        </w:tc>
        <w:tc>
          <w:tcPr>
            <w:tcW w:w="1308" w:type="dxa"/>
            <w:tcBorders>
              <w:top w:val="nil"/>
              <w:left w:val="nil"/>
              <w:bottom w:val="nil"/>
              <w:right w:val="nil"/>
            </w:tcBorders>
          </w:tcPr>
          <w:p w14:paraId="01DAE027"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27.4</w:t>
            </w:r>
          </w:p>
        </w:tc>
        <w:tc>
          <w:tcPr>
            <w:tcW w:w="1336" w:type="dxa"/>
            <w:tcBorders>
              <w:top w:val="nil"/>
              <w:left w:val="nil"/>
              <w:bottom w:val="nil"/>
              <w:right w:val="nil"/>
            </w:tcBorders>
          </w:tcPr>
          <w:p w14:paraId="44D5E07B"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100</w:t>
            </w:r>
          </w:p>
        </w:tc>
      </w:tr>
      <w:tr w:rsidR="00B412A4" w14:paraId="0C37788B" w14:textId="77777777" w:rsidTr="0063388A">
        <w:tc>
          <w:tcPr>
            <w:tcW w:w="1497" w:type="dxa"/>
            <w:tcBorders>
              <w:top w:val="nil"/>
              <w:left w:val="nil"/>
              <w:right w:val="nil"/>
            </w:tcBorders>
          </w:tcPr>
          <w:p w14:paraId="2AE2D7B8"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Total</w:t>
            </w:r>
          </w:p>
        </w:tc>
        <w:tc>
          <w:tcPr>
            <w:tcW w:w="1304" w:type="dxa"/>
            <w:tcBorders>
              <w:top w:val="nil"/>
              <w:left w:val="nil"/>
              <w:right w:val="nil"/>
            </w:tcBorders>
          </w:tcPr>
          <w:p w14:paraId="5B7A87E8"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400</w:t>
            </w:r>
          </w:p>
        </w:tc>
        <w:tc>
          <w:tcPr>
            <w:tcW w:w="1302" w:type="dxa"/>
            <w:tcBorders>
              <w:top w:val="nil"/>
              <w:left w:val="nil"/>
              <w:right w:val="nil"/>
            </w:tcBorders>
          </w:tcPr>
          <w:p w14:paraId="06BCB5DD"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294</w:t>
            </w:r>
          </w:p>
        </w:tc>
        <w:tc>
          <w:tcPr>
            <w:tcW w:w="1301" w:type="dxa"/>
            <w:tcBorders>
              <w:top w:val="nil"/>
              <w:left w:val="nil"/>
              <w:right w:val="nil"/>
            </w:tcBorders>
          </w:tcPr>
          <w:p w14:paraId="109985F4" w14:textId="77777777" w:rsidR="00B412A4" w:rsidRPr="00FF1B4A" w:rsidRDefault="00B412A4" w:rsidP="00F707A8">
            <w:pPr>
              <w:rPr>
                <w:rFonts w:ascii="Times New Roman" w:hAnsi="Times New Roman" w:cs="Times New Roman"/>
                <w:b/>
                <w:sz w:val="24"/>
                <w:szCs w:val="24"/>
              </w:rPr>
            </w:pPr>
          </w:p>
        </w:tc>
        <w:tc>
          <w:tcPr>
            <w:tcW w:w="1312" w:type="dxa"/>
            <w:tcBorders>
              <w:top w:val="nil"/>
              <w:left w:val="nil"/>
              <w:right w:val="nil"/>
            </w:tcBorders>
          </w:tcPr>
          <w:p w14:paraId="6CB48AA0"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106</w:t>
            </w:r>
          </w:p>
        </w:tc>
        <w:tc>
          <w:tcPr>
            <w:tcW w:w="1308" w:type="dxa"/>
            <w:tcBorders>
              <w:top w:val="nil"/>
              <w:left w:val="nil"/>
              <w:right w:val="nil"/>
            </w:tcBorders>
          </w:tcPr>
          <w:p w14:paraId="653703AD" w14:textId="77777777" w:rsidR="00B412A4" w:rsidRPr="00FF1B4A" w:rsidRDefault="00B412A4" w:rsidP="00F707A8">
            <w:pPr>
              <w:rPr>
                <w:rFonts w:ascii="Times New Roman" w:hAnsi="Times New Roman" w:cs="Times New Roman"/>
                <w:b/>
                <w:sz w:val="24"/>
                <w:szCs w:val="24"/>
              </w:rPr>
            </w:pPr>
          </w:p>
        </w:tc>
        <w:tc>
          <w:tcPr>
            <w:tcW w:w="1336" w:type="dxa"/>
            <w:tcBorders>
              <w:top w:val="nil"/>
              <w:left w:val="nil"/>
              <w:right w:val="nil"/>
            </w:tcBorders>
          </w:tcPr>
          <w:p w14:paraId="0A94DEE4" w14:textId="77777777" w:rsidR="00B412A4" w:rsidRPr="00FF1B4A" w:rsidRDefault="00B412A4" w:rsidP="00F707A8">
            <w:pPr>
              <w:rPr>
                <w:rFonts w:ascii="Times New Roman" w:hAnsi="Times New Roman" w:cs="Times New Roman"/>
                <w:b/>
                <w:sz w:val="24"/>
                <w:szCs w:val="24"/>
              </w:rPr>
            </w:pPr>
          </w:p>
        </w:tc>
      </w:tr>
    </w:tbl>
    <w:tbl>
      <w:tblPr>
        <w:tblW w:w="1949" w:type="pct"/>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83"/>
        <w:gridCol w:w="629"/>
        <w:gridCol w:w="1537"/>
      </w:tblGrid>
      <w:tr w:rsidR="00B412A4" w:rsidRPr="00C051FB" w14:paraId="5FFE9F72" w14:textId="77777777" w:rsidTr="0063388A">
        <w:trPr>
          <w:cantSplit/>
        </w:trPr>
        <w:tc>
          <w:tcPr>
            <w:tcW w:w="2146" w:type="pct"/>
            <w:tcBorders>
              <w:top w:val="nil"/>
              <w:left w:val="nil"/>
              <w:bottom w:val="nil"/>
              <w:right w:val="nil"/>
            </w:tcBorders>
            <w:shd w:val="clear" w:color="auto" w:fill="FFFFFF"/>
          </w:tcPr>
          <w:p w14:paraId="47182A50" w14:textId="77777777" w:rsidR="00B412A4" w:rsidRPr="00C051FB" w:rsidRDefault="00B412A4" w:rsidP="00F707A8">
            <w:pPr>
              <w:tabs>
                <w:tab w:val="right" w:pos="1001"/>
              </w:tabs>
              <w:autoSpaceDE w:val="0"/>
              <w:autoSpaceDN w:val="0"/>
              <w:adjustRightInd w:val="0"/>
              <w:spacing w:after="0" w:line="240" w:lineRule="auto"/>
              <w:ind w:left="60" w:right="60"/>
              <w:rPr>
                <w:rFonts w:ascii="Times New Roman" w:hAnsi="Times New Roman" w:cs="Times New Roman"/>
                <w:color w:val="000000"/>
                <w:sz w:val="24"/>
                <w:szCs w:val="24"/>
              </w:rPr>
            </w:pPr>
            <w:r w:rsidRPr="00C051FB">
              <w:rPr>
                <w:rFonts w:ascii="Times New Roman" w:hAnsi="Times New Roman" w:cs="Times New Roman"/>
                <w:color w:val="000000"/>
                <w:sz w:val="24"/>
                <w:szCs w:val="24"/>
              </w:rPr>
              <w:tab/>
            </w:r>
            <w:r w:rsidRPr="009503C3">
              <w:rPr>
                <w:rFonts w:ascii="Times New Roman" w:hAnsi="Times New Roman" w:cs="Times New Roman"/>
                <w:sz w:val="24"/>
                <w:szCs w:val="24"/>
              </w:rPr>
              <w:t>χ</w:t>
            </w:r>
            <w:r w:rsidRPr="009503C3">
              <w:rPr>
                <w:rFonts w:ascii="Times New Roman" w:hAnsi="Times New Roman" w:cs="Times New Roman"/>
                <w:sz w:val="24"/>
                <w:szCs w:val="24"/>
                <w:vertAlign w:val="superscript"/>
              </w:rPr>
              <w:t>2</w:t>
            </w:r>
            <w:r>
              <w:rPr>
                <w:rFonts w:ascii="Times New Roman" w:hAnsi="Times New Roman" w:cs="Times New Roman"/>
                <w:color w:val="000000"/>
                <w:sz w:val="24"/>
                <w:szCs w:val="24"/>
              </w:rPr>
              <w:t xml:space="preserve"> = </w:t>
            </w:r>
            <w:r>
              <w:rPr>
                <w:rFonts w:ascii="Times New Roman" w:hAnsi="Times New Roman" w:cs="Times New Roman"/>
              </w:rPr>
              <w:t>6.261</w:t>
            </w:r>
          </w:p>
        </w:tc>
        <w:tc>
          <w:tcPr>
            <w:tcW w:w="634" w:type="pct"/>
            <w:tcBorders>
              <w:top w:val="nil"/>
              <w:left w:val="nil"/>
              <w:bottom w:val="nil"/>
              <w:right w:val="nil"/>
            </w:tcBorders>
            <w:shd w:val="clear" w:color="auto" w:fill="FFFFFF"/>
          </w:tcPr>
          <w:p w14:paraId="051C1349" w14:textId="77777777" w:rsidR="00B412A4" w:rsidRPr="00C051FB" w:rsidRDefault="003E35A5" w:rsidP="00F707A8">
            <w:pPr>
              <w:tabs>
                <w:tab w:val="right" w:pos="403"/>
              </w:tabs>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b/>
              <w:t>Df=</w:t>
            </w:r>
            <w:r w:rsidR="00B412A4">
              <w:rPr>
                <w:rFonts w:ascii="Times New Roman" w:hAnsi="Times New Roman" w:cs="Times New Roman"/>
                <w:color w:val="000000"/>
                <w:sz w:val="24"/>
                <w:szCs w:val="24"/>
              </w:rPr>
              <w:t>2</w:t>
            </w:r>
          </w:p>
        </w:tc>
        <w:tc>
          <w:tcPr>
            <w:tcW w:w="2220" w:type="pct"/>
            <w:tcBorders>
              <w:top w:val="nil"/>
              <w:left w:val="nil"/>
              <w:bottom w:val="nil"/>
              <w:right w:val="nil"/>
            </w:tcBorders>
            <w:shd w:val="clear" w:color="auto" w:fill="FFFFFF"/>
          </w:tcPr>
          <w:p w14:paraId="211C914B" w14:textId="77777777" w:rsidR="00B412A4" w:rsidRPr="00C051FB" w:rsidRDefault="00B412A4" w:rsidP="00F707A8">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0.044</w:t>
            </w:r>
          </w:p>
        </w:tc>
      </w:tr>
    </w:tbl>
    <w:p w14:paraId="4637B0E8" w14:textId="77777777" w:rsidR="00B412A4" w:rsidRDefault="00B412A4" w:rsidP="00F707A8">
      <w:pPr>
        <w:spacing w:after="0" w:line="240" w:lineRule="auto"/>
        <w:rPr>
          <w:rFonts w:ascii="Times New Roman" w:hAnsi="Times New Roman" w:cs="Times New Roman"/>
          <w:b/>
          <w:bCs/>
        </w:rPr>
      </w:pPr>
    </w:p>
    <w:p w14:paraId="618A7B9C" w14:textId="77777777" w:rsidR="00B412A4" w:rsidRDefault="00B412A4" w:rsidP="00F707A8">
      <w:pPr>
        <w:spacing w:after="0" w:line="240" w:lineRule="auto"/>
        <w:rPr>
          <w:rFonts w:ascii="Times New Roman" w:hAnsi="Times New Roman" w:cs="Times New Roman"/>
          <w:b/>
          <w:bCs/>
        </w:rPr>
      </w:pPr>
    </w:p>
    <w:p w14:paraId="7E32EEC3" w14:textId="77777777" w:rsidR="00445CD9" w:rsidRDefault="00445CD9" w:rsidP="00445CD9">
      <w:pPr>
        <w:spacing w:line="240" w:lineRule="auto"/>
        <w:jc w:val="both"/>
        <w:rPr>
          <w:rFonts w:ascii="Times New Roman" w:hAnsi="Times New Roman" w:cs="Times New Roman"/>
          <w:sz w:val="24"/>
          <w:szCs w:val="24"/>
        </w:rPr>
      </w:pPr>
      <w:r>
        <w:rPr>
          <w:rFonts w:ascii="Times New Roman" w:hAnsi="Times New Roman" w:cs="Times New Roman"/>
          <w:sz w:val="24"/>
          <w:szCs w:val="24"/>
        </w:rPr>
        <w:t>The patients who shared the same sponges</w:t>
      </w:r>
      <w:r w:rsidRPr="009503C3">
        <w:rPr>
          <w:rFonts w:ascii="Times New Roman" w:hAnsi="Times New Roman" w:cs="Times New Roman"/>
          <w:sz w:val="24"/>
          <w:szCs w:val="24"/>
        </w:rPr>
        <w:t xml:space="preserve"> had a higher prevalence of </w:t>
      </w:r>
      <w:r w:rsidRPr="00440759">
        <w:rPr>
          <w:rFonts w:ascii="Times New Roman" w:eastAsia="Times New Roman" w:hAnsi="Times New Roman" w:cs="Times New Roman"/>
          <w:i/>
          <w:iCs/>
          <w:sz w:val="24"/>
          <w:szCs w:val="24"/>
        </w:rPr>
        <w:t>Trichophyton rubrum</w:t>
      </w:r>
      <w:r>
        <w:rPr>
          <w:rFonts w:ascii="Times New Roman" w:hAnsi="Times New Roman" w:cs="Times New Roman"/>
          <w:sz w:val="24"/>
          <w:szCs w:val="24"/>
        </w:rPr>
        <w:t xml:space="preserve"> infection (78.2%) followed by patients who shared towel (72.6%) and patients that shared underwear came last with the prevalence of (60.8</w:t>
      </w:r>
      <w:r w:rsidRPr="009503C3">
        <w:rPr>
          <w:rFonts w:ascii="Times New Roman" w:hAnsi="Times New Roman" w:cs="Times New Roman"/>
          <w:sz w:val="24"/>
          <w:szCs w:val="24"/>
        </w:rPr>
        <w:t xml:space="preserve">%).  The prevalence of </w:t>
      </w:r>
      <w:r w:rsidRPr="00440759">
        <w:rPr>
          <w:rFonts w:ascii="Times New Roman" w:eastAsia="Times New Roman" w:hAnsi="Times New Roman" w:cs="Times New Roman"/>
          <w:i/>
          <w:iCs/>
          <w:sz w:val="24"/>
          <w:szCs w:val="24"/>
        </w:rPr>
        <w:t>Trichophyton rubrum</w:t>
      </w:r>
      <w:r>
        <w:rPr>
          <w:rFonts w:ascii="Times New Roman" w:hAnsi="Times New Roman" w:cs="Times New Roman"/>
          <w:sz w:val="24"/>
          <w:szCs w:val="24"/>
        </w:rPr>
        <w:t xml:space="preserve"> infection among the patients with such habits </w:t>
      </w:r>
      <w:r w:rsidRPr="009503C3">
        <w:rPr>
          <w:rFonts w:ascii="Times New Roman" w:hAnsi="Times New Roman" w:cs="Times New Roman"/>
          <w:sz w:val="24"/>
          <w:szCs w:val="24"/>
        </w:rPr>
        <w:t>was statistically s</w:t>
      </w:r>
      <w:r>
        <w:rPr>
          <w:rFonts w:ascii="Times New Roman" w:hAnsi="Times New Roman" w:cs="Times New Roman"/>
          <w:sz w:val="24"/>
          <w:szCs w:val="24"/>
        </w:rPr>
        <w:t>ignificant, with p-value of 0.044</w:t>
      </w:r>
      <w:r w:rsidRPr="009503C3">
        <w:rPr>
          <w:rFonts w:ascii="Times New Roman" w:hAnsi="Times New Roman" w:cs="Times New Roman"/>
          <w:sz w:val="24"/>
          <w:szCs w:val="24"/>
        </w:rPr>
        <w:t xml:space="preserve">, indicating that the observed difference </w:t>
      </w:r>
      <w:r>
        <w:rPr>
          <w:rFonts w:ascii="Times New Roman" w:hAnsi="Times New Roman" w:cs="Times New Roman"/>
          <w:sz w:val="24"/>
          <w:szCs w:val="24"/>
        </w:rPr>
        <w:t>is unlikely to be due to chance as shown in Table 8.</w:t>
      </w:r>
    </w:p>
    <w:p w14:paraId="74BBDB38" w14:textId="77777777" w:rsidR="00B412A4" w:rsidRPr="00EF53DF" w:rsidRDefault="00B412A4" w:rsidP="00F707A8">
      <w:pPr>
        <w:spacing w:after="0" w:line="240" w:lineRule="auto"/>
        <w:rPr>
          <w:rFonts w:ascii="Times New Roman" w:hAnsi="Times New Roman" w:cs="Times New Roman"/>
          <w:b/>
          <w:bCs/>
          <w:sz w:val="24"/>
          <w:szCs w:val="24"/>
        </w:rPr>
      </w:pPr>
    </w:p>
    <w:p w14:paraId="65D5D81F" w14:textId="77777777" w:rsidR="00EF53DF" w:rsidRDefault="00EF53DF" w:rsidP="00F707A8">
      <w:pPr>
        <w:spacing w:line="240" w:lineRule="auto"/>
        <w:jc w:val="both"/>
        <w:rPr>
          <w:rFonts w:ascii="Times New Roman" w:hAnsi="Times New Roman" w:cs="Times New Roman"/>
          <w:sz w:val="24"/>
          <w:szCs w:val="24"/>
        </w:rPr>
      </w:pPr>
      <w:r w:rsidRPr="00EE312C">
        <w:rPr>
          <w:rFonts w:ascii="Times New Roman" w:hAnsi="Times New Roman" w:cs="Times New Roman"/>
          <w:sz w:val="24"/>
          <w:szCs w:val="24"/>
        </w:rPr>
        <w:lastRenderedPageBreak/>
        <w:t xml:space="preserve">This study was carried out in </w:t>
      </w:r>
      <w:r>
        <w:rPr>
          <w:rFonts w:ascii="Times New Roman" w:hAnsi="Times New Roman" w:cs="Times New Roman"/>
          <w:sz w:val="24"/>
          <w:szCs w:val="24"/>
        </w:rPr>
        <w:t>University teaching Hospital (BSUTH) and Feder</w:t>
      </w:r>
      <w:r w:rsidR="00E85343">
        <w:rPr>
          <w:rFonts w:ascii="Times New Roman" w:hAnsi="Times New Roman" w:cs="Times New Roman"/>
          <w:sz w:val="24"/>
          <w:szCs w:val="24"/>
        </w:rPr>
        <w:t>al Medical Center (FMC) Makurdi and t</w:t>
      </w:r>
      <w:r>
        <w:rPr>
          <w:rFonts w:ascii="Times New Roman" w:hAnsi="Times New Roman" w:cs="Times New Roman"/>
          <w:sz w:val="24"/>
          <w:szCs w:val="24"/>
        </w:rPr>
        <w:t xml:space="preserve">he prevalence of </w:t>
      </w:r>
      <w:r w:rsidRPr="00603FF0">
        <w:rPr>
          <w:rFonts w:ascii="Times New Roman" w:hAnsi="Times New Roman" w:cs="Times New Roman"/>
          <w:i/>
          <w:sz w:val="24"/>
          <w:szCs w:val="24"/>
        </w:rPr>
        <w:t>T. rubrum</w:t>
      </w:r>
      <w:r>
        <w:rPr>
          <w:rFonts w:ascii="Times New Roman" w:hAnsi="Times New Roman" w:cs="Times New Roman"/>
          <w:sz w:val="24"/>
          <w:szCs w:val="24"/>
        </w:rPr>
        <w:t xml:space="preserve"> infection </w:t>
      </w:r>
      <w:r w:rsidRPr="00EE312C">
        <w:rPr>
          <w:rFonts w:ascii="Times New Roman" w:hAnsi="Times New Roman" w:cs="Times New Roman"/>
          <w:sz w:val="24"/>
          <w:szCs w:val="24"/>
        </w:rPr>
        <w:t>was recorded.</w:t>
      </w:r>
    </w:p>
    <w:p w14:paraId="57D102F0" w14:textId="77777777" w:rsidR="00EF53DF" w:rsidRDefault="00EF53DF" w:rsidP="00F707A8">
      <w:pPr>
        <w:spacing w:before="100" w:beforeAutospacing="1" w:after="100" w:afterAutospacing="1" w:line="240" w:lineRule="auto"/>
        <w:jc w:val="both"/>
        <w:rPr>
          <w:rFonts w:ascii="Times New Roman" w:hAnsi="Times New Roman" w:cs="Times New Roman"/>
          <w:sz w:val="24"/>
          <w:szCs w:val="24"/>
        </w:rPr>
      </w:pPr>
      <w:r w:rsidRPr="003524C6">
        <w:rPr>
          <w:rFonts w:ascii="Times New Roman" w:hAnsi="Times New Roman" w:cs="Times New Roman"/>
          <w:sz w:val="24"/>
          <w:szCs w:val="24"/>
        </w:rPr>
        <w:t xml:space="preserve">The findings in this study, showing a high prevalence of </w:t>
      </w:r>
      <w:r w:rsidRPr="003524C6">
        <w:rPr>
          <w:rStyle w:val="Emphasis"/>
          <w:rFonts w:ascii="Times New Roman" w:hAnsi="Times New Roman" w:cs="Times New Roman"/>
          <w:sz w:val="24"/>
          <w:szCs w:val="24"/>
        </w:rPr>
        <w:t>Trichophyton rubrum</w:t>
      </w:r>
      <w:r w:rsidRPr="003524C6">
        <w:rPr>
          <w:rFonts w:ascii="Times New Roman" w:hAnsi="Times New Roman" w:cs="Times New Roman"/>
          <w:sz w:val="24"/>
          <w:szCs w:val="24"/>
        </w:rPr>
        <w:t xml:space="preserve"> infections at both BSUTH (78.0%) and FMC Makurdi (69.0%) reflect a consistent pattern observed in previous research. Various studies, such as those by Kumar </w:t>
      </w:r>
      <w:r w:rsidRPr="007C631F">
        <w:rPr>
          <w:rFonts w:ascii="Times New Roman" w:hAnsi="Times New Roman" w:cs="Times New Roman"/>
          <w:i/>
          <w:sz w:val="24"/>
          <w:szCs w:val="24"/>
        </w:rPr>
        <w:t>et al</w:t>
      </w:r>
      <w:r w:rsidRPr="003524C6">
        <w:rPr>
          <w:rFonts w:ascii="Times New Roman" w:hAnsi="Times New Roman" w:cs="Times New Roman"/>
          <w:sz w:val="24"/>
          <w:szCs w:val="24"/>
        </w:rPr>
        <w:t xml:space="preserve">. (2021) and Mishra </w:t>
      </w:r>
      <w:r w:rsidRPr="007C631F">
        <w:rPr>
          <w:rFonts w:ascii="Times New Roman" w:hAnsi="Times New Roman" w:cs="Times New Roman"/>
          <w:i/>
          <w:sz w:val="24"/>
          <w:szCs w:val="24"/>
        </w:rPr>
        <w:t>et al.</w:t>
      </w:r>
      <w:r w:rsidRPr="003524C6">
        <w:rPr>
          <w:rFonts w:ascii="Times New Roman" w:hAnsi="Times New Roman" w:cs="Times New Roman"/>
          <w:sz w:val="24"/>
          <w:szCs w:val="24"/>
        </w:rPr>
        <w:t xml:space="preserve"> (2022), report similarly high infection rates in hospital-based settings. A statistically significant difference between the infection rates at BSUTH and FMC Makurdi. </w:t>
      </w:r>
    </w:p>
    <w:p w14:paraId="086A9DB0" w14:textId="77777777" w:rsidR="00EF53DF" w:rsidRDefault="00EF53DF" w:rsidP="00F707A8">
      <w:pPr>
        <w:spacing w:line="240" w:lineRule="auto"/>
        <w:jc w:val="both"/>
        <w:rPr>
          <w:rFonts w:ascii="Times New Roman" w:hAnsi="Times New Roman" w:cs="Times New Roman"/>
          <w:sz w:val="24"/>
          <w:szCs w:val="24"/>
        </w:rPr>
      </w:pPr>
      <w:r w:rsidRPr="00EE312C">
        <w:rPr>
          <w:rFonts w:ascii="Times New Roman" w:hAnsi="Times New Roman" w:cs="Times New Roman"/>
          <w:sz w:val="24"/>
          <w:szCs w:val="24"/>
        </w:rPr>
        <w:t xml:space="preserve"> This is however </w:t>
      </w:r>
      <w:r>
        <w:rPr>
          <w:rFonts w:ascii="Times New Roman" w:hAnsi="Times New Roman" w:cs="Times New Roman"/>
          <w:sz w:val="24"/>
          <w:szCs w:val="24"/>
        </w:rPr>
        <w:t>higher compared to the</w:t>
      </w:r>
      <w:r w:rsidRPr="00EE312C">
        <w:rPr>
          <w:rFonts w:ascii="Times New Roman" w:hAnsi="Times New Roman" w:cs="Times New Roman"/>
          <w:sz w:val="24"/>
          <w:szCs w:val="24"/>
        </w:rPr>
        <w:t xml:space="preserve"> reported in </w:t>
      </w:r>
      <w:r>
        <w:rPr>
          <w:rFonts w:ascii="Times New Roman" w:hAnsi="Times New Roman" w:cs="Times New Roman"/>
          <w:sz w:val="24"/>
          <w:szCs w:val="24"/>
        </w:rPr>
        <w:t>by</w:t>
      </w:r>
      <w:r w:rsidRPr="00022C0D">
        <w:rPr>
          <w:rFonts w:ascii="Times New Roman" w:hAnsi="Times New Roman" w:cs="Times New Roman"/>
          <w:sz w:val="24"/>
          <w:szCs w:val="24"/>
        </w:rPr>
        <w:t xml:space="preserve"> </w:t>
      </w:r>
      <w:proofErr w:type="spellStart"/>
      <w:r w:rsidRPr="00EE312C">
        <w:rPr>
          <w:rFonts w:ascii="Times New Roman" w:hAnsi="Times New Roman" w:cs="Times New Roman"/>
          <w:sz w:val="24"/>
          <w:szCs w:val="24"/>
        </w:rPr>
        <w:t>Shinkafi</w:t>
      </w:r>
      <w:proofErr w:type="spellEnd"/>
      <w:r w:rsidRPr="00EE312C">
        <w:rPr>
          <w:rFonts w:ascii="Times New Roman" w:hAnsi="Times New Roman" w:cs="Times New Roman"/>
          <w:sz w:val="24"/>
          <w:szCs w:val="24"/>
        </w:rPr>
        <w:t xml:space="preserve"> </w:t>
      </w:r>
      <w:r w:rsidRPr="00EE312C">
        <w:rPr>
          <w:rFonts w:ascii="Times New Roman" w:hAnsi="Times New Roman" w:cs="Times New Roman"/>
          <w:i/>
          <w:sz w:val="24"/>
          <w:szCs w:val="24"/>
        </w:rPr>
        <w:t>et al</w:t>
      </w:r>
      <w:r w:rsidRPr="00EE312C">
        <w:rPr>
          <w:rFonts w:ascii="Times New Roman" w:hAnsi="Times New Roman" w:cs="Times New Roman"/>
          <w:sz w:val="24"/>
          <w:szCs w:val="24"/>
        </w:rPr>
        <w:t xml:space="preserve">. </w:t>
      </w:r>
      <w:r>
        <w:rPr>
          <w:rFonts w:ascii="Times New Roman" w:hAnsi="Times New Roman" w:cs="Times New Roman"/>
          <w:sz w:val="24"/>
          <w:szCs w:val="24"/>
        </w:rPr>
        <w:t>(</w:t>
      </w:r>
      <w:r w:rsidRPr="00EE312C">
        <w:rPr>
          <w:rFonts w:ascii="Times New Roman" w:hAnsi="Times New Roman" w:cs="Times New Roman"/>
          <w:sz w:val="24"/>
          <w:szCs w:val="24"/>
        </w:rPr>
        <w:t>2016</w:t>
      </w:r>
      <w:r>
        <w:rPr>
          <w:rFonts w:ascii="Times New Roman" w:hAnsi="Times New Roman" w:cs="Times New Roman"/>
          <w:sz w:val="24"/>
          <w:szCs w:val="24"/>
        </w:rPr>
        <w:t xml:space="preserve">) who recorded 26.0% in Sokoto, </w:t>
      </w:r>
      <w:r>
        <w:t xml:space="preserve">25.49% in India by </w:t>
      </w:r>
      <w:proofErr w:type="spellStart"/>
      <w:r w:rsidRPr="0057087B">
        <w:rPr>
          <w:rFonts w:ascii="Times New Roman" w:hAnsi="Times New Roman" w:cs="Times New Roman"/>
          <w:sz w:val="24"/>
          <w:szCs w:val="24"/>
        </w:rPr>
        <w:t>Aruna</w:t>
      </w:r>
      <w:proofErr w:type="spellEnd"/>
      <w:r>
        <w:rPr>
          <w:rFonts w:ascii="Times New Roman" w:hAnsi="Times New Roman" w:cs="Times New Roman"/>
          <w:sz w:val="24"/>
          <w:szCs w:val="24"/>
        </w:rPr>
        <w:t xml:space="preserve"> </w:t>
      </w:r>
      <w:r w:rsidRPr="00F215BA">
        <w:rPr>
          <w:rFonts w:ascii="Times New Roman" w:hAnsi="Times New Roman" w:cs="Times New Roman"/>
          <w:i/>
          <w:sz w:val="24"/>
          <w:szCs w:val="24"/>
        </w:rPr>
        <w:t>et al.</w:t>
      </w:r>
      <w:r>
        <w:rPr>
          <w:rFonts w:ascii="Times New Roman" w:hAnsi="Times New Roman" w:cs="Times New Roman"/>
          <w:sz w:val="24"/>
          <w:szCs w:val="24"/>
        </w:rPr>
        <w:t xml:space="preserve"> (2020) and slightly higher than 70.36% prevalence recorded by </w:t>
      </w:r>
      <w:proofErr w:type="spellStart"/>
      <w:r>
        <w:rPr>
          <w:rFonts w:ascii="Times New Roman" w:hAnsi="Times New Roman" w:cs="Times New Roman"/>
          <w:sz w:val="24"/>
          <w:szCs w:val="24"/>
        </w:rPr>
        <w:t>Tyona</w:t>
      </w:r>
      <w:proofErr w:type="spellEnd"/>
      <w:r>
        <w:rPr>
          <w:rFonts w:ascii="Times New Roman" w:hAnsi="Times New Roman" w:cs="Times New Roman"/>
          <w:sz w:val="24"/>
          <w:szCs w:val="24"/>
        </w:rPr>
        <w:t xml:space="preserve"> </w:t>
      </w:r>
      <w:r w:rsidRPr="00F215BA">
        <w:rPr>
          <w:rFonts w:ascii="Times New Roman" w:hAnsi="Times New Roman" w:cs="Times New Roman"/>
          <w:i/>
          <w:sz w:val="24"/>
          <w:szCs w:val="24"/>
        </w:rPr>
        <w:t>et al</w:t>
      </w:r>
      <w:r>
        <w:rPr>
          <w:rFonts w:ascii="Times New Roman" w:hAnsi="Times New Roman" w:cs="Times New Roman"/>
          <w:sz w:val="24"/>
          <w:szCs w:val="24"/>
        </w:rPr>
        <w:t xml:space="preserve">. (2024) among health centers in Benue State. </w:t>
      </w:r>
      <w:r w:rsidRPr="005E3625">
        <w:rPr>
          <w:rFonts w:ascii="Times New Roman" w:hAnsi="Times New Roman" w:cs="Times New Roman"/>
          <w:sz w:val="24"/>
          <w:szCs w:val="24"/>
        </w:rPr>
        <w:t>The reason for this may be linked to several factors such as the host socioeconomic characteristics (age, gender, family size, individualistic and communal life style), over-crowding, geography, level of hygiene practice, nature of school infrastructure and amenities, locality, climate, affinity for contact sports, frequent contact and nature of health care system that facilitate the transmission of fungal infections</w:t>
      </w:r>
      <w:r>
        <w:rPr>
          <w:rFonts w:ascii="Times New Roman" w:hAnsi="Times New Roman" w:cs="Times New Roman"/>
          <w:sz w:val="24"/>
          <w:szCs w:val="24"/>
        </w:rPr>
        <w:t>.</w:t>
      </w:r>
    </w:p>
    <w:p w14:paraId="7D301D02" w14:textId="77777777" w:rsidR="00EF53DF" w:rsidRPr="00C83716" w:rsidRDefault="00EF53DF" w:rsidP="00F707A8">
      <w:pPr>
        <w:pStyle w:val="NormalWeb"/>
        <w:jc w:val="both"/>
        <w:rPr>
          <w:bCs/>
        </w:rPr>
      </w:pPr>
      <w:r w:rsidRPr="00A8053A">
        <w:t xml:space="preserve">The prevalence of </w:t>
      </w:r>
      <w:r w:rsidRPr="00A8053A">
        <w:rPr>
          <w:i/>
          <w:iCs/>
        </w:rPr>
        <w:t>Trichophyton rubrum</w:t>
      </w:r>
      <w:r w:rsidRPr="00A8053A">
        <w:t xml:space="preserve"> infections across BSUTH and FMC Makurdi remains alarmingly high (73.5%), reflecting both local and global epidemiological trends. Recent studies confirm that dermatophyte infections are increasing worldwide, with antifungal resistance emerging as a major public health concern (</w:t>
      </w:r>
      <w:proofErr w:type="spellStart"/>
      <w:r w:rsidRPr="00A8053A">
        <w:t>Kruitho</w:t>
      </w:r>
      <w:r>
        <w:t>ff</w:t>
      </w:r>
      <w:proofErr w:type="spellEnd"/>
      <w:r>
        <w:t xml:space="preserve"> et al.,</w:t>
      </w:r>
      <w:r w:rsidRPr="00A8053A">
        <w:t xml:space="preserve"> 2024). This situates the findings from Benue State within a broader global context, underscoring the urgency of improved surveillance and treatment strategies.</w:t>
      </w:r>
      <w:r w:rsidRPr="001A7924">
        <w:t xml:space="preserve"> </w:t>
      </w:r>
      <w:r>
        <w:t xml:space="preserve">The overall prevalence of 73.5% indicates that dermatophytosis is widespread in Benue State. This could be due to: </w:t>
      </w:r>
      <w:r w:rsidRPr="001A7924">
        <w:rPr>
          <w:rStyle w:val="Strong"/>
          <w:b w:val="0"/>
        </w:rPr>
        <w:t>Climatic conditions</w:t>
      </w:r>
      <w:r>
        <w:t xml:space="preserve">: Warm and humid environments favor fungal growth and transmission. </w:t>
      </w:r>
      <w:r w:rsidRPr="001A7924">
        <w:rPr>
          <w:rStyle w:val="Strong"/>
          <w:b w:val="0"/>
        </w:rPr>
        <w:t>Limited access to antifungal treatments</w:t>
      </w:r>
      <w:r>
        <w:t>: In resource-</w:t>
      </w:r>
      <w:r w:rsidR="00C83716">
        <w:t>limited settings, patients may r</w:t>
      </w:r>
      <w:r>
        <w:t xml:space="preserve">ely on traditional remedies or incomplete treatment courses, leading to persistent infections. </w:t>
      </w:r>
      <w:r w:rsidRPr="001A7924">
        <w:rPr>
          <w:rStyle w:val="Strong"/>
          <w:b w:val="0"/>
        </w:rPr>
        <w:t>Poor hygiene practices</w:t>
      </w:r>
      <w:r>
        <w:t>: Shared clothing, footwear, and bedding can facilitate transmission.</w:t>
      </w:r>
    </w:p>
    <w:p w14:paraId="39D5DF25" w14:textId="77777777" w:rsidR="00EF53DF" w:rsidRDefault="00EF53DF" w:rsidP="00F707A8">
      <w:pPr>
        <w:spacing w:before="100" w:beforeAutospacing="1" w:after="100" w:afterAutospacing="1" w:line="240" w:lineRule="auto"/>
        <w:jc w:val="both"/>
        <w:rPr>
          <w:rFonts w:ascii="Times New Roman" w:eastAsia="Times New Roman" w:hAnsi="Times New Roman" w:cs="Times New Roman"/>
          <w:sz w:val="24"/>
          <w:szCs w:val="24"/>
        </w:rPr>
      </w:pPr>
      <w:r w:rsidRPr="0084036E">
        <w:rPr>
          <w:rFonts w:ascii="Times New Roman" w:eastAsia="Times New Roman" w:hAnsi="Times New Roman" w:cs="Times New Roman"/>
          <w:sz w:val="24"/>
          <w:szCs w:val="24"/>
        </w:rPr>
        <w:t xml:space="preserve">The high prevalence of </w:t>
      </w:r>
      <w:r w:rsidRPr="0084036E">
        <w:rPr>
          <w:rFonts w:ascii="Times New Roman" w:eastAsia="Times New Roman" w:hAnsi="Times New Roman" w:cs="Times New Roman"/>
          <w:i/>
          <w:iCs/>
          <w:sz w:val="24"/>
          <w:szCs w:val="24"/>
        </w:rPr>
        <w:t>Trichophyton rubrum</w:t>
      </w:r>
      <w:r w:rsidRPr="0084036E">
        <w:rPr>
          <w:rFonts w:ascii="Times New Roman" w:eastAsia="Times New Roman" w:hAnsi="Times New Roman" w:cs="Times New Roman"/>
          <w:sz w:val="24"/>
          <w:szCs w:val="24"/>
        </w:rPr>
        <w:t xml:space="preserve"> (73.5%) observed in this study aligns with previous research indicating its dominance in </w:t>
      </w:r>
      <w:proofErr w:type="spellStart"/>
      <w:r w:rsidRPr="0084036E">
        <w:rPr>
          <w:rFonts w:ascii="Times New Roman" w:eastAsia="Times New Roman" w:hAnsi="Times New Roman" w:cs="Times New Roman"/>
          <w:sz w:val="24"/>
          <w:szCs w:val="24"/>
        </w:rPr>
        <w:t>dermatophytic</w:t>
      </w:r>
      <w:proofErr w:type="spellEnd"/>
      <w:r w:rsidRPr="0084036E">
        <w:rPr>
          <w:rFonts w:ascii="Times New Roman" w:eastAsia="Times New Roman" w:hAnsi="Times New Roman" w:cs="Times New Roman"/>
          <w:sz w:val="24"/>
          <w:szCs w:val="24"/>
        </w:rPr>
        <w:t xml:space="preserve"> infections. Studies by Gupta </w:t>
      </w:r>
      <w:r w:rsidRPr="00DF570A">
        <w:rPr>
          <w:rFonts w:ascii="Times New Roman" w:eastAsia="Times New Roman" w:hAnsi="Times New Roman" w:cs="Times New Roman"/>
          <w:i/>
          <w:sz w:val="24"/>
          <w:szCs w:val="24"/>
        </w:rPr>
        <w:t>et al</w:t>
      </w:r>
      <w:r w:rsidRPr="0084036E">
        <w:rPr>
          <w:rFonts w:ascii="Times New Roman" w:eastAsia="Times New Roman" w:hAnsi="Times New Roman" w:cs="Times New Roman"/>
          <w:sz w:val="24"/>
          <w:szCs w:val="24"/>
        </w:rPr>
        <w:t xml:space="preserve">. (2021) and </w:t>
      </w:r>
      <w:proofErr w:type="spellStart"/>
      <w:r w:rsidRPr="0084036E">
        <w:rPr>
          <w:rFonts w:ascii="Times New Roman" w:eastAsia="Times New Roman" w:hAnsi="Times New Roman" w:cs="Times New Roman"/>
          <w:sz w:val="24"/>
          <w:szCs w:val="24"/>
        </w:rPr>
        <w:t>Havlickova</w:t>
      </w:r>
      <w:proofErr w:type="spellEnd"/>
      <w:r w:rsidRPr="0084036E">
        <w:rPr>
          <w:rFonts w:ascii="Times New Roman" w:eastAsia="Times New Roman" w:hAnsi="Times New Roman" w:cs="Times New Roman"/>
          <w:sz w:val="24"/>
          <w:szCs w:val="24"/>
        </w:rPr>
        <w:t xml:space="preserve"> </w:t>
      </w:r>
      <w:r w:rsidRPr="00DF570A">
        <w:rPr>
          <w:rFonts w:ascii="Times New Roman" w:eastAsia="Times New Roman" w:hAnsi="Times New Roman" w:cs="Times New Roman"/>
          <w:i/>
          <w:sz w:val="24"/>
          <w:szCs w:val="24"/>
        </w:rPr>
        <w:t>et al</w:t>
      </w:r>
      <w:r w:rsidRPr="0084036E">
        <w:rPr>
          <w:rFonts w:ascii="Times New Roman" w:eastAsia="Times New Roman" w:hAnsi="Times New Roman" w:cs="Times New Roman"/>
          <w:sz w:val="24"/>
          <w:szCs w:val="24"/>
        </w:rPr>
        <w:t xml:space="preserve">. (2020) reported </w:t>
      </w:r>
      <w:r w:rsidRPr="0084036E">
        <w:rPr>
          <w:rFonts w:ascii="Times New Roman" w:eastAsia="Times New Roman" w:hAnsi="Times New Roman" w:cs="Times New Roman"/>
          <w:i/>
          <w:iCs/>
          <w:sz w:val="24"/>
          <w:szCs w:val="24"/>
        </w:rPr>
        <w:t>T. rubrum</w:t>
      </w:r>
      <w:r w:rsidRPr="0084036E">
        <w:rPr>
          <w:rFonts w:ascii="Times New Roman" w:eastAsia="Times New Roman" w:hAnsi="Times New Roman" w:cs="Times New Roman"/>
          <w:sz w:val="24"/>
          <w:szCs w:val="24"/>
        </w:rPr>
        <w:t xml:space="preserve"> as the most common causative agent of superficial fungal infections, accounting for 60–80% of cases in different populations. The current findings reinforce the global epidemiological trend of </w:t>
      </w:r>
      <w:r w:rsidRPr="0084036E">
        <w:rPr>
          <w:rFonts w:ascii="Times New Roman" w:eastAsia="Times New Roman" w:hAnsi="Times New Roman" w:cs="Times New Roman"/>
          <w:i/>
          <w:iCs/>
          <w:sz w:val="24"/>
          <w:szCs w:val="24"/>
        </w:rPr>
        <w:t>T. rubrum</w:t>
      </w:r>
      <w:r w:rsidRPr="0084036E">
        <w:rPr>
          <w:rFonts w:ascii="Times New Roman" w:eastAsia="Times New Roman" w:hAnsi="Times New Roman" w:cs="Times New Roman"/>
          <w:sz w:val="24"/>
          <w:szCs w:val="24"/>
        </w:rPr>
        <w:t xml:space="preserve"> as a predominant pathogen, particularly in tropical regions where warm and humid conditions favor fungal growth (Zhan &amp; Liu, 2022). However, variations in prevalence rates may arise due to differences in study populations, diagnostic methods, and environmental factors. For instance, a study by </w:t>
      </w:r>
      <w:proofErr w:type="spellStart"/>
      <w:r w:rsidRPr="0084036E">
        <w:rPr>
          <w:rFonts w:ascii="Times New Roman" w:eastAsia="Times New Roman" w:hAnsi="Times New Roman" w:cs="Times New Roman"/>
          <w:sz w:val="24"/>
          <w:szCs w:val="24"/>
        </w:rPr>
        <w:t>Nweze</w:t>
      </w:r>
      <w:proofErr w:type="spellEnd"/>
      <w:r w:rsidRPr="0084036E">
        <w:rPr>
          <w:rFonts w:ascii="Times New Roman" w:eastAsia="Times New Roman" w:hAnsi="Times New Roman" w:cs="Times New Roman"/>
          <w:sz w:val="24"/>
          <w:szCs w:val="24"/>
        </w:rPr>
        <w:t xml:space="preserve"> </w:t>
      </w:r>
      <w:r w:rsidRPr="00F215BA">
        <w:rPr>
          <w:rFonts w:ascii="Times New Roman" w:eastAsia="Times New Roman" w:hAnsi="Times New Roman" w:cs="Times New Roman"/>
          <w:i/>
          <w:sz w:val="24"/>
          <w:szCs w:val="24"/>
        </w:rPr>
        <w:t>et al</w:t>
      </w:r>
      <w:r w:rsidRPr="0084036E">
        <w:rPr>
          <w:rFonts w:ascii="Times New Roman" w:eastAsia="Times New Roman" w:hAnsi="Times New Roman" w:cs="Times New Roman"/>
          <w:sz w:val="24"/>
          <w:szCs w:val="24"/>
        </w:rPr>
        <w:t>. (2023) in Nigeria reported a slightly lower prevalence (65%), possibly due to regional climatic differences or variations in hygiene practices.</w:t>
      </w:r>
    </w:p>
    <w:p w14:paraId="5CDE6D60" w14:textId="77777777" w:rsidR="00EF53DF" w:rsidRDefault="00EF53DF" w:rsidP="00F707A8">
      <w:pPr>
        <w:pStyle w:val="NormalWeb"/>
        <w:jc w:val="both"/>
      </w:pPr>
      <w:r w:rsidRPr="00A8053A">
        <w:t>The age-related prevalence showed significant variation</w:t>
      </w:r>
      <w:r w:rsidR="00BA53BE">
        <w:t xml:space="preserve"> in table 2</w:t>
      </w:r>
      <w:r w:rsidRPr="00A8053A">
        <w:t xml:space="preserve"> (χ² = 44.323, df = 4, p &lt; 0.000). Adults aged 31–40 years were most affected in both hospitals, consistent with earlier reports that dermatophytosis peaks in young adults due to occupational exposure and communal living (Hay, 2017). More recent molecular studies highlight that </w:t>
      </w:r>
      <w:r w:rsidRPr="00A8053A">
        <w:rPr>
          <w:i/>
          <w:iCs/>
        </w:rPr>
        <w:t>T. rubrum</w:t>
      </w:r>
      <w:r w:rsidRPr="00A8053A">
        <w:t xml:space="preserve"> adapts to host defenses through virulence factors that enhance persistence in keratinized tissues, particularly in active age groups (Arya </w:t>
      </w:r>
      <w:r w:rsidRPr="00BA53BE">
        <w:rPr>
          <w:i/>
        </w:rPr>
        <w:t>et al</w:t>
      </w:r>
      <w:r w:rsidRPr="00A8053A">
        <w:t>., 2025).</w:t>
      </w:r>
      <w:r w:rsidRPr="00E8265B">
        <w:rPr>
          <w:rStyle w:val="Strong"/>
        </w:rPr>
        <w:t xml:space="preserve"> </w:t>
      </w:r>
      <w:r>
        <w:t>The highest prevalence among adults aged 31–40 years may be explained by:</w:t>
      </w:r>
    </w:p>
    <w:p w14:paraId="5C16DB08" w14:textId="77777777" w:rsidR="00EF53DF" w:rsidRPr="00A8053A" w:rsidRDefault="00EF53DF" w:rsidP="00F707A8">
      <w:pPr>
        <w:pStyle w:val="NormalWeb"/>
        <w:jc w:val="both"/>
      </w:pPr>
      <w:r w:rsidRPr="00040A8C">
        <w:rPr>
          <w:rStyle w:val="Strong"/>
          <w:b w:val="0"/>
        </w:rPr>
        <w:lastRenderedPageBreak/>
        <w:t>Occupational exposure</w:t>
      </w:r>
      <w:r>
        <w:t xml:space="preserve">: Adults in this age group are more likely to be engaged in farming or manual labor, increasing contact with soil and organic matter, </w:t>
      </w:r>
      <w:r w:rsidRPr="00040A8C">
        <w:rPr>
          <w:rStyle w:val="Strong"/>
          <w:b w:val="0"/>
        </w:rPr>
        <w:t>Active lifestyle</w:t>
      </w:r>
      <w:r>
        <w:t>: Increased sweating and use of communal facilities (e.g., gyms, workplaces) promote fungal spread.</w:t>
      </w:r>
    </w:p>
    <w:p w14:paraId="73DDB5F8" w14:textId="77777777" w:rsidR="00EF53DF" w:rsidRDefault="00EF53DF" w:rsidP="00F707A8">
      <w:pPr>
        <w:pStyle w:val="NormalWeb"/>
        <w:jc w:val="both"/>
      </w:pPr>
      <w:r w:rsidRPr="00A8053A">
        <w:t>Sex did not significantly influence infection rates (χ² = 0.466, df = 1, p = 0.495)</w:t>
      </w:r>
      <w:r w:rsidR="00BA53BE">
        <w:t xml:space="preserve"> in table 3</w:t>
      </w:r>
      <w:r w:rsidRPr="00A8053A">
        <w:t>. Both males and females were equally affected, aligning with global evidence that dermatophytosis is not sex-specific (Kumar et al., 2013). However, the rising incidence reported globally (</w:t>
      </w:r>
      <w:proofErr w:type="spellStart"/>
      <w:r w:rsidRPr="00A8053A">
        <w:t>Kruithoff</w:t>
      </w:r>
      <w:proofErr w:type="spellEnd"/>
      <w:r w:rsidRPr="00A8053A">
        <w:t xml:space="preserve"> et al., 2024) suggests that both sexes are increasingly vulnerable due to lifestyle changes and resistance patterns.</w:t>
      </w:r>
      <w:r w:rsidRPr="00E8265B">
        <w:t xml:space="preserve"> </w:t>
      </w:r>
      <w:r>
        <w:t>The nearly equal distribution between males and females suggests:</w:t>
      </w:r>
    </w:p>
    <w:p w14:paraId="1B9AD2CC" w14:textId="77777777" w:rsidR="00EF53DF" w:rsidRPr="00981A37" w:rsidRDefault="00EF53DF" w:rsidP="00F707A8">
      <w:pPr>
        <w:pStyle w:val="NormalWeb"/>
        <w:jc w:val="both"/>
      </w:pPr>
      <w:r w:rsidRPr="00981A37">
        <w:rPr>
          <w:rStyle w:val="Strong"/>
          <w:b w:val="0"/>
        </w:rPr>
        <w:t>Shared risk factors</w:t>
      </w:r>
      <w:r>
        <w:t xml:space="preserve">: Both sexes are exposed to similar environments and communal living conditions. </w:t>
      </w:r>
      <w:r w:rsidRPr="00981A37">
        <w:rPr>
          <w:rStyle w:val="Strong"/>
          <w:b w:val="0"/>
        </w:rPr>
        <w:t>Cultural practices</w:t>
      </w:r>
      <w:r w:rsidRPr="00E8265B">
        <w:rPr>
          <w:b/>
        </w:rPr>
        <w:t>:</w:t>
      </w:r>
      <w:r>
        <w:t xml:space="preserve"> In Nigeria, both men and women often walk barefoot or wear open footwear, increasing exposure to dermatophytes.</w:t>
      </w:r>
    </w:p>
    <w:p w14:paraId="1D959E93" w14:textId="77777777" w:rsidR="00EF53DF" w:rsidRDefault="00BA53BE" w:rsidP="00F707A8">
      <w:pPr>
        <w:pStyle w:val="NormalWeb"/>
        <w:jc w:val="both"/>
      </w:pPr>
      <w:r>
        <w:t>In table 4, m</w:t>
      </w:r>
      <w:r w:rsidR="00EF53DF" w:rsidRPr="00A8053A">
        <w:t>arried individuals had the highest prevalence in both hospitals, suggesting household transmission. This supports earlier findings on shared living conditions as a risk factor (</w:t>
      </w:r>
      <w:proofErr w:type="spellStart"/>
      <w:r w:rsidR="00EF53DF" w:rsidRPr="00A8053A">
        <w:t>Elewski</w:t>
      </w:r>
      <w:proofErr w:type="spellEnd"/>
      <w:r w:rsidR="00EF53DF" w:rsidRPr="00A8053A">
        <w:t xml:space="preserve">, 2000). The persistence of </w:t>
      </w:r>
      <w:r w:rsidR="00EF53DF" w:rsidRPr="00A8053A">
        <w:rPr>
          <w:i/>
          <w:iCs/>
        </w:rPr>
        <w:t>T. rubrum</w:t>
      </w:r>
      <w:r w:rsidR="00EF53DF" w:rsidRPr="00A8053A">
        <w:t xml:space="preserve"> in communal environments is further explained by recent molecular insights into its ability to evade host immunity (Arya et al., 2025).</w:t>
      </w:r>
      <w:r w:rsidR="00EF53DF" w:rsidRPr="007C78BE">
        <w:t xml:space="preserve"> </w:t>
      </w:r>
      <w:r w:rsidR="00EF53DF">
        <w:t xml:space="preserve">The Married individuals had the highest prevalence, possibly due to: </w:t>
      </w:r>
      <w:r w:rsidR="00EF53DF" w:rsidRPr="00981A37">
        <w:rPr>
          <w:rStyle w:val="Strong"/>
          <w:b w:val="0"/>
        </w:rPr>
        <w:t>Household transmission</w:t>
      </w:r>
      <w:r w:rsidR="00EF53DF">
        <w:t xml:space="preserve">: Close physical contact and shared items (towels, bedding) facilitate spread. </w:t>
      </w:r>
      <w:r w:rsidR="00EF53DF" w:rsidRPr="00981A37">
        <w:rPr>
          <w:rStyle w:val="Strong"/>
          <w:b w:val="0"/>
        </w:rPr>
        <w:t>Delayed treatment seeking</w:t>
      </w:r>
      <w:r w:rsidR="00EF53DF">
        <w:t>: Married individuals may prioritize family needs over personal health, leading to untreated infections.</w:t>
      </w:r>
    </w:p>
    <w:p w14:paraId="0FF1254D" w14:textId="77777777" w:rsidR="00EF53DF" w:rsidRPr="00A8053A" w:rsidRDefault="00EF53DF" w:rsidP="00F707A8">
      <w:pPr>
        <w:spacing w:before="100" w:beforeAutospacing="1" w:after="100" w:afterAutospacing="1" w:line="240" w:lineRule="auto"/>
        <w:rPr>
          <w:rFonts w:ascii="Times New Roman" w:eastAsia="Times New Roman" w:hAnsi="Times New Roman" w:cs="Times New Roman"/>
          <w:sz w:val="24"/>
          <w:szCs w:val="24"/>
        </w:rPr>
      </w:pPr>
      <w:r w:rsidRPr="00A8053A">
        <w:rPr>
          <w:rFonts w:ascii="Times New Roman" w:eastAsia="Times New Roman" w:hAnsi="Times New Roman" w:cs="Times New Roman"/>
          <w:sz w:val="24"/>
          <w:szCs w:val="24"/>
        </w:rPr>
        <w:t xml:space="preserve">Occupational exposure was strongly associated with infection </w:t>
      </w:r>
      <w:r w:rsidR="00457024">
        <w:rPr>
          <w:rFonts w:ascii="Times New Roman" w:eastAsia="Times New Roman" w:hAnsi="Times New Roman" w:cs="Times New Roman"/>
          <w:sz w:val="24"/>
          <w:szCs w:val="24"/>
        </w:rPr>
        <w:t xml:space="preserve">in table 5 </w:t>
      </w:r>
      <w:r w:rsidRPr="00A8053A">
        <w:rPr>
          <w:rFonts w:ascii="Times New Roman" w:eastAsia="Times New Roman" w:hAnsi="Times New Roman" w:cs="Times New Roman"/>
          <w:sz w:val="24"/>
          <w:szCs w:val="24"/>
        </w:rPr>
        <w:t xml:space="preserve">(χ² = 15.081, df = 2, p = 0.001). Farmers were most affected at BSUTH, while students dominated at FMC. This reflects environmental and lifestyle differences, with soil exposure and overcrowded classrooms serving as major risk factors (Weitzman &amp; </w:t>
      </w:r>
      <w:proofErr w:type="spellStart"/>
      <w:r w:rsidRPr="00A8053A">
        <w:rPr>
          <w:rFonts w:ascii="Times New Roman" w:eastAsia="Times New Roman" w:hAnsi="Times New Roman" w:cs="Times New Roman"/>
          <w:sz w:val="24"/>
          <w:szCs w:val="24"/>
        </w:rPr>
        <w:t>Summerbell</w:t>
      </w:r>
      <w:proofErr w:type="spellEnd"/>
      <w:r w:rsidRPr="00A8053A">
        <w:rPr>
          <w:rFonts w:ascii="Times New Roman" w:eastAsia="Times New Roman" w:hAnsi="Times New Roman" w:cs="Times New Roman"/>
          <w:sz w:val="24"/>
          <w:szCs w:val="24"/>
        </w:rPr>
        <w:t>, 1995). The global rise in dermatophytosis incidence (</w:t>
      </w:r>
      <w:proofErr w:type="spellStart"/>
      <w:r w:rsidRPr="00A8053A">
        <w:rPr>
          <w:rFonts w:ascii="Times New Roman" w:eastAsia="Times New Roman" w:hAnsi="Times New Roman" w:cs="Times New Roman"/>
          <w:sz w:val="24"/>
          <w:szCs w:val="24"/>
        </w:rPr>
        <w:t>Kruithoff</w:t>
      </w:r>
      <w:proofErr w:type="spellEnd"/>
      <w:r w:rsidRPr="00A8053A">
        <w:rPr>
          <w:rFonts w:ascii="Times New Roman" w:eastAsia="Times New Roman" w:hAnsi="Times New Roman" w:cs="Times New Roman"/>
          <w:sz w:val="24"/>
          <w:szCs w:val="24"/>
        </w:rPr>
        <w:t xml:space="preserve"> </w:t>
      </w:r>
      <w:r w:rsidRPr="00457024">
        <w:rPr>
          <w:rFonts w:ascii="Times New Roman" w:eastAsia="Times New Roman" w:hAnsi="Times New Roman" w:cs="Times New Roman"/>
          <w:i/>
          <w:sz w:val="24"/>
          <w:szCs w:val="24"/>
        </w:rPr>
        <w:t>et al.,</w:t>
      </w:r>
      <w:r w:rsidRPr="00A8053A">
        <w:rPr>
          <w:rFonts w:ascii="Times New Roman" w:eastAsia="Times New Roman" w:hAnsi="Times New Roman" w:cs="Times New Roman"/>
          <w:sz w:val="24"/>
          <w:szCs w:val="24"/>
        </w:rPr>
        <w:t xml:space="preserve"> 2024) reinforces the need for occupational and school-based interventions.</w:t>
      </w:r>
    </w:p>
    <w:p w14:paraId="3130C1C8" w14:textId="77777777" w:rsidR="00EF53DF" w:rsidRPr="00A8053A" w:rsidRDefault="00457024" w:rsidP="00F707A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table 6, </w:t>
      </w:r>
      <w:r w:rsidR="00EF53DF" w:rsidRPr="00A8053A">
        <w:rPr>
          <w:rFonts w:ascii="Times New Roman" w:eastAsia="Times New Roman" w:hAnsi="Times New Roman" w:cs="Times New Roman"/>
          <w:sz w:val="24"/>
          <w:szCs w:val="24"/>
        </w:rPr>
        <w:t>Secondary school attendees had the highest prevalence, consistent with overcrowded learning environments and poor hygiene practices (</w:t>
      </w:r>
      <w:proofErr w:type="spellStart"/>
      <w:r w:rsidR="00B02C19">
        <w:rPr>
          <w:rFonts w:ascii="Times New Roman" w:eastAsia="Times New Roman" w:hAnsi="Times New Roman" w:cs="Times New Roman"/>
          <w:sz w:val="24"/>
          <w:szCs w:val="24"/>
        </w:rPr>
        <w:t>Havlickova</w:t>
      </w:r>
      <w:proofErr w:type="spellEnd"/>
      <w:r w:rsidR="00B02C19">
        <w:rPr>
          <w:rFonts w:ascii="Times New Roman" w:eastAsia="Times New Roman" w:hAnsi="Times New Roman" w:cs="Times New Roman"/>
          <w:sz w:val="24"/>
          <w:szCs w:val="24"/>
        </w:rPr>
        <w:t xml:space="preserve"> </w:t>
      </w:r>
      <w:r w:rsidR="00B02C19" w:rsidRPr="00B02C19">
        <w:rPr>
          <w:rFonts w:ascii="Times New Roman" w:eastAsia="Times New Roman" w:hAnsi="Times New Roman" w:cs="Times New Roman"/>
          <w:i/>
          <w:sz w:val="24"/>
          <w:szCs w:val="24"/>
        </w:rPr>
        <w:t>et al.,</w:t>
      </w:r>
      <w:r w:rsidR="00EF53DF" w:rsidRPr="00A8053A">
        <w:rPr>
          <w:rFonts w:ascii="Times New Roman" w:eastAsia="Times New Roman" w:hAnsi="Times New Roman" w:cs="Times New Roman"/>
          <w:sz w:val="24"/>
          <w:szCs w:val="24"/>
        </w:rPr>
        <w:t xml:space="preserve"> 2008). Recent findings suggest that </w:t>
      </w:r>
      <w:r w:rsidR="00EF53DF" w:rsidRPr="00A8053A">
        <w:rPr>
          <w:rFonts w:ascii="Times New Roman" w:eastAsia="Times New Roman" w:hAnsi="Times New Roman" w:cs="Times New Roman"/>
          <w:i/>
          <w:iCs/>
          <w:sz w:val="24"/>
          <w:szCs w:val="24"/>
        </w:rPr>
        <w:t>T. rubrum</w:t>
      </w:r>
      <w:r w:rsidR="00EF53DF" w:rsidRPr="00A8053A">
        <w:rPr>
          <w:rFonts w:ascii="Times New Roman" w:eastAsia="Times New Roman" w:hAnsi="Times New Roman" w:cs="Times New Roman"/>
          <w:sz w:val="24"/>
          <w:szCs w:val="24"/>
        </w:rPr>
        <w:t xml:space="preserve"> thrives in such settings due to its ability to persist on surfaces and resist antifungal treatment (Arya </w:t>
      </w:r>
      <w:r w:rsidR="00EF53DF" w:rsidRPr="00457024">
        <w:rPr>
          <w:rFonts w:ascii="Times New Roman" w:eastAsia="Times New Roman" w:hAnsi="Times New Roman" w:cs="Times New Roman"/>
          <w:i/>
          <w:sz w:val="24"/>
          <w:szCs w:val="24"/>
        </w:rPr>
        <w:t>et al</w:t>
      </w:r>
      <w:r w:rsidR="00EF53DF" w:rsidRPr="00A8053A">
        <w:rPr>
          <w:rFonts w:ascii="Times New Roman" w:eastAsia="Times New Roman" w:hAnsi="Times New Roman" w:cs="Times New Roman"/>
          <w:sz w:val="24"/>
          <w:szCs w:val="24"/>
        </w:rPr>
        <w:t>., 2025).</w:t>
      </w:r>
    </w:p>
    <w:p w14:paraId="3686E216" w14:textId="77777777" w:rsidR="00EF53DF" w:rsidRDefault="00457024" w:rsidP="00F707A8">
      <w:pPr>
        <w:pStyle w:val="NormalWeb"/>
      </w:pPr>
      <w:r>
        <w:t xml:space="preserve">In table 7, </w:t>
      </w:r>
      <w:r w:rsidR="00EF53DF" w:rsidRPr="00A8053A">
        <w:t>Itching was the most common symptom, followed by redness and scarring. These findings are consistent with classical dermatophytosis presentations (Gupta &amp; Cooper, 2008). However, the global increase in resistant strains (</w:t>
      </w:r>
      <w:proofErr w:type="spellStart"/>
      <w:r w:rsidR="00EF53DF" w:rsidRPr="00A8053A">
        <w:t>Kruithoff</w:t>
      </w:r>
      <w:proofErr w:type="spellEnd"/>
      <w:r w:rsidR="00EF53DF" w:rsidRPr="00A8053A">
        <w:t xml:space="preserve"> </w:t>
      </w:r>
      <w:r w:rsidR="00EF53DF" w:rsidRPr="000E2116">
        <w:rPr>
          <w:i/>
        </w:rPr>
        <w:t>et al</w:t>
      </w:r>
      <w:r w:rsidR="00EF53DF" w:rsidRPr="00A8053A">
        <w:t>., 2024) suggests that symptom persistence may increasingly reflect treatment failure rather than delayed diagnosis.</w:t>
      </w:r>
      <w:r w:rsidR="00EF53DF">
        <w:t xml:space="preserve"> </w:t>
      </w:r>
    </w:p>
    <w:p w14:paraId="6F9C23F5" w14:textId="77777777" w:rsidR="00B412A4" w:rsidRPr="00605BAF" w:rsidRDefault="00605BAF" w:rsidP="00F707A8">
      <w:pPr>
        <w:pStyle w:val="NormalWeb"/>
        <w:jc w:val="both"/>
      </w:pPr>
      <w:r>
        <w:t xml:space="preserve">This study found in table 8 that, the highest rates of </w:t>
      </w:r>
      <w:r>
        <w:rPr>
          <w:rStyle w:val="Emphasis"/>
        </w:rPr>
        <w:t>T. rubrum</w:t>
      </w:r>
      <w:r>
        <w:t xml:space="preserve"> infection were associated with the sharing of sponges, followed by towels and </w:t>
      </w:r>
      <w:proofErr w:type="spellStart"/>
      <w:r>
        <w:t>underwears</w:t>
      </w:r>
      <w:proofErr w:type="spellEnd"/>
      <w:r>
        <w:t xml:space="preserve">. These results align with previous research, such as that by Verma </w:t>
      </w:r>
      <w:r w:rsidRPr="007C631F">
        <w:rPr>
          <w:i/>
        </w:rPr>
        <w:t>et al.</w:t>
      </w:r>
      <w:r>
        <w:t xml:space="preserve"> (2020) and Kumar </w:t>
      </w:r>
      <w:r w:rsidRPr="007C631F">
        <w:rPr>
          <w:i/>
        </w:rPr>
        <w:t>et al</w:t>
      </w:r>
      <w:r>
        <w:t xml:space="preserve">. (2021), which showed that personal hygiene items frequently shared in communal settings are common vehicles for the transmission of </w:t>
      </w:r>
      <w:r>
        <w:rPr>
          <w:rStyle w:val="Emphasis"/>
        </w:rPr>
        <w:t>T. rubrum</w:t>
      </w:r>
      <w:r>
        <w:t xml:space="preserve"> infections. Sponges, in particular, were shown to carry the highest risk of transmission due to their direct contact with skin.</w:t>
      </w:r>
      <w:r w:rsidRPr="00E428D3">
        <w:t xml:space="preserve"> </w:t>
      </w:r>
      <w:r>
        <w:t xml:space="preserve">The study underscores the importance of preventing the sharing of personal hygiene items in both healthcare and community settings. Public health education </w:t>
      </w:r>
      <w:r>
        <w:lastRenderedPageBreak/>
        <w:t xml:space="preserve">campaigns should target high-risk behaviors, such as the sharing of sponges and towels, to reduce the spread of </w:t>
      </w:r>
      <w:r>
        <w:rPr>
          <w:rStyle w:val="Emphasis"/>
        </w:rPr>
        <w:t>T. rubrum</w:t>
      </w:r>
      <w:r>
        <w:t>. The statistical significance of this association (χ² = 6.261, p = 0.044) suggests that reducing the sharing of personal items is crucial in controlling dermatophyte infections.</w:t>
      </w:r>
    </w:p>
    <w:p w14:paraId="541C5029" w14:textId="77777777" w:rsidR="00B412A4" w:rsidRPr="006C5F23" w:rsidRDefault="006C5F23" w:rsidP="00F707A8">
      <w:pPr>
        <w:spacing w:line="240" w:lineRule="auto"/>
        <w:jc w:val="both"/>
        <w:rPr>
          <w:rFonts w:ascii="Times New Roman" w:eastAsia="Times New Roman" w:hAnsi="Times New Roman" w:cs="Times New Roman"/>
          <w:b/>
          <w:sz w:val="24"/>
          <w:szCs w:val="24"/>
        </w:rPr>
      </w:pPr>
      <w:r w:rsidRPr="006C5F23">
        <w:rPr>
          <w:rFonts w:ascii="Times New Roman" w:eastAsia="Times New Roman" w:hAnsi="Times New Roman" w:cs="Times New Roman"/>
          <w:b/>
          <w:sz w:val="24"/>
          <w:szCs w:val="24"/>
        </w:rPr>
        <w:t>Conclusion</w:t>
      </w:r>
    </w:p>
    <w:p w14:paraId="5D3C0CEF" w14:textId="77777777" w:rsidR="002531F9" w:rsidRDefault="00D21E0F" w:rsidP="00F707A8">
      <w:pPr>
        <w:spacing w:line="240" w:lineRule="auto"/>
        <w:jc w:val="both"/>
        <w:rPr>
          <w:rFonts w:ascii="Times New Roman" w:eastAsia="Times New Roman" w:hAnsi="Times New Roman" w:cs="Times New Roman"/>
          <w:sz w:val="24"/>
          <w:szCs w:val="24"/>
        </w:rPr>
      </w:pPr>
      <w:r w:rsidRPr="008D1746">
        <w:rPr>
          <w:rFonts w:ascii="Times New Roman" w:eastAsia="Times New Roman" w:hAnsi="Times New Roman" w:cs="Times New Roman"/>
          <w:i/>
          <w:sz w:val="24"/>
          <w:szCs w:val="24"/>
        </w:rPr>
        <w:t>Trichophyton rubrum</w:t>
      </w:r>
      <w:r w:rsidRPr="008D1746">
        <w:rPr>
          <w:rFonts w:ascii="Times New Roman" w:eastAsia="Times New Roman" w:hAnsi="Times New Roman" w:cs="Times New Roman"/>
          <w:sz w:val="24"/>
          <w:szCs w:val="24"/>
        </w:rPr>
        <w:t xml:space="preserve"> infection remains highly prevalent among patients attending tertiary health facilities in Makurdi, Benue State, with an overall prevalence of 73.5%. The infection is strongly influenced by age, occupation, educational level, and hygiene-related practices such as sharing personal items. The findings underscore the significant burden of dermatophytosis in the region and the need for targeted public health interventions. Early diagnosis, improved hygiene, and effective treatment strategies are essential to reduce transmission and associated complications</w:t>
      </w:r>
    </w:p>
    <w:p w14:paraId="63C91712" w14:textId="77777777" w:rsidR="00BC16D1" w:rsidRDefault="00BC16D1" w:rsidP="00F707A8">
      <w:pPr>
        <w:spacing w:line="240" w:lineRule="auto"/>
        <w:jc w:val="both"/>
        <w:rPr>
          <w:rFonts w:ascii="Times New Roman" w:eastAsia="Times New Roman" w:hAnsi="Times New Roman" w:cs="Times New Roman"/>
          <w:sz w:val="24"/>
          <w:szCs w:val="24"/>
        </w:rPr>
      </w:pPr>
      <w:r w:rsidRPr="00BC16D1">
        <w:rPr>
          <w:rFonts w:ascii="Times New Roman" w:eastAsia="Times New Roman" w:hAnsi="Times New Roman" w:cs="Times New Roman"/>
          <w:b/>
          <w:sz w:val="24"/>
          <w:szCs w:val="24"/>
        </w:rPr>
        <w:t>Recommendations</w:t>
      </w:r>
    </w:p>
    <w:p w14:paraId="3486FD1C" w14:textId="77777777" w:rsidR="00BC16D1" w:rsidRDefault="00BC16D1" w:rsidP="00F707A8">
      <w:pPr>
        <w:spacing w:before="100" w:beforeAutospacing="1" w:after="100" w:afterAutospacing="1" w:line="240" w:lineRule="auto"/>
        <w:rPr>
          <w:rFonts w:ascii="Times New Roman" w:eastAsia="Times New Roman" w:hAnsi="Times New Roman" w:cs="Times New Roman"/>
          <w:sz w:val="24"/>
          <w:szCs w:val="24"/>
        </w:rPr>
      </w:pPr>
      <w:r w:rsidRPr="008D1746">
        <w:rPr>
          <w:rFonts w:ascii="Times New Roman" w:eastAsia="Times New Roman" w:hAnsi="Times New Roman" w:cs="Times New Roman"/>
          <w:sz w:val="24"/>
          <w:szCs w:val="24"/>
        </w:rPr>
        <w:t>Public awareness campaigns should be intensified to educate individuals on personal hygiene, especially avoiding the sharing of personal items like towels, underwear, and sponges.</w:t>
      </w:r>
    </w:p>
    <w:p w14:paraId="39A8E068" w14:textId="77777777" w:rsidR="00BC16D1" w:rsidRDefault="00BC16D1" w:rsidP="00F707A8">
      <w:pPr>
        <w:spacing w:before="100" w:beforeAutospacing="1" w:after="100" w:afterAutospacing="1" w:line="240" w:lineRule="auto"/>
        <w:rPr>
          <w:rFonts w:ascii="Times New Roman" w:eastAsia="Times New Roman" w:hAnsi="Times New Roman" w:cs="Times New Roman"/>
          <w:sz w:val="24"/>
          <w:szCs w:val="24"/>
        </w:rPr>
      </w:pPr>
      <w:r w:rsidRPr="008D1746">
        <w:rPr>
          <w:rFonts w:ascii="Times New Roman" w:eastAsia="Times New Roman" w:hAnsi="Times New Roman" w:cs="Times New Roman"/>
          <w:sz w:val="24"/>
          <w:szCs w:val="24"/>
        </w:rPr>
        <w:t>Individuals should be encouraged to maintain proper body hygiene, keep skin dry, and wear breathable clothing, particularly in humid environments</w:t>
      </w:r>
    </w:p>
    <w:p w14:paraId="1EB5C954" w14:textId="7370778D" w:rsidR="00BC16D1" w:rsidRDefault="00BC16D1" w:rsidP="00F707A8">
      <w:pPr>
        <w:spacing w:before="100" w:beforeAutospacing="1" w:after="100" w:afterAutospacing="1" w:line="240" w:lineRule="auto"/>
        <w:rPr>
          <w:rFonts w:ascii="Times New Roman" w:eastAsia="Times New Roman" w:hAnsi="Times New Roman" w:cs="Times New Roman"/>
          <w:sz w:val="24"/>
          <w:szCs w:val="24"/>
        </w:rPr>
      </w:pPr>
      <w:r w:rsidRPr="008D1746">
        <w:rPr>
          <w:rFonts w:ascii="Times New Roman" w:eastAsia="Times New Roman" w:hAnsi="Times New Roman" w:cs="Times New Roman"/>
          <w:sz w:val="24"/>
          <w:szCs w:val="24"/>
        </w:rPr>
        <w:t>Farmers, students, and other high-risk groups should be targeted with preventive interventions, including improved sanitation in schools and workplaces.</w:t>
      </w:r>
    </w:p>
    <w:p w14:paraId="71C6FA77" w14:textId="77777777" w:rsidR="00542085" w:rsidRDefault="00542085" w:rsidP="00542085">
      <w:pPr>
        <w:pStyle w:val="NormalWeb"/>
      </w:pPr>
      <w:r>
        <w:rPr>
          <w:rStyle w:val="Strong"/>
        </w:rPr>
        <w:t>Limitations of the Study:</w:t>
      </w:r>
    </w:p>
    <w:p w14:paraId="798396DF" w14:textId="77777777" w:rsidR="00542085" w:rsidRDefault="00542085" w:rsidP="00542085">
      <w:pPr>
        <w:pStyle w:val="NormalWeb"/>
        <w:numPr>
          <w:ilvl w:val="0"/>
          <w:numId w:val="6"/>
        </w:numPr>
      </w:pPr>
      <w:r>
        <w:t>The cross-sectional design limits causal inference between risk factors and infection.</w:t>
      </w:r>
    </w:p>
    <w:p w14:paraId="483FDBBA" w14:textId="77777777" w:rsidR="00542085" w:rsidRDefault="00542085" w:rsidP="00542085">
      <w:pPr>
        <w:pStyle w:val="NormalWeb"/>
        <w:numPr>
          <w:ilvl w:val="0"/>
          <w:numId w:val="6"/>
        </w:numPr>
      </w:pPr>
      <w:r>
        <w:t>Study was hospital-based, which may not represent the general population in Makurdi.</w:t>
      </w:r>
    </w:p>
    <w:p w14:paraId="54DD4C01" w14:textId="77777777" w:rsidR="00542085" w:rsidRDefault="00542085" w:rsidP="00542085">
      <w:pPr>
        <w:pStyle w:val="NormalWeb"/>
        <w:numPr>
          <w:ilvl w:val="0"/>
          <w:numId w:val="6"/>
        </w:numPr>
      </w:pPr>
      <w:r>
        <w:t>Reliance on KOH microscopy and culture without molecular confirmation may affect diagnostic accuracy.</w:t>
      </w:r>
    </w:p>
    <w:p w14:paraId="48B9AF9C" w14:textId="77777777" w:rsidR="00542085" w:rsidRDefault="00542085" w:rsidP="00542085">
      <w:pPr>
        <w:pStyle w:val="NormalWeb"/>
        <w:numPr>
          <w:ilvl w:val="0"/>
          <w:numId w:val="6"/>
        </w:numPr>
      </w:pPr>
      <w:r>
        <w:t>Self-reported data on hygiene practices may introduce recall bias.</w:t>
      </w:r>
    </w:p>
    <w:p w14:paraId="1692C712" w14:textId="77777777" w:rsidR="00542085" w:rsidRDefault="00542085" w:rsidP="00542085">
      <w:pPr>
        <w:pStyle w:val="NormalWeb"/>
        <w:numPr>
          <w:ilvl w:val="0"/>
          <w:numId w:val="6"/>
        </w:numPr>
      </w:pPr>
      <w:r>
        <w:t>Limited geographic coverage (only two tertiary centers) restricts generalizability.</w:t>
      </w:r>
    </w:p>
    <w:p w14:paraId="2C73CE88" w14:textId="62EFA5B8" w:rsidR="00542085" w:rsidRPr="00542085" w:rsidRDefault="00542085" w:rsidP="00542085"/>
    <w:p w14:paraId="6FAB0D74" w14:textId="77777777" w:rsidR="00C71C44" w:rsidRPr="00005ED1" w:rsidRDefault="00C71C44" w:rsidP="00C71C44">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10300DB6" w14:textId="77777777" w:rsidR="00C71C44" w:rsidRPr="00005ED1" w:rsidRDefault="00C71C44" w:rsidP="00C71C44">
      <w:pPr>
        <w:pStyle w:val="NoSpacing"/>
        <w:rPr>
          <w:rFonts w:ascii="Arial" w:hAnsi="Arial" w:cs="Arial"/>
          <w:highlight w:val="yellow"/>
        </w:rPr>
      </w:pPr>
    </w:p>
    <w:p w14:paraId="1E8AA841" w14:textId="77777777" w:rsidR="00C71C44" w:rsidRPr="00005ED1" w:rsidRDefault="00C71C44" w:rsidP="00C71C4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p w14:paraId="3CA744D3" w14:textId="77777777" w:rsidR="00C71C44" w:rsidRPr="008D1746" w:rsidRDefault="00C71C44" w:rsidP="00F707A8">
      <w:pPr>
        <w:spacing w:before="100" w:beforeAutospacing="1" w:after="100" w:afterAutospacing="1" w:line="240" w:lineRule="auto"/>
        <w:rPr>
          <w:rFonts w:ascii="Times New Roman" w:eastAsia="Times New Roman" w:hAnsi="Times New Roman" w:cs="Times New Roman"/>
          <w:sz w:val="24"/>
          <w:szCs w:val="24"/>
        </w:rPr>
      </w:pPr>
      <w:bookmarkStart w:id="2" w:name="_GoBack"/>
      <w:bookmarkEnd w:id="1"/>
      <w:bookmarkEnd w:id="2"/>
    </w:p>
    <w:p w14:paraId="3EF9634C" w14:textId="77777777" w:rsidR="00BC16D1" w:rsidRPr="004B6E1E" w:rsidRDefault="004B6E1E" w:rsidP="00F707A8">
      <w:pPr>
        <w:spacing w:before="100" w:beforeAutospacing="1" w:after="100" w:afterAutospacing="1" w:line="240" w:lineRule="auto"/>
        <w:rPr>
          <w:rFonts w:ascii="Times New Roman" w:eastAsia="Times New Roman" w:hAnsi="Times New Roman" w:cs="Times New Roman"/>
          <w:b/>
          <w:sz w:val="24"/>
          <w:szCs w:val="24"/>
        </w:rPr>
      </w:pPr>
      <w:r w:rsidRPr="004B6E1E">
        <w:rPr>
          <w:rFonts w:ascii="Times New Roman" w:eastAsia="Times New Roman" w:hAnsi="Times New Roman" w:cs="Times New Roman"/>
          <w:b/>
          <w:sz w:val="24"/>
          <w:szCs w:val="24"/>
        </w:rPr>
        <w:t>References</w:t>
      </w:r>
    </w:p>
    <w:p w14:paraId="006334E7" w14:textId="77777777" w:rsidR="00CE72B2" w:rsidRPr="005B24BD" w:rsidRDefault="00CE72B2" w:rsidP="00CE72B2">
      <w:pPr>
        <w:spacing w:before="100" w:beforeAutospacing="1" w:after="100" w:afterAutospacing="1" w:line="240" w:lineRule="auto"/>
        <w:rPr>
          <w:rFonts w:ascii="Times New Roman" w:eastAsia="Times New Roman" w:hAnsi="Times New Roman" w:cs="Times New Roman"/>
          <w:sz w:val="24"/>
          <w:szCs w:val="24"/>
        </w:rPr>
      </w:pPr>
      <w:r w:rsidRPr="005B24BD">
        <w:rPr>
          <w:rFonts w:ascii="Times New Roman" w:eastAsia="Times New Roman" w:hAnsi="Times New Roman" w:cs="Times New Roman"/>
          <w:sz w:val="24"/>
          <w:szCs w:val="24"/>
        </w:rPr>
        <w:lastRenderedPageBreak/>
        <w:t xml:space="preserve">Ameen, M., Duggal, S., Khushboo, &amp; Malik, P. (2020). History and evolution of dermatophyte </w:t>
      </w:r>
      <w:r>
        <w:rPr>
          <w:rFonts w:ascii="Times New Roman" w:eastAsia="Times New Roman" w:hAnsi="Times New Roman" w:cs="Times New Roman"/>
          <w:sz w:val="24"/>
          <w:szCs w:val="24"/>
        </w:rPr>
        <w:tab/>
      </w:r>
      <w:r w:rsidRPr="005B24BD">
        <w:rPr>
          <w:rFonts w:ascii="Times New Roman" w:eastAsia="Times New Roman" w:hAnsi="Times New Roman" w:cs="Times New Roman"/>
          <w:sz w:val="24"/>
          <w:szCs w:val="24"/>
        </w:rPr>
        <w:t xml:space="preserve">infections with a focus on </w:t>
      </w:r>
      <w:r w:rsidRPr="00E3654A">
        <w:rPr>
          <w:rFonts w:ascii="Times New Roman" w:eastAsia="Times New Roman" w:hAnsi="Times New Roman" w:cs="Times New Roman"/>
          <w:i/>
          <w:sz w:val="24"/>
          <w:szCs w:val="24"/>
        </w:rPr>
        <w:t>Trichophyton rubrum</w:t>
      </w:r>
      <w:r w:rsidRPr="005B24BD">
        <w:rPr>
          <w:rFonts w:ascii="Times New Roman" w:eastAsia="Times New Roman" w:hAnsi="Times New Roman" w:cs="Times New Roman"/>
          <w:sz w:val="24"/>
          <w:szCs w:val="24"/>
        </w:rPr>
        <w:t xml:space="preserve">. </w:t>
      </w:r>
      <w:r w:rsidRPr="005B24BD">
        <w:rPr>
          <w:rFonts w:ascii="Times New Roman" w:eastAsia="Times New Roman" w:hAnsi="Times New Roman" w:cs="Times New Roman"/>
          <w:i/>
          <w:iCs/>
          <w:sz w:val="24"/>
          <w:szCs w:val="24"/>
        </w:rPr>
        <w:t xml:space="preserve">Journal of Dermatology and Infectious </w:t>
      </w:r>
      <w:r>
        <w:rPr>
          <w:rFonts w:ascii="Times New Roman" w:eastAsia="Times New Roman" w:hAnsi="Times New Roman" w:cs="Times New Roman"/>
          <w:i/>
          <w:iCs/>
          <w:sz w:val="24"/>
          <w:szCs w:val="24"/>
        </w:rPr>
        <w:tab/>
      </w:r>
      <w:r w:rsidRPr="005B24BD">
        <w:rPr>
          <w:rFonts w:ascii="Times New Roman" w:eastAsia="Times New Roman" w:hAnsi="Times New Roman" w:cs="Times New Roman"/>
          <w:i/>
          <w:iCs/>
          <w:sz w:val="24"/>
          <w:szCs w:val="24"/>
        </w:rPr>
        <w:t>Diseases, 17</w:t>
      </w:r>
      <w:r w:rsidRPr="005B24BD">
        <w:rPr>
          <w:rFonts w:ascii="Times New Roman" w:eastAsia="Times New Roman" w:hAnsi="Times New Roman" w:cs="Times New Roman"/>
          <w:sz w:val="24"/>
          <w:szCs w:val="24"/>
        </w:rPr>
        <w:t>(3), 120-135.</w:t>
      </w:r>
    </w:p>
    <w:p w14:paraId="78F130AC" w14:textId="77777777" w:rsidR="00CE72B2" w:rsidRDefault="00CE72B2" w:rsidP="00CE72B2">
      <w:pPr>
        <w:rPr>
          <w:rFonts w:ascii="Times New Roman" w:hAnsi="Times New Roman" w:cs="Times New Roman"/>
          <w:sz w:val="24"/>
          <w:szCs w:val="24"/>
        </w:rPr>
      </w:pPr>
      <w:r>
        <w:rPr>
          <w:rFonts w:ascii="Times New Roman" w:hAnsi="Times New Roman" w:cs="Times New Roman"/>
          <w:sz w:val="24"/>
          <w:szCs w:val="24"/>
        </w:rPr>
        <w:t xml:space="preserve">De Berker, D. A. R., André, J. and Baran, R. (2007). Nail biology and nail science. </w:t>
      </w:r>
      <w:r w:rsidRPr="005B050C">
        <w:rPr>
          <w:rFonts w:ascii="Times New Roman" w:hAnsi="Times New Roman" w:cs="Times New Roman"/>
          <w:i/>
          <w:sz w:val="24"/>
          <w:szCs w:val="24"/>
        </w:rPr>
        <w:t xml:space="preserve">International </w:t>
      </w:r>
      <w:r>
        <w:rPr>
          <w:rFonts w:ascii="Times New Roman" w:hAnsi="Times New Roman" w:cs="Times New Roman"/>
          <w:i/>
          <w:sz w:val="24"/>
          <w:szCs w:val="24"/>
        </w:rPr>
        <w:tab/>
      </w:r>
      <w:r w:rsidRPr="005B050C">
        <w:rPr>
          <w:rFonts w:ascii="Times New Roman" w:hAnsi="Times New Roman" w:cs="Times New Roman"/>
          <w:i/>
          <w:sz w:val="24"/>
          <w:szCs w:val="24"/>
        </w:rPr>
        <w:t>Journal of Cosmetic Science,</w:t>
      </w:r>
      <w:r>
        <w:rPr>
          <w:rFonts w:ascii="Times New Roman" w:hAnsi="Times New Roman" w:cs="Times New Roman"/>
          <w:sz w:val="24"/>
          <w:szCs w:val="24"/>
        </w:rPr>
        <w:t xml:space="preserve"> 29(4); 241–275.</w:t>
      </w:r>
    </w:p>
    <w:p w14:paraId="57E51D83" w14:textId="77777777" w:rsidR="00CE72B2" w:rsidRDefault="00CE72B2" w:rsidP="00CE72B2">
      <w:pPr>
        <w:rPr>
          <w:rFonts w:ascii="Times New Roman" w:hAnsi="Times New Roman" w:cs="Times New Roman"/>
          <w:sz w:val="24"/>
          <w:szCs w:val="24"/>
        </w:rPr>
      </w:pPr>
      <w:r>
        <w:rPr>
          <w:rFonts w:ascii="Times New Roman" w:hAnsi="Times New Roman" w:cs="Times New Roman"/>
          <w:sz w:val="24"/>
          <w:szCs w:val="24"/>
        </w:rPr>
        <w:t xml:space="preserve">Westerberg, D. P. and </w:t>
      </w:r>
      <w:proofErr w:type="spellStart"/>
      <w:r>
        <w:rPr>
          <w:rFonts w:ascii="Times New Roman" w:hAnsi="Times New Roman" w:cs="Times New Roman"/>
          <w:sz w:val="24"/>
          <w:szCs w:val="24"/>
        </w:rPr>
        <w:t>Voyack</w:t>
      </w:r>
      <w:proofErr w:type="spellEnd"/>
      <w:r>
        <w:rPr>
          <w:rFonts w:ascii="Times New Roman" w:hAnsi="Times New Roman" w:cs="Times New Roman"/>
          <w:sz w:val="24"/>
          <w:szCs w:val="24"/>
        </w:rPr>
        <w:t xml:space="preserve">, M. J. (2013). Onychomycosis: Current trends in diagnosis and </w:t>
      </w:r>
      <w:r>
        <w:rPr>
          <w:rFonts w:ascii="Times New Roman" w:hAnsi="Times New Roman" w:cs="Times New Roman"/>
          <w:sz w:val="24"/>
          <w:szCs w:val="24"/>
        </w:rPr>
        <w:tab/>
        <w:t xml:space="preserve">treatment. </w:t>
      </w:r>
      <w:r w:rsidRPr="005B050C">
        <w:rPr>
          <w:rFonts w:ascii="Times New Roman" w:hAnsi="Times New Roman" w:cs="Times New Roman"/>
          <w:i/>
          <w:sz w:val="24"/>
          <w:szCs w:val="24"/>
        </w:rPr>
        <w:t>American Family Physician</w:t>
      </w:r>
      <w:r>
        <w:rPr>
          <w:rFonts w:ascii="Times New Roman" w:hAnsi="Times New Roman" w:cs="Times New Roman"/>
          <w:sz w:val="24"/>
          <w:szCs w:val="24"/>
        </w:rPr>
        <w:t>, 88(11); 762–770.</w:t>
      </w:r>
    </w:p>
    <w:p w14:paraId="0BAA0987" w14:textId="77777777" w:rsidR="00CE72B2" w:rsidRDefault="00CE72B2" w:rsidP="00CE72B2">
      <w:pPr>
        <w:rPr>
          <w:rFonts w:ascii="Times New Roman" w:hAnsi="Times New Roman" w:cs="Times New Roman"/>
          <w:sz w:val="24"/>
          <w:szCs w:val="24"/>
        </w:rPr>
      </w:pPr>
      <w:proofErr w:type="spellStart"/>
      <w:r>
        <w:rPr>
          <w:rFonts w:ascii="Times New Roman" w:hAnsi="Times New Roman" w:cs="Times New Roman"/>
          <w:sz w:val="24"/>
          <w:szCs w:val="24"/>
        </w:rPr>
        <w:t>Baki</w:t>
      </w:r>
      <w:proofErr w:type="spellEnd"/>
      <w:r>
        <w:rPr>
          <w:rFonts w:ascii="Times New Roman" w:hAnsi="Times New Roman" w:cs="Times New Roman"/>
          <w:sz w:val="24"/>
          <w:szCs w:val="24"/>
        </w:rPr>
        <w:t xml:space="preserve">, A.S., Bello, A., Mohammad, U.K., </w:t>
      </w:r>
      <w:proofErr w:type="spellStart"/>
      <w:r>
        <w:rPr>
          <w:rFonts w:ascii="Times New Roman" w:hAnsi="Times New Roman" w:cs="Times New Roman"/>
          <w:sz w:val="24"/>
          <w:szCs w:val="24"/>
        </w:rPr>
        <w:t>Farouq</w:t>
      </w:r>
      <w:proofErr w:type="spellEnd"/>
      <w:r>
        <w:rPr>
          <w:rFonts w:ascii="Times New Roman" w:hAnsi="Times New Roman" w:cs="Times New Roman"/>
          <w:sz w:val="24"/>
          <w:szCs w:val="24"/>
        </w:rPr>
        <w:t xml:space="preserve">, A.A., Usman, </w:t>
      </w:r>
      <w:proofErr w:type="gramStart"/>
      <w:r>
        <w:rPr>
          <w:rFonts w:ascii="Times New Roman" w:hAnsi="Times New Roman" w:cs="Times New Roman"/>
          <w:sz w:val="24"/>
          <w:szCs w:val="24"/>
        </w:rPr>
        <w:t>A.A..</w:t>
      </w:r>
      <w:proofErr w:type="gramEnd"/>
      <w:r>
        <w:rPr>
          <w:rFonts w:ascii="Times New Roman" w:hAnsi="Times New Roman" w:cs="Times New Roman"/>
          <w:sz w:val="24"/>
          <w:szCs w:val="24"/>
        </w:rPr>
        <w:t xml:space="preserve"> (2018) A Survey for </w:t>
      </w:r>
      <w:r>
        <w:rPr>
          <w:rFonts w:ascii="Times New Roman" w:hAnsi="Times New Roman" w:cs="Times New Roman"/>
          <w:sz w:val="24"/>
          <w:szCs w:val="24"/>
        </w:rPr>
        <w:tab/>
        <w:t xml:space="preserve">Onychomycosis among Patients Attending General Hospital </w:t>
      </w:r>
      <w:proofErr w:type="spellStart"/>
      <w:r>
        <w:rPr>
          <w:rFonts w:ascii="Times New Roman" w:hAnsi="Times New Roman" w:cs="Times New Roman"/>
          <w:sz w:val="24"/>
          <w:szCs w:val="24"/>
        </w:rPr>
        <w:t>Ammannawa</w:t>
      </w:r>
      <w:proofErr w:type="spellEnd"/>
      <w:r>
        <w:rPr>
          <w:rFonts w:ascii="Times New Roman" w:hAnsi="Times New Roman" w:cs="Times New Roman"/>
          <w:sz w:val="24"/>
          <w:szCs w:val="24"/>
        </w:rPr>
        <w:t xml:space="preserve">, Sokoto State </w:t>
      </w:r>
      <w:r>
        <w:rPr>
          <w:rFonts w:ascii="Times New Roman" w:hAnsi="Times New Roman" w:cs="Times New Roman"/>
          <w:sz w:val="24"/>
          <w:szCs w:val="24"/>
        </w:rPr>
        <w:tab/>
        <w:t xml:space="preserve">Nigeria. </w:t>
      </w:r>
      <w:r w:rsidRPr="005B050C">
        <w:rPr>
          <w:rFonts w:ascii="Times New Roman" w:hAnsi="Times New Roman" w:cs="Times New Roman"/>
          <w:i/>
          <w:sz w:val="24"/>
          <w:szCs w:val="24"/>
        </w:rPr>
        <w:t>Journal Microbiology Pathology</w:t>
      </w:r>
      <w:r>
        <w:rPr>
          <w:rFonts w:ascii="Times New Roman" w:hAnsi="Times New Roman" w:cs="Times New Roman"/>
          <w:sz w:val="24"/>
          <w:szCs w:val="24"/>
        </w:rPr>
        <w:t xml:space="preserve"> 2: 108.</w:t>
      </w:r>
    </w:p>
    <w:p w14:paraId="153C38D7" w14:textId="77777777" w:rsidR="00CE72B2" w:rsidRDefault="00CE72B2" w:rsidP="00CE72B2">
      <w:pPr>
        <w:rPr>
          <w:rFonts w:ascii="Times New Roman" w:hAnsi="Times New Roman" w:cs="Times New Roman"/>
          <w:sz w:val="24"/>
          <w:szCs w:val="24"/>
        </w:rPr>
      </w:pPr>
      <w:proofErr w:type="spellStart"/>
      <w:r>
        <w:rPr>
          <w:rFonts w:ascii="Times New Roman" w:hAnsi="Times New Roman" w:cs="Times New Roman"/>
          <w:sz w:val="24"/>
          <w:szCs w:val="24"/>
        </w:rPr>
        <w:t>Jazdarehee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Malekafzali</w:t>
      </w:r>
      <w:proofErr w:type="spellEnd"/>
      <w:r>
        <w:rPr>
          <w:rFonts w:ascii="Times New Roman" w:hAnsi="Times New Roman" w:cs="Times New Roman"/>
          <w:sz w:val="24"/>
          <w:szCs w:val="24"/>
        </w:rPr>
        <w:t xml:space="preserve">, L., Lee, J., Lewis, R. and </w:t>
      </w:r>
      <w:proofErr w:type="spellStart"/>
      <w:r>
        <w:rPr>
          <w:rFonts w:ascii="Times New Roman" w:hAnsi="Times New Roman" w:cs="Times New Roman"/>
          <w:sz w:val="24"/>
          <w:szCs w:val="24"/>
        </w:rPr>
        <w:t>Mukovozov</w:t>
      </w:r>
      <w:proofErr w:type="spellEnd"/>
      <w:r>
        <w:rPr>
          <w:rFonts w:ascii="Times New Roman" w:hAnsi="Times New Roman" w:cs="Times New Roman"/>
          <w:sz w:val="24"/>
          <w:szCs w:val="24"/>
        </w:rPr>
        <w:t xml:space="preserve">, I. (2022). Transmission of </w:t>
      </w:r>
      <w:r>
        <w:rPr>
          <w:rFonts w:ascii="Times New Roman" w:hAnsi="Times New Roman" w:cs="Times New Roman"/>
          <w:sz w:val="24"/>
          <w:szCs w:val="24"/>
        </w:rPr>
        <w:tab/>
        <w:t xml:space="preserve">Onychomycosis and Dermatophytosis between Household Members: A Scoping Review. </w:t>
      </w:r>
      <w:r>
        <w:rPr>
          <w:rFonts w:ascii="Times New Roman" w:hAnsi="Times New Roman" w:cs="Times New Roman"/>
          <w:sz w:val="24"/>
          <w:szCs w:val="24"/>
        </w:rPr>
        <w:tab/>
      </w:r>
      <w:r w:rsidRPr="005B050C">
        <w:rPr>
          <w:rFonts w:ascii="Times New Roman" w:hAnsi="Times New Roman" w:cs="Times New Roman"/>
          <w:i/>
          <w:sz w:val="24"/>
          <w:szCs w:val="24"/>
        </w:rPr>
        <w:t>Journal of Fungi,</w:t>
      </w:r>
      <w:r>
        <w:rPr>
          <w:rFonts w:ascii="Times New Roman" w:hAnsi="Times New Roman" w:cs="Times New Roman"/>
          <w:sz w:val="24"/>
          <w:szCs w:val="24"/>
        </w:rPr>
        <w:t xml:space="preserve"> 8, 60.</w:t>
      </w:r>
    </w:p>
    <w:p w14:paraId="425D5DCE" w14:textId="77777777" w:rsidR="00CE72B2" w:rsidRDefault="00CE72B2" w:rsidP="00CE72B2">
      <w:pPr>
        <w:pStyle w:val="NormalWeb"/>
      </w:pPr>
      <w:r>
        <w:t xml:space="preserve">Kumar, A., Patel, R., &amp; Ahmed, T. (2021). Enzymatic properties and biochemical </w:t>
      </w:r>
      <w:r>
        <w:tab/>
        <w:t xml:space="preserve">characterization of </w:t>
      </w:r>
      <w:r w:rsidRPr="00E3654A">
        <w:rPr>
          <w:i/>
        </w:rPr>
        <w:t>Trichophyton rubrum</w:t>
      </w:r>
      <w:r>
        <w:t xml:space="preserve">. </w:t>
      </w:r>
      <w:r>
        <w:rPr>
          <w:rStyle w:val="Emphasis"/>
        </w:rPr>
        <w:t>Journal of Fungal Research, 12</w:t>
      </w:r>
      <w:r>
        <w:t>(5), 142-160.</w:t>
      </w:r>
    </w:p>
    <w:p w14:paraId="12E48F8A" w14:textId="77777777" w:rsidR="00CE72B2" w:rsidRPr="008E034A" w:rsidRDefault="00CE72B2" w:rsidP="00CE72B2">
      <w:pPr>
        <w:spacing w:before="100" w:beforeAutospacing="1" w:after="100" w:afterAutospacing="1"/>
        <w:rPr>
          <w:rFonts w:ascii="Times New Roman" w:hAnsi="Times New Roman" w:cs="Times New Roman"/>
          <w:sz w:val="24"/>
          <w:szCs w:val="24"/>
        </w:rPr>
      </w:pPr>
      <w:r w:rsidRPr="008E034A">
        <w:rPr>
          <w:rFonts w:ascii="Times New Roman" w:hAnsi="Times New Roman" w:cs="Times New Roman"/>
          <w:sz w:val="24"/>
          <w:szCs w:val="24"/>
        </w:rPr>
        <w:t xml:space="preserve">Kumar, R., Singh, V. P., &amp; Verma, S. (2021). Epidemiology of dermatophytosis and </w:t>
      </w:r>
      <w:r>
        <w:rPr>
          <w:rFonts w:ascii="Times New Roman" w:hAnsi="Times New Roman" w:cs="Times New Roman"/>
          <w:sz w:val="24"/>
          <w:szCs w:val="24"/>
        </w:rPr>
        <w:tab/>
      </w:r>
      <w:r w:rsidRPr="008E034A">
        <w:rPr>
          <w:rStyle w:val="Emphasis"/>
          <w:rFonts w:ascii="Times New Roman" w:hAnsi="Times New Roman" w:cs="Times New Roman"/>
          <w:sz w:val="24"/>
          <w:szCs w:val="24"/>
        </w:rPr>
        <w:t>Trichophyton rubrum</w:t>
      </w:r>
      <w:r w:rsidRPr="008E034A">
        <w:rPr>
          <w:rFonts w:ascii="Times New Roman" w:hAnsi="Times New Roman" w:cs="Times New Roman"/>
          <w:sz w:val="24"/>
          <w:szCs w:val="24"/>
        </w:rPr>
        <w:t xml:space="preserve"> infections in India: A hospital-based study. </w:t>
      </w:r>
      <w:r w:rsidRPr="008E034A">
        <w:rPr>
          <w:rStyle w:val="Emphasis"/>
          <w:rFonts w:ascii="Times New Roman" w:hAnsi="Times New Roman" w:cs="Times New Roman"/>
          <w:sz w:val="24"/>
          <w:szCs w:val="24"/>
        </w:rPr>
        <w:t xml:space="preserve">Journal of Medical </w:t>
      </w:r>
      <w:r>
        <w:rPr>
          <w:rStyle w:val="Emphasis"/>
          <w:rFonts w:ascii="Times New Roman" w:hAnsi="Times New Roman" w:cs="Times New Roman"/>
          <w:sz w:val="24"/>
          <w:szCs w:val="24"/>
        </w:rPr>
        <w:tab/>
      </w:r>
      <w:r w:rsidRPr="008E034A">
        <w:rPr>
          <w:rStyle w:val="Emphasis"/>
          <w:rFonts w:ascii="Times New Roman" w:hAnsi="Times New Roman" w:cs="Times New Roman"/>
          <w:sz w:val="24"/>
          <w:szCs w:val="24"/>
        </w:rPr>
        <w:t>Mycology</w:t>
      </w:r>
      <w:r w:rsidRPr="008E034A">
        <w:rPr>
          <w:rFonts w:ascii="Times New Roman" w:hAnsi="Times New Roman" w:cs="Times New Roman"/>
          <w:sz w:val="24"/>
          <w:szCs w:val="24"/>
        </w:rPr>
        <w:t>, 31(2), 113-118. https://doi.org/10.1016/j.jmm.2020.12.010</w:t>
      </w:r>
    </w:p>
    <w:p w14:paraId="65636398" w14:textId="77777777" w:rsidR="00CE72B2" w:rsidRDefault="00CE72B2" w:rsidP="00CE72B2">
      <w:pPr>
        <w:rPr>
          <w:rFonts w:ascii="Times New Roman" w:hAnsi="Times New Roman" w:cs="Times New Roman"/>
          <w:sz w:val="24"/>
          <w:szCs w:val="24"/>
        </w:rPr>
      </w:pPr>
      <w:proofErr w:type="spellStart"/>
      <w:r>
        <w:rPr>
          <w:rFonts w:ascii="Times New Roman" w:hAnsi="Times New Roman" w:cs="Times New Roman"/>
          <w:sz w:val="24"/>
          <w:szCs w:val="24"/>
        </w:rPr>
        <w:t>Yenişehirli</w:t>
      </w:r>
      <w:proofErr w:type="spellEnd"/>
      <w:r>
        <w:rPr>
          <w:rFonts w:ascii="Times New Roman" w:hAnsi="Times New Roman" w:cs="Times New Roman"/>
          <w:sz w:val="24"/>
          <w:szCs w:val="24"/>
        </w:rPr>
        <w:t xml:space="preserve">, G., Karat, </w:t>
      </w:r>
      <w:proofErr w:type="gramStart"/>
      <w:r>
        <w:rPr>
          <w:rFonts w:ascii="Times New Roman" w:hAnsi="Times New Roman" w:cs="Times New Roman"/>
          <w:sz w:val="24"/>
          <w:szCs w:val="24"/>
        </w:rPr>
        <w:t>E.,</w:t>
      </w:r>
      <w:proofErr w:type="spellStart"/>
      <w:r>
        <w:rPr>
          <w:rFonts w:ascii="Times New Roman" w:hAnsi="Times New Roman" w:cs="Times New Roman"/>
          <w:sz w:val="24"/>
          <w:szCs w:val="24"/>
        </w:rPr>
        <w:t>Bulut</w:t>
      </w:r>
      <w:proofErr w:type="spellEnd"/>
      <w:proofErr w:type="gramEnd"/>
      <w:r>
        <w:rPr>
          <w:rFonts w:ascii="Times New Roman" w:hAnsi="Times New Roman" w:cs="Times New Roman"/>
          <w:sz w:val="24"/>
          <w:szCs w:val="24"/>
        </w:rPr>
        <w:t xml:space="preserve">, Y. and </w:t>
      </w:r>
      <w:proofErr w:type="spellStart"/>
      <w:r>
        <w:rPr>
          <w:rFonts w:ascii="Times New Roman" w:hAnsi="Times New Roman" w:cs="Times New Roman"/>
          <w:sz w:val="24"/>
          <w:szCs w:val="24"/>
        </w:rPr>
        <w:t>Savcı</w:t>
      </w:r>
      <w:proofErr w:type="spellEnd"/>
      <w:r>
        <w:rPr>
          <w:rFonts w:ascii="Times New Roman" w:hAnsi="Times New Roman" w:cs="Times New Roman"/>
          <w:sz w:val="24"/>
          <w:szCs w:val="24"/>
        </w:rPr>
        <w:t xml:space="preserve">, U. (2012) Dermatophytes Isolated from the </w:t>
      </w:r>
      <w:r>
        <w:rPr>
          <w:rFonts w:ascii="Times New Roman" w:hAnsi="Times New Roman" w:cs="Times New Roman"/>
          <w:sz w:val="24"/>
          <w:szCs w:val="24"/>
        </w:rPr>
        <w:tab/>
        <w:t xml:space="preserve">Mosques in </w:t>
      </w:r>
      <w:proofErr w:type="spellStart"/>
      <w:r>
        <w:rPr>
          <w:rFonts w:ascii="Times New Roman" w:hAnsi="Times New Roman" w:cs="Times New Roman"/>
          <w:sz w:val="24"/>
          <w:szCs w:val="24"/>
        </w:rPr>
        <w:t>Tokat</w:t>
      </w:r>
      <w:proofErr w:type="spellEnd"/>
      <w:r>
        <w:rPr>
          <w:rFonts w:ascii="Times New Roman" w:hAnsi="Times New Roman" w:cs="Times New Roman"/>
          <w:sz w:val="24"/>
          <w:szCs w:val="24"/>
        </w:rPr>
        <w:t xml:space="preserve">, Turkey. </w:t>
      </w:r>
      <w:proofErr w:type="spellStart"/>
      <w:r w:rsidRPr="005B050C">
        <w:rPr>
          <w:rFonts w:ascii="Times New Roman" w:hAnsi="Times New Roman" w:cs="Times New Roman"/>
          <w:i/>
          <w:sz w:val="24"/>
          <w:szCs w:val="24"/>
        </w:rPr>
        <w:t>Mycopathologia</w:t>
      </w:r>
      <w:proofErr w:type="spellEnd"/>
      <w:r>
        <w:rPr>
          <w:rFonts w:ascii="Times New Roman" w:hAnsi="Times New Roman" w:cs="Times New Roman"/>
          <w:sz w:val="24"/>
          <w:szCs w:val="24"/>
        </w:rPr>
        <w:t>, 174, 327–330.</w:t>
      </w:r>
    </w:p>
    <w:p w14:paraId="30F09C7B" w14:textId="77777777" w:rsidR="00CE72B2" w:rsidRDefault="00CE72B2" w:rsidP="00CE72B2">
      <w:pPr>
        <w:spacing w:before="100" w:beforeAutospacing="1" w:after="100" w:afterAutospacing="1" w:line="240" w:lineRule="auto"/>
        <w:rPr>
          <w:rFonts w:ascii="Times New Roman" w:eastAsia="Times New Roman" w:hAnsi="Times New Roman" w:cs="Times New Roman"/>
          <w:color w:val="0000FF"/>
          <w:sz w:val="24"/>
          <w:szCs w:val="24"/>
          <w:u w:val="single"/>
        </w:rPr>
      </w:pPr>
      <w:r w:rsidRPr="0084036E">
        <w:rPr>
          <w:rFonts w:ascii="Times New Roman" w:eastAsia="Times New Roman" w:hAnsi="Times New Roman" w:cs="Times New Roman"/>
          <w:sz w:val="24"/>
          <w:szCs w:val="24"/>
        </w:rPr>
        <w:t xml:space="preserve">Zhan, P., &amp; Liu, W. (2022). </w:t>
      </w:r>
      <w:r w:rsidRPr="00304A9B">
        <w:rPr>
          <w:rFonts w:ascii="Times New Roman" w:eastAsia="Times New Roman" w:hAnsi="Times New Roman" w:cs="Times New Roman"/>
          <w:iCs/>
          <w:sz w:val="24"/>
          <w:szCs w:val="24"/>
        </w:rPr>
        <w:t xml:space="preserve">The changing face of dermatophytosis: Emerging trends and new </w:t>
      </w:r>
      <w:r w:rsidRPr="00304A9B">
        <w:rPr>
          <w:rFonts w:ascii="Times New Roman" w:eastAsia="Times New Roman" w:hAnsi="Times New Roman" w:cs="Times New Roman"/>
          <w:iCs/>
          <w:sz w:val="24"/>
          <w:szCs w:val="24"/>
        </w:rPr>
        <w:tab/>
        <w:t>challenges</w:t>
      </w:r>
      <w:r w:rsidRPr="00304A9B">
        <w:rPr>
          <w:rFonts w:ascii="Times New Roman" w:eastAsia="Times New Roman" w:hAnsi="Times New Roman" w:cs="Times New Roman"/>
          <w:sz w:val="24"/>
          <w:szCs w:val="24"/>
        </w:rPr>
        <w:t>.</w:t>
      </w:r>
      <w:r w:rsidRPr="0084036E">
        <w:rPr>
          <w:rFonts w:ascii="Times New Roman" w:eastAsia="Times New Roman" w:hAnsi="Times New Roman" w:cs="Times New Roman"/>
          <w:sz w:val="24"/>
          <w:szCs w:val="24"/>
        </w:rPr>
        <w:t xml:space="preserve"> </w:t>
      </w:r>
      <w:r w:rsidRPr="00304A9B">
        <w:rPr>
          <w:rFonts w:ascii="Times New Roman" w:eastAsia="Times New Roman" w:hAnsi="Times New Roman" w:cs="Times New Roman"/>
          <w:i/>
          <w:sz w:val="24"/>
          <w:szCs w:val="24"/>
        </w:rPr>
        <w:t>Frontiers in Microbiology</w:t>
      </w:r>
      <w:r w:rsidRPr="0084036E">
        <w:rPr>
          <w:rFonts w:ascii="Times New Roman" w:eastAsia="Times New Roman" w:hAnsi="Times New Roman" w:cs="Times New Roman"/>
          <w:sz w:val="24"/>
          <w:szCs w:val="24"/>
        </w:rPr>
        <w:t xml:space="preserve">, </w:t>
      </w:r>
      <w:r w:rsidRPr="0084036E">
        <w:rPr>
          <w:rFonts w:ascii="Times New Roman" w:eastAsia="Times New Roman" w:hAnsi="Times New Roman" w:cs="Times New Roman"/>
          <w:i/>
          <w:iCs/>
          <w:sz w:val="24"/>
          <w:szCs w:val="24"/>
        </w:rPr>
        <w:t>13</w:t>
      </w:r>
      <w:r w:rsidRPr="0084036E">
        <w:rPr>
          <w:rFonts w:ascii="Times New Roman" w:eastAsia="Times New Roman" w:hAnsi="Times New Roman" w:cs="Times New Roman"/>
          <w:sz w:val="24"/>
          <w:szCs w:val="24"/>
        </w:rPr>
        <w:t xml:space="preserve">, 987312. </w:t>
      </w:r>
      <w:r>
        <w:rPr>
          <w:rFonts w:ascii="Times New Roman" w:eastAsia="Times New Roman" w:hAnsi="Times New Roman" w:cs="Times New Roman"/>
          <w:sz w:val="24"/>
          <w:szCs w:val="24"/>
        </w:rPr>
        <w:tab/>
      </w:r>
      <w:hyperlink r:id="rId8" w:tgtFrame="_blank" w:history="1">
        <w:r w:rsidRPr="0084036E">
          <w:rPr>
            <w:rFonts w:ascii="Times New Roman" w:eastAsia="Times New Roman" w:hAnsi="Times New Roman" w:cs="Times New Roman"/>
            <w:color w:val="0000FF"/>
            <w:sz w:val="24"/>
            <w:szCs w:val="24"/>
            <w:u w:val="single"/>
          </w:rPr>
          <w:t>https://doi.org/10.3389/fmicb.2022.987312</w:t>
        </w:r>
      </w:hyperlink>
    </w:p>
    <w:p w14:paraId="19AFE17E" w14:textId="77777777" w:rsidR="00CE72B2" w:rsidRPr="00CE74DF" w:rsidRDefault="00CE72B2" w:rsidP="00CE72B2">
      <w:pPr>
        <w:spacing w:before="100" w:beforeAutospacing="1" w:after="100" w:afterAutospacing="1" w:line="240" w:lineRule="auto"/>
        <w:rPr>
          <w:rFonts w:ascii="Times New Roman" w:eastAsia="Times New Roman" w:hAnsi="Times New Roman" w:cs="Times New Roman"/>
          <w:sz w:val="24"/>
          <w:szCs w:val="24"/>
        </w:rPr>
      </w:pPr>
      <w:r w:rsidRPr="00CE74DF">
        <w:rPr>
          <w:rFonts w:ascii="Times New Roman" w:eastAsia="Times New Roman" w:hAnsi="Times New Roman" w:cs="Times New Roman"/>
          <w:sz w:val="24"/>
          <w:szCs w:val="24"/>
        </w:rPr>
        <w:t xml:space="preserve">Arya, K., Chaturvedi, S., </w:t>
      </w:r>
      <w:proofErr w:type="spellStart"/>
      <w:r w:rsidRPr="00CE74DF">
        <w:rPr>
          <w:rFonts w:ascii="Times New Roman" w:eastAsia="Times New Roman" w:hAnsi="Times New Roman" w:cs="Times New Roman"/>
          <w:sz w:val="24"/>
          <w:szCs w:val="24"/>
        </w:rPr>
        <w:t>Usmani</w:t>
      </w:r>
      <w:proofErr w:type="spellEnd"/>
      <w:r w:rsidRPr="00CE74DF">
        <w:rPr>
          <w:rFonts w:ascii="Times New Roman" w:eastAsia="Times New Roman" w:hAnsi="Times New Roman" w:cs="Times New Roman"/>
          <w:sz w:val="24"/>
          <w:szCs w:val="24"/>
        </w:rPr>
        <w:t xml:space="preserve">, S. A., Chandra, S., Bhardwaj, N., Kumar, M., Kumari, S., </w:t>
      </w:r>
      <w:r w:rsidRPr="00CE74DF">
        <w:rPr>
          <w:rFonts w:ascii="Times New Roman" w:eastAsia="Times New Roman" w:hAnsi="Times New Roman" w:cs="Times New Roman"/>
          <w:sz w:val="24"/>
          <w:szCs w:val="24"/>
        </w:rPr>
        <w:tab/>
        <w:t xml:space="preserve">Prasad, R., &amp; Singh, A. (2025). Dermatophytosis in context of </w:t>
      </w:r>
      <w:r w:rsidRPr="00CE74DF">
        <w:rPr>
          <w:rFonts w:ascii="Times New Roman" w:eastAsia="Times New Roman" w:hAnsi="Times New Roman" w:cs="Times New Roman"/>
          <w:i/>
          <w:iCs/>
          <w:sz w:val="24"/>
          <w:szCs w:val="24"/>
        </w:rPr>
        <w:t>Trichophyton rubrum</w:t>
      </w:r>
      <w:r w:rsidRPr="00CE74DF">
        <w:rPr>
          <w:rFonts w:ascii="Times New Roman" w:eastAsia="Times New Roman" w:hAnsi="Times New Roman" w:cs="Times New Roman"/>
          <w:sz w:val="24"/>
          <w:szCs w:val="24"/>
        </w:rPr>
        <w:t xml:space="preserve">: </w:t>
      </w:r>
      <w:r w:rsidRPr="00CE74DF">
        <w:rPr>
          <w:rFonts w:ascii="Times New Roman" w:eastAsia="Times New Roman" w:hAnsi="Times New Roman" w:cs="Times New Roman"/>
          <w:sz w:val="24"/>
          <w:szCs w:val="24"/>
        </w:rPr>
        <w:tab/>
        <w:t xml:space="preserve">Host defense mechanisms, virulence factors, and treatment innovations. </w:t>
      </w:r>
      <w:r w:rsidRPr="00CE74DF">
        <w:rPr>
          <w:rFonts w:ascii="Times New Roman" w:eastAsia="Times New Roman" w:hAnsi="Times New Roman" w:cs="Times New Roman"/>
          <w:i/>
          <w:iCs/>
          <w:sz w:val="24"/>
          <w:szCs w:val="24"/>
        </w:rPr>
        <w:t xml:space="preserve">Molecular </w:t>
      </w:r>
      <w:r w:rsidRPr="00CE74DF">
        <w:rPr>
          <w:rFonts w:ascii="Times New Roman" w:eastAsia="Times New Roman" w:hAnsi="Times New Roman" w:cs="Times New Roman"/>
          <w:i/>
          <w:iCs/>
          <w:sz w:val="24"/>
          <w:szCs w:val="24"/>
        </w:rPr>
        <w:tab/>
        <w:t>Biology Reports, 52</w:t>
      </w:r>
      <w:r w:rsidRPr="00CE74DF">
        <w:rPr>
          <w:rFonts w:ascii="Times New Roman" w:eastAsia="Times New Roman" w:hAnsi="Times New Roman" w:cs="Times New Roman"/>
          <w:sz w:val="24"/>
          <w:szCs w:val="24"/>
        </w:rPr>
        <w:t xml:space="preserve">(634). https://doi.org/10.1007/s11033-025-0634-9 </w:t>
      </w:r>
      <w:hyperlink r:id="rId9" w:history="1">
        <w:r w:rsidRPr="00CE74DF">
          <w:rPr>
            <w:rFonts w:ascii="Times New Roman" w:eastAsia="Times New Roman" w:hAnsi="Times New Roman" w:cs="Times New Roman"/>
            <w:color w:val="0000FF"/>
            <w:sz w:val="24"/>
            <w:szCs w:val="24"/>
            <w:u w:val="single"/>
          </w:rPr>
          <w:t xml:space="preserve">(doi.org in </w:t>
        </w:r>
        <w:r w:rsidRPr="00CE74DF">
          <w:rPr>
            <w:rFonts w:ascii="Times New Roman" w:eastAsia="Times New Roman" w:hAnsi="Times New Roman" w:cs="Times New Roman"/>
            <w:color w:val="0000FF"/>
            <w:sz w:val="24"/>
            <w:szCs w:val="24"/>
            <w:u w:val="single"/>
          </w:rPr>
          <w:tab/>
          <w:t>Bing)</w:t>
        </w:r>
      </w:hyperlink>
    </w:p>
    <w:p w14:paraId="0B6A6B34" w14:textId="77777777" w:rsidR="00CE72B2" w:rsidRPr="00CE74DF" w:rsidRDefault="00CE72B2" w:rsidP="00CE72B2">
      <w:pPr>
        <w:spacing w:before="100" w:beforeAutospacing="1" w:after="100" w:afterAutospacing="1" w:line="240" w:lineRule="auto"/>
        <w:rPr>
          <w:rFonts w:ascii="Times New Roman" w:eastAsia="Times New Roman" w:hAnsi="Times New Roman" w:cs="Times New Roman"/>
          <w:sz w:val="24"/>
          <w:szCs w:val="24"/>
        </w:rPr>
      </w:pPr>
      <w:proofErr w:type="spellStart"/>
      <w:r w:rsidRPr="00CE74DF">
        <w:rPr>
          <w:rFonts w:ascii="Times New Roman" w:eastAsia="Times New Roman" w:hAnsi="Times New Roman" w:cs="Times New Roman"/>
          <w:sz w:val="24"/>
          <w:szCs w:val="24"/>
        </w:rPr>
        <w:t>Kruithoff</w:t>
      </w:r>
      <w:proofErr w:type="spellEnd"/>
      <w:r w:rsidRPr="00CE74DF">
        <w:rPr>
          <w:rFonts w:ascii="Times New Roman" w:eastAsia="Times New Roman" w:hAnsi="Times New Roman" w:cs="Times New Roman"/>
          <w:sz w:val="24"/>
          <w:szCs w:val="24"/>
        </w:rPr>
        <w:t xml:space="preserve">, C., Gamal, A., McCormick, T. S., &amp; </w:t>
      </w:r>
      <w:proofErr w:type="spellStart"/>
      <w:r w:rsidRPr="00CE74DF">
        <w:rPr>
          <w:rFonts w:ascii="Times New Roman" w:eastAsia="Times New Roman" w:hAnsi="Times New Roman" w:cs="Times New Roman"/>
          <w:sz w:val="24"/>
          <w:szCs w:val="24"/>
        </w:rPr>
        <w:t>Ghannoum</w:t>
      </w:r>
      <w:proofErr w:type="spellEnd"/>
      <w:r w:rsidRPr="00CE74DF">
        <w:rPr>
          <w:rFonts w:ascii="Times New Roman" w:eastAsia="Times New Roman" w:hAnsi="Times New Roman" w:cs="Times New Roman"/>
          <w:sz w:val="24"/>
          <w:szCs w:val="24"/>
        </w:rPr>
        <w:t xml:space="preserve">, M. A. (2024). Dermatophyte </w:t>
      </w:r>
      <w:r w:rsidR="00CE74DF">
        <w:rPr>
          <w:rFonts w:ascii="Times New Roman" w:eastAsia="Times New Roman" w:hAnsi="Times New Roman" w:cs="Times New Roman"/>
          <w:sz w:val="24"/>
          <w:szCs w:val="24"/>
        </w:rPr>
        <w:t>I</w:t>
      </w:r>
      <w:r w:rsidR="00CE74DF">
        <w:rPr>
          <w:rFonts w:ascii="Times New Roman" w:eastAsia="Times New Roman" w:hAnsi="Times New Roman" w:cs="Times New Roman"/>
          <w:sz w:val="24"/>
          <w:szCs w:val="24"/>
        </w:rPr>
        <w:tab/>
      </w:r>
      <w:proofErr w:type="spellStart"/>
      <w:r w:rsidRPr="00CE74DF">
        <w:rPr>
          <w:rFonts w:ascii="Times New Roman" w:eastAsia="Times New Roman" w:hAnsi="Times New Roman" w:cs="Times New Roman"/>
          <w:sz w:val="24"/>
          <w:szCs w:val="24"/>
        </w:rPr>
        <w:t>nfections</w:t>
      </w:r>
      <w:proofErr w:type="spellEnd"/>
      <w:r w:rsidRPr="00CE74DF">
        <w:rPr>
          <w:rFonts w:ascii="Times New Roman" w:eastAsia="Times New Roman" w:hAnsi="Times New Roman" w:cs="Times New Roman"/>
          <w:sz w:val="24"/>
          <w:szCs w:val="24"/>
        </w:rPr>
        <w:t xml:space="preserve"> worldwide: Increase in incidence and associated antifungal resistance. </w:t>
      </w:r>
      <w:r w:rsidRPr="00CE74DF">
        <w:rPr>
          <w:rFonts w:ascii="Times New Roman" w:eastAsia="Times New Roman" w:hAnsi="Times New Roman" w:cs="Times New Roman"/>
          <w:i/>
          <w:iCs/>
          <w:sz w:val="24"/>
          <w:szCs w:val="24"/>
        </w:rPr>
        <w:t xml:space="preserve">Life, </w:t>
      </w:r>
      <w:r w:rsidR="00CE74DF">
        <w:rPr>
          <w:rFonts w:ascii="Times New Roman" w:eastAsia="Times New Roman" w:hAnsi="Times New Roman" w:cs="Times New Roman"/>
          <w:i/>
          <w:iCs/>
          <w:sz w:val="24"/>
          <w:szCs w:val="24"/>
        </w:rPr>
        <w:tab/>
      </w:r>
      <w:r w:rsidRPr="00CE74DF">
        <w:rPr>
          <w:rFonts w:ascii="Times New Roman" w:eastAsia="Times New Roman" w:hAnsi="Times New Roman" w:cs="Times New Roman"/>
          <w:i/>
          <w:iCs/>
          <w:sz w:val="24"/>
          <w:szCs w:val="24"/>
        </w:rPr>
        <w:t>14</w:t>
      </w:r>
      <w:r w:rsidRPr="00CE74DF">
        <w:rPr>
          <w:rFonts w:ascii="Times New Roman" w:eastAsia="Times New Roman" w:hAnsi="Times New Roman" w:cs="Times New Roman"/>
          <w:sz w:val="24"/>
          <w:szCs w:val="24"/>
        </w:rPr>
        <w:t xml:space="preserve">(1), 1. https://doi.org/10.3390/life14010001 </w:t>
      </w:r>
      <w:hyperlink r:id="rId10" w:history="1">
        <w:r w:rsidRPr="00CE74DF">
          <w:rPr>
            <w:rFonts w:ascii="Times New Roman" w:eastAsia="Times New Roman" w:hAnsi="Times New Roman" w:cs="Times New Roman"/>
            <w:color w:val="0000FF"/>
            <w:sz w:val="24"/>
            <w:szCs w:val="24"/>
            <w:u w:val="single"/>
          </w:rPr>
          <w:t>(doi.org in Bing)</w:t>
        </w:r>
      </w:hyperlink>
    </w:p>
    <w:p w14:paraId="0C9F67DC" w14:textId="77777777" w:rsidR="00CE72B2" w:rsidRPr="00CE74DF" w:rsidRDefault="00CE72B2" w:rsidP="00CE74DF">
      <w:pPr>
        <w:spacing w:before="100" w:beforeAutospacing="1" w:after="100" w:afterAutospacing="1" w:line="240" w:lineRule="auto"/>
        <w:rPr>
          <w:rFonts w:ascii="Times New Roman" w:eastAsia="Times New Roman" w:hAnsi="Times New Roman" w:cs="Times New Roman"/>
          <w:sz w:val="24"/>
          <w:szCs w:val="24"/>
        </w:rPr>
      </w:pPr>
      <w:r w:rsidRPr="00CE74DF">
        <w:rPr>
          <w:rFonts w:ascii="Times New Roman" w:eastAsia="Times New Roman" w:hAnsi="Times New Roman" w:cs="Times New Roman"/>
          <w:sz w:val="24"/>
          <w:szCs w:val="24"/>
        </w:rPr>
        <w:t xml:space="preserve">Ameen, M. (2010). Epidemiology of superficial fungal infections. </w:t>
      </w:r>
      <w:r w:rsidRPr="00CE74DF">
        <w:rPr>
          <w:rFonts w:ascii="Times New Roman" w:eastAsia="Times New Roman" w:hAnsi="Times New Roman" w:cs="Times New Roman"/>
          <w:i/>
          <w:iCs/>
          <w:sz w:val="24"/>
          <w:szCs w:val="24"/>
        </w:rPr>
        <w:t>Clinical Dermatology, 28</w:t>
      </w:r>
      <w:r w:rsidRPr="00CE74DF">
        <w:rPr>
          <w:rFonts w:ascii="Times New Roman" w:eastAsia="Times New Roman" w:hAnsi="Times New Roman" w:cs="Times New Roman"/>
          <w:sz w:val="24"/>
          <w:szCs w:val="24"/>
        </w:rPr>
        <w:t xml:space="preserve">(2), </w:t>
      </w:r>
      <w:r w:rsidR="00CE74DF">
        <w:rPr>
          <w:rFonts w:ascii="Times New Roman" w:eastAsia="Times New Roman" w:hAnsi="Times New Roman" w:cs="Times New Roman"/>
          <w:sz w:val="24"/>
          <w:szCs w:val="24"/>
        </w:rPr>
        <w:tab/>
      </w:r>
      <w:r w:rsidRPr="00CE74DF">
        <w:rPr>
          <w:rFonts w:ascii="Times New Roman" w:eastAsia="Times New Roman" w:hAnsi="Times New Roman" w:cs="Times New Roman"/>
          <w:sz w:val="24"/>
          <w:szCs w:val="24"/>
        </w:rPr>
        <w:t xml:space="preserve">197–201. https://doi.org/10.1016/j.clindermatol.2009.12.005 </w:t>
      </w:r>
      <w:hyperlink r:id="rId11" w:history="1">
        <w:r w:rsidRPr="00CE74DF">
          <w:rPr>
            <w:rFonts w:ascii="Times New Roman" w:eastAsia="Times New Roman" w:hAnsi="Times New Roman" w:cs="Times New Roman"/>
            <w:color w:val="0000FF"/>
            <w:sz w:val="24"/>
            <w:szCs w:val="24"/>
            <w:u w:val="single"/>
          </w:rPr>
          <w:t>(doi.org in Bing)</w:t>
        </w:r>
      </w:hyperlink>
    </w:p>
    <w:p w14:paraId="5A601EB7" w14:textId="77777777" w:rsidR="00CE72B2" w:rsidRPr="00CE74DF" w:rsidRDefault="00CE72B2" w:rsidP="00CE74DF">
      <w:pPr>
        <w:spacing w:before="100" w:beforeAutospacing="1" w:after="100" w:afterAutospacing="1" w:line="240" w:lineRule="auto"/>
        <w:rPr>
          <w:rFonts w:ascii="Times New Roman" w:eastAsia="Times New Roman" w:hAnsi="Times New Roman" w:cs="Times New Roman"/>
          <w:sz w:val="24"/>
          <w:szCs w:val="24"/>
        </w:rPr>
      </w:pPr>
      <w:proofErr w:type="spellStart"/>
      <w:r w:rsidRPr="00CE74DF">
        <w:rPr>
          <w:rFonts w:ascii="Times New Roman" w:eastAsia="Times New Roman" w:hAnsi="Times New Roman" w:cs="Times New Roman"/>
          <w:sz w:val="24"/>
          <w:szCs w:val="24"/>
        </w:rPr>
        <w:lastRenderedPageBreak/>
        <w:t>Elewski</w:t>
      </w:r>
      <w:proofErr w:type="spellEnd"/>
      <w:r w:rsidRPr="00CE74DF">
        <w:rPr>
          <w:rFonts w:ascii="Times New Roman" w:eastAsia="Times New Roman" w:hAnsi="Times New Roman" w:cs="Times New Roman"/>
          <w:sz w:val="24"/>
          <w:szCs w:val="24"/>
        </w:rPr>
        <w:t xml:space="preserve">, B. E. (2000). Onychomycosis: Pathogenesis, diagnosis, and management. </w:t>
      </w:r>
      <w:r w:rsidRPr="00CE74DF">
        <w:rPr>
          <w:rFonts w:ascii="Times New Roman" w:eastAsia="Times New Roman" w:hAnsi="Times New Roman" w:cs="Times New Roman"/>
          <w:i/>
          <w:iCs/>
          <w:sz w:val="24"/>
          <w:szCs w:val="24"/>
        </w:rPr>
        <w:t xml:space="preserve">Clinical </w:t>
      </w:r>
      <w:r w:rsidR="00CE74DF">
        <w:rPr>
          <w:rFonts w:ascii="Times New Roman" w:eastAsia="Times New Roman" w:hAnsi="Times New Roman" w:cs="Times New Roman"/>
          <w:i/>
          <w:iCs/>
          <w:sz w:val="24"/>
          <w:szCs w:val="24"/>
        </w:rPr>
        <w:tab/>
      </w:r>
      <w:r w:rsidRPr="00CE74DF">
        <w:rPr>
          <w:rFonts w:ascii="Times New Roman" w:eastAsia="Times New Roman" w:hAnsi="Times New Roman" w:cs="Times New Roman"/>
          <w:i/>
          <w:iCs/>
          <w:sz w:val="24"/>
          <w:szCs w:val="24"/>
        </w:rPr>
        <w:t>Microbiology Reviews, 13</w:t>
      </w:r>
      <w:r w:rsidRPr="00CE74DF">
        <w:rPr>
          <w:rFonts w:ascii="Times New Roman" w:eastAsia="Times New Roman" w:hAnsi="Times New Roman" w:cs="Times New Roman"/>
          <w:sz w:val="24"/>
          <w:szCs w:val="24"/>
        </w:rPr>
        <w:t xml:space="preserve">(3), 450–470. https://doi.org/10.1128/CMR.13.3.450 </w:t>
      </w:r>
      <w:hyperlink r:id="rId12" w:history="1">
        <w:r w:rsidRPr="00CE74DF">
          <w:rPr>
            <w:rFonts w:ascii="Times New Roman" w:eastAsia="Times New Roman" w:hAnsi="Times New Roman" w:cs="Times New Roman"/>
            <w:color w:val="0000FF"/>
            <w:sz w:val="24"/>
            <w:szCs w:val="24"/>
            <w:u w:val="single"/>
          </w:rPr>
          <w:t xml:space="preserve">(doi.org </w:t>
        </w:r>
        <w:r w:rsidR="00CE74DF">
          <w:rPr>
            <w:rFonts w:ascii="Times New Roman" w:eastAsia="Times New Roman" w:hAnsi="Times New Roman" w:cs="Times New Roman"/>
            <w:color w:val="0000FF"/>
            <w:sz w:val="24"/>
            <w:szCs w:val="24"/>
            <w:u w:val="single"/>
          </w:rPr>
          <w:tab/>
        </w:r>
        <w:r w:rsidRPr="00CE74DF">
          <w:rPr>
            <w:rFonts w:ascii="Times New Roman" w:eastAsia="Times New Roman" w:hAnsi="Times New Roman" w:cs="Times New Roman"/>
            <w:color w:val="0000FF"/>
            <w:sz w:val="24"/>
            <w:szCs w:val="24"/>
            <w:u w:val="single"/>
          </w:rPr>
          <w:t>in Bing)</w:t>
        </w:r>
      </w:hyperlink>
    </w:p>
    <w:p w14:paraId="34872A5F" w14:textId="77777777" w:rsidR="00CE72B2" w:rsidRPr="00CE74DF" w:rsidRDefault="00CE72B2" w:rsidP="00CE74DF">
      <w:pPr>
        <w:spacing w:before="100" w:beforeAutospacing="1" w:after="100" w:afterAutospacing="1" w:line="240" w:lineRule="auto"/>
        <w:rPr>
          <w:rFonts w:ascii="Times New Roman" w:eastAsia="Times New Roman" w:hAnsi="Times New Roman" w:cs="Times New Roman"/>
          <w:sz w:val="24"/>
          <w:szCs w:val="24"/>
        </w:rPr>
      </w:pPr>
      <w:r w:rsidRPr="00CE74DF">
        <w:rPr>
          <w:rFonts w:ascii="Times New Roman" w:eastAsia="Times New Roman" w:hAnsi="Times New Roman" w:cs="Times New Roman"/>
          <w:sz w:val="24"/>
          <w:szCs w:val="24"/>
        </w:rPr>
        <w:t xml:space="preserve">Gupta, A. K., &amp; Cooper, E. A. (2008). Update in antifungal therapy of dermatophytosis. </w:t>
      </w:r>
      <w:r w:rsidR="00CE74DF">
        <w:rPr>
          <w:rFonts w:ascii="Times New Roman" w:eastAsia="Times New Roman" w:hAnsi="Times New Roman" w:cs="Times New Roman"/>
          <w:sz w:val="24"/>
          <w:szCs w:val="24"/>
        </w:rPr>
        <w:tab/>
      </w:r>
      <w:proofErr w:type="spellStart"/>
      <w:r w:rsidRPr="00CE74DF">
        <w:rPr>
          <w:rFonts w:ascii="Times New Roman" w:eastAsia="Times New Roman" w:hAnsi="Times New Roman" w:cs="Times New Roman"/>
          <w:i/>
          <w:iCs/>
          <w:sz w:val="24"/>
          <w:szCs w:val="24"/>
        </w:rPr>
        <w:t>Mycopathologia</w:t>
      </w:r>
      <w:proofErr w:type="spellEnd"/>
      <w:r w:rsidRPr="00CE74DF">
        <w:rPr>
          <w:rFonts w:ascii="Times New Roman" w:eastAsia="Times New Roman" w:hAnsi="Times New Roman" w:cs="Times New Roman"/>
          <w:i/>
          <w:iCs/>
          <w:sz w:val="24"/>
          <w:szCs w:val="24"/>
        </w:rPr>
        <w:t>, 166</w:t>
      </w:r>
      <w:r w:rsidRPr="00CE74DF">
        <w:rPr>
          <w:rFonts w:ascii="Times New Roman" w:eastAsia="Times New Roman" w:hAnsi="Times New Roman" w:cs="Times New Roman"/>
          <w:sz w:val="24"/>
          <w:szCs w:val="24"/>
        </w:rPr>
        <w:t xml:space="preserve">(5–6), 353–367. https://doi.org/10.1007/s11046-008-9104-5 </w:t>
      </w:r>
      <w:hyperlink r:id="rId13" w:history="1">
        <w:r w:rsidRPr="00CE74DF">
          <w:rPr>
            <w:rFonts w:ascii="Times New Roman" w:eastAsia="Times New Roman" w:hAnsi="Times New Roman" w:cs="Times New Roman"/>
            <w:color w:val="0000FF"/>
            <w:sz w:val="24"/>
            <w:szCs w:val="24"/>
            <w:u w:val="single"/>
          </w:rPr>
          <w:t xml:space="preserve">(doi.org </w:t>
        </w:r>
        <w:r w:rsidR="00CE74DF">
          <w:rPr>
            <w:rFonts w:ascii="Times New Roman" w:eastAsia="Times New Roman" w:hAnsi="Times New Roman" w:cs="Times New Roman"/>
            <w:color w:val="0000FF"/>
            <w:sz w:val="24"/>
            <w:szCs w:val="24"/>
            <w:u w:val="single"/>
          </w:rPr>
          <w:tab/>
        </w:r>
        <w:r w:rsidRPr="00CE74DF">
          <w:rPr>
            <w:rFonts w:ascii="Times New Roman" w:eastAsia="Times New Roman" w:hAnsi="Times New Roman" w:cs="Times New Roman"/>
            <w:color w:val="0000FF"/>
            <w:sz w:val="24"/>
            <w:szCs w:val="24"/>
            <w:u w:val="single"/>
          </w:rPr>
          <w:t>in Bing)</w:t>
        </w:r>
      </w:hyperlink>
    </w:p>
    <w:p w14:paraId="40715AD3" w14:textId="77777777" w:rsidR="00CE72B2" w:rsidRPr="00CE74DF" w:rsidRDefault="00CE72B2" w:rsidP="00CE74DF">
      <w:pPr>
        <w:spacing w:before="100" w:beforeAutospacing="1" w:after="100" w:afterAutospacing="1" w:line="240" w:lineRule="auto"/>
        <w:rPr>
          <w:rFonts w:ascii="Times New Roman" w:eastAsia="Times New Roman" w:hAnsi="Times New Roman" w:cs="Times New Roman"/>
          <w:sz w:val="24"/>
          <w:szCs w:val="24"/>
        </w:rPr>
      </w:pPr>
      <w:proofErr w:type="spellStart"/>
      <w:r w:rsidRPr="00CE74DF">
        <w:rPr>
          <w:rFonts w:ascii="Times New Roman" w:eastAsia="Times New Roman" w:hAnsi="Times New Roman" w:cs="Times New Roman"/>
          <w:sz w:val="24"/>
          <w:szCs w:val="24"/>
        </w:rPr>
        <w:t>Havlickova</w:t>
      </w:r>
      <w:proofErr w:type="spellEnd"/>
      <w:r w:rsidRPr="00CE74DF">
        <w:rPr>
          <w:rFonts w:ascii="Times New Roman" w:eastAsia="Times New Roman" w:hAnsi="Times New Roman" w:cs="Times New Roman"/>
          <w:sz w:val="24"/>
          <w:szCs w:val="24"/>
        </w:rPr>
        <w:t xml:space="preserve">, B., </w:t>
      </w:r>
      <w:proofErr w:type="spellStart"/>
      <w:r w:rsidRPr="00CE74DF">
        <w:rPr>
          <w:rFonts w:ascii="Times New Roman" w:eastAsia="Times New Roman" w:hAnsi="Times New Roman" w:cs="Times New Roman"/>
          <w:sz w:val="24"/>
          <w:szCs w:val="24"/>
        </w:rPr>
        <w:t>Czaika</w:t>
      </w:r>
      <w:proofErr w:type="spellEnd"/>
      <w:r w:rsidRPr="00CE74DF">
        <w:rPr>
          <w:rFonts w:ascii="Times New Roman" w:eastAsia="Times New Roman" w:hAnsi="Times New Roman" w:cs="Times New Roman"/>
          <w:sz w:val="24"/>
          <w:szCs w:val="24"/>
        </w:rPr>
        <w:t xml:space="preserve">, V. A., &amp; Friedrich, M. (2008). Epidemiological trends in skin mycoses </w:t>
      </w:r>
      <w:r w:rsidR="00CE74DF">
        <w:rPr>
          <w:rFonts w:ascii="Times New Roman" w:eastAsia="Times New Roman" w:hAnsi="Times New Roman" w:cs="Times New Roman"/>
          <w:sz w:val="24"/>
          <w:szCs w:val="24"/>
        </w:rPr>
        <w:tab/>
      </w:r>
      <w:r w:rsidRPr="00CE74DF">
        <w:rPr>
          <w:rFonts w:ascii="Times New Roman" w:eastAsia="Times New Roman" w:hAnsi="Times New Roman" w:cs="Times New Roman"/>
          <w:sz w:val="24"/>
          <w:szCs w:val="24"/>
        </w:rPr>
        <w:t xml:space="preserve">worldwide. </w:t>
      </w:r>
      <w:r w:rsidRPr="00CE74DF">
        <w:rPr>
          <w:rFonts w:ascii="Times New Roman" w:eastAsia="Times New Roman" w:hAnsi="Times New Roman" w:cs="Times New Roman"/>
          <w:i/>
          <w:iCs/>
          <w:sz w:val="24"/>
          <w:szCs w:val="24"/>
        </w:rPr>
        <w:t>Mycoses, 51</w:t>
      </w:r>
      <w:r w:rsidRPr="00CE74DF">
        <w:rPr>
          <w:rFonts w:ascii="Times New Roman" w:eastAsia="Times New Roman" w:hAnsi="Times New Roman" w:cs="Times New Roman"/>
          <w:sz w:val="24"/>
          <w:szCs w:val="24"/>
        </w:rPr>
        <w:t xml:space="preserve">(Suppl. 4), 2–15. </w:t>
      </w:r>
      <w:hyperlink r:id="rId14" w:history="1">
        <w:r w:rsidR="00CE74DF" w:rsidRPr="00080948">
          <w:rPr>
            <w:rStyle w:val="Hyperlink"/>
            <w:rFonts w:ascii="Times New Roman" w:eastAsia="Times New Roman" w:hAnsi="Times New Roman" w:cs="Times New Roman"/>
            <w:sz w:val="24"/>
            <w:szCs w:val="24"/>
          </w:rPr>
          <w:t>https://doi.org/10.1111/j.1439-</w:t>
        </w:r>
      </w:hyperlink>
      <w:r w:rsidR="00CE74DF">
        <w:rPr>
          <w:rFonts w:ascii="Times New Roman" w:eastAsia="Times New Roman" w:hAnsi="Times New Roman" w:cs="Times New Roman"/>
          <w:sz w:val="24"/>
          <w:szCs w:val="24"/>
        </w:rPr>
        <w:tab/>
      </w:r>
      <w:r w:rsidRPr="00CE74DF">
        <w:rPr>
          <w:rFonts w:ascii="Times New Roman" w:eastAsia="Times New Roman" w:hAnsi="Times New Roman" w:cs="Times New Roman"/>
          <w:sz w:val="24"/>
          <w:szCs w:val="24"/>
        </w:rPr>
        <w:t xml:space="preserve">0507.2008.01606.x </w:t>
      </w:r>
      <w:hyperlink r:id="rId15" w:history="1">
        <w:r w:rsidRPr="00CE74DF">
          <w:rPr>
            <w:rFonts w:ascii="Times New Roman" w:eastAsia="Times New Roman" w:hAnsi="Times New Roman" w:cs="Times New Roman"/>
            <w:color w:val="0000FF"/>
            <w:sz w:val="24"/>
            <w:szCs w:val="24"/>
            <w:u w:val="single"/>
          </w:rPr>
          <w:t>(doi.org in Bing)</w:t>
        </w:r>
      </w:hyperlink>
    </w:p>
    <w:p w14:paraId="57B62219" w14:textId="77777777" w:rsidR="00CE72B2" w:rsidRPr="00CE74DF" w:rsidRDefault="00CE72B2" w:rsidP="00CE74DF">
      <w:pPr>
        <w:spacing w:before="100" w:beforeAutospacing="1" w:after="100" w:afterAutospacing="1" w:line="240" w:lineRule="auto"/>
        <w:rPr>
          <w:rFonts w:ascii="Times New Roman" w:eastAsia="Times New Roman" w:hAnsi="Times New Roman" w:cs="Times New Roman"/>
          <w:sz w:val="24"/>
          <w:szCs w:val="24"/>
        </w:rPr>
      </w:pPr>
      <w:r w:rsidRPr="00CE74DF">
        <w:rPr>
          <w:rFonts w:ascii="Times New Roman" w:eastAsia="Times New Roman" w:hAnsi="Times New Roman" w:cs="Times New Roman"/>
          <w:sz w:val="24"/>
          <w:szCs w:val="24"/>
        </w:rPr>
        <w:t xml:space="preserve">Hay, R. J. (2017). Superficial fungal infections. </w:t>
      </w:r>
      <w:r w:rsidRPr="00CE74DF">
        <w:rPr>
          <w:rFonts w:ascii="Times New Roman" w:eastAsia="Times New Roman" w:hAnsi="Times New Roman" w:cs="Times New Roman"/>
          <w:i/>
          <w:iCs/>
          <w:sz w:val="24"/>
          <w:szCs w:val="24"/>
        </w:rPr>
        <w:t>Medicine, 45</w:t>
      </w:r>
      <w:r w:rsidRPr="00CE74DF">
        <w:rPr>
          <w:rFonts w:ascii="Times New Roman" w:eastAsia="Times New Roman" w:hAnsi="Times New Roman" w:cs="Times New Roman"/>
          <w:sz w:val="24"/>
          <w:szCs w:val="24"/>
        </w:rPr>
        <w:t xml:space="preserve">(9), 598–601. </w:t>
      </w:r>
      <w:r w:rsidR="00CE74DF">
        <w:rPr>
          <w:rFonts w:ascii="Times New Roman" w:eastAsia="Times New Roman" w:hAnsi="Times New Roman" w:cs="Times New Roman"/>
          <w:sz w:val="24"/>
          <w:szCs w:val="24"/>
        </w:rPr>
        <w:tab/>
      </w:r>
      <w:r w:rsidRPr="00CE74DF">
        <w:rPr>
          <w:rFonts w:ascii="Times New Roman" w:eastAsia="Times New Roman" w:hAnsi="Times New Roman" w:cs="Times New Roman"/>
          <w:sz w:val="24"/>
          <w:szCs w:val="24"/>
        </w:rPr>
        <w:t xml:space="preserve">https://doi.org/10.1016/j.mpmed.2017.06.004 </w:t>
      </w:r>
      <w:hyperlink r:id="rId16" w:history="1">
        <w:r w:rsidRPr="00CE74DF">
          <w:rPr>
            <w:rFonts w:ascii="Times New Roman" w:eastAsia="Times New Roman" w:hAnsi="Times New Roman" w:cs="Times New Roman"/>
            <w:color w:val="0000FF"/>
            <w:sz w:val="24"/>
            <w:szCs w:val="24"/>
            <w:u w:val="single"/>
          </w:rPr>
          <w:t>(doi.org in Bing)</w:t>
        </w:r>
      </w:hyperlink>
    </w:p>
    <w:p w14:paraId="014703EF" w14:textId="77777777" w:rsidR="00CE72B2" w:rsidRPr="00CE74DF" w:rsidRDefault="00CE72B2" w:rsidP="00CE74DF">
      <w:pPr>
        <w:spacing w:before="100" w:beforeAutospacing="1" w:after="100" w:afterAutospacing="1" w:line="240" w:lineRule="auto"/>
        <w:rPr>
          <w:rFonts w:ascii="Times New Roman" w:eastAsia="Times New Roman" w:hAnsi="Times New Roman" w:cs="Times New Roman"/>
          <w:sz w:val="24"/>
          <w:szCs w:val="24"/>
        </w:rPr>
      </w:pPr>
      <w:r w:rsidRPr="00CE74DF">
        <w:rPr>
          <w:rFonts w:ascii="Times New Roman" w:eastAsia="Times New Roman" w:hAnsi="Times New Roman" w:cs="Times New Roman"/>
          <w:sz w:val="24"/>
          <w:szCs w:val="24"/>
        </w:rPr>
        <w:t xml:space="preserve">Kumar, P., Singh, S., &amp; Gupta, R. (2013). Dermatophytosis: Clinical and epidemiological study </w:t>
      </w:r>
      <w:r w:rsidR="00CE74DF">
        <w:rPr>
          <w:rFonts w:ascii="Times New Roman" w:eastAsia="Times New Roman" w:hAnsi="Times New Roman" w:cs="Times New Roman"/>
          <w:sz w:val="24"/>
          <w:szCs w:val="24"/>
        </w:rPr>
        <w:tab/>
      </w:r>
      <w:r w:rsidRPr="00CE74DF">
        <w:rPr>
          <w:rFonts w:ascii="Times New Roman" w:eastAsia="Times New Roman" w:hAnsi="Times New Roman" w:cs="Times New Roman"/>
          <w:sz w:val="24"/>
          <w:szCs w:val="24"/>
        </w:rPr>
        <w:t xml:space="preserve">in a tertiary care center. </w:t>
      </w:r>
      <w:r w:rsidRPr="00CE74DF">
        <w:rPr>
          <w:rFonts w:ascii="Times New Roman" w:eastAsia="Times New Roman" w:hAnsi="Times New Roman" w:cs="Times New Roman"/>
          <w:i/>
          <w:iCs/>
          <w:sz w:val="24"/>
          <w:szCs w:val="24"/>
        </w:rPr>
        <w:t>Indian Journal of Dermatology, 58</w:t>
      </w:r>
      <w:r w:rsidRPr="00CE74DF">
        <w:rPr>
          <w:rFonts w:ascii="Times New Roman" w:eastAsia="Times New Roman" w:hAnsi="Times New Roman" w:cs="Times New Roman"/>
          <w:sz w:val="24"/>
          <w:szCs w:val="24"/>
        </w:rPr>
        <w:t xml:space="preserve">(6), 467–470. </w:t>
      </w:r>
      <w:r w:rsidR="00CE74DF">
        <w:rPr>
          <w:rFonts w:ascii="Times New Roman" w:eastAsia="Times New Roman" w:hAnsi="Times New Roman" w:cs="Times New Roman"/>
          <w:sz w:val="24"/>
          <w:szCs w:val="24"/>
        </w:rPr>
        <w:tab/>
      </w:r>
      <w:r w:rsidRPr="00CE74DF">
        <w:rPr>
          <w:rFonts w:ascii="Times New Roman" w:eastAsia="Times New Roman" w:hAnsi="Times New Roman" w:cs="Times New Roman"/>
          <w:sz w:val="24"/>
          <w:szCs w:val="24"/>
        </w:rPr>
        <w:t xml:space="preserve">https://doi.org/10.4103/0019-5154.119950 </w:t>
      </w:r>
      <w:hyperlink r:id="rId17" w:history="1">
        <w:r w:rsidRPr="00CE74DF">
          <w:rPr>
            <w:rFonts w:ascii="Times New Roman" w:eastAsia="Times New Roman" w:hAnsi="Times New Roman" w:cs="Times New Roman"/>
            <w:color w:val="0000FF"/>
            <w:sz w:val="24"/>
            <w:szCs w:val="24"/>
            <w:u w:val="single"/>
          </w:rPr>
          <w:t>(doi.org in Bing)</w:t>
        </w:r>
      </w:hyperlink>
    </w:p>
    <w:p w14:paraId="1C6E9C0D" w14:textId="77777777" w:rsidR="00CE72B2" w:rsidRPr="00CE74DF" w:rsidRDefault="00CE72B2" w:rsidP="00CE74DF">
      <w:pPr>
        <w:spacing w:before="100" w:beforeAutospacing="1" w:after="100" w:afterAutospacing="1" w:line="240" w:lineRule="auto"/>
        <w:rPr>
          <w:rFonts w:ascii="Times New Roman" w:eastAsia="Times New Roman" w:hAnsi="Times New Roman" w:cs="Times New Roman"/>
          <w:sz w:val="24"/>
          <w:szCs w:val="24"/>
        </w:rPr>
      </w:pPr>
      <w:r w:rsidRPr="00CE74DF">
        <w:rPr>
          <w:rFonts w:ascii="Times New Roman" w:eastAsia="Times New Roman" w:hAnsi="Times New Roman" w:cs="Times New Roman"/>
          <w:sz w:val="24"/>
          <w:szCs w:val="24"/>
        </w:rPr>
        <w:t xml:space="preserve">Weitzman, I., &amp; </w:t>
      </w:r>
      <w:proofErr w:type="spellStart"/>
      <w:r w:rsidRPr="00CE74DF">
        <w:rPr>
          <w:rFonts w:ascii="Times New Roman" w:eastAsia="Times New Roman" w:hAnsi="Times New Roman" w:cs="Times New Roman"/>
          <w:sz w:val="24"/>
          <w:szCs w:val="24"/>
        </w:rPr>
        <w:t>Summerbell</w:t>
      </w:r>
      <w:proofErr w:type="spellEnd"/>
      <w:r w:rsidRPr="00CE74DF">
        <w:rPr>
          <w:rFonts w:ascii="Times New Roman" w:eastAsia="Times New Roman" w:hAnsi="Times New Roman" w:cs="Times New Roman"/>
          <w:sz w:val="24"/>
          <w:szCs w:val="24"/>
        </w:rPr>
        <w:t xml:space="preserve">, R. C. (1995). The dermatophytes. </w:t>
      </w:r>
      <w:r w:rsidRPr="00CE74DF">
        <w:rPr>
          <w:rFonts w:ascii="Times New Roman" w:eastAsia="Times New Roman" w:hAnsi="Times New Roman" w:cs="Times New Roman"/>
          <w:i/>
          <w:iCs/>
          <w:sz w:val="24"/>
          <w:szCs w:val="24"/>
        </w:rPr>
        <w:t xml:space="preserve">Clinical Microbiology Reviews, </w:t>
      </w:r>
      <w:r w:rsidR="00CE74DF">
        <w:rPr>
          <w:rFonts w:ascii="Times New Roman" w:eastAsia="Times New Roman" w:hAnsi="Times New Roman" w:cs="Times New Roman"/>
          <w:i/>
          <w:iCs/>
          <w:sz w:val="24"/>
          <w:szCs w:val="24"/>
        </w:rPr>
        <w:tab/>
      </w:r>
      <w:r w:rsidRPr="00CE74DF">
        <w:rPr>
          <w:rFonts w:ascii="Times New Roman" w:eastAsia="Times New Roman" w:hAnsi="Times New Roman" w:cs="Times New Roman"/>
          <w:i/>
          <w:iCs/>
          <w:sz w:val="24"/>
          <w:szCs w:val="24"/>
        </w:rPr>
        <w:t>8</w:t>
      </w:r>
      <w:r w:rsidRPr="00CE74DF">
        <w:rPr>
          <w:rFonts w:ascii="Times New Roman" w:eastAsia="Times New Roman" w:hAnsi="Times New Roman" w:cs="Times New Roman"/>
          <w:sz w:val="24"/>
          <w:szCs w:val="24"/>
        </w:rPr>
        <w:t xml:space="preserve">(2), 240–259. https://doi.org/10.1128/CMR.8.2.240 </w:t>
      </w:r>
      <w:hyperlink r:id="rId18" w:history="1">
        <w:r w:rsidRPr="00CE74DF">
          <w:rPr>
            <w:rFonts w:ascii="Times New Roman" w:eastAsia="Times New Roman" w:hAnsi="Times New Roman" w:cs="Times New Roman"/>
            <w:color w:val="0000FF"/>
            <w:sz w:val="24"/>
            <w:szCs w:val="24"/>
            <w:u w:val="single"/>
          </w:rPr>
          <w:t>(doi.org in Bing)</w:t>
        </w:r>
      </w:hyperlink>
    </w:p>
    <w:p w14:paraId="5A65695A" w14:textId="77777777" w:rsidR="00CE74DF" w:rsidRDefault="00CE74DF" w:rsidP="00CE74DF">
      <w:pPr>
        <w:jc w:val="both"/>
        <w:rPr>
          <w:rFonts w:ascii="Times New Roman" w:eastAsia="Times New Roman" w:hAnsi="Times New Roman" w:cs="Times New Roman"/>
          <w:color w:val="0000FF"/>
          <w:sz w:val="24"/>
          <w:szCs w:val="24"/>
          <w:u w:val="single"/>
        </w:rPr>
      </w:pPr>
      <w:proofErr w:type="spellStart"/>
      <w:r w:rsidRPr="0084036E">
        <w:rPr>
          <w:rFonts w:ascii="Times New Roman" w:eastAsia="Times New Roman" w:hAnsi="Times New Roman" w:cs="Times New Roman"/>
          <w:sz w:val="24"/>
          <w:szCs w:val="24"/>
        </w:rPr>
        <w:t>Havlickova</w:t>
      </w:r>
      <w:proofErr w:type="spellEnd"/>
      <w:r w:rsidRPr="0084036E">
        <w:rPr>
          <w:rFonts w:ascii="Times New Roman" w:eastAsia="Times New Roman" w:hAnsi="Times New Roman" w:cs="Times New Roman"/>
          <w:sz w:val="24"/>
          <w:szCs w:val="24"/>
        </w:rPr>
        <w:t xml:space="preserve">, B., </w:t>
      </w:r>
      <w:proofErr w:type="spellStart"/>
      <w:r w:rsidRPr="0084036E">
        <w:rPr>
          <w:rFonts w:ascii="Times New Roman" w:eastAsia="Times New Roman" w:hAnsi="Times New Roman" w:cs="Times New Roman"/>
          <w:sz w:val="24"/>
          <w:szCs w:val="24"/>
        </w:rPr>
        <w:t>Czaika</w:t>
      </w:r>
      <w:proofErr w:type="spellEnd"/>
      <w:r w:rsidRPr="0084036E">
        <w:rPr>
          <w:rFonts w:ascii="Times New Roman" w:eastAsia="Times New Roman" w:hAnsi="Times New Roman" w:cs="Times New Roman"/>
          <w:sz w:val="24"/>
          <w:szCs w:val="24"/>
        </w:rPr>
        <w:t xml:space="preserve">, V., &amp; Friedrich, M. (2020). </w:t>
      </w:r>
      <w:r w:rsidRPr="0084036E">
        <w:rPr>
          <w:rFonts w:ascii="Times New Roman" w:eastAsia="Times New Roman" w:hAnsi="Times New Roman" w:cs="Times New Roman"/>
          <w:i/>
          <w:iCs/>
          <w:sz w:val="24"/>
          <w:szCs w:val="24"/>
        </w:rPr>
        <w:t xml:space="preserve">Epidemiological trends in skin mycoses </w:t>
      </w:r>
      <w:r>
        <w:rPr>
          <w:rFonts w:ascii="Times New Roman" w:eastAsia="Times New Roman" w:hAnsi="Times New Roman" w:cs="Times New Roman"/>
          <w:i/>
          <w:iCs/>
          <w:sz w:val="24"/>
          <w:szCs w:val="24"/>
        </w:rPr>
        <w:tab/>
      </w:r>
      <w:r w:rsidRPr="0084036E">
        <w:rPr>
          <w:rFonts w:ascii="Times New Roman" w:eastAsia="Times New Roman" w:hAnsi="Times New Roman" w:cs="Times New Roman"/>
          <w:i/>
          <w:iCs/>
          <w:sz w:val="24"/>
          <w:szCs w:val="24"/>
        </w:rPr>
        <w:t>worldwide</w:t>
      </w:r>
      <w:r w:rsidRPr="0084036E">
        <w:rPr>
          <w:rFonts w:ascii="Times New Roman" w:eastAsia="Times New Roman" w:hAnsi="Times New Roman" w:cs="Times New Roman"/>
          <w:sz w:val="24"/>
          <w:szCs w:val="24"/>
        </w:rPr>
        <w:t xml:space="preserve">. Mycoses, </w:t>
      </w:r>
      <w:r w:rsidRPr="0084036E">
        <w:rPr>
          <w:rFonts w:ascii="Times New Roman" w:eastAsia="Times New Roman" w:hAnsi="Times New Roman" w:cs="Times New Roman"/>
          <w:i/>
          <w:iCs/>
          <w:sz w:val="24"/>
          <w:szCs w:val="24"/>
        </w:rPr>
        <w:t>63</w:t>
      </w:r>
      <w:r w:rsidRPr="0084036E">
        <w:rPr>
          <w:rFonts w:ascii="Times New Roman" w:eastAsia="Times New Roman" w:hAnsi="Times New Roman" w:cs="Times New Roman"/>
          <w:sz w:val="24"/>
          <w:szCs w:val="24"/>
        </w:rPr>
        <w:t xml:space="preserve">(5), 413–422. </w:t>
      </w:r>
      <w:hyperlink r:id="rId19" w:tgtFrame="_blank" w:history="1">
        <w:r w:rsidRPr="0084036E">
          <w:rPr>
            <w:rFonts w:ascii="Times New Roman" w:eastAsia="Times New Roman" w:hAnsi="Times New Roman" w:cs="Times New Roman"/>
            <w:color w:val="0000FF"/>
            <w:sz w:val="24"/>
            <w:szCs w:val="24"/>
            <w:u w:val="single"/>
          </w:rPr>
          <w:t>https://doi.org/10.1111/myc.13047</w:t>
        </w:r>
      </w:hyperlink>
    </w:p>
    <w:p w14:paraId="7F8783BC" w14:textId="77777777" w:rsidR="00C12B2A" w:rsidRPr="00A1683C" w:rsidRDefault="00C12B2A" w:rsidP="00C12B2A">
      <w:pPr>
        <w:spacing w:after="0"/>
        <w:rPr>
          <w:rFonts w:ascii="Times New Roman" w:hAnsi="Times New Roman" w:cs="Times New Roman"/>
          <w:sz w:val="24"/>
          <w:szCs w:val="24"/>
        </w:rPr>
      </w:pPr>
      <w:r w:rsidRPr="00A1683C">
        <w:rPr>
          <w:rFonts w:ascii="Times New Roman" w:hAnsi="Times New Roman" w:cs="Times New Roman"/>
          <w:sz w:val="24"/>
          <w:szCs w:val="24"/>
        </w:rPr>
        <w:t xml:space="preserve">Lopes G, Pinto E, </w:t>
      </w:r>
      <w:proofErr w:type="spellStart"/>
      <w:r w:rsidRPr="00A1683C">
        <w:rPr>
          <w:rFonts w:ascii="Times New Roman" w:hAnsi="Times New Roman" w:cs="Times New Roman"/>
          <w:sz w:val="24"/>
          <w:szCs w:val="24"/>
        </w:rPr>
        <w:t>Salgueiro</w:t>
      </w:r>
      <w:proofErr w:type="spellEnd"/>
      <w:r w:rsidRPr="00A1683C">
        <w:rPr>
          <w:rFonts w:ascii="Times New Roman" w:hAnsi="Times New Roman" w:cs="Times New Roman"/>
          <w:sz w:val="24"/>
          <w:szCs w:val="24"/>
        </w:rPr>
        <w:t xml:space="preserve"> L. </w:t>
      </w:r>
      <w:r>
        <w:rPr>
          <w:rFonts w:ascii="Times New Roman" w:hAnsi="Times New Roman" w:cs="Times New Roman"/>
          <w:sz w:val="24"/>
          <w:szCs w:val="24"/>
        </w:rPr>
        <w:t xml:space="preserve">(2017) </w:t>
      </w:r>
      <w:r w:rsidRPr="00A1683C">
        <w:rPr>
          <w:rFonts w:ascii="Times New Roman" w:hAnsi="Times New Roman" w:cs="Times New Roman"/>
          <w:sz w:val="24"/>
          <w:szCs w:val="24"/>
        </w:rPr>
        <w:t>Natural products:</w:t>
      </w:r>
      <w:r>
        <w:rPr>
          <w:rFonts w:ascii="Times New Roman" w:hAnsi="Times New Roman" w:cs="Times New Roman"/>
          <w:sz w:val="24"/>
          <w:szCs w:val="24"/>
        </w:rPr>
        <w:t xml:space="preserve"> an alternative to conventional </w:t>
      </w:r>
      <w:r w:rsidRPr="00A1683C">
        <w:rPr>
          <w:rFonts w:ascii="Times New Roman" w:hAnsi="Times New Roman" w:cs="Times New Roman"/>
          <w:sz w:val="24"/>
          <w:szCs w:val="24"/>
        </w:rPr>
        <w:t xml:space="preserve">therapy </w:t>
      </w:r>
      <w:r>
        <w:rPr>
          <w:rFonts w:ascii="Times New Roman" w:hAnsi="Times New Roman" w:cs="Times New Roman"/>
          <w:sz w:val="24"/>
          <w:szCs w:val="24"/>
        </w:rPr>
        <w:tab/>
      </w:r>
      <w:r w:rsidRPr="00A1683C">
        <w:rPr>
          <w:rFonts w:ascii="Times New Roman" w:hAnsi="Times New Roman" w:cs="Times New Roman"/>
          <w:sz w:val="24"/>
          <w:szCs w:val="24"/>
        </w:rPr>
        <w:t>for derma</w:t>
      </w:r>
      <w:r>
        <w:rPr>
          <w:rFonts w:ascii="Times New Roman" w:hAnsi="Times New Roman" w:cs="Times New Roman"/>
          <w:sz w:val="24"/>
          <w:szCs w:val="24"/>
        </w:rPr>
        <w:t xml:space="preserve">tophytosis? </w:t>
      </w:r>
      <w:proofErr w:type="spellStart"/>
      <w:r>
        <w:rPr>
          <w:rFonts w:ascii="Times New Roman" w:hAnsi="Times New Roman" w:cs="Times New Roman"/>
          <w:sz w:val="24"/>
          <w:szCs w:val="24"/>
        </w:rPr>
        <w:t>Mycopathologia</w:t>
      </w:r>
      <w:proofErr w:type="spellEnd"/>
      <w:r>
        <w:rPr>
          <w:rFonts w:ascii="Times New Roman" w:hAnsi="Times New Roman" w:cs="Times New Roman"/>
          <w:sz w:val="24"/>
          <w:szCs w:val="24"/>
        </w:rPr>
        <w:t xml:space="preserve">. </w:t>
      </w:r>
      <w:r w:rsidRPr="00A1683C">
        <w:rPr>
          <w:rFonts w:ascii="Times New Roman" w:hAnsi="Times New Roman" w:cs="Times New Roman"/>
          <w:sz w:val="24"/>
          <w:szCs w:val="24"/>
        </w:rPr>
        <w:t>182(1</w:t>
      </w:r>
      <w:r>
        <w:rPr>
          <w:rFonts w:ascii="Times New Roman" w:hAnsi="Times New Roman" w:cs="Times New Roman"/>
          <w:sz w:val="24"/>
          <w:szCs w:val="24"/>
        </w:rPr>
        <w:t xml:space="preserve">-2):143-67.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10.1007/ </w:t>
      </w:r>
      <w:r w:rsidRPr="00A1683C">
        <w:rPr>
          <w:rFonts w:ascii="Times New Roman" w:hAnsi="Times New Roman" w:cs="Times New Roman"/>
          <w:sz w:val="24"/>
          <w:szCs w:val="24"/>
        </w:rPr>
        <w:t>s11046-016-0081-</w:t>
      </w:r>
      <w:r>
        <w:rPr>
          <w:rFonts w:ascii="Times New Roman" w:hAnsi="Times New Roman" w:cs="Times New Roman"/>
          <w:sz w:val="24"/>
          <w:szCs w:val="24"/>
        </w:rPr>
        <w:tab/>
      </w:r>
      <w:r w:rsidRPr="00A1683C">
        <w:rPr>
          <w:rFonts w:ascii="Times New Roman" w:hAnsi="Times New Roman" w:cs="Times New Roman"/>
          <w:sz w:val="24"/>
          <w:szCs w:val="24"/>
        </w:rPr>
        <w:t>9, PMID 27771883.</w:t>
      </w:r>
    </w:p>
    <w:p w14:paraId="0CD5CA52" w14:textId="77777777" w:rsidR="00C12B2A" w:rsidRPr="008E034A" w:rsidRDefault="00C12B2A" w:rsidP="00C12B2A">
      <w:pPr>
        <w:spacing w:before="100" w:beforeAutospacing="1" w:after="100" w:afterAutospacing="1"/>
        <w:rPr>
          <w:rFonts w:ascii="Times New Roman" w:hAnsi="Times New Roman" w:cs="Times New Roman"/>
          <w:sz w:val="24"/>
          <w:szCs w:val="24"/>
        </w:rPr>
      </w:pPr>
      <w:r w:rsidRPr="008E034A">
        <w:rPr>
          <w:rFonts w:ascii="Times New Roman" w:hAnsi="Times New Roman" w:cs="Times New Roman"/>
          <w:sz w:val="24"/>
          <w:szCs w:val="24"/>
        </w:rPr>
        <w:t xml:space="preserve">Mishra, R. R., Choudhary, D., &amp; Verma, H. (2022). Global distribution and prevalence of </w:t>
      </w:r>
      <w:r>
        <w:rPr>
          <w:rFonts w:ascii="Times New Roman" w:hAnsi="Times New Roman" w:cs="Times New Roman"/>
          <w:sz w:val="24"/>
          <w:szCs w:val="24"/>
        </w:rPr>
        <w:tab/>
      </w:r>
      <w:r w:rsidRPr="008E034A">
        <w:rPr>
          <w:rStyle w:val="Emphasis"/>
          <w:rFonts w:ascii="Times New Roman" w:hAnsi="Times New Roman" w:cs="Times New Roman"/>
          <w:sz w:val="24"/>
          <w:szCs w:val="24"/>
        </w:rPr>
        <w:t>Trichophyton rubrum</w:t>
      </w:r>
      <w:r w:rsidRPr="008E034A">
        <w:rPr>
          <w:rFonts w:ascii="Times New Roman" w:hAnsi="Times New Roman" w:cs="Times New Roman"/>
          <w:sz w:val="24"/>
          <w:szCs w:val="24"/>
        </w:rPr>
        <w:t xml:space="preserve"> infections: A review of recent epidemiological trends. </w:t>
      </w:r>
      <w:r w:rsidRPr="008E034A">
        <w:rPr>
          <w:rStyle w:val="Emphasis"/>
          <w:rFonts w:ascii="Times New Roman" w:hAnsi="Times New Roman" w:cs="Times New Roman"/>
          <w:sz w:val="24"/>
          <w:szCs w:val="24"/>
        </w:rPr>
        <w:t xml:space="preserve">Mycological </w:t>
      </w:r>
      <w:r>
        <w:rPr>
          <w:rStyle w:val="Emphasis"/>
          <w:rFonts w:ascii="Times New Roman" w:hAnsi="Times New Roman" w:cs="Times New Roman"/>
          <w:sz w:val="24"/>
          <w:szCs w:val="24"/>
        </w:rPr>
        <w:tab/>
      </w:r>
      <w:r w:rsidRPr="008E034A">
        <w:rPr>
          <w:rStyle w:val="Emphasis"/>
          <w:rFonts w:ascii="Times New Roman" w:hAnsi="Times New Roman" w:cs="Times New Roman"/>
          <w:sz w:val="24"/>
          <w:szCs w:val="24"/>
        </w:rPr>
        <w:t>Progress</w:t>
      </w:r>
      <w:r w:rsidRPr="008E034A">
        <w:rPr>
          <w:rFonts w:ascii="Times New Roman" w:hAnsi="Times New Roman" w:cs="Times New Roman"/>
          <w:sz w:val="24"/>
          <w:szCs w:val="24"/>
        </w:rPr>
        <w:t>, 21(5), 487-497. https://doi.org/10.1007/s11557-022-01687-w</w:t>
      </w:r>
    </w:p>
    <w:p w14:paraId="00BF6B8F" w14:textId="77777777" w:rsidR="00C12B2A" w:rsidRDefault="00C12B2A" w:rsidP="00C12B2A">
      <w:pPr>
        <w:spacing w:before="100" w:beforeAutospacing="1" w:after="100" w:afterAutospacing="1" w:line="240" w:lineRule="auto"/>
        <w:rPr>
          <w:rFonts w:ascii="Times New Roman" w:eastAsia="Times New Roman" w:hAnsi="Times New Roman" w:cs="Times New Roman"/>
          <w:color w:val="0000FF"/>
          <w:sz w:val="24"/>
          <w:szCs w:val="24"/>
          <w:u w:val="single"/>
        </w:rPr>
      </w:pPr>
      <w:proofErr w:type="spellStart"/>
      <w:r w:rsidRPr="0084036E">
        <w:rPr>
          <w:rFonts w:ascii="Times New Roman" w:eastAsia="Times New Roman" w:hAnsi="Times New Roman" w:cs="Times New Roman"/>
          <w:sz w:val="24"/>
          <w:szCs w:val="24"/>
        </w:rPr>
        <w:t>Nweze</w:t>
      </w:r>
      <w:proofErr w:type="spellEnd"/>
      <w:r w:rsidRPr="0084036E">
        <w:rPr>
          <w:rFonts w:ascii="Times New Roman" w:eastAsia="Times New Roman" w:hAnsi="Times New Roman" w:cs="Times New Roman"/>
          <w:sz w:val="24"/>
          <w:szCs w:val="24"/>
        </w:rPr>
        <w:t xml:space="preserve">, E., Eke, I., &amp; Okafor, J. (2023). </w:t>
      </w:r>
      <w:r w:rsidRPr="00304A9B">
        <w:rPr>
          <w:rFonts w:ascii="Times New Roman" w:eastAsia="Times New Roman" w:hAnsi="Times New Roman" w:cs="Times New Roman"/>
          <w:iCs/>
          <w:sz w:val="24"/>
          <w:szCs w:val="24"/>
        </w:rPr>
        <w:t xml:space="preserve">Dermatophyte infections in Africa: Current trends and </w:t>
      </w:r>
      <w:r w:rsidRPr="00304A9B">
        <w:rPr>
          <w:rFonts w:ascii="Times New Roman" w:eastAsia="Times New Roman" w:hAnsi="Times New Roman" w:cs="Times New Roman"/>
          <w:iCs/>
          <w:sz w:val="24"/>
          <w:szCs w:val="24"/>
        </w:rPr>
        <w:tab/>
        <w:t>challenges</w:t>
      </w:r>
      <w:r w:rsidRPr="00304A9B">
        <w:rPr>
          <w:rFonts w:ascii="Times New Roman" w:eastAsia="Times New Roman" w:hAnsi="Times New Roman" w:cs="Times New Roman"/>
          <w:sz w:val="24"/>
          <w:szCs w:val="24"/>
        </w:rPr>
        <w:t>.</w:t>
      </w:r>
      <w:r w:rsidRPr="0084036E">
        <w:rPr>
          <w:rFonts w:ascii="Times New Roman" w:eastAsia="Times New Roman" w:hAnsi="Times New Roman" w:cs="Times New Roman"/>
          <w:sz w:val="24"/>
          <w:szCs w:val="24"/>
        </w:rPr>
        <w:t xml:space="preserve"> </w:t>
      </w:r>
      <w:r w:rsidRPr="00304A9B">
        <w:rPr>
          <w:rFonts w:ascii="Times New Roman" w:eastAsia="Times New Roman" w:hAnsi="Times New Roman" w:cs="Times New Roman"/>
          <w:i/>
          <w:sz w:val="24"/>
          <w:szCs w:val="24"/>
        </w:rPr>
        <w:t>Clinical, Cosmetic and Investigational Dermatology</w:t>
      </w:r>
      <w:r w:rsidRPr="0084036E">
        <w:rPr>
          <w:rFonts w:ascii="Times New Roman" w:eastAsia="Times New Roman" w:hAnsi="Times New Roman" w:cs="Times New Roman"/>
          <w:sz w:val="24"/>
          <w:szCs w:val="24"/>
        </w:rPr>
        <w:t xml:space="preserve">, </w:t>
      </w:r>
      <w:r w:rsidRPr="0084036E">
        <w:rPr>
          <w:rFonts w:ascii="Times New Roman" w:eastAsia="Times New Roman" w:hAnsi="Times New Roman" w:cs="Times New Roman"/>
          <w:i/>
          <w:iCs/>
          <w:sz w:val="24"/>
          <w:szCs w:val="24"/>
        </w:rPr>
        <w:t>16</w:t>
      </w:r>
      <w:r w:rsidRPr="0084036E">
        <w:rPr>
          <w:rFonts w:ascii="Times New Roman" w:eastAsia="Times New Roman" w:hAnsi="Times New Roman" w:cs="Times New Roman"/>
          <w:sz w:val="24"/>
          <w:szCs w:val="24"/>
        </w:rPr>
        <w:t xml:space="preserve">, 1–12. </w:t>
      </w:r>
      <w:r>
        <w:rPr>
          <w:rFonts w:ascii="Times New Roman" w:eastAsia="Times New Roman" w:hAnsi="Times New Roman" w:cs="Times New Roman"/>
          <w:sz w:val="24"/>
          <w:szCs w:val="24"/>
        </w:rPr>
        <w:tab/>
      </w:r>
      <w:hyperlink r:id="rId20" w:tgtFrame="_blank" w:history="1">
        <w:r w:rsidRPr="0084036E">
          <w:rPr>
            <w:rFonts w:ascii="Times New Roman" w:eastAsia="Times New Roman" w:hAnsi="Times New Roman" w:cs="Times New Roman"/>
            <w:color w:val="0000FF"/>
            <w:sz w:val="24"/>
            <w:szCs w:val="24"/>
            <w:u w:val="single"/>
          </w:rPr>
          <w:t>https://doi.org/10.2147/CCID.S389456</w:t>
        </w:r>
      </w:hyperlink>
    </w:p>
    <w:p w14:paraId="4A8DF02A" w14:textId="77777777" w:rsidR="00C12B2A" w:rsidRDefault="00C12B2A" w:rsidP="00C12B2A">
      <w:pPr>
        <w:rPr>
          <w:rFonts w:ascii="Times New Roman" w:hAnsi="Times New Roman" w:cs="Times New Roman"/>
          <w:sz w:val="24"/>
          <w:szCs w:val="24"/>
        </w:rPr>
      </w:pPr>
      <w:proofErr w:type="spellStart"/>
      <w:r>
        <w:rPr>
          <w:rFonts w:ascii="Times New Roman" w:hAnsi="Times New Roman" w:cs="Times New Roman"/>
          <w:sz w:val="24"/>
          <w:szCs w:val="24"/>
        </w:rPr>
        <w:t>Shinkafi</w:t>
      </w:r>
      <w:proofErr w:type="spellEnd"/>
      <w:r>
        <w:rPr>
          <w:rFonts w:ascii="Times New Roman" w:hAnsi="Times New Roman" w:cs="Times New Roman"/>
          <w:sz w:val="24"/>
          <w:szCs w:val="24"/>
        </w:rPr>
        <w:t>, S.A,</w:t>
      </w:r>
      <w:r w:rsidRPr="00E376C7">
        <w:rPr>
          <w:rFonts w:ascii="Times New Roman" w:hAnsi="Times New Roman" w:cs="Times New Roman"/>
          <w:sz w:val="24"/>
          <w:szCs w:val="24"/>
        </w:rPr>
        <w:t xml:space="preserve"> Mohammed, N and Zainab, I.A. (2016) Isolation and Identification of Fungi from </w:t>
      </w:r>
      <w:r>
        <w:rPr>
          <w:rFonts w:ascii="Times New Roman" w:hAnsi="Times New Roman" w:cs="Times New Roman"/>
          <w:sz w:val="24"/>
          <w:szCs w:val="24"/>
        </w:rPr>
        <w:tab/>
      </w:r>
      <w:r w:rsidRPr="00E376C7">
        <w:rPr>
          <w:rFonts w:ascii="Times New Roman" w:hAnsi="Times New Roman" w:cs="Times New Roman"/>
          <w:sz w:val="24"/>
          <w:szCs w:val="24"/>
        </w:rPr>
        <w:t xml:space="preserve">Patients Attending </w:t>
      </w:r>
      <w:proofErr w:type="spellStart"/>
      <w:r w:rsidRPr="00E376C7">
        <w:rPr>
          <w:rFonts w:ascii="Times New Roman" w:hAnsi="Times New Roman" w:cs="Times New Roman"/>
          <w:sz w:val="24"/>
          <w:szCs w:val="24"/>
        </w:rPr>
        <w:t>Amanawa</w:t>
      </w:r>
      <w:proofErr w:type="spellEnd"/>
      <w:r w:rsidRPr="00E376C7">
        <w:rPr>
          <w:rFonts w:ascii="Times New Roman" w:hAnsi="Times New Roman" w:cs="Times New Roman"/>
          <w:sz w:val="24"/>
          <w:szCs w:val="24"/>
        </w:rPr>
        <w:t xml:space="preserve"> General Hospital Sokoto State, </w:t>
      </w:r>
      <w:r w:rsidRPr="00E3654A">
        <w:rPr>
          <w:rFonts w:ascii="Times New Roman" w:hAnsi="Times New Roman" w:cs="Times New Roman"/>
          <w:i/>
          <w:sz w:val="24"/>
          <w:szCs w:val="24"/>
        </w:rPr>
        <w:t xml:space="preserve">Nigeria. International </w:t>
      </w:r>
      <w:r w:rsidRPr="00E3654A">
        <w:rPr>
          <w:rFonts w:ascii="Times New Roman" w:hAnsi="Times New Roman" w:cs="Times New Roman"/>
          <w:i/>
          <w:sz w:val="24"/>
          <w:szCs w:val="24"/>
        </w:rPr>
        <w:tab/>
        <w:t>Journal of Science for Global Sustainability</w:t>
      </w:r>
      <w:r w:rsidRPr="00E376C7">
        <w:rPr>
          <w:rFonts w:ascii="Times New Roman" w:hAnsi="Times New Roman" w:cs="Times New Roman"/>
          <w:sz w:val="24"/>
          <w:szCs w:val="24"/>
        </w:rPr>
        <w:t xml:space="preserve"> 2(2) 2488-9229</w:t>
      </w:r>
    </w:p>
    <w:p w14:paraId="42436356" w14:textId="77777777" w:rsidR="00C12B2A" w:rsidRDefault="00C12B2A" w:rsidP="00C12B2A">
      <w:pPr>
        <w:spacing w:after="0"/>
        <w:rPr>
          <w:rFonts w:ascii="Times New Roman" w:hAnsi="Times New Roman" w:cs="Times New Roman"/>
          <w:sz w:val="24"/>
          <w:szCs w:val="24"/>
        </w:rPr>
      </w:pPr>
      <w:proofErr w:type="spellStart"/>
      <w:r>
        <w:rPr>
          <w:rFonts w:ascii="Times New Roman" w:hAnsi="Times New Roman" w:cs="Times New Roman"/>
          <w:sz w:val="24"/>
          <w:szCs w:val="24"/>
        </w:rPr>
        <w:t>Tyona</w:t>
      </w:r>
      <w:proofErr w:type="spellEnd"/>
      <w:r>
        <w:rPr>
          <w:rFonts w:ascii="Times New Roman" w:hAnsi="Times New Roman" w:cs="Times New Roman"/>
          <w:sz w:val="24"/>
          <w:szCs w:val="24"/>
        </w:rPr>
        <w:t xml:space="preserve"> M N, </w:t>
      </w:r>
      <w:proofErr w:type="spellStart"/>
      <w:r w:rsidRPr="00B47B16">
        <w:rPr>
          <w:rFonts w:ascii="Times New Roman" w:hAnsi="Times New Roman" w:cs="Times New Roman"/>
          <w:sz w:val="24"/>
          <w:szCs w:val="24"/>
        </w:rPr>
        <w:t>Gberikon</w:t>
      </w:r>
      <w:proofErr w:type="spellEnd"/>
      <w:r>
        <w:rPr>
          <w:rFonts w:ascii="Times New Roman" w:hAnsi="Times New Roman" w:cs="Times New Roman"/>
          <w:sz w:val="24"/>
          <w:szCs w:val="24"/>
        </w:rPr>
        <w:t xml:space="preserve"> G M, Sar TT (2024) </w:t>
      </w:r>
      <w:r w:rsidRPr="00B47B16">
        <w:rPr>
          <w:rFonts w:ascii="Times New Roman" w:hAnsi="Times New Roman" w:cs="Times New Roman"/>
          <w:sz w:val="24"/>
          <w:szCs w:val="24"/>
        </w:rPr>
        <w:t>Molecular Identification of Trich</w:t>
      </w:r>
      <w:r>
        <w:rPr>
          <w:rFonts w:ascii="Times New Roman" w:hAnsi="Times New Roman" w:cs="Times New Roman"/>
          <w:sz w:val="24"/>
          <w:szCs w:val="24"/>
        </w:rPr>
        <w:t xml:space="preserve">ophyton Rubrum </w:t>
      </w:r>
      <w:r>
        <w:rPr>
          <w:rFonts w:ascii="Times New Roman" w:hAnsi="Times New Roman" w:cs="Times New Roman"/>
          <w:sz w:val="24"/>
          <w:szCs w:val="24"/>
        </w:rPr>
        <w:tab/>
      </w:r>
      <w:r w:rsidRPr="00B47B16">
        <w:rPr>
          <w:rFonts w:ascii="Times New Roman" w:hAnsi="Times New Roman" w:cs="Times New Roman"/>
          <w:sz w:val="24"/>
          <w:szCs w:val="24"/>
        </w:rPr>
        <w:t xml:space="preserve">Onychomycosis at Health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in Benue State, </w:t>
      </w:r>
      <w:proofErr w:type="spellStart"/>
      <w:r>
        <w:rPr>
          <w:rFonts w:ascii="Times New Roman" w:hAnsi="Times New Roman" w:cs="Times New Roman"/>
          <w:sz w:val="24"/>
          <w:szCs w:val="24"/>
        </w:rPr>
        <w:t>Nigeria.</w:t>
      </w:r>
      <w:r w:rsidRPr="00A37D0E">
        <w:rPr>
          <w:rFonts w:ascii="Times New Roman" w:hAnsi="Times New Roman" w:cs="Times New Roman"/>
          <w:i/>
          <w:sz w:val="24"/>
          <w:szCs w:val="24"/>
        </w:rPr>
        <w:t>International</w:t>
      </w:r>
      <w:proofErr w:type="spellEnd"/>
      <w:r w:rsidRPr="00A37D0E">
        <w:rPr>
          <w:rFonts w:ascii="Times New Roman" w:hAnsi="Times New Roman" w:cs="Times New Roman"/>
          <w:i/>
          <w:sz w:val="24"/>
          <w:szCs w:val="24"/>
        </w:rPr>
        <w:t xml:space="preserve"> Journal of </w:t>
      </w:r>
      <w:r w:rsidRPr="00A37D0E">
        <w:rPr>
          <w:rFonts w:ascii="Times New Roman" w:hAnsi="Times New Roman" w:cs="Times New Roman"/>
          <w:i/>
          <w:sz w:val="24"/>
          <w:szCs w:val="24"/>
        </w:rPr>
        <w:tab/>
        <w:t>Research and Innovation in Applied Science,</w:t>
      </w:r>
      <w:r>
        <w:rPr>
          <w:rFonts w:ascii="Times New Roman" w:hAnsi="Times New Roman" w:cs="Times New Roman"/>
          <w:sz w:val="24"/>
          <w:szCs w:val="24"/>
        </w:rPr>
        <w:t xml:space="preserve"> 9(3) </w:t>
      </w:r>
      <w:r w:rsidRPr="00B47B16">
        <w:rPr>
          <w:rFonts w:ascii="Times New Roman" w:hAnsi="Times New Roman" w:cs="Times New Roman"/>
          <w:sz w:val="24"/>
          <w:szCs w:val="24"/>
        </w:rPr>
        <w:t>2454-</w:t>
      </w:r>
      <w:r>
        <w:rPr>
          <w:rFonts w:ascii="Times New Roman" w:hAnsi="Times New Roman" w:cs="Times New Roman"/>
          <w:sz w:val="24"/>
          <w:szCs w:val="24"/>
        </w:rPr>
        <w:t xml:space="preserve"> </w:t>
      </w:r>
      <w:hyperlink r:id="rId21" w:history="1">
        <w:r w:rsidRPr="00B012A4">
          <w:rPr>
            <w:rStyle w:val="Hyperlink"/>
            <w:sz w:val="24"/>
            <w:szCs w:val="24"/>
          </w:rPr>
          <w:t>www.rsisinternational.org</w:t>
        </w:r>
      </w:hyperlink>
    </w:p>
    <w:p w14:paraId="2E46A4A6" w14:textId="77777777" w:rsidR="00C12B2A" w:rsidRPr="00443222" w:rsidRDefault="00C12B2A" w:rsidP="00C12B2A">
      <w:pPr>
        <w:spacing w:before="100" w:beforeAutospacing="1" w:after="100" w:afterAutospacing="1"/>
        <w:rPr>
          <w:rFonts w:ascii="Times New Roman" w:hAnsi="Times New Roman" w:cs="Times New Roman"/>
          <w:sz w:val="24"/>
          <w:szCs w:val="24"/>
        </w:rPr>
      </w:pPr>
      <w:r w:rsidRPr="00443222">
        <w:rPr>
          <w:rFonts w:ascii="Times New Roman" w:hAnsi="Times New Roman" w:cs="Times New Roman"/>
          <w:sz w:val="24"/>
          <w:szCs w:val="24"/>
        </w:rPr>
        <w:lastRenderedPageBreak/>
        <w:t xml:space="preserve">Verma, S., Gupta, S., &amp; Kumar, N. (2020). Environmental factors influencing the prevalence of </w:t>
      </w:r>
      <w:r>
        <w:rPr>
          <w:rFonts w:ascii="Times New Roman" w:hAnsi="Times New Roman" w:cs="Times New Roman"/>
          <w:sz w:val="24"/>
          <w:szCs w:val="24"/>
        </w:rPr>
        <w:tab/>
      </w:r>
      <w:r w:rsidRPr="00443222">
        <w:rPr>
          <w:rFonts w:ascii="Times New Roman" w:hAnsi="Times New Roman" w:cs="Times New Roman"/>
          <w:sz w:val="24"/>
          <w:szCs w:val="24"/>
        </w:rPr>
        <w:t xml:space="preserve">dermatophyte infections in urban settings. </w:t>
      </w:r>
      <w:r w:rsidRPr="00443222">
        <w:rPr>
          <w:rStyle w:val="Emphasis"/>
          <w:rFonts w:ascii="Times New Roman" w:hAnsi="Times New Roman" w:cs="Times New Roman"/>
          <w:sz w:val="24"/>
          <w:szCs w:val="24"/>
        </w:rPr>
        <w:t>Mycoses</w:t>
      </w:r>
      <w:r w:rsidRPr="00443222">
        <w:rPr>
          <w:rFonts w:ascii="Times New Roman" w:hAnsi="Times New Roman" w:cs="Times New Roman"/>
          <w:sz w:val="24"/>
          <w:szCs w:val="24"/>
        </w:rPr>
        <w:t xml:space="preserve">, 63(5), 451-457. </w:t>
      </w:r>
      <w:r>
        <w:rPr>
          <w:rFonts w:ascii="Times New Roman" w:hAnsi="Times New Roman" w:cs="Times New Roman"/>
          <w:sz w:val="24"/>
          <w:szCs w:val="24"/>
        </w:rPr>
        <w:tab/>
      </w:r>
      <w:r w:rsidRPr="00443222">
        <w:rPr>
          <w:rFonts w:ascii="Times New Roman" w:hAnsi="Times New Roman" w:cs="Times New Roman"/>
          <w:sz w:val="24"/>
          <w:szCs w:val="24"/>
        </w:rPr>
        <w:t>https://doi.org/10.1111/myc.13079</w:t>
      </w:r>
    </w:p>
    <w:p w14:paraId="672735F1" w14:textId="77777777" w:rsidR="00C12B2A" w:rsidRPr="00E376C7" w:rsidRDefault="00C12B2A" w:rsidP="00C12B2A">
      <w:pPr>
        <w:rPr>
          <w:rFonts w:ascii="Times New Roman" w:hAnsi="Times New Roman" w:cs="Times New Roman"/>
          <w:sz w:val="24"/>
          <w:szCs w:val="24"/>
        </w:rPr>
      </w:pPr>
    </w:p>
    <w:p w14:paraId="664D3CE2" w14:textId="77777777" w:rsidR="00CE72B2" w:rsidRPr="00CE74DF" w:rsidRDefault="00CE72B2" w:rsidP="00CE72B2">
      <w:pPr>
        <w:spacing w:before="100" w:beforeAutospacing="1" w:after="100" w:afterAutospacing="1" w:line="480" w:lineRule="auto"/>
        <w:jc w:val="both"/>
        <w:rPr>
          <w:rFonts w:ascii="Times New Roman" w:hAnsi="Times New Roman" w:cs="Times New Roman"/>
          <w:sz w:val="24"/>
          <w:szCs w:val="24"/>
        </w:rPr>
      </w:pPr>
    </w:p>
    <w:p w14:paraId="3C259E3E" w14:textId="77777777" w:rsidR="00CE72B2" w:rsidRPr="00CE74DF" w:rsidRDefault="00CE72B2" w:rsidP="00CE72B2">
      <w:pPr>
        <w:spacing w:before="100" w:beforeAutospacing="1" w:after="100" w:afterAutospacing="1" w:line="480" w:lineRule="auto"/>
        <w:jc w:val="both"/>
        <w:rPr>
          <w:rFonts w:ascii="Times New Roman" w:eastAsia="Times New Roman" w:hAnsi="Times New Roman" w:cs="Times New Roman"/>
          <w:bCs/>
          <w:sz w:val="24"/>
          <w:szCs w:val="24"/>
        </w:rPr>
      </w:pPr>
    </w:p>
    <w:p w14:paraId="0A3478D5" w14:textId="77777777" w:rsidR="00CE72B2" w:rsidRPr="00CE74DF" w:rsidRDefault="00CE72B2" w:rsidP="00CE72B2">
      <w:pPr>
        <w:spacing w:before="100" w:beforeAutospacing="1" w:after="100" w:afterAutospacing="1" w:line="240" w:lineRule="auto"/>
        <w:rPr>
          <w:rFonts w:ascii="Times New Roman" w:eastAsia="Times New Roman" w:hAnsi="Times New Roman" w:cs="Times New Roman"/>
          <w:sz w:val="24"/>
          <w:szCs w:val="24"/>
        </w:rPr>
      </w:pPr>
    </w:p>
    <w:p w14:paraId="1A0C41B9" w14:textId="77777777" w:rsidR="00BC16D1" w:rsidRPr="00CE74DF" w:rsidRDefault="00BC16D1" w:rsidP="00F707A8">
      <w:pPr>
        <w:spacing w:line="240" w:lineRule="auto"/>
        <w:jc w:val="both"/>
        <w:rPr>
          <w:rFonts w:ascii="Times New Roman" w:hAnsi="Times New Roman" w:cs="Times New Roman"/>
          <w:sz w:val="24"/>
          <w:szCs w:val="24"/>
        </w:rPr>
      </w:pPr>
    </w:p>
    <w:sectPr w:rsidR="00BC16D1" w:rsidRPr="00CE74DF">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DB753" w14:textId="77777777" w:rsidR="002B1EB3" w:rsidRDefault="002B1EB3" w:rsidP="007B5202">
      <w:pPr>
        <w:spacing w:after="0" w:line="240" w:lineRule="auto"/>
      </w:pPr>
      <w:r>
        <w:separator/>
      </w:r>
    </w:p>
  </w:endnote>
  <w:endnote w:type="continuationSeparator" w:id="0">
    <w:p w14:paraId="52334AB6" w14:textId="77777777" w:rsidR="002B1EB3" w:rsidRDefault="002B1EB3" w:rsidP="007B5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4A6C2" w14:textId="77777777" w:rsidR="007B5202" w:rsidRDefault="007B5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D7818" w14:textId="77777777" w:rsidR="007B5202" w:rsidRDefault="007B5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62907" w14:textId="77777777" w:rsidR="007B5202" w:rsidRDefault="007B5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6331A" w14:textId="77777777" w:rsidR="002B1EB3" w:rsidRDefault="002B1EB3" w:rsidP="007B5202">
      <w:pPr>
        <w:spacing w:after="0" w:line="240" w:lineRule="auto"/>
      </w:pPr>
      <w:r>
        <w:separator/>
      </w:r>
    </w:p>
  </w:footnote>
  <w:footnote w:type="continuationSeparator" w:id="0">
    <w:p w14:paraId="09BEB90C" w14:textId="77777777" w:rsidR="002B1EB3" w:rsidRDefault="002B1EB3" w:rsidP="007B5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30D1A" w14:textId="2657B7B8" w:rsidR="007B5202" w:rsidRDefault="002B1EB3">
    <w:pPr>
      <w:pStyle w:val="Header"/>
    </w:pPr>
    <w:r>
      <w:rPr>
        <w:noProof/>
      </w:rPr>
      <w:pict w14:anchorId="2EFC7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3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53FD" w14:textId="36DB1F59" w:rsidR="007B5202" w:rsidRDefault="002B1EB3">
    <w:pPr>
      <w:pStyle w:val="Header"/>
    </w:pPr>
    <w:r>
      <w:rPr>
        <w:noProof/>
      </w:rPr>
      <w:pict w14:anchorId="53888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3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FEC8" w14:textId="13CCF0A3" w:rsidR="007B5202" w:rsidRDefault="002B1EB3">
    <w:pPr>
      <w:pStyle w:val="Header"/>
    </w:pPr>
    <w:r>
      <w:rPr>
        <w:noProof/>
      </w:rPr>
      <w:pict w14:anchorId="49210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3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2E3B"/>
    <w:multiLevelType w:val="multilevel"/>
    <w:tmpl w:val="9370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9038E"/>
    <w:multiLevelType w:val="multilevel"/>
    <w:tmpl w:val="0770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4107B"/>
    <w:multiLevelType w:val="multilevel"/>
    <w:tmpl w:val="CB3C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C0A51"/>
    <w:multiLevelType w:val="hybridMultilevel"/>
    <w:tmpl w:val="D4E25CE6"/>
    <w:lvl w:ilvl="0" w:tplc="441C711E">
      <w:start w:val="1"/>
      <w:numFmt w:val="bullet"/>
      <w:lvlText w:val="•"/>
      <w:lvlJc w:val="left"/>
      <w:pPr>
        <w:tabs>
          <w:tab w:val="num" w:pos="720"/>
        </w:tabs>
        <w:ind w:left="720" w:hanging="360"/>
      </w:pPr>
      <w:rPr>
        <w:rFonts w:ascii="Arial" w:hAnsi="Arial" w:hint="default"/>
      </w:rPr>
    </w:lvl>
    <w:lvl w:ilvl="1" w:tplc="06B6DAC6" w:tentative="1">
      <w:start w:val="1"/>
      <w:numFmt w:val="bullet"/>
      <w:lvlText w:val="•"/>
      <w:lvlJc w:val="left"/>
      <w:pPr>
        <w:tabs>
          <w:tab w:val="num" w:pos="1440"/>
        </w:tabs>
        <w:ind w:left="1440" w:hanging="360"/>
      </w:pPr>
      <w:rPr>
        <w:rFonts w:ascii="Arial" w:hAnsi="Arial" w:hint="default"/>
      </w:rPr>
    </w:lvl>
    <w:lvl w:ilvl="2" w:tplc="7ECCC9AC" w:tentative="1">
      <w:start w:val="1"/>
      <w:numFmt w:val="bullet"/>
      <w:lvlText w:val="•"/>
      <w:lvlJc w:val="left"/>
      <w:pPr>
        <w:tabs>
          <w:tab w:val="num" w:pos="2160"/>
        </w:tabs>
        <w:ind w:left="2160" w:hanging="360"/>
      </w:pPr>
      <w:rPr>
        <w:rFonts w:ascii="Arial" w:hAnsi="Arial" w:hint="default"/>
      </w:rPr>
    </w:lvl>
    <w:lvl w:ilvl="3" w:tplc="7A4C1984" w:tentative="1">
      <w:start w:val="1"/>
      <w:numFmt w:val="bullet"/>
      <w:lvlText w:val="•"/>
      <w:lvlJc w:val="left"/>
      <w:pPr>
        <w:tabs>
          <w:tab w:val="num" w:pos="2880"/>
        </w:tabs>
        <w:ind w:left="2880" w:hanging="360"/>
      </w:pPr>
      <w:rPr>
        <w:rFonts w:ascii="Arial" w:hAnsi="Arial" w:hint="default"/>
      </w:rPr>
    </w:lvl>
    <w:lvl w:ilvl="4" w:tplc="1B04E55E" w:tentative="1">
      <w:start w:val="1"/>
      <w:numFmt w:val="bullet"/>
      <w:lvlText w:val="•"/>
      <w:lvlJc w:val="left"/>
      <w:pPr>
        <w:tabs>
          <w:tab w:val="num" w:pos="3600"/>
        </w:tabs>
        <w:ind w:left="3600" w:hanging="360"/>
      </w:pPr>
      <w:rPr>
        <w:rFonts w:ascii="Arial" w:hAnsi="Arial" w:hint="default"/>
      </w:rPr>
    </w:lvl>
    <w:lvl w:ilvl="5" w:tplc="0B9A81BC" w:tentative="1">
      <w:start w:val="1"/>
      <w:numFmt w:val="bullet"/>
      <w:lvlText w:val="•"/>
      <w:lvlJc w:val="left"/>
      <w:pPr>
        <w:tabs>
          <w:tab w:val="num" w:pos="4320"/>
        </w:tabs>
        <w:ind w:left="4320" w:hanging="360"/>
      </w:pPr>
      <w:rPr>
        <w:rFonts w:ascii="Arial" w:hAnsi="Arial" w:hint="default"/>
      </w:rPr>
    </w:lvl>
    <w:lvl w:ilvl="6" w:tplc="A71C5CC0" w:tentative="1">
      <w:start w:val="1"/>
      <w:numFmt w:val="bullet"/>
      <w:lvlText w:val="•"/>
      <w:lvlJc w:val="left"/>
      <w:pPr>
        <w:tabs>
          <w:tab w:val="num" w:pos="5040"/>
        </w:tabs>
        <w:ind w:left="5040" w:hanging="360"/>
      </w:pPr>
      <w:rPr>
        <w:rFonts w:ascii="Arial" w:hAnsi="Arial" w:hint="default"/>
      </w:rPr>
    </w:lvl>
    <w:lvl w:ilvl="7" w:tplc="8DFC80D2" w:tentative="1">
      <w:start w:val="1"/>
      <w:numFmt w:val="bullet"/>
      <w:lvlText w:val="•"/>
      <w:lvlJc w:val="left"/>
      <w:pPr>
        <w:tabs>
          <w:tab w:val="num" w:pos="5760"/>
        </w:tabs>
        <w:ind w:left="5760" w:hanging="360"/>
      </w:pPr>
      <w:rPr>
        <w:rFonts w:ascii="Arial" w:hAnsi="Arial" w:hint="default"/>
      </w:rPr>
    </w:lvl>
    <w:lvl w:ilvl="8" w:tplc="865046E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C962B7F"/>
    <w:multiLevelType w:val="multilevel"/>
    <w:tmpl w:val="AB14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5D0690"/>
    <w:multiLevelType w:val="multilevel"/>
    <w:tmpl w:val="FD32E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21"/>
    <w:rsid w:val="0001317A"/>
    <w:rsid w:val="00056A21"/>
    <w:rsid w:val="00067C9E"/>
    <w:rsid w:val="000E2116"/>
    <w:rsid w:val="00137412"/>
    <w:rsid w:val="0016187D"/>
    <w:rsid w:val="001867CE"/>
    <w:rsid w:val="001A73E1"/>
    <w:rsid w:val="002531F9"/>
    <w:rsid w:val="0028679C"/>
    <w:rsid w:val="002B1EB3"/>
    <w:rsid w:val="00343476"/>
    <w:rsid w:val="003E35A5"/>
    <w:rsid w:val="00421E25"/>
    <w:rsid w:val="00445CD9"/>
    <w:rsid w:val="00457024"/>
    <w:rsid w:val="00471719"/>
    <w:rsid w:val="004B6E1E"/>
    <w:rsid w:val="00505B58"/>
    <w:rsid w:val="00542085"/>
    <w:rsid w:val="005B0626"/>
    <w:rsid w:val="00605111"/>
    <w:rsid w:val="00605BAF"/>
    <w:rsid w:val="006706ED"/>
    <w:rsid w:val="006C5F23"/>
    <w:rsid w:val="007B5202"/>
    <w:rsid w:val="007C4A64"/>
    <w:rsid w:val="007D67E4"/>
    <w:rsid w:val="008F7650"/>
    <w:rsid w:val="009371F4"/>
    <w:rsid w:val="00981DAA"/>
    <w:rsid w:val="009B7270"/>
    <w:rsid w:val="009D0223"/>
    <w:rsid w:val="00AF42E6"/>
    <w:rsid w:val="00B0153E"/>
    <w:rsid w:val="00B02C19"/>
    <w:rsid w:val="00B30167"/>
    <w:rsid w:val="00B412A4"/>
    <w:rsid w:val="00BA53BE"/>
    <w:rsid w:val="00BC16D1"/>
    <w:rsid w:val="00C12B2A"/>
    <w:rsid w:val="00C71C44"/>
    <w:rsid w:val="00C83716"/>
    <w:rsid w:val="00CC6C61"/>
    <w:rsid w:val="00CE72B2"/>
    <w:rsid w:val="00CE74DF"/>
    <w:rsid w:val="00CF3FDA"/>
    <w:rsid w:val="00D21E0F"/>
    <w:rsid w:val="00D32F4A"/>
    <w:rsid w:val="00DA7546"/>
    <w:rsid w:val="00E85343"/>
    <w:rsid w:val="00EF27FF"/>
    <w:rsid w:val="00EF53DF"/>
    <w:rsid w:val="00F6785A"/>
    <w:rsid w:val="00F707A8"/>
    <w:rsid w:val="00FD1300"/>
    <w:rsid w:val="00FE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593112"/>
  <w15:chartTrackingRefBased/>
  <w15:docId w15:val="{05F62B02-79C3-4114-B160-5EB97A90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A21"/>
    <w:pPr>
      <w:spacing w:after="0" w:line="240" w:lineRule="auto"/>
      <w:ind w:left="720"/>
      <w:contextualSpacing/>
    </w:pPr>
    <w:rPr>
      <w:rFonts w:ascii="Times New Roman" w:eastAsia="Times New Roman" w:hAnsi="Times New Roman" w:cs="Times New Roman"/>
      <w:sz w:val="24"/>
      <w:szCs w:val="24"/>
    </w:rPr>
  </w:style>
  <w:style w:type="character" w:customStyle="1" w:styleId="mord">
    <w:name w:val="mord"/>
    <w:basedOn w:val="DefaultParagraphFont"/>
    <w:rsid w:val="002531F9"/>
  </w:style>
  <w:style w:type="character" w:customStyle="1" w:styleId="mrel">
    <w:name w:val="mrel"/>
    <w:basedOn w:val="DefaultParagraphFont"/>
    <w:rsid w:val="002531F9"/>
  </w:style>
  <w:style w:type="character" w:customStyle="1" w:styleId="mclose">
    <w:name w:val="mclose"/>
    <w:basedOn w:val="DefaultParagraphFont"/>
    <w:rsid w:val="002531F9"/>
  </w:style>
  <w:style w:type="paragraph" w:styleId="NormalWeb">
    <w:name w:val="Normal (Web)"/>
    <w:basedOn w:val="Normal"/>
    <w:uiPriority w:val="99"/>
    <w:unhideWhenUsed/>
    <w:rsid w:val="008F765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D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53DF"/>
    <w:rPr>
      <w:b/>
      <w:bCs/>
    </w:rPr>
  </w:style>
  <w:style w:type="character" w:styleId="Emphasis">
    <w:name w:val="Emphasis"/>
    <w:basedOn w:val="DefaultParagraphFont"/>
    <w:uiPriority w:val="20"/>
    <w:qFormat/>
    <w:rsid w:val="00EF53DF"/>
    <w:rPr>
      <w:i/>
      <w:iCs/>
    </w:rPr>
  </w:style>
  <w:style w:type="character" w:styleId="Hyperlink">
    <w:name w:val="Hyperlink"/>
    <w:basedOn w:val="DefaultParagraphFont"/>
    <w:uiPriority w:val="99"/>
    <w:unhideWhenUsed/>
    <w:rsid w:val="00CE74DF"/>
    <w:rPr>
      <w:color w:val="0563C1" w:themeColor="hyperlink"/>
      <w:u w:val="single"/>
    </w:rPr>
  </w:style>
  <w:style w:type="character" w:customStyle="1" w:styleId="UnresolvedMention1">
    <w:name w:val="Unresolved Mention1"/>
    <w:basedOn w:val="DefaultParagraphFont"/>
    <w:uiPriority w:val="99"/>
    <w:semiHidden/>
    <w:unhideWhenUsed/>
    <w:rsid w:val="009B7270"/>
    <w:rPr>
      <w:color w:val="605E5C"/>
      <w:shd w:val="clear" w:color="auto" w:fill="E1DFDD"/>
    </w:rPr>
  </w:style>
  <w:style w:type="paragraph" w:styleId="Header">
    <w:name w:val="header"/>
    <w:basedOn w:val="Normal"/>
    <w:link w:val="HeaderChar"/>
    <w:uiPriority w:val="99"/>
    <w:unhideWhenUsed/>
    <w:rsid w:val="007B5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202"/>
  </w:style>
  <w:style w:type="paragraph" w:styleId="Footer">
    <w:name w:val="footer"/>
    <w:basedOn w:val="Normal"/>
    <w:link w:val="FooterChar"/>
    <w:uiPriority w:val="99"/>
    <w:unhideWhenUsed/>
    <w:rsid w:val="007B5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202"/>
  </w:style>
  <w:style w:type="paragraph" w:styleId="NoSpacing">
    <w:name w:val="No Spacing"/>
    <w:uiPriority w:val="1"/>
    <w:qFormat/>
    <w:rsid w:val="00C71C44"/>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313382">
      <w:bodyDiv w:val="1"/>
      <w:marLeft w:val="0"/>
      <w:marRight w:val="0"/>
      <w:marTop w:val="0"/>
      <w:marBottom w:val="0"/>
      <w:divBdr>
        <w:top w:val="none" w:sz="0" w:space="0" w:color="auto"/>
        <w:left w:val="none" w:sz="0" w:space="0" w:color="auto"/>
        <w:bottom w:val="none" w:sz="0" w:space="0" w:color="auto"/>
        <w:right w:val="none" w:sz="0" w:space="0" w:color="auto"/>
      </w:divBdr>
      <w:divsChild>
        <w:div w:id="104309561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micb.2022.987312" TargetMode="External"/><Relationship Id="rId13" Type="http://schemas.openxmlformats.org/officeDocument/2006/relationships/hyperlink" Target="https://www.bing.com/search?q=%22https%3A%2F%2Fdoi.org%2F10.1007%2Fs11046-008-9104-5%22" TargetMode="External"/><Relationship Id="rId18" Type="http://schemas.openxmlformats.org/officeDocument/2006/relationships/hyperlink" Target="https://www.bing.com/search?q=%22https%3A%2F%2Fdoi.org%2F10.1128%2FCMR.8.2.240%2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rsisinternational.org" TargetMode="External"/><Relationship Id="rId7" Type="http://schemas.openxmlformats.org/officeDocument/2006/relationships/image" Target="media/image1.png"/><Relationship Id="rId12" Type="http://schemas.openxmlformats.org/officeDocument/2006/relationships/hyperlink" Target="https://www.bing.com/search?q=%22https%3A%2F%2Fdoi.org%2F10.1128%2FCMR.13.3.450%22" TargetMode="External"/><Relationship Id="rId17" Type="http://schemas.openxmlformats.org/officeDocument/2006/relationships/hyperlink" Target="https://www.bing.com/search?q=%22https%3A%2F%2Fdoi.org%2F10.4103%2F0019-5154.119950%2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bing.com/search?q=%22https%3A%2F%2Fdoi.org%2F10.1016%2Fj.mpmed.2017.06.004%22" TargetMode="External"/><Relationship Id="rId20" Type="http://schemas.openxmlformats.org/officeDocument/2006/relationships/hyperlink" Target="https://doi.org/10.2147/CCID.S38945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g.com/search?q=%22https%3A%2F%2Fdoi.org%2F10.1016%2Fj.clindermatol.2009.12.005%2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ing.com/search?q=%22https%3A%2F%2Fdoi.org%2F10.1111%2Fj.1439-0507.2008.01606.x%2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bing.com/search?q=%22https%3A%2F%2Fdoi.org%2F10.3390%2Flife14010001%22" TargetMode="External"/><Relationship Id="rId19" Type="http://schemas.openxmlformats.org/officeDocument/2006/relationships/hyperlink" Target="https://doi.org/10.1111/myc.13047" TargetMode="External"/><Relationship Id="rId4" Type="http://schemas.openxmlformats.org/officeDocument/2006/relationships/webSettings" Target="webSettings.xml"/><Relationship Id="rId9" Type="http://schemas.openxmlformats.org/officeDocument/2006/relationships/hyperlink" Target="https://www.bing.com/search?q=%22https%3A%2F%2Fdoi.org%2F10.1007%2Fs11033-025-0634-9%22" TargetMode="External"/><Relationship Id="rId14" Type="http://schemas.openxmlformats.org/officeDocument/2006/relationships/hyperlink" Target="https://doi.org/10.1111/j.143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4414</Words>
  <Characters>25162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1022</cp:lastModifiedBy>
  <cp:revision>4</cp:revision>
  <dcterms:created xsi:type="dcterms:W3CDTF">2026-04-14T09:58:00Z</dcterms:created>
  <dcterms:modified xsi:type="dcterms:W3CDTF">2026-04-14T11:19:00Z</dcterms:modified>
</cp:coreProperties>
</file>