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040" w:rsidRDefault="005E7040">
      <w:pPr>
        <w:pStyle w:val="Title"/>
        <w:spacing w:after="0"/>
        <w:jc w:val="both"/>
        <w:rPr>
          <w:rFonts w:ascii="Arial" w:hAnsi="Arial" w:cs="Arial"/>
        </w:rPr>
      </w:pPr>
    </w:p>
    <w:p w:rsidR="005E7040" w:rsidRDefault="00A94247">
      <w:pPr>
        <w:jc w:val="right"/>
        <w:rPr>
          <w:rFonts w:ascii="Arial" w:hAnsi="Arial" w:cs="Arial"/>
          <w:b/>
          <w:sz w:val="36"/>
          <w:szCs w:val="36"/>
        </w:rPr>
      </w:pPr>
      <w:r>
        <w:rPr>
          <w:rFonts w:ascii="Arial" w:hAnsi="Arial" w:cs="Arial"/>
          <w:b/>
          <w:sz w:val="36"/>
          <w:szCs w:val="36"/>
        </w:rPr>
        <w:t xml:space="preserve">ENHANCING DIVISION SKILLS IN MATHEMATICS OF GRADE 4 LEARNERS IN MUALBUAL ELEMENTARY SCHOOL, PHILIPPINES </w:t>
      </w:r>
    </w:p>
    <w:p w:rsidR="005E7040" w:rsidRDefault="00A94247">
      <w:pPr>
        <w:jc w:val="right"/>
        <w:rPr>
          <w:rFonts w:ascii="Arial" w:hAnsi="Arial" w:cs="Arial"/>
          <w:b/>
          <w:sz w:val="36"/>
          <w:szCs w:val="36"/>
        </w:rPr>
      </w:pPr>
      <w:r>
        <w:rPr>
          <w:rFonts w:ascii="Arial" w:hAnsi="Arial" w:cs="Arial"/>
          <w:b/>
          <w:sz w:val="36"/>
          <w:szCs w:val="36"/>
        </w:rPr>
        <w:t>THROUGH SPIN AND SOLVE GAME</w:t>
      </w:r>
    </w:p>
    <w:p w:rsidR="005E7040" w:rsidRDefault="005E7040">
      <w:pPr>
        <w:jc w:val="right"/>
        <w:rPr>
          <w:rFonts w:ascii="Arial" w:hAnsi="Arial" w:cs="Arial"/>
          <w:b/>
          <w:sz w:val="36"/>
          <w:szCs w:val="36"/>
        </w:rPr>
      </w:pPr>
    </w:p>
    <w:p w:rsidR="005E7040" w:rsidRDefault="005E7040">
      <w:pPr>
        <w:pStyle w:val="Author"/>
        <w:spacing w:line="240" w:lineRule="auto"/>
        <w:rPr>
          <w:rFonts w:ascii="Arial" w:hAnsi="Arial" w:cs="Arial"/>
          <w:sz w:val="36"/>
        </w:rPr>
      </w:pPr>
    </w:p>
    <w:p w:rsidR="005E7040" w:rsidRDefault="005E7040">
      <w:pPr>
        <w:pStyle w:val="Affiliation"/>
        <w:spacing w:after="0" w:line="240" w:lineRule="auto"/>
        <w:jc w:val="both"/>
        <w:rPr>
          <w:rFonts w:ascii="Arial" w:hAnsi="Arial" w:cs="Arial"/>
        </w:rPr>
      </w:pPr>
    </w:p>
    <w:p w:rsidR="005E7040" w:rsidRDefault="005E7040">
      <w:pPr>
        <w:pStyle w:val="Affiliation"/>
        <w:spacing w:after="0" w:line="240" w:lineRule="auto"/>
        <w:jc w:val="both"/>
        <w:rPr>
          <w:rFonts w:ascii="Arial" w:hAnsi="Arial" w:cs="Arial"/>
        </w:rPr>
      </w:pPr>
    </w:p>
    <w:p w:rsidR="005E7040" w:rsidRDefault="0031103F">
      <w:pPr>
        <w:pStyle w:val="Copyright"/>
        <w:spacing w:after="0" w:line="240" w:lineRule="auto"/>
        <w:jc w:val="both"/>
        <w:rPr>
          <w:rFonts w:ascii="Arial" w:hAnsi="Arial" w:cs="Arial"/>
        </w:rPr>
      </w:pPr>
      <w:r>
        <w:rPr>
          <w:noProof/>
        </w:rPr>
      </w:r>
      <w:r>
        <w:pict>
          <v:shapetype id="_x0000_t32" coordsize="21600,21600" o:spt="32" o:oned="t" path="m,l21600,21600e" filled="f">
            <v:path arrowok="t" fillok="f" o:connecttype="none"/>
            <o:lock v:ext="edit" shapetype="t"/>
          </v:shapetype>
          <v:shape 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" strokeweight=".53mm">
            <w10:anchorlock/>
          </v:shape>
        </w:pict>
      </w:r>
      <w:r w:rsidR="00A94247">
        <w:rPr>
          <w:rFonts w:ascii="Arial" w:hAnsi="Arial" w:cs="Arial"/>
        </w:rPr>
        <w:t>.</w:t>
      </w:r>
    </w:p>
    <w:p w:rsidR="005E7040" w:rsidRDefault="005E7040">
      <w:pPr>
        <w:sectPr w:rsidR="005E704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1296" w:gutter="0"/>
          <w:cols w:space="720"/>
          <w:formProt w:val="0"/>
          <w:docGrid w:linePitch="272" w:charSpace="8192"/>
        </w:sectPr>
      </w:pPr>
    </w:p>
    <w:p w:rsidR="005E7040" w:rsidRDefault="00A94247">
      <w:pPr>
        <w:pStyle w:val="AbstHead"/>
        <w:spacing w:after="0"/>
        <w:jc w:val="both"/>
        <w:rPr>
          <w:rFonts w:ascii="Arial" w:hAnsi="Arial" w:cs="Arial"/>
        </w:rPr>
      </w:pPr>
      <w:r>
        <w:rPr>
          <w:rFonts w:ascii="Arial" w:hAnsi="Arial" w:cs="Arial"/>
        </w:rPr>
        <w:t xml:space="preserve">ABSTRACT </w:t>
      </w:r>
    </w:p>
    <w:p w:rsidR="005E7040" w:rsidRDefault="005E7040">
      <w:pPr>
        <w:pStyle w:val="AbstHead"/>
        <w:spacing w:after="0"/>
        <w:jc w:val="both"/>
        <w:rPr>
          <w:rFonts w:ascii="Arial" w:hAnsi="Arial" w:cs="Arial"/>
        </w:rPr>
      </w:pPr>
    </w:p>
    <w:tbl>
      <w:tblPr>
        <w:tblW w:w="9242" w:type="dxa"/>
        <w:tblLayout w:type="fixed"/>
        <w:tblLook w:val="04A0" w:firstRow="1" w:lastRow="0" w:firstColumn="1" w:lastColumn="0" w:noHBand="0" w:noVBand="1"/>
      </w:tblPr>
      <w:tblGrid>
        <w:gridCol w:w="9242"/>
      </w:tblGrid>
      <w:tr w:rsidR="005E7040">
        <w:tc>
          <w:tcPr>
            <w:tcW w:w="9242" w:type="dxa"/>
            <w:tcBorders>
              <w:top w:val="single" w:sz="4" w:space="0" w:color="000000"/>
              <w:left w:val="single" w:sz="4" w:space="0" w:color="000000"/>
              <w:bottom w:val="single" w:sz="4" w:space="0" w:color="000000"/>
              <w:right w:val="single" w:sz="4" w:space="0" w:color="000000"/>
            </w:tcBorders>
            <w:shd w:val="clear" w:color="auto" w:fill="F2F2F2"/>
          </w:tcPr>
          <w:p w:rsidR="005E7040" w:rsidRDefault="00A94247">
            <w:pPr>
              <w:pStyle w:val="BodyText"/>
              <w:jc w:val="both"/>
            </w:pPr>
            <w:r>
              <w:rPr>
                <w:rFonts w:ascii="Arial" w:hAnsi="Arial" w:cs="Arial"/>
              </w:rPr>
              <w:t xml:space="preserve">This </w:t>
            </w:r>
            <w:r>
              <w:rPr>
                <w:rFonts w:ascii="Arial" w:hAnsi="Arial" w:cs="Arial"/>
              </w:rPr>
              <w:t xml:space="preserve">study investigated the effectiveness of the Spin and Solve Game in enhancing division skills among Grade 4 learners at </w:t>
            </w:r>
            <w:proofErr w:type="spellStart"/>
            <w:r>
              <w:rPr>
                <w:rFonts w:ascii="Arial" w:hAnsi="Arial" w:cs="Arial"/>
              </w:rPr>
              <w:t>Mualbual</w:t>
            </w:r>
            <w:proofErr w:type="spellEnd"/>
            <w:r>
              <w:rPr>
                <w:rFonts w:ascii="Arial" w:hAnsi="Arial" w:cs="Arial"/>
              </w:rPr>
              <w:t xml:space="preserve"> Elementary School. Designed as an experimental research, it utilized a pre-test and post-test to measure learners’ mathematical </w:t>
            </w:r>
            <w:r>
              <w:rPr>
                <w:rFonts w:ascii="Arial" w:hAnsi="Arial" w:cs="Arial"/>
              </w:rPr>
              <w:t>performance before and after the intervention. The Spin and Solve Game was introduced as a strategic educational tool to actively engage pupils in learning division concepts. Findings revealed a marked improvement in learners’ division skills, suggesting t</w:t>
            </w:r>
            <w:r>
              <w:rPr>
                <w:rFonts w:ascii="Arial" w:hAnsi="Arial" w:cs="Arial"/>
              </w:rPr>
              <w:t>hat game-based learning strategies can effectively strengthen mathematical proficiency while promoting interactive and student-centered learning.</w:t>
            </w:r>
          </w:p>
          <w:p w:rsidR="005E7040" w:rsidRDefault="00A94247">
            <w:pPr>
              <w:pStyle w:val="BodyText"/>
              <w:jc w:val="both"/>
            </w:pPr>
            <w:r>
              <w:t xml:space="preserve">The research was conducted in </w:t>
            </w:r>
            <w:proofErr w:type="spellStart"/>
            <w:r>
              <w:t>Mualbual</w:t>
            </w:r>
            <w:proofErr w:type="spellEnd"/>
            <w:r>
              <w:t xml:space="preserve"> Elementary School, </w:t>
            </w:r>
            <w:proofErr w:type="spellStart"/>
            <w:r>
              <w:t>Laoang</w:t>
            </w:r>
            <w:proofErr w:type="spellEnd"/>
            <w:r>
              <w:t>, Northern Samar, with 17 Grade 4 pupils offic</w:t>
            </w:r>
            <w:r>
              <w:t>ially enrolled during the Second Quarter of the School Year 2024–2025. Prior to data collection, permission was sought from the school head and Grade 4 teacher, while informed consent was secured from both the administration and parents. Research instrumen</w:t>
            </w:r>
            <w:r>
              <w:t>ts included a pre-test and post-test, each consisting of ten items. Ethical considerations were observed throughout the process, ensuring that learners participated with parental approval and full awareness of the study’s purpose.</w:t>
            </w:r>
          </w:p>
          <w:p w:rsidR="005E7040" w:rsidRDefault="00A94247">
            <w:pPr>
              <w:pStyle w:val="BodyText"/>
              <w:jc w:val="both"/>
            </w:pPr>
            <w:r>
              <w:t>Results showed that learn</w:t>
            </w:r>
            <w:r>
              <w:t>ers initially obtained “good” scores in solving division problems during the pre-test. After the implementation of the Spin and Solve Game, their post-test performance improved to “very good,” indicating positive outcomes. This demonstrated that the interv</w:t>
            </w:r>
            <w:r>
              <w:t>ention was effective in enhancing division skills by applying the principles of active learning, where pupils engaged in hands-on activities that promoted deeper understanding and retention of mathematical concepts. The study therefore supports the integra</w:t>
            </w:r>
            <w:r>
              <w:t>tion of interactive, game-based strategies such as Spin and Solve into classroom instruction. By making learning enjoyable and participatory, these approaches can motivate learners, foster collaboration, and lead to improved academic outcomes in mathematic</w:t>
            </w:r>
            <w:r>
              <w:t>s.</w:t>
            </w:r>
          </w:p>
          <w:p w:rsidR="005E7040" w:rsidRDefault="005E7040">
            <w:pPr>
              <w:jc w:val="both"/>
              <w:rPr>
                <w:rFonts w:ascii="Arial" w:hAnsi="Arial" w:cs="Arial"/>
              </w:rPr>
            </w:pPr>
          </w:p>
          <w:p w:rsidR="005E7040" w:rsidRDefault="005E7040">
            <w:pPr>
              <w:jc w:val="both"/>
              <w:rPr>
                <w:rFonts w:ascii="Arial" w:hAnsi="Arial" w:cs="Arial"/>
              </w:rPr>
            </w:pPr>
          </w:p>
        </w:tc>
      </w:tr>
    </w:tbl>
    <w:p w:rsidR="005E7040" w:rsidRDefault="005E7040">
      <w:pPr>
        <w:rPr>
          <w:rFonts w:ascii="Arial" w:hAnsi="Arial" w:cs="Arial"/>
        </w:rPr>
      </w:pPr>
    </w:p>
    <w:p w:rsidR="005E7040" w:rsidRDefault="005E7040">
      <w:pPr>
        <w:rPr>
          <w:rFonts w:ascii="Arial" w:hAnsi="Arial" w:cs="Arial"/>
        </w:rPr>
      </w:pPr>
    </w:p>
    <w:p w:rsidR="005E7040" w:rsidRDefault="00A94247">
      <w:pPr>
        <w:pStyle w:val="BodyText"/>
        <w:rPr>
          <w:rFonts w:ascii="Arial" w:hAnsi="Arial" w:cs="Arial"/>
          <w:i/>
          <w:iCs/>
        </w:rPr>
      </w:pPr>
      <w:r>
        <w:rPr>
          <w:rStyle w:val="Strong"/>
          <w:rFonts w:ascii="Arial" w:hAnsi="Arial" w:cs="Arial"/>
        </w:rPr>
        <w:t>Keywords:</w:t>
      </w:r>
      <w:r>
        <w:rPr>
          <w:rFonts w:ascii="Arial" w:hAnsi="Arial" w:cs="Arial"/>
        </w:rPr>
        <w:t xml:space="preserve"> Spin and Solve Game, Division skills, Grade 4 learners, Elementary mathematics, Game-based learning, Active learning, Student engagement, Experimental design</w:t>
      </w:r>
    </w:p>
    <w:p w:rsidR="005E7040" w:rsidRDefault="005E7040">
      <w:pPr>
        <w:rPr>
          <w:rFonts w:ascii="Arial" w:hAnsi="Arial" w:cs="Arial"/>
          <w:i/>
          <w:iCs/>
        </w:rPr>
      </w:pPr>
    </w:p>
    <w:p w:rsidR="005E7040" w:rsidRDefault="005E7040">
      <w:pPr>
        <w:rPr>
          <w:rFonts w:ascii="Arial" w:hAnsi="Arial" w:cs="Arial"/>
          <w:i/>
          <w:iCs/>
        </w:rPr>
      </w:pPr>
    </w:p>
    <w:p w:rsidR="005E7040" w:rsidRDefault="005E7040">
      <w:pPr>
        <w:rPr>
          <w:rFonts w:ascii="Arial" w:hAnsi="Arial" w:cs="Arial"/>
          <w:i/>
          <w:iCs/>
        </w:rPr>
      </w:pPr>
    </w:p>
    <w:p w:rsidR="005E7040" w:rsidRDefault="005E7040">
      <w:pPr>
        <w:rPr>
          <w:rFonts w:ascii="Arial" w:hAnsi="Arial" w:cs="Arial"/>
          <w:i/>
          <w:iCs/>
        </w:rPr>
      </w:pPr>
    </w:p>
    <w:p w:rsidR="005E7040" w:rsidRDefault="005E7040">
      <w:pPr>
        <w:rPr>
          <w:rFonts w:ascii="Arial" w:hAnsi="Arial" w:cs="Arial"/>
          <w:i/>
          <w:iCs/>
        </w:rPr>
      </w:pPr>
    </w:p>
    <w:p w:rsidR="005E7040" w:rsidRDefault="00A94247">
      <w:pPr>
        <w:pStyle w:val="Heading1"/>
        <w:rPr>
          <w:rFonts w:cs="Arial"/>
          <w:i/>
          <w:iCs/>
        </w:rPr>
      </w:pPr>
      <w:r>
        <w:rPr>
          <w:rFonts w:cs="Arial"/>
        </w:rPr>
        <w:lastRenderedPageBreak/>
        <w:t xml:space="preserve">1. INTRODUCTION </w:t>
      </w:r>
    </w:p>
    <w:p w:rsidR="005E7040" w:rsidRDefault="005E7040">
      <w:pPr>
        <w:rPr>
          <w:rFonts w:cs="Arial"/>
          <w:i/>
          <w:iCs/>
        </w:rPr>
      </w:pPr>
    </w:p>
    <w:p w:rsidR="005E7040" w:rsidRDefault="00A94247">
      <w:pPr>
        <w:pStyle w:val="BodyText"/>
        <w:spacing w:after="0"/>
        <w:jc w:val="both"/>
        <w:rPr>
          <w:rFonts w:ascii="Arial" w:hAnsi="Arial" w:cs="Arial"/>
        </w:rPr>
      </w:pPr>
      <w:r>
        <w:rPr>
          <w:rFonts w:ascii="Arial" w:hAnsi="Arial" w:cs="Arial"/>
        </w:rPr>
        <w:t>Mathematics was a fundamental part of everyday life; with</w:t>
      </w:r>
      <w:r>
        <w:rPr>
          <w:rFonts w:ascii="Arial" w:hAnsi="Arial" w:cs="Arial"/>
        </w:rPr>
        <w:t>out its knowledge, progress was not possible because it fulfilled many human needs across diverse aspects of daily living. It was a subject that dealt with problems involving analysis, computation, and other mental skills. Mathematics helped individuals to</w:t>
      </w:r>
      <w:r>
        <w:rPr>
          <w:rFonts w:ascii="Arial" w:hAnsi="Arial" w:cs="Arial"/>
        </w:rPr>
        <w:t xml:space="preserve"> learn, to reason, and to apply such reasoning to everyday problems. It was also considered a universal language, understood and applied globally, connecting people from different cultures and backgrounds. In short, mathematics was essential not only for p</w:t>
      </w:r>
      <w:r>
        <w:rPr>
          <w:rFonts w:ascii="Arial" w:hAnsi="Arial" w:cs="Arial"/>
        </w:rPr>
        <w:t>ersonal and professional success but also for the advancement of society itself.</w:t>
      </w:r>
    </w:p>
    <w:p w:rsidR="005E7040" w:rsidRDefault="00A94247">
      <w:pPr>
        <w:pStyle w:val="BodyText"/>
        <w:jc w:val="both"/>
      </w:pPr>
      <w:r>
        <w:rPr>
          <w:rFonts w:ascii="Arial" w:hAnsi="Arial"/>
        </w:rPr>
        <w:t xml:space="preserve">Among its core operations, </w:t>
      </w:r>
      <w:r>
        <w:rPr>
          <w:rStyle w:val="Strong"/>
          <w:rFonts w:ascii="Arial" w:hAnsi="Arial"/>
          <w:b w:val="0"/>
          <w:bCs w:val="0"/>
        </w:rPr>
        <w:t>division</w:t>
      </w:r>
      <w:r>
        <w:rPr>
          <w:rFonts w:ascii="Arial" w:hAnsi="Arial"/>
        </w:rPr>
        <w:t xml:space="preserve"> played a fundamental role in problem-solving and understanding the world. Division, along with addition, subtraction, and multiplication, was one of the four basic mathematical operations. It was defined as splitting a large group into smaller groups such</w:t>
      </w:r>
      <w:r>
        <w:rPr>
          <w:rFonts w:ascii="Arial" w:hAnsi="Arial"/>
        </w:rPr>
        <w:t xml:space="preserve"> that each group had an equal number of items. As an operation of equal grouping and sharing, division was a crucial skill applied in everyday life, including buying, selling, transportation, and income distribution.</w:t>
      </w:r>
    </w:p>
    <w:p w:rsidR="005E7040" w:rsidRDefault="00A94247">
      <w:pPr>
        <w:pStyle w:val="BodyText"/>
        <w:jc w:val="both"/>
        <w:rPr>
          <w:rFonts w:ascii="Arial" w:hAnsi="Arial"/>
        </w:rPr>
      </w:pPr>
      <w:r>
        <w:rPr>
          <w:rFonts w:ascii="Arial" w:hAnsi="Arial"/>
        </w:rPr>
        <w:t>Despite its importance, many students s</w:t>
      </w:r>
      <w:r>
        <w:rPr>
          <w:rFonts w:ascii="Arial" w:hAnsi="Arial"/>
        </w:rPr>
        <w:t xml:space="preserve">truggled with division, which affected their academic performance and overall learning experiences. Factors such as lack of fluency in multiplication, the complexity of long division, handling remainders, and inadequate practice or instruction contributed </w:t>
      </w:r>
      <w:r>
        <w:rPr>
          <w:rFonts w:ascii="Arial" w:hAnsi="Arial"/>
        </w:rPr>
        <w:t xml:space="preserve">to these difficulties. </w:t>
      </w:r>
      <w:proofErr w:type="spellStart"/>
      <w:r>
        <w:rPr>
          <w:rFonts w:ascii="Arial" w:hAnsi="Arial"/>
        </w:rPr>
        <w:t>Pasandaran</w:t>
      </w:r>
      <w:proofErr w:type="spellEnd"/>
      <w:r>
        <w:rPr>
          <w:rFonts w:ascii="Arial" w:hAnsi="Arial"/>
        </w:rPr>
        <w:t xml:space="preserve"> and </w:t>
      </w:r>
      <w:proofErr w:type="spellStart"/>
      <w:r>
        <w:rPr>
          <w:rFonts w:ascii="Arial" w:hAnsi="Arial"/>
        </w:rPr>
        <w:t>Mufidah</w:t>
      </w:r>
      <w:proofErr w:type="spellEnd"/>
      <w:r>
        <w:rPr>
          <w:rFonts w:ascii="Arial" w:hAnsi="Arial"/>
        </w:rPr>
        <w:t xml:space="preserve"> (2020) asserted that learning mathematics required a gradual process of constructing systematic understandings of concepts. </w:t>
      </w:r>
      <w:proofErr w:type="spellStart"/>
      <w:r>
        <w:rPr>
          <w:rFonts w:ascii="Arial" w:hAnsi="Arial"/>
        </w:rPr>
        <w:t>Mulyono</w:t>
      </w:r>
      <w:proofErr w:type="spellEnd"/>
      <w:r>
        <w:rPr>
          <w:rFonts w:ascii="Arial" w:hAnsi="Arial"/>
        </w:rPr>
        <w:t xml:space="preserve"> (2018) further explained that school learning often focused on rules, procedur</w:t>
      </w:r>
      <w:r>
        <w:rPr>
          <w:rFonts w:ascii="Arial" w:hAnsi="Arial"/>
        </w:rPr>
        <w:t>es, and formulas rather than comprehension of fundamental concepts, which created gaps in understanding and led to errors in problem-solving.</w:t>
      </w:r>
    </w:p>
    <w:p w:rsidR="005E7040" w:rsidRDefault="00A94247">
      <w:pPr>
        <w:pStyle w:val="BodyText"/>
        <w:jc w:val="both"/>
        <w:rPr>
          <w:rFonts w:ascii="Arial" w:hAnsi="Arial"/>
        </w:rPr>
      </w:pPr>
      <w:r>
        <w:rPr>
          <w:rFonts w:ascii="Arial" w:hAnsi="Arial"/>
        </w:rPr>
        <w:t>Researchers identified several challenges pupils frequently encountered in learning division (</w:t>
      </w:r>
      <w:proofErr w:type="spellStart"/>
      <w:r>
        <w:rPr>
          <w:rFonts w:ascii="Arial" w:hAnsi="Arial"/>
        </w:rPr>
        <w:t>Mukminah</w:t>
      </w:r>
      <w:proofErr w:type="spellEnd"/>
      <w:r>
        <w:rPr>
          <w:rFonts w:ascii="Arial" w:hAnsi="Arial"/>
        </w:rPr>
        <w:t xml:space="preserve">, </w:t>
      </w:r>
      <w:proofErr w:type="spellStart"/>
      <w:r>
        <w:rPr>
          <w:rFonts w:ascii="Arial" w:hAnsi="Arial"/>
        </w:rPr>
        <w:t>Hirian</w:t>
      </w:r>
      <w:proofErr w:type="spellEnd"/>
      <w:r>
        <w:rPr>
          <w:rFonts w:ascii="Arial" w:hAnsi="Arial"/>
        </w:rPr>
        <w:t xml:space="preserve">, &amp; </w:t>
      </w:r>
      <w:proofErr w:type="spellStart"/>
      <w:r>
        <w:rPr>
          <w:rFonts w:ascii="Arial" w:hAnsi="Arial"/>
        </w:rPr>
        <w:t>Sriyani</w:t>
      </w:r>
      <w:proofErr w:type="spellEnd"/>
      <w:r>
        <w:rPr>
          <w:rFonts w:ascii="Arial" w:hAnsi="Arial"/>
        </w:rPr>
        <w:t>, 2021). These included weak place value understanding, limited math vocabulary (Forsyth &amp; Powell, 2017), and lack of motivation (</w:t>
      </w:r>
      <w:proofErr w:type="spellStart"/>
      <w:r>
        <w:rPr>
          <w:rFonts w:ascii="Arial" w:hAnsi="Arial"/>
        </w:rPr>
        <w:t>Maluya</w:t>
      </w:r>
      <w:proofErr w:type="spellEnd"/>
      <w:r>
        <w:rPr>
          <w:rFonts w:ascii="Arial" w:hAnsi="Arial"/>
        </w:rPr>
        <w:t>, 2020). Division was often considered one of the most difficult topics to teach (Lampert, 2020), with misconcept</w:t>
      </w:r>
      <w:r>
        <w:rPr>
          <w:rFonts w:ascii="Arial" w:hAnsi="Arial"/>
        </w:rPr>
        <w:t>ions about the process (</w:t>
      </w:r>
      <w:proofErr w:type="spellStart"/>
      <w:r>
        <w:rPr>
          <w:rFonts w:ascii="Arial" w:hAnsi="Arial"/>
        </w:rPr>
        <w:t>Uzel</w:t>
      </w:r>
      <w:proofErr w:type="spellEnd"/>
      <w:r>
        <w:rPr>
          <w:rFonts w:ascii="Arial" w:hAnsi="Arial"/>
        </w:rPr>
        <w:t>, 2018) and recurring errors in calculation and conceptual understanding (</w:t>
      </w:r>
      <w:proofErr w:type="spellStart"/>
      <w:r>
        <w:rPr>
          <w:rFonts w:ascii="Arial" w:hAnsi="Arial"/>
        </w:rPr>
        <w:t>Hadaming</w:t>
      </w:r>
      <w:proofErr w:type="spellEnd"/>
      <w:r>
        <w:rPr>
          <w:rFonts w:ascii="Arial" w:hAnsi="Arial"/>
        </w:rPr>
        <w:t xml:space="preserve"> &amp; </w:t>
      </w:r>
      <w:proofErr w:type="spellStart"/>
      <w:r>
        <w:rPr>
          <w:rFonts w:ascii="Arial" w:hAnsi="Arial"/>
        </w:rPr>
        <w:t>Wahyudi</w:t>
      </w:r>
      <w:proofErr w:type="spellEnd"/>
      <w:r>
        <w:rPr>
          <w:rFonts w:ascii="Arial" w:hAnsi="Arial"/>
        </w:rPr>
        <w:t xml:space="preserve">, 2022; </w:t>
      </w:r>
      <w:proofErr w:type="spellStart"/>
      <w:r>
        <w:rPr>
          <w:rFonts w:ascii="Arial" w:hAnsi="Arial"/>
        </w:rPr>
        <w:t>Azis</w:t>
      </w:r>
      <w:proofErr w:type="spellEnd"/>
      <w:r>
        <w:rPr>
          <w:rFonts w:ascii="Arial" w:hAnsi="Arial"/>
        </w:rPr>
        <w:t xml:space="preserve">, </w:t>
      </w:r>
      <w:proofErr w:type="spellStart"/>
      <w:r>
        <w:rPr>
          <w:rFonts w:ascii="Arial" w:hAnsi="Arial"/>
        </w:rPr>
        <w:t>Togatorof</w:t>
      </w:r>
      <w:proofErr w:type="spellEnd"/>
      <w:r>
        <w:rPr>
          <w:rFonts w:ascii="Arial" w:hAnsi="Arial"/>
        </w:rPr>
        <w:t xml:space="preserve">, &amp; </w:t>
      </w:r>
      <w:proofErr w:type="spellStart"/>
      <w:r>
        <w:rPr>
          <w:rFonts w:ascii="Arial" w:hAnsi="Arial"/>
        </w:rPr>
        <w:t>Gersang</w:t>
      </w:r>
      <w:proofErr w:type="spellEnd"/>
      <w:r>
        <w:rPr>
          <w:rFonts w:ascii="Arial" w:hAnsi="Arial"/>
        </w:rPr>
        <w:t>, 2021).</w:t>
      </w:r>
    </w:p>
    <w:p w:rsidR="005E7040" w:rsidRDefault="00A94247">
      <w:pPr>
        <w:pStyle w:val="BodyText"/>
        <w:jc w:val="both"/>
      </w:pPr>
      <w:r>
        <w:rPr>
          <w:rFonts w:ascii="Arial" w:hAnsi="Arial"/>
        </w:rPr>
        <w:t xml:space="preserve">To address these challenges, the </w:t>
      </w:r>
      <w:r>
        <w:rPr>
          <w:rStyle w:val="Strong"/>
          <w:rFonts w:ascii="Arial" w:hAnsi="Arial"/>
          <w:b w:val="0"/>
          <w:bCs w:val="0"/>
        </w:rPr>
        <w:t>Spin and Solve Game</w:t>
      </w:r>
      <w:r>
        <w:rPr>
          <w:rFonts w:ascii="Arial" w:hAnsi="Arial"/>
        </w:rPr>
        <w:t xml:space="preserve"> was introduced as an engaging interventi</w:t>
      </w:r>
      <w:r>
        <w:rPr>
          <w:rFonts w:ascii="Arial" w:hAnsi="Arial"/>
        </w:rPr>
        <w:t xml:space="preserve">on. This activity involved spinners that determined the dividend and divisor, after which pupils solved the division problem step by step. By gamifying the process, students practiced division in a fun, interactive way that enhanced motivation and fluency </w:t>
      </w:r>
      <w:r>
        <w:rPr>
          <w:rFonts w:ascii="Arial" w:hAnsi="Arial"/>
        </w:rPr>
        <w:t xml:space="preserve">(Gao &amp; Sullivan, 2019). Anchored on Piaget’s theory of cognitive development, Spin and Solve encouraged hands-on learning, exploration, and direct experience, helping children build conceptual understanding at their own pace. Richland and McDonough (2021) </w:t>
      </w:r>
      <w:r>
        <w:rPr>
          <w:rFonts w:ascii="Arial" w:hAnsi="Arial"/>
        </w:rPr>
        <w:t>supported this approach, noting that concrete materials aided in documenting mathematical reasoning.</w:t>
      </w:r>
    </w:p>
    <w:p w:rsidR="005E7040" w:rsidRDefault="00A94247">
      <w:pPr>
        <w:pStyle w:val="BodyText"/>
        <w:jc w:val="both"/>
      </w:pPr>
      <w:r>
        <w:rPr>
          <w:rFonts w:ascii="Arial" w:hAnsi="Arial"/>
        </w:rPr>
        <w:t xml:space="preserve">Aligned with previous studies such as </w:t>
      </w:r>
      <w:proofErr w:type="spellStart"/>
      <w:r>
        <w:rPr>
          <w:rFonts w:ascii="Arial" w:hAnsi="Arial"/>
        </w:rPr>
        <w:t>Casane</w:t>
      </w:r>
      <w:proofErr w:type="spellEnd"/>
      <w:r>
        <w:rPr>
          <w:rFonts w:ascii="Arial" w:hAnsi="Arial"/>
        </w:rPr>
        <w:t xml:space="preserve"> (2024), </w:t>
      </w:r>
      <w:proofErr w:type="spellStart"/>
      <w:r>
        <w:rPr>
          <w:rFonts w:ascii="Arial" w:hAnsi="Arial"/>
        </w:rPr>
        <w:t>Casane</w:t>
      </w:r>
      <w:proofErr w:type="spellEnd"/>
      <w:r>
        <w:rPr>
          <w:rFonts w:ascii="Arial" w:hAnsi="Arial"/>
        </w:rPr>
        <w:t xml:space="preserve"> (2025), </w:t>
      </w:r>
      <w:proofErr w:type="spellStart"/>
      <w:r>
        <w:rPr>
          <w:rFonts w:ascii="Arial" w:hAnsi="Arial"/>
        </w:rPr>
        <w:t>Casane</w:t>
      </w:r>
      <w:proofErr w:type="spellEnd"/>
      <w:r>
        <w:rPr>
          <w:rFonts w:ascii="Arial" w:hAnsi="Arial"/>
        </w:rPr>
        <w:t xml:space="preserve"> &amp; </w:t>
      </w:r>
      <w:proofErr w:type="spellStart"/>
      <w:r>
        <w:rPr>
          <w:rFonts w:ascii="Arial" w:hAnsi="Arial"/>
        </w:rPr>
        <w:t>Giray</w:t>
      </w:r>
      <w:proofErr w:type="spellEnd"/>
      <w:r>
        <w:rPr>
          <w:rFonts w:ascii="Arial" w:hAnsi="Arial"/>
        </w:rPr>
        <w:t xml:space="preserve"> (2026), </w:t>
      </w:r>
      <w:proofErr w:type="spellStart"/>
      <w:r>
        <w:rPr>
          <w:rFonts w:ascii="Arial" w:hAnsi="Arial"/>
        </w:rPr>
        <w:t>Casane</w:t>
      </w:r>
      <w:proofErr w:type="spellEnd"/>
      <w:r>
        <w:rPr>
          <w:rFonts w:ascii="Arial" w:hAnsi="Arial"/>
        </w:rPr>
        <w:t xml:space="preserve"> (2026), </w:t>
      </w:r>
      <w:proofErr w:type="spellStart"/>
      <w:r>
        <w:rPr>
          <w:rFonts w:ascii="Arial" w:hAnsi="Arial"/>
        </w:rPr>
        <w:t>Baluyot</w:t>
      </w:r>
      <w:proofErr w:type="spellEnd"/>
      <w:r>
        <w:rPr>
          <w:rFonts w:ascii="Arial" w:hAnsi="Arial"/>
        </w:rPr>
        <w:t xml:space="preserve"> et al. (2026), and </w:t>
      </w:r>
      <w:proofErr w:type="spellStart"/>
      <w:r>
        <w:rPr>
          <w:rFonts w:ascii="Arial" w:hAnsi="Arial"/>
        </w:rPr>
        <w:t>Jagonoy</w:t>
      </w:r>
      <w:proofErr w:type="spellEnd"/>
      <w:r>
        <w:rPr>
          <w:rFonts w:ascii="Arial" w:hAnsi="Arial"/>
        </w:rPr>
        <w:t xml:space="preserve"> et al. (2026),</w:t>
      </w:r>
      <w:r>
        <w:rPr>
          <w:rFonts w:ascii="Arial" w:hAnsi="Arial"/>
        </w:rPr>
        <w:t xml:space="preserve"> this research highlighted the consistent value of </w:t>
      </w:r>
      <w:r>
        <w:rPr>
          <w:rStyle w:val="Strong"/>
          <w:rFonts w:ascii="Arial" w:hAnsi="Arial"/>
          <w:b w:val="0"/>
          <w:bCs w:val="0"/>
        </w:rPr>
        <w:t>innovative strategies and positive attitudes</w:t>
      </w:r>
      <w:r>
        <w:rPr>
          <w:rFonts w:ascii="Arial" w:hAnsi="Arial"/>
        </w:rPr>
        <w:t xml:space="preserve"> in improving education. Just as financial literacy workshops, Picture-to-Words, and Think-Pair-Share strategies enhanced student outcomes, Spin and Solve provid</w:t>
      </w:r>
      <w:r>
        <w:rPr>
          <w:rFonts w:ascii="Arial" w:hAnsi="Arial"/>
        </w:rPr>
        <w:t>ed a creative, learner-centered approach to mathematics. It transformed division from a source of frustration into an opportunity for mastery, while also supporting teachers in delivering effective instruction.</w:t>
      </w:r>
    </w:p>
    <w:p w:rsidR="005E7040" w:rsidRDefault="00A94247">
      <w:pPr>
        <w:pStyle w:val="BodyText"/>
        <w:jc w:val="both"/>
      </w:pPr>
      <w:r>
        <w:rPr>
          <w:rStyle w:val="Strong"/>
          <w:rFonts w:ascii="Arial" w:hAnsi="Arial"/>
          <w:b w:val="0"/>
          <w:bCs w:val="0"/>
        </w:rPr>
        <w:t>Conducting this study was essential in the co</w:t>
      </w:r>
      <w:r>
        <w:rPr>
          <w:rStyle w:val="Strong"/>
          <w:rFonts w:ascii="Arial" w:hAnsi="Arial"/>
          <w:b w:val="0"/>
          <w:bCs w:val="0"/>
        </w:rPr>
        <w:t>ntext of elementary education because division was a foundational skill that supported higher-level mathematical concepts such as fractions, ratios, and problem-solving. Weaknesses in division at the Grade 4 level hindered future learning and negatively af</w:t>
      </w:r>
      <w:r>
        <w:rPr>
          <w:rStyle w:val="Strong"/>
          <w:rFonts w:ascii="Arial" w:hAnsi="Arial"/>
          <w:b w:val="0"/>
          <w:bCs w:val="0"/>
        </w:rPr>
        <w:t>fected overall academic achievement. By introducing Spin and Solve, the study not only addressed immediate learning gaps but also promoted critical thinking, motivation, and confidence among pupils. Furthermore, it equipped teachers with an innovative inst</w:t>
      </w:r>
      <w:r>
        <w:rPr>
          <w:rStyle w:val="Strong"/>
          <w:rFonts w:ascii="Arial" w:hAnsi="Arial"/>
          <w:b w:val="0"/>
          <w:bCs w:val="0"/>
        </w:rPr>
        <w:t xml:space="preserve">ructional tool that made abstract concepts </w:t>
      </w:r>
      <w:r>
        <w:rPr>
          <w:rStyle w:val="Strong"/>
          <w:rFonts w:ascii="Arial" w:hAnsi="Arial"/>
          <w:b w:val="0"/>
          <w:bCs w:val="0"/>
        </w:rPr>
        <w:lastRenderedPageBreak/>
        <w:t>more concrete and engaging. Ultimately, this research contributed to strengthening mathematics education at the elementary level, ensuring that learners built strong foundations for lifelong learning and success.</w:t>
      </w:r>
    </w:p>
    <w:p w:rsidR="005E7040" w:rsidRDefault="005E7040">
      <w:pPr>
        <w:pStyle w:val="AbstHead"/>
        <w:spacing w:after="0"/>
        <w:jc w:val="both"/>
        <w:rPr>
          <w:rFonts w:ascii="Arial" w:hAnsi="Arial" w:cs="Arial"/>
        </w:rPr>
      </w:pPr>
    </w:p>
    <w:p w:rsidR="005E7040" w:rsidRDefault="00A94247">
      <w:pPr>
        <w:jc w:val="both"/>
        <w:rPr>
          <w:rFonts w:ascii="Arial" w:hAnsi="Arial" w:cs="Arial"/>
          <w:b/>
          <w:bCs/>
        </w:rPr>
      </w:pPr>
      <w:r>
        <w:rPr>
          <w:rFonts w:ascii="Arial" w:hAnsi="Arial" w:cs="Arial"/>
          <w:b/>
          <w:bCs/>
        </w:rPr>
        <w:t>Objectives</w:t>
      </w:r>
    </w:p>
    <w:p w:rsidR="005E7040" w:rsidRDefault="00A94247">
      <w:pPr>
        <w:jc w:val="both"/>
        <w:rPr>
          <w:rFonts w:ascii="Arial" w:hAnsi="Arial" w:cs="Arial"/>
          <w:b/>
          <w:bCs/>
        </w:rPr>
      </w:pPr>
      <w:r>
        <w:rPr>
          <w:rFonts w:ascii="Arial" w:hAnsi="Arial" w:cs="Arial"/>
          <w:b/>
          <w:bCs/>
        </w:rPr>
        <w:t xml:space="preserve"> </w:t>
      </w:r>
    </w:p>
    <w:p w:rsidR="005E7040" w:rsidRDefault="00A94247">
      <w:pPr>
        <w:jc w:val="both"/>
        <w:rPr>
          <w:rFonts w:ascii="Arial" w:hAnsi="Arial" w:cs="Arial"/>
        </w:rPr>
      </w:pPr>
      <w:r>
        <w:rPr>
          <w:rFonts w:ascii="Arial" w:hAnsi="Arial" w:cs="Arial"/>
          <w:b/>
          <w:bCs/>
        </w:rPr>
        <w:tab/>
      </w:r>
      <w:r>
        <w:rPr>
          <w:rFonts w:ascii="Arial" w:hAnsi="Arial" w:cs="Arial"/>
        </w:rPr>
        <w:t xml:space="preserve">This study aimed to determine the level of division skills of Grade 4 pupils in </w:t>
      </w:r>
      <w:proofErr w:type="spellStart"/>
      <w:r>
        <w:rPr>
          <w:rFonts w:ascii="Arial" w:hAnsi="Arial" w:cs="Arial"/>
        </w:rPr>
        <w:t>Mualbual</w:t>
      </w:r>
      <w:proofErr w:type="spellEnd"/>
      <w:r>
        <w:rPr>
          <w:rFonts w:ascii="Arial" w:hAnsi="Arial" w:cs="Arial"/>
        </w:rPr>
        <w:t xml:space="preserve"> Elementary School during the school year 2024-2025</w:t>
      </w:r>
    </w:p>
    <w:p w:rsidR="005E7040" w:rsidRDefault="005E7040">
      <w:pPr>
        <w:jc w:val="both"/>
        <w:rPr>
          <w:rFonts w:ascii="Arial" w:hAnsi="Arial" w:cs="Arial"/>
        </w:rPr>
      </w:pPr>
    </w:p>
    <w:p w:rsidR="005E7040" w:rsidRDefault="00A94247">
      <w:pPr>
        <w:jc w:val="both"/>
        <w:rPr>
          <w:rFonts w:ascii="Arial" w:hAnsi="Arial" w:cs="Arial"/>
        </w:rPr>
      </w:pPr>
      <w:r>
        <w:rPr>
          <w:rFonts w:ascii="Arial" w:hAnsi="Arial" w:cs="Arial"/>
        </w:rPr>
        <w:t>Specifically, it aimed to:</w:t>
      </w:r>
    </w:p>
    <w:p w:rsidR="005E7040" w:rsidRDefault="005E7040">
      <w:pPr>
        <w:jc w:val="both"/>
        <w:rPr>
          <w:rFonts w:ascii="Arial" w:hAnsi="Arial" w:cs="Arial"/>
        </w:rPr>
      </w:pPr>
    </w:p>
    <w:p w:rsidR="005E7040" w:rsidRDefault="00A94247">
      <w:pPr>
        <w:ind w:left="340" w:hanging="283"/>
        <w:jc w:val="both"/>
        <w:rPr>
          <w:rFonts w:ascii="Arial" w:hAnsi="Arial" w:cs="Arial"/>
        </w:rPr>
      </w:pPr>
      <w:r>
        <w:rPr>
          <w:rFonts w:ascii="Arial" w:hAnsi="Arial" w:cs="Arial"/>
        </w:rPr>
        <w:t>1. Determine the</w:t>
      </w:r>
      <w:r>
        <w:rPr>
          <w:rFonts w:ascii="Arial" w:hAnsi="Arial" w:cs="Arial"/>
          <w:b/>
        </w:rPr>
        <w:t xml:space="preserve"> </w:t>
      </w:r>
      <w:r>
        <w:rPr>
          <w:rFonts w:ascii="Arial" w:hAnsi="Arial" w:cs="Arial"/>
        </w:rPr>
        <w:t>pre</w:t>
      </w:r>
      <w:r>
        <w:rPr>
          <w:rFonts w:ascii="Arial" w:hAnsi="Arial" w:cs="Arial"/>
          <w:b/>
        </w:rPr>
        <w:t>-</w:t>
      </w:r>
      <w:r>
        <w:rPr>
          <w:rFonts w:ascii="Arial" w:hAnsi="Arial" w:cs="Arial"/>
        </w:rPr>
        <w:t>test</w:t>
      </w:r>
      <w:r>
        <w:rPr>
          <w:rFonts w:ascii="Arial" w:hAnsi="Arial" w:cs="Arial"/>
          <w:b/>
        </w:rPr>
        <w:t xml:space="preserve"> </w:t>
      </w:r>
      <w:r>
        <w:rPr>
          <w:rFonts w:ascii="Arial" w:hAnsi="Arial" w:cs="Arial"/>
        </w:rPr>
        <w:t>results</w:t>
      </w:r>
      <w:r>
        <w:rPr>
          <w:rFonts w:ascii="Arial" w:hAnsi="Arial" w:cs="Arial"/>
          <w:b/>
        </w:rPr>
        <w:t xml:space="preserve"> </w:t>
      </w:r>
      <w:r>
        <w:rPr>
          <w:rFonts w:ascii="Arial" w:hAnsi="Arial" w:cs="Arial"/>
        </w:rPr>
        <w:t>of</w:t>
      </w:r>
      <w:r>
        <w:rPr>
          <w:rFonts w:ascii="Arial" w:hAnsi="Arial" w:cs="Arial"/>
          <w:b/>
        </w:rPr>
        <w:t xml:space="preserve"> </w:t>
      </w:r>
      <w:r>
        <w:rPr>
          <w:rFonts w:ascii="Arial" w:hAnsi="Arial" w:cs="Arial"/>
        </w:rPr>
        <w:t>the</w:t>
      </w:r>
      <w:r>
        <w:rPr>
          <w:rFonts w:ascii="Arial" w:hAnsi="Arial" w:cs="Arial"/>
          <w:b/>
        </w:rPr>
        <w:t xml:space="preserve"> </w:t>
      </w:r>
      <w:r>
        <w:rPr>
          <w:rFonts w:ascii="Arial" w:hAnsi="Arial" w:cs="Arial"/>
        </w:rPr>
        <w:t>respondents</w:t>
      </w:r>
      <w:r>
        <w:rPr>
          <w:rFonts w:ascii="Arial" w:hAnsi="Arial" w:cs="Arial"/>
          <w:b/>
        </w:rPr>
        <w:t xml:space="preserve"> </w:t>
      </w:r>
      <w:r>
        <w:rPr>
          <w:rFonts w:ascii="Arial" w:hAnsi="Arial" w:cs="Arial"/>
        </w:rPr>
        <w:t>in</w:t>
      </w:r>
      <w:r>
        <w:rPr>
          <w:rFonts w:ascii="Arial" w:hAnsi="Arial" w:cs="Arial"/>
          <w:b/>
        </w:rPr>
        <w:t xml:space="preserve"> </w:t>
      </w:r>
      <w:r>
        <w:rPr>
          <w:rFonts w:ascii="Arial" w:hAnsi="Arial" w:cs="Arial"/>
        </w:rPr>
        <w:t>solving</w:t>
      </w:r>
      <w:r>
        <w:rPr>
          <w:rFonts w:ascii="Arial" w:hAnsi="Arial" w:cs="Arial"/>
          <w:b/>
        </w:rPr>
        <w:t xml:space="preserve"> </w:t>
      </w:r>
      <w:r>
        <w:rPr>
          <w:rFonts w:ascii="Arial" w:hAnsi="Arial" w:cs="Arial"/>
        </w:rPr>
        <w:t>division</w:t>
      </w:r>
      <w:r>
        <w:rPr>
          <w:rFonts w:ascii="Arial" w:hAnsi="Arial" w:cs="Arial"/>
        </w:rPr>
        <w:t xml:space="preserve"> before implementing the spin and solve game.</w:t>
      </w:r>
    </w:p>
    <w:p w:rsidR="005E7040" w:rsidRDefault="00A94247">
      <w:pPr>
        <w:ind w:left="340" w:hanging="283"/>
        <w:jc w:val="both"/>
        <w:rPr>
          <w:rFonts w:ascii="Arial" w:hAnsi="Arial" w:cs="Arial"/>
        </w:rPr>
      </w:pPr>
      <w:r>
        <w:rPr>
          <w:rFonts w:ascii="Arial" w:hAnsi="Arial" w:cs="Arial"/>
        </w:rPr>
        <w:t>2. Determine the post-test results of respondents in solving division after implementing the spin and solve game.</w:t>
      </w:r>
    </w:p>
    <w:p w:rsidR="005E7040" w:rsidRDefault="00A94247">
      <w:pPr>
        <w:ind w:left="340" w:hanging="283"/>
        <w:jc w:val="both"/>
        <w:rPr>
          <w:rFonts w:ascii="Arial" w:hAnsi="Arial" w:cs="Arial"/>
        </w:rPr>
      </w:pPr>
      <w:r>
        <w:rPr>
          <w:rFonts w:ascii="Arial" w:hAnsi="Arial" w:cs="Arial"/>
        </w:rPr>
        <w:t xml:space="preserve">3. To find out if there was a significant difference between the pre-test and post-test results </w:t>
      </w:r>
      <w:r>
        <w:rPr>
          <w:rFonts w:ascii="Arial" w:hAnsi="Arial" w:cs="Arial"/>
        </w:rPr>
        <w:t xml:space="preserve">of the participants through the Spin and Solve Game. </w:t>
      </w:r>
    </w:p>
    <w:p w:rsidR="005E7040" w:rsidRDefault="00A94247">
      <w:pPr>
        <w:jc w:val="both"/>
        <w:rPr>
          <w:rFonts w:ascii="Arial" w:hAnsi="Arial" w:cs="Arial"/>
        </w:rPr>
      </w:pPr>
      <w:r>
        <w:rPr>
          <w:rFonts w:ascii="Arial" w:hAnsi="Arial" w:cs="Arial"/>
          <w:b/>
          <w:bCs/>
        </w:rPr>
        <w:t xml:space="preserve"> </w:t>
      </w:r>
      <w:r>
        <w:rPr>
          <w:rFonts w:ascii="Arial" w:hAnsi="Arial" w:cs="Arial"/>
          <w:b/>
          <w:bCs/>
        </w:rPr>
        <w:tab/>
      </w:r>
    </w:p>
    <w:p w:rsidR="005E7040" w:rsidRDefault="005E7040">
      <w:pPr>
        <w:pStyle w:val="AbstHead"/>
        <w:spacing w:after="0"/>
        <w:jc w:val="both"/>
        <w:rPr>
          <w:rFonts w:ascii="Arial" w:hAnsi="Arial" w:cs="Arial"/>
        </w:rPr>
      </w:pPr>
    </w:p>
    <w:p w:rsidR="005E7040" w:rsidRDefault="005E7040">
      <w:pPr>
        <w:pStyle w:val="AbstHead"/>
        <w:spacing w:after="0"/>
        <w:jc w:val="both"/>
        <w:rPr>
          <w:rFonts w:ascii="Arial" w:hAnsi="Arial" w:cs="Arial"/>
        </w:rPr>
      </w:pPr>
    </w:p>
    <w:p w:rsidR="005E7040" w:rsidRDefault="005E7040">
      <w:pPr>
        <w:pStyle w:val="AbstHead"/>
        <w:spacing w:after="0"/>
        <w:jc w:val="both"/>
        <w:rPr>
          <w:rFonts w:ascii="Arial" w:hAnsi="Arial" w:cs="Arial"/>
        </w:rPr>
      </w:pPr>
    </w:p>
    <w:p w:rsidR="005E7040" w:rsidRDefault="005E7040">
      <w:pPr>
        <w:pStyle w:val="AbstHead"/>
        <w:spacing w:after="0"/>
        <w:jc w:val="both"/>
        <w:rPr>
          <w:rFonts w:ascii="Arial" w:hAnsi="Arial" w:cs="Arial"/>
        </w:rPr>
      </w:pPr>
    </w:p>
    <w:p w:rsidR="005E7040" w:rsidRDefault="00A94247">
      <w:pPr>
        <w:pStyle w:val="AbstHead"/>
        <w:spacing w:after="0"/>
        <w:jc w:val="both"/>
        <w:rPr>
          <w:rFonts w:ascii="Arial" w:hAnsi="Arial" w:cs="Arial"/>
        </w:rPr>
      </w:pPr>
      <w:r>
        <w:rPr>
          <w:rFonts w:ascii="Arial" w:hAnsi="Arial" w:cs="Arial"/>
        </w:rPr>
        <w:t xml:space="preserve">2. methodology </w:t>
      </w:r>
    </w:p>
    <w:p w:rsidR="005E7040" w:rsidRDefault="005E7040">
      <w:pPr>
        <w:pStyle w:val="AbstHead"/>
        <w:spacing w:after="0"/>
        <w:jc w:val="both"/>
        <w:rPr>
          <w:rFonts w:ascii="Arial" w:hAnsi="Arial" w:cs="Arial"/>
        </w:rPr>
      </w:pPr>
    </w:p>
    <w:p w:rsidR="005E7040" w:rsidRDefault="00A94247">
      <w:pPr>
        <w:pStyle w:val="Body"/>
        <w:spacing w:after="0"/>
        <w:rPr>
          <w:rFonts w:ascii="Arial" w:hAnsi="Arial" w:cs="Arial"/>
          <w:b/>
          <w:bCs/>
        </w:rPr>
      </w:pPr>
      <w:r>
        <w:rPr>
          <w:rFonts w:ascii="Arial" w:hAnsi="Arial" w:cs="Arial"/>
          <w:b/>
          <w:bCs/>
        </w:rPr>
        <w:t>1. Research Design</w:t>
      </w:r>
    </w:p>
    <w:p w:rsidR="005E7040" w:rsidRDefault="00A94247">
      <w:pPr>
        <w:pStyle w:val="BodyText"/>
        <w:jc w:val="both"/>
      </w:pPr>
      <w:r>
        <w:rPr>
          <w:rFonts w:ascii="Arial" w:hAnsi="Arial" w:cs="Arial"/>
        </w:rPr>
        <w:t xml:space="preserve"> </w:t>
      </w:r>
      <w:r>
        <w:rPr>
          <w:rFonts w:ascii="Arial" w:hAnsi="Arial" w:cs="Arial"/>
        </w:rPr>
        <w:t xml:space="preserve">This study adopted a </w:t>
      </w:r>
      <w:r>
        <w:rPr>
          <w:rStyle w:val="Strong"/>
          <w:rFonts w:ascii="Arial" w:hAnsi="Arial" w:cs="Arial"/>
          <w:b w:val="0"/>
          <w:bCs w:val="0"/>
        </w:rPr>
        <w:t>quasi-experimental one-group pre-test and post-test design</w:t>
      </w:r>
      <w:r>
        <w:rPr>
          <w:rFonts w:ascii="Arial" w:hAnsi="Arial" w:cs="Arial"/>
        </w:rPr>
        <w:t xml:space="preserve">. This design was chosen to measure the effectiveness of the Spin and Solve </w:t>
      </w:r>
      <w:r>
        <w:rPr>
          <w:rFonts w:ascii="Arial" w:hAnsi="Arial" w:cs="Arial"/>
        </w:rPr>
        <w:t>Game in improving the division skills of Grade 4 learners.</w:t>
      </w:r>
    </w:p>
    <w:p w:rsidR="005E7040" w:rsidRDefault="00A94247">
      <w:pPr>
        <w:pStyle w:val="BodyText"/>
        <w:jc w:val="both"/>
        <w:rPr>
          <w:rFonts w:ascii="Arial" w:hAnsi="Arial"/>
        </w:rPr>
      </w:pPr>
      <w:r>
        <w:rPr>
          <w:rStyle w:val="Strong"/>
          <w:rFonts w:ascii="Arial" w:hAnsi="Arial"/>
        </w:rPr>
        <w:t>2. Research Instrument</w:t>
      </w:r>
    </w:p>
    <w:p w:rsidR="005E7040" w:rsidRDefault="00A94247">
      <w:pPr>
        <w:pStyle w:val="BodyText"/>
        <w:jc w:val="both"/>
      </w:pPr>
      <w:r>
        <w:rPr>
          <w:rFonts w:ascii="Arial" w:hAnsi="Arial"/>
        </w:rPr>
        <w:t xml:space="preserve">The main instruments used for data collection were a </w:t>
      </w:r>
      <w:r>
        <w:rPr>
          <w:rStyle w:val="Strong"/>
          <w:rFonts w:ascii="Arial" w:hAnsi="Arial"/>
          <w:b w:val="0"/>
          <w:bCs w:val="0"/>
        </w:rPr>
        <w:t>pre-test and post-test</w:t>
      </w:r>
      <w:r>
        <w:rPr>
          <w:rFonts w:ascii="Arial" w:hAnsi="Arial"/>
        </w:rPr>
        <w:t xml:space="preserve">, each consisting of 10 items on division. The same set of questions was used for both tests to </w:t>
      </w:r>
      <w:r>
        <w:rPr>
          <w:rFonts w:ascii="Arial" w:hAnsi="Arial"/>
        </w:rPr>
        <w:t>measure improvement. The Grade 4 teacher assisted in validating the test items and in recording the scores using the Mean Percentage Score and the Grading Sheet.</w:t>
      </w:r>
    </w:p>
    <w:p w:rsidR="005E7040" w:rsidRDefault="005E7040">
      <w:pPr>
        <w:jc w:val="both"/>
        <w:rPr>
          <w:rFonts w:ascii="Arial" w:hAnsi="Arial" w:cs="Arial"/>
        </w:rPr>
      </w:pPr>
    </w:p>
    <w:p w:rsidR="005E7040" w:rsidRDefault="00A94247">
      <w:pPr>
        <w:jc w:val="both"/>
        <w:rPr>
          <w:rFonts w:ascii="Arial" w:hAnsi="Arial" w:cs="Arial"/>
          <w:b/>
          <w:bCs/>
        </w:rPr>
      </w:pPr>
      <w:r>
        <w:rPr>
          <w:rFonts w:ascii="Arial" w:hAnsi="Arial" w:cs="Arial"/>
          <w:b/>
          <w:bCs/>
        </w:rPr>
        <w:t>3. Respondents</w:t>
      </w:r>
    </w:p>
    <w:p w:rsidR="005E7040" w:rsidRDefault="00A94247">
      <w:pPr>
        <w:jc w:val="both"/>
        <w:rPr>
          <w:rFonts w:ascii="Arial" w:hAnsi="Arial" w:cs="Arial"/>
        </w:rPr>
      </w:pPr>
      <w:r>
        <w:rPr>
          <w:rFonts w:ascii="Arial" w:hAnsi="Arial" w:cs="Arial"/>
        </w:rPr>
        <w:t xml:space="preserve">The respondents consisted of seventeen (17) Grade 4 pupils of </w:t>
      </w:r>
      <w:proofErr w:type="spellStart"/>
      <w:r>
        <w:rPr>
          <w:rFonts w:ascii="Arial" w:hAnsi="Arial" w:cs="Arial"/>
        </w:rPr>
        <w:t>Mualbual</w:t>
      </w:r>
      <w:proofErr w:type="spellEnd"/>
      <w:r>
        <w:rPr>
          <w:rFonts w:ascii="Arial" w:hAnsi="Arial" w:cs="Arial"/>
        </w:rPr>
        <w:t xml:space="preserve"> Element</w:t>
      </w:r>
      <w:r>
        <w:rPr>
          <w:rFonts w:ascii="Arial" w:hAnsi="Arial" w:cs="Arial"/>
        </w:rPr>
        <w:t>ary School who are officially enrolled for the Second Quarter of the School Year 2024-2025.</w:t>
      </w:r>
    </w:p>
    <w:p w:rsidR="005E7040" w:rsidRDefault="005E7040">
      <w:pPr>
        <w:jc w:val="both"/>
        <w:rPr>
          <w:rFonts w:ascii="Arial" w:hAnsi="Arial" w:cs="Arial"/>
        </w:rPr>
      </w:pPr>
    </w:p>
    <w:p w:rsidR="005E7040" w:rsidRDefault="00A94247">
      <w:pPr>
        <w:jc w:val="both"/>
        <w:rPr>
          <w:rFonts w:ascii="Arial" w:hAnsi="Arial" w:cs="Arial"/>
          <w:b/>
          <w:bCs/>
        </w:rPr>
      </w:pPr>
      <w:r>
        <w:rPr>
          <w:rFonts w:ascii="Arial" w:hAnsi="Arial" w:cs="Arial"/>
          <w:b/>
          <w:bCs/>
        </w:rPr>
        <w:t>4.</w:t>
      </w:r>
      <w:r>
        <w:rPr>
          <w:rFonts w:ascii="Arial" w:hAnsi="Arial" w:cs="Arial"/>
        </w:rPr>
        <w:t xml:space="preserve"> </w:t>
      </w:r>
      <w:r>
        <w:rPr>
          <w:rFonts w:ascii="Arial" w:hAnsi="Arial" w:cs="Arial"/>
          <w:b/>
          <w:bCs/>
        </w:rPr>
        <w:t>Sampling Technique</w:t>
      </w:r>
    </w:p>
    <w:p w:rsidR="005E7040" w:rsidRDefault="00A94247">
      <w:pPr>
        <w:jc w:val="both"/>
        <w:rPr>
          <w:rFonts w:ascii="Arial" w:hAnsi="Arial" w:cs="Arial"/>
          <w:b/>
          <w:bCs/>
          <w:sz w:val="16"/>
          <w:szCs w:val="16"/>
        </w:rPr>
      </w:pPr>
      <w:r>
        <w:rPr>
          <w:rFonts w:ascii="Arial" w:hAnsi="Arial" w:cs="Arial"/>
        </w:rPr>
        <w:t>This study utilized a purposive sampling to determine the number of respondents involved in this study.</w:t>
      </w:r>
    </w:p>
    <w:p w:rsidR="005E7040" w:rsidRDefault="005E7040">
      <w:pPr>
        <w:jc w:val="both"/>
        <w:rPr>
          <w:rFonts w:ascii="Arial" w:hAnsi="Arial" w:cs="Arial"/>
          <w:b/>
          <w:bCs/>
        </w:rPr>
      </w:pPr>
    </w:p>
    <w:p w:rsidR="005E7040" w:rsidRDefault="00A94247">
      <w:pPr>
        <w:jc w:val="both"/>
        <w:rPr>
          <w:rFonts w:ascii="Arial" w:hAnsi="Arial" w:cs="Arial"/>
          <w:b/>
          <w:bCs/>
        </w:rPr>
      </w:pPr>
      <w:r>
        <w:rPr>
          <w:rFonts w:ascii="Arial" w:hAnsi="Arial" w:cs="Arial"/>
          <w:b/>
          <w:bCs/>
        </w:rPr>
        <w:t>5. Research Instrument</w:t>
      </w:r>
    </w:p>
    <w:p w:rsidR="005E7040" w:rsidRDefault="00A94247">
      <w:pPr>
        <w:jc w:val="both"/>
        <w:rPr>
          <w:rFonts w:ascii="Arial" w:hAnsi="Arial" w:cs="Arial"/>
          <w:b/>
          <w:bCs/>
          <w:sz w:val="16"/>
          <w:szCs w:val="16"/>
        </w:rPr>
      </w:pPr>
      <w:r>
        <w:rPr>
          <w:rFonts w:ascii="Arial" w:hAnsi="Arial" w:cs="Arial"/>
        </w:rPr>
        <w:t>This study ut</w:t>
      </w:r>
      <w:r>
        <w:rPr>
          <w:rFonts w:ascii="Arial" w:hAnsi="Arial" w:cs="Arial"/>
        </w:rPr>
        <w:t>ilized pre-test and post-test research instruments. The pre-test and post-test consisted of 10 items. To ensure that the division skill of the pupils was measured, the researchers used the pre-test contents as the post-test.</w:t>
      </w:r>
      <w:r>
        <w:rPr>
          <w:rFonts w:ascii="Arial" w:hAnsi="Arial" w:cs="Arial"/>
          <w:b/>
          <w:bCs/>
          <w:sz w:val="16"/>
          <w:szCs w:val="16"/>
        </w:rPr>
        <w:t xml:space="preserve"> </w:t>
      </w:r>
      <w:r>
        <w:rPr>
          <w:rFonts w:ascii="Arial" w:hAnsi="Arial" w:cs="Arial"/>
        </w:rPr>
        <w:t>The researchers ensured the val</w:t>
      </w:r>
      <w:r>
        <w:rPr>
          <w:rFonts w:ascii="Arial" w:hAnsi="Arial" w:cs="Arial"/>
        </w:rPr>
        <w:t>idity and reliability of the results taken from the pre-test and post-test by gathering data and analysis. The researchers were assisted by the Grade 4 teacher by providing the Mean Percentage Score and the Grading Sheet of the students.</w:t>
      </w:r>
    </w:p>
    <w:p w:rsidR="005E7040" w:rsidRDefault="005E7040">
      <w:pPr>
        <w:jc w:val="both"/>
        <w:rPr>
          <w:rFonts w:ascii="Arial" w:hAnsi="Arial" w:cs="Arial"/>
        </w:rPr>
      </w:pPr>
    </w:p>
    <w:p w:rsidR="005E7040" w:rsidRDefault="00A94247">
      <w:pPr>
        <w:jc w:val="both"/>
        <w:rPr>
          <w:rFonts w:ascii="Arial" w:hAnsi="Arial" w:cs="Arial"/>
          <w:b/>
          <w:bCs/>
        </w:rPr>
      </w:pPr>
      <w:r>
        <w:rPr>
          <w:rFonts w:ascii="Arial" w:hAnsi="Arial" w:cs="Arial"/>
          <w:b/>
          <w:bCs/>
        </w:rPr>
        <w:t>6. Data Analysis</w:t>
      </w:r>
    </w:p>
    <w:p w:rsidR="005E7040" w:rsidRDefault="00A94247">
      <w:pPr>
        <w:jc w:val="both"/>
        <w:rPr>
          <w:rFonts w:ascii="Arial" w:hAnsi="Arial" w:cs="Arial"/>
        </w:rPr>
      </w:pPr>
      <w:r>
        <w:rPr>
          <w:rFonts w:ascii="Arial" w:hAnsi="Arial" w:cs="Arial"/>
        </w:rPr>
        <w:t xml:space="preserve">The data were analyzed using frequency counts, percentage, and weighted mean. These statistical tools facilitated the effective interpretation of results, enabling the researchers to identify patterns, measure improvements, and draw meaningful conclusions </w:t>
      </w:r>
      <w:r>
        <w:rPr>
          <w:rFonts w:ascii="Arial" w:hAnsi="Arial" w:cs="Arial"/>
        </w:rPr>
        <w:t>regarding the impact of the Spin and Solve Game.</w:t>
      </w:r>
    </w:p>
    <w:p w:rsidR="005E7040" w:rsidRDefault="005E7040">
      <w:pPr>
        <w:jc w:val="both"/>
        <w:rPr>
          <w:rFonts w:ascii="Arial" w:hAnsi="Arial"/>
        </w:rPr>
      </w:pPr>
    </w:p>
    <w:p w:rsidR="005E7040" w:rsidRDefault="00A94247">
      <w:pPr>
        <w:jc w:val="both"/>
        <w:rPr>
          <w:rFonts w:ascii="Arial" w:hAnsi="Arial"/>
          <w:b/>
          <w:bCs/>
        </w:rPr>
      </w:pPr>
      <w:r>
        <w:rPr>
          <w:rFonts w:ascii="Arial" w:hAnsi="Arial" w:cs="Arial"/>
          <w:b/>
          <w:bCs/>
        </w:rPr>
        <w:lastRenderedPageBreak/>
        <w:t>7.  Limitations of the Study</w:t>
      </w:r>
    </w:p>
    <w:p w:rsidR="005E7040" w:rsidRDefault="00A94247">
      <w:pPr>
        <w:pStyle w:val="BodyText"/>
        <w:jc w:val="both"/>
        <w:rPr>
          <w:rFonts w:ascii="Arial" w:hAnsi="Arial"/>
        </w:rPr>
      </w:pPr>
      <w:r>
        <w:rPr>
          <w:rFonts w:ascii="Arial" w:hAnsi="Arial"/>
        </w:rPr>
        <w:t xml:space="preserve">This study was limited to Grade 4 learners of </w:t>
      </w:r>
      <w:proofErr w:type="spellStart"/>
      <w:r>
        <w:rPr>
          <w:rFonts w:ascii="Arial" w:hAnsi="Arial"/>
        </w:rPr>
        <w:t>Mualbual</w:t>
      </w:r>
      <w:proofErr w:type="spellEnd"/>
      <w:r>
        <w:rPr>
          <w:rFonts w:ascii="Arial" w:hAnsi="Arial"/>
        </w:rPr>
        <w:t xml:space="preserve"> Elementary School, </w:t>
      </w:r>
      <w:proofErr w:type="spellStart"/>
      <w:r>
        <w:rPr>
          <w:rFonts w:ascii="Arial" w:hAnsi="Arial"/>
        </w:rPr>
        <w:t>Laoang</w:t>
      </w:r>
      <w:proofErr w:type="spellEnd"/>
      <w:r>
        <w:rPr>
          <w:rFonts w:ascii="Arial" w:hAnsi="Arial"/>
        </w:rPr>
        <w:t>, Northern Samar, during the Second Quarter of the School Year 2024–2025. Since only seventeen pu</w:t>
      </w:r>
      <w:r>
        <w:rPr>
          <w:rFonts w:ascii="Arial" w:hAnsi="Arial"/>
        </w:rPr>
        <w:t>pils participated, the findings may not represent all Grade 4 learners in other schools or contexts.</w:t>
      </w:r>
    </w:p>
    <w:p w:rsidR="005E7040" w:rsidRDefault="00A94247">
      <w:pPr>
        <w:pStyle w:val="BodyText"/>
        <w:jc w:val="both"/>
        <w:rPr>
          <w:rFonts w:ascii="Arial" w:hAnsi="Arial"/>
        </w:rPr>
      </w:pPr>
      <w:r>
        <w:rPr>
          <w:rFonts w:ascii="Arial" w:hAnsi="Arial"/>
        </w:rPr>
        <w:t>The study also used a one-group pre-test and post-test design without a control group. This means other factors, such as classroom activities or parental s</w:t>
      </w:r>
      <w:r>
        <w:rPr>
          <w:rFonts w:ascii="Arial" w:hAnsi="Arial"/>
        </w:rPr>
        <w:t>upport, might have influenced the improvement in learners’ division skills. Finally, the study focused only on division skills and did not test the effectiveness of the Spin and Solve Game in other areas of mathematics. The results therefore apply specific</w:t>
      </w:r>
      <w:r>
        <w:rPr>
          <w:rFonts w:ascii="Arial" w:hAnsi="Arial"/>
        </w:rPr>
        <w:t>ally to division and may not reflect its impact on other mathematical concepts.</w:t>
      </w:r>
    </w:p>
    <w:p w:rsidR="005E7040" w:rsidRDefault="005E7040">
      <w:pPr>
        <w:pStyle w:val="BodyText"/>
        <w:jc w:val="both"/>
        <w:rPr>
          <w:rFonts w:ascii="Arial" w:hAnsi="Arial"/>
        </w:rPr>
      </w:pPr>
    </w:p>
    <w:p w:rsidR="005E7040" w:rsidRDefault="005E7040">
      <w:pPr>
        <w:jc w:val="both"/>
        <w:rPr>
          <w:rFonts w:ascii="Arial" w:hAnsi="Arial"/>
        </w:rPr>
      </w:pPr>
    </w:p>
    <w:p w:rsidR="005E7040" w:rsidRDefault="005E7040">
      <w:pPr>
        <w:jc w:val="both"/>
        <w:rPr>
          <w:rFonts w:ascii="Arial" w:hAnsi="Arial" w:cs="Arial"/>
          <w:sz w:val="24"/>
          <w:szCs w:val="24"/>
        </w:rPr>
      </w:pPr>
    </w:p>
    <w:p w:rsidR="005E7040" w:rsidRDefault="005E7040">
      <w:pPr>
        <w:jc w:val="both"/>
        <w:rPr>
          <w:rFonts w:ascii="Arial" w:hAnsi="Arial" w:cs="Arial"/>
          <w:sz w:val="24"/>
          <w:szCs w:val="24"/>
        </w:rPr>
      </w:pPr>
    </w:p>
    <w:p w:rsidR="005E7040" w:rsidRDefault="00A94247">
      <w:pPr>
        <w:jc w:val="both"/>
        <w:rPr>
          <w:rFonts w:ascii="Arial" w:hAnsi="Arial" w:cs="Arial"/>
          <w:b/>
          <w:bCs/>
          <w:sz w:val="22"/>
          <w:szCs w:val="22"/>
        </w:rPr>
      </w:pPr>
      <w:r>
        <w:rPr>
          <w:rFonts w:ascii="Arial" w:hAnsi="Arial" w:cs="Arial"/>
          <w:b/>
          <w:bCs/>
          <w:sz w:val="22"/>
          <w:szCs w:val="22"/>
        </w:rPr>
        <w:t>3. RESULTS AND DISCUSSION</w:t>
      </w:r>
    </w:p>
    <w:p w:rsidR="005E7040" w:rsidRDefault="005E7040">
      <w:pPr>
        <w:jc w:val="both"/>
        <w:rPr>
          <w:rFonts w:ascii="Arial" w:hAnsi="Arial" w:cs="Arial"/>
          <w:b/>
          <w:bCs/>
          <w:sz w:val="22"/>
          <w:szCs w:val="22"/>
        </w:rPr>
      </w:pPr>
    </w:p>
    <w:p w:rsidR="005E7040" w:rsidRDefault="00A94247">
      <w:pPr>
        <w:pStyle w:val="BodyText"/>
        <w:jc w:val="both"/>
        <w:rPr>
          <w:rFonts w:ascii="Arial" w:hAnsi="Arial"/>
        </w:rPr>
      </w:pPr>
      <w:r>
        <w:rPr>
          <w:rFonts w:ascii="Arial" w:hAnsi="Arial" w:cs="Arial"/>
        </w:rPr>
        <w:t>Table 1 presented the pre-test results of the Grade 4 learners in</w:t>
      </w:r>
      <w:r>
        <w:rPr>
          <w:rFonts w:ascii="Arial" w:hAnsi="Arial" w:cs="Arial"/>
        </w:rPr>
        <w:t xml:space="preserve"> </w:t>
      </w:r>
      <w:proofErr w:type="spellStart"/>
      <w:r>
        <w:rPr>
          <w:rFonts w:ascii="Arial" w:hAnsi="Arial" w:cs="Arial"/>
        </w:rPr>
        <w:t>Mualbual</w:t>
      </w:r>
      <w:proofErr w:type="spellEnd"/>
      <w:r>
        <w:rPr>
          <w:rFonts w:ascii="Arial" w:hAnsi="Arial" w:cs="Arial"/>
        </w:rPr>
        <w:t xml:space="preserve"> Elementary School. During the pre-test, 5 learners or 29.4 percent obtained scores of 9 and 8 respectively, 3 learners or 17.6 percent scored 7, 2 learners or 11.8 percent scored 6, and 1 learner scored lower. This indicated that the Grade 4 lear</w:t>
      </w:r>
      <w:r>
        <w:rPr>
          <w:rFonts w:ascii="Arial" w:hAnsi="Arial" w:cs="Arial"/>
        </w:rPr>
        <w:t>ners had a fair understanding of division concepts, with a mean score of 7.06 and a standard deviation of 2.49.</w:t>
      </w:r>
    </w:p>
    <w:p w:rsidR="005E7040" w:rsidRDefault="00A94247">
      <w:pPr>
        <w:pStyle w:val="BodyText"/>
        <w:jc w:val="both"/>
        <w:rPr>
          <w:rFonts w:ascii="Arial" w:hAnsi="Arial"/>
        </w:rPr>
      </w:pPr>
      <w:r>
        <w:rPr>
          <w:rFonts w:ascii="Arial" w:hAnsi="Arial"/>
        </w:rPr>
        <w:t xml:space="preserve">Although the pre-test results suggested that learners had some grasp of division, their skills were not yet fully developed. Several students </w:t>
      </w:r>
      <w:r>
        <w:rPr>
          <w:rFonts w:ascii="Arial" w:hAnsi="Arial"/>
        </w:rPr>
        <w:t>continued to struggle with subtraction and multiplication, which are essential operations for division. They also found it challenging to divide two- or three-digit numbers and experienced confusion in applying the long division process, particularly in di</w:t>
      </w:r>
      <w:r>
        <w:rPr>
          <w:rFonts w:ascii="Arial" w:hAnsi="Arial"/>
        </w:rPr>
        <w:t xml:space="preserve">viding the dividend by the divisor. These difficulties reflected the broader challenges in mathematics learning, where problem-solving plays a central role. </w:t>
      </w:r>
      <w:proofErr w:type="spellStart"/>
      <w:r>
        <w:rPr>
          <w:rFonts w:ascii="Arial" w:hAnsi="Arial"/>
        </w:rPr>
        <w:t>Klang</w:t>
      </w:r>
      <w:proofErr w:type="spellEnd"/>
      <w:r>
        <w:rPr>
          <w:rFonts w:ascii="Arial" w:hAnsi="Arial"/>
        </w:rPr>
        <w:t xml:space="preserve">, Karlsson, </w:t>
      </w:r>
      <w:proofErr w:type="spellStart"/>
      <w:r>
        <w:rPr>
          <w:rFonts w:ascii="Arial" w:hAnsi="Arial"/>
        </w:rPr>
        <w:t>Kilborn</w:t>
      </w:r>
      <w:proofErr w:type="spellEnd"/>
      <w:r>
        <w:rPr>
          <w:rFonts w:ascii="Arial" w:hAnsi="Arial"/>
        </w:rPr>
        <w:t>, Erikson, and Karlberg (2021) emphasized that problem-solving is a critica</w:t>
      </w:r>
      <w:r>
        <w:rPr>
          <w:rFonts w:ascii="Arial" w:hAnsi="Arial"/>
        </w:rPr>
        <w:t>l aspect of mathematics learning, as it allows students to apply knowledge in meaningful contexts. Similarly, Hsiao, Lin, Chen, and Peng (2018) highlighted that understanding the problem-solving process enhances students’ learning performance by engaging t</w:t>
      </w:r>
      <w:r>
        <w:rPr>
          <w:rFonts w:ascii="Arial" w:hAnsi="Arial"/>
        </w:rPr>
        <w:t>heir cognitive processes in analyzing and communicating solutions.</w:t>
      </w:r>
    </w:p>
    <w:p w:rsidR="005E7040" w:rsidRDefault="00A94247">
      <w:pPr>
        <w:pStyle w:val="BodyText"/>
        <w:jc w:val="both"/>
        <w:rPr>
          <w:rFonts w:ascii="Arial" w:hAnsi="Arial"/>
        </w:rPr>
      </w:pPr>
      <w:r>
        <w:rPr>
          <w:rFonts w:ascii="Arial" w:hAnsi="Arial"/>
        </w:rPr>
        <w:t xml:space="preserve">Furthermore, </w:t>
      </w:r>
      <w:proofErr w:type="spellStart"/>
      <w:r>
        <w:rPr>
          <w:rFonts w:ascii="Arial" w:hAnsi="Arial"/>
        </w:rPr>
        <w:t>Chytry</w:t>
      </w:r>
      <w:proofErr w:type="spellEnd"/>
      <w:r>
        <w:rPr>
          <w:rFonts w:ascii="Arial" w:hAnsi="Arial"/>
        </w:rPr>
        <w:t xml:space="preserve">, </w:t>
      </w:r>
      <w:proofErr w:type="spellStart"/>
      <w:r>
        <w:rPr>
          <w:rFonts w:ascii="Arial" w:hAnsi="Arial"/>
        </w:rPr>
        <w:t>Medova</w:t>
      </w:r>
      <w:proofErr w:type="spellEnd"/>
      <w:r>
        <w:rPr>
          <w:rFonts w:ascii="Arial" w:hAnsi="Arial"/>
        </w:rPr>
        <w:t>, Rican, and Skoda (2020) explained that successful mathematics performance depends on students’ ability to solve problems and to know when and how to apply their</w:t>
      </w:r>
      <w:r>
        <w:rPr>
          <w:rFonts w:ascii="Arial" w:hAnsi="Arial"/>
        </w:rPr>
        <w:t xml:space="preserve"> knowledge and skills. In the case of the Grade 4 learners, the pre-test results revealed that while some students demonstrated competence, others struggled with the application of division concepts in problem-solving situations. This gap underscored the n</w:t>
      </w:r>
      <w:r>
        <w:rPr>
          <w:rFonts w:ascii="Arial" w:hAnsi="Arial"/>
        </w:rPr>
        <w:t>eed for interventions that not only strengthen computational skills but also foster deeper conceptual understanding and critical thinking.</w:t>
      </w:r>
    </w:p>
    <w:p w:rsidR="005E7040" w:rsidRDefault="00A94247">
      <w:pPr>
        <w:pStyle w:val="BodyText"/>
        <w:jc w:val="both"/>
      </w:pPr>
      <w:r>
        <w:rPr>
          <w:rFonts w:ascii="Arial" w:hAnsi="Arial"/>
        </w:rPr>
        <w:t>The findings aligned with previous studies that identified recurring errors in division, such as difficulties in unde</w:t>
      </w:r>
      <w:r>
        <w:rPr>
          <w:rFonts w:ascii="Arial" w:hAnsi="Arial"/>
        </w:rPr>
        <w:t>rstanding basic concepts, errors in calculation, and limited comprehension of the relationship between division and other mathematical operations (</w:t>
      </w:r>
      <w:proofErr w:type="spellStart"/>
      <w:r>
        <w:rPr>
          <w:rFonts w:ascii="Arial" w:hAnsi="Arial"/>
        </w:rPr>
        <w:t>Hadaming</w:t>
      </w:r>
      <w:proofErr w:type="spellEnd"/>
      <w:r>
        <w:rPr>
          <w:rFonts w:ascii="Arial" w:hAnsi="Arial"/>
        </w:rPr>
        <w:t xml:space="preserve"> &amp; </w:t>
      </w:r>
      <w:proofErr w:type="spellStart"/>
      <w:r>
        <w:rPr>
          <w:rFonts w:ascii="Arial" w:hAnsi="Arial"/>
        </w:rPr>
        <w:t>Wahyudi</w:t>
      </w:r>
      <w:proofErr w:type="spellEnd"/>
      <w:r>
        <w:rPr>
          <w:rFonts w:ascii="Arial" w:hAnsi="Arial"/>
        </w:rPr>
        <w:t xml:space="preserve">, 2022; </w:t>
      </w:r>
      <w:proofErr w:type="spellStart"/>
      <w:r>
        <w:rPr>
          <w:rFonts w:ascii="Arial" w:hAnsi="Arial"/>
        </w:rPr>
        <w:t>Azis</w:t>
      </w:r>
      <w:proofErr w:type="spellEnd"/>
      <w:r>
        <w:rPr>
          <w:rFonts w:ascii="Arial" w:hAnsi="Arial"/>
        </w:rPr>
        <w:t xml:space="preserve">, </w:t>
      </w:r>
      <w:proofErr w:type="spellStart"/>
      <w:r>
        <w:rPr>
          <w:rFonts w:ascii="Arial" w:hAnsi="Arial"/>
        </w:rPr>
        <w:t>Togatorof</w:t>
      </w:r>
      <w:proofErr w:type="spellEnd"/>
      <w:r>
        <w:rPr>
          <w:rFonts w:ascii="Arial" w:hAnsi="Arial"/>
        </w:rPr>
        <w:t xml:space="preserve">, &amp; </w:t>
      </w:r>
      <w:proofErr w:type="spellStart"/>
      <w:r>
        <w:rPr>
          <w:rFonts w:ascii="Arial" w:hAnsi="Arial"/>
        </w:rPr>
        <w:t>Gersang</w:t>
      </w:r>
      <w:proofErr w:type="spellEnd"/>
      <w:r>
        <w:rPr>
          <w:rFonts w:ascii="Arial" w:hAnsi="Arial"/>
        </w:rPr>
        <w:t>, 2021). These challenges confirmed that division remaine</w:t>
      </w:r>
      <w:r>
        <w:rPr>
          <w:rFonts w:ascii="Arial" w:hAnsi="Arial"/>
        </w:rPr>
        <w:t>d one of the most complex topics for elementary learners and required innovative teaching strategies to improve mastery.</w:t>
      </w:r>
    </w:p>
    <w:p w:rsidR="005E7040" w:rsidRDefault="005E7040">
      <w:pPr>
        <w:jc w:val="center"/>
        <w:rPr>
          <w:rFonts w:ascii="Arial" w:hAnsi="Arial" w:cs="Arial"/>
        </w:rPr>
      </w:pPr>
    </w:p>
    <w:p w:rsidR="005E7040" w:rsidRDefault="00A94247">
      <w:pPr>
        <w:jc w:val="center"/>
      </w:pPr>
      <w:r>
        <w:rPr>
          <w:rFonts w:ascii="Arial" w:hAnsi="Arial" w:cs="Arial"/>
        </w:rPr>
        <w:t>Table 1</w:t>
      </w:r>
    </w:p>
    <w:p w:rsidR="005E7040" w:rsidRDefault="00A94247">
      <w:pPr>
        <w:jc w:val="center"/>
        <w:rPr>
          <w:rFonts w:ascii="Arial" w:hAnsi="Arial" w:cs="Arial"/>
          <w:b/>
        </w:rPr>
      </w:pPr>
      <w:r>
        <w:rPr>
          <w:rFonts w:ascii="Arial" w:hAnsi="Arial" w:cs="Arial"/>
          <w:b/>
        </w:rPr>
        <w:t>Pre-test Result</w:t>
      </w:r>
    </w:p>
    <w:p w:rsidR="005E7040" w:rsidRDefault="005E7040">
      <w:pPr>
        <w:jc w:val="center"/>
        <w:rPr>
          <w:rFonts w:ascii="Arial" w:hAnsi="Arial" w:cs="Arial"/>
          <w:b/>
        </w:rPr>
      </w:pPr>
    </w:p>
    <w:tbl>
      <w:tblPr>
        <w:tblStyle w:val="TableGrid"/>
        <w:tblpPr w:leftFromText="180" w:rightFromText="180" w:vertAnchor="text" w:tblpY="1"/>
        <w:tblOverlap w:val="never"/>
        <w:tblW w:w="5000" w:type="pct"/>
        <w:tblLayout w:type="fixed"/>
        <w:tblLook w:val="04A0" w:firstRow="1" w:lastRow="0" w:firstColumn="1" w:lastColumn="0" w:noHBand="0" w:noVBand="1"/>
      </w:tblPr>
      <w:tblGrid>
        <w:gridCol w:w="1559"/>
        <w:gridCol w:w="2426"/>
        <w:gridCol w:w="2468"/>
        <w:gridCol w:w="2789"/>
      </w:tblGrid>
      <w:tr w:rsidR="005E7040">
        <w:trPr>
          <w:trHeight w:val="253"/>
        </w:trPr>
        <w:tc>
          <w:tcPr>
            <w:tcW w:w="1522" w:type="dxa"/>
            <w:tcBorders>
              <w:left w:val="nil"/>
              <w:right w:val="nil"/>
            </w:tcBorders>
            <w:vAlign w:val="center"/>
          </w:tcPr>
          <w:p w:rsidR="005E7040" w:rsidRDefault="00A94247">
            <w:pPr>
              <w:jc w:val="both"/>
              <w:rPr>
                <w:rFonts w:ascii="Arial" w:hAnsi="Arial" w:cs="Arial"/>
                <w:b/>
              </w:rPr>
            </w:pPr>
            <w:r>
              <w:rPr>
                <w:rFonts w:ascii="Arial" w:eastAsia="Calibri" w:hAnsi="Arial" w:cs="Arial"/>
                <w:b/>
                <w:sz w:val="22"/>
                <w:szCs w:val="22"/>
              </w:rPr>
              <w:t>Scores</w:t>
            </w:r>
          </w:p>
        </w:tc>
        <w:tc>
          <w:tcPr>
            <w:tcW w:w="2369" w:type="dxa"/>
            <w:tcBorders>
              <w:left w:val="nil"/>
              <w:right w:val="nil"/>
            </w:tcBorders>
            <w:vAlign w:val="center"/>
          </w:tcPr>
          <w:p w:rsidR="005E7040" w:rsidRDefault="00A94247">
            <w:pPr>
              <w:jc w:val="both"/>
              <w:rPr>
                <w:rFonts w:ascii="Arial" w:hAnsi="Arial" w:cs="Arial"/>
                <w:b/>
              </w:rPr>
            </w:pPr>
            <w:r>
              <w:rPr>
                <w:rFonts w:ascii="Arial" w:eastAsia="Calibri" w:hAnsi="Arial" w:cs="Arial"/>
                <w:b/>
                <w:sz w:val="22"/>
                <w:szCs w:val="22"/>
              </w:rPr>
              <w:t>Frequency</w:t>
            </w:r>
          </w:p>
        </w:tc>
        <w:tc>
          <w:tcPr>
            <w:tcW w:w="2410" w:type="dxa"/>
            <w:tcBorders>
              <w:left w:val="nil"/>
              <w:right w:val="nil"/>
            </w:tcBorders>
            <w:vAlign w:val="center"/>
          </w:tcPr>
          <w:p w:rsidR="005E7040" w:rsidRDefault="00A94247">
            <w:pPr>
              <w:jc w:val="both"/>
              <w:rPr>
                <w:rFonts w:ascii="Arial" w:hAnsi="Arial" w:cs="Arial"/>
                <w:b/>
              </w:rPr>
            </w:pPr>
            <w:r>
              <w:rPr>
                <w:rFonts w:ascii="Arial" w:eastAsia="Calibri" w:hAnsi="Arial" w:cs="Arial"/>
                <w:b/>
                <w:sz w:val="22"/>
                <w:szCs w:val="22"/>
              </w:rPr>
              <w:t>Percentage</w:t>
            </w:r>
          </w:p>
        </w:tc>
        <w:tc>
          <w:tcPr>
            <w:tcW w:w="2724" w:type="dxa"/>
            <w:tcBorders>
              <w:left w:val="nil"/>
              <w:right w:val="nil"/>
            </w:tcBorders>
          </w:tcPr>
          <w:p w:rsidR="005E7040" w:rsidRDefault="00A94247">
            <w:pPr>
              <w:jc w:val="both"/>
              <w:rPr>
                <w:rFonts w:ascii="Arial" w:hAnsi="Arial" w:cs="Arial"/>
                <w:b/>
              </w:rPr>
            </w:pPr>
            <w:r>
              <w:rPr>
                <w:rFonts w:ascii="Arial" w:eastAsia="Calibri" w:hAnsi="Arial" w:cs="Arial"/>
                <w:b/>
                <w:sz w:val="22"/>
                <w:szCs w:val="22"/>
              </w:rPr>
              <w:t>Interpretation</w:t>
            </w:r>
          </w:p>
        </w:tc>
      </w:tr>
      <w:tr w:rsidR="005E7040">
        <w:trPr>
          <w:trHeight w:val="268"/>
        </w:trPr>
        <w:tc>
          <w:tcPr>
            <w:tcW w:w="1522" w:type="dxa"/>
            <w:tcBorders>
              <w:top w:val="nil"/>
              <w:left w:val="nil"/>
              <w:bottom w:val="nil"/>
              <w:right w:val="nil"/>
            </w:tcBorders>
          </w:tcPr>
          <w:p w:rsidR="005E7040" w:rsidRDefault="00A94247">
            <w:pPr>
              <w:jc w:val="both"/>
              <w:rPr>
                <w:rFonts w:ascii="Arial" w:hAnsi="Arial" w:cs="Arial"/>
              </w:rPr>
            </w:pPr>
            <w:r>
              <w:rPr>
                <w:rFonts w:ascii="Arial" w:eastAsia="Calibri" w:hAnsi="Arial" w:cs="Arial"/>
                <w:sz w:val="22"/>
                <w:szCs w:val="22"/>
              </w:rPr>
              <w:t>1</w:t>
            </w:r>
          </w:p>
        </w:tc>
        <w:tc>
          <w:tcPr>
            <w:tcW w:w="2369" w:type="dxa"/>
            <w:tcBorders>
              <w:top w:val="nil"/>
              <w:left w:val="nil"/>
              <w:bottom w:val="nil"/>
              <w:right w:val="nil"/>
            </w:tcBorders>
          </w:tcPr>
          <w:p w:rsidR="005E7040" w:rsidRDefault="00A94247">
            <w:pPr>
              <w:jc w:val="both"/>
              <w:rPr>
                <w:rFonts w:ascii="Arial" w:hAnsi="Arial" w:cs="Arial"/>
              </w:rPr>
            </w:pPr>
            <w:r>
              <w:rPr>
                <w:rFonts w:ascii="Arial" w:eastAsia="Calibri" w:hAnsi="Arial" w:cs="Arial"/>
                <w:sz w:val="22"/>
                <w:szCs w:val="22"/>
              </w:rPr>
              <w:t>2</w:t>
            </w:r>
          </w:p>
        </w:tc>
        <w:tc>
          <w:tcPr>
            <w:tcW w:w="2410" w:type="dxa"/>
            <w:tcBorders>
              <w:top w:val="nil"/>
              <w:left w:val="nil"/>
              <w:bottom w:val="nil"/>
              <w:right w:val="nil"/>
            </w:tcBorders>
            <w:vAlign w:val="center"/>
          </w:tcPr>
          <w:p w:rsidR="005E7040" w:rsidRDefault="00A94247">
            <w:pPr>
              <w:jc w:val="both"/>
              <w:rPr>
                <w:rFonts w:ascii="Arial" w:hAnsi="Arial" w:cs="Arial"/>
              </w:rPr>
            </w:pPr>
            <w:r>
              <w:rPr>
                <w:rFonts w:ascii="Arial" w:eastAsia="Calibri" w:hAnsi="Arial" w:cs="Arial"/>
                <w:sz w:val="22"/>
                <w:szCs w:val="22"/>
              </w:rPr>
              <w:t>11.8%</w:t>
            </w:r>
          </w:p>
        </w:tc>
        <w:tc>
          <w:tcPr>
            <w:tcW w:w="2724" w:type="dxa"/>
            <w:tcBorders>
              <w:top w:val="nil"/>
              <w:left w:val="nil"/>
              <w:bottom w:val="nil"/>
              <w:right w:val="nil"/>
            </w:tcBorders>
          </w:tcPr>
          <w:p w:rsidR="005E7040" w:rsidRDefault="00A94247">
            <w:pPr>
              <w:jc w:val="both"/>
              <w:rPr>
                <w:rFonts w:ascii="Arial" w:hAnsi="Arial" w:cs="Arial"/>
              </w:rPr>
            </w:pPr>
            <w:r>
              <w:rPr>
                <w:rFonts w:ascii="Arial" w:eastAsia="Calibri" w:hAnsi="Arial" w:cs="Arial"/>
                <w:sz w:val="22"/>
                <w:szCs w:val="22"/>
              </w:rPr>
              <w:t>Very good</w:t>
            </w:r>
          </w:p>
        </w:tc>
      </w:tr>
      <w:tr w:rsidR="005E7040">
        <w:trPr>
          <w:trHeight w:val="268"/>
        </w:trPr>
        <w:tc>
          <w:tcPr>
            <w:tcW w:w="1522" w:type="dxa"/>
            <w:tcBorders>
              <w:top w:val="nil"/>
              <w:left w:val="nil"/>
              <w:bottom w:val="nil"/>
              <w:right w:val="nil"/>
            </w:tcBorders>
          </w:tcPr>
          <w:p w:rsidR="005E7040" w:rsidRDefault="00A94247">
            <w:pPr>
              <w:jc w:val="both"/>
              <w:rPr>
                <w:rFonts w:ascii="Arial" w:hAnsi="Arial" w:cs="Arial"/>
              </w:rPr>
            </w:pPr>
            <w:r>
              <w:rPr>
                <w:rFonts w:ascii="Arial" w:eastAsia="Calibri" w:hAnsi="Arial" w:cs="Arial"/>
                <w:sz w:val="22"/>
                <w:szCs w:val="22"/>
              </w:rPr>
              <w:t>6</w:t>
            </w:r>
          </w:p>
        </w:tc>
        <w:tc>
          <w:tcPr>
            <w:tcW w:w="2369" w:type="dxa"/>
            <w:tcBorders>
              <w:top w:val="nil"/>
              <w:left w:val="nil"/>
              <w:bottom w:val="nil"/>
              <w:right w:val="nil"/>
            </w:tcBorders>
          </w:tcPr>
          <w:p w:rsidR="005E7040" w:rsidRDefault="00A94247">
            <w:pPr>
              <w:jc w:val="both"/>
              <w:rPr>
                <w:rFonts w:ascii="Arial" w:hAnsi="Arial" w:cs="Arial"/>
              </w:rPr>
            </w:pPr>
            <w:r>
              <w:rPr>
                <w:rFonts w:ascii="Arial" w:eastAsia="Calibri" w:hAnsi="Arial" w:cs="Arial"/>
                <w:sz w:val="22"/>
                <w:szCs w:val="22"/>
              </w:rPr>
              <w:t>2</w:t>
            </w:r>
          </w:p>
        </w:tc>
        <w:tc>
          <w:tcPr>
            <w:tcW w:w="2410" w:type="dxa"/>
            <w:tcBorders>
              <w:top w:val="nil"/>
              <w:left w:val="nil"/>
              <w:bottom w:val="nil"/>
              <w:right w:val="nil"/>
            </w:tcBorders>
            <w:vAlign w:val="center"/>
          </w:tcPr>
          <w:p w:rsidR="005E7040" w:rsidRDefault="00A94247">
            <w:pPr>
              <w:jc w:val="both"/>
              <w:rPr>
                <w:rFonts w:ascii="Arial" w:hAnsi="Arial" w:cs="Arial"/>
              </w:rPr>
            </w:pPr>
            <w:r>
              <w:rPr>
                <w:rFonts w:ascii="Arial" w:eastAsia="Calibri" w:hAnsi="Arial" w:cs="Arial"/>
                <w:sz w:val="22"/>
                <w:szCs w:val="22"/>
              </w:rPr>
              <w:t>11.8%</w:t>
            </w:r>
          </w:p>
        </w:tc>
        <w:tc>
          <w:tcPr>
            <w:tcW w:w="2724" w:type="dxa"/>
            <w:tcBorders>
              <w:top w:val="nil"/>
              <w:left w:val="nil"/>
              <w:bottom w:val="nil"/>
              <w:right w:val="nil"/>
            </w:tcBorders>
          </w:tcPr>
          <w:p w:rsidR="005E7040" w:rsidRDefault="00A94247">
            <w:pPr>
              <w:jc w:val="both"/>
              <w:rPr>
                <w:rFonts w:ascii="Arial" w:hAnsi="Arial" w:cs="Arial"/>
              </w:rPr>
            </w:pPr>
            <w:r>
              <w:rPr>
                <w:rFonts w:ascii="Arial" w:eastAsia="Calibri" w:hAnsi="Arial" w:cs="Arial"/>
                <w:sz w:val="22"/>
                <w:szCs w:val="22"/>
              </w:rPr>
              <w:t>Fair</w:t>
            </w:r>
          </w:p>
        </w:tc>
      </w:tr>
      <w:tr w:rsidR="005E7040">
        <w:trPr>
          <w:trHeight w:val="268"/>
        </w:trPr>
        <w:tc>
          <w:tcPr>
            <w:tcW w:w="1522" w:type="dxa"/>
            <w:tcBorders>
              <w:top w:val="nil"/>
              <w:left w:val="nil"/>
              <w:bottom w:val="nil"/>
              <w:right w:val="nil"/>
            </w:tcBorders>
          </w:tcPr>
          <w:p w:rsidR="005E7040" w:rsidRDefault="00A94247">
            <w:pPr>
              <w:jc w:val="both"/>
              <w:rPr>
                <w:rFonts w:ascii="Arial" w:hAnsi="Arial" w:cs="Arial"/>
              </w:rPr>
            </w:pPr>
            <w:r>
              <w:rPr>
                <w:rFonts w:ascii="Arial" w:eastAsia="Calibri" w:hAnsi="Arial" w:cs="Arial"/>
                <w:sz w:val="22"/>
                <w:szCs w:val="22"/>
              </w:rPr>
              <w:lastRenderedPageBreak/>
              <w:t>7</w:t>
            </w:r>
          </w:p>
        </w:tc>
        <w:tc>
          <w:tcPr>
            <w:tcW w:w="2369" w:type="dxa"/>
            <w:tcBorders>
              <w:top w:val="nil"/>
              <w:left w:val="nil"/>
              <w:bottom w:val="nil"/>
              <w:right w:val="nil"/>
            </w:tcBorders>
          </w:tcPr>
          <w:p w:rsidR="005E7040" w:rsidRDefault="00A94247">
            <w:pPr>
              <w:jc w:val="both"/>
              <w:rPr>
                <w:rFonts w:ascii="Arial" w:hAnsi="Arial" w:cs="Arial"/>
              </w:rPr>
            </w:pPr>
            <w:r>
              <w:rPr>
                <w:rFonts w:ascii="Arial" w:eastAsia="Calibri" w:hAnsi="Arial" w:cs="Arial"/>
                <w:sz w:val="22"/>
                <w:szCs w:val="22"/>
              </w:rPr>
              <w:t>3</w:t>
            </w:r>
          </w:p>
        </w:tc>
        <w:tc>
          <w:tcPr>
            <w:tcW w:w="2410" w:type="dxa"/>
            <w:tcBorders>
              <w:top w:val="nil"/>
              <w:left w:val="nil"/>
              <w:bottom w:val="nil"/>
              <w:right w:val="nil"/>
            </w:tcBorders>
            <w:vAlign w:val="center"/>
          </w:tcPr>
          <w:p w:rsidR="005E7040" w:rsidRDefault="00A94247">
            <w:pPr>
              <w:jc w:val="both"/>
              <w:rPr>
                <w:rFonts w:ascii="Arial" w:hAnsi="Arial" w:cs="Arial"/>
              </w:rPr>
            </w:pPr>
            <w:r>
              <w:rPr>
                <w:rFonts w:ascii="Arial" w:eastAsia="Calibri" w:hAnsi="Arial" w:cs="Arial"/>
                <w:sz w:val="22"/>
                <w:szCs w:val="22"/>
              </w:rPr>
              <w:t>17.6%</w:t>
            </w:r>
          </w:p>
        </w:tc>
        <w:tc>
          <w:tcPr>
            <w:tcW w:w="2724" w:type="dxa"/>
            <w:tcBorders>
              <w:top w:val="nil"/>
              <w:left w:val="nil"/>
              <w:bottom w:val="nil"/>
              <w:right w:val="nil"/>
            </w:tcBorders>
          </w:tcPr>
          <w:p w:rsidR="005E7040" w:rsidRDefault="00A94247">
            <w:pPr>
              <w:jc w:val="both"/>
              <w:rPr>
                <w:rFonts w:ascii="Arial" w:hAnsi="Arial" w:cs="Arial"/>
              </w:rPr>
            </w:pPr>
            <w:r>
              <w:rPr>
                <w:rFonts w:ascii="Arial" w:eastAsia="Calibri" w:hAnsi="Arial" w:cs="Arial"/>
                <w:sz w:val="22"/>
                <w:szCs w:val="22"/>
              </w:rPr>
              <w:t>Good</w:t>
            </w:r>
          </w:p>
        </w:tc>
      </w:tr>
      <w:tr w:rsidR="005E7040">
        <w:trPr>
          <w:trHeight w:val="268"/>
        </w:trPr>
        <w:tc>
          <w:tcPr>
            <w:tcW w:w="1522" w:type="dxa"/>
            <w:tcBorders>
              <w:top w:val="nil"/>
              <w:left w:val="nil"/>
              <w:bottom w:val="nil"/>
              <w:right w:val="nil"/>
            </w:tcBorders>
          </w:tcPr>
          <w:p w:rsidR="005E7040" w:rsidRDefault="00A94247">
            <w:pPr>
              <w:jc w:val="both"/>
              <w:rPr>
                <w:rFonts w:ascii="Arial" w:hAnsi="Arial" w:cs="Arial"/>
              </w:rPr>
            </w:pPr>
            <w:r>
              <w:rPr>
                <w:rFonts w:ascii="Arial" w:eastAsia="Calibri" w:hAnsi="Arial" w:cs="Arial"/>
                <w:sz w:val="22"/>
                <w:szCs w:val="22"/>
              </w:rPr>
              <w:t>8</w:t>
            </w:r>
          </w:p>
        </w:tc>
        <w:tc>
          <w:tcPr>
            <w:tcW w:w="2369" w:type="dxa"/>
            <w:tcBorders>
              <w:top w:val="nil"/>
              <w:left w:val="nil"/>
              <w:bottom w:val="nil"/>
              <w:right w:val="nil"/>
            </w:tcBorders>
          </w:tcPr>
          <w:p w:rsidR="005E7040" w:rsidRDefault="00A94247">
            <w:pPr>
              <w:jc w:val="both"/>
              <w:rPr>
                <w:rFonts w:ascii="Arial" w:hAnsi="Arial" w:cs="Arial"/>
              </w:rPr>
            </w:pPr>
            <w:r>
              <w:rPr>
                <w:rFonts w:ascii="Arial" w:eastAsia="Calibri" w:hAnsi="Arial" w:cs="Arial"/>
                <w:sz w:val="22"/>
                <w:szCs w:val="22"/>
              </w:rPr>
              <w:t>5</w:t>
            </w:r>
          </w:p>
        </w:tc>
        <w:tc>
          <w:tcPr>
            <w:tcW w:w="2410" w:type="dxa"/>
            <w:tcBorders>
              <w:top w:val="nil"/>
              <w:left w:val="nil"/>
              <w:bottom w:val="nil"/>
              <w:right w:val="nil"/>
            </w:tcBorders>
            <w:vAlign w:val="center"/>
          </w:tcPr>
          <w:p w:rsidR="005E7040" w:rsidRDefault="00A94247">
            <w:pPr>
              <w:jc w:val="both"/>
              <w:rPr>
                <w:rFonts w:ascii="Arial" w:hAnsi="Arial" w:cs="Arial"/>
              </w:rPr>
            </w:pPr>
            <w:r>
              <w:rPr>
                <w:rFonts w:ascii="Arial" w:eastAsia="Calibri" w:hAnsi="Arial" w:cs="Arial"/>
                <w:sz w:val="22"/>
                <w:szCs w:val="22"/>
              </w:rPr>
              <w:t>29.4%</w:t>
            </w:r>
          </w:p>
        </w:tc>
        <w:tc>
          <w:tcPr>
            <w:tcW w:w="2724" w:type="dxa"/>
            <w:tcBorders>
              <w:top w:val="nil"/>
              <w:left w:val="nil"/>
              <w:bottom w:val="nil"/>
              <w:right w:val="nil"/>
            </w:tcBorders>
          </w:tcPr>
          <w:p w:rsidR="005E7040" w:rsidRDefault="00A94247">
            <w:pPr>
              <w:jc w:val="both"/>
              <w:rPr>
                <w:rFonts w:ascii="Arial" w:hAnsi="Arial" w:cs="Arial"/>
              </w:rPr>
            </w:pPr>
            <w:r>
              <w:rPr>
                <w:rFonts w:ascii="Arial" w:eastAsia="Calibri" w:hAnsi="Arial" w:cs="Arial"/>
                <w:sz w:val="22"/>
                <w:szCs w:val="22"/>
              </w:rPr>
              <w:t>Good</w:t>
            </w:r>
          </w:p>
        </w:tc>
      </w:tr>
      <w:tr w:rsidR="005E7040">
        <w:trPr>
          <w:trHeight w:val="268"/>
        </w:trPr>
        <w:tc>
          <w:tcPr>
            <w:tcW w:w="1522" w:type="dxa"/>
            <w:tcBorders>
              <w:top w:val="nil"/>
              <w:left w:val="nil"/>
              <w:bottom w:val="nil"/>
              <w:right w:val="nil"/>
            </w:tcBorders>
          </w:tcPr>
          <w:p w:rsidR="005E7040" w:rsidRDefault="00A94247">
            <w:pPr>
              <w:jc w:val="both"/>
              <w:rPr>
                <w:rFonts w:ascii="Arial" w:hAnsi="Arial" w:cs="Arial"/>
              </w:rPr>
            </w:pPr>
            <w:r>
              <w:rPr>
                <w:rFonts w:ascii="Arial" w:eastAsia="Calibri" w:hAnsi="Arial" w:cs="Arial"/>
                <w:sz w:val="22"/>
                <w:szCs w:val="22"/>
              </w:rPr>
              <w:t>9</w:t>
            </w:r>
          </w:p>
        </w:tc>
        <w:tc>
          <w:tcPr>
            <w:tcW w:w="2369" w:type="dxa"/>
            <w:tcBorders>
              <w:top w:val="nil"/>
              <w:left w:val="nil"/>
              <w:bottom w:val="nil"/>
              <w:right w:val="nil"/>
            </w:tcBorders>
          </w:tcPr>
          <w:p w:rsidR="005E7040" w:rsidRDefault="00A94247">
            <w:pPr>
              <w:jc w:val="both"/>
              <w:rPr>
                <w:rFonts w:ascii="Arial" w:hAnsi="Arial" w:cs="Arial"/>
              </w:rPr>
            </w:pPr>
            <w:r>
              <w:rPr>
                <w:rFonts w:ascii="Arial" w:eastAsia="Calibri" w:hAnsi="Arial" w:cs="Arial"/>
                <w:sz w:val="22"/>
                <w:szCs w:val="22"/>
              </w:rPr>
              <w:t>5</w:t>
            </w:r>
          </w:p>
        </w:tc>
        <w:tc>
          <w:tcPr>
            <w:tcW w:w="2410" w:type="dxa"/>
            <w:tcBorders>
              <w:top w:val="nil"/>
              <w:left w:val="nil"/>
              <w:bottom w:val="nil"/>
              <w:right w:val="nil"/>
            </w:tcBorders>
            <w:vAlign w:val="center"/>
          </w:tcPr>
          <w:p w:rsidR="005E7040" w:rsidRDefault="00A94247">
            <w:pPr>
              <w:jc w:val="both"/>
              <w:rPr>
                <w:rFonts w:ascii="Arial" w:hAnsi="Arial" w:cs="Arial"/>
              </w:rPr>
            </w:pPr>
            <w:r>
              <w:rPr>
                <w:rFonts w:ascii="Arial" w:eastAsia="Calibri" w:hAnsi="Arial" w:cs="Arial"/>
                <w:sz w:val="22"/>
                <w:szCs w:val="22"/>
              </w:rPr>
              <w:t>29.4%</w:t>
            </w:r>
          </w:p>
        </w:tc>
        <w:tc>
          <w:tcPr>
            <w:tcW w:w="2724" w:type="dxa"/>
            <w:tcBorders>
              <w:top w:val="nil"/>
              <w:left w:val="nil"/>
              <w:bottom w:val="nil"/>
              <w:right w:val="nil"/>
            </w:tcBorders>
          </w:tcPr>
          <w:p w:rsidR="005E7040" w:rsidRDefault="00A94247">
            <w:pPr>
              <w:jc w:val="both"/>
              <w:rPr>
                <w:rFonts w:ascii="Arial" w:hAnsi="Arial" w:cs="Arial"/>
              </w:rPr>
            </w:pPr>
            <w:r>
              <w:rPr>
                <w:rFonts w:ascii="Arial" w:eastAsia="Calibri" w:hAnsi="Arial" w:cs="Arial"/>
                <w:sz w:val="22"/>
                <w:szCs w:val="22"/>
              </w:rPr>
              <w:t>Very good</w:t>
            </w:r>
          </w:p>
        </w:tc>
      </w:tr>
      <w:tr w:rsidR="005E7040">
        <w:trPr>
          <w:trHeight w:val="227"/>
        </w:trPr>
        <w:tc>
          <w:tcPr>
            <w:tcW w:w="1522" w:type="dxa"/>
            <w:tcBorders>
              <w:top w:val="nil"/>
              <w:left w:val="nil"/>
              <w:bottom w:val="nil"/>
              <w:right w:val="nil"/>
            </w:tcBorders>
          </w:tcPr>
          <w:p w:rsidR="005E7040" w:rsidRDefault="00A94247">
            <w:pPr>
              <w:jc w:val="both"/>
              <w:rPr>
                <w:rFonts w:ascii="Arial" w:hAnsi="Arial" w:cs="Arial"/>
                <w:b/>
              </w:rPr>
            </w:pPr>
            <w:r>
              <w:rPr>
                <w:rFonts w:ascii="Arial" w:eastAsia="Calibri" w:hAnsi="Arial" w:cs="Arial"/>
                <w:b/>
                <w:sz w:val="22"/>
                <w:szCs w:val="22"/>
              </w:rPr>
              <w:t>TOTAL</w:t>
            </w:r>
          </w:p>
        </w:tc>
        <w:tc>
          <w:tcPr>
            <w:tcW w:w="2369" w:type="dxa"/>
            <w:tcBorders>
              <w:top w:val="nil"/>
              <w:left w:val="nil"/>
              <w:bottom w:val="nil"/>
              <w:right w:val="nil"/>
            </w:tcBorders>
          </w:tcPr>
          <w:p w:rsidR="005E7040" w:rsidRDefault="00A94247">
            <w:pPr>
              <w:jc w:val="both"/>
              <w:rPr>
                <w:rFonts w:ascii="Arial" w:hAnsi="Arial" w:cs="Arial"/>
                <w:b/>
              </w:rPr>
            </w:pPr>
            <w:r>
              <w:rPr>
                <w:rFonts w:ascii="Arial" w:eastAsia="Calibri" w:hAnsi="Arial" w:cs="Arial"/>
                <w:b/>
                <w:sz w:val="22"/>
                <w:szCs w:val="22"/>
              </w:rPr>
              <w:t>17</w:t>
            </w:r>
          </w:p>
        </w:tc>
        <w:tc>
          <w:tcPr>
            <w:tcW w:w="2410" w:type="dxa"/>
            <w:tcBorders>
              <w:top w:val="nil"/>
              <w:left w:val="nil"/>
              <w:bottom w:val="nil"/>
              <w:right w:val="nil"/>
            </w:tcBorders>
            <w:vAlign w:val="center"/>
          </w:tcPr>
          <w:p w:rsidR="005E7040" w:rsidRDefault="00A94247">
            <w:pPr>
              <w:jc w:val="both"/>
              <w:rPr>
                <w:rFonts w:ascii="Arial" w:hAnsi="Arial" w:cs="Arial"/>
                <w:b/>
              </w:rPr>
            </w:pPr>
            <w:r>
              <w:rPr>
                <w:rFonts w:ascii="Arial" w:eastAsia="Calibri" w:hAnsi="Arial" w:cs="Arial"/>
                <w:b/>
                <w:sz w:val="22"/>
                <w:szCs w:val="22"/>
              </w:rPr>
              <w:t>100%</w:t>
            </w:r>
          </w:p>
        </w:tc>
        <w:tc>
          <w:tcPr>
            <w:tcW w:w="2724" w:type="dxa"/>
            <w:tcBorders>
              <w:top w:val="nil"/>
              <w:left w:val="nil"/>
              <w:bottom w:val="nil"/>
              <w:right w:val="nil"/>
            </w:tcBorders>
          </w:tcPr>
          <w:p w:rsidR="005E7040" w:rsidRDefault="005E7040">
            <w:pPr>
              <w:jc w:val="both"/>
              <w:rPr>
                <w:rFonts w:ascii="Arial" w:hAnsi="Arial" w:cs="Arial"/>
              </w:rPr>
            </w:pPr>
          </w:p>
        </w:tc>
      </w:tr>
      <w:tr w:rsidR="005E7040">
        <w:trPr>
          <w:trHeight w:val="547"/>
        </w:trPr>
        <w:tc>
          <w:tcPr>
            <w:tcW w:w="9025" w:type="dxa"/>
            <w:gridSpan w:val="4"/>
            <w:tcBorders>
              <w:top w:val="nil"/>
              <w:left w:val="nil"/>
              <w:right w:val="nil"/>
            </w:tcBorders>
          </w:tcPr>
          <w:p w:rsidR="005E7040" w:rsidRDefault="00A94247">
            <w:pPr>
              <w:jc w:val="both"/>
              <w:rPr>
                <w:rFonts w:ascii="Arial" w:hAnsi="Arial" w:cs="Arial"/>
              </w:rPr>
            </w:pPr>
            <w:r>
              <w:rPr>
                <w:rFonts w:ascii="Arial" w:eastAsia="Calibri" w:hAnsi="Arial" w:cs="Arial"/>
                <w:sz w:val="22"/>
                <w:szCs w:val="22"/>
              </w:rPr>
              <w:t>Mean: 7.06</w:t>
            </w:r>
          </w:p>
          <w:p w:rsidR="005E7040" w:rsidRDefault="00A94247">
            <w:pPr>
              <w:jc w:val="both"/>
              <w:rPr>
                <w:rFonts w:ascii="Arial" w:hAnsi="Arial" w:cs="Arial"/>
              </w:rPr>
            </w:pPr>
            <w:r>
              <w:rPr>
                <w:rFonts w:ascii="Arial" w:eastAsia="Calibri" w:hAnsi="Arial" w:cs="Arial"/>
                <w:sz w:val="22"/>
                <w:szCs w:val="22"/>
              </w:rPr>
              <w:t>Std. Dev.: 2.49</w:t>
            </w:r>
          </w:p>
        </w:tc>
      </w:tr>
    </w:tbl>
    <w:p w:rsidR="005E7040" w:rsidRDefault="00A94247">
      <w:pPr>
        <w:jc w:val="both"/>
        <w:rPr>
          <w:rFonts w:ascii="Arial" w:hAnsi="Arial" w:cs="Arial"/>
        </w:rPr>
      </w:pPr>
      <w:r>
        <w:rPr>
          <w:rFonts w:ascii="Arial" w:hAnsi="Arial" w:cs="Arial"/>
        </w:rPr>
        <w:br w:type="textWrapping" w:clear="all"/>
      </w:r>
      <w:r>
        <w:rPr>
          <w:rFonts w:ascii="Arial" w:hAnsi="Arial" w:cs="Arial"/>
        </w:rPr>
        <w:t xml:space="preserve">Table 2 presented the post-test results of Grade 4 learners in </w:t>
      </w:r>
      <w:proofErr w:type="spellStart"/>
      <w:r>
        <w:rPr>
          <w:rFonts w:ascii="Arial" w:hAnsi="Arial" w:cs="Arial"/>
        </w:rPr>
        <w:t>Mualbual</w:t>
      </w:r>
      <w:proofErr w:type="spellEnd"/>
      <w:r>
        <w:rPr>
          <w:rFonts w:ascii="Arial" w:hAnsi="Arial" w:cs="Arial"/>
        </w:rPr>
        <w:t xml:space="preserve"> Elementary School after employing the intervention </w:t>
      </w:r>
      <w:r>
        <w:rPr>
          <w:rStyle w:val="Strong"/>
          <w:rFonts w:ascii="Arial" w:hAnsi="Arial" w:cs="Arial"/>
        </w:rPr>
        <w:t>Spin and Solve Game</w:t>
      </w:r>
      <w:r>
        <w:rPr>
          <w:rFonts w:ascii="Arial" w:hAnsi="Arial" w:cs="Arial"/>
        </w:rPr>
        <w:t xml:space="preserve"> to enhance their division skills. The results showed that 8 learners, or 47.1 percent, achieved a perfect score of 10, 4 learners or 23.5 percent scored 9, 3 learners or 17.6 percent scored 8, and 1 learner or 5.9 percent scored 7. This indicated a clear </w:t>
      </w:r>
      <w:r>
        <w:rPr>
          <w:rFonts w:ascii="Arial" w:hAnsi="Arial" w:cs="Arial"/>
        </w:rPr>
        <w:t>improvement in the learners’ performance compared to the pre-test. The mean score increased to 9.00 with a standard deviation of 1.22, interpreted as “very good.”</w:t>
      </w:r>
    </w:p>
    <w:p w:rsidR="005E7040" w:rsidRDefault="005E7040">
      <w:pPr>
        <w:jc w:val="both"/>
        <w:rPr>
          <w:rFonts w:ascii="Arial" w:hAnsi="Arial" w:cs="Arial"/>
        </w:rPr>
      </w:pPr>
    </w:p>
    <w:p w:rsidR="005E7040" w:rsidRDefault="00A94247">
      <w:pPr>
        <w:pStyle w:val="BodyText"/>
        <w:jc w:val="both"/>
        <w:rPr>
          <w:rFonts w:ascii="Arial" w:hAnsi="Arial"/>
        </w:rPr>
      </w:pPr>
      <w:r>
        <w:rPr>
          <w:rFonts w:ascii="Arial" w:hAnsi="Arial"/>
        </w:rPr>
        <w:t xml:space="preserve">The improvement in scores suggested that the learners developed stronger foundations in </w:t>
      </w:r>
      <w:r>
        <w:rPr>
          <w:rFonts w:ascii="Arial" w:hAnsi="Arial"/>
        </w:rPr>
        <w:t>mathematical reasoning and problem-solving. Their accuracy in calculations improved, reducing errors and increasing efficiency in solving division problems. A deeper understanding of division also fostered a more positive attitude toward learning, making s</w:t>
      </w:r>
      <w:r>
        <w:rPr>
          <w:rFonts w:ascii="Arial" w:hAnsi="Arial"/>
        </w:rPr>
        <w:t>tudents more engaged and motivated in class. Moreover, learners were more likely to apply their knowledge in real-life situations such as fair sharing, budgeting, and interpreting numerical information. These results reflected the effectiveness of the Spin</w:t>
      </w:r>
      <w:r>
        <w:rPr>
          <w:rFonts w:ascii="Arial" w:hAnsi="Arial"/>
        </w:rPr>
        <w:t xml:space="preserve"> and Solve Game as a teaching strategy, providing educators with evidence that innovative approaches can enhance learning outcomes.</w:t>
      </w:r>
    </w:p>
    <w:p w:rsidR="005E7040" w:rsidRDefault="00A94247">
      <w:pPr>
        <w:pStyle w:val="BodyText"/>
        <w:jc w:val="both"/>
        <w:rPr>
          <w:rFonts w:ascii="Arial" w:hAnsi="Arial"/>
        </w:rPr>
      </w:pPr>
      <w:r>
        <w:rPr>
          <w:rFonts w:ascii="Arial" w:hAnsi="Arial"/>
        </w:rPr>
        <w:t>The findings aligned with Gal, Nicholson, and Ridgway (2023), who emphasized that conceptual frameworks and visual strategie</w:t>
      </w:r>
      <w:r>
        <w:rPr>
          <w:rFonts w:ascii="Arial" w:hAnsi="Arial"/>
        </w:rPr>
        <w:t xml:space="preserve">s can enhance students’ understanding of mathematical concepts. </w:t>
      </w:r>
      <w:proofErr w:type="spellStart"/>
      <w:r>
        <w:rPr>
          <w:rFonts w:ascii="Arial" w:hAnsi="Arial"/>
        </w:rPr>
        <w:t>Kitto</w:t>
      </w:r>
      <w:proofErr w:type="spellEnd"/>
      <w:r>
        <w:rPr>
          <w:rFonts w:ascii="Arial" w:hAnsi="Arial"/>
        </w:rPr>
        <w:t>, Hicks, and Buckingham Shum (2023) similarly highlighted the importance of visual learning in mathematics, noting that visual representations help students grasp complex ideas more quick</w:t>
      </w:r>
      <w:r>
        <w:rPr>
          <w:rFonts w:ascii="Arial" w:hAnsi="Arial"/>
        </w:rPr>
        <w:t>ly. By breaking down the division process into smaller, manageable steps, the intervention allowed learners to clearly see the relationship between the dividend, divisor, and quotient, thereby reducing cognitive load and making the division process less in</w:t>
      </w:r>
      <w:r>
        <w:rPr>
          <w:rFonts w:ascii="Arial" w:hAnsi="Arial"/>
        </w:rPr>
        <w:t>timidating.</w:t>
      </w:r>
    </w:p>
    <w:p w:rsidR="005E7040" w:rsidRDefault="00A94247">
      <w:pPr>
        <w:pStyle w:val="BodyText"/>
        <w:jc w:val="both"/>
        <w:rPr>
          <w:rFonts w:ascii="Arial" w:hAnsi="Arial"/>
        </w:rPr>
      </w:pPr>
      <w:r>
        <w:rPr>
          <w:rFonts w:ascii="Arial" w:hAnsi="Arial"/>
        </w:rPr>
        <w:t xml:space="preserve">Furthermore, </w:t>
      </w:r>
      <w:proofErr w:type="spellStart"/>
      <w:r>
        <w:rPr>
          <w:rFonts w:ascii="Arial" w:hAnsi="Arial"/>
        </w:rPr>
        <w:t>Nadarajan</w:t>
      </w:r>
      <w:proofErr w:type="spellEnd"/>
      <w:r>
        <w:rPr>
          <w:rFonts w:ascii="Arial" w:hAnsi="Arial"/>
        </w:rPr>
        <w:t xml:space="preserve">, Abdullah, </w:t>
      </w:r>
      <w:proofErr w:type="spellStart"/>
      <w:r>
        <w:rPr>
          <w:rFonts w:ascii="Arial" w:hAnsi="Arial"/>
        </w:rPr>
        <w:t>Alhassora</w:t>
      </w:r>
      <w:proofErr w:type="spellEnd"/>
      <w:r>
        <w:rPr>
          <w:rFonts w:ascii="Arial" w:hAnsi="Arial"/>
        </w:rPr>
        <w:t xml:space="preserve">, Ibrahim, </w:t>
      </w:r>
      <w:proofErr w:type="spellStart"/>
      <w:r>
        <w:rPr>
          <w:rFonts w:ascii="Arial" w:hAnsi="Arial"/>
        </w:rPr>
        <w:t>Surif</w:t>
      </w:r>
      <w:proofErr w:type="spellEnd"/>
      <w:r>
        <w:rPr>
          <w:rFonts w:ascii="Arial" w:hAnsi="Arial"/>
        </w:rPr>
        <w:t xml:space="preserve">, Ali, </w:t>
      </w:r>
      <w:proofErr w:type="spellStart"/>
      <w:r>
        <w:rPr>
          <w:rFonts w:ascii="Arial" w:hAnsi="Arial"/>
        </w:rPr>
        <w:t>Mohd</w:t>
      </w:r>
      <w:proofErr w:type="spellEnd"/>
      <w:r>
        <w:rPr>
          <w:rFonts w:ascii="Arial" w:hAnsi="Arial"/>
        </w:rPr>
        <w:t xml:space="preserve"> Zaid, and Hamzah (2023) demonstrated that technology-based and scaffolded learning strategies improved higher-order thinking skills, supporting the idea that structured inte</w:t>
      </w:r>
      <w:r>
        <w:rPr>
          <w:rFonts w:ascii="Arial" w:hAnsi="Arial"/>
        </w:rPr>
        <w:t>rventions can lead to better comprehension and retention. Leakey (2023) also reinforced the value of step-by-step scaffolding, showing that guided approaches make complex concepts more accessible and promote deeper understanding.</w:t>
      </w:r>
    </w:p>
    <w:p w:rsidR="005E7040" w:rsidRDefault="00A94247">
      <w:pPr>
        <w:pStyle w:val="BodyText"/>
        <w:jc w:val="both"/>
        <w:rPr>
          <w:rFonts w:ascii="Arial" w:hAnsi="Arial"/>
        </w:rPr>
      </w:pPr>
      <w:r>
        <w:rPr>
          <w:rFonts w:ascii="Arial" w:hAnsi="Arial"/>
        </w:rPr>
        <w:t>Overall, the significant i</w:t>
      </w:r>
      <w:r>
        <w:rPr>
          <w:rFonts w:ascii="Arial" w:hAnsi="Arial"/>
        </w:rPr>
        <w:t>mprovement in post-test scores confirmed that the Spin and Solve Game was effective in enhancing division skills. It not only improved computational accuracy but also encouraged critical thinking, motivation, and collaborative learning among Grade 4 pupils</w:t>
      </w:r>
      <w:r>
        <w:rPr>
          <w:rFonts w:ascii="Arial" w:hAnsi="Arial"/>
        </w:rPr>
        <w:t>.</w:t>
      </w:r>
    </w:p>
    <w:p w:rsidR="005E7040" w:rsidRDefault="005E7040">
      <w:pPr>
        <w:jc w:val="both"/>
        <w:rPr>
          <w:rFonts w:ascii="Arial" w:hAnsi="Arial" w:cs="Arial"/>
          <w:b/>
        </w:rPr>
      </w:pPr>
    </w:p>
    <w:p w:rsidR="005E7040" w:rsidRDefault="005E7040">
      <w:pPr>
        <w:jc w:val="center"/>
        <w:rPr>
          <w:rFonts w:ascii="Arial" w:hAnsi="Arial" w:cs="Arial"/>
        </w:rPr>
      </w:pPr>
    </w:p>
    <w:p w:rsidR="005E7040" w:rsidRDefault="00A94247">
      <w:pPr>
        <w:jc w:val="center"/>
      </w:pPr>
      <w:r>
        <w:rPr>
          <w:rFonts w:ascii="Arial" w:hAnsi="Arial" w:cs="Arial"/>
        </w:rPr>
        <w:t>Table 2</w:t>
      </w:r>
    </w:p>
    <w:p w:rsidR="005E7040" w:rsidRDefault="00A94247">
      <w:pPr>
        <w:jc w:val="center"/>
        <w:rPr>
          <w:rFonts w:ascii="Arial" w:hAnsi="Arial" w:cs="Arial"/>
          <w:b/>
        </w:rPr>
      </w:pPr>
      <w:r>
        <w:rPr>
          <w:rFonts w:ascii="Arial" w:hAnsi="Arial" w:cs="Arial"/>
          <w:b/>
        </w:rPr>
        <w:t>Posttest Result</w:t>
      </w:r>
    </w:p>
    <w:p w:rsidR="005E7040" w:rsidRDefault="005E7040">
      <w:pPr>
        <w:jc w:val="center"/>
        <w:rPr>
          <w:rFonts w:ascii="Arial" w:hAnsi="Arial" w:cs="Arial"/>
          <w:b/>
        </w:rPr>
      </w:pPr>
    </w:p>
    <w:tbl>
      <w:tblPr>
        <w:tblStyle w:val="TableGrid"/>
        <w:tblW w:w="8306" w:type="dxa"/>
        <w:jc w:val="center"/>
        <w:tblLayout w:type="fixed"/>
        <w:tblLook w:val="04A0" w:firstRow="1" w:lastRow="0" w:firstColumn="1" w:lastColumn="0" w:noHBand="0" w:noVBand="1"/>
      </w:tblPr>
      <w:tblGrid>
        <w:gridCol w:w="2017"/>
        <w:gridCol w:w="2108"/>
        <w:gridCol w:w="1810"/>
        <w:gridCol w:w="2135"/>
        <w:gridCol w:w="236"/>
      </w:tblGrid>
      <w:tr w:rsidR="005E7040">
        <w:trPr>
          <w:trHeight w:val="252"/>
          <w:jc w:val="center"/>
        </w:trPr>
        <w:tc>
          <w:tcPr>
            <w:tcW w:w="2059" w:type="dxa"/>
            <w:tcBorders>
              <w:left w:val="nil"/>
              <w:right w:val="nil"/>
            </w:tcBorders>
            <w:vAlign w:val="center"/>
          </w:tcPr>
          <w:p w:rsidR="005E7040" w:rsidRDefault="00A94247">
            <w:pPr>
              <w:jc w:val="both"/>
              <w:rPr>
                <w:rFonts w:ascii="Arial" w:hAnsi="Arial" w:cs="Arial"/>
                <w:b/>
              </w:rPr>
            </w:pPr>
            <w:r>
              <w:rPr>
                <w:rFonts w:ascii="Arial" w:eastAsia="Calibri" w:hAnsi="Arial" w:cs="Arial"/>
                <w:b/>
                <w:sz w:val="22"/>
                <w:szCs w:val="22"/>
              </w:rPr>
              <w:t>Scores</w:t>
            </w:r>
          </w:p>
        </w:tc>
        <w:tc>
          <w:tcPr>
            <w:tcW w:w="2152" w:type="dxa"/>
            <w:tcBorders>
              <w:left w:val="nil"/>
              <w:right w:val="nil"/>
            </w:tcBorders>
            <w:vAlign w:val="center"/>
          </w:tcPr>
          <w:p w:rsidR="005E7040" w:rsidRDefault="00A94247">
            <w:pPr>
              <w:jc w:val="both"/>
              <w:rPr>
                <w:rFonts w:ascii="Arial" w:hAnsi="Arial" w:cs="Arial"/>
                <w:b/>
              </w:rPr>
            </w:pPr>
            <w:r>
              <w:rPr>
                <w:rFonts w:ascii="Arial" w:eastAsia="Calibri" w:hAnsi="Arial" w:cs="Arial"/>
                <w:b/>
                <w:sz w:val="22"/>
                <w:szCs w:val="22"/>
              </w:rPr>
              <w:t>Frequency</w:t>
            </w:r>
          </w:p>
        </w:tc>
        <w:tc>
          <w:tcPr>
            <w:tcW w:w="1847" w:type="dxa"/>
            <w:tcBorders>
              <w:left w:val="nil"/>
              <w:right w:val="nil"/>
            </w:tcBorders>
            <w:vAlign w:val="center"/>
          </w:tcPr>
          <w:p w:rsidR="005E7040" w:rsidRDefault="00A94247">
            <w:pPr>
              <w:jc w:val="both"/>
              <w:rPr>
                <w:rFonts w:ascii="Arial" w:hAnsi="Arial" w:cs="Arial"/>
                <w:b/>
              </w:rPr>
            </w:pPr>
            <w:r>
              <w:rPr>
                <w:rFonts w:ascii="Arial" w:eastAsia="Calibri" w:hAnsi="Arial" w:cs="Arial"/>
                <w:b/>
                <w:sz w:val="22"/>
                <w:szCs w:val="22"/>
              </w:rPr>
              <w:t>Percentage</w:t>
            </w:r>
          </w:p>
        </w:tc>
        <w:tc>
          <w:tcPr>
            <w:tcW w:w="2179" w:type="dxa"/>
            <w:tcBorders>
              <w:left w:val="nil"/>
              <w:right w:val="nil"/>
            </w:tcBorders>
          </w:tcPr>
          <w:p w:rsidR="005E7040" w:rsidRDefault="00A94247">
            <w:pPr>
              <w:jc w:val="both"/>
              <w:rPr>
                <w:rFonts w:ascii="Arial" w:hAnsi="Arial" w:cs="Arial"/>
                <w:b/>
              </w:rPr>
            </w:pPr>
            <w:r>
              <w:rPr>
                <w:rFonts w:ascii="Arial" w:eastAsia="Calibri" w:hAnsi="Arial" w:cs="Arial"/>
                <w:b/>
                <w:sz w:val="22"/>
                <w:szCs w:val="22"/>
              </w:rPr>
              <w:t>Interpretation</w:t>
            </w:r>
          </w:p>
        </w:tc>
        <w:tc>
          <w:tcPr>
            <w:tcW w:w="69" w:type="dxa"/>
            <w:tcBorders>
              <w:top w:val="nil"/>
              <w:left w:val="nil"/>
              <w:bottom w:val="nil"/>
              <w:right w:val="nil"/>
            </w:tcBorders>
          </w:tcPr>
          <w:p w:rsidR="005E7040" w:rsidRDefault="005E7040">
            <w:pPr>
              <w:rPr>
                <w:rFonts w:eastAsia="Calibri"/>
                <w:sz w:val="22"/>
                <w:szCs w:val="22"/>
              </w:rPr>
            </w:pPr>
          </w:p>
        </w:tc>
      </w:tr>
      <w:tr w:rsidR="005E7040">
        <w:trPr>
          <w:trHeight w:val="238"/>
          <w:jc w:val="center"/>
        </w:trPr>
        <w:tc>
          <w:tcPr>
            <w:tcW w:w="2059" w:type="dxa"/>
            <w:tcBorders>
              <w:top w:val="nil"/>
              <w:left w:val="nil"/>
              <w:bottom w:val="nil"/>
              <w:right w:val="nil"/>
            </w:tcBorders>
            <w:vAlign w:val="center"/>
          </w:tcPr>
          <w:p w:rsidR="005E7040" w:rsidRDefault="00A94247">
            <w:pPr>
              <w:jc w:val="both"/>
              <w:rPr>
                <w:rFonts w:ascii="Arial" w:hAnsi="Arial" w:cs="Arial"/>
              </w:rPr>
            </w:pPr>
            <w:r>
              <w:rPr>
                <w:rFonts w:ascii="Arial" w:eastAsia="Calibri" w:hAnsi="Arial" w:cs="Arial"/>
                <w:color w:val="000000"/>
                <w:sz w:val="22"/>
                <w:szCs w:val="22"/>
              </w:rPr>
              <w:t>6</w:t>
            </w:r>
          </w:p>
        </w:tc>
        <w:tc>
          <w:tcPr>
            <w:tcW w:w="2152" w:type="dxa"/>
            <w:tcBorders>
              <w:top w:val="nil"/>
              <w:left w:val="nil"/>
              <w:bottom w:val="nil"/>
              <w:right w:val="nil"/>
            </w:tcBorders>
            <w:vAlign w:val="center"/>
          </w:tcPr>
          <w:p w:rsidR="005E7040" w:rsidRDefault="00A94247">
            <w:pPr>
              <w:jc w:val="both"/>
              <w:rPr>
                <w:rFonts w:ascii="Arial" w:hAnsi="Arial" w:cs="Arial"/>
              </w:rPr>
            </w:pPr>
            <w:r>
              <w:rPr>
                <w:rFonts w:ascii="Arial" w:eastAsia="Calibri" w:hAnsi="Arial" w:cs="Arial"/>
                <w:color w:val="000000"/>
                <w:sz w:val="22"/>
                <w:szCs w:val="22"/>
              </w:rPr>
              <w:t>1</w:t>
            </w:r>
          </w:p>
        </w:tc>
        <w:tc>
          <w:tcPr>
            <w:tcW w:w="1847" w:type="dxa"/>
            <w:tcBorders>
              <w:top w:val="nil"/>
              <w:left w:val="nil"/>
              <w:bottom w:val="nil"/>
              <w:right w:val="nil"/>
            </w:tcBorders>
            <w:vAlign w:val="center"/>
          </w:tcPr>
          <w:p w:rsidR="005E7040" w:rsidRDefault="00A94247">
            <w:pPr>
              <w:jc w:val="both"/>
              <w:rPr>
                <w:rFonts w:ascii="Arial" w:hAnsi="Arial" w:cs="Arial"/>
                <w:color w:val="000000"/>
              </w:rPr>
            </w:pPr>
            <w:r>
              <w:rPr>
                <w:rFonts w:ascii="Arial" w:eastAsia="Calibri" w:hAnsi="Arial" w:cs="Arial"/>
                <w:color w:val="000000"/>
                <w:sz w:val="22"/>
                <w:szCs w:val="22"/>
              </w:rPr>
              <w:t>5.9%</w:t>
            </w:r>
          </w:p>
        </w:tc>
        <w:tc>
          <w:tcPr>
            <w:tcW w:w="2179" w:type="dxa"/>
            <w:tcBorders>
              <w:top w:val="nil"/>
              <w:left w:val="nil"/>
              <w:bottom w:val="nil"/>
              <w:right w:val="nil"/>
            </w:tcBorders>
          </w:tcPr>
          <w:p w:rsidR="005E7040" w:rsidRDefault="00A94247">
            <w:pPr>
              <w:jc w:val="both"/>
              <w:rPr>
                <w:rFonts w:ascii="Arial" w:hAnsi="Arial" w:cs="Arial"/>
                <w:color w:val="000000"/>
              </w:rPr>
            </w:pPr>
            <w:r>
              <w:rPr>
                <w:rFonts w:ascii="Arial" w:eastAsia="Calibri" w:hAnsi="Arial" w:cs="Arial"/>
                <w:color w:val="000000"/>
                <w:sz w:val="22"/>
                <w:szCs w:val="22"/>
              </w:rPr>
              <w:t>Fair</w:t>
            </w:r>
          </w:p>
        </w:tc>
        <w:tc>
          <w:tcPr>
            <w:tcW w:w="69" w:type="dxa"/>
            <w:tcBorders>
              <w:top w:val="nil"/>
              <w:left w:val="nil"/>
              <w:bottom w:val="nil"/>
              <w:right w:val="nil"/>
            </w:tcBorders>
          </w:tcPr>
          <w:p w:rsidR="005E7040" w:rsidRDefault="005E7040">
            <w:pPr>
              <w:rPr>
                <w:rFonts w:eastAsia="Calibri"/>
                <w:sz w:val="22"/>
                <w:szCs w:val="22"/>
              </w:rPr>
            </w:pPr>
          </w:p>
        </w:tc>
      </w:tr>
      <w:tr w:rsidR="005E7040">
        <w:trPr>
          <w:trHeight w:val="238"/>
          <w:jc w:val="center"/>
        </w:trPr>
        <w:tc>
          <w:tcPr>
            <w:tcW w:w="2059" w:type="dxa"/>
            <w:tcBorders>
              <w:top w:val="nil"/>
              <w:left w:val="nil"/>
              <w:bottom w:val="nil"/>
              <w:right w:val="nil"/>
            </w:tcBorders>
            <w:vAlign w:val="center"/>
          </w:tcPr>
          <w:p w:rsidR="005E7040" w:rsidRDefault="00A94247">
            <w:pPr>
              <w:jc w:val="both"/>
              <w:rPr>
                <w:rFonts w:ascii="Arial" w:hAnsi="Arial" w:cs="Arial"/>
              </w:rPr>
            </w:pPr>
            <w:r>
              <w:rPr>
                <w:rFonts w:ascii="Arial" w:eastAsia="Calibri" w:hAnsi="Arial" w:cs="Arial"/>
                <w:color w:val="000000"/>
                <w:sz w:val="22"/>
                <w:szCs w:val="22"/>
              </w:rPr>
              <w:t>7</w:t>
            </w:r>
          </w:p>
        </w:tc>
        <w:tc>
          <w:tcPr>
            <w:tcW w:w="2152" w:type="dxa"/>
            <w:tcBorders>
              <w:top w:val="nil"/>
              <w:left w:val="nil"/>
              <w:bottom w:val="nil"/>
              <w:right w:val="nil"/>
            </w:tcBorders>
            <w:vAlign w:val="center"/>
          </w:tcPr>
          <w:p w:rsidR="005E7040" w:rsidRDefault="00A94247">
            <w:pPr>
              <w:jc w:val="both"/>
              <w:rPr>
                <w:rFonts w:ascii="Arial" w:hAnsi="Arial" w:cs="Arial"/>
              </w:rPr>
            </w:pPr>
            <w:r>
              <w:rPr>
                <w:rFonts w:ascii="Arial" w:eastAsia="Calibri" w:hAnsi="Arial" w:cs="Arial"/>
                <w:color w:val="000000"/>
                <w:sz w:val="22"/>
                <w:szCs w:val="22"/>
              </w:rPr>
              <w:t>1</w:t>
            </w:r>
          </w:p>
        </w:tc>
        <w:tc>
          <w:tcPr>
            <w:tcW w:w="1847" w:type="dxa"/>
            <w:tcBorders>
              <w:top w:val="nil"/>
              <w:left w:val="nil"/>
              <w:bottom w:val="nil"/>
              <w:right w:val="nil"/>
            </w:tcBorders>
            <w:vAlign w:val="center"/>
          </w:tcPr>
          <w:p w:rsidR="005E7040" w:rsidRDefault="00A94247">
            <w:pPr>
              <w:jc w:val="both"/>
              <w:rPr>
                <w:rFonts w:ascii="Arial" w:hAnsi="Arial" w:cs="Arial"/>
                <w:color w:val="000000"/>
              </w:rPr>
            </w:pPr>
            <w:r>
              <w:rPr>
                <w:rFonts w:ascii="Arial" w:eastAsia="Calibri" w:hAnsi="Arial" w:cs="Arial"/>
                <w:color w:val="000000"/>
                <w:sz w:val="22"/>
                <w:szCs w:val="22"/>
              </w:rPr>
              <w:t>5.9%</w:t>
            </w:r>
          </w:p>
        </w:tc>
        <w:tc>
          <w:tcPr>
            <w:tcW w:w="2179" w:type="dxa"/>
            <w:tcBorders>
              <w:top w:val="nil"/>
              <w:left w:val="nil"/>
              <w:bottom w:val="nil"/>
              <w:right w:val="nil"/>
            </w:tcBorders>
          </w:tcPr>
          <w:p w:rsidR="005E7040" w:rsidRDefault="00A94247">
            <w:pPr>
              <w:jc w:val="both"/>
              <w:rPr>
                <w:rFonts w:ascii="Arial" w:hAnsi="Arial" w:cs="Arial"/>
                <w:color w:val="000000"/>
              </w:rPr>
            </w:pPr>
            <w:r>
              <w:rPr>
                <w:rFonts w:ascii="Arial" w:eastAsia="Calibri" w:hAnsi="Arial" w:cs="Arial"/>
                <w:color w:val="000000"/>
                <w:sz w:val="22"/>
                <w:szCs w:val="22"/>
              </w:rPr>
              <w:t>Good</w:t>
            </w:r>
          </w:p>
        </w:tc>
        <w:tc>
          <w:tcPr>
            <w:tcW w:w="69" w:type="dxa"/>
            <w:tcBorders>
              <w:top w:val="nil"/>
              <w:left w:val="nil"/>
              <w:bottom w:val="nil"/>
              <w:right w:val="nil"/>
            </w:tcBorders>
          </w:tcPr>
          <w:p w:rsidR="005E7040" w:rsidRDefault="005E7040">
            <w:pPr>
              <w:rPr>
                <w:rFonts w:eastAsia="Calibri"/>
                <w:sz w:val="22"/>
                <w:szCs w:val="22"/>
              </w:rPr>
            </w:pPr>
          </w:p>
        </w:tc>
      </w:tr>
      <w:tr w:rsidR="005E7040">
        <w:trPr>
          <w:trHeight w:val="238"/>
          <w:jc w:val="center"/>
        </w:trPr>
        <w:tc>
          <w:tcPr>
            <w:tcW w:w="2059" w:type="dxa"/>
            <w:tcBorders>
              <w:top w:val="nil"/>
              <w:left w:val="nil"/>
              <w:bottom w:val="nil"/>
              <w:right w:val="nil"/>
            </w:tcBorders>
            <w:vAlign w:val="center"/>
          </w:tcPr>
          <w:p w:rsidR="005E7040" w:rsidRDefault="00A94247">
            <w:pPr>
              <w:jc w:val="both"/>
              <w:rPr>
                <w:rFonts w:ascii="Arial" w:hAnsi="Arial" w:cs="Arial"/>
              </w:rPr>
            </w:pPr>
            <w:r>
              <w:rPr>
                <w:rFonts w:ascii="Arial" w:eastAsia="Calibri" w:hAnsi="Arial" w:cs="Arial"/>
                <w:color w:val="000000"/>
                <w:sz w:val="22"/>
                <w:szCs w:val="22"/>
              </w:rPr>
              <w:t>8</w:t>
            </w:r>
          </w:p>
        </w:tc>
        <w:tc>
          <w:tcPr>
            <w:tcW w:w="2152" w:type="dxa"/>
            <w:tcBorders>
              <w:top w:val="nil"/>
              <w:left w:val="nil"/>
              <w:bottom w:val="nil"/>
              <w:right w:val="nil"/>
            </w:tcBorders>
            <w:vAlign w:val="center"/>
          </w:tcPr>
          <w:p w:rsidR="005E7040" w:rsidRDefault="00A94247">
            <w:pPr>
              <w:jc w:val="both"/>
              <w:rPr>
                <w:rFonts w:ascii="Arial" w:hAnsi="Arial" w:cs="Arial"/>
              </w:rPr>
            </w:pPr>
            <w:r>
              <w:rPr>
                <w:rFonts w:ascii="Arial" w:eastAsia="Calibri" w:hAnsi="Arial" w:cs="Arial"/>
                <w:color w:val="000000"/>
                <w:sz w:val="22"/>
                <w:szCs w:val="22"/>
              </w:rPr>
              <w:t>3</w:t>
            </w:r>
          </w:p>
        </w:tc>
        <w:tc>
          <w:tcPr>
            <w:tcW w:w="1847" w:type="dxa"/>
            <w:tcBorders>
              <w:top w:val="nil"/>
              <w:left w:val="nil"/>
              <w:bottom w:val="nil"/>
              <w:right w:val="nil"/>
            </w:tcBorders>
            <w:vAlign w:val="center"/>
          </w:tcPr>
          <w:p w:rsidR="005E7040" w:rsidRDefault="00A94247">
            <w:pPr>
              <w:jc w:val="both"/>
              <w:rPr>
                <w:rFonts w:ascii="Arial" w:hAnsi="Arial" w:cs="Arial"/>
                <w:color w:val="000000"/>
              </w:rPr>
            </w:pPr>
            <w:r>
              <w:rPr>
                <w:rFonts w:ascii="Arial" w:eastAsia="Calibri" w:hAnsi="Arial" w:cs="Arial"/>
                <w:color w:val="000000"/>
                <w:sz w:val="22"/>
                <w:szCs w:val="22"/>
              </w:rPr>
              <w:t>17.6%</w:t>
            </w:r>
          </w:p>
        </w:tc>
        <w:tc>
          <w:tcPr>
            <w:tcW w:w="2179" w:type="dxa"/>
            <w:tcBorders>
              <w:top w:val="nil"/>
              <w:left w:val="nil"/>
              <w:bottom w:val="nil"/>
              <w:right w:val="nil"/>
            </w:tcBorders>
          </w:tcPr>
          <w:p w:rsidR="005E7040" w:rsidRDefault="00A94247">
            <w:pPr>
              <w:jc w:val="both"/>
              <w:rPr>
                <w:rFonts w:ascii="Arial" w:hAnsi="Arial" w:cs="Arial"/>
                <w:color w:val="000000"/>
              </w:rPr>
            </w:pPr>
            <w:r>
              <w:rPr>
                <w:rFonts w:ascii="Arial" w:eastAsia="Calibri" w:hAnsi="Arial" w:cs="Arial"/>
                <w:color w:val="000000"/>
                <w:sz w:val="22"/>
                <w:szCs w:val="22"/>
              </w:rPr>
              <w:t>Good</w:t>
            </w:r>
          </w:p>
        </w:tc>
        <w:tc>
          <w:tcPr>
            <w:tcW w:w="69" w:type="dxa"/>
            <w:tcBorders>
              <w:top w:val="nil"/>
              <w:left w:val="nil"/>
              <w:bottom w:val="nil"/>
              <w:right w:val="nil"/>
            </w:tcBorders>
          </w:tcPr>
          <w:p w:rsidR="005E7040" w:rsidRDefault="005E7040">
            <w:pPr>
              <w:rPr>
                <w:rFonts w:eastAsia="Calibri"/>
                <w:sz w:val="22"/>
                <w:szCs w:val="22"/>
              </w:rPr>
            </w:pPr>
          </w:p>
        </w:tc>
      </w:tr>
      <w:tr w:rsidR="005E7040">
        <w:trPr>
          <w:trHeight w:val="238"/>
          <w:jc w:val="center"/>
        </w:trPr>
        <w:tc>
          <w:tcPr>
            <w:tcW w:w="2059" w:type="dxa"/>
            <w:tcBorders>
              <w:top w:val="nil"/>
              <w:left w:val="nil"/>
              <w:bottom w:val="nil"/>
              <w:right w:val="nil"/>
            </w:tcBorders>
            <w:vAlign w:val="center"/>
          </w:tcPr>
          <w:p w:rsidR="005E7040" w:rsidRDefault="00A94247">
            <w:pPr>
              <w:jc w:val="both"/>
              <w:rPr>
                <w:rFonts w:ascii="Arial" w:hAnsi="Arial" w:cs="Arial"/>
              </w:rPr>
            </w:pPr>
            <w:r>
              <w:rPr>
                <w:rFonts w:ascii="Arial" w:eastAsia="Calibri" w:hAnsi="Arial" w:cs="Arial"/>
                <w:color w:val="000000"/>
                <w:sz w:val="22"/>
                <w:szCs w:val="22"/>
              </w:rPr>
              <w:t>9</w:t>
            </w:r>
          </w:p>
        </w:tc>
        <w:tc>
          <w:tcPr>
            <w:tcW w:w="2152" w:type="dxa"/>
            <w:tcBorders>
              <w:top w:val="nil"/>
              <w:left w:val="nil"/>
              <w:bottom w:val="nil"/>
              <w:right w:val="nil"/>
            </w:tcBorders>
            <w:vAlign w:val="center"/>
          </w:tcPr>
          <w:p w:rsidR="005E7040" w:rsidRDefault="00A94247">
            <w:pPr>
              <w:jc w:val="both"/>
              <w:rPr>
                <w:rFonts w:ascii="Arial" w:hAnsi="Arial" w:cs="Arial"/>
              </w:rPr>
            </w:pPr>
            <w:r>
              <w:rPr>
                <w:rFonts w:ascii="Arial" w:eastAsia="Calibri" w:hAnsi="Arial" w:cs="Arial"/>
                <w:color w:val="000000"/>
                <w:sz w:val="22"/>
                <w:szCs w:val="22"/>
              </w:rPr>
              <w:t>4</w:t>
            </w:r>
          </w:p>
        </w:tc>
        <w:tc>
          <w:tcPr>
            <w:tcW w:w="1847" w:type="dxa"/>
            <w:tcBorders>
              <w:top w:val="nil"/>
              <w:left w:val="nil"/>
              <w:bottom w:val="nil"/>
              <w:right w:val="nil"/>
            </w:tcBorders>
            <w:vAlign w:val="center"/>
          </w:tcPr>
          <w:p w:rsidR="005E7040" w:rsidRDefault="00A94247">
            <w:pPr>
              <w:jc w:val="both"/>
              <w:rPr>
                <w:rFonts w:ascii="Arial" w:hAnsi="Arial" w:cs="Arial"/>
                <w:color w:val="000000"/>
              </w:rPr>
            </w:pPr>
            <w:r>
              <w:rPr>
                <w:rFonts w:ascii="Arial" w:eastAsia="Calibri" w:hAnsi="Arial" w:cs="Arial"/>
                <w:color w:val="000000"/>
                <w:sz w:val="22"/>
                <w:szCs w:val="22"/>
              </w:rPr>
              <w:t>23.5%</w:t>
            </w:r>
          </w:p>
        </w:tc>
        <w:tc>
          <w:tcPr>
            <w:tcW w:w="2179" w:type="dxa"/>
            <w:tcBorders>
              <w:top w:val="nil"/>
              <w:left w:val="nil"/>
              <w:bottom w:val="nil"/>
              <w:right w:val="nil"/>
            </w:tcBorders>
          </w:tcPr>
          <w:p w:rsidR="005E7040" w:rsidRDefault="00A94247">
            <w:pPr>
              <w:jc w:val="both"/>
              <w:rPr>
                <w:rFonts w:ascii="Arial" w:hAnsi="Arial" w:cs="Arial"/>
                <w:color w:val="000000"/>
              </w:rPr>
            </w:pPr>
            <w:r>
              <w:rPr>
                <w:rFonts w:ascii="Arial" w:eastAsia="Calibri" w:hAnsi="Arial" w:cs="Arial"/>
                <w:color w:val="000000"/>
                <w:sz w:val="22"/>
                <w:szCs w:val="22"/>
              </w:rPr>
              <w:t>Very good</w:t>
            </w:r>
          </w:p>
        </w:tc>
        <w:tc>
          <w:tcPr>
            <w:tcW w:w="69" w:type="dxa"/>
            <w:tcBorders>
              <w:top w:val="nil"/>
              <w:left w:val="nil"/>
              <w:bottom w:val="nil"/>
              <w:right w:val="nil"/>
            </w:tcBorders>
          </w:tcPr>
          <w:p w:rsidR="005E7040" w:rsidRDefault="005E7040">
            <w:pPr>
              <w:rPr>
                <w:rFonts w:eastAsia="Calibri"/>
                <w:sz w:val="22"/>
                <w:szCs w:val="22"/>
              </w:rPr>
            </w:pPr>
          </w:p>
        </w:tc>
      </w:tr>
      <w:tr w:rsidR="005E7040">
        <w:trPr>
          <w:trHeight w:val="238"/>
          <w:jc w:val="center"/>
        </w:trPr>
        <w:tc>
          <w:tcPr>
            <w:tcW w:w="2059" w:type="dxa"/>
            <w:tcBorders>
              <w:top w:val="nil"/>
              <w:left w:val="nil"/>
              <w:bottom w:val="nil"/>
              <w:right w:val="nil"/>
            </w:tcBorders>
            <w:vAlign w:val="center"/>
          </w:tcPr>
          <w:p w:rsidR="005E7040" w:rsidRDefault="00A94247">
            <w:pPr>
              <w:jc w:val="both"/>
              <w:rPr>
                <w:rFonts w:ascii="Arial" w:hAnsi="Arial" w:cs="Arial"/>
              </w:rPr>
            </w:pPr>
            <w:r>
              <w:rPr>
                <w:rFonts w:ascii="Arial" w:eastAsia="Calibri" w:hAnsi="Arial" w:cs="Arial"/>
                <w:color w:val="000000"/>
                <w:sz w:val="22"/>
                <w:szCs w:val="22"/>
              </w:rPr>
              <w:t>10</w:t>
            </w:r>
          </w:p>
        </w:tc>
        <w:tc>
          <w:tcPr>
            <w:tcW w:w="2152" w:type="dxa"/>
            <w:tcBorders>
              <w:top w:val="nil"/>
              <w:left w:val="nil"/>
              <w:bottom w:val="nil"/>
              <w:right w:val="nil"/>
            </w:tcBorders>
            <w:vAlign w:val="center"/>
          </w:tcPr>
          <w:p w:rsidR="005E7040" w:rsidRDefault="00A94247">
            <w:pPr>
              <w:jc w:val="both"/>
              <w:rPr>
                <w:rFonts w:ascii="Arial" w:hAnsi="Arial" w:cs="Arial"/>
              </w:rPr>
            </w:pPr>
            <w:r>
              <w:rPr>
                <w:rFonts w:ascii="Arial" w:eastAsia="Calibri" w:hAnsi="Arial" w:cs="Arial"/>
                <w:color w:val="000000"/>
                <w:sz w:val="22"/>
                <w:szCs w:val="22"/>
              </w:rPr>
              <w:t>8</w:t>
            </w:r>
          </w:p>
        </w:tc>
        <w:tc>
          <w:tcPr>
            <w:tcW w:w="1847" w:type="dxa"/>
            <w:tcBorders>
              <w:top w:val="nil"/>
              <w:left w:val="nil"/>
              <w:bottom w:val="nil"/>
              <w:right w:val="nil"/>
            </w:tcBorders>
            <w:vAlign w:val="center"/>
          </w:tcPr>
          <w:p w:rsidR="005E7040" w:rsidRDefault="00A94247">
            <w:pPr>
              <w:jc w:val="both"/>
              <w:rPr>
                <w:rFonts w:ascii="Arial" w:hAnsi="Arial" w:cs="Arial"/>
                <w:color w:val="000000"/>
              </w:rPr>
            </w:pPr>
            <w:r>
              <w:rPr>
                <w:rFonts w:ascii="Arial" w:eastAsia="Calibri" w:hAnsi="Arial" w:cs="Arial"/>
                <w:color w:val="000000"/>
                <w:sz w:val="22"/>
                <w:szCs w:val="22"/>
              </w:rPr>
              <w:t>47.1%</w:t>
            </w:r>
          </w:p>
        </w:tc>
        <w:tc>
          <w:tcPr>
            <w:tcW w:w="2179" w:type="dxa"/>
            <w:tcBorders>
              <w:top w:val="nil"/>
              <w:left w:val="nil"/>
              <w:bottom w:val="nil"/>
              <w:right w:val="nil"/>
            </w:tcBorders>
          </w:tcPr>
          <w:p w:rsidR="005E7040" w:rsidRDefault="00A94247">
            <w:pPr>
              <w:jc w:val="both"/>
              <w:rPr>
                <w:rFonts w:ascii="Arial" w:hAnsi="Arial" w:cs="Arial"/>
                <w:color w:val="000000"/>
              </w:rPr>
            </w:pPr>
            <w:r>
              <w:rPr>
                <w:rFonts w:ascii="Arial" w:eastAsia="Calibri" w:hAnsi="Arial" w:cs="Arial"/>
                <w:color w:val="000000"/>
                <w:sz w:val="22"/>
                <w:szCs w:val="22"/>
              </w:rPr>
              <w:t>Very good</w:t>
            </w:r>
          </w:p>
        </w:tc>
        <w:tc>
          <w:tcPr>
            <w:tcW w:w="69" w:type="dxa"/>
            <w:tcBorders>
              <w:top w:val="nil"/>
              <w:left w:val="nil"/>
              <w:bottom w:val="nil"/>
              <w:right w:val="nil"/>
            </w:tcBorders>
          </w:tcPr>
          <w:p w:rsidR="005E7040" w:rsidRDefault="005E7040">
            <w:pPr>
              <w:rPr>
                <w:rFonts w:eastAsia="Calibri"/>
                <w:sz w:val="22"/>
                <w:szCs w:val="22"/>
              </w:rPr>
            </w:pPr>
          </w:p>
        </w:tc>
      </w:tr>
      <w:tr w:rsidR="005E7040">
        <w:trPr>
          <w:trHeight w:val="238"/>
          <w:jc w:val="center"/>
        </w:trPr>
        <w:tc>
          <w:tcPr>
            <w:tcW w:w="2059" w:type="dxa"/>
            <w:tcBorders>
              <w:top w:val="nil"/>
              <w:left w:val="nil"/>
              <w:bottom w:val="nil"/>
              <w:right w:val="nil"/>
            </w:tcBorders>
            <w:vAlign w:val="center"/>
          </w:tcPr>
          <w:p w:rsidR="005E7040" w:rsidRDefault="00A94247">
            <w:pPr>
              <w:jc w:val="both"/>
              <w:rPr>
                <w:rFonts w:ascii="Arial" w:hAnsi="Arial" w:cs="Arial"/>
                <w:b/>
                <w:color w:val="000000"/>
              </w:rPr>
            </w:pPr>
            <w:r>
              <w:rPr>
                <w:rFonts w:ascii="Arial" w:eastAsia="Calibri" w:hAnsi="Arial" w:cs="Arial"/>
                <w:b/>
                <w:color w:val="000000"/>
                <w:sz w:val="22"/>
                <w:szCs w:val="22"/>
              </w:rPr>
              <w:t>TOTAL</w:t>
            </w:r>
          </w:p>
        </w:tc>
        <w:tc>
          <w:tcPr>
            <w:tcW w:w="2152" w:type="dxa"/>
            <w:tcBorders>
              <w:top w:val="nil"/>
              <w:left w:val="nil"/>
              <w:bottom w:val="nil"/>
              <w:right w:val="nil"/>
            </w:tcBorders>
            <w:vAlign w:val="center"/>
          </w:tcPr>
          <w:p w:rsidR="005E7040" w:rsidRDefault="00A94247">
            <w:pPr>
              <w:jc w:val="both"/>
              <w:rPr>
                <w:rFonts w:ascii="Arial" w:hAnsi="Arial" w:cs="Arial"/>
                <w:b/>
                <w:color w:val="000000"/>
              </w:rPr>
            </w:pPr>
            <w:r>
              <w:rPr>
                <w:rFonts w:ascii="Arial" w:eastAsia="Calibri" w:hAnsi="Arial" w:cs="Arial"/>
                <w:b/>
                <w:color w:val="000000"/>
                <w:sz w:val="22"/>
                <w:szCs w:val="22"/>
              </w:rPr>
              <w:t>17</w:t>
            </w:r>
          </w:p>
        </w:tc>
        <w:tc>
          <w:tcPr>
            <w:tcW w:w="1847" w:type="dxa"/>
            <w:tcBorders>
              <w:top w:val="nil"/>
              <w:left w:val="nil"/>
              <w:bottom w:val="nil"/>
              <w:right w:val="nil"/>
            </w:tcBorders>
            <w:vAlign w:val="center"/>
          </w:tcPr>
          <w:p w:rsidR="005E7040" w:rsidRDefault="00A94247">
            <w:pPr>
              <w:jc w:val="both"/>
              <w:rPr>
                <w:rFonts w:ascii="Arial" w:hAnsi="Arial" w:cs="Arial"/>
                <w:b/>
                <w:color w:val="000000"/>
              </w:rPr>
            </w:pPr>
            <w:r>
              <w:rPr>
                <w:rFonts w:ascii="Arial" w:eastAsia="Calibri" w:hAnsi="Arial" w:cs="Arial"/>
                <w:b/>
                <w:color w:val="000000"/>
                <w:sz w:val="22"/>
                <w:szCs w:val="22"/>
              </w:rPr>
              <w:t>100%</w:t>
            </w:r>
          </w:p>
        </w:tc>
        <w:tc>
          <w:tcPr>
            <w:tcW w:w="2179" w:type="dxa"/>
            <w:tcBorders>
              <w:top w:val="nil"/>
              <w:left w:val="nil"/>
              <w:bottom w:val="nil"/>
              <w:right w:val="nil"/>
            </w:tcBorders>
          </w:tcPr>
          <w:p w:rsidR="005E7040" w:rsidRDefault="005E7040">
            <w:pPr>
              <w:jc w:val="both"/>
              <w:rPr>
                <w:rFonts w:ascii="Arial" w:hAnsi="Arial" w:cs="Arial"/>
                <w:color w:val="000000"/>
              </w:rPr>
            </w:pPr>
          </w:p>
        </w:tc>
        <w:tc>
          <w:tcPr>
            <w:tcW w:w="69" w:type="dxa"/>
            <w:tcBorders>
              <w:top w:val="nil"/>
              <w:left w:val="nil"/>
              <w:bottom w:val="nil"/>
              <w:right w:val="nil"/>
            </w:tcBorders>
          </w:tcPr>
          <w:p w:rsidR="005E7040" w:rsidRDefault="005E7040">
            <w:pPr>
              <w:rPr>
                <w:rFonts w:eastAsia="Calibri"/>
                <w:sz w:val="22"/>
                <w:szCs w:val="22"/>
              </w:rPr>
            </w:pPr>
          </w:p>
        </w:tc>
      </w:tr>
      <w:tr w:rsidR="005E7040">
        <w:trPr>
          <w:trHeight w:val="491"/>
          <w:jc w:val="center"/>
        </w:trPr>
        <w:tc>
          <w:tcPr>
            <w:tcW w:w="8306" w:type="dxa"/>
            <w:gridSpan w:val="5"/>
            <w:tcBorders>
              <w:top w:val="nil"/>
              <w:left w:val="nil"/>
              <w:right w:val="nil"/>
            </w:tcBorders>
          </w:tcPr>
          <w:p w:rsidR="005E7040" w:rsidRDefault="00A94247">
            <w:pPr>
              <w:jc w:val="both"/>
              <w:rPr>
                <w:rFonts w:ascii="Arial" w:hAnsi="Arial" w:cs="Arial"/>
              </w:rPr>
            </w:pPr>
            <w:r>
              <w:rPr>
                <w:rFonts w:ascii="Arial" w:eastAsia="Calibri" w:hAnsi="Arial" w:cs="Arial"/>
                <w:sz w:val="22"/>
                <w:szCs w:val="22"/>
              </w:rPr>
              <w:t>Mean: 9.00</w:t>
            </w:r>
          </w:p>
          <w:p w:rsidR="005E7040" w:rsidRDefault="00A94247">
            <w:pPr>
              <w:jc w:val="both"/>
              <w:rPr>
                <w:rFonts w:ascii="Arial" w:hAnsi="Arial" w:cs="Arial"/>
              </w:rPr>
            </w:pPr>
            <w:r>
              <w:rPr>
                <w:rFonts w:ascii="Arial" w:eastAsia="Calibri" w:hAnsi="Arial" w:cs="Arial"/>
                <w:sz w:val="22"/>
                <w:szCs w:val="22"/>
              </w:rPr>
              <w:t>Std. Dev.: 1.22</w:t>
            </w:r>
          </w:p>
        </w:tc>
      </w:tr>
    </w:tbl>
    <w:p w:rsidR="005E7040" w:rsidRDefault="005E7040">
      <w:pPr>
        <w:jc w:val="both"/>
        <w:rPr>
          <w:rFonts w:ascii="Arial" w:hAnsi="Arial" w:cs="Arial"/>
        </w:rPr>
      </w:pPr>
    </w:p>
    <w:p w:rsidR="005E7040" w:rsidRDefault="00A94247">
      <w:pPr>
        <w:pStyle w:val="BodyText"/>
        <w:jc w:val="both"/>
      </w:pPr>
      <w:r>
        <w:rPr>
          <w:rFonts w:ascii="Arial" w:hAnsi="Arial" w:cs="Arial"/>
        </w:rPr>
        <w:lastRenderedPageBreak/>
        <w:t xml:space="preserve">Table 3 presented the test of difference between the pre-test and post-test results of Grade 4 learners in </w:t>
      </w:r>
      <w:proofErr w:type="spellStart"/>
      <w:r>
        <w:rPr>
          <w:rFonts w:ascii="Arial" w:hAnsi="Arial" w:cs="Arial"/>
        </w:rPr>
        <w:t>Mualbual</w:t>
      </w:r>
      <w:proofErr w:type="spellEnd"/>
      <w:r>
        <w:rPr>
          <w:rFonts w:ascii="Arial" w:hAnsi="Arial" w:cs="Arial"/>
        </w:rPr>
        <w:t xml:space="preserve"> Elementary School. The t-test was employed to determine the mean difference between the two sets of scores. The findings showed that there w</w:t>
      </w:r>
      <w:r>
        <w:rPr>
          <w:rFonts w:ascii="Arial" w:hAnsi="Arial" w:cs="Arial"/>
        </w:rPr>
        <w:t>as a significant difference between the pre-test and post-test results of the respondents (t = -2.678, p = 0.017). This meant that the scores of the Grade 4 pupils in their post-test (M = 9.00, SD = 1.22) were higher than those in their pre-test (M = 7.06,</w:t>
      </w:r>
      <w:r>
        <w:rPr>
          <w:rFonts w:ascii="Arial" w:hAnsi="Arial" w:cs="Arial"/>
        </w:rPr>
        <w:t xml:space="preserve"> SD = 2.49). It implied that the division skills of the learners significantly improved after employing the </w:t>
      </w:r>
      <w:r>
        <w:rPr>
          <w:rStyle w:val="Strong"/>
          <w:rFonts w:ascii="Arial" w:hAnsi="Arial" w:cs="Arial"/>
          <w:b w:val="0"/>
          <w:bCs w:val="0"/>
        </w:rPr>
        <w:t>Spin and Solve Game</w:t>
      </w:r>
      <w:r>
        <w:rPr>
          <w:rFonts w:ascii="Arial" w:hAnsi="Arial" w:cs="Arial"/>
        </w:rPr>
        <w:t>.</w:t>
      </w:r>
    </w:p>
    <w:p w:rsidR="005E7040" w:rsidRDefault="00A94247">
      <w:pPr>
        <w:pStyle w:val="BodyText"/>
        <w:jc w:val="both"/>
        <w:rPr>
          <w:rFonts w:ascii="Arial" w:hAnsi="Arial"/>
        </w:rPr>
      </w:pPr>
      <w:r>
        <w:rPr>
          <w:rFonts w:ascii="Arial" w:hAnsi="Arial"/>
        </w:rPr>
        <w:t xml:space="preserve">The improvement in scores demonstrated that the intervention was effective in strengthening learners’ mathematical reasoning </w:t>
      </w:r>
      <w:r>
        <w:rPr>
          <w:rFonts w:ascii="Arial" w:hAnsi="Arial"/>
        </w:rPr>
        <w:t>and problem-solving skills. By engaging students in a hands-on and interactive activity, Spin and Solve helped reduce errors, improved accuracy, and enhanced efficiency in solving division problems. Learners became more confident in applying division conce</w:t>
      </w:r>
      <w:r>
        <w:rPr>
          <w:rFonts w:ascii="Arial" w:hAnsi="Arial"/>
        </w:rPr>
        <w:t>pts, which fostered motivation and positive attitudes toward mathematics.</w:t>
      </w:r>
    </w:p>
    <w:p w:rsidR="005E7040" w:rsidRDefault="00A94247">
      <w:pPr>
        <w:pStyle w:val="BodyText"/>
        <w:jc w:val="both"/>
      </w:pPr>
      <w:r>
        <w:rPr>
          <w:rFonts w:ascii="Arial" w:hAnsi="Arial"/>
        </w:rPr>
        <w:t xml:space="preserve">These findings were consistent with </w:t>
      </w:r>
      <w:r>
        <w:rPr>
          <w:rStyle w:val="Strong"/>
          <w:rFonts w:ascii="Arial" w:hAnsi="Arial"/>
          <w:b w:val="0"/>
          <w:bCs w:val="0"/>
        </w:rPr>
        <w:t>Gal, Nicholson, &amp; Ridgway (2023)</w:t>
      </w:r>
      <w:r>
        <w:rPr>
          <w:rFonts w:ascii="Arial" w:hAnsi="Arial"/>
        </w:rPr>
        <w:t>, who emphasized that conceptual frameworks and structured approaches enhance students’ mathematical understanding</w:t>
      </w:r>
      <w:r>
        <w:rPr>
          <w:rFonts w:ascii="Arial" w:hAnsi="Arial"/>
        </w:rPr>
        <w:t xml:space="preserve">. </w:t>
      </w:r>
      <w:proofErr w:type="spellStart"/>
      <w:r>
        <w:rPr>
          <w:rStyle w:val="Strong"/>
          <w:rFonts w:ascii="Arial" w:hAnsi="Arial"/>
          <w:b w:val="0"/>
          <w:bCs w:val="0"/>
        </w:rPr>
        <w:t>Kitto</w:t>
      </w:r>
      <w:proofErr w:type="spellEnd"/>
      <w:r>
        <w:rPr>
          <w:rStyle w:val="Strong"/>
          <w:rFonts w:ascii="Arial" w:hAnsi="Arial"/>
          <w:b w:val="0"/>
          <w:bCs w:val="0"/>
        </w:rPr>
        <w:t>, Hicks, &amp; Buckingham Shum (2023)</w:t>
      </w:r>
      <w:r>
        <w:rPr>
          <w:rFonts w:ascii="Arial" w:hAnsi="Arial"/>
        </w:rPr>
        <w:t xml:space="preserve"> also highlighted the importance of visual learning, noting that visual representations help learners grasp complex concepts more quickly and reduce cognitive load. Similarly, </w:t>
      </w:r>
      <w:proofErr w:type="spellStart"/>
      <w:r>
        <w:rPr>
          <w:rStyle w:val="Strong"/>
          <w:rFonts w:ascii="Arial" w:hAnsi="Arial"/>
          <w:b w:val="0"/>
          <w:bCs w:val="0"/>
        </w:rPr>
        <w:t>Nadarajan</w:t>
      </w:r>
      <w:proofErr w:type="spellEnd"/>
      <w:r>
        <w:rPr>
          <w:rStyle w:val="Strong"/>
          <w:rFonts w:ascii="Arial" w:hAnsi="Arial"/>
          <w:b w:val="0"/>
          <w:bCs w:val="0"/>
        </w:rPr>
        <w:t xml:space="preserve"> et al. (2023)</w:t>
      </w:r>
      <w:r>
        <w:rPr>
          <w:rFonts w:ascii="Arial" w:hAnsi="Arial"/>
        </w:rPr>
        <w:t xml:space="preserve"> found that scaff</w:t>
      </w:r>
      <w:r>
        <w:rPr>
          <w:rFonts w:ascii="Arial" w:hAnsi="Arial"/>
        </w:rPr>
        <w:t xml:space="preserve">olded and technology-based strategies improved higher-order thinking skills, supporting the idea that structured interventions lead to better comprehension and retention. </w:t>
      </w:r>
      <w:r>
        <w:rPr>
          <w:rStyle w:val="Strong"/>
          <w:rFonts w:ascii="Arial" w:hAnsi="Arial"/>
          <w:b w:val="0"/>
          <w:bCs w:val="0"/>
        </w:rPr>
        <w:t>Leakey (2023)</w:t>
      </w:r>
      <w:r>
        <w:rPr>
          <w:rFonts w:ascii="Arial" w:hAnsi="Arial"/>
        </w:rPr>
        <w:t xml:space="preserve"> further reinforced the value of step-by-step scaffolding, showing that </w:t>
      </w:r>
      <w:r>
        <w:rPr>
          <w:rFonts w:ascii="Arial" w:hAnsi="Arial"/>
        </w:rPr>
        <w:t>guided approaches make complex concepts more accessible and promote deeper understanding.</w:t>
      </w:r>
    </w:p>
    <w:p w:rsidR="005E7040" w:rsidRDefault="00A94247">
      <w:pPr>
        <w:pStyle w:val="BodyText"/>
        <w:jc w:val="both"/>
      </w:pPr>
      <w:r>
        <w:rPr>
          <w:rFonts w:ascii="Arial" w:hAnsi="Arial"/>
        </w:rPr>
        <w:t xml:space="preserve">In addition, the results aligned with the studies of </w:t>
      </w:r>
      <w:proofErr w:type="spellStart"/>
      <w:r>
        <w:rPr>
          <w:rStyle w:val="Strong"/>
          <w:rFonts w:ascii="Arial" w:hAnsi="Arial"/>
          <w:b w:val="0"/>
          <w:bCs w:val="0"/>
        </w:rPr>
        <w:t>Casane</w:t>
      </w:r>
      <w:proofErr w:type="spellEnd"/>
      <w:r>
        <w:rPr>
          <w:rStyle w:val="Strong"/>
          <w:rFonts w:ascii="Arial" w:hAnsi="Arial"/>
          <w:b w:val="0"/>
          <w:bCs w:val="0"/>
        </w:rPr>
        <w:t xml:space="preserve"> (2024, 2025, 2026)</w:t>
      </w:r>
      <w:r>
        <w:rPr>
          <w:rFonts w:ascii="Arial" w:hAnsi="Arial"/>
        </w:rPr>
        <w:t xml:space="preserve">, </w:t>
      </w:r>
      <w:proofErr w:type="spellStart"/>
      <w:r>
        <w:rPr>
          <w:rStyle w:val="Strong"/>
          <w:rFonts w:ascii="Arial" w:hAnsi="Arial"/>
          <w:b w:val="0"/>
          <w:bCs w:val="0"/>
        </w:rPr>
        <w:t>Casane</w:t>
      </w:r>
      <w:proofErr w:type="spellEnd"/>
      <w:r>
        <w:rPr>
          <w:rStyle w:val="Strong"/>
          <w:rFonts w:ascii="Arial" w:hAnsi="Arial"/>
          <w:b w:val="0"/>
          <w:bCs w:val="0"/>
        </w:rPr>
        <w:t xml:space="preserve"> &amp; </w:t>
      </w:r>
      <w:proofErr w:type="spellStart"/>
      <w:r>
        <w:rPr>
          <w:rStyle w:val="Strong"/>
          <w:rFonts w:ascii="Arial" w:hAnsi="Arial"/>
          <w:b w:val="0"/>
          <w:bCs w:val="0"/>
        </w:rPr>
        <w:t>Giray</w:t>
      </w:r>
      <w:proofErr w:type="spellEnd"/>
      <w:r>
        <w:rPr>
          <w:rStyle w:val="Strong"/>
          <w:rFonts w:ascii="Arial" w:hAnsi="Arial"/>
          <w:b w:val="0"/>
          <w:bCs w:val="0"/>
        </w:rPr>
        <w:t xml:space="preserve"> (2026)</w:t>
      </w:r>
      <w:r>
        <w:rPr>
          <w:rFonts w:ascii="Arial" w:hAnsi="Arial"/>
        </w:rPr>
        <w:t xml:space="preserve">, </w:t>
      </w:r>
      <w:proofErr w:type="spellStart"/>
      <w:r>
        <w:rPr>
          <w:rStyle w:val="Strong"/>
          <w:rFonts w:ascii="Arial" w:hAnsi="Arial"/>
          <w:b w:val="0"/>
          <w:bCs w:val="0"/>
        </w:rPr>
        <w:t>Baluyot</w:t>
      </w:r>
      <w:proofErr w:type="spellEnd"/>
      <w:r>
        <w:rPr>
          <w:rStyle w:val="Strong"/>
          <w:rFonts w:ascii="Arial" w:hAnsi="Arial"/>
          <w:b w:val="0"/>
          <w:bCs w:val="0"/>
        </w:rPr>
        <w:t xml:space="preserve"> et al. (2026)</w:t>
      </w:r>
      <w:r>
        <w:rPr>
          <w:rFonts w:ascii="Arial" w:hAnsi="Arial"/>
        </w:rPr>
        <w:t xml:space="preserve">, and </w:t>
      </w:r>
      <w:proofErr w:type="spellStart"/>
      <w:r>
        <w:rPr>
          <w:rStyle w:val="Strong"/>
          <w:rFonts w:ascii="Arial" w:hAnsi="Arial"/>
          <w:b w:val="0"/>
          <w:bCs w:val="0"/>
        </w:rPr>
        <w:t>Jagonoy</w:t>
      </w:r>
      <w:proofErr w:type="spellEnd"/>
      <w:r>
        <w:rPr>
          <w:rStyle w:val="Strong"/>
          <w:rFonts w:ascii="Arial" w:hAnsi="Arial"/>
          <w:b w:val="0"/>
          <w:bCs w:val="0"/>
        </w:rPr>
        <w:t xml:space="preserve"> et al. (2026)</w:t>
      </w:r>
      <w:r>
        <w:rPr>
          <w:rFonts w:ascii="Arial" w:hAnsi="Arial"/>
        </w:rPr>
        <w:t>, which demonst</w:t>
      </w:r>
      <w:r>
        <w:rPr>
          <w:rFonts w:ascii="Arial" w:hAnsi="Arial"/>
        </w:rPr>
        <w:t>rated that innovative teaching approaches — such as financial literacy workshops, Picture-to-Words, and Think-Pair-Share — significantly enhanced student outcomes. These local studies reinforced the idea that creative, interactive, and contextualized strat</w:t>
      </w:r>
      <w:r>
        <w:rPr>
          <w:rFonts w:ascii="Arial" w:hAnsi="Arial"/>
        </w:rPr>
        <w:t>egies can transform classroom learning and lead to measurable improvements in performance.</w:t>
      </w:r>
    </w:p>
    <w:p w:rsidR="005E7040" w:rsidRDefault="00A94247">
      <w:pPr>
        <w:pStyle w:val="BodyText"/>
        <w:jc w:val="both"/>
        <w:rPr>
          <w:rFonts w:ascii="Arial" w:hAnsi="Arial"/>
        </w:rPr>
      </w:pPr>
      <w:r>
        <w:rPr>
          <w:rFonts w:ascii="Arial" w:hAnsi="Arial"/>
        </w:rPr>
        <w:t xml:space="preserve">Overall, the significant difference between pre-test and post-test scores confirmed that the Spin and Solve Game was an effective intervention. It not only improved </w:t>
      </w:r>
      <w:r>
        <w:rPr>
          <w:rFonts w:ascii="Arial" w:hAnsi="Arial"/>
        </w:rPr>
        <w:t>computational accuracy but also encouraged critical thinking, collaboration, and motivation among Grade 4 pupils. This supported both international and local literature, showing that innovative, visual, and scaffolded strategies can transform mathematics l</w:t>
      </w:r>
      <w:r>
        <w:rPr>
          <w:rFonts w:ascii="Arial" w:hAnsi="Arial"/>
        </w:rPr>
        <w:t>earning and lead to meaningful improvements in student performance.</w:t>
      </w:r>
    </w:p>
    <w:p w:rsidR="005E7040" w:rsidRDefault="005E7040">
      <w:pPr>
        <w:jc w:val="center"/>
        <w:rPr>
          <w:rFonts w:ascii="Arial" w:hAnsi="Arial" w:cs="Arial"/>
        </w:rPr>
      </w:pPr>
    </w:p>
    <w:p w:rsidR="005E7040" w:rsidRDefault="005E7040">
      <w:pPr>
        <w:jc w:val="center"/>
        <w:rPr>
          <w:rFonts w:ascii="Arial" w:hAnsi="Arial" w:cs="Arial"/>
        </w:rPr>
      </w:pPr>
    </w:p>
    <w:p w:rsidR="005E7040" w:rsidRDefault="005E7040">
      <w:pPr>
        <w:jc w:val="center"/>
        <w:rPr>
          <w:rFonts w:ascii="Arial" w:hAnsi="Arial" w:cs="Arial"/>
        </w:rPr>
      </w:pPr>
    </w:p>
    <w:p w:rsidR="005E7040" w:rsidRDefault="005E7040">
      <w:pPr>
        <w:jc w:val="center"/>
        <w:rPr>
          <w:rFonts w:ascii="Arial" w:hAnsi="Arial" w:cs="Arial"/>
        </w:rPr>
      </w:pPr>
    </w:p>
    <w:p w:rsidR="005E7040" w:rsidRDefault="005E7040">
      <w:pPr>
        <w:jc w:val="center"/>
        <w:rPr>
          <w:rFonts w:ascii="Arial" w:hAnsi="Arial" w:cs="Arial"/>
        </w:rPr>
      </w:pPr>
    </w:p>
    <w:p w:rsidR="005E7040" w:rsidRDefault="005E7040">
      <w:pPr>
        <w:jc w:val="center"/>
        <w:rPr>
          <w:rFonts w:ascii="Arial" w:hAnsi="Arial" w:cs="Arial"/>
        </w:rPr>
      </w:pPr>
    </w:p>
    <w:p w:rsidR="005E7040" w:rsidRDefault="00A94247">
      <w:pPr>
        <w:jc w:val="center"/>
      </w:pPr>
      <w:r>
        <w:rPr>
          <w:rFonts w:ascii="Arial" w:hAnsi="Arial" w:cs="Arial"/>
        </w:rPr>
        <w:t>Table 3</w:t>
      </w:r>
    </w:p>
    <w:p w:rsidR="005E7040" w:rsidRDefault="00A94247">
      <w:pPr>
        <w:jc w:val="center"/>
        <w:rPr>
          <w:rFonts w:ascii="Arial" w:hAnsi="Arial" w:cs="Arial"/>
          <w:b/>
          <w:bCs/>
        </w:rPr>
      </w:pPr>
      <w:r>
        <w:rPr>
          <w:rFonts w:ascii="Arial" w:hAnsi="Arial" w:cs="Arial"/>
          <w:b/>
          <w:bCs/>
        </w:rPr>
        <w:t>Test the Difference between the Pre-test and Post-test results</w:t>
      </w:r>
    </w:p>
    <w:p w:rsidR="005E7040" w:rsidRDefault="005E7040">
      <w:pPr>
        <w:jc w:val="center"/>
        <w:rPr>
          <w:rFonts w:ascii="Arial" w:hAnsi="Arial" w:cs="Arial"/>
          <w:b/>
          <w:bCs/>
        </w:rPr>
      </w:pPr>
    </w:p>
    <w:tbl>
      <w:tblPr>
        <w:tblStyle w:val="TableGrid"/>
        <w:tblW w:w="5000" w:type="pct"/>
        <w:jc w:val="center"/>
        <w:tblLayout w:type="fixed"/>
        <w:tblLook w:val="04A0" w:firstRow="1" w:lastRow="0" w:firstColumn="1" w:lastColumn="0" w:noHBand="0" w:noVBand="1"/>
      </w:tblPr>
      <w:tblGrid>
        <w:gridCol w:w="1540"/>
        <w:gridCol w:w="1177"/>
        <w:gridCol w:w="1201"/>
        <w:gridCol w:w="1969"/>
        <w:gridCol w:w="1449"/>
        <w:gridCol w:w="1906"/>
      </w:tblGrid>
      <w:tr w:rsidR="005E7040">
        <w:trPr>
          <w:jc w:val="center"/>
        </w:trPr>
        <w:tc>
          <w:tcPr>
            <w:tcW w:w="1504" w:type="dxa"/>
            <w:tcBorders>
              <w:left w:val="nil"/>
              <w:right w:val="nil"/>
            </w:tcBorders>
            <w:vAlign w:val="center"/>
          </w:tcPr>
          <w:p w:rsidR="005E7040" w:rsidRDefault="00A94247">
            <w:pPr>
              <w:jc w:val="both"/>
              <w:rPr>
                <w:rFonts w:ascii="Arial" w:hAnsi="Arial" w:cs="Arial"/>
                <w:b/>
                <w:bCs/>
              </w:rPr>
            </w:pPr>
            <w:r>
              <w:rPr>
                <w:rFonts w:ascii="Arial" w:eastAsia="Calibri" w:hAnsi="Arial" w:cs="Arial"/>
                <w:b/>
                <w:bCs/>
                <w:sz w:val="22"/>
                <w:szCs w:val="22"/>
              </w:rPr>
              <w:t>Variables</w:t>
            </w:r>
          </w:p>
        </w:tc>
        <w:tc>
          <w:tcPr>
            <w:tcW w:w="1149" w:type="dxa"/>
            <w:tcBorders>
              <w:left w:val="nil"/>
              <w:right w:val="nil"/>
            </w:tcBorders>
            <w:vAlign w:val="center"/>
          </w:tcPr>
          <w:p w:rsidR="005E7040" w:rsidRDefault="00A94247">
            <w:pPr>
              <w:jc w:val="both"/>
              <w:rPr>
                <w:rFonts w:ascii="Arial" w:hAnsi="Arial" w:cs="Arial"/>
                <w:b/>
                <w:bCs/>
              </w:rPr>
            </w:pPr>
            <w:r>
              <w:rPr>
                <w:rFonts w:ascii="Arial" w:eastAsia="Calibri" w:hAnsi="Arial" w:cs="Arial"/>
                <w:b/>
                <w:bCs/>
                <w:sz w:val="22"/>
                <w:szCs w:val="22"/>
              </w:rPr>
              <w:t>t -</w:t>
            </w:r>
          </w:p>
        </w:tc>
        <w:tc>
          <w:tcPr>
            <w:tcW w:w="1173" w:type="dxa"/>
            <w:tcBorders>
              <w:left w:val="nil"/>
              <w:right w:val="nil"/>
            </w:tcBorders>
            <w:vAlign w:val="center"/>
          </w:tcPr>
          <w:p w:rsidR="005E7040" w:rsidRDefault="00A94247">
            <w:pPr>
              <w:jc w:val="both"/>
              <w:rPr>
                <w:rFonts w:ascii="Arial" w:hAnsi="Arial" w:cs="Arial"/>
                <w:b/>
                <w:bCs/>
              </w:rPr>
            </w:pPr>
            <w:r>
              <w:rPr>
                <w:rFonts w:ascii="Arial" w:eastAsia="Calibri" w:hAnsi="Arial" w:cs="Arial"/>
                <w:b/>
                <w:bCs/>
                <w:sz w:val="22"/>
                <w:szCs w:val="22"/>
              </w:rPr>
              <w:t>p - value</w:t>
            </w:r>
          </w:p>
        </w:tc>
        <w:tc>
          <w:tcPr>
            <w:tcW w:w="1923" w:type="dxa"/>
            <w:tcBorders>
              <w:left w:val="nil"/>
              <w:right w:val="nil"/>
            </w:tcBorders>
            <w:vAlign w:val="center"/>
          </w:tcPr>
          <w:p w:rsidR="005E7040" w:rsidRDefault="00A94247">
            <w:pPr>
              <w:jc w:val="both"/>
              <w:rPr>
                <w:rFonts w:ascii="Arial" w:hAnsi="Arial" w:cs="Arial"/>
                <w:b/>
                <w:bCs/>
              </w:rPr>
            </w:pPr>
            <w:r>
              <w:rPr>
                <w:rFonts w:ascii="Arial" w:eastAsia="Calibri" w:hAnsi="Arial" w:cs="Arial"/>
                <w:b/>
                <w:bCs/>
                <w:sz w:val="22"/>
                <w:szCs w:val="22"/>
              </w:rPr>
              <w:t>Level of Significance</w:t>
            </w:r>
          </w:p>
        </w:tc>
        <w:tc>
          <w:tcPr>
            <w:tcW w:w="1415" w:type="dxa"/>
            <w:tcBorders>
              <w:left w:val="nil"/>
              <w:right w:val="nil"/>
            </w:tcBorders>
            <w:vAlign w:val="center"/>
          </w:tcPr>
          <w:p w:rsidR="005E7040" w:rsidRDefault="00A94247">
            <w:pPr>
              <w:jc w:val="both"/>
              <w:rPr>
                <w:rFonts w:ascii="Arial" w:hAnsi="Arial" w:cs="Arial"/>
                <w:b/>
                <w:bCs/>
              </w:rPr>
            </w:pPr>
            <w:r>
              <w:rPr>
                <w:rFonts w:ascii="Arial" w:eastAsia="Calibri" w:hAnsi="Arial" w:cs="Arial"/>
                <w:b/>
                <w:bCs/>
                <w:sz w:val="22"/>
                <w:szCs w:val="22"/>
              </w:rPr>
              <w:t>Decision</w:t>
            </w:r>
          </w:p>
        </w:tc>
        <w:tc>
          <w:tcPr>
            <w:tcW w:w="1861" w:type="dxa"/>
            <w:tcBorders>
              <w:left w:val="nil"/>
              <w:right w:val="nil"/>
            </w:tcBorders>
            <w:vAlign w:val="center"/>
          </w:tcPr>
          <w:p w:rsidR="005E7040" w:rsidRDefault="00A94247">
            <w:pPr>
              <w:jc w:val="both"/>
              <w:rPr>
                <w:rFonts w:ascii="Arial" w:hAnsi="Arial" w:cs="Arial"/>
                <w:b/>
                <w:bCs/>
              </w:rPr>
            </w:pPr>
            <w:r>
              <w:rPr>
                <w:rFonts w:ascii="Arial" w:eastAsia="Calibri" w:hAnsi="Arial" w:cs="Arial"/>
                <w:b/>
                <w:bCs/>
                <w:sz w:val="22"/>
                <w:szCs w:val="22"/>
              </w:rPr>
              <w:t>Interpretation</w:t>
            </w:r>
          </w:p>
        </w:tc>
      </w:tr>
      <w:tr w:rsidR="005E7040">
        <w:trPr>
          <w:jc w:val="center"/>
        </w:trPr>
        <w:tc>
          <w:tcPr>
            <w:tcW w:w="1504" w:type="dxa"/>
            <w:tcBorders>
              <w:left w:val="nil"/>
              <w:right w:val="nil"/>
            </w:tcBorders>
            <w:vAlign w:val="center"/>
          </w:tcPr>
          <w:p w:rsidR="005E7040" w:rsidRDefault="00A94247">
            <w:pPr>
              <w:jc w:val="both"/>
              <w:rPr>
                <w:rFonts w:ascii="Arial" w:hAnsi="Arial" w:cs="Arial"/>
              </w:rPr>
            </w:pPr>
            <w:r>
              <w:rPr>
                <w:rFonts w:ascii="Arial" w:eastAsia="Calibri" w:hAnsi="Arial" w:cs="Arial"/>
                <w:sz w:val="22"/>
                <w:szCs w:val="22"/>
              </w:rPr>
              <w:t>Posttest and Pre-test Results</w:t>
            </w:r>
          </w:p>
        </w:tc>
        <w:tc>
          <w:tcPr>
            <w:tcW w:w="1149" w:type="dxa"/>
            <w:tcBorders>
              <w:left w:val="nil"/>
              <w:right w:val="nil"/>
            </w:tcBorders>
            <w:vAlign w:val="center"/>
          </w:tcPr>
          <w:p w:rsidR="005E7040" w:rsidRDefault="00A94247">
            <w:pPr>
              <w:jc w:val="both"/>
              <w:rPr>
                <w:rFonts w:ascii="Arial" w:hAnsi="Arial" w:cs="Arial"/>
              </w:rPr>
            </w:pPr>
            <w:r>
              <w:rPr>
                <w:rFonts w:ascii="Arial" w:eastAsia="Calibri" w:hAnsi="Arial" w:cs="Arial"/>
                <w:sz w:val="22"/>
                <w:szCs w:val="22"/>
              </w:rPr>
              <w:t>-2.678</w:t>
            </w:r>
          </w:p>
        </w:tc>
        <w:tc>
          <w:tcPr>
            <w:tcW w:w="1173" w:type="dxa"/>
            <w:tcBorders>
              <w:left w:val="nil"/>
              <w:right w:val="nil"/>
            </w:tcBorders>
            <w:vAlign w:val="center"/>
          </w:tcPr>
          <w:p w:rsidR="005E7040" w:rsidRDefault="00A94247">
            <w:pPr>
              <w:jc w:val="both"/>
              <w:rPr>
                <w:rFonts w:ascii="Arial" w:hAnsi="Arial" w:cs="Arial"/>
              </w:rPr>
            </w:pPr>
            <w:r>
              <w:rPr>
                <w:rFonts w:ascii="Arial" w:eastAsia="Calibri" w:hAnsi="Arial" w:cs="Arial"/>
                <w:sz w:val="22"/>
                <w:szCs w:val="22"/>
              </w:rPr>
              <w:t>0.017</w:t>
            </w:r>
          </w:p>
        </w:tc>
        <w:tc>
          <w:tcPr>
            <w:tcW w:w="1923" w:type="dxa"/>
            <w:tcBorders>
              <w:left w:val="nil"/>
              <w:right w:val="nil"/>
            </w:tcBorders>
            <w:vAlign w:val="center"/>
          </w:tcPr>
          <w:p w:rsidR="005E7040" w:rsidRDefault="00A94247">
            <w:pPr>
              <w:jc w:val="both"/>
              <w:rPr>
                <w:rFonts w:ascii="Arial" w:hAnsi="Arial" w:cs="Arial"/>
              </w:rPr>
            </w:pPr>
            <w:r>
              <w:rPr>
                <w:rFonts w:ascii="Arial" w:eastAsia="Calibri" w:hAnsi="Arial" w:cs="Arial"/>
                <w:sz w:val="22"/>
                <w:szCs w:val="22"/>
              </w:rPr>
              <w:t>0.05</w:t>
            </w:r>
          </w:p>
        </w:tc>
        <w:tc>
          <w:tcPr>
            <w:tcW w:w="1415" w:type="dxa"/>
            <w:tcBorders>
              <w:left w:val="nil"/>
              <w:right w:val="nil"/>
            </w:tcBorders>
            <w:vAlign w:val="center"/>
          </w:tcPr>
          <w:p w:rsidR="005E7040" w:rsidRDefault="00A94247">
            <w:pPr>
              <w:jc w:val="both"/>
              <w:rPr>
                <w:rFonts w:eastAsia="Calibri"/>
                <w:sz w:val="22"/>
                <w:szCs w:val="22"/>
              </w:rPr>
            </w:pPr>
            <w:r>
              <w:rPr>
                <w:rFonts w:ascii="Arial" w:eastAsia="Calibri" w:hAnsi="Arial" w:cs="Arial"/>
                <w:sz w:val="22"/>
                <w:szCs w:val="22"/>
              </w:rPr>
              <w:t>Not Accepted</w:t>
            </w:r>
          </w:p>
        </w:tc>
        <w:tc>
          <w:tcPr>
            <w:tcW w:w="1861" w:type="dxa"/>
            <w:tcBorders>
              <w:left w:val="nil"/>
              <w:right w:val="nil"/>
            </w:tcBorders>
            <w:vAlign w:val="center"/>
          </w:tcPr>
          <w:p w:rsidR="005E7040" w:rsidRDefault="00A94247">
            <w:pPr>
              <w:jc w:val="both"/>
              <w:rPr>
                <w:rFonts w:ascii="Arial" w:hAnsi="Arial" w:cs="Arial"/>
              </w:rPr>
            </w:pPr>
            <w:r>
              <w:rPr>
                <w:rFonts w:ascii="Arial" w:eastAsia="Calibri" w:hAnsi="Arial" w:cs="Arial"/>
                <w:sz w:val="22"/>
                <w:szCs w:val="22"/>
              </w:rPr>
              <w:t>Significant</w:t>
            </w:r>
          </w:p>
        </w:tc>
      </w:tr>
    </w:tbl>
    <w:p w:rsidR="005E7040" w:rsidRDefault="005E7040">
      <w:pPr>
        <w:jc w:val="both"/>
        <w:rPr>
          <w:rFonts w:ascii="Arial" w:hAnsi="Arial" w:cs="Arial"/>
        </w:rPr>
      </w:pPr>
    </w:p>
    <w:p w:rsidR="005E7040" w:rsidRDefault="005E7040">
      <w:pPr>
        <w:jc w:val="both"/>
        <w:rPr>
          <w:rFonts w:ascii="Arial" w:hAnsi="Arial" w:cs="Arial"/>
        </w:rPr>
      </w:pPr>
    </w:p>
    <w:p w:rsidR="005E7040" w:rsidRDefault="00A94247">
      <w:pPr>
        <w:pStyle w:val="ConcHead"/>
        <w:spacing w:after="0"/>
        <w:jc w:val="both"/>
        <w:rPr>
          <w:rFonts w:ascii="Arial" w:hAnsi="Arial" w:cs="Arial"/>
        </w:rPr>
      </w:pPr>
      <w:r>
        <w:rPr>
          <w:rFonts w:ascii="Arial" w:hAnsi="Arial" w:cs="Arial"/>
        </w:rPr>
        <w:t>4. Conclusion</w:t>
      </w:r>
    </w:p>
    <w:p w:rsidR="005E7040" w:rsidRDefault="005E7040">
      <w:pPr>
        <w:jc w:val="both"/>
        <w:rPr>
          <w:rFonts w:ascii="Arial" w:hAnsi="Arial" w:cs="Arial"/>
        </w:rPr>
      </w:pPr>
    </w:p>
    <w:p w:rsidR="005E7040" w:rsidRDefault="00A94247">
      <w:pPr>
        <w:pStyle w:val="BodyText"/>
        <w:jc w:val="both"/>
      </w:pPr>
      <w:r>
        <w:rPr>
          <w:rFonts w:ascii="Arial" w:hAnsi="Arial" w:cs="Arial"/>
        </w:rPr>
        <w:lastRenderedPageBreak/>
        <w:t xml:space="preserve">The study concluded that the Grade 4 learners of </w:t>
      </w:r>
      <w:proofErr w:type="spellStart"/>
      <w:r>
        <w:rPr>
          <w:rFonts w:ascii="Arial" w:hAnsi="Arial" w:cs="Arial"/>
        </w:rPr>
        <w:t>Mualbual</w:t>
      </w:r>
      <w:proofErr w:type="spellEnd"/>
      <w:r>
        <w:rPr>
          <w:rFonts w:ascii="Arial" w:hAnsi="Arial" w:cs="Arial"/>
        </w:rPr>
        <w:t xml:space="preserve"> Elementary School showed significant improvement in their division skills after the implementation of the Spin and Solve Game. Before the interv</w:t>
      </w:r>
      <w:r>
        <w:rPr>
          <w:rFonts w:ascii="Arial" w:hAnsi="Arial" w:cs="Arial"/>
        </w:rPr>
        <w:t>ention, many pupils struggled with the processes of subtraction, multiplication, and long division, but after engaging in the activity they demonstrated stronger accuracy, confidence, and problem-solving ability. This confirmed that Spin and Solve was an e</w:t>
      </w:r>
      <w:r>
        <w:rPr>
          <w:rFonts w:ascii="Arial" w:hAnsi="Arial" w:cs="Arial"/>
        </w:rPr>
        <w:t>ffective tool for making division more engaging and accessible, while also fostering motivation and positive attitudes toward mathematics.</w:t>
      </w:r>
    </w:p>
    <w:p w:rsidR="005E7040" w:rsidRDefault="00A94247">
      <w:pPr>
        <w:pStyle w:val="BodyText"/>
        <w:jc w:val="both"/>
      </w:pPr>
      <w:r>
        <w:t>The implication of these findings is that interactive and game-based strategies can transform mathematics instruction</w:t>
      </w:r>
      <w:r>
        <w:t>. Teachers can integrate Spin and Solve into their lessons to encourage active participation and teamwork, while curriculum developers may consider incorporating similar approaches to strengthen mastery of challenging topics. Learners benefit from hands-on</w:t>
      </w:r>
      <w:r>
        <w:t xml:space="preserve"> experiences that promote collaboration and deeper conceptual understanding, which in turn builds confidence and a more positive outlook toward learning mathematics.</w:t>
      </w:r>
    </w:p>
    <w:p w:rsidR="005E7040" w:rsidRDefault="00A94247">
      <w:pPr>
        <w:pStyle w:val="BodyText"/>
        <w:jc w:val="both"/>
      </w:pPr>
      <w:r>
        <w:t xml:space="preserve">Based on the results, it is recommended that teachers adopt innovative strategies such as </w:t>
      </w:r>
      <w:r>
        <w:t>Spin and Solve to enrich classroom instruction and address common learning difficulties in division. School administrators should support the integration of game-based learning into the curriculum to enhance student engagement and achievement. Future resea</w:t>
      </w:r>
      <w:r>
        <w:t>rch may also explore the application of Spin and Solve in other mathematical operations, such as fractions or problem-solving tasks, to determine its broader effectiveness across different areas of mathematics learning.</w:t>
      </w:r>
    </w:p>
    <w:p w:rsidR="00B91C7E" w:rsidRDefault="00B91C7E" w:rsidP="00B91C7E">
      <w:pPr>
        <w:pStyle w:val="Heading2"/>
        <w:jc w:val="both"/>
        <w:rPr>
          <w:rFonts w:ascii="Arial" w:hAnsi="Arial"/>
          <w:sz w:val="20"/>
          <w:szCs w:val="20"/>
        </w:rPr>
      </w:pPr>
      <w:r>
        <w:rPr>
          <w:rFonts w:ascii="Arial" w:hAnsi="Arial"/>
          <w:sz w:val="20"/>
          <w:szCs w:val="20"/>
        </w:rPr>
        <w:t>7. Ethical Considerations</w:t>
      </w:r>
    </w:p>
    <w:p w:rsidR="00B91C7E" w:rsidRDefault="00B91C7E" w:rsidP="00B91C7E">
      <w:pPr>
        <w:pStyle w:val="BodyText"/>
        <w:jc w:val="both"/>
        <w:rPr>
          <w:rFonts w:ascii="Arial" w:hAnsi="Arial"/>
        </w:rPr>
      </w:pPr>
      <w:r>
        <w:rPr>
          <w:rFonts w:ascii="Arial" w:hAnsi="Arial"/>
        </w:rPr>
        <w:t>The researchers carried out the study with respect for the rights and welfare of all participants. Approval was first obtained from the school head and the Grade 4 teacher before any data collection began. Parents were also asked to sign consent forms to allow their children to take part in the activity. The privacy of the pupils was protected, and no personal details were revealed in the results. Participation was voluntary, and learners were informed that they could stop at any time without consequence. The Spin and Solve Game was implemented in a safe and supportive environment to ensure that the activity was beneficial and posed no harm. By following these steps, the researchers ensured that the study was conducted responsibly, with fairness, transparency, and respect for the dignity of all participants.</w:t>
      </w:r>
    </w:p>
    <w:p w:rsidR="00B91C7E" w:rsidRDefault="00B91C7E" w:rsidP="00B91C7E">
      <w:pPr>
        <w:pStyle w:val="BodyText"/>
        <w:jc w:val="both"/>
        <w:rPr>
          <w:rFonts w:ascii="Arial" w:hAnsi="Arial"/>
        </w:rPr>
      </w:pPr>
    </w:p>
    <w:p w:rsidR="005E7040" w:rsidRDefault="005E7040">
      <w:pPr>
        <w:jc w:val="both"/>
        <w:rPr>
          <w:rFonts w:ascii="Arial" w:hAnsi="Arial" w:cs="Arial"/>
        </w:rPr>
      </w:pPr>
      <w:bookmarkStart w:id="0" w:name="_GoBack"/>
      <w:bookmarkEnd w:id="0"/>
    </w:p>
    <w:p w:rsidR="005E7040" w:rsidRDefault="005E7040">
      <w:pPr>
        <w:pStyle w:val="Body"/>
        <w:spacing w:after="0"/>
        <w:rPr>
          <w:rFonts w:ascii="Arial" w:hAnsi="Arial" w:cs="Arial"/>
        </w:rPr>
      </w:pPr>
    </w:p>
    <w:p w:rsidR="005E7040" w:rsidRDefault="00A94247">
      <w:pPr>
        <w:jc w:val="both"/>
        <w:rPr>
          <w:rFonts w:ascii="Arial" w:hAnsi="Arial" w:cs="Arial"/>
          <w:b/>
          <w:bCs/>
        </w:rPr>
      </w:pPr>
      <w:r>
        <w:rPr>
          <w:rFonts w:ascii="Arial" w:hAnsi="Arial" w:cs="Arial"/>
          <w:b/>
          <w:bCs/>
        </w:rPr>
        <w:t xml:space="preserve">Disclaimer (Artificial </w:t>
      </w:r>
      <w:r>
        <w:rPr>
          <w:rFonts w:ascii="Arial" w:hAnsi="Arial" w:cs="Arial"/>
          <w:b/>
          <w:bCs/>
        </w:rPr>
        <w:t>Intelligence)</w:t>
      </w:r>
    </w:p>
    <w:p w:rsidR="005E7040" w:rsidRDefault="005E7040">
      <w:pPr>
        <w:jc w:val="both"/>
        <w:rPr>
          <w:rFonts w:ascii="Arial" w:hAnsi="Arial" w:cs="Arial"/>
        </w:rPr>
      </w:pPr>
    </w:p>
    <w:p w:rsidR="005E7040" w:rsidRDefault="00A94247">
      <w:pPr>
        <w:jc w:val="both"/>
        <w:rPr>
          <w:rFonts w:ascii="Arial" w:hAnsi="Arial" w:cs="Arial"/>
        </w:rPr>
      </w:pPr>
      <w:r>
        <w:rPr>
          <w:rFonts w:ascii="Arial" w:hAnsi="Arial" w:cs="Arial"/>
        </w:rPr>
        <w:t xml:space="preserve">This research employed artificial intelligence language tools-specifically </w:t>
      </w:r>
      <w:proofErr w:type="spellStart"/>
      <w:r>
        <w:rPr>
          <w:rFonts w:ascii="Arial" w:hAnsi="Arial" w:cs="Arial"/>
        </w:rPr>
        <w:t>ChatGPT</w:t>
      </w:r>
      <w:proofErr w:type="spellEnd"/>
      <w:r>
        <w:rPr>
          <w:rFonts w:ascii="Arial" w:hAnsi="Arial" w:cs="Arial"/>
        </w:rPr>
        <w:t>-to assist in refining the manuscript. These tools were utilized for paraphrasing paragraphs to enhance clarity and readability, ensuring the effective communi</w:t>
      </w:r>
      <w:r>
        <w:rPr>
          <w:rFonts w:ascii="Arial" w:hAnsi="Arial" w:cs="Arial"/>
        </w:rPr>
        <w:t xml:space="preserve">cation of ideas while preserving their original meaning. Additionally, </w:t>
      </w:r>
      <w:proofErr w:type="spellStart"/>
      <w:r>
        <w:rPr>
          <w:rFonts w:ascii="Arial" w:hAnsi="Arial" w:cs="Arial"/>
        </w:rPr>
        <w:t>ChatGPT</w:t>
      </w:r>
      <w:proofErr w:type="spellEnd"/>
      <w:r>
        <w:rPr>
          <w:rFonts w:ascii="Arial" w:hAnsi="Arial" w:cs="Arial"/>
        </w:rPr>
        <w:t xml:space="preserve"> were used to check language and grammar, thereby improving the overall accuracy and fluency of the text.</w:t>
      </w:r>
    </w:p>
    <w:p w:rsidR="005E7040" w:rsidRDefault="005E7040">
      <w:pPr>
        <w:jc w:val="both"/>
        <w:rPr>
          <w:rFonts w:ascii="Arial" w:hAnsi="Arial" w:cs="Arial"/>
        </w:rPr>
      </w:pPr>
    </w:p>
    <w:p w:rsidR="005E7040" w:rsidRDefault="005E7040">
      <w:pPr>
        <w:jc w:val="both"/>
        <w:rPr>
          <w:rFonts w:ascii="Arial" w:hAnsi="Arial" w:cs="Arial"/>
        </w:rPr>
      </w:pPr>
    </w:p>
    <w:p w:rsidR="005E7040" w:rsidRDefault="005E7040">
      <w:pPr>
        <w:jc w:val="both"/>
        <w:rPr>
          <w:rFonts w:ascii="Arial" w:hAnsi="Arial" w:cs="Arial"/>
        </w:rPr>
      </w:pPr>
    </w:p>
    <w:p w:rsidR="005E7040" w:rsidRDefault="00A94247">
      <w:pPr>
        <w:jc w:val="both"/>
        <w:rPr>
          <w:rFonts w:ascii="Arial" w:hAnsi="Arial" w:cs="Arial"/>
          <w:b/>
          <w:bCs/>
          <w:sz w:val="22"/>
          <w:szCs w:val="22"/>
        </w:rPr>
      </w:pPr>
      <w:r>
        <w:rPr>
          <w:rFonts w:ascii="Arial" w:hAnsi="Arial" w:cs="Arial"/>
          <w:b/>
          <w:bCs/>
          <w:sz w:val="22"/>
          <w:szCs w:val="22"/>
        </w:rPr>
        <w:t>REFERENCES</w:t>
      </w:r>
    </w:p>
    <w:p w:rsidR="005E7040" w:rsidRDefault="005E7040">
      <w:pPr>
        <w:jc w:val="both"/>
        <w:rPr>
          <w:rFonts w:ascii="Arial" w:hAnsi="Arial" w:cs="Arial"/>
          <w:b/>
          <w:bCs/>
          <w:sz w:val="22"/>
          <w:szCs w:val="22"/>
        </w:rPr>
      </w:pPr>
    </w:p>
    <w:p w:rsidR="005E7040" w:rsidRPr="0031103F" w:rsidRDefault="00A94247" w:rsidP="0031103F">
      <w:pPr>
        <w:pStyle w:val="ListParagraph"/>
        <w:numPr>
          <w:ilvl w:val="0"/>
          <w:numId w:val="3"/>
        </w:numPr>
        <w:tabs>
          <w:tab w:val="left" w:pos="3382"/>
          <w:tab w:val="center" w:pos="4320"/>
        </w:tabs>
        <w:spacing w:line="276" w:lineRule="auto"/>
        <w:jc w:val="both"/>
        <w:rPr>
          <w:rFonts w:ascii="Arial" w:hAnsi="Arial" w:cs="Arial"/>
        </w:rPr>
      </w:pPr>
      <w:proofErr w:type="spellStart"/>
      <w:r w:rsidRPr="0031103F">
        <w:rPr>
          <w:rFonts w:ascii="Arial" w:hAnsi="Arial" w:cs="Arial"/>
          <w:highlight w:val="yellow"/>
        </w:rPr>
        <w:t>Azis</w:t>
      </w:r>
      <w:proofErr w:type="spellEnd"/>
      <w:r w:rsidRPr="0031103F">
        <w:rPr>
          <w:rFonts w:ascii="Arial" w:hAnsi="Arial" w:cs="Arial"/>
          <w:highlight w:val="yellow"/>
        </w:rPr>
        <w:t xml:space="preserve">, H., </w:t>
      </w:r>
      <w:proofErr w:type="spellStart"/>
      <w:r w:rsidRPr="0031103F">
        <w:rPr>
          <w:rFonts w:ascii="Arial" w:hAnsi="Arial" w:cs="Arial"/>
          <w:highlight w:val="yellow"/>
        </w:rPr>
        <w:t>Togatorof</w:t>
      </w:r>
      <w:proofErr w:type="spellEnd"/>
      <w:r w:rsidRPr="0031103F">
        <w:rPr>
          <w:rFonts w:ascii="Arial" w:hAnsi="Arial" w:cs="Arial"/>
          <w:highlight w:val="yellow"/>
        </w:rPr>
        <w:t xml:space="preserve">, J. B., &amp; </w:t>
      </w:r>
      <w:proofErr w:type="spellStart"/>
      <w:r w:rsidRPr="0031103F">
        <w:rPr>
          <w:rFonts w:ascii="Arial" w:hAnsi="Arial" w:cs="Arial"/>
          <w:highlight w:val="yellow"/>
        </w:rPr>
        <w:t>Gersang</w:t>
      </w:r>
      <w:proofErr w:type="spellEnd"/>
      <w:r w:rsidRPr="0031103F">
        <w:rPr>
          <w:rFonts w:ascii="Arial" w:hAnsi="Arial" w:cs="Arial"/>
          <w:highlight w:val="yellow"/>
        </w:rPr>
        <w:t>, W. E. Br. T. (2021</w:t>
      </w:r>
      <w:r w:rsidRPr="0031103F">
        <w:rPr>
          <w:rFonts w:ascii="Arial" w:hAnsi="Arial" w:cs="Arial"/>
          <w:highlight w:val="yellow"/>
        </w:rPr>
        <w:t>).</w:t>
      </w:r>
      <w:r w:rsidRPr="0031103F">
        <w:rPr>
          <w:rFonts w:ascii="Arial" w:hAnsi="Arial" w:cs="Arial"/>
        </w:rPr>
        <w:t xml:space="preserve"> Analysis of Difficulties in Calculating the Division of Mixed Fractions Among 5th-Grade Students at SD Negeri 068003 Medan, Academic Year 2019/2020. 5(2).</w:t>
      </w:r>
    </w:p>
    <w:p w:rsidR="005E7040" w:rsidRDefault="00A94247" w:rsidP="0031103F">
      <w:pPr>
        <w:pStyle w:val="BodyText"/>
        <w:numPr>
          <w:ilvl w:val="0"/>
          <w:numId w:val="3"/>
        </w:numPr>
        <w:jc w:val="both"/>
        <w:rPr>
          <w:rFonts w:ascii="Arial" w:hAnsi="Arial"/>
        </w:rPr>
      </w:pPr>
      <w:proofErr w:type="spellStart"/>
      <w:r>
        <w:rPr>
          <w:rFonts w:ascii="Arial" w:hAnsi="Arial"/>
        </w:rPr>
        <w:t>B</w:t>
      </w:r>
      <w:r>
        <w:rPr>
          <w:rFonts w:ascii="Arial" w:hAnsi="Arial"/>
        </w:rPr>
        <w:t>aluyot</w:t>
      </w:r>
      <w:proofErr w:type="spellEnd"/>
      <w:r>
        <w:rPr>
          <w:rFonts w:ascii="Arial" w:hAnsi="Arial"/>
        </w:rPr>
        <w:t xml:space="preserve">, D. M. L., Ponce, R. S., Tejano, A. C., Verano, R. L., &amp; </w:t>
      </w:r>
      <w:proofErr w:type="spellStart"/>
      <w:r>
        <w:rPr>
          <w:rFonts w:ascii="Arial" w:hAnsi="Arial"/>
        </w:rPr>
        <w:t>Casane</w:t>
      </w:r>
      <w:proofErr w:type="spellEnd"/>
      <w:r>
        <w:rPr>
          <w:rFonts w:ascii="Arial" w:hAnsi="Arial"/>
        </w:rPr>
        <w:t>, L. L. (2026). Enhancing V</w:t>
      </w:r>
      <w:r>
        <w:rPr>
          <w:rFonts w:ascii="Arial" w:hAnsi="Arial"/>
        </w:rPr>
        <w:t xml:space="preserve">ocabulary and Writing Skills through Picture - to - Words Strategy among Grade 4 Pupils of </w:t>
      </w:r>
      <w:proofErr w:type="spellStart"/>
      <w:r>
        <w:rPr>
          <w:rFonts w:ascii="Arial" w:hAnsi="Arial"/>
        </w:rPr>
        <w:t>Pangpang</w:t>
      </w:r>
      <w:proofErr w:type="spellEnd"/>
      <w:r>
        <w:rPr>
          <w:rFonts w:ascii="Arial" w:hAnsi="Arial"/>
        </w:rPr>
        <w:t xml:space="preserve"> Integrated School. Asian Journal of Arts, Humanities and Social Studies, 9(1), 129–136. https://doi.org/10.56557/ajahss/2026/v9i1104 </w:t>
      </w:r>
    </w:p>
    <w:p w:rsidR="005E7040" w:rsidRDefault="00A94247" w:rsidP="0031103F">
      <w:pPr>
        <w:pStyle w:val="BodyText"/>
        <w:numPr>
          <w:ilvl w:val="0"/>
          <w:numId w:val="3"/>
        </w:numPr>
        <w:jc w:val="both"/>
      </w:pPr>
      <w:proofErr w:type="spellStart"/>
      <w:r>
        <w:rPr>
          <w:rFonts w:ascii="Arial" w:hAnsi="Arial"/>
        </w:rPr>
        <w:lastRenderedPageBreak/>
        <w:t>Casane</w:t>
      </w:r>
      <w:proofErr w:type="spellEnd"/>
      <w:r>
        <w:rPr>
          <w:rFonts w:ascii="Arial" w:hAnsi="Arial"/>
        </w:rPr>
        <w:t xml:space="preserve">, L. (2024). Teacher’s attitude and challenges in teaching multi-grade classes. </w:t>
      </w:r>
      <w:r>
        <w:rPr>
          <w:rStyle w:val="Emphasis"/>
          <w:rFonts w:ascii="Arial" w:hAnsi="Arial"/>
          <w:i w:val="0"/>
          <w:iCs w:val="0"/>
        </w:rPr>
        <w:t>International Journal of Advanced Research in Education and Society (IJARES), 6</w:t>
      </w:r>
      <w:r>
        <w:rPr>
          <w:rFonts w:ascii="Arial" w:hAnsi="Arial"/>
        </w:rPr>
        <w:t xml:space="preserve">(5), 1–12. </w:t>
      </w:r>
      <w:hyperlink r:id="rId14">
        <w:r>
          <w:rPr>
            <w:rStyle w:val="Hyperlink"/>
            <w:rFonts w:ascii="Arial" w:hAnsi="Arial"/>
          </w:rPr>
          <w:t>https://doi.org/1</w:t>
        </w:r>
        <w:r>
          <w:rPr>
            <w:rStyle w:val="Hyperlink"/>
            <w:rFonts w:ascii="Arial" w:hAnsi="Arial"/>
          </w:rPr>
          <w:t>0.55057/ijares.2024.6.5.21</w:t>
        </w:r>
      </w:hyperlink>
    </w:p>
    <w:p w:rsidR="005E7040" w:rsidRDefault="00A94247" w:rsidP="0031103F">
      <w:pPr>
        <w:pStyle w:val="BodyText"/>
        <w:numPr>
          <w:ilvl w:val="0"/>
          <w:numId w:val="3"/>
        </w:numPr>
        <w:jc w:val="both"/>
      </w:pPr>
      <w:proofErr w:type="spellStart"/>
      <w:r>
        <w:rPr>
          <w:rFonts w:ascii="Arial" w:hAnsi="Arial"/>
        </w:rPr>
        <w:t>Casane</w:t>
      </w:r>
      <w:proofErr w:type="spellEnd"/>
      <w:r>
        <w:rPr>
          <w:rFonts w:ascii="Arial" w:hAnsi="Arial"/>
        </w:rPr>
        <w:t xml:space="preserve">, L. L. (2025). Instructional competence, professional and personal characteristics of teachers in </w:t>
      </w:r>
      <w:proofErr w:type="spellStart"/>
      <w:r>
        <w:rPr>
          <w:rFonts w:ascii="Arial" w:hAnsi="Arial"/>
        </w:rPr>
        <w:t>multigrade</w:t>
      </w:r>
      <w:proofErr w:type="spellEnd"/>
      <w:r>
        <w:rPr>
          <w:rFonts w:ascii="Arial" w:hAnsi="Arial"/>
        </w:rPr>
        <w:t xml:space="preserve"> classes. </w:t>
      </w:r>
      <w:r>
        <w:rPr>
          <w:rStyle w:val="Emphasis"/>
          <w:rFonts w:ascii="Arial" w:hAnsi="Arial"/>
          <w:i w:val="0"/>
          <w:iCs w:val="0"/>
        </w:rPr>
        <w:t>Asian Journal of Education and Social Studies, 51</w:t>
      </w:r>
      <w:r>
        <w:rPr>
          <w:rFonts w:ascii="Arial" w:hAnsi="Arial"/>
        </w:rPr>
        <w:t xml:space="preserve">(5), 817–829. </w:t>
      </w:r>
      <w:hyperlink>
        <w:r>
          <w:rPr>
            <w:rStyle w:val="Hyperlink"/>
            <w:rFonts w:ascii="Arial" w:hAnsi="Arial"/>
          </w:rPr>
          <w:t>https://doi.org/10.9734/</w:t>
        </w:r>
        <w:r>
          <w:rPr>
            <w:rStyle w:val="Hyperlink"/>
            <w:rFonts w:ascii="Arial" w:hAnsi="Arial"/>
          </w:rPr>
          <w:t>ajess/2025/v51i51962</w:t>
        </w:r>
      </w:hyperlink>
    </w:p>
    <w:p w:rsidR="005E7040" w:rsidRPr="0031103F" w:rsidRDefault="00A94247" w:rsidP="0031103F">
      <w:pPr>
        <w:pStyle w:val="ListParagraph"/>
        <w:numPr>
          <w:ilvl w:val="0"/>
          <w:numId w:val="3"/>
        </w:numPr>
        <w:spacing w:line="276" w:lineRule="auto"/>
        <w:jc w:val="both"/>
        <w:rPr>
          <w:rFonts w:ascii="Arial" w:hAnsi="Arial"/>
        </w:rPr>
      </w:pPr>
      <w:proofErr w:type="spellStart"/>
      <w:r w:rsidRPr="0031103F">
        <w:rPr>
          <w:rStyle w:val="Hyperlink"/>
          <w:rFonts w:ascii="Arial" w:hAnsi="Arial"/>
          <w:color w:val="000000"/>
          <w:u w:val="none"/>
        </w:rPr>
        <w:t>Casane</w:t>
      </w:r>
      <w:proofErr w:type="spellEnd"/>
      <w:r w:rsidRPr="0031103F">
        <w:rPr>
          <w:rStyle w:val="Hyperlink"/>
          <w:rFonts w:ascii="Arial" w:hAnsi="Arial"/>
          <w:color w:val="000000"/>
          <w:u w:val="none"/>
        </w:rPr>
        <w:t xml:space="preserve">, L. L., &amp; Jr., A. L. G. (2026). Financial Literacy of Pre-service Teachers of UEP </w:t>
      </w:r>
      <w:proofErr w:type="spellStart"/>
      <w:r w:rsidRPr="0031103F">
        <w:rPr>
          <w:rStyle w:val="Hyperlink"/>
          <w:rFonts w:ascii="Arial" w:hAnsi="Arial"/>
          <w:color w:val="000000"/>
          <w:u w:val="none"/>
        </w:rPr>
        <w:t>Laoang</w:t>
      </w:r>
      <w:proofErr w:type="spellEnd"/>
      <w:r w:rsidRPr="0031103F">
        <w:rPr>
          <w:rStyle w:val="Hyperlink"/>
          <w:rFonts w:ascii="Arial" w:hAnsi="Arial"/>
          <w:color w:val="000000"/>
          <w:u w:val="none"/>
        </w:rPr>
        <w:t xml:space="preserve"> Campus: Basis for Crafting Financial Literacy Program. Journal of Economics and Trade, 11(1), 384–393. </w:t>
      </w:r>
      <w:hyperlink r:id="rId15">
        <w:r w:rsidRPr="0031103F">
          <w:rPr>
            <w:rStyle w:val="Hyperlink"/>
            <w:rFonts w:ascii="Arial" w:hAnsi="Arial"/>
            <w:color w:val="000000"/>
            <w:u w:val="none"/>
          </w:rPr>
          <w:t>https://doi.org/10.56557/jet/2026/v11i110459</w:t>
        </w:r>
      </w:hyperlink>
      <w:hyperlink>
        <w:r w:rsidRPr="0031103F">
          <w:rPr>
            <w:rStyle w:val="Hyperlink"/>
            <w:rFonts w:ascii="Arial" w:hAnsi="Arial"/>
            <w:color w:val="000000"/>
            <w:u w:val="none"/>
          </w:rPr>
          <w:t>.</w:t>
        </w:r>
      </w:hyperlink>
    </w:p>
    <w:p w:rsidR="005E7040" w:rsidRDefault="005E7040" w:rsidP="0031103F">
      <w:pPr>
        <w:spacing w:line="276" w:lineRule="auto"/>
        <w:ind w:left="624" w:hanging="564"/>
        <w:jc w:val="both"/>
        <w:rPr>
          <w:rFonts w:ascii="Arial" w:hAnsi="Arial"/>
        </w:rPr>
      </w:pPr>
    </w:p>
    <w:p w:rsidR="005E7040" w:rsidRPr="0031103F" w:rsidRDefault="00A94247" w:rsidP="0031103F">
      <w:pPr>
        <w:pStyle w:val="ListParagraph"/>
        <w:numPr>
          <w:ilvl w:val="0"/>
          <w:numId w:val="3"/>
        </w:numPr>
        <w:spacing w:line="276" w:lineRule="auto"/>
        <w:jc w:val="both"/>
        <w:rPr>
          <w:rFonts w:ascii="Arial" w:hAnsi="Arial"/>
        </w:rPr>
      </w:pPr>
      <w:proofErr w:type="spellStart"/>
      <w:r w:rsidRPr="0031103F">
        <w:rPr>
          <w:rStyle w:val="Hyperlink"/>
          <w:rFonts w:ascii="Arial" w:hAnsi="Arial"/>
          <w:color w:val="000000"/>
          <w:u w:val="none"/>
        </w:rPr>
        <w:t>Casane</w:t>
      </w:r>
      <w:proofErr w:type="spellEnd"/>
      <w:r w:rsidRPr="0031103F">
        <w:rPr>
          <w:rStyle w:val="Hyperlink"/>
          <w:rFonts w:ascii="Arial" w:hAnsi="Arial"/>
          <w:color w:val="000000"/>
          <w:u w:val="none"/>
        </w:rPr>
        <w:t xml:space="preserve">, L. L. (2026). Academic Performance in </w:t>
      </w:r>
      <w:proofErr w:type="spellStart"/>
      <w:r w:rsidRPr="0031103F">
        <w:rPr>
          <w:rStyle w:val="Hyperlink"/>
          <w:rFonts w:ascii="Arial" w:hAnsi="Arial"/>
          <w:color w:val="000000"/>
          <w:u w:val="none"/>
        </w:rPr>
        <w:t>Edukasyong</w:t>
      </w:r>
      <w:proofErr w:type="spellEnd"/>
      <w:r w:rsidRPr="0031103F">
        <w:rPr>
          <w:rStyle w:val="Hyperlink"/>
          <w:rFonts w:ascii="Arial" w:hAnsi="Arial"/>
          <w:color w:val="000000"/>
          <w:u w:val="none"/>
        </w:rPr>
        <w:t xml:space="preserve"> </w:t>
      </w:r>
      <w:proofErr w:type="spellStart"/>
      <w:r w:rsidRPr="0031103F">
        <w:rPr>
          <w:rStyle w:val="Hyperlink"/>
          <w:rFonts w:ascii="Arial" w:hAnsi="Arial"/>
          <w:color w:val="000000"/>
          <w:u w:val="none"/>
        </w:rPr>
        <w:t>Pantahanan</w:t>
      </w:r>
      <w:proofErr w:type="spellEnd"/>
      <w:r w:rsidRPr="0031103F">
        <w:rPr>
          <w:rStyle w:val="Hyperlink"/>
          <w:rFonts w:ascii="Arial" w:hAnsi="Arial"/>
          <w:color w:val="000000"/>
          <w:u w:val="none"/>
        </w:rPr>
        <w:t xml:space="preserve"> at </w:t>
      </w:r>
      <w:proofErr w:type="spellStart"/>
      <w:r w:rsidRPr="0031103F">
        <w:rPr>
          <w:rStyle w:val="Hyperlink"/>
          <w:rFonts w:ascii="Arial" w:hAnsi="Arial"/>
          <w:color w:val="000000"/>
          <w:u w:val="none"/>
        </w:rPr>
        <w:t>Pangkabuhayan</w:t>
      </w:r>
      <w:proofErr w:type="spellEnd"/>
      <w:r w:rsidRPr="0031103F">
        <w:rPr>
          <w:rStyle w:val="Hyperlink"/>
          <w:rFonts w:ascii="Arial" w:hAnsi="Arial"/>
          <w:color w:val="000000"/>
          <w:u w:val="none"/>
        </w:rPr>
        <w:t xml:space="preserve"> and Financial Literacy among Students in Bachelor of Elementary Education. Asi</w:t>
      </w:r>
      <w:r w:rsidRPr="0031103F">
        <w:rPr>
          <w:rStyle w:val="Hyperlink"/>
          <w:rFonts w:ascii="Arial" w:hAnsi="Arial"/>
          <w:color w:val="000000"/>
          <w:u w:val="none"/>
        </w:rPr>
        <w:t xml:space="preserve">an Journal of Arts, Humanities and Social Studies, 9(1), 102–112. </w:t>
      </w:r>
      <w:hyperlink r:id="rId16">
        <w:r w:rsidRPr="0031103F">
          <w:rPr>
            <w:rStyle w:val="Hyperlink"/>
            <w:rFonts w:ascii="Arial" w:hAnsi="Arial"/>
            <w:color w:val="000000"/>
            <w:u w:val="none"/>
          </w:rPr>
          <w:t>https://doi.org/10.56557/ajahss/2026/v9i1101</w:t>
        </w:r>
      </w:hyperlink>
      <w:hyperlink>
        <w:r w:rsidRPr="0031103F">
          <w:rPr>
            <w:rStyle w:val="Hyperlink"/>
            <w:rFonts w:ascii="Arial" w:hAnsi="Arial"/>
            <w:color w:val="000000"/>
            <w:u w:val="none"/>
          </w:rPr>
          <w:t>.</w:t>
        </w:r>
      </w:hyperlink>
    </w:p>
    <w:p w:rsidR="005E7040" w:rsidRDefault="005E7040">
      <w:pPr>
        <w:spacing w:line="276" w:lineRule="auto"/>
        <w:ind w:left="1020" w:hanging="1020"/>
        <w:jc w:val="both"/>
      </w:pPr>
    </w:p>
    <w:p w:rsidR="005E7040" w:rsidRPr="0031103F" w:rsidRDefault="00A94247" w:rsidP="0031103F">
      <w:pPr>
        <w:pStyle w:val="ListParagraph"/>
        <w:numPr>
          <w:ilvl w:val="0"/>
          <w:numId w:val="3"/>
        </w:numPr>
        <w:tabs>
          <w:tab w:val="left" w:pos="3382"/>
          <w:tab w:val="center" w:pos="4320"/>
        </w:tabs>
        <w:spacing w:line="276" w:lineRule="auto"/>
        <w:jc w:val="both"/>
        <w:rPr>
          <w:rFonts w:ascii="Arial" w:hAnsi="Arial" w:cs="Arial"/>
          <w:color w:val="000000"/>
        </w:rPr>
      </w:pPr>
      <w:proofErr w:type="spellStart"/>
      <w:r w:rsidRPr="0031103F">
        <w:rPr>
          <w:rFonts w:ascii="Arial" w:hAnsi="Arial" w:cs="Arial"/>
          <w:color w:val="000000"/>
        </w:rPr>
        <w:t>Chytry</w:t>
      </w:r>
      <w:proofErr w:type="spellEnd"/>
      <w:r w:rsidRPr="0031103F">
        <w:rPr>
          <w:rFonts w:ascii="Arial" w:hAnsi="Arial" w:cs="Arial"/>
          <w:color w:val="000000"/>
        </w:rPr>
        <w:t xml:space="preserve">, V., </w:t>
      </w:r>
      <w:proofErr w:type="spellStart"/>
      <w:r w:rsidRPr="0031103F">
        <w:rPr>
          <w:rFonts w:ascii="Arial" w:hAnsi="Arial" w:cs="Arial"/>
          <w:color w:val="000000"/>
        </w:rPr>
        <w:t>Medova</w:t>
      </w:r>
      <w:proofErr w:type="spellEnd"/>
      <w:r w:rsidRPr="0031103F">
        <w:rPr>
          <w:rFonts w:ascii="Arial" w:hAnsi="Arial" w:cs="Arial"/>
          <w:color w:val="000000"/>
        </w:rPr>
        <w:t xml:space="preserve">, J., </w:t>
      </w:r>
      <w:proofErr w:type="gramStart"/>
      <w:r w:rsidRPr="0031103F">
        <w:rPr>
          <w:rFonts w:ascii="Arial" w:hAnsi="Arial" w:cs="Arial"/>
          <w:color w:val="000000"/>
        </w:rPr>
        <w:t>Rican  J.</w:t>
      </w:r>
      <w:proofErr w:type="gramEnd"/>
      <w:r w:rsidRPr="0031103F">
        <w:rPr>
          <w:rFonts w:ascii="Arial" w:hAnsi="Arial" w:cs="Arial"/>
          <w:color w:val="000000"/>
        </w:rPr>
        <w:t>, and Skoda, J.(2020). Relati</w:t>
      </w:r>
      <w:r w:rsidRPr="0031103F">
        <w:rPr>
          <w:rFonts w:ascii="Arial" w:hAnsi="Arial" w:cs="Arial"/>
          <w:color w:val="000000"/>
        </w:rPr>
        <w:t xml:space="preserve">on between pupils’ mathematical self-efficacy and mathematical problem solving in the context of the teacher’s preferred pedagogies. Sustainability 12:10215. Doi: 10:3390/su122310215 </w:t>
      </w:r>
    </w:p>
    <w:p w:rsidR="005E7040" w:rsidRDefault="005E7040">
      <w:pPr>
        <w:tabs>
          <w:tab w:val="left" w:pos="3382"/>
          <w:tab w:val="center" w:pos="4320"/>
        </w:tabs>
        <w:spacing w:line="276" w:lineRule="auto"/>
        <w:ind w:left="720" w:hanging="720"/>
        <w:jc w:val="both"/>
        <w:rPr>
          <w:rFonts w:ascii="Arial" w:hAnsi="Arial" w:cs="Arial"/>
          <w:color w:val="000000"/>
        </w:rPr>
      </w:pPr>
    </w:p>
    <w:p w:rsidR="005E7040" w:rsidRDefault="00A94247" w:rsidP="0031103F">
      <w:pPr>
        <w:pStyle w:val="NoSpacing"/>
        <w:numPr>
          <w:ilvl w:val="0"/>
          <w:numId w:val="3"/>
        </w:numPr>
        <w:spacing w:after="160" w:line="276" w:lineRule="auto"/>
        <w:jc w:val="both"/>
        <w:rPr>
          <w:rStyle w:val="Hyperlink"/>
          <w:rFonts w:ascii="Arial" w:hAnsi="Arial" w:cs="Arial"/>
          <w:color w:val="00B0F0"/>
          <w:sz w:val="20"/>
          <w:szCs w:val="20"/>
        </w:rPr>
      </w:pPr>
      <w:r>
        <w:rPr>
          <w:rFonts w:ascii="Arial" w:hAnsi="Arial" w:cs="Arial"/>
          <w:color w:val="000000"/>
          <w:sz w:val="20"/>
          <w:szCs w:val="20"/>
        </w:rPr>
        <w:t xml:space="preserve">Divide and Conquer: Enhancing Students 'Division Skills through Gamified Learning Strategies. </w:t>
      </w:r>
      <w:hyperlink r:id="rId17">
        <w:r>
          <w:rPr>
            <w:rStyle w:val="Hyperlink"/>
            <w:rFonts w:ascii="Arial" w:hAnsi="Arial" w:cs="Arial"/>
            <w:color w:val="00B0F0"/>
            <w:sz w:val="20"/>
            <w:szCs w:val="20"/>
          </w:rPr>
          <w:t>https://www.scribd.com</w:t>
        </w:r>
      </w:hyperlink>
    </w:p>
    <w:p w:rsidR="005E7040" w:rsidRDefault="00A94247" w:rsidP="0031103F">
      <w:pPr>
        <w:pStyle w:val="NoSpacing"/>
        <w:numPr>
          <w:ilvl w:val="0"/>
          <w:numId w:val="3"/>
        </w:numPr>
        <w:spacing w:after="160" w:line="276" w:lineRule="auto"/>
        <w:jc w:val="both"/>
        <w:rPr>
          <w:rStyle w:val="Hyperlink"/>
          <w:rFonts w:ascii="Arial" w:hAnsi="Arial" w:cs="Arial"/>
          <w:color w:val="000000"/>
          <w:sz w:val="20"/>
          <w:szCs w:val="20"/>
          <w:u w:val="none"/>
        </w:rPr>
      </w:pPr>
      <w:r>
        <w:rPr>
          <w:rStyle w:val="Hyperlink"/>
          <w:rFonts w:ascii="Arial" w:hAnsi="Arial" w:cs="Arial"/>
          <w:color w:val="000000"/>
          <w:sz w:val="20"/>
          <w:szCs w:val="20"/>
          <w:u w:val="none"/>
        </w:rPr>
        <w:t>Gao, X., &amp; Sullivan, P. (2019). Division is a foundational skill in Elementary Mathematics. Teac</w:t>
      </w:r>
      <w:r>
        <w:rPr>
          <w:rStyle w:val="Hyperlink"/>
          <w:rFonts w:ascii="Arial" w:hAnsi="Arial" w:cs="Arial"/>
          <w:color w:val="000000"/>
          <w:sz w:val="20"/>
          <w:szCs w:val="20"/>
          <w:u w:val="none"/>
        </w:rPr>
        <w:t xml:space="preserve">hers' perspectives and instructional practices. Journal of Mathematics Teacher Education, 22 (3), 247-266. https//doi.org/10.1007/s    10857-018-09407-1 </w:t>
      </w:r>
    </w:p>
    <w:p w:rsidR="005E7040" w:rsidRDefault="00A94247" w:rsidP="0031103F">
      <w:pPr>
        <w:pStyle w:val="NoSpacing"/>
        <w:numPr>
          <w:ilvl w:val="0"/>
          <w:numId w:val="3"/>
        </w:numPr>
        <w:spacing w:after="160" w:line="276" w:lineRule="auto"/>
        <w:jc w:val="both"/>
        <w:rPr>
          <w:rStyle w:val="Hyperlink"/>
          <w:rFonts w:ascii="Arial" w:hAnsi="Arial" w:cs="Arial"/>
          <w:color w:val="000000"/>
          <w:sz w:val="20"/>
          <w:szCs w:val="20"/>
          <w:u w:val="none"/>
        </w:rPr>
      </w:pPr>
      <w:r>
        <w:rPr>
          <w:rStyle w:val="Hyperlink"/>
          <w:rFonts w:ascii="Arial" w:hAnsi="Arial" w:cs="Arial"/>
          <w:color w:val="000000"/>
          <w:sz w:val="20"/>
          <w:szCs w:val="20"/>
          <w:u w:val="none"/>
        </w:rPr>
        <w:t>Gal, I., Nicholson, J., and Ridgway, J. (2023). A conceptual framework for civic statistics and its ed</w:t>
      </w:r>
      <w:r>
        <w:rPr>
          <w:rStyle w:val="Hyperlink"/>
          <w:rFonts w:ascii="Arial" w:hAnsi="Arial" w:cs="Arial"/>
          <w:color w:val="000000"/>
          <w:sz w:val="20"/>
          <w:szCs w:val="20"/>
          <w:u w:val="none"/>
        </w:rPr>
        <w:t>ucational applications. In statistics for Empowerment and Social Engagement: Teaching Civic Statistics to Develop Informed Citizens (pp. 37-66). Cham: Springer International Publishing.</w:t>
      </w:r>
    </w:p>
    <w:p w:rsidR="005E7040" w:rsidRDefault="00A94247" w:rsidP="0031103F">
      <w:pPr>
        <w:pStyle w:val="NoSpacing"/>
        <w:numPr>
          <w:ilvl w:val="0"/>
          <w:numId w:val="3"/>
        </w:numPr>
        <w:spacing w:after="160" w:line="276" w:lineRule="auto"/>
        <w:jc w:val="both"/>
        <w:rPr>
          <w:rStyle w:val="Hyperlink"/>
          <w:rFonts w:ascii="Arial" w:hAnsi="Arial" w:cs="Arial"/>
          <w:color w:val="000000"/>
          <w:sz w:val="20"/>
          <w:szCs w:val="20"/>
          <w:u w:val="none"/>
        </w:rPr>
      </w:pPr>
      <w:proofErr w:type="spellStart"/>
      <w:r>
        <w:rPr>
          <w:rStyle w:val="Hyperlink"/>
          <w:rFonts w:ascii="Arial" w:hAnsi="Arial" w:cs="Arial"/>
          <w:color w:val="000000"/>
          <w:sz w:val="20"/>
          <w:szCs w:val="20"/>
          <w:u w:val="none"/>
        </w:rPr>
        <w:t>Hadaming</w:t>
      </w:r>
      <w:proofErr w:type="spellEnd"/>
      <w:r>
        <w:rPr>
          <w:rStyle w:val="Hyperlink"/>
          <w:rFonts w:ascii="Arial" w:hAnsi="Arial" w:cs="Arial"/>
          <w:color w:val="000000"/>
          <w:sz w:val="20"/>
          <w:szCs w:val="20"/>
          <w:u w:val="none"/>
        </w:rPr>
        <w:t xml:space="preserve">, H., &amp; </w:t>
      </w:r>
      <w:proofErr w:type="spellStart"/>
      <w:r>
        <w:rPr>
          <w:rStyle w:val="Hyperlink"/>
          <w:rFonts w:ascii="Arial" w:hAnsi="Arial" w:cs="Arial"/>
          <w:color w:val="000000"/>
          <w:sz w:val="20"/>
          <w:szCs w:val="20"/>
          <w:u w:val="none"/>
        </w:rPr>
        <w:t>Wahyudi</w:t>
      </w:r>
      <w:proofErr w:type="spellEnd"/>
      <w:r>
        <w:rPr>
          <w:rStyle w:val="Hyperlink"/>
          <w:rFonts w:ascii="Arial" w:hAnsi="Arial" w:cs="Arial"/>
          <w:color w:val="000000"/>
          <w:sz w:val="20"/>
          <w:szCs w:val="20"/>
          <w:u w:val="none"/>
        </w:rPr>
        <w:t>, A. A. (2022). Analysis of Student Errors Base</w:t>
      </w:r>
      <w:r>
        <w:rPr>
          <w:rStyle w:val="Hyperlink"/>
          <w:rFonts w:ascii="Arial" w:hAnsi="Arial" w:cs="Arial"/>
          <w:color w:val="000000"/>
          <w:sz w:val="20"/>
          <w:szCs w:val="20"/>
          <w:u w:val="none"/>
        </w:rPr>
        <w:t>d on Newman's Theory in Solving Elementary School Mathematics Word Problems. JUDIKDAS: Indonesian Journal of Basic Education, 1(4), 213–220.</w:t>
      </w:r>
    </w:p>
    <w:p w:rsidR="005E7040" w:rsidRDefault="00A94247" w:rsidP="0031103F">
      <w:pPr>
        <w:pStyle w:val="NoSpacing"/>
        <w:numPr>
          <w:ilvl w:val="0"/>
          <w:numId w:val="3"/>
        </w:numPr>
        <w:spacing w:after="160" w:line="276" w:lineRule="auto"/>
        <w:jc w:val="both"/>
        <w:rPr>
          <w:rStyle w:val="Hyperlink"/>
          <w:rFonts w:ascii="Arial" w:hAnsi="Arial" w:cs="Arial"/>
          <w:color w:val="000000"/>
          <w:sz w:val="20"/>
          <w:szCs w:val="20"/>
          <w:u w:val="none"/>
        </w:rPr>
      </w:pPr>
      <w:r>
        <w:rPr>
          <w:rStyle w:val="Hyperlink"/>
          <w:rFonts w:ascii="Arial" w:hAnsi="Arial" w:cs="Arial"/>
          <w:color w:val="000000"/>
          <w:sz w:val="20"/>
          <w:szCs w:val="20"/>
          <w:highlight w:val="yellow"/>
          <w:u w:val="none"/>
        </w:rPr>
        <w:t xml:space="preserve">Hsiao, H.-S., Lin, </w:t>
      </w:r>
      <w:proofErr w:type="gramStart"/>
      <w:r>
        <w:rPr>
          <w:rStyle w:val="Hyperlink"/>
          <w:rFonts w:ascii="Arial" w:hAnsi="Arial" w:cs="Arial"/>
          <w:color w:val="000000"/>
          <w:sz w:val="20"/>
          <w:szCs w:val="20"/>
          <w:highlight w:val="yellow"/>
          <w:u w:val="none"/>
        </w:rPr>
        <w:t>C,-</w:t>
      </w:r>
      <w:proofErr w:type="gramEnd"/>
      <w:r>
        <w:rPr>
          <w:rStyle w:val="Hyperlink"/>
          <w:rFonts w:ascii="Arial" w:hAnsi="Arial" w:cs="Arial"/>
          <w:color w:val="000000"/>
          <w:sz w:val="20"/>
          <w:szCs w:val="20"/>
          <w:highlight w:val="yellow"/>
          <w:u w:val="none"/>
        </w:rPr>
        <w:t>Y., Chen, J.-C., and Peng, Y.-F.(2018).</w:t>
      </w:r>
      <w:r>
        <w:rPr>
          <w:rStyle w:val="Hyperlink"/>
          <w:rFonts w:ascii="Arial" w:hAnsi="Arial" w:cs="Arial"/>
          <w:color w:val="000000"/>
          <w:sz w:val="20"/>
          <w:szCs w:val="20"/>
          <w:u w:val="none"/>
        </w:rPr>
        <w:t xml:space="preserve"> The influence of a mathematics problem-solving traini</w:t>
      </w:r>
      <w:r>
        <w:rPr>
          <w:rStyle w:val="Hyperlink"/>
          <w:rFonts w:ascii="Arial" w:hAnsi="Arial" w:cs="Arial"/>
          <w:color w:val="000000"/>
          <w:sz w:val="20"/>
          <w:szCs w:val="20"/>
          <w:u w:val="none"/>
        </w:rPr>
        <w:t>ng system on first-year middle school students. Eurasia J. Math. Sci. Technol. Educ. 14,77 93. Doi: 10.12973/</w:t>
      </w:r>
      <w:proofErr w:type="spellStart"/>
      <w:r>
        <w:rPr>
          <w:rStyle w:val="Hyperlink"/>
          <w:rFonts w:ascii="Arial" w:hAnsi="Arial" w:cs="Arial"/>
          <w:color w:val="000000"/>
          <w:sz w:val="20"/>
          <w:szCs w:val="20"/>
          <w:u w:val="none"/>
        </w:rPr>
        <w:t>ejmste</w:t>
      </w:r>
      <w:proofErr w:type="spellEnd"/>
      <w:r>
        <w:rPr>
          <w:rStyle w:val="Hyperlink"/>
          <w:rFonts w:ascii="Arial" w:hAnsi="Arial" w:cs="Arial"/>
          <w:color w:val="000000"/>
          <w:sz w:val="20"/>
          <w:szCs w:val="20"/>
          <w:u w:val="none"/>
        </w:rPr>
        <w:t>/77902</w:t>
      </w:r>
    </w:p>
    <w:p w:rsidR="005E7040" w:rsidRDefault="00A94247" w:rsidP="0031103F">
      <w:pPr>
        <w:pStyle w:val="ListParagraph"/>
        <w:numPr>
          <w:ilvl w:val="0"/>
          <w:numId w:val="3"/>
        </w:numPr>
        <w:spacing w:line="276" w:lineRule="auto"/>
        <w:jc w:val="both"/>
      </w:pPr>
      <w:proofErr w:type="spellStart"/>
      <w:r w:rsidRPr="0031103F">
        <w:rPr>
          <w:rStyle w:val="Hyperlink"/>
          <w:rFonts w:ascii="Arial" w:hAnsi="Arial"/>
          <w:color w:val="000000"/>
          <w:u w:val="none"/>
        </w:rPr>
        <w:t>Jagonoy</w:t>
      </w:r>
      <w:proofErr w:type="spellEnd"/>
      <w:r w:rsidRPr="0031103F">
        <w:rPr>
          <w:rStyle w:val="Hyperlink"/>
          <w:rFonts w:ascii="Arial" w:hAnsi="Arial"/>
          <w:color w:val="000000"/>
          <w:u w:val="none"/>
        </w:rPr>
        <w:t xml:space="preserve">, S. T., Pepito, G. N., Ponce, R. F., </w:t>
      </w:r>
      <w:proofErr w:type="spellStart"/>
      <w:r w:rsidRPr="0031103F">
        <w:rPr>
          <w:rStyle w:val="Hyperlink"/>
          <w:rFonts w:ascii="Arial" w:hAnsi="Arial"/>
          <w:color w:val="000000"/>
          <w:u w:val="none"/>
        </w:rPr>
        <w:t>Sua</w:t>
      </w:r>
      <w:proofErr w:type="spellEnd"/>
      <w:r w:rsidRPr="0031103F">
        <w:rPr>
          <w:rStyle w:val="Hyperlink"/>
          <w:rFonts w:ascii="Arial" w:hAnsi="Arial"/>
          <w:color w:val="000000"/>
          <w:u w:val="none"/>
        </w:rPr>
        <w:t xml:space="preserve">, H. A. G., &amp; </w:t>
      </w:r>
      <w:proofErr w:type="spellStart"/>
      <w:r w:rsidRPr="0031103F">
        <w:rPr>
          <w:rStyle w:val="Hyperlink"/>
          <w:rFonts w:ascii="Arial" w:hAnsi="Arial"/>
          <w:color w:val="000000"/>
          <w:u w:val="none"/>
        </w:rPr>
        <w:t>Casane</w:t>
      </w:r>
      <w:proofErr w:type="spellEnd"/>
      <w:r w:rsidRPr="0031103F">
        <w:rPr>
          <w:rStyle w:val="Hyperlink"/>
          <w:rFonts w:ascii="Arial" w:hAnsi="Arial"/>
          <w:color w:val="000000"/>
          <w:u w:val="none"/>
        </w:rPr>
        <w:t>, L. L. (2026). Enhancing Reading Comprehension through Think-Pair</w:t>
      </w:r>
      <w:r w:rsidRPr="0031103F">
        <w:rPr>
          <w:rStyle w:val="Hyperlink"/>
          <w:rFonts w:ascii="Arial" w:hAnsi="Arial"/>
          <w:color w:val="000000"/>
          <w:u w:val="none"/>
        </w:rPr>
        <w:t xml:space="preserve">-Share in the Grade 5 Pupils of </w:t>
      </w:r>
      <w:proofErr w:type="spellStart"/>
      <w:r w:rsidRPr="0031103F">
        <w:rPr>
          <w:rStyle w:val="Hyperlink"/>
          <w:rFonts w:ascii="Arial" w:hAnsi="Arial"/>
          <w:color w:val="000000"/>
          <w:u w:val="none"/>
        </w:rPr>
        <w:t>Catigbian</w:t>
      </w:r>
      <w:proofErr w:type="spellEnd"/>
      <w:r w:rsidRPr="0031103F">
        <w:rPr>
          <w:rStyle w:val="Hyperlink"/>
          <w:rFonts w:ascii="Arial" w:hAnsi="Arial"/>
          <w:color w:val="000000"/>
          <w:u w:val="none"/>
        </w:rPr>
        <w:t xml:space="preserve"> Elementary School. Asian Journal of Arts, Humanities and Social Studies, 9(1), 121– 128. </w:t>
      </w:r>
      <w:hyperlink>
        <w:r w:rsidRPr="0031103F">
          <w:rPr>
            <w:rStyle w:val="Hyperlink"/>
            <w:rFonts w:ascii="Arial" w:hAnsi="Arial"/>
            <w:color w:val="000000"/>
            <w:u w:val="none"/>
          </w:rPr>
          <w:t>https://doi.org/10.56557/ajahss/2026/v9i1103</w:t>
        </w:r>
      </w:hyperlink>
    </w:p>
    <w:p w:rsidR="005E7040" w:rsidRDefault="005E7040" w:rsidP="0031103F">
      <w:pPr>
        <w:spacing w:line="276" w:lineRule="auto"/>
        <w:ind w:left="964" w:hanging="904"/>
        <w:jc w:val="both"/>
        <w:rPr>
          <w:rFonts w:ascii="Arial" w:hAnsi="Arial"/>
        </w:rPr>
      </w:pPr>
    </w:p>
    <w:p w:rsidR="005E7040" w:rsidRDefault="00A94247" w:rsidP="0031103F">
      <w:pPr>
        <w:pStyle w:val="NoSpacing"/>
        <w:numPr>
          <w:ilvl w:val="0"/>
          <w:numId w:val="3"/>
        </w:numPr>
        <w:spacing w:after="160" w:line="276" w:lineRule="auto"/>
        <w:jc w:val="both"/>
        <w:rPr>
          <w:rStyle w:val="Hyperlink"/>
          <w:rFonts w:ascii="Arial" w:hAnsi="Arial" w:cs="Arial"/>
          <w:color w:val="000000"/>
          <w:sz w:val="20"/>
          <w:szCs w:val="20"/>
          <w:u w:val="none"/>
        </w:rPr>
      </w:pPr>
      <w:proofErr w:type="spellStart"/>
      <w:r>
        <w:rPr>
          <w:rStyle w:val="Hyperlink"/>
          <w:rFonts w:ascii="Arial" w:hAnsi="Arial" w:cs="Arial"/>
          <w:color w:val="000000"/>
          <w:sz w:val="20"/>
          <w:szCs w:val="20"/>
          <w:u w:val="none"/>
        </w:rPr>
        <w:t>Kitto</w:t>
      </w:r>
      <w:proofErr w:type="spellEnd"/>
      <w:r>
        <w:rPr>
          <w:rStyle w:val="Hyperlink"/>
          <w:rFonts w:ascii="Arial" w:hAnsi="Arial" w:cs="Arial"/>
          <w:color w:val="000000"/>
          <w:sz w:val="20"/>
          <w:szCs w:val="20"/>
          <w:u w:val="none"/>
        </w:rPr>
        <w:t xml:space="preserve">, K., Hicks, B., and Buckingham Shum, </w:t>
      </w:r>
      <w:proofErr w:type="gramStart"/>
      <w:r>
        <w:rPr>
          <w:rStyle w:val="Hyperlink"/>
          <w:rFonts w:ascii="Arial" w:hAnsi="Arial" w:cs="Arial"/>
          <w:color w:val="000000"/>
          <w:sz w:val="20"/>
          <w:szCs w:val="20"/>
          <w:u w:val="none"/>
        </w:rPr>
        <w:t>S.,(</w:t>
      </w:r>
      <w:proofErr w:type="gramEnd"/>
      <w:r>
        <w:rPr>
          <w:rStyle w:val="Hyperlink"/>
          <w:rFonts w:ascii="Arial" w:hAnsi="Arial" w:cs="Arial"/>
          <w:color w:val="000000"/>
          <w:sz w:val="20"/>
          <w:szCs w:val="20"/>
          <w:u w:val="none"/>
        </w:rPr>
        <w:t>2023). Using c</w:t>
      </w:r>
      <w:r>
        <w:rPr>
          <w:rStyle w:val="Hyperlink"/>
          <w:rFonts w:ascii="Arial" w:hAnsi="Arial" w:cs="Arial"/>
          <w:color w:val="000000"/>
          <w:sz w:val="20"/>
          <w:szCs w:val="20"/>
          <w:u w:val="none"/>
        </w:rPr>
        <w:t>ausal models to bridge the divide between big data and educational theory. British Journal of Educational Technology, 54(5), 1095-1124</w:t>
      </w:r>
    </w:p>
    <w:p w:rsidR="005E7040" w:rsidRDefault="00A94247" w:rsidP="0031103F">
      <w:pPr>
        <w:pStyle w:val="NoSpacing"/>
        <w:numPr>
          <w:ilvl w:val="0"/>
          <w:numId w:val="3"/>
        </w:numPr>
        <w:spacing w:after="160" w:line="276" w:lineRule="auto"/>
        <w:jc w:val="both"/>
        <w:rPr>
          <w:rStyle w:val="Hyperlink"/>
          <w:rFonts w:ascii="Arial" w:hAnsi="Arial" w:cs="Arial"/>
          <w:color w:val="000000"/>
          <w:sz w:val="20"/>
          <w:szCs w:val="20"/>
          <w:u w:val="none"/>
        </w:rPr>
      </w:pPr>
      <w:proofErr w:type="spellStart"/>
      <w:r>
        <w:rPr>
          <w:rStyle w:val="Hyperlink"/>
          <w:rFonts w:ascii="Arial" w:hAnsi="Arial" w:cs="Arial"/>
          <w:color w:val="000000"/>
          <w:sz w:val="20"/>
          <w:szCs w:val="20"/>
          <w:highlight w:val="yellow"/>
          <w:u w:val="none"/>
        </w:rPr>
        <w:t>Klang</w:t>
      </w:r>
      <w:proofErr w:type="spellEnd"/>
      <w:r>
        <w:rPr>
          <w:rStyle w:val="Hyperlink"/>
          <w:rFonts w:ascii="Arial" w:hAnsi="Arial" w:cs="Arial"/>
          <w:color w:val="000000"/>
          <w:sz w:val="20"/>
          <w:szCs w:val="20"/>
          <w:highlight w:val="yellow"/>
          <w:u w:val="none"/>
        </w:rPr>
        <w:t xml:space="preserve">, N., Karlsson, N., </w:t>
      </w:r>
      <w:proofErr w:type="spellStart"/>
      <w:r>
        <w:rPr>
          <w:rStyle w:val="Hyperlink"/>
          <w:rFonts w:ascii="Arial" w:hAnsi="Arial" w:cs="Arial"/>
          <w:color w:val="000000"/>
          <w:sz w:val="20"/>
          <w:szCs w:val="20"/>
          <w:highlight w:val="yellow"/>
          <w:u w:val="none"/>
        </w:rPr>
        <w:t>Kilborn</w:t>
      </w:r>
      <w:proofErr w:type="spellEnd"/>
      <w:r>
        <w:rPr>
          <w:rStyle w:val="Hyperlink"/>
          <w:rFonts w:ascii="Arial" w:hAnsi="Arial" w:cs="Arial"/>
          <w:color w:val="000000"/>
          <w:sz w:val="20"/>
          <w:szCs w:val="20"/>
          <w:highlight w:val="yellow"/>
          <w:u w:val="none"/>
        </w:rPr>
        <w:t>, W., Erikson, P., and Karlberg, M. (2021)</w:t>
      </w:r>
      <w:r>
        <w:rPr>
          <w:rStyle w:val="Hyperlink"/>
          <w:rFonts w:ascii="Arial" w:hAnsi="Arial" w:cs="Arial"/>
          <w:color w:val="000000"/>
          <w:sz w:val="20"/>
          <w:szCs w:val="20"/>
          <w:u w:val="none"/>
        </w:rPr>
        <w:t>. Mathematical Problem Solving through cooperat</w:t>
      </w:r>
      <w:r>
        <w:rPr>
          <w:rStyle w:val="Hyperlink"/>
          <w:rFonts w:ascii="Arial" w:hAnsi="Arial" w:cs="Arial"/>
          <w:color w:val="000000"/>
          <w:sz w:val="20"/>
          <w:szCs w:val="20"/>
          <w:u w:val="none"/>
        </w:rPr>
        <w:t>ive learning- the importance of peer acceptance and friendships. Front. Educ. 6:710296. Doi: 10.3389/feduc.2021.710296.</w:t>
      </w:r>
    </w:p>
    <w:p w:rsidR="005E7040" w:rsidRDefault="00A94247" w:rsidP="0031103F">
      <w:pPr>
        <w:pStyle w:val="NoSpacing"/>
        <w:numPr>
          <w:ilvl w:val="0"/>
          <w:numId w:val="3"/>
        </w:numPr>
        <w:spacing w:after="160" w:line="276" w:lineRule="auto"/>
        <w:jc w:val="both"/>
        <w:rPr>
          <w:rStyle w:val="Hyperlink"/>
          <w:rFonts w:ascii="Arial" w:hAnsi="Arial" w:cs="Arial"/>
          <w:color w:val="000000"/>
          <w:sz w:val="20"/>
          <w:szCs w:val="20"/>
          <w:u w:val="none"/>
        </w:rPr>
      </w:pPr>
      <w:proofErr w:type="spellStart"/>
      <w:r>
        <w:rPr>
          <w:rStyle w:val="Hyperlink"/>
          <w:rFonts w:ascii="Arial" w:hAnsi="Arial" w:cs="Arial"/>
          <w:color w:val="000000"/>
          <w:sz w:val="20"/>
          <w:szCs w:val="20"/>
          <w:u w:val="none"/>
        </w:rPr>
        <w:t>Mukminah</w:t>
      </w:r>
      <w:proofErr w:type="spellEnd"/>
      <w:r>
        <w:rPr>
          <w:rStyle w:val="Hyperlink"/>
          <w:rFonts w:ascii="Arial" w:hAnsi="Arial" w:cs="Arial"/>
          <w:color w:val="000000"/>
          <w:sz w:val="20"/>
          <w:szCs w:val="20"/>
          <w:u w:val="none"/>
        </w:rPr>
        <w:t xml:space="preserve">, </w:t>
      </w:r>
      <w:proofErr w:type="spellStart"/>
      <w:r>
        <w:rPr>
          <w:rStyle w:val="Hyperlink"/>
          <w:rFonts w:ascii="Arial" w:hAnsi="Arial" w:cs="Arial"/>
          <w:color w:val="000000"/>
          <w:sz w:val="20"/>
          <w:szCs w:val="20"/>
          <w:u w:val="none"/>
        </w:rPr>
        <w:t>Hirian</w:t>
      </w:r>
      <w:proofErr w:type="spellEnd"/>
      <w:r>
        <w:rPr>
          <w:rStyle w:val="Hyperlink"/>
          <w:rFonts w:ascii="Arial" w:hAnsi="Arial" w:cs="Arial"/>
          <w:color w:val="000000"/>
          <w:sz w:val="20"/>
          <w:szCs w:val="20"/>
          <w:u w:val="none"/>
        </w:rPr>
        <w:t xml:space="preserve">, &amp; </w:t>
      </w:r>
      <w:proofErr w:type="spellStart"/>
      <w:r>
        <w:rPr>
          <w:rStyle w:val="Hyperlink"/>
          <w:rFonts w:ascii="Arial" w:hAnsi="Arial" w:cs="Arial"/>
          <w:color w:val="000000"/>
          <w:sz w:val="20"/>
          <w:szCs w:val="20"/>
          <w:u w:val="none"/>
        </w:rPr>
        <w:t>Sriyani</w:t>
      </w:r>
      <w:proofErr w:type="spellEnd"/>
      <w:r>
        <w:rPr>
          <w:rStyle w:val="Hyperlink"/>
          <w:rFonts w:ascii="Arial" w:hAnsi="Arial" w:cs="Arial"/>
          <w:color w:val="000000"/>
          <w:sz w:val="20"/>
          <w:szCs w:val="20"/>
          <w:u w:val="none"/>
        </w:rPr>
        <w:t xml:space="preserve">. (2021). </w:t>
      </w:r>
      <w:proofErr w:type="spellStart"/>
      <w:proofErr w:type="gramStart"/>
      <w:r>
        <w:rPr>
          <w:rStyle w:val="Hyperlink"/>
          <w:rFonts w:ascii="Arial" w:hAnsi="Arial" w:cs="Arial"/>
          <w:color w:val="000000"/>
          <w:sz w:val="20"/>
          <w:szCs w:val="20"/>
          <w:u w:val="none"/>
        </w:rPr>
        <w:t>Analisis</w:t>
      </w:r>
      <w:proofErr w:type="spellEnd"/>
      <w:r>
        <w:rPr>
          <w:rStyle w:val="Hyperlink"/>
          <w:rFonts w:ascii="Arial" w:hAnsi="Arial" w:cs="Arial"/>
          <w:color w:val="000000"/>
          <w:sz w:val="20"/>
          <w:szCs w:val="20"/>
          <w:u w:val="none"/>
        </w:rPr>
        <w:t xml:space="preserve">  </w:t>
      </w:r>
      <w:proofErr w:type="spellStart"/>
      <w:r>
        <w:rPr>
          <w:rStyle w:val="Hyperlink"/>
          <w:rFonts w:ascii="Arial" w:hAnsi="Arial" w:cs="Arial"/>
          <w:color w:val="000000"/>
          <w:sz w:val="20"/>
          <w:szCs w:val="20"/>
          <w:u w:val="none"/>
        </w:rPr>
        <w:t>kesulitan</w:t>
      </w:r>
      <w:proofErr w:type="spellEnd"/>
      <w:proofErr w:type="gramEnd"/>
      <w:r>
        <w:rPr>
          <w:rStyle w:val="Hyperlink"/>
          <w:rFonts w:ascii="Arial" w:hAnsi="Arial" w:cs="Arial"/>
          <w:color w:val="000000"/>
          <w:sz w:val="20"/>
          <w:szCs w:val="20"/>
          <w:u w:val="none"/>
        </w:rPr>
        <w:t xml:space="preserve"> </w:t>
      </w:r>
      <w:proofErr w:type="spellStart"/>
      <w:r>
        <w:rPr>
          <w:rStyle w:val="Hyperlink"/>
          <w:rFonts w:ascii="Arial" w:hAnsi="Arial" w:cs="Arial"/>
          <w:color w:val="000000"/>
          <w:sz w:val="20"/>
          <w:szCs w:val="20"/>
          <w:u w:val="none"/>
        </w:rPr>
        <w:t>belajar</w:t>
      </w:r>
      <w:proofErr w:type="spellEnd"/>
      <w:r>
        <w:rPr>
          <w:rStyle w:val="Hyperlink"/>
          <w:rFonts w:ascii="Arial" w:hAnsi="Arial" w:cs="Arial"/>
          <w:color w:val="000000"/>
          <w:sz w:val="20"/>
          <w:szCs w:val="20"/>
          <w:u w:val="none"/>
        </w:rPr>
        <w:t xml:space="preserve"> </w:t>
      </w:r>
      <w:proofErr w:type="spellStart"/>
      <w:r>
        <w:rPr>
          <w:rStyle w:val="Hyperlink"/>
          <w:rFonts w:ascii="Arial" w:hAnsi="Arial" w:cs="Arial"/>
          <w:color w:val="000000"/>
          <w:sz w:val="20"/>
          <w:szCs w:val="20"/>
          <w:u w:val="none"/>
        </w:rPr>
        <w:t>berhitung</w:t>
      </w:r>
      <w:proofErr w:type="spellEnd"/>
      <w:r>
        <w:rPr>
          <w:rStyle w:val="Hyperlink"/>
          <w:rFonts w:ascii="Arial" w:hAnsi="Arial" w:cs="Arial"/>
          <w:color w:val="000000"/>
          <w:sz w:val="20"/>
          <w:szCs w:val="20"/>
          <w:u w:val="none"/>
        </w:rPr>
        <w:t xml:space="preserve"> </w:t>
      </w:r>
      <w:proofErr w:type="spellStart"/>
      <w:r>
        <w:rPr>
          <w:rStyle w:val="Hyperlink"/>
          <w:rFonts w:ascii="Arial" w:hAnsi="Arial" w:cs="Arial"/>
          <w:color w:val="000000"/>
          <w:sz w:val="20"/>
          <w:szCs w:val="20"/>
          <w:u w:val="none"/>
        </w:rPr>
        <w:t>siswa</w:t>
      </w:r>
      <w:proofErr w:type="spellEnd"/>
      <w:r>
        <w:rPr>
          <w:rStyle w:val="Hyperlink"/>
          <w:rFonts w:ascii="Arial" w:hAnsi="Arial" w:cs="Arial"/>
          <w:color w:val="000000"/>
          <w:sz w:val="20"/>
          <w:szCs w:val="20"/>
          <w:u w:val="none"/>
        </w:rPr>
        <w:t xml:space="preserve">   pada </w:t>
      </w:r>
      <w:proofErr w:type="spellStart"/>
      <w:r>
        <w:rPr>
          <w:rStyle w:val="Hyperlink"/>
          <w:rFonts w:ascii="Arial" w:hAnsi="Arial" w:cs="Arial"/>
          <w:color w:val="000000"/>
          <w:sz w:val="20"/>
          <w:szCs w:val="20"/>
          <w:u w:val="none"/>
        </w:rPr>
        <w:t>mata</w:t>
      </w:r>
      <w:proofErr w:type="spellEnd"/>
      <w:r>
        <w:rPr>
          <w:rStyle w:val="Hyperlink"/>
          <w:rFonts w:ascii="Arial" w:hAnsi="Arial" w:cs="Arial"/>
          <w:color w:val="000000"/>
          <w:sz w:val="20"/>
          <w:szCs w:val="20"/>
          <w:u w:val="none"/>
        </w:rPr>
        <w:t xml:space="preserve"> </w:t>
      </w:r>
      <w:proofErr w:type="spellStart"/>
      <w:r>
        <w:rPr>
          <w:rStyle w:val="Hyperlink"/>
          <w:rFonts w:ascii="Arial" w:hAnsi="Arial" w:cs="Arial"/>
          <w:color w:val="000000"/>
          <w:sz w:val="20"/>
          <w:szCs w:val="20"/>
          <w:u w:val="none"/>
        </w:rPr>
        <w:t>pelajaran</w:t>
      </w:r>
      <w:proofErr w:type="spellEnd"/>
      <w:r>
        <w:rPr>
          <w:rStyle w:val="Hyperlink"/>
          <w:rFonts w:ascii="Arial" w:hAnsi="Arial" w:cs="Arial"/>
          <w:color w:val="000000"/>
          <w:sz w:val="20"/>
          <w:szCs w:val="20"/>
          <w:u w:val="none"/>
        </w:rPr>
        <w:t xml:space="preserve"> </w:t>
      </w:r>
      <w:proofErr w:type="spellStart"/>
      <w:r>
        <w:rPr>
          <w:rStyle w:val="Hyperlink"/>
          <w:rFonts w:ascii="Arial" w:hAnsi="Arial" w:cs="Arial"/>
          <w:color w:val="000000"/>
          <w:sz w:val="20"/>
          <w:szCs w:val="20"/>
          <w:u w:val="none"/>
        </w:rPr>
        <w:t>matematika</w:t>
      </w:r>
      <w:proofErr w:type="spellEnd"/>
      <w:r>
        <w:rPr>
          <w:rStyle w:val="Hyperlink"/>
          <w:rFonts w:ascii="Arial" w:hAnsi="Arial" w:cs="Arial"/>
          <w:color w:val="000000"/>
          <w:sz w:val="20"/>
          <w:szCs w:val="20"/>
          <w:u w:val="none"/>
        </w:rPr>
        <w:t xml:space="preserve"> </w:t>
      </w:r>
      <w:proofErr w:type="spellStart"/>
      <w:r>
        <w:rPr>
          <w:rStyle w:val="Hyperlink"/>
          <w:rFonts w:ascii="Arial" w:hAnsi="Arial" w:cs="Arial"/>
          <w:color w:val="000000"/>
          <w:sz w:val="20"/>
          <w:szCs w:val="20"/>
          <w:u w:val="none"/>
        </w:rPr>
        <w:t>kelas</w:t>
      </w:r>
      <w:proofErr w:type="spellEnd"/>
      <w:r>
        <w:rPr>
          <w:rStyle w:val="Hyperlink"/>
          <w:rFonts w:ascii="Arial" w:hAnsi="Arial" w:cs="Arial"/>
          <w:color w:val="000000"/>
          <w:sz w:val="20"/>
          <w:szCs w:val="20"/>
          <w:u w:val="none"/>
        </w:rPr>
        <w:t xml:space="preserve">  IV SDN 1 </w:t>
      </w:r>
      <w:proofErr w:type="spellStart"/>
      <w:r>
        <w:rPr>
          <w:rStyle w:val="Hyperlink"/>
          <w:rFonts w:ascii="Arial" w:hAnsi="Arial" w:cs="Arial"/>
          <w:color w:val="000000"/>
          <w:sz w:val="20"/>
          <w:szCs w:val="20"/>
          <w:u w:val="none"/>
        </w:rPr>
        <w:t>Anyar</w:t>
      </w:r>
      <w:proofErr w:type="spellEnd"/>
      <w:r>
        <w:rPr>
          <w:rStyle w:val="Hyperlink"/>
          <w:rFonts w:ascii="Arial" w:hAnsi="Arial" w:cs="Arial"/>
          <w:color w:val="000000"/>
          <w:sz w:val="20"/>
          <w:szCs w:val="20"/>
          <w:u w:val="none"/>
        </w:rPr>
        <w:t xml:space="preserve"> </w:t>
      </w:r>
      <w:r>
        <w:rPr>
          <w:rStyle w:val="Hyperlink"/>
          <w:rFonts w:ascii="Arial" w:hAnsi="Arial" w:cs="Arial"/>
          <w:color w:val="000000"/>
          <w:sz w:val="20"/>
          <w:szCs w:val="20"/>
          <w:u w:val="none"/>
        </w:rPr>
        <w:t>(Vol. 1, Issue 1).</w:t>
      </w:r>
      <w:r>
        <w:rPr>
          <w:rStyle w:val="Hyperlink"/>
          <w:rFonts w:ascii="Arial" w:hAnsi="Arial" w:cs="Arial"/>
          <w:color w:val="000000"/>
          <w:sz w:val="20"/>
          <w:szCs w:val="20"/>
        </w:rPr>
        <w:t xml:space="preserve"> </w:t>
      </w:r>
      <w:hyperlink r:id="rId18">
        <w:r>
          <w:rPr>
            <w:rStyle w:val="Hyperlink"/>
            <w:rFonts w:ascii="Arial" w:hAnsi="Arial" w:cs="Arial"/>
            <w:color w:val="00B0F0"/>
            <w:sz w:val="20"/>
            <w:szCs w:val="20"/>
          </w:rPr>
          <w:t>https://unu-ntb-e-jounal.id/pacu</w:t>
        </w:r>
      </w:hyperlink>
      <w:r>
        <w:rPr>
          <w:rStyle w:val="Hyperlink"/>
          <w:rFonts w:ascii="Arial" w:hAnsi="Arial" w:cs="Arial"/>
          <w:color w:val="00B0F0"/>
          <w:sz w:val="20"/>
          <w:szCs w:val="20"/>
        </w:rPr>
        <w:t xml:space="preserve"> </w:t>
      </w:r>
      <w:r>
        <w:rPr>
          <w:rStyle w:val="Hyperlink"/>
          <w:rFonts w:ascii="Arial" w:hAnsi="Arial" w:cs="Arial"/>
          <w:color w:val="000000"/>
          <w:sz w:val="20"/>
          <w:szCs w:val="20"/>
        </w:rPr>
        <w:t xml:space="preserve"> </w:t>
      </w:r>
    </w:p>
    <w:p w:rsidR="005E7040" w:rsidRDefault="00A94247" w:rsidP="0031103F">
      <w:pPr>
        <w:pStyle w:val="NoSpacing"/>
        <w:numPr>
          <w:ilvl w:val="0"/>
          <w:numId w:val="3"/>
        </w:numPr>
        <w:spacing w:after="160" w:line="276" w:lineRule="auto"/>
        <w:jc w:val="both"/>
        <w:rPr>
          <w:rStyle w:val="Hyperlink"/>
          <w:rFonts w:ascii="Arial" w:hAnsi="Arial" w:cs="Arial"/>
          <w:color w:val="000000"/>
          <w:sz w:val="20"/>
          <w:szCs w:val="20"/>
          <w:u w:val="none"/>
        </w:rPr>
      </w:pPr>
      <w:proofErr w:type="spellStart"/>
      <w:r>
        <w:rPr>
          <w:rStyle w:val="Hyperlink"/>
          <w:rFonts w:ascii="Arial" w:hAnsi="Arial" w:cs="Arial"/>
          <w:color w:val="000000"/>
          <w:sz w:val="20"/>
          <w:szCs w:val="20"/>
          <w:highlight w:val="yellow"/>
          <w:u w:val="none"/>
        </w:rPr>
        <w:lastRenderedPageBreak/>
        <w:t>Nadarajan</w:t>
      </w:r>
      <w:proofErr w:type="spellEnd"/>
      <w:r>
        <w:rPr>
          <w:rStyle w:val="Hyperlink"/>
          <w:rFonts w:ascii="Arial" w:hAnsi="Arial" w:cs="Arial"/>
          <w:color w:val="000000"/>
          <w:sz w:val="20"/>
          <w:szCs w:val="20"/>
          <w:highlight w:val="yellow"/>
          <w:u w:val="none"/>
        </w:rPr>
        <w:t xml:space="preserve">, K., Abdullah, A. H., </w:t>
      </w:r>
      <w:proofErr w:type="spellStart"/>
      <w:r>
        <w:rPr>
          <w:rStyle w:val="Hyperlink"/>
          <w:rFonts w:ascii="Arial" w:hAnsi="Arial" w:cs="Arial"/>
          <w:color w:val="000000"/>
          <w:sz w:val="20"/>
          <w:szCs w:val="20"/>
          <w:highlight w:val="yellow"/>
          <w:u w:val="none"/>
        </w:rPr>
        <w:t>Alhassora</w:t>
      </w:r>
      <w:proofErr w:type="spellEnd"/>
      <w:r>
        <w:rPr>
          <w:rStyle w:val="Hyperlink"/>
          <w:rFonts w:ascii="Arial" w:hAnsi="Arial" w:cs="Arial"/>
          <w:color w:val="000000"/>
          <w:sz w:val="20"/>
          <w:szCs w:val="20"/>
          <w:highlight w:val="yellow"/>
          <w:u w:val="none"/>
        </w:rPr>
        <w:t xml:space="preserve">, N. S. A., Ibrahim, N. H., </w:t>
      </w:r>
      <w:proofErr w:type="spellStart"/>
      <w:r>
        <w:rPr>
          <w:rStyle w:val="Hyperlink"/>
          <w:rFonts w:ascii="Arial" w:hAnsi="Arial" w:cs="Arial"/>
          <w:color w:val="000000"/>
          <w:sz w:val="20"/>
          <w:szCs w:val="20"/>
          <w:highlight w:val="yellow"/>
          <w:u w:val="none"/>
        </w:rPr>
        <w:t>Surif</w:t>
      </w:r>
      <w:proofErr w:type="spellEnd"/>
      <w:r>
        <w:rPr>
          <w:rStyle w:val="Hyperlink"/>
          <w:rFonts w:ascii="Arial" w:hAnsi="Arial" w:cs="Arial"/>
          <w:color w:val="000000"/>
          <w:sz w:val="20"/>
          <w:szCs w:val="20"/>
          <w:highlight w:val="yellow"/>
          <w:u w:val="none"/>
        </w:rPr>
        <w:t xml:space="preserve">, J., Ali, D. F., </w:t>
      </w:r>
      <w:proofErr w:type="spellStart"/>
      <w:r>
        <w:rPr>
          <w:rStyle w:val="Hyperlink"/>
          <w:rFonts w:ascii="Arial" w:hAnsi="Arial" w:cs="Arial"/>
          <w:color w:val="000000"/>
          <w:sz w:val="20"/>
          <w:szCs w:val="20"/>
          <w:highlight w:val="yellow"/>
          <w:u w:val="none"/>
        </w:rPr>
        <w:t>Mohd</w:t>
      </w:r>
      <w:proofErr w:type="spellEnd"/>
      <w:r>
        <w:rPr>
          <w:rStyle w:val="Hyperlink"/>
          <w:rFonts w:ascii="Arial" w:hAnsi="Arial" w:cs="Arial"/>
          <w:color w:val="000000"/>
          <w:sz w:val="20"/>
          <w:szCs w:val="20"/>
          <w:highlight w:val="yellow"/>
          <w:u w:val="none"/>
        </w:rPr>
        <w:t xml:space="preserve"> Zaid, N., Hamzah, M. H. (2023).</w:t>
      </w:r>
      <w:r>
        <w:rPr>
          <w:rStyle w:val="Hyperlink"/>
          <w:rFonts w:ascii="Arial" w:hAnsi="Arial" w:cs="Arial"/>
          <w:color w:val="000000"/>
          <w:sz w:val="20"/>
          <w:szCs w:val="20"/>
          <w:u w:val="none"/>
        </w:rPr>
        <w:t xml:space="preserve"> The effectiveness of </w:t>
      </w:r>
      <w:r>
        <w:rPr>
          <w:rStyle w:val="Hyperlink"/>
          <w:rFonts w:ascii="Arial" w:hAnsi="Arial" w:cs="Arial"/>
          <w:color w:val="000000"/>
          <w:sz w:val="20"/>
          <w:szCs w:val="20"/>
          <w:u w:val="none"/>
        </w:rPr>
        <w:t xml:space="preserve">a technology-based isometric transformation flipped classroom learning strategy in improving students’ higher-order thinking skills. </w:t>
      </w:r>
      <w:proofErr w:type="gramStart"/>
      <w:r>
        <w:rPr>
          <w:rStyle w:val="Hyperlink"/>
          <w:rFonts w:ascii="Arial" w:hAnsi="Arial" w:cs="Arial"/>
          <w:color w:val="000000"/>
          <w:sz w:val="20"/>
          <w:szCs w:val="20"/>
          <w:u w:val="none"/>
        </w:rPr>
        <w:t>IEEE  Access</w:t>
      </w:r>
      <w:proofErr w:type="gramEnd"/>
      <w:r>
        <w:rPr>
          <w:rStyle w:val="Hyperlink"/>
          <w:rFonts w:ascii="Arial" w:hAnsi="Arial" w:cs="Arial"/>
          <w:color w:val="000000"/>
          <w:sz w:val="20"/>
          <w:szCs w:val="20"/>
          <w:u w:val="none"/>
        </w:rPr>
        <w:t>: Practical Innovations, Open Solutions, 11,4155-4172.</w:t>
      </w:r>
    </w:p>
    <w:p w:rsidR="005E7040" w:rsidRDefault="00A94247" w:rsidP="0031103F">
      <w:pPr>
        <w:pStyle w:val="NoSpacing"/>
        <w:numPr>
          <w:ilvl w:val="0"/>
          <w:numId w:val="3"/>
        </w:numPr>
        <w:spacing w:after="160" w:line="276" w:lineRule="auto"/>
        <w:jc w:val="both"/>
        <w:rPr>
          <w:rStyle w:val="Hyperlink"/>
          <w:rFonts w:ascii="Arial" w:hAnsi="Arial" w:cs="Arial"/>
          <w:color w:val="00B0F0"/>
          <w:sz w:val="20"/>
          <w:szCs w:val="20"/>
        </w:rPr>
      </w:pPr>
      <w:r>
        <w:rPr>
          <w:rStyle w:val="Hyperlink"/>
          <w:rFonts w:ascii="Arial" w:hAnsi="Arial" w:cs="Arial"/>
          <w:color w:val="000000"/>
          <w:sz w:val="20"/>
          <w:szCs w:val="20"/>
          <w:u w:val="none"/>
        </w:rPr>
        <w:t>Richland, L. E., &amp; McDonough, I. K. (2021). Cognitive Me</w:t>
      </w:r>
      <w:r>
        <w:rPr>
          <w:rStyle w:val="Hyperlink"/>
          <w:rFonts w:ascii="Arial" w:hAnsi="Arial" w:cs="Arial"/>
          <w:color w:val="000000"/>
          <w:sz w:val="20"/>
          <w:szCs w:val="20"/>
          <w:u w:val="none"/>
        </w:rPr>
        <w:t xml:space="preserve">chanisms of Mathematical learning: How material and language interact. Educational Psychology Review, 33, 751-773. </w:t>
      </w:r>
      <w:hyperlink r:id="rId19">
        <w:r>
          <w:rPr>
            <w:rStyle w:val="Hyperlink"/>
            <w:rFonts w:ascii="Arial" w:hAnsi="Arial" w:cs="Arial"/>
            <w:color w:val="000000"/>
            <w:sz w:val="20"/>
            <w:szCs w:val="20"/>
          </w:rPr>
          <w:t>https://www.researchgate.net/publication/387551099</w:t>
        </w:r>
      </w:hyperlink>
      <w:hyperlink>
        <w:r>
          <w:rPr>
            <w:rStyle w:val="Hyperlink"/>
            <w:rFonts w:ascii="Arial" w:hAnsi="Arial" w:cs="Arial"/>
            <w:color w:val="000000"/>
            <w:sz w:val="20"/>
            <w:szCs w:val="20"/>
          </w:rPr>
          <w:t>.</w:t>
        </w:r>
      </w:hyperlink>
    </w:p>
    <w:p w:rsidR="005E7040" w:rsidRDefault="005E7040">
      <w:pPr>
        <w:pStyle w:val="NoSpacing"/>
        <w:spacing w:after="160" w:line="276" w:lineRule="auto"/>
        <w:ind w:left="720" w:hanging="720"/>
        <w:jc w:val="both"/>
        <w:rPr>
          <w:rStyle w:val="Hyperlink"/>
          <w:rFonts w:ascii="Arial" w:hAnsi="Arial" w:cs="Arial"/>
          <w:color w:val="00B0F0"/>
          <w:sz w:val="20"/>
          <w:szCs w:val="20"/>
        </w:rPr>
      </w:pPr>
    </w:p>
    <w:p w:rsidR="005E7040" w:rsidRDefault="005E7040">
      <w:pPr>
        <w:pStyle w:val="NoSpacing"/>
        <w:spacing w:after="160" w:line="276" w:lineRule="auto"/>
        <w:ind w:left="720" w:hanging="720"/>
        <w:jc w:val="both"/>
        <w:rPr>
          <w:color w:val="000000"/>
        </w:rPr>
      </w:pPr>
    </w:p>
    <w:p w:rsidR="005E7040" w:rsidRDefault="005E7040">
      <w:pPr>
        <w:pStyle w:val="NoSpacing"/>
        <w:spacing w:after="160" w:line="276" w:lineRule="auto"/>
        <w:ind w:left="720" w:hanging="720"/>
        <w:jc w:val="both"/>
        <w:rPr>
          <w:rFonts w:ascii="Arial" w:hAnsi="Arial" w:cs="Arial"/>
          <w:color w:val="000000"/>
        </w:rPr>
      </w:pPr>
    </w:p>
    <w:p w:rsidR="005E7040" w:rsidRDefault="005E7040">
      <w:pPr>
        <w:pStyle w:val="NoSpacing"/>
        <w:spacing w:after="160" w:line="276" w:lineRule="auto"/>
        <w:ind w:left="720" w:hanging="720"/>
        <w:jc w:val="both"/>
        <w:rPr>
          <w:rFonts w:ascii="Arial" w:hAnsi="Arial" w:cs="Arial"/>
        </w:rPr>
      </w:pPr>
    </w:p>
    <w:p w:rsidR="005E7040" w:rsidRDefault="005E7040">
      <w:pPr>
        <w:pStyle w:val="NoSpacing"/>
        <w:spacing w:after="160" w:line="276" w:lineRule="auto"/>
        <w:ind w:left="720" w:hanging="720"/>
        <w:jc w:val="both"/>
        <w:rPr>
          <w:rFonts w:ascii="Arial" w:hAnsi="Arial" w:cs="Arial"/>
        </w:rPr>
      </w:pPr>
    </w:p>
    <w:sectPr w:rsidR="005E7040">
      <w:type w:val="continuous"/>
      <w:pgSz w:w="11906" w:h="16838"/>
      <w:pgMar w:top="1440" w:right="1440" w:bottom="1440" w:left="1440" w:header="720" w:footer="1296"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4247" w:rsidRDefault="00A94247">
      <w:r>
        <w:separator/>
      </w:r>
    </w:p>
  </w:endnote>
  <w:endnote w:type="continuationSeparator" w:id="0">
    <w:p w:rsidR="00A94247" w:rsidRDefault="00A94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roman"/>
    <w:notTrueType/>
    <w:pitch w:val="default"/>
  </w:font>
  <w:font w:name="Tahoma">
    <w:panose1 w:val="020B0604030504040204"/>
    <w:charset w:val="00"/>
    <w:family w:val="roman"/>
    <w:pitch w:val="variable"/>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Liberation Mono">
    <w:altName w:val="Courier New"/>
    <w:charset w:val="00"/>
    <w:family w:val="modern"/>
    <w:pitch w:val="fixed"/>
  </w:font>
  <w:font w:name="Liberation Sans">
    <w:altName w:val="Arial"/>
    <w:charset w:val="00"/>
    <w:family w:val="swiss"/>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040" w:rsidRDefault="005E7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040" w:rsidRDefault="005E70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040" w:rsidRDefault="005E7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4247" w:rsidRDefault="00A94247">
      <w:r>
        <w:separator/>
      </w:r>
    </w:p>
  </w:footnote>
  <w:footnote w:type="continuationSeparator" w:id="0">
    <w:p w:rsidR="00A94247" w:rsidRDefault="00A94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040" w:rsidRDefault="00A9424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o:spid="_x0000_s2051" type="#_x0000_t136" style="position:absolute;margin-left:0;margin-top:0;width:571.6pt;height:59.1pt;rotation:315;z-index:251656704;mso-wrap-style:none;mso-position-horizontal:center;mso-position-horizontal-relative:margin;mso-position-vertical:center;mso-position-vertical-relative:margin;v-text-anchor:middle" o:allowincell="f" fillcolor="silver" stroked="f" strokecolor="#3465a4">
          <v:fill opacity=".5" color2="#3f3f3f" o:detectmouseclick="t"/>
          <v:textpath style="font-family:&quot;Helvetica&quot;;font-size:1pt" trim="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040" w:rsidRDefault="00A9424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pt;height:59.1pt;rotation:315;z-index:251657728;mso-wrap-style:none;mso-position-horizontal:center;mso-position-horizontal-relative:margin;mso-position-vertical:center;mso-position-vertical-relative:margin;v-text-anchor:middle" o:allowincell="f" fillcolor="silver" stroked="f" strokecolor="#3465a4">
          <v:fill opacity=".5" color2="#3f3f3f" o:detectmouseclick="t"/>
          <v:textpath style="font-family:&quot;Helvetica&quot;;font-size:1pt" trim="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040" w:rsidRDefault="00A9424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571.6pt;height:59.1pt;rotation:315;z-index:251658752;mso-wrap-style:none;mso-position-horizontal:center;mso-position-horizontal-relative:margin;mso-position-vertical:center;mso-position-vertical-relative:margin;v-text-anchor:middle" o:allowincell="f" fillcolor="silver" stroked="f" strokecolor="#3465a4">
          <v:fill opacity=".5" color2="#3f3f3f" o:detectmouseclick="t"/>
          <v:textpath style="font-family:&quot;Helvetica&quot;;font-size:1pt" trim="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953C5"/>
    <w:multiLevelType w:val="multilevel"/>
    <w:tmpl w:val="C5549B0C"/>
    <w:lvl w:ilvl="0">
      <w:start w:val="1"/>
      <w:numFmt w:val="decimal"/>
      <w:pStyle w:val="Reference"/>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9C414E"/>
    <w:multiLevelType w:val="hybridMultilevel"/>
    <w:tmpl w:val="0C8A4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114E7B"/>
    <w:multiLevelType w:val="multilevel"/>
    <w:tmpl w:val="F90AC0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autoHyphenation/>
  <w:doNotHyphenateCap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E7040"/>
    <w:rsid w:val="0031103F"/>
    <w:rsid w:val="005E7040"/>
    <w:rsid w:val="0062075B"/>
    <w:rsid w:val="00A94247"/>
    <w:rsid w:val="00B91C7E"/>
    <w:rsid w:val="00FD772C"/>
    <w:rsid w:val="00FF378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6"/>
      </o:rules>
    </o:shapelayout>
  </w:shapeDefaults>
  <w:decimalSymbol w:val="."/>
  <w:listSeparator w:val=","/>
  <w15:docId w15:val="{AAB25DBB-CFE9-4719-8315-24D5D770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rPr>
  </w:style>
  <w:style w:type="paragraph" w:styleId="Heading1">
    <w:name w:val="heading 1"/>
    <w:basedOn w:val="Normal"/>
    <w:next w:val="Normal"/>
    <w:uiPriority w:val="9"/>
    <w:qFormat/>
    <w:pPr>
      <w:keepNext/>
      <w:spacing w:before="240" w:after="60"/>
      <w:outlineLvl w:val="0"/>
    </w:pPr>
    <w:rPr>
      <w:rFonts w:ascii="Arial" w:hAnsi="Arial"/>
      <w:b/>
      <w:kern w:val="2"/>
      <w:sz w:val="28"/>
    </w:rPr>
  </w:style>
  <w:style w:type="paragraph" w:styleId="Heading2">
    <w:name w:val="heading 2"/>
    <w:basedOn w:val="Heading"/>
    <w:next w:val="BodyText"/>
    <w:uiPriority w:val="9"/>
    <w:unhideWhenUsed/>
    <w:qFormat/>
    <w:pPr>
      <w:spacing w:before="200"/>
      <w:outlineLvl w:val="1"/>
    </w:pPr>
    <w:rPr>
      <w:rFonts w:ascii="Liberation Serif" w:eastAsia="Segoe UI" w:hAnsi="Liberation Serif" w:cs="Tahoma"/>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character" w:customStyle="1" w:styleId="BodyText2Char">
    <w:name w:val="Body Text 2 Char"/>
    <w:basedOn w:val="DefaultParagraphFont"/>
    <w:link w:val="BodyText2"/>
    <w:qFormat/>
    <w:rPr>
      <w:rFonts w:ascii="Helvetica" w:hAnsi="Helvetica"/>
    </w:rPr>
  </w:style>
  <w:style w:type="character" w:styleId="CommentReference">
    <w:name w:val="annotation reference"/>
    <w:basedOn w:val="DefaultParagraphFont"/>
    <w:uiPriority w:val="99"/>
    <w:qFormat/>
    <w:rPr>
      <w:sz w:val="16"/>
      <w:szCs w:val="16"/>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styleId="LineNumber">
    <w:name w:val="line number"/>
    <w:basedOn w:val="DefaultParagraphFont"/>
    <w:qFormat/>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qFormat/>
    <w:rPr>
      <w:color w:val="605E5C"/>
      <w:shd w:val="clear" w:color="auto" w:fill="E1DFDD"/>
    </w:rPr>
  </w:style>
  <w:style w:type="character" w:styleId="PlaceholderText">
    <w:name w:val="Placeholder Text"/>
    <w:basedOn w:val="DefaultParagraphFont"/>
    <w:uiPriority w:val="99"/>
    <w:qFormat/>
    <w:rPr>
      <w:color w:val="808080"/>
    </w:rPr>
  </w:style>
  <w:style w:type="character" w:customStyle="1" w:styleId="Bullets">
    <w:name w:val="Bullets"/>
    <w:qFormat/>
    <w:rPr>
      <w:rFonts w:ascii="OpenSymbol" w:eastAsia="OpenSymbol" w:hAnsi="OpenSymbol" w:cs="OpenSymbol"/>
    </w:rPr>
  </w:style>
  <w:style w:type="character" w:customStyle="1" w:styleId="SourceText">
    <w:name w:val="Source Text"/>
    <w:qFormat/>
    <w:rPr>
      <w:rFonts w:ascii="Liberation Mono" w:eastAsia="Liberation Mono" w:hAnsi="Liberation Mono" w:cs="Liberation Mono"/>
    </w:rPr>
  </w:style>
  <w:style w:type="character" w:styleId="Strong">
    <w:name w:val="Strong"/>
    <w:qFormat/>
    <w:rPr>
      <w:b/>
      <w:b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styleId="Title">
    <w:name w:val="Title"/>
    <w:basedOn w:val="Normal"/>
    <w:uiPriority w:val="10"/>
    <w:qFormat/>
    <w:pPr>
      <w:spacing w:after="360"/>
      <w:jc w:val="right"/>
    </w:pPr>
    <w:rPr>
      <w:b/>
      <w:kern w:val="2"/>
      <w:sz w:val="3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paragraph" w:customStyle="1" w:styleId="Head2">
    <w:name w:val="Head2"/>
    <w:basedOn w:val="Normal"/>
    <w:next w:val="Body"/>
    <w:qFormat/>
    <w:pPr>
      <w:keepNext/>
      <w:spacing w:after="240"/>
    </w:pPr>
    <w:rPr>
      <w:caps/>
    </w:rPr>
  </w:style>
  <w:style w:type="paragraph" w:customStyle="1" w:styleId="MainHead">
    <w:name w:val="Main Head"/>
    <w:basedOn w:val="Normal"/>
    <w:qFormat/>
    <w:pPr>
      <w:keepNext/>
      <w:spacing w:after="240"/>
    </w:pPr>
    <w:rPr>
      <w:b/>
      <w:caps/>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erandFooter">
    <w:name w:val="Header and Footer"/>
    <w:basedOn w:val="Normal"/>
    <w:qFormat/>
  </w:style>
  <w:style w:type="paragraph" w:styleId="Footer">
    <w:name w:val="footer"/>
    <w:basedOn w:val="Normal"/>
    <w:pPr>
      <w:tabs>
        <w:tab w:val="center" w:pos="4320"/>
        <w:tab w:val="right" w:pos="8640"/>
      </w:tabs>
    </w:pPr>
  </w:style>
  <w:style w:type="paragraph" w:customStyle="1" w:styleId="Head40">
    <w:name w:val="Head 4"/>
    <w:basedOn w:val="Head3"/>
    <w:qFormat/>
    <w:rPr>
      <w:u w:val="none"/>
    </w:rPr>
  </w:style>
  <w:style w:type="paragraph" w:styleId="Header">
    <w:name w:val="header"/>
    <w:basedOn w:val="Normal"/>
    <w:pPr>
      <w:tabs>
        <w:tab w:val="center" w:pos="4320"/>
        <w:tab w:val="right" w:pos="8640"/>
      </w:tabs>
    </w:pPr>
  </w:style>
  <w:style w:type="paragraph" w:customStyle="1" w:styleId="Paper">
    <w:name w:val="Paper"/>
    <w:basedOn w:val="Normal"/>
    <w:qFormat/>
    <w:pPr>
      <w:spacing w:after="360" w:line="440" w:lineRule="exact"/>
      <w:jc w:val="right"/>
    </w:pPr>
    <w:rPr>
      <w:b/>
      <w:sz w:val="36"/>
    </w:rPr>
  </w:style>
  <w:style w:type="paragraph" w:styleId="Signature">
    <w:name w:val="Signature"/>
    <w:basedOn w:val="Normal"/>
    <w:pPr>
      <w:ind w:left="4320"/>
    </w:pPr>
  </w:style>
  <w:style w:type="paragraph" w:customStyle="1" w:styleId="SymbolP">
    <w:name w:val="Symbol P"/>
    <w:basedOn w:val="Body"/>
    <w:qFormat/>
    <w:pPr>
      <w:tabs>
        <w:tab w:val="left" w:pos="720"/>
        <w:tab w:val="left" w:pos="3780"/>
      </w:tabs>
      <w:spacing w:after="0"/>
    </w:pPr>
    <w:rPr>
      <w:sz w:val="24"/>
    </w:rPr>
  </w:style>
  <w:style w:type="paragraph" w:styleId="BodyText2">
    <w:name w:val="Body Text 2"/>
    <w:basedOn w:val="Normal"/>
    <w:link w:val="BodyText2Char"/>
    <w:qFormat/>
    <w:pPr>
      <w:spacing w:after="120" w:line="480" w:lineRule="auto"/>
    </w:pPr>
  </w:style>
  <w:style w:type="paragraph" w:styleId="CommentText">
    <w:name w:val="annotation text"/>
    <w:basedOn w:val="Normal"/>
    <w:link w:val="CommentTextChar"/>
    <w:uiPriority w:val="99"/>
    <w:qFormat/>
    <w:rPr>
      <w:rFonts w:ascii="Times New Roman" w:hAnsi="Times New Roman"/>
      <w:lang w:val="nb-NO" w:eastAsia="nb-NO"/>
    </w:rPr>
  </w:style>
  <w:style w:type="paragraph" w:styleId="BalloonText">
    <w:name w:val="Balloon Text"/>
    <w:basedOn w:val="Normal"/>
    <w:link w:val="BalloonTextChar"/>
    <w:qFormat/>
    <w:rPr>
      <w:rFonts w:ascii="Tahoma" w:hAnsi="Tahoma" w:cs="Tahoma"/>
      <w:sz w:val="16"/>
      <w:szCs w:val="16"/>
    </w:rPr>
  </w:style>
  <w:style w:type="paragraph" w:styleId="BodyText3">
    <w:name w:val="Body Text 3"/>
    <w:basedOn w:val="Normal"/>
    <w:link w:val="BodyText3Char"/>
    <w:qFormat/>
    <w:pPr>
      <w:spacing w:after="120"/>
    </w:pPr>
    <w:rPr>
      <w:sz w:val="16"/>
      <w:szCs w:val="16"/>
    </w:rPr>
  </w:style>
  <w:style w:type="paragraph" w:styleId="NoSpacing">
    <w:name w:val="No Spacing"/>
    <w:uiPriority w:val="1"/>
    <w:qFormat/>
    <w:rPr>
      <w:rFonts w:ascii="Calibri" w:eastAsia="Calibri" w:hAnsi="Calibri"/>
      <w:sz w:val="22"/>
      <w:szCs w:val="22"/>
      <w:lang w:val="en-PH"/>
    </w:rPr>
  </w:style>
  <w:style w:type="paragraph" w:styleId="ListParagraph">
    <w:name w:val="List Paragraph"/>
    <w:basedOn w:val="Normal"/>
    <w:uiPriority w:val="34"/>
    <w:qFormat/>
    <w:pPr>
      <w:ind w:left="720"/>
      <w:contextualSpacing/>
    </w:p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unu-ntb-e-jounal.id/pac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scribd.com/" TargetMode="External"/><Relationship Id="rId2" Type="http://schemas.openxmlformats.org/officeDocument/2006/relationships/numbering" Target="numbering.xml"/><Relationship Id="rId16" Type="http://schemas.openxmlformats.org/officeDocument/2006/relationships/hyperlink" Target="https://doi.org/10.56557/ajahss/2026/v9i110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56557/jet/2026/v11i110459" TargetMode="External"/><Relationship Id="rId10" Type="http://schemas.openxmlformats.org/officeDocument/2006/relationships/footer" Target="footer1.xml"/><Relationship Id="rId19" Type="http://schemas.openxmlformats.org/officeDocument/2006/relationships/hyperlink" Target="https://www.researchgate.net/publication/38755109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55057/ijares.2024.6.5.21"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7DCC1-AAB7-4F86-A2D1-E3874C723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9</Pages>
  <Words>3987</Words>
  <Characters>22732</Characters>
  <Application>Microsoft Office Word</Application>
  <DocSecurity>0</DocSecurity>
  <Lines>189</Lines>
  <Paragraphs>53</Paragraphs>
  <ScaleCrop>false</ScaleCrop>
  <Company>aaaa</Company>
  <LinksUpToDate>false</LinksUpToDate>
  <CharactersWithSpaces>26666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dc:description/>
  <cp:lastModifiedBy>SDI 1022</cp:lastModifiedBy>
  <cp:revision>38</cp:revision>
  <cp:lastPrinted>1999-07-06T11:00:00Z</cp:lastPrinted>
  <dcterms:created xsi:type="dcterms:W3CDTF">2014-10-25T14:34:00Z</dcterms:created>
  <dcterms:modified xsi:type="dcterms:W3CDTF">2026-05-13T07:41:00Z</dcterms:modified>
  <dc:language>en-PH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a1258987d0bb4f03bc53dc1de4974011</vt:lpwstr>
  </property>
</Properties>
</file>