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566D" w:rsidRPr="00C43111" w14:paraId="1B44B738" w14:textId="77777777">
        <w:trPr>
          <w:trHeight w:val="20"/>
          <w:jc w:val="center"/>
        </w:trPr>
        <w:tc>
          <w:tcPr>
            <w:tcW w:w="1186" w:type="pct"/>
          </w:tcPr>
          <w:p w14:paraId="1CC4FE21" w14:textId="77777777" w:rsidR="0077566D" w:rsidRPr="00C43111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C560683" w14:textId="77777777" w:rsidR="0077566D" w:rsidRPr="00C43111" w:rsidRDefault="003562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4311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77566D" w:rsidRPr="00C43111" w14:paraId="2F66200F" w14:textId="77777777">
        <w:trPr>
          <w:trHeight w:val="20"/>
          <w:jc w:val="center"/>
        </w:trPr>
        <w:tc>
          <w:tcPr>
            <w:tcW w:w="1186" w:type="pct"/>
          </w:tcPr>
          <w:p w14:paraId="36359AD6" w14:textId="77777777" w:rsidR="0077566D" w:rsidRPr="00C43111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81E620" w14:textId="77777777" w:rsidR="0077566D" w:rsidRPr="00C43111" w:rsidRDefault="004B1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Ms_JIRMEPS_14933</w:t>
            </w:r>
          </w:p>
        </w:tc>
      </w:tr>
      <w:tr w:rsidR="0077566D" w:rsidRPr="00C43111" w14:paraId="4441108F" w14:textId="77777777">
        <w:trPr>
          <w:trHeight w:val="20"/>
          <w:jc w:val="center"/>
        </w:trPr>
        <w:tc>
          <w:tcPr>
            <w:tcW w:w="1186" w:type="pct"/>
          </w:tcPr>
          <w:p w14:paraId="7BE8AF65" w14:textId="77777777" w:rsidR="0077566D" w:rsidRPr="00C43111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9DAEA1" w14:textId="77777777" w:rsidR="0077566D" w:rsidRPr="00C43111" w:rsidRDefault="004B1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Gut to Brain: The Neurohormonal Basis of Appetite Suppression and Gastric Emptying Delay by Semaglutide in Non-Diabetic Obesity</w:t>
            </w:r>
          </w:p>
        </w:tc>
      </w:tr>
      <w:tr w:rsidR="0077566D" w:rsidRPr="00C43111" w14:paraId="2E19DAD3" w14:textId="77777777">
        <w:trPr>
          <w:trHeight w:val="20"/>
          <w:jc w:val="center"/>
        </w:trPr>
        <w:tc>
          <w:tcPr>
            <w:tcW w:w="1186" w:type="pct"/>
          </w:tcPr>
          <w:p w14:paraId="0F250F06" w14:textId="77777777" w:rsidR="0077566D" w:rsidRPr="00C43111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BE2130" w14:textId="77777777" w:rsidR="0077566D" w:rsidRPr="00C43111" w:rsidRDefault="00356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80BF744" w14:textId="77777777" w:rsidR="0077566D" w:rsidRPr="00C43111" w:rsidRDefault="007756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04F600" w14:textId="77777777" w:rsidR="0077566D" w:rsidRPr="00C43111" w:rsidRDefault="0077566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95E458D" w14:textId="77777777" w:rsidR="0077566D" w:rsidRPr="00C43111" w:rsidRDefault="003562D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4311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09F0D1C" w14:textId="77777777" w:rsidR="0077566D" w:rsidRPr="00C43111" w:rsidRDefault="007756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0C6D1AD" w14:textId="77777777" w:rsidR="0077566D" w:rsidRPr="00C43111" w:rsidRDefault="007756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7566D" w:rsidRPr="00C43111" w14:paraId="249AB7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669FE9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115AC1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6D35EEC" w14:textId="77777777" w:rsidR="0077566D" w:rsidRPr="00C43111" w:rsidRDefault="003562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31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31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ED8882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7AD9B4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08FA4" w14:textId="77777777" w:rsidR="0077566D" w:rsidRPr="00C43111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AE36BA7" w14:textId="77777777" w:rsidR="0077566D" w:rsidRPr="00C43111" w:rsidRDefault="0077566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A5E725" w14:textId="4554D3EA" w:rsidR="0077566D" w:rsidRPr="00C43111" w:rsidRDefault="00D90F6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sz w:val="20"/>
                <w:szCs w:val="20"/>
              </w:rPr>
              <w:t>This manuscript compiles existing mechanisms of action for the effect of semaglutide on appetite and gastric motility in obesity. It identifies unanswered questions on the neurobiology of obesity and provides a roadmap for future translational research to develop personalised obesity pharmacotherapy.</w:t>
            </w:r>
          </w:p>
        </w:tc>
        <w:tc>
          <w:tcPr>
            <w:tcW w:w="1667" w:type="pct"/>
          </w:tcPr>
          <w:p w14:paraId="44A14B7C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50001A" w14:textId="77777777" w:rsidR="0077566D" w:rsidRPr="00C43111" w:rsidRDefault="0077566D">
      <w:pPr>
        <w:rPr>
          <w:rFonts w:ascii="Arial" w:hAnsi="Arial" w:cs="Arial"/>
          <w:sz w:val="20"/>
          <w:szCs w:val="20"/>
          <w:lang w:val="en-GB"/>
        </w:rPr>
      </w:pPr>
    </w:p>
    <w:p w14:paraId="0734F618" w14:textId="77777777" w:rsidR="0010156D" w:rsidRPr="0010156D" w:rsidRDefault="0010156D" w:rsidP="0010156D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15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B4DD78B" w14:textId="77777777" w:rsidR="0077566D" w:rsidRPr="00C43111" w:rsidRDefault="007756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7566D" w:rsidRPr="00C43111" w14:paraId="2DC6E9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52A598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A7979B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56FD18E" w14:textId="77777777" w:rsidR="0077566D" w:rsidRPr="00C43111" w:rsidRDefault="003562D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31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566D" w:rsidRPr="00C43111" w14:paraId="2EBBB4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FAFCE6" w14:textId="77777777" w:rsidR="0077566D" w:rsidRPr="00C43111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1C4D740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287F7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A70725" w14:textId="17633AE1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C9C5F2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405AC5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7A92D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0C22A72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31E13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057D65" w14:textId="54D68681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A851E6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2BA8DF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694D4C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3C76221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C8033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9F1A2A" w14:textId="44F2E89E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BB9DFE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0F166E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A0B273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7EA89BF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31F0F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B3E8B" w14:textId="35D2C280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5B27E6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21D9FD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95788B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33E6FA0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CFBA9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5F2E27" w14:textId="717C7ED1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7A8200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06CBDA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DF5751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0D259845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F3A5F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F4E43" w14:textId="5019FB5B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EA5501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4006F7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7A45D9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ED67717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37E5B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332A18" w14:textId="0FCCAD66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E2CE08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2992C7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5786FA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6E1FF55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D49E6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D8FD96" w14:textId="3A24E5A4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850EBA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5ED3AA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0F2D9E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455F825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D4CB9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1558A2" w14:textId="348A9846" w:rsidR="0077566D" w:rsidRPr="00C43111" w:rsidRDefault="00D90F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F60968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147994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3B3B26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4311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05915B1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20EEE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8237C07" w14:textId="77777777" w:rsidR="0077566D" w:rsidRPr="00C43111" w:rsidRDefault="007756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653B10" w14:textId="77777777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45A01E5" w14:textId="44008B26" w:rsidR="00D90F62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0770A8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68B477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533545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E2F647E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F1A1B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0939AD" w14:textId="3697B4CC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F680B6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283215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A50BC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FA83A9F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3DDEF8D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3BF5ED" w14:textId="74FFC3BB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B5648C2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520A18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61D7AD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4311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89BDA45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15B69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ECBCE3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17201D" w14:textId="1304E408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37D599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52A1AC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6D638C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790D032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FDBF1" w14:textId="77777777" w:rsidR="0077566D" w:rsidRPr="00C43111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F574DB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90DA43" w14:textId="3DACCD90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121AF9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546625" w14:textId="77777777" w:rsidR="0077566D" w:rsidRPr="00C43111" w:rsidRDefault="007756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DF6739" w14:textId="77777777" w:rsidR="0077566D" w:rsidRPr="00C43111" w:rsidRDefault="007756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C8797A7" w14:textId="77777777" w:rsidR="0077566D" w:rsidRPr="00C43111" w:rsidRDefault="003562D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4311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8D1A002" w14:textId="77777777" w:rsidR="0077566D" w:rsidRPr="00C43111" w:rsidRDefault="007756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7566D" w:rsidRPr="00C43111" w14:paraId="60727F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F44B5C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BF212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6827ABA" w14:textId="77777777" w:rsidR="0077566D" w:rsidRPr="00C43111" w:rsidRDefault="007756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AAF168" w14:textId="77777777" w:rsidR="0077566D" w:rsidRPr="00C43111" w:rsidRDefault="003562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31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31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FC19B2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04E7CD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BA62A" w14:textId="77777777" w:rsidR="0077566D" w:rsidRPr="00C43111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725B45" w14:textId="77777777" w:rsidR="0077566D" w:rsidRPr="00C43111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2440E2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6D9D747" w14:textId="40D385CA" w:rsidR="0077566D" w:rsidRPr="00C43111" w:rsidRDefault="00D90F62" w:rsidP="00D90F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sz w:val="20"/>
                <w:szCs w:val="20"/>
              </w:rPr>
              <w:t>The title is appropriate for the manuscript content, which focuses on the effects of Semaglutide, appetite, gastric emptying, and neurohormonal pathways in non-diabetic obesity.</w:t>
            </w:r>
          </w:p>
        </w:tc>
        <w:tc>
          <w:tcPr>
            <w:tcW w:w="1667" w:type="pct"/>
          </w:tcPr>
          <w:p w14:paraId="6E24629B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524AEE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CDC2FA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FBDC471" w14:textId="77777777" w:rsidR="0077566D" w:rsidRPr="00C43111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25F1CE" w14:textId="77777777" w:rsidR="0077566D" w:rsidRPr="00C43111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0BA1BA4" w14:textId="035CB45F" w:rsidR="0077566D" w:rsidRPr="00C43111" w:rsidRDefault="00D90F62" w:rsidP="00D90F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</w:rPr>
              <w:t>The abstract is well structured and coherent and provides a clear summary of the background, methods, mechanistic findings and clinical significance of the review.</w:t>
            </w:r>
          </w:p>
        </w:tc>
        <w:tc>
          <w:tcPr>
            <w:tcW w:w="1667" w:type="pct"/>
          </w:tcPr>
          <w:p w14:paraId="6EC33812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62DE55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9AFE3B" w14:textId="77777777" w:rsidR="0077566D" w:rsidRPr="00C43111" w:rsidRDefault="003562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431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817D5EF" w14:textId="77777777" w:rsidR="0077566D" w:rsidRPr="00C43111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576E3A6" w14:textId="5F4A73CB" w:rsidR="0077566D" w:rsidRPr="00C43111" w:rsidRDefault="00D90F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084F7E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021332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BF9A6" w14:textId="77777777" w:rsidR="0077566D" w:rsidRPr="00C43111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F4FB71" w14:textId="77777777" w:rsidR="0077566D" w:rsidRPr="00C43111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5F0959" w14:textId="77777777" w:rsidR="0077566D" w:rsidRPr="00C43111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7F6795F" w14:textId="4D2442DA" w:rsidR="0077566D" w:rsidRPr="00C43111" w:rsidRDefault="00521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</w:rPr>
              <w:t>The references are sufficient, appropriate, and contain recent landmark studies and clinical trials that are relevant to the work.</w:t>
            </w:r>
          </w:p>
        </w:tc>
        <w:tc>
          <w:tcPr>
            <w:tcW w:w="1667" w:type="pct"/>
          </w:tcPr>
          <w:p w14:paraId="659AE369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C43111" w14:paraId="0DEFD2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7D70D1" w14:textId="77777777" w:rsidR="0077566D" w:rsidRPr="00C43111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5DC84A" w14:textId="77777777" w:rsidR="0077566D" w:rsidRPr="00C43111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D97881" w14:textId="77777777" w:rsidR="0077566D" w:rsidRPr="00C43111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F0BA7E" w14:textId="77777777" w:rsidR="0077566D" w:rsidRPr="00C43111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2F2E25" w14:textId="77777777" w:rsidR="0077566D" w:rsidRPr="00C43111" w:rsidRDefault="007756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0A0806" w14:textId="0847A781" w:rsidR="0077566D" w:rsidRPr="00C43111" w:rsidRDefault="005217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31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7E2AC11" w14:textId="77777777" w:rsidR="0077566D" w:rsidRPr="00C43111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38D4C1" w14:textId="77777777" w:rsidR="00F62C4D" w:rsidRPr="00C43111" w:rsidRDefault="00F62C4D" w:rsidP="00F62C4D">
      <w:pPr>
        <w:rPr>
          <w:rFonts w:ascii="Arial" w:hAnsi="Arial" w:cs="Arial"/>
          <w:b/>
          <w:sz w:val="20"/>
          <w:szCs w:val="20"/>
          <w:u w:val="single"/>
        </w:rPr>
      </w:pPr>
      <w:r w:rsidRPr="00C431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746F1AA" w14:textId="77777777" w:rsidR="00F62C4D" w:rsidRPr="00C43111" w:rsidRDefault="00F62C4D" w:rsidP="00F62C4D">
      <w:pPr>
        <w:rPr>
          <w:rFonts w:ascii="Arial" w:hAnsi="Arial" w:cs="Arial"/>
          <w:sz w:val="20"/>
          <w:szCs w:val="20"/>
        </w:rPr>
      </w:pPr>
      <w:r w:rsidRPr="00C43111">
        <w:rPr>
          <w:rFonts w:ascii="Arial" w:hAnsi="Arial" w:cs="Arial"/>
          <w:color w:val="000000"/>
          <w:sz w:val="20"/>
          <w:szCs w:val="20"/>
        </w:rPr>
        <w:t>Prerna Khati, Mangalyatan university</w:t>
      </w:r>
      <w:r w:rsidRPr="00C43111">
        <w:rPr>
          <w:rFonts w:ascii="Arial" w:hAnsi="Arial" w:cs="Arial"/>
          <w:sz w:val="20"/>
          <w:szCs w:val="20"/>
        </w:rPr>
        <w:t xml:space="preserve">, </w:t>
      </w:r>
      <w:r w:rsidRPr="00C43111">
        <w:rPr>
          <w:rFonts w:ascii="Arial" w:hAnsi="Arial" w:cs="Arial"/>
          <w:color w:val="000000"/>
          <w:sz w:val="20"/>
          <w:szCs w:val="20"/>
        </w:rPr>
        <w:t>India</w:t>
      </w:r>
    </w:p>
    <w:p w14:paraId="446B7FE5" w14:textId="77777777" w:rsidR="0077566D" w:rsidRPr="00C43111" w:rsidRDefault="0077566D">
      <w:pPr>
        <w:rPr>
          <w:rFonts w:ascii="Arial" w:hAnsi="Arial" w:cs="Arial"/>
          <w:sz w:val="20"/>
          <w:szCs w:val="20"/>
          <w:lang w:val="en-GB"/>
        </w:rPr>
      </w:pPr>
    </w:p>
    <w:sectPr w:rsidR="0077566D" w:rsidRPr="00C431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4291" w14:textId="77777777" w:rsidR="0049000A" w:rsidRDefault="0049000A">
      <w:r>
        <w:separator/>
      </w:r>
    </w:p>
  </w:endnote>
  <w:endnote w:type="continuationSeparator" w:id="0">
    <w:p w14:paraId="70EF88E3" w14:textId="77777777" w:rsidR="0049000A" w:rsidRDefault="0049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571A" w14:textId="77777777" w:rsidR="0077566D" w:rsidRDefault="003562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79D564F" w14:textId="77777777" w:rsidR="0077566D" w:rsidRDefault="0077566D">
    <w:pPr>
      <w:pStyle w:val="Footer"/>
      <w:jc w:val="right"/>
    </w:pPr>
  </w:p>
  <w:p w14:paraId="6A051B0B" w14:textId="77777777" w:rsidR="0077566D" w:rsidRDefault="007756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F1FD" w14:textId="77777777" w:rsidR="0049000A" w:rsidRDefault="0049000A">
      <w:r>
        <w:separator/>
      </w:r>
    </w:p>
  </w:footnote>
  <w:footnote w:type="continuationSeparator" w:id="0">
    <w:p w14:paraId="20AC0B1A" w14:textId="77777777" w:rsidR="0049000A" w:rsidRDefault="0049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CF6E" w14:textId="77777777" w:rsidR="0077566D" w:rsidRDefault="007756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6B7996" w14:textId="77777777" w:rsidR="0077566D" w:rsidRDefault="003562D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597262">
    <w:abstractNumId w:val="4"/>
  </w:num>
  <w:num w:numId="2" w16cid:durableId="366878002">
    <w:abstractNumId w:val="8"/>
  </w:num>
  <w:num w:numId="3" w16cid:durableId="176164258">
    <w:abstractNumId w:val="7"/>
  </w:num>
  <w:num w:numId="4" w16cid:durableId="573517015">
    <w:abstractNumId w:val="9"/>
  </w:num>
  <w:num w:numId="5" w16cid:durableId="1260021459">
    <w:abstractNumId w:val="6"/>
  </w:num>
  <w:num w:numId="6" w16cid:durableId="1004287335">
    <w:abstractNumId w:val="0"/>
  </w:num>
  <w:num w:numId="7" w16cid:durableId="1726486740">
    <w:abstractNumId w:val="3"/>
  </w:num>
  <w:num w:numId="8" w16cid:durableId="422071039">
    <w:abstractNumId w:val="11"/>
  </w:num>
  <w:num w:numId="9" w16cid:durableId="1348287802">
    <w:abstractNumId w:val="10"/>
  </w:num>
  <w:num w:numId="10" w16cid:durableId="748237097">
    <w:abstractNumId w:val="2"/>
  </w:num>
  <w:num w:numId="11" w16cid:durableId="470827569">
    <w:abstractNumId w:val="1"/>
  </w:num>
  <w:num w:numId="12" w16cid:durableId="189577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66D"/>
    <w:rsid w:val="0010156D"/>
    <w:rsid w:val="00110ADF"/>
    <w:rsid w:val="001B009B"/>
    <w:rsid w:val="001C7617"/>
    <w:rsid w:val="001F35E1"/>
    <w:rsid w:val="00225345"/>
    <w:rsid w:val="002D6919"/>
    <w:rsid w:val="003562D7"/>
    <w:rsid w:val="003E10B6"/>
    <w:rsid w:val="0049000A"/>
    <w:rsid w:val="004B1185"/>
    <w:rsid w:val="005217E3"/>
    <w:rsid w:val="0077566D"/>
    <w:rsid w:val="007E1E7D"/>
    <w:rsid w:val="008B464D"/>
    <w:rsid w:val="00902F90"/>
    <w:rsid w:val="009072FE"/>
    <w:rsid w:val="00A84CFB"/>
    <w:rsid w:val="00B70F35"/>
    <w:rsid w:val="00C43111"/>
    <w:rsid w:val="00D90F62"/>
    <w:rsid w:val="00E668F5"/>
    <w:rsid w:val="00EA5DBB"/>
    <w:rsid w:val="00F34EB7"/>
    <w:rsid w:val="00F6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49CC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7E3"/>
    <w:pPr>
      <w:keepNext/>
      <w:spacing w:before="240" w:after="60"/>
      <w:outlineLvl w:val="2"/>
    </w:pPr>
    <w:rPr>
      <w:rFonts w:ascii="Calibri Light" w:hAnsi="Calibri Light" w:cs="Vrinda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5217E3"/>
    <w:rPr>
      <w:rFonts w:ascii="Calibri Light" w:eastAsia="Times New Roman" w:hAnsi="Calibri Light" w:cs="Vrind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46</cp:revision>
  <dcterms:created xsi:type="dcterms:W3CDTF">2026-03-24T06:32:00Z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